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9B10F6" w14:textId="77777777" w:rsidR="00775125" w:rsidRPr="00775125" w:rsidRDefault="00775125" w:rsidP="00775125">
      <w:pPr>
        <w:ind w:left="720" w:hanging="720"/>
        <w:rPr>
          <w:color w:val="FF0000"/>
          <w:shd w:val="clear" w:color="auto" w:fill="FFFFFF"/>
        </w:rPr>
      </w:pPr>
      <w:r w:rsidRPr="00775125">
        <w:rPr>
          <w:color w:val="FF0000"/>
        </w:rPr>
        <w:t xml:space="preserve">Nevicka, B., &amp; Sedikides, C. (2021). Employee narcissism and promotability prospects. </w:t>
      </w:r>
      <w:r w:rsidRPr="00775125">
        <w:rPr>
          <w:i/>
          <w:iCs/>
          <w:color w:val="FF0000"/>
          <w:shd w:val="clear" w:color="auto" w:fill="FFFFFF"/>
        </w:rPr>
        <w:t>Journal of Personality</w:t>
      </w:r>
      <w:r w:rsidRPr="00775125">
        <w:rPr>
          <w:color w:val="FF0000"/>
          <w:shd w:val="clear" w:color="auto" w:fill="FFFFFF"/>
        </w:rPr>
        <w:t xml:space="preserve">. Advance online publication. </w:t>
      </w:r>
      <w:r w:rsidRPr="00775125">
        <w:rPr>
          <w:rFonts w:asciiTheme="majorBidi" w:hAnsiTheme="majorBidi" w:cstheme="majorBidi"/>
          <w:color w:val="FF0000"/>
        </w:rPr>
        <w:t>https://doi.org/</w:t>
      </w:r>
      <w:r w:rsidRPr="00775125">
        <w:rPr>
          <w:rFonts w:asciiTheme="majorBidi" w:hAnsiTheme="majorBidi" w:cstheme="majorBidi"/>
          <w:color w:val="FF0000"/>
          <w:shd w:val="clear" w:color="auto" w:fill="FFFFFF"/>
        </w:rPr>
        <w:t>10.1111/jopy.12619</w:t>
      </w:r>
    </w:p>
    <w:p w14:paraId="0A484670" w14:textId="77777777" w:rsidR="004C3C58" w:rsidRPr="00D374E6" w:rsidRDefault="004C3C58" w:rsidP="003E2954">
      <w:pPr>
        <w:pStyle w:val="Title"/>
        <w:spacing w:line="480" w:lineRule="exact"/>
        <w:jc w:val="center"/>
        <w:rPr>
          <w:rFonts w:ascii="Times New Roman" w:eastAsia="Calibri" w:hAnsi="Times New Roman" w:cs="Times New Roman"/>
          <w:b/>
          <w:sz w:val="24"/>
          <w:szCs w:val="24"/>
          <w:lang w:val="en-US"/>
        </w:rPr>
      </w:pPr>
    </w:p>
    <w:p w14:paraId="56F3820A" w14:textId="77777777" w:rsidR="003155BE" w:rsidRPr="00D15D0E" w:rsidRDefault="003155BE" w:rsidP="003E2954">
      <w:pPr>
        <w:spacing w:line="480" w:lineRule="exact"/>
        <w:contextualSpacing/>
        <w:jc w:val="center"/>
        <w:outlineLvl w:val="0"/>
        <w:rPr>
          <w:b/>
          <w:bCs/>
        </w:rPr>
      </w:pPr>
    </w:p>
    <w:p w14:paraId="19E48413" w14:textId="77777777" w:rsidR="003155BE" w:rsidRPr="0041230A" w:rsidRDefault="003155BE" w:rsidP="003E2954">
      <w:pPr>
        <w:spacing w:line="480" w:lineRule="exact"/>
        <w:contextualSpacing/>
        <w:jc w:val="center"/>
        <w:outlineLvl w:val="0"/>
        <w:rPr>
          <w:b/>
          <w:bCs/>
        </w:rPr>
      </w:pPr>
    </w:p>
    <w:p w14:paraId="67111011" w14:textId="3DB8CD43" w:rsidR="008E183B" w:rsidRPr="007E74C2" w:rsidRDefault="00F36965" w:rsidP="004C28FB">
      <w:pPr>
        <w:spacing w:line="480" w:lineRule="auto"/>
        <w:contextualSpacing/>
        <w:jc w:val="center"/>
        <w:outlineLvl w:val="0"/>
        <w:rPr>
          <w:b/>
          <w:bCs/>
        </w:rPr>
      </w:pPr>
      <w:r w:rsidRPr="0041230A">
        <w:rPr>
          <w:b/>
          <w:bCs/>
        </w:rPr>
        <w:t xml:space="preserve">Employee </w:t>
      </w:r>
      <w:r w:rsidR="00A23FA9" w:rsidRPr="00AD6A74">
        <w:rPr>
          <w:b/>
          <w:bCs/>
        </w:rPr>
        <w:t>N</w:t>
      </w:r>
      <w:r w:rsidRPr="00AD6A74">
        <w:rPr>
          <w:b/>
          <w:bCs/>
        </w:rPr>
        <w:t xml:space="preserve">arcissism and </w:t>
      </w:r>
      <w:r w:rsidR="00A23FA9" w:rsidRPr="00AD6A74">
        <w:rPr>
          <w:b/>
          <w:bCs/>
        </w:rPr>
        <w:t>P</w:t>
      </w:r>
      <w:r w:rsidRPr="00076E4A">
        <w:rPr>
          <w:b/>
          <w:bCs/>
        </w:rPr>
        <w:t xml:space="preserve">romotability </w:t>
      </w:r>
      <w:r w:rsidR="00CF68A9" w:rsidRPr="007E74C2">
        <w:rPr>
          <w:b/>
          <w:bCs/>
        </w:rPr>
        <w:t>Prospects</w:t>
      </w:r>
    </w:p>
    <w:p w14:paraId="295FB422" w14:textId="6EAB79DB" w:rsidR="004C3C58" w:rsidRPr="008E3958" w:rsidRDefault="004C3C58" w:rsidP="004C28FB">
      <w:pPr>
        <w:spacing w:line="480" w:lineRule="auto"/>
        <w:contextualSpacing/>
      </w:pPr>
    </w:p>
    <w:p w14:paraId="2C008FD2" w14:textId="77777777" w:rsidR="00870995" w:rsidRPr="003D57C7" w:rsidRDefault="00870995" w:rsidP="004C28FB">
      <w:pPr>
        <w:spacing w:line="480" w:lineRule="auto"/>
        <w:contextualSpacing/>
        <w:jc w:val="center"/>
      </w:pPr>
    </w:p>
    <w:p w14:paraId="3E3CBFFD" w14:textId="5AF960B9" w:rsidR="00F6313C" w:rsidRPr="003D70B4" w:rsidRDefault="00437966" w:rsidP="004C28FB">
      <w:pPr>
        <w:spacing w:line="480" w:lineRule="auto"/>
        <w:contextualSpacing/>
        <w:jc w:val="center"/>
      </w:pPr>
      <w:r w:rsidRPr="003D57C7">
        <w:t>Barbara Nevicka</w:t>
      </w:r>
      <w:r w:rsidR="00F6313C" w:rsidRPr="003D57C7">
        <w:rPr>
          <w:vertAlign w:val="superscript"/>
        </w:rPr>
        <w:t>1</w:t>
      </w:r>
      <w:r w:rsidR="00F6313C" w:rsidRPr="00495C0B">
        <w:t xml:space="preserve"> and Constantine Sedikides</w:t>
      </w:r>
      <w:r w:rsidR="00F6313C" w:rsidRPr="005160C6">
        <w:rPr>
          <w:vertAlign w:val="superscript"/>
        </w:rPr>
        <w:t>2</w:t>
      </w:r>
    </w:p>
    <w:p w14:paraId="558A632C" w14:textId="77777777" w:rsidR="00870995" w:rsidRPr="003D70B4" w:rsidRDefault="00870995" w:rsidP="004C28FB">
      <w:pPr>
        <w:spacing w:line="480" w:lineRule="auto"/>
        <w:contextualSpacing/>
        <w:jc w:val="center"/>
        <w:rPr>
          <w:vertAlign w:val="superscript"/>
        </w:rPr>
      </w:pPr>
    </w:p>
    <w:p w14:paraId="55E3C23E" w14:textId="3982447E" w:rsidR="00437966" w:rsidRPr="003D70B4" w:rsidRDefault="00F6313C" w:rsidP="004C28FB">
      <w:pPr>
        <w:spacing w:line="480" w:lineRule="auto"/>
        <w:contextualSpacing/>
        <w:jc w:val="center"/>
      </w:pPr>
      <w:r w:rsidRPr="003D70B4">
        <w:rPr>
          <w:vertAlign w:val="superscript"/>
        </w:rPr>
        <w:t>1</w:t>
      </w:r>
      <w:r w:rsidR="00437966" w:rsidRPr="003D70B4">
        <w:t>University of Amsterdam</w:t>
      </w:r>
    </w:p>
    <w:p w14:paraId="13201E35" w14:textId="4EDEE290" w:rsidR="00437966" w:rsidRPr="003D70B4" w:rsidRDefault="00F6313C" w:rsidP="004C28FB">
      <w:pPr>
        <w:spacing w:line="480" w:lineRule="auto"/>
        <w:contextualSpacing/>
        <w:jc w:val="center"/>
      </w:pPr>
      <w:r w:rsidRPr="003D70B4">
        <w:rPr>
          <w:vertAlign w:val="superscript"/>
        </w:rPr>
        <w:t>2</w:t>
      </w:r>
      <w:r w:rsidR="00437966" w:rsidRPr="003D70B4">
        <w:t>University of Southampton</w:t>
      </w:r>
    </w:p>
    <w:p w14:paraId="52338004" w14:textId="77777777" w:rsidR="00437966" w:rsidRPr="003D70B4" w:rsidRDefault="00437966" w:rsidP="004C28FB">
      <w:pPr>
        <w:spacing w:line="480" w:lineRule="auto"/>
        <w:contextualSpacing/>
      </w:pPr>
    </w:p>
    <w:p w14:paraId="7CE86254" w14:textId="77777777" w:rsidR="00437966" w:rsidRPr="003D70B4" w:rsidRDefault="00437966" w:rsidP="004C28FB">
      <w:pPr>
        <w:spacing w:line="480" w:lineRule="auto"/>
        <w:contextualSpacing/>
      </w:pPr>
    </w:p>
    <w:p w14:paraId="7A113C41" w14:textId="77777777" w:rsidR="00437966" w:rsidRPr="003D70B4" w:rsidRDefault="00437966" w:rsidP="004C28FB">
      <w:pPr>
        <w:spacing w:line="480" w:lineRule="auto"/>
        <w:contextualSpacing/>
      </w:pPr>
    </w:p>
    <w:p w14:paraId="25F23874" w14:textId="5FA02EBB" w:rsidR="00437966" w:rsidRPr="003D70B4" w:rsidRDefault="00437966" w:rsidP="004C28FB">
      <w:pPr>
        <w:spacing w:line="480" w:lineRule="auto"/>
        <w:contextualSpacing/>
      </w:pPr>
    </w:p>
    <w:p w14:paraId="1F2D9AF2" w14:textId="339DF5AE" w:rsidR="00437966" w:rsidRPr="003D70B4" w:rsidRDefault="00437966" w:rsidP="004C28FB">
      <w:pPr>
        <w:spacing w:line="480" w:lineRule="auto"/>
        <w:contextualSpacing/>
      </w:pPr>
    </w:p>
    <w:p w14:paraId="4DE6DDCA" w14:textId="2CD77676" w:rsidR="00437966" w:rsidRPr="003D70B4" w:rsidRDefault="00437966" w:rsidP="004C28FB">
      <w:pPr>
        <w:spacing w:line="480" w:lineRule="auto"/>
        <w:contextualSpacing/>
      </w:pPr>
    </w:p>
    <w:p w14:paraId="75EB6CB7" w14:textId="77777777" w:rsidR="00F6313C" w:rsidRPr="003D70B4" w:rsidRDefault="00F6313C" w:rsidP="004C28FB">
      <w:pPr>
        <w:spacing w:line="480" w:lineRule="auto"/>
        <w:contextualSpacing/>
      </w:pPr>
    </w:p>
    <w:p w14:paraId="6614AC3C" w14:textId="00146CC9" w:rsidR="009F7B80" w:rsidRPr="003D70B4" w:rsidRDefault="00437966" w:rsidP="00172916">
      <w:pPr>
        <w:spacing w:line="480" w:lineRule="auto"/>
        <w:contextualSpacing/>
        <w:rPr>
          <w:color w:val="000000" w:themeColor="text1"/>
        </w:rPr>
      </w:pPr>
      <w:r w:rsidRPr="003D70B4">
        <w:t xml:space="preserve">Barbara Nevicka, </w:t>
      </w:r>
      <w:r w:rsidRPr="003D70B4">
        <w:rPr>
          <w:rStyle w:val="st1"/>
          <w:color w:val="000000" w:themeColor="text1"/>
        </w:rPr>
        <w:t xml:space="preserve">Department of Psychology, University of Amsterdam, The Netherlands; Constantine Sedikides, </w:t>
      </w:r>
      <w:r w:rsidR="00172916">
        <w:rPr>
          <w:rStyle w:val="st1"/>
          <w:color w:val="000000" w:themeColor="text1"/>
        </w:rPr>
        <w:t xml:space="preserve">Center for Research on Self and Identity, </w:t>
      </w:r>
      <w:r w:rsidRPr="003D70B4">
        <w:rPr>
          <w:rStyle w:val="st1"/>
          <w:color w:val="000000" w:themeColor="text1"/>
        </w:rPr>
        <w:t>School of Psychology, University of Southampton, United Kingdom.</w:t>
      </w:r>
      <w:r w:rsidR="00172916">
        <w:t xml:space="preserve"> </w:t>
      </w:r>
      <w:r w:rsidRPr="003D70B4">
        <w:t>Correspond</w:t>
      </w:r>
      <w:r w:rsidR="00172916">
        <w:t xml:space="preserve">ing author: </w:t>
      </w:r>
      <w:r w:rsidRPr="003D70B4">
        <w:t xml:space="preserve">Barbara Nevicka, </w:t>
      </w:r>
      <w:r w:rsidRPr="003D70B4">
        <w:rPr>
          <w:rStyle w:val="st1"/>
          <w:color w:val="000000" w:themeColor="text1"/>
        </w:rPr>
        <w:t>Work and Organizational Psychology, University of Amsterdam,</w:t>
      </w:r>
      <w:r w:rsidRPr="003D70B4">
        <w:rPr>
          <w:rStyle w:val="st1"/>
          <w:rFonts w:ascii="Arial" w:hAnsi="Arial" w:cs="Arial"/>
          <w:color w:val="000000" w:themeColor="text1"/>
        </w:rPr>
        <w:t xml:space="preserve"> </w:t>
      </w:r>
      <w:r w:rsidRPr="003D70B4">
        <w:t>P.O. Box, 15919, 1001 NK Amsterdam, The Netherlands. E-mail: B.Nevicka@uva.nl</w:t>
      </w:r>
      <w:r w:rsidRPr="003D70B4">
        <w:rPr>
          <w:color w:val="000000" w:themeColor="text1"/>
        </w:rPr>
        <w:t xml:space="preserve">. </w:t>
      </w:r>
    </w:p>
    <w:p w14:paraId="4243537B" w14:textId="77777777" w:rsidR="00E164E6" w:rsidRDefault="00E164E6" w:rsidP="004C28FB">
      <w:pPr>
        <w:spacing w:line="480" w:lineRule="auto"/>
        <w:contextualSpacing/>
      </w:pPr>
    </w:p>
    <w:p w14:paraId="10DA4A71" w14:textId="77777777" w:rsidR="00775125" w:rsidRDefault="00775125">
      <w:pPr>
        <w:rPr>
          <w:b/>
          <w:bCs/>
        </w:rPr>
      </w:pPr>
      <w:r>
        <w:rPr>
          <w:b/>
          <w:bCs/>
        </w:rPr>
        <w:br w:type="page"/>
      </w:r>
    </w:p>
    <w:p w14:paraId="0CC9034C" w14:textId="2A5EC5E2" w:rsidR="00F6313C" w:rsidRPr="00D15D0E" w:rsidRDefault="00F6313C" w:rsidP="004C28FB">
      <w:pPr>
        <w:spacing w:line="480" w:lineRule="auto"/>
        <w:jc w:val="center"/>
        <w:outlineLvl w:val="0"/>
        <w:rPr>
          <w:b/>
          <w:bCs/>
        </w:rPr>
      </w:pPr>
      <w:r w:rsidRPr="003D70B4">
        <w:rPr>
          <w:b/>
          <w:bCs/>
        </w:rPr>
        <w:lastRenderedPageBreak/>
        <w:t>Abstract</w:t>
      </w:r>
    </w:p>
    <w:p w14:paraId="16903FC5" w14:textId="51222B9B" w:rsidR="00F6313C" w:rsidRPr="00A22717" w:rsidRDefault="00A80706" w:rsidP="00705E58">
      <w:pPr>
        <w:spacing w:line="480" w:lineRule="auto"/>
      </w:pPr>
      <w:r w:rsidRPr="00A22717">
        <w:rPr>
          <w:b/>
          <w:bCs/>
        </w:rPr>
        <w:t>Introduction</w:t>
      </w:r>
      <w:r w:rsidR="00630A53" w:rsidRPr="00A22717">
        <w:rPr>
          <w:b/>
          <w:bCs/>
        </w:rPr>
        <w:t xml:space="preserve">. </w:t>
      </w:r>
      <w:r w:rsidR="00F6313C" w:rsidRPr="00A22717">
        <w:t>Narcissist</w:t>
      </w:r>
      <w:r w:rsidR="00D4170A" w:rsidRPr="00A22717">
        <w:t>ic individuals</w:t>
      </w:r>
      <w:r w:rsidR="00F6313C" w:rsidRPr="00A22717">
        <w:t xml:space="preserve"> often rise to positions of influence, but how so? Upward mobility in formal hierarchies is frequently contingent upon supervisory evaluations. </w:t>
      </w:r>
      <w:r w:rsidRPr="00A22717">
        <w:t xml:space="preserve">We examined the relation between employee narcissism and supervisor </w:t>
      </w:r>
      <w:r w:rsidR="00F10FAB" w:rsidRPr="00A22717">
        <w:t xml:space="preserve">promotability </w:t>
      </w:r>
      <w:r w:rsidRPr="00A22717">
        <w:t>ratings</w:t>
      </w:r>
      <w:r w:rsidR="00FC55F2" w:rsidRPr="00A22717">
        <w:t>,</w:t>
      </w:r>
      <w:r w:rsidRPr="00A22717">
        <w:t xml:space="preserve"> </w:t>
      </w:r>
      <w:r w:rsidR="00C76E4D" w:rsidRPr="00A22717">
        <w:t>testing</w:t>
      </w:r>
      <w:r w:rsidRPr="00A22717">
        <w:t xml:space="preserve"> predictions </w:t>
      </w:r>
      <w:r w:rsidR="00C76E4D" w:rsidRPr="00A22717">
        <w:t>from</w:t>
      </w:r>
      <w:r w:rsidRPr="00A22717">
        <w:t xml:space="preserve"> the display of power </w:t>
      </w:r>
      <w:r w:rsidR="006F6CD7" w:rsidRPr="00A22717">
        <w:t xml:space="preserve">perspective </w:t>
      </w:r>
      <w:r w:rsidR="00C76E4D" w:rsidRPr="00A22717">
        <w:t>(</w:t>
      </w:r>
      <w:r w:rsidRPr="00A22717">
        <w:t>narcissism will positively predict promotability due to</w:t>
      </w:r>
      <w:r w:rsidR="002B225C" w:rsidRPr="00A22717">
        <w:t xml:space="preserve"> higher</w:t>
      </w:r>
      <w:r w:rsidRPr="00A22717">
        <w:t xml:space="preserve"> perceived power</w:t>
      </w:r>
      <w:r w:rsidR="00C76E4D" w:rsidRPr="00A22717">
        <w:t xml:space="preserve">) and </w:t>
      </w:r>
      <w:r w:rsidRPr="00A22717">
        <w:t xml:space="preserve">impression management </w:t>
      </w:r>
      <w:r w:rsidR="006F6CD7" w:rsidRPr="00A22717">
        <w:t>perspective</w:t>
      </w:r>
      <w:r w:rsidR="006F6CD7" w:rsidRPr="00A22717" w:rsidDel="00C76E4D">
        <w:t xml:space="preserve"> </w:t>
      </w:r>
      <w:r w:rsidR="00C76E4D" w:rsidRPr="00A22717">
        <w:t>(</w:t>
      </w:r>
      <w:r w:rsidRPr="00A22717">
        <w:t>narcissism will positively predict promotability due to self-promotion</w:t>
      </w:r>
      <w:r w:rsidR="00C76E4D" w:rsidRPr="00A22717">
        <w:t>)</w:t>
      </w:r>
      <w:r w:rsidRPr="00A22717">
        <w:t>.</w:t>
      </w:r>
      <w:r w:rsidR="00630A53" w:rsidRPr="00A22717">
        <w:t xml:space="preserve"> </w:t>
      </w:r>
      <w:r w:rsidRPr="00A22717">
        <w:rPr>
          <w:b/>
          <w:bCs/>
        </w:rPr>
        <w:t>Method</w:t>
      </w:r>
      <w:r w:rsidR="00630A53" w:rsidRPr="00A22717">
        <w:rPr>
          <w:b/>
          <w:bCs/>
        </w:rPr>
        <w:t xml:space="preserve">. </w:t>
      </w:r>
      <w:r w:rsidR="00F10FAB" w:rsidRPr="00A22717">
        <w:t xml:space="preserve">In </w:t>
      </w:r>
      <w:r w:rsidR="00F6313C" w:rsidRPr="00A22717">
        <w:t>two multi-source studies</w:t>
      </w:r>
      <w:r w:rsidR="008E7EE9" w:rsidRPr="00A22717">
        <w:t xml:space="preserve"> </w:t>
      </w:r>
      <w:r w:rsidR="00F6313C" w:rsidRPr="00A22717">
        <w:t>involv</w:t>
      </w:r>
      <w:r w:rsidR="00F10FAB" w:rsidRPr="00A22717">
        <w:t>ing</w:t>
      </w:r>
      <w:r w:rsidR="00F6313C" w:rsidRPr="00A22717">
        <w:t xml:space="preserve"> employees and their supervisors</w:t>
      </w:r>
      <w:r w:rsidRPr="00A22717">
        <w:t xml:space="preserve"> from diverse organizations</w:t>
      </w:r>
      <w:r w:rsidR="00F6313C" w:rsidRPr="00A22717">
        <w:t xml:space="preserve"> (S1: </w:t>
      </w:r>
      <w:r w:rsidR="00F6313C" w:rsidRPr="00A22717">
        <w:rPr>
          <w:i/>
          <w:iCs/>
        </w:rPr>
        <w:t>N</w:t>
      </w:r>
      <w:r w:rsidR="00F6313C" w:rsidRPr="00A22717">
        <w:rPr>
          <w:vertAlign w:val="subscript"/>
        </w:rPr>
        <w:t>employees</w:t>
      </w:r>
      <w:r w:rsidR="00F6313C" w:rsidRPr="00A22717">
        <w:t>=166</w:t>
      </w:r>
      <w:r w:rsidR="00A04B8B" w:rsidRPr="00A22717">
        <w:t xml:space="preserve">; </w:t>
      </w:r>
      <w:r w:rsidR="00A04B8B" w:rsidRPr="00A22717">
        <w:rPr>
          <w:i/>
          <w:iCs/>
        </w:rPr>
        <w:t>N</w:t>
      </w:r>
      <w:r w:rsidR="00A04B8B" w:rsidRPr="00A22717">
        <w:rPr>
          <w:vertAlign w:val="subscript"/>
        </w:rPr>
        <w:t>supervisors</w:t>
      </w:r>
      <w:r w:rsidR="00A04B8B" w:rsidRPr="00A22717">
        <w:t>=93</w:t>
      </w:r>
      <w:r w:rsidR="00F6313C" w:rsidRPr="00A22717">
        <w:t xml:space="preserve">; S2: </w:t>
      </w:r>
      <w:r w:rsidR="00F6313C" w:rsidRPr="00A22717">
        <w:rPr>
          <w:i/>
          <w:iCs/>
        </w:rPr>
        <w:t>N</w:t>
      </w:r>
      <w:r w:rsidR="00F6313C" w:rsidRPr="00A22717">
        <w:rPr>
          <w:vertAlign w:val="subscript"/>
        </w:rPr>
        <w:t>employees</w:t>
      </w:r>
      <w:r w:rsidR="00F6313C" w:rsidRPr="00A22717">
        <w:t>=128</w:t>
      </w:r>
      <w:r w:rsidR="00A04B8B" w:rsidRPr="00A22717">
        <w:t xml:space="preserve">; </w:t>
      </w:r>
      <w:r w:rsidR="00A04B8B" w:rsidRPr="00A22717">
        <w:rPr>
          <w:i/>
          <w:iCs/>
        </w:rPr>
        <w:t>N</w:t>
      </w:r>
      <w:r w:rsidR="00A04B8B" w:rsidRPr="00A22717">
        <w:rPr>
          <w:vertAlign w:val="subscript"/>
        </w:rPr>
        <w:t>supervisors</w:t>
      </w:r>
      <w:r w:rsidR="00A04B8B" w:rsidRPr="00A22717">
        <w:t>=85</w:t>
      </w:r>
      <w:r w:rsidR="00F6313C" w:rsidRPr="00A22717">
        <w:t>),</w:t>
      </w:r>
      <w:r w:rsidRPr="00A22717">
        <w:t xml:space="preserve"> we measured employee narcissism (S1</w:t>
      </w:r>
      <w:r w:rsidR="00C76E4D" w:rsidRPr="00A22717">
        <w:t>,</w:t>
      </w:r>
      <w:r w:rsidRPr="00A22717">
        <w:t xml:space="preserve"> S2), employee sense of power, employee impression management tactics towards the supervisor (S2)</w:t>
      </w:r>
      <w:r w:rsidR="00116D44" w:rsidRPr="00A22717">
        <w:t>,</w:t>
      </w:r>
      <w:r w:rsidRPr="00A22717">
        <w:t xml:space="preserve"> and employee promotability as rated by supervisor</w:t>
      </w:r>
      <w:r w:rsidR="00D333BF" w:rsidRPr="00A22717">
        <w:t>s</w:t>
      </w:r>
      <w:r w:rsidRPr="00A22717">
        <w:t xml:space="preserve"> (S1</w:t>
      </w:r>
      <w:r w:rsidR="00D4170A" w:rsidRPr="00A22717">
        <w:t>-</w:t>
      </w:r>
      <w:r w:rsidRPr="00A22717">
        <w:t>S2).</w:t>
      </w:r>
      <w:r w:rsidR="005204B4" w:rsidRPr="00A22717">
        <w:t xml:space="preserve"> </w:t>
      </w:r>
      <w:r w:rsidR="00BB2D8D" w:rsidRPr="00A22717">
        <w:t>Further, in a</w:t>
      </w:r>
      <w:r w:rsidRPr="00A22717">
        <w:t>n</w:t>
      </w:r>
      <w:r w:rsidR="005204B4" w:rsidRPr="00A22717">
        <w:t xml:space="preserve"> experiment (S3: </w:t>
      </w:r>
      <w:r w:rsidR="005204B4" w:rsidRPr="00A22717">
        <w:rPr>
          <w:i/>
          <w:iCs/>
        </w:rPr>
        <w:t>N</w:t>
      </w:r>
      <w:r w:rsidR="005204B4" w:rsidRPr="00A22717">
        <w:t>=181)</w:t>
      </w:r>
      <w:r w:rsidR="00BB2D8D" w:rsidRPr="00A22717">
        <w:t>, we</w:t>
      </w:r>
      <w:r w:rsidRPr="00A22717">
        <w:t xml:space="preserve"> test</w:t>
      </w:r>
      <w:r w:rsidR="00BB2D8D" w:rsidRPr="00A22717">
        <w:t>ed</w:t>
      </w:r>
      <w:r w:rsidRPr="00A22717">
        <w:t xml:space="preserve"> the causal effect of </w:t>
      </w:r>
      <w:r w:rsidR="00BB2D8D" w:rsidRPr="00A22717">
        <w:t xml:space="preserve">employee </w:t>
      </w:r>
      <w:r w:rsidR="001F6FC8" w:rsidRPr="00A22717">
        <w:t xml:space="preserve">sense </w:t>
      </w:r>
      <w:r w:rsidR="00FE31B6" w:rsidRPr="00A22717">
        <w:t>of</w:t>
      </w:r>
      <w:r w:rsidR="00BB2D8D" w:rsidRPr="00A22717">
        <w:t xml:space="preserve"> power</w:t>
      </w:r>
      <w:r w:rsidRPr="00A22717">
        <w:t xml:space="preserve"> on promotability.</w:t>
      </w:r>
      <w:r w:rsidR="00F6313C" w:rsidRPr="00A22717">
        <w:t xml:space="preserve"> </w:t>
      </w:r>
      <w:r w:rsidRPr="00A22717">
        <w:rPr>
          <w:b/>
          <w:bCs/>
        </w:rPr>
        <w:t>Results</w:t>
      </w:r>
      <w:r w:rsidR="00630A53" w:rsidRPr="00A22717">
        <w:rPr>
          <w:b/>
          <w:bCs/>
        </w:rPr>
        <w:t xml:space="preserve">. </w:t>
      </w:r>
      <w:r w:rsidR="00F6313C" w:rsidRPr="00A22717">
        <w:t>Results favored the display of power perspective</w:t>
      </w:r>
      <w:r w:rsidRPr="00A22717">
        <w:t xml:space="preserve">. </w:t>
      </w:r>
      <w:r w:rsidR="00BB2D8D" w:rsidRPr="00A22717">
        <w:t>Althou</w:t>
      </w:r>
      <w:r w:rsidR="00630A53" w:rsidRPr="00A22717">
        <w:t>g</w:t>
      </w:r>
      <w:r w:rsidR="00BB2D8D" w:rsidRPr="00A22717">
        <w:t>h</w:t>
      </w:r>
      <w:r w:rsidRPr="00A22717">
        <w:t xml:space="preserve"> narcissism predicted both</w:t>
      </w:r>
      <w:r w:rsidR="00417A6C" w:rsidRPr="00A22717">
        <w:t xml:space="preserve"> higher</w:t>
      </w:r>
      <w:r w:rsidRPr="00A22717">
        <w:t xml:space="preserve"> </w:t>
      </w:r>
      <w:r w:rsidR="00417A6C" w:rsidRPr="00A22717">
        <w:t xml:space="preserve">self-promotion toward the supervisor and greater sense of power, it was the latter </w:t>
      </w:r>
      <w:r w:rsidR="00C11682" w:rsidRPr="00A22717">
        <w:t>that explained</w:t>
      </w:r>
      <w:r w:rsidR="00417A6C" w:rsidRPr="00A22717">
        <w:t xml:space="preserve"> the positive </w:t>
      </w:r>
      <w:r w:rsidR="00611EF5" w:rsidRPr="00A22717">
        <w:t>relation</w:t>
      </w:r>
      <w:r w:rsidR="00417A6C" w:rsidRPr="00A22717">
        <w:t xml:space="preserve"> between e</w:t>
      </w:r>
      <w:r w:rsidRPr="00A22717">
        <w:t xml:space="preserve">mployee narcissism </w:t>
      </w:r>
      <w:r w:rsidR="00417A6C" w:rsidRPr="00A22717">
        <w:t>and</w:t>
      </w:r>
      <w:r w:rsidRPr="00A22717">
        <w:t xml:space="preserve"> promotability ratings</w:t>
      </w:r>
      <w:r w:rsidR="00417A6C" w:rsidRPr="00A22717">
        <w:t>.</w:t>
      </w:r>
      <w:r w:rsidR="00F6313C" w:rsidRPr="00A22717">
        <w:t xml:space="preserve"> </w:t>
      </w:r>
      <w:r w:rsidRPr="00A22717">
        <w:rPr>
          <w:b/>
          <w:bCs/>
        </w:rPr>
        <w:t>Conclusion</w:t>
      </w:r>
      <w:r w:rsidR="00630A53" w:rsidRPr="00A22717">
        <w:rPr>
          <w:b/>
          <w:bCs/>
        </w:rPr>
        <w:t xml:space="preserve">. </w:t>
      </w:r>
      <w:r w:rsidR="00691F25" w:rsidRPr="00A22717">
        <w:rPr>
          <w:bCs/>
        </w:rPr>
        <w:t xml:space="preserve">Employees </w:t>
      </w:r>
      <w:r w:rsidR="008E7EE9" w:rsidRPr="00A22717">
        <w:rPr>
          <w:bCs/>
        </w:rPr>
        <w:t>high on</w:t>
      </w:r>
      <w:r w:rsidR="00417A6C" w:rsidRPr="00A22717">
        <w:rPr>
          <w:bCs/>
        </w:rPr>
        <w:t xml:space="preserve"> narcissis</w:t>
      </w:r>
      <w:r w:rsidR="008E7EE9" w:rsidRPr="00A22717">
        <w:rPr>
          <w:bCs/>
        </w:rPr>
        <w:t>m</w:t>
      </w:r>
      <w:r w:rsidR="00417A6C" w:rsidRPr="00A22717">
        <w:rPr>
          <w:bCs/>
        </w:rPr>
        <w:t xml:space="preserve"> act as if they have more power in organization</w:t>
      </w:r>
      <w:r w:rsidR="00691F25" w:rsidRPr="00A22717">
        <w:rPr>
          <w:bCs/>
        </w:rPr>
        <w:t>s</w:t>
      </w:r>
      <w:r w:rsidR="00417A6C" w:rsidRPr="00A22717">
        <w:rPr>
          <w:bCs/>
        </w:rPr>
        <w:t xml:space="preserve"> and thus demonstrate behavior that would be expected in higher-level </w:t>
      </w:r>
      <w:r w:rsidR="00C76E4D" w:rsidRPr="00A22717">
        <w:rPr>
          <w:bCs/>
        </w:rPr>
        <w:t>positions</w:t>
      </w:r>
      <w:r w:rsidR="00417A6C" w:rsidRPr="00A22717">
        <w:rPr>
          <w:bCs/>
        </w:rPr>
        <w:t xml:space="preserve">. </w:t>
      </w:r>
      <w:r w:rsidR="00417A6C" w:rsidRPr="00A22717">
        <w:t>The findings help to explain narcissist</w:t>
      </w:r>
      <w:r w:rsidR="00B6653E" w:rsidRPr="00A22717">
        <w:t>ic individuals’</w:t>
      </w:r>
      <w:r w:rsidR="00417A6C" w:rsidRPr="00A22717">
        <w:t xml:space="preserve"> rise through the ranks.</w:t>
      </w:r>
    </w:p>
    <w:p w14:paraId="36EB3525" w14:textId="77777777" w:rsidR="00F6313C" w:rsidRPr="003D70B4" w:rsidRDefault="00F6313C" w:rsidP="004C28FB">
      <w:pPr>
        <w:spacing w:line="480" w:lineRule="auto"/>
      </w:pPr>
      <w:r w:rsidRPr="00A22717">
        <w:tab/>
      </w:r>
      <w:r w:rsidRPr="00A22717">
        <w:rPr>
          <w:i/>
        </w:rPr>
        <w:t>Keywords</w:t>
      </w:r>
      <w:r w:rsidRPr="00A22717">
        <w:t>: narcissism, promotability, impression management, power</w:t>
      </w:r>
    </w:p>
    <w:p w14:paraId="181BAC2C" w14:textId="2C8818F0" w:rsidR="00BC25D0" w:rsidRPr="003D70B4" w:rsidRDefault="00BC25D0" w:rsidP="004C28FB">
      <w:pPr>
        <w:spacing w:line="480" w:lineRule="auto"/>
        <w:rPr>
          <w:i/>
        </w:rPr>
      </w:pPr>
      <w:r w:rsidRPr="003D70B4">
        <w:br w:type="page"/>
      </w:r>
    </w:p>
    <w:p w14:paraId="2B166BDB" w14:textId="766A5E3F" w:rsidR="0029743D" w:rsidRPr="003D70B4" w:rsidRDefault="0029743D" w:rsidP="004C28FB">
      <w:pPr>
        <w:spacing w:line="480" w:lineRule="auto"/>
        <w:contextualSpacing/>
        <w:rPr>
          <w:i/>
        </w:rPr>
      </w:pPr>
      <w:r w:rsidRPr="003D70B4">
        <w:rPr>
          <w:i/>
        </w:rPr>
        <w:lastRenderedPageBreak/>
        <w:t>"If it looks like a duck, swims like a duck, and quacks like a duck, then it probably is a duck."</w:t>
      </w:r>
    </w:p>
    <w:p w14:paraId="5B156789" w14:textId="26EFB6D2" w:rsidR="00D51548" w:rsidRPr="003D70B4" w:rsidRDefault="0029743D" w:rsidP="000C44A8">
      <w:pPr>
        <w:spacing w:line="480" w:lineRule="auto"/>
        <w:contextualSpacing/>
      </w:pPr>
      <w:r w:rsidRPr="003D70B4">
        <w:tab/>
        <w:t xml:space="preserve">This idiom </w:t>
      </w:r>
      <w:r w:rsidR="0060732C" w:rsidRPr="003D70B4">
        <w:t xml:space="preserve">is an example of deductive reasoning that </w:t>
      </w:r>
      <w:r w:rsidR="00E91A2C" w:rsidRPr="003D70B4">
        <w:t xml:space="preserve">people </w:t>
      </w:r>
      <w:r w:rsidR="0060732C" w:rsidRPr="003D70B4">
        <w:t xml:space="preserve">often </w:t>
      </w:r>
      <w:r w:rsidR="001A731F" w:rsidRPr="003D70B4">
        <w:t>use</w:t>
      </w:r>
      <w:r w:rsidR="005A4CA1" w:rsidRPr="003D70B4">
        <w:t xml:space="preserve"> when making categorizations:</w:t>
      </w:r>
      <w:r w:rsidR="0060732C" w:rsidRPr="003D70B4">
        <w:t xml:space="preserve"> </w:t>
      </w:r>
      <w:r w:rsidR="005A4CA1" w:rsidRPr="003D70B4">
        <w:t>If</w:t>
      </w:r>
      <w:r w:rsidR="0060732C" w:rsidRPr="003D70B4">
        <w:t xml:space="preserve"> something has distinguishing features of a particular category</w:t>
      </w:r>
      <w:r w:rsidR="00E91A2C" w:rsidRPr="003D70B4">
        <w:t>, they</w:t>
      </w:r>
      <w:r w:rsidR="0091638E" w:rsidRPr="003D70B4">
        <w:t xml:space="preserve"> assume </w:t>
      </w:r>
      <w:r w:rsidR="00CF0212" w:rsidRPr="003D70B4">
        <w:t>it to be an</w:t>
      </w:r>
      <w:r w:rsidR="0060732C" w:rsidRPr="003D70B4">
        <w:t xml:space="preserve"> instance of that category.</w:t>
      </w:r>
      <w:r w:rsidR="002C751A" w:rsidRPr="003D70B4">
        <w:t xml:space="preserve"> </w:t>
      </w:r>
      <w:r w:rsidR="00E91A2C" w:rsidRPr="003D70B4">
        <w:t xml:space="preserve">People </w:t>
      </w:r>
      <w:r w:rsidR="00A5699A" w:rsidRPr="003D70B4">
        <w:t xml:space="preserve">apply </w:t>
      </w:r>
      <w:r w:rsidR="00ED4B93" w:rsidRPr="003D70B4">
        <w:t>similar</w:t>
      </w:r>
      <w:r w:rsidR="00A5699A" w:rsidRPr="003D70B4">
        <w:t xml:space="preserve"> reasoning when deciding who should </w:t>
      </w:r>
      <w:r w:rsidR="004B20DA" w:rsidRPr="003D70B4">
        <w:t xml:space="preserve">be elevated to positions of influence </w:t>
      </w:r>
      <w:r w:rsidR="00F26A13" w:rsidRPr="003D70B4">
        <w:t xml:space="preserve">(Lord </w:t>
      </w:r>
      <w:r w:rsidR="00EA7EEA" w:rsidRPr="003D70B4">
        <w:t>et al.</w:t>
      </w:r>
      <w:r w:rsidR="00F26A13" w:rsidRPr="003D70B4">
        <w:t>, 1984</w:t>
      </w:r>
      <w:r w:rsidR="00AA15BB" w:rsidRPr="003D70B4">
        <w:t>)</w:t>
      </w:r>
      <w:r w:rsidR="004B20DA" w:rsidRPr="003D70B4">
        <w:t>.</w:t>
      </w:r>
      <w:r w:rsidR="002C751A" w:rsidRPr="003D70B4">
        <w:t xml:space="preserve"> </w:t>
      </w:r>
      <w:r w:rsidR="004B20DA" w:rsidRPr="003D70B4">
        <w:t>I</w:t>
      </w:r>
      <w:r w:rsidR="002C751A" w:rsidRPr="003D70B4">
        <w:t xml:space="preserve">f </w:t>
      </w:r>
      <w:r w:rsidR="005A4CA1" w:rsidRPr="003D70B4">
        <w:t>someone</w:t>
      </w:r>
      <w:r w:rsidR="002C751A" w:rsidRPr="003D70B4">
        <w:t xml:space="preserve"> </w:t>
      </w:r>
      <w:r w:rsidR="005A4CA1" w:rsidRPr="003D70B4">
        <w:t>exhibits</w:t>
      </w:r>
      <w:r w:rsidR="002C751A" w:rsidRPr="003D70B4">
        <w:t xml:space="preserve"> prototypical</w:t>
      </w:r>
      <w:r w:rsidR="001A15B6" w:rsidRPr="003D70B4">
        <w:t xml:space="preserve"> </w:t>
      </w:r>
      <w:r w:rsidR="002C751A" w:rsidRPr="003D70B4">
        <w:t>characteristics</w:t>
      </w:r>
      <w:r w:rsidR="004B20DA" w:rsidRPr="003D70B4">
        <w:t xml:space="preserve"> expected of those in a high</w:t>
      </w:r>
      <w:r w:rsidR="0046730A" w:rsidRPr="003D70B4">
        <w:t>-influence</w:t>
      </w:r>
      <w:r w:rsidR="004B20DA" w:rsidRPr="003D70B4">
        <w:t xml:space="preserve"> position</w:t>
      </w:r>
      <w:r w:rsidR="002C751A" w:rsidRPr="003D70B4">
        <w:t>, such as confidence, dominance, extraversion</w:t>
      </w:r>
      <w:r w:rsidR="00E91A2C" w:rsidRPr="003D70B4">
        <w:t>,</w:t>
      </w:r>
      <w:r w:rsidR="002C751A" w:rsidRPr="003D70B4">
        <w:t xml:space="preserve"> and self-efficacy</w:t>
      </w:r>
      <w:r w:rsidR="00D91023" w:rsidRPr="003D70B4">
        <w:t xml:space="preserve"> (Judge </w:t>
      </w:r>
      <w:r w:rsidR="00EA7EEA" w:rsidRPr="003D70B4">
        <w:t>et al.,</w:t>
      </w:r>
      <w:r w:rsidR="00D91023" w:rsidRPr="003D70B4">
        <w:t xml:space="preserve"> 2002)</w:t>
      </w:r>
      <w:r w:rsidR="002C751A" w:rsidRPr="003D70B4">
        <w:t xml:space="preserve">, </w:t>
      </w:r>
      <w:r w:rsidR="004B20DA" w:rsidRPr="003D70B4">
        <w:t>this person is more likely to be chosen for such a position</w:t>
      </w:r>
      <w:r w:rsidR="002C751A" w:rsidRPr="003D70B4">
        <w:t>.</w:t>
      </w:r>
      <w:r w:rsidR="00255218" w:rsidRPr="003D70B4">
        <w:t xml:space="preserve"> This</w:t>
      </w:r>
      <w:r w:rsidR="0046730A" w:rsidRPr="003D70B4">
        <w:t xml:space="preserve"> practice</w:t>
      </w:r>
      <w:r w:rsidR="00255218" w:rsidRPr="003D70B4">
        <w:t xml:space="preserve"> may explain why </w:t>
      </w:r>
      <w:r w:rsidR="00D41090">
        <w:t xml:space="preserve">individuals scoring higher on the </w:t>
      </w:r>
      <w:r w:rsidR="002C22BE" w:rsidRPr="003D70B4">
        <w:t>agentic</w:t>
      </w:r>
      <w:r w:rsidR="00D41090">
        <w:t>/</w:t>
      </w:r>
      <w:r w:rsidR="002C22BE" w:rsidRPr="003D70B4">
        <w:t xml:space="preserve">grandiose </w:t>
      </w:r>
      <w:r w:rsidR="00D41090">
        <w:t>narcissism</w:t>
      </w:r>
      <w:r w:rsidR="005A4195">
        <w:t xml:space="preserve"> </w:t>
      </w:r>
      <w:r w:rsidR="002374EF">
        <w:t>spectrum</w:t>
      </w:r>
      <w:r w:rsidR="00147DED">
        <w:t xml:space="preserve"> </w:t>
      </w:r>
      <w:r w:rsidR="00147DED" w:rsidRPr="002374EF">
        <w:t>(Asl</w:t>
      </w:r>
      <w:r w:rsidR="00147DED" w:rsidRPr="0086580A">
        <w:t>inger et al., 2018; Foster &amp; Campbell, 2007)</w:t>
      </w:r>
      <w:r w:rsidR="00255218" w:rsidRPr="00D15D0E">
        <w:sym w:font="Symbol" w:char="F0BE"/>
      </w:r>
      <w:r w:rsidR="002374EF">
        <w:t>those</w:t>
      </w:r>
      <w:r w:rsidR="002374EF" w:rsidRPr="00D15D0E">
        <w:t xml:space="preserve"> </w:t>
      </w:r>
      <w:r w:rsidR="00487DDF" w:rsidRPr="00D15D0E">
        <w:t xml:space="preserve">with an </w:t>
      </w:r>
      <w:r w:rsidR="006F4F2F" w:rsidRPr="0041230A">
        <w:t>unduly</w:t>
      </w:r>
      <w:r w:rsidR="00E441C6" w:rsidRPr="0041230A">
        <w:t xml:space="preserve"> and highly exaggerated</w:t>
      </w:r>
      <w:r w:rsidR="00487DDF" w:rsidRPr="0041230A">
        <w:t xml:space="preserve"> self-image</w:t>
      </w:r>
      <w:r w:rsidR="005A4CA1" w:rsidRPr="00AD6A74">
        <w:t xml:space="preserve"> who exude</w:t>
      </w:r>
      <w:r w:rsidR="006F4F2F" w:rsidRPr="00AD6A74">
        <w:t xml:space="preserve"> the abovementioned characteristics</w:t>
      </w:r>
      <w:r w:rsidR="00255218" w:rsidRPr="00D15D0E">
        <w:sym w:font="Symbol" w:char="F0BE"/>
      </w:r>
      <w:r w:rsidR="0044003C" w:rsidRPr="00D15D0E">
        <w:t xml:space="preserve"> </w:t>
      </w:r>
      <w:r w:rsidR="004B20DA" w:rsidRPr="0041230A">
        <w:t xml:space="preserve">are </w:t>
      </w:r>
      <w:r w:rsidR="00DF027B" w:rsidRPr="0041230A">
        <w:t xml:space="preserve">often </w:t>
      </w:r>
      <w:r w:rsidR="004B20DA" w:rsidRPr="0041230A">
        <w:t xml:space="preserve">found at upper echelons of </w:t>
      </w:r>
      <w:r w:rsidR="0046730A" w:rsidRPr="00AD6A74">
        <w:t xml:space="preserve">organizations </w:t>
      </w:r>
      <w:r w:rsidR="0044003C" w:rsidRPr="00AD6A74">
        <w:t>(</w:t>
      </w:r>
      <w:r w:rsidR="004D35C5">
        <w:t xml:space="preserve">Sedikides &amp; Campbell, 2017; </w:t>
      </w:r>
      <w:r w:rsidR="00DF027B" w:rsidRPr="00076E4A">
        <w:t xml:space="preserve">Watts et al., </w:t>
      </w:r>
      <w:r w:rsidR="002C28E1" w:rsidRPr="007E74C2">
        <w:t>2013</w:t>
      </w:r>
      <w:r w:rsidR="0044003C" w:rsidRPr="007E74C2">
        <w:t xml:space="preserve">). </w:t>
      </w:r>
      <w:r w:rsidR="003B0D93" w:rsidRPr="008E3958">
        <w:t>Unfortunately</w:t>
      </w:r>
      <w:r w:rsidR="0044003C" w:rsidRPr="003D57C7">
        <w:t xml:space="preserve">, </w:t>
      </w:r>
      <w:r w:rsidR="00D30B33" w:rsidRPr="003D57C7">
        <w:t>narcissist</w:t>
      </w:r>
      <w:r w:rsidR="00355AE6">
        <w:t>ic individuals</w:t>
      </w:r>
      <w:r w:rsidR="006F4F2F" w:rsidRPr="003D57C7">
        <w:t xml:space="preserve"> also</w:t>
      </w:r>
      <w:r w:rsidR="00D30B33" w:rsidRPr="00495C0B">
        <w:t xml:space="preserve"> </w:t>
      </w:r>
      <w:r w:rsidR="0044003C" w:rsidRPr="005160C6">
        <w:t xml:space="preserve">possess </w:t>
      </w:r>
      <w:r w:rsidR="001A15B6" w:rsidRPr="003D70B4">
        <w:t>undesirable</w:t>
      </w:r>
      <w:r w:rsidR="0044003C" w:rsidRPr="003D70B4">
        <w:t xml:space="preserve"> </w:t>
      </w:r>
      <w:r w:rsidR="006F4F2F" w:rsidRPr="003D70B4">
        <w:t>attributes, such as</w:t>
      </w:r>
      <w:r w:rsidR="0044003C" w:rsidRPr="003D70B4">
        <w:t xml:space="preserve"> exploitativeness, lack of empathy, </w:t>
      </w:r>
      <w:r w:rsidR="00E441C6" w:rsidRPr="003D70B4">
        <w:t xml:space="preserve">aggression toward critics, and </w:t>
      </w:r>
      <w:r w:rsidR="0044003C" w:rsidRPr="003D70B4">
        <w:t>disregard of expert advice (</w:t>
      </w:r>
      <w:r w:rsidR="002E03BB">
        <w:t>Sedikides, 202</w:t>
      </w:r>
      <w:r w:rsidR="000C44A8">
        <w:t>1</w:t>
      </w:r>
      <w:r w:rsidR="002E03BB">
        <w:t xml:space="preserve">; </w:t>
      </w:r>
      <w:r w:rsidR="007C74B6" w:rsidRPr="003D70B4">
        <w:t xml:space="preserve">Thomaes </w:t>
      </w:r>
      <w:r w:rsidR="00EA7EEA" w:rsidRPr="003D70B4">
        <w:t xml:space="preserve">et al., </w:t>
      </w:r>
      <w:r w:rsidR="00105BED" w:rsidRPr="003D70B4">
        <w:t>201</w:t>
      </w:r>
      <w:r w:rsidR="007C74B6" w:rsidRPr="003D70B4">
        <w:t>8</w:t>
      </w:r>
      <w:r w:rsidR="00D30B33" w:rsidRPr="003D70B4">
        <w:t xml:space="preserve">). </w:t>
      </w:r>
      <w:r w:rsidR="00355AE6">
        <w:t>Their</w:t>
      </w:r>
      <w:r w:rsidR="00355AE6" w:rsidRPr="003D70B4">
        <w:t xml:space="preserve"> </w:t>
      </w:r>
      <w:r w:rsidR="00AB729D" w:rsidRPr="003D70B4">
        <w:t xml:space="preserve">rise </w:t>
      </w:r>
      <w:r w:rsidR="00D30B33" w:rsidRPr="003D70B4">
        <w:t xml:space="preserve">to </w:t>
      </w:r>
      <w:r w:rsidR="0046730A" w:rsidRPr="003D70B4">
        <w:t xml:space="preserve">influential </w:t>
      </w:r>
      <w:r w:rsidR="00D30B33" w:rsidRPr="003D70B4">
        <w:t xml:space="preserve">positions can </w:t>
      </w:r>
      <w:r w:rsidR="00BC6F07" w:rsidRPr="003D70B4">
        <w:t>thus</w:t>
      </w:r>
      <w:r w:rsidR="00D30B33" w:rsidRPr="003D70B4">
        <w:t xml:space="preserve"> pose problem</w:t>
      </w:r>
      <w:r w:rsidR="001A15B6" w:rsidRPr="003D70B4">
        <w:t>s</w:t>
      </w:r>
      <w:r w:rsidR="00D30B33" w:rsidRPr="003D70B4">
        <w:t xml:space="preserve"> </w:t>
      </w:r>
      <w:r w:rsidR="009B0D49" w:rsidRPr="003D70B4">
        <w:t>for</w:t>
      </w:r>
      <w:r w:rsidR="0044003C" w:rsidRPr="003D70B4">
        <w:t xml:space="preserve"> </w:t>
      </w:r>
      <w:r w:rsidR="00BC6F07" w:rsidRPr="003D70B4">
        <w:t>employees</w:t>
      </w:r>
      <w:r w:rsidR="009B0D49" w:rsidRPr="003D70B4">
        <w:t>, organizations</w:t>
      </w:r>
      <w:r w:rsidR="0060489E" w:rsidRPr="003D70B4">
        <w:t>,</w:t>
      </w:r>
      <w:r w:rsidR="009B0D49" w:rsidRPr="003D70B4">
        <w:t xml:space="preserve"> and society at large</w:t>
      </w:r>
      <w:r w:rsidR="0044003C" w:rsidRPr="003D70B4">
        <w:t xml:space="preserve">. </w:t>
      </w:r>
      <w:r w:rsidR="00D451AE" w:rsidRPr="003D70B4">
        <w:t>I</w:t>
      </w:r>
      <w:r w:rsidR="0044003C" w:rsidRPr="003D70B4">
        <w:t>t is critical</w:t>
      </w:r>
      <w:r w:rsidR="00D451AE" w:rsidRPr="003D70B4">
        <w:t>, then,</w:t>
      </w:r>
      <w:r w:rsidR="0044003C" w:rsidRPr="003D70B4">
        <w:t xml:space="preserve"> to understand </w:t>
      </w:r>
      <w:r w:rsidR="0044003C" w:rsidRPr="003D70B4">
        <w:rPr>
          <w:i/>
        </w:rPr>
        <w:t>how</w:t>
      </w:r>
      <w:r w:rsidR="0044003C" w:rsidRPr="003D70B4">
        <w:t xml:space="preserve"> </w:t>
      </w:r>
      <w:r w:rsidR="00355AE6">
        <w:t>narcissistic individuals</w:t>
      </w:r>
      <w:r w:rsidR="00355AE6" w:rsidRPr="003D70B4">
        <w:t xml:space="preserve"> </w:t>
      </w:r>
      <w:r w:rsidR="00A04B8B" w:rsidRPr="003D70B4">
        <w:t xml:space="preserve">may </w:t>
      </w:r>
      <w:r w:rsidR="00AB729D" w:rsidRPr="003D70B4">
        <w:t>ascend formal hierarchies</w:t>
      </w:r>
      <w:r w:rsidR="0044003C" w:rsidRPr="003D70B4">
        <w:t>.</w:t>
      </w:r>
    </w:p>
    <w:p w14:paraId="1729AFD3" w14:textId="250D0E7E" w:rsidR="00D51548" w:rsidRPr="003D70B4" w:rsidRDefault="00D51548" w:rsidP="004C28FB">
      <w:pPr>
        <w:spacing w:line="480" w:lineRule="auto"/>
        <w:contextualSpacing/>
        <w:rPr>
          <w:b/>
        </w:rPr>
      </w:pPr>
      <w:r w:rsidRPr="003D70B4">
        <w:rPr>
          <w:b/>
        </w:rPr>
        <w:t>Evaluations of Narcissist</w:t>
      </w:r>
      <w:r w:rsidR="00AA25CC" w:rsidRPr="003D70B4">
        <w:rPr>
          <w:b/>
        </w:rPr>
        <w:t>ic Employee</w:t>
      </w:r>
      <w:r w:rsidRPr="003D70B4">
        <w:rPr>
          <w:b/>
        </w:rPr>
        <w:t>s</w:t>
      </w:r>
    </w:p>
    <w:p w14:paraId="63B49714" w14:textId="55456423" w:rsidR="00E77362" w:rsidRPr="003D70B4" w:rsidRDefault="00C75B3A" w:rsidP="000C44A8">
      <w:pPr>
        <w:spacing w:line="480" w:lineRule="auto"/>
        <w:contextualSpacing/>
      </w:pPr>
      <w:r w:rsidRPr="003D70B4">
        <w:tab/>
      </w:r>
      <w:r w:rsidR="00E876DB" w:rsidRPr="003D70B4">
        <w:t>N</w:t>
      </w:r>
      <w:r w:rsidR="004B20DA" w:rsidRPr="003D70B4">
        <w:t>arcissist</w:t>
      </w:r>
      <w:r w:rsidR="00355AE6">
        <w:t>ic individuals</w:t>
      </w:r>
      <w:r w:rsidR="004B20DA" w:rsidRPr="003D70B4">
        <w:t xml:space="preserve"> </w:t>
      </w:r>
      <w:r w:rsidR="00EA0DFC" w:rsidRPr="003D70B4">
        <w:t>are strongly characteri</w:t>
      </w:r>
      <w:r w:rsidR="00EA3D4B" w:rsidRPr="003D70B4">
        <w:t>z</w:t>
      </w:r>
      <w:r w:rsidR="00EA0DFC" w:rsidRPr="003D70B4">
        <w:t xml:space="preserve">ed by motives for </w:t>
      </w:r>
      <w:r w:rsidR="004B20DA" w:rsidRPr="003D70B4">
        <w:t>status and power</w:t>
      </w:r>
      <w:r w:rsidR="00992C4A" w:rsidRPr="003D70B4">
        <w:t>,</w:t>
      </w:r>
      <w:r w:rsidR="004B20DA" w:rsidRPr="003D70B4">
        <w:t xml:space="preserve"> and</w:t>
      </w:r>
      <w:r w:rsidR="00992C4A" w:rsidRPr="003D70B4">
        <w:t xml:space="preserve"> so </w:t>
      </w:r>
      <w:r w:rsidR="004B20DA" w:rsidRPr="003D70B4">
        <w:t xml:space="preserve">are attracted to hierarchies </w:t>
      </w:r>
      <w:r w:rsidR="00EA0DFC" w:rsidRPr="003D70B4">
        <w:t xml:space="preserve">that </w:t>
      </w:r>
      <w:r w:rsidR="004B20DA" w:rsidRPr="003D70B4">
        <w:t xml:space="preserve">offer them such opportunities and </w:t>
      </w:r>
      <w:r w:rsidR="00EA0DFC" w:rsidRPr="003D70B4">
        <w:t xml:space="preserve">that </w:t>
      </w:r>
      <w:r w:rsidR="004B20DA" w:rsidRPr="003D70B4">
        <w:t xml:space="preserve">they feel confident </w:t>
      </w:r>
      <w:r w:rsidR="00EA0DFC" w:rsidRPr="003D70B4">
        <w:t xml:space="preserve">they can </w:t>
      </w:r>
      <w:r w:rsidR="004B20DA" w:rsidRPr="003D70B4">
        <w:t>scal</w:t>
      </w:r>
      <w:r w:rsidR="00EA0DFC" w:rsidRPr="003D70B4">
        <w:t>e</w:t>
      </w:r>
      <w:r w:rsidR="004B20DA" w:rsidRPr="003D70B4">
        <w:t xml:space="preserve"> (Grapsas </w:t>
      </w:r>
      <w:r w:rsidR="00EA7EEA" w:rsidRPr="003D70B4">
        <w:t>et al.</w:t>
      </w:r>
      <w:r w:rsidR="004B20DA" w:rsidRPr="003D70B4">
        <w:t xml:space="preserve">, 2020; Zitek &amp; Jordan, 2016). In addition to their own active pursuit of hierarchical ascension, </w:t>
      </w:r>
      <w:r w:rsidR="00355AE6">
        <w:t>narcissistic individuals</w:t>
      </w:r>
      <w:r w:rsidR="00355AE6" w:rsidRPr="003D70B4">
        <w:t xml:space="preserve"> </w:t>
      </w:r>
      <w:r w:rsidR="004B20DA" w:rsidRPr="003D70B4">
        <w:t>need the involvement of other members in the hierarchy to help</w:t>
      </w:r>
      <w:r w:rsidR="00EA0DFC" w:rsidRPr="003D70B4">
        <w:t xml:space="preserve"> them</w:t>
      </w:r>
      <w:r w:rsidR="004B20DA" w:rsidRPr="003D70B4">
        <w:t xml:space="preserve"> pave their way. One pathway </w:t>
      </w:r>
      <w:r w:rsidR="000C44A8">
        <w:t>that</w:t>
      </w:r>
      <w:r w:rsidR="000C44A8" w:rsidRPr="003D70B4">
        <w:t xml:space="preserve"> </w:t>
      </w:r>
      <w:r w:rsidR="004B20DA" w:rsidRPr="003D70B4">
        <w:t xml:space="preserve">would facilitate </w:t>
      </w:r>
      <w:r w:rsidR="003735CA">
        <w:t>narcissistic individuals’</w:t>
      </w:r>
      <w:r w:rsidR="003735CA" w:rsidRPr="003D70B4">
        <w:t xml:space="preserve"> </w:t>
      </w:r>
      <w:r w:rsidR="004B20DA" w:rsidRPr="003D70B4">
        <w:t>climb to the top is the support of their short-term peer groups, in which they</w:t>
      </w:r>
      <w:r w:rsidR="00C03122" w:rsidRPr="003D70B4">
        <w:t xml:space="preserve"> are</w:t>
      </w:r>
      <w:r w:rsidR="004B20DA" w:rsidRPr="003D70B4">
        <w:t xml:space="preserve"> consistently chosen</w:t>
      </w:r>
      <w:r w:rsidRPr="003D70B4">
        <w:t xml:space="preserve"> as leaders</w:t>
      </w:r>
      <w:r w:rsidR="00255218" w:rsidRPr="003D70B4">
        <w:t xml:space="preserve"> </w:t>
      </w:r>
      <w:r w:rsidR="003145FF" w:rsidRPr="003D70B4">
        <w:t>(</w:t>
      </w:r>
      <w:r w:rsidR="00923B18" w:rsidRPr="003D70B4">
        <w:t>Brunell et al., 2008</w:t>
      </w:r>
      <w:r w:rsidR="006D0357" w:rsidRPr="003D70B4">
        <w:t>; Grijalva,</w:t>
      </w:r>
      <w:r w:rsidR="009D6E37" w:rsidRPr="003D70B4">
        <w:t xml:space="preserve"> Harms</w:t>
      </w:r>
      <w:r w:rsidR="006D0357" w:rsidRPr="003D70B4">
        <w:t xml:space="preserve"> </w:t>
      </w:r>
      <w:r w:rsidR="00EA7EEA" w:rsidRPr="003D70B4">
        <w:t>et al.,</w:t>
      </w:r>
      <w:r w:rsidR="006D0357" w:rsidRPr="003D70B4">
        <w:t xml:space="preserve"> </w:t>
      </w:r>
      <w:r w:rsidR="006D0357" w:rsidRPr="003D70B4">
        <w:lastRenderedPageBreak/>
        <w:t>2015</w:t>
      </w:r>
      <w:r w:rsidR="003145FF" w:rsidRPr="003D70B4">
        <w:t>)</w:t>
      </w:r>
      <w:r w:rsidR="00CF7DF3" w:rsidRPr="003D70B4">
        <w:t>.</w:t>
      </w:r>
      <w:r w:rsidR="00330507" w:rsidRPr="003D70B4">
        <w:t xml:space="preserve"> </w:t>
      </w:r>
      <w:r w:rsidR="004B20DA" w:rsidRPr="003D70B4">
        <w:t xml:space="preserve">A second pathway enabling </w:t>
      </w:r>
      <w:r w:rsidR="003735CA">
        <w:t>narcissistic individuals’</w:t>
      </w:r>
      <w:r w:rsidR="003735CA" w:rsidRPr="003D70B4">
        <w:t xml:space="preserve"> </w:t>
      </w:r>
      <w:r w:rsidR="00EA0DFC" w:rsidRPr="003D70B4">
        <w:t xml:space="preserve">strivings for status and </w:t>
      </w:r>
      <w:r w:rsidR="004B20DA" w:rsidRPr="003D70B4">
        <w:t xml:space="preserve">power would be through </w:t>
      </w:r>
      <w:r w:rsidR="00E876DB" w:rsidRPr="003D70B4">
        <w:t xml:space="preserve">job </w:t>
      </w:r>
      <w:r w:rsidR="004B20DA" w:rsidRPr="003D70B4">
        <w:t xml:space="preserve">selection processes, where </w:t>
      </w:r>
      <w:r w:rsidR="004879EF" w:rsidRPr="003D70B4">
        <w:t>the</w:t>
      </w:r>
      <w:r w:rsidR="008446AA" w:rsidRPr="003D70B4">
        <w:t>y could capitali</w:t>
      </w:r>
      <w:r w:rsidR="00A90D43" w:rsidRPr="003D70B4">
        <w:t>z</w:t>
      </w:r>
      <w:r w:rsidR="00EA0DFC" w:rsidRPr="003D70B4">
        <w:t xml:space="preserve">e on their </w:t>
      </w:r>
      <w:r w:rsidR="004879EF" w:rsidRPr="003D70B4">
        <w:t>assertive demeanor, charm</w:t>
      </w:r>
      <w:r w:rsidR="0036011C" w:rsidRPr="003D70B4">
        <w:t>,</w:t>
      </w:r>
      <w:r w:rsidR="004879EF" w:rsidRPr="003D70B4">
        <w:t xml:space="preserve"> and overconfidence</w:t>
      </w:r>
      <w:r w:rsidR="004B20DA" w:rsidRPr="003D70B4">
        <w:t xml:space="preserve"> to</w:t>
      </w:r>
      <w:r w:rsidR="004879EF" w:rsidRPr="003D70B4">
        <w:t xml:space="preserve"> </w:t>
      </w:r>
      <w:r w:rsidR="001A15B6" w:rsidRPr="003D70B4">
        <w:t xml:space="preserve">convey </w:t>
      </w:r>
      <w:r w:rsidR="008B2151" w:rsidRPr="003D70B4">
        <w:t>positive first impressions</w:t>
      </w:r>
      <w:r w:rsidR="00AA15BB" w:rsidRPr="003D70B4">
        <w:t xml:space="preserve"> (</w:t>
      </w:r>
      <w:r w:rsidR="00E571B3" w:rsidRPr="003D70B4">
        <w:t xml:space="preserve">Back </w:t>
      </w:r>
      <w:r w:rsidR="00EA7EEA" w:rsidRPr="003D70B4">
        <w:t>et al.</w:t>
      </w:r>
      <w:r w:rsidR="00E571B3" w:rsidRPr="003D70B4">
        <w:t xml:space="preserve">, 2010; </w:t>
      </w:r>
      <w:r w:rsidR="0032545E" w:rsidRPr="003D70B4">
        <w:t>Paulhus, 1998</w:t>
      </w:r>
      <w:r w:rsidR="00845E1A" w:rsidRPr="003D70B4">
        <w:t>)</w:t>
      </w:r>
      <w:r w:rsidR="00D451AE" w:rsidRPr="003D70B4">
        <w:t xml:space="preserve">, </w:t>
      </w:r>
      <w:r w:rsidR="004B20DA" w:rsidRPr="003D70B4">
        <w:t xml:space="preserve">thus </w:t>
      </w:r>
      <w:r w:rsidR="009D4B42" w:rsidRPr="003D70B4">
        <w:t xml:space="preserve">potentially </w:t>
      </w:r>
      <w:r w:rsidR="004B20DA" w:rsidRPr="003D70B4">
        <w:t>biasing</w:t>
      </w:r>
      <w:r w:rsidR="004879EF" w:rsidRPr="003D70B4">
        <w:t xml:space="preserve"> </w:t>
      </w:r>
      <w:r w:rsidR="008B2151" w:rsidRPr="003D70B4">
        <w:t>raters</w:t>
      </w:r>
      <w:r w:rsidR="00E438AA" w:rsidRPr="003D70B4">
        <w:t>’</w:t>
      </w:r>
      <w:r w:rsidR="008B2151" w:rsidRPr="003D70B4">
        <w:t xml:space="preserve"> </w:t>
      </w:r>
      <w:r w:rsidR="004879EF" w:rsidRPr="003D70B4">
        <w:t xml:space="preserve">evaluations </w:t>
      </w:r>
      <w:r w:rsidR="00981B0C" w:rsidRPr="003D70B4">
        <w:t xml:space="preserve">(Barrick </w:t>
      </w:r>
      <w:r w:rsidR="00EA7EEA" w:rsidRPr="003D70B4">
        <w:t>et al.</w:t>
      </w:r>
      <w:r w:rsidR="00981B0C" w:rsidRPr="003D70B4">
        <w:t>, 2010)</w:t>
      </w:r>
      <w:r w:rsidR="00E25FD3" w:rsidRPr="003D70B4">
        <w:t xml:space="preserve"> in their </w:t>
      </w:r>
      <w:r w:rsidR="00844AE7" w:rsidRPr="003D70B4">
        <w:t>favor</w:t>
      </w:r>
      <w:r w:rsidR="00981B0C" w:rsidRPr="003D70B4">
        <w:t xml:space="preserve"> </w:t>
      </w:r>
      <w:r w:rsidR="004879EF" w:rsidRPr="003D70B4">
        <w:t>and enhanc</w:t>
      </w:r>
      <w:r w:rsidR="004B20DA" w:rsidRPr="003D70B4">
        <w:t>ing</w:t>
      </w:r>
      <w:r w:rsidR="004879EF" w:rsidRPr="003D70B4">
        <w:t xml:space="preserve"> </w:t>
      </w:r>
      <w:r w:rsidR="00EA0DFC" w:rsidRPr="003D70B4">
        <w:t xml:space="preserve">their </w:t>
      </w:r>
      <w:r w:rsidR="004879EF" w:rsidRPr="003D70B4">
        <w:t xml:space="preserve">chances of being hired. </w:t>
      </w:r>
      <w:r w:rsidR="009D4B42" w:rsidRPr="003D70B4">
        <w:t xml:space="preserve">Indeed, </w:t>
      </w:r>
      <w:r w:rsidR="003735CA">
        <w:t xml:space="preserve">individuals high </w:t>
      </w:r>
      <w:r w:rsidR="004D35C5">
        <w:t>o</w:t>
      </w:r>
      <w:r w:rsidR="003735CA">
        <w:t>n narcissism</w:t>
      </w:r>
      <w:r w:rsidR="003735CA" w:rsidRPr="003D70B4">
        <w:t xml:space="preserve"> </w:t>
      </w:r>
      <w:r w:rsidR="009D4B42" w:rsidRPr="003D70B4">
        <w:t xml:space="preserve">perform well in </w:t>
      </w:r>
      <w:r w:rsidR="00D03AE4" w:rsidRPr="003D70B4">
        <w:t>selection</w:t>
      </w:r>
      <w:r w:rsidR="009D4B42" w:rsidRPr="003D70B4">
        <w:t xml:space="preserve"> contexts that rely on subjective ratings, such as interviews (</w:t>
      </w:r>
      <w:r w:rsidR="00BE6709" w:rsidRPr="003D70B4">
        <w:t>Campbell</w:t>
      </w:r>
      <w:r w:rsidR="00CB1DEE" w:rsidRPr="003D70B4">
        <w:t xml:space="preserve"> et al., </w:t>
      </w:r>
      <w:r w:rsidR="00BE6709" w:rsidRPr="003D70B4">
        <w:t xml:space="preserve">2011; </w:t>
      </w:r>
      <w:r w:rsidR="00D03AE4" w:rsidRPr="003D70B4">
        <w:t xml:space="preserve">Paulhus </w:t>
      </w:r>
      <w:r w:rsidR="00EA7EEA" w:rsidRPr="003D70B4">
        <w:t>et al.</w:t>
      </w:r>
      <w:r w:rsidR="00D03AE4" w:rsidRPr="003D70B4">
        <w:t>, 2013)</w:t>
      </w:r>
      <w:r w:rsidR="00BE6709" w:rsidRPr="003D70B4">
        <w:t xml:space="preserve"> and leaderless group discussions (Brunell et al., 2008)</w:t>
      </w:r>
      <w:r w:rsidR="00D03AE4" w:rsidRPr="003D70B4">
        <w:t xml:space="preserve">. </w:t>
      </w:r>
      <w:r w:rsidR="004879EF" w:rsidRPr="003D70B4">
        <w:t>However, being elected</w:t>
      </w:r>
      <w:r w:rsidR="00D451AE" w:rsidRPr="003D70B4">
        <w:t xml:space="preserve"> </w:t>
      </w:r>
      <w:r w:rsidR="004879EF" w:rsidRPr="003D70B4">
        <w:t>by one</w:t>
      </w:r>
      <w:r w:rsidR="00E438AA" w:rsidRPr="003D70B4">
        <w:t>’</w:t>
      </w:r>
      <w:r w:rsidR="004879EF" w:rsidRPr="003D70B4">
        <w:t xml:space="preserve">s peers </w:t>
      </w:r>
      <w:r w:rsidR="00EC234A" w:rsidRPr="003D70B4">
        <w:t xml:space="preserve">following short-term group interactions, </w:t>
      </w:r>
      <w:r w:rsidR="004879EF" w:rsidRPr="003D70B4">
        <w:t xml:space="preserve">or </w:t>
      </w:r>
      <w:r w:rsidR="002C22BE" w:rsidRPr="003D70B4">
        <w:t xml:space="preserve">being </w:t>
      </w:r>
      <w:r w:rsidR="00D363E4" w:rsidRPr="003D70B4">
        <w:t>hired</w:t>
      </w:r>
      <w:r w:rsidR="00AE6BAB" w:rsidRPr="003D70B4">
        <w:t xml:space="preserve"> </w:t>
      </w:r>
      <w:r w:rsidR="004879EF" w:rsidRPr="003D70B4">
        <w:t xml:space="preserve">during </w:t>
      </w:r>
      <w:r w:rsidR="00D363E4" w:rsidRPr="003D70B4">
        <w:t>job</w:t>
      </w:r>
      <w:r w:rsidR="004879EF" w:rsidRPr="003D70B4">
        <w:t xml:space="preserve"> selection</w:t>
      </w:r>
      <w:r w:rsidR="0036011C" w:rsidRPr="003D70B4">
        <w:t>,</w:t>
      </w:r>
      <w:r w:rsidR="004879EF" w:rsidRPr="003D70B4">
        <w:t xml:space="preserve"> are not the only routes to </w:t>
      </w:r>
      <w:r w:rsidR="00AB729D" w:rsidRPr="003D70B4">
        <w:t>attain higher-level positions</w:t>
      </w:r>
      <w:r w:rsidR="004879EF" w:rsidRPr="003D70B4">
        <w:t xml:space="preserve">. </w:t>
      </w:r>
      <w:r w:rsidR="00B34292" w:rsidRPr="003D70B4">
        <w:t>M</w:t>
      </w:r>
      <w:r w:rsidR="00D9431D" w:rsidRPr="003D70B4">
        <w:t>ost organizations have formal hierarchical structures</w:t>
      </w:r>
      <w:r w:rsidR="001E21FA" w:rsidRPr="003D70B4">
        <w:t>,</w:t>
      </w:r>
      <w:r w:rsidR="00D9431D" w:rsidRPr="003D70B4">
        <w:t xml:space="preserve"> where employees get promoted to </w:t>
      </w:r>
      <w:r w:rsidR="00F33257" w:rsidRPr="003D70B4">
        <w:t xml:space="preserve">higher-level </w:t>
      </w:r>
      <w:r w:rsidR="00D9431D" w:rsidRPr="003D70B4">
        <w:t>functions based on</w:t>
      </w:r>
      <w:r w:rsidR="00E441C6" w:rsidRPr="003D70B4">
        <w:t xml:space="preserve"> supervisory</w:t>
      </w:r>
      <w:r w:rsidR="00D9431D" w:rsidRPr="003D70B4">
        <w:t xml:space="preserve"> evaluations</w:t>
      </w:r>
      <w:r w:rsidR="005453C7" w:rsidRPr="003D70B4">
        <w:t xml:space="preserve"> of employees over the long-term </w:t>
      </w:r>
      <w:r w:rsidR="00E77362" w:rsidRPr="003D70B4">
        <w:t xml:space="preserve">(De Pater </w:t>
      </w:r>
      <w:r w:rsidR="00EA7EEA" w:rsidRPr="003D70B4">
        <w:t>et al.,</w:t>
      </w:r>
      <w:r w:rsidR="00E77362" w:rsidRPr="003D70B4">
        <w:t xml:space="preserve"> 2009</w:t>
      </w:r>
      <w:r w:rsidR="00EC234A" w:rsidRPr="003D70B4">
        <w:t>; Thacker &amp; Wayne, 1995</w:t>
      </w:r>
      <w:r w:rsidR="00E77362" w:rsidRPr="003D70B4">
        <w:t>)</w:t>
      </w:r>
      <w:r w:rsidR="00184F02" w:rsidRPr="003D70B4">
        <w:t xml:space="preserve">. </w:t>
      </w:r>
    </w:p>
    <w:p w14:paraId="61814304" w14:textId="279CF131" w:rsidR="00AA25CC" w:rsidRPr="003D57C7" w:rsidRDefault="00E77362" w:rsidP="004C28FB">
      <w:pPr>
        <w:spacing w:line="480" w:lineRule="auto"/>
        <w:contextualSpacing/>
      </w:pPr>
      <w:r w:rsidRPr="003D70B4">
        <w:tab/>
      </w:r>
      <w:r w:rsidR="00D72C00" w:rsidRPr="003D70B4">
        <w:t>If a supervisor perceives an employee as promotable (i.e.</w:t>
      </w:r>
      <w:r w:rsidR="0036011C" w:rsidRPr="003D70B4">
        <w:t>,</w:t>
      </w:r>
      <w:r w:rsidR="00D72C00" w:rsidRPr="003D70B4">
        <w:t xml:space="preserve"> as having capacities and willingness to perform</w:t>
      </w:r>
      <w:r w:rsidR="0036011C" w:rsidRPr="003D70B4">
        <w:t xml:space="preserve"> effectively</w:t>
      </w:r>
      <w:r w:rsidR="00D72C00" w:rsidRPr="003D70B4">
        <w:t xml:space="preserve"> at higher job levels</w:t>
      </w:r>
      <w:r w:rsidR="00F95BA1" w:rsidRPr="003D70B4">
        <w:t>; De Pater</w:t>
      </w:r>
      <w:r w:rsidR="00EC234A" w:rsidRPr="003D70B4">
        <w:t xml:space="preserve"> et al.</w:t>
      </w:r>
      <w:r w:rsidR="00F95BA1" w:rsidRPr="003D70B4">
        <w:t>, 2009</w:t>
      </w:r>
      <w:r w:rsidR="00D72C00" w:rsidRPr="003D70B4">
        <w:t>), this employee will</w:t>
      </w:r>
      <w:r w:rsidR="0099542D" w:rsidRPr="003D70B4">
        <w:t xml:space="preserve"> likely</w:t>
      </w:r>
      <w:r w:rsidR="00D72C00" w:rsidRPr="003D70B4">
        <w:t xml:space="preserve"> receive the necessary support for upward mobility, </w:t>
      </w:r>
      <w:r w:rsidR="00F95BA1" w:rsidRPr="003D70B4">
        <w:t>resulting in</w:t>
      </w:r>
      <w:r w:rsidR="00D72C00" w:rsidRPr="003D70B4">
        <w:t xml:space="preserve"> promotions and career success</w:t>
      </w:r>
      <w:r w:rsidR="00F95BA1" w:rsidRPr="003D70B4">
        <w:t xml:space="preserve"> (Wayne </w:t>
      </w:r>
      <w:r w:rsidR="00EA7EEA" w:rsidRPr="003D70B4">
        <w:t>et al.,</w:t>
      </w:r>
      <w:r w:rsidR="00C03122" w:rsidRPr="003D70B4">
        <w:t xml:space="preserve"> </w:t>
      </w:r>
      <w:r w:rsidR="00F95BA1" w:rsidRPr="003D70B4">
        <w:t>1999)</w:t>
      </w:r>
      <w:r w:rsidR="00D72C00" w:rsidRPr="003D70B4">
        <w:t xml:space="preserve">. </w:t>
      </w:r>
      <w:r w:rsidR="00AA25CC" w:rsidRPr="003D70B4">
        <w:t>We</w:t>
      </w:r>
      <w:r w:rsidR="008C24E1" w:rsidRPr="003D70B4">
        <w:t xml:space="preserve"> note that supervisor ratings of </w:t>
      </w:r>
      <w:r w:rsidR="00AA25CC" w:rsidRPr="003D70B4">
        <w:t xml:space="preserve">employee promotability </w:t>
      </w:r>
      <w:r w:rsidR="008C24E1" w:rsidRPr="003D70B4">
        <w:t>differ from their ratings of</w:t>
      </w:r>
      <w:r w:rsidR="00AA25CC" w:rsidRPr="003D70B4">
        <w:t xml:space="preserve"> employee performance. P</w:t>
      </w:r>
      <w:r w:rsidR="008C24E1" w:rsidRPr="003D70B4">
        <w:t>romotability evaluations are not primarily based on how the employee is currently performing, but</w:t>
      </w:r>
      <w:r w:rsidR="00E25FD3" w:rsidRPr="003D70B4">
        <w:t xml:space="preserve"> rather</w:t>
      </w:r>
      <w:r w:rsidR="008C24E1" w:rsidRPr="003D70B4">
        <w:t xml:space="preserve"> on how they </w:t>
      </w:r>
      <w:r w:rsidR="00AA25CC" w:rsidRPr="003D70B4">
        <w:t>are</w:t>
      </w:r>
      <w:r w:rsidR="008C24E1" w:rsidRPr="003D70B4">
        <w:t xml:space="preserve"> expected to perform in a different, higher-level role</w:t>
      </w:r>
      <w:r w:rsidR="009C63EF" w:rsidRPr="003D70B4">
        <w:t xml:space="preserve"> (De Pater et al., 2009)</w:t>
      </w:r>
      <w:r w:rsidR="00AA25CC" w:rsidRPr="003D70B4">
        <w:t>, and justifiably so: P</w:t>
      </w:r>
      <w:r w:rsidR="00AA25CC" w:rsidRPr="003D70B4">
        <w:rPr>
          <w:rFonts w:asciiTheme="majorBidi" w:hAnsiTheme="majorBidi" w:cstheme="majorBidi"/>
        </w:rPr>
        <w:t xml:space="preserve">erformance in one’s current job does </w:t>
      </w:r>
      <w:r w:rsidR="001368CD" w:rsidRPr="003D70B4">
        <w:rPr>
          <w:rFonts w:asciiTheme="majorBidi" w:hAnsiTheme="majorBidi" w:cstheme="majorBidi"/>
        </w:rPr>
        <w:t xml:space="preserve">not guarantee success </w:t>
      </w:r>
      <w:r w:rsidR="00AA25CC" w:rsidRPr="003D70B4">
        <w:rPr>
          <w:rFonts w:asciiTheme="majorBidi" w:hAnsiTheme="majorBidi" w:cstheme="majorBidi"/>
        </w:rPr>
        <w:t>in another role at a higher organizational level (Conger &amp; Fulmer, 2003</w:t>
      </w:r>
      <w:r w:rsidR="000D279E" w:rsidRPr="003D70B4">
        <w:rPr>
          <w:rFonts w:asciiTheme="majorBidi" w:hAnsiTheme="majorBidi" w:cstheme="majorBidi"/>
        </w:rPr>
        <w:t>; Pluchino</w:t>
      </w:r>
      <w:r w:rsidR="00CB1DEE" w:rsidRPr="003D70B4">
        <w:rPr>
          <w:rFonts w:asciiTheme="majorBidi" w:hAnsiTheme="majorBidi" w:cstheme="majorBidi"/>
        </w:rPr>
        <w:t xml:space="preserve"> et al., </w:t>
      </w:r>
      <w:r w:rsidR="000D279E" w:rsidRPr="003D70B4">
        <w:rPr>
          <w:rFonts w:asciiTheme="majorBidi" w:hAnsiTheme="majorBidi" w:cstheme="majorBidi"/>
        </w:rPr>
        <w:t>2010</w:t>
      </w:r>
      <w:r w:rsidR="00AA25CC" w:rsidRPr="00D15D0E">
        <w:rPr>
          <w:rFonts w:asciiTheme="majorBidi" w:hAnsiTheme="majorBidi" w:cstheme="majorBidi"/>
        </w:rPr>
        <w:t xml:space="preserve">). </w:t>
      </w:r>
      <w:r w:rsidR="008C24E1" w:rsidRPr="0041230A">
        <w:t xml:space="preserve">Thus, promotability evaluations would be based much more on imperfect information and signals or cues of an employees’ future potential rather than </w:t>
      </w:r>
      <w:r w:rsidR="009C63EF" w:rsidRPr="0041230A">
        <w:t>simply</w:t>
      </w:r>
      <w:r w:rsidR="008C24E1" w:rsidRPr="0041230A">
        <w:t xml:space="preserve"> </w:t>
      </w:r>
      <w:r w:rsidR="00AA25CC" w:rsidRPr="00AD6A74">
        <w:t xml:space="preserve">on </w:t>
      </w:r>
      <w:r w:rsidR="008C24E1" w:rsidRPr="00AD6A74">
        <w:t xml:space="preserve">their current performance. </w:t>
      </w:r>
      <w:r w:rsidR="00AA25CC" w:rsidRPr="00AD6A74">
        <w:t>Consistent with this claim</w:t>
      </w:r>
      <w:r w:rsidR="008C24E1" w:rsidRPr="00076E4A">
        <w:t>, employee performance</w:t>
      </w:r>
      <w:r w:rsidR="008C24E1" w:rsidRPr="007E74C2">
        <w:t xml:space="preserve"> ratings show only a modest </w:t>
      </w:r>
      <w:r w:rsidR="00611EF5">
        <w:t>relation</w:t>
      </w:r>
      <w:r w:rsidR="008C24E1" w:rsidRPr="007E74C2">
        <w:t xml:space="preserve"> with their promotability</w:t>
      </w:r>
      <w:r w:rsidR="00AA25CC" w:rsidRPr="007E74C2">
        <w:t xml:space="preserve"> ratings</w:t>
      </w:r>
      <w:r w:rsidR="008C24E1" w:rsidRPr="008E3958">
        <w:t xml:space="preserve"> (De Pater et al., 2009; Rubin, </w:t>
      </w:r>
      <w:r w:rsidR="00EA7EEA" w:rsidRPr="003D57C7">
        <w:t xml:space="preserve">et al., </w:t>
      </w:r>
      <w:r w:rsidR="008C24E1" w:rsidRPr="003D57C7">
        <w:t>2010).</w:t>
      </w:r>
    </w:p>
    <w:p w14:paraId="4A951FE9" w14:textId="20108751" w:rsidR="001E0021" w:rsidRPr="003D70B4" w:rsidRDefault="00E25FD3" w:rsidP="000121B2">
      <w:pPr>
        <w:spacing w:line="480" w:lineRule="auto"/>
        <w:contextualSpacing/>
      </w:pPr>
      <w:r w:rsidRPr="00495C0B">
        <w:lastRenderedPageBreak/>
        <w:tab/>
      </w:r>
      <w:r w:rsidR="00D451AE" w:rsidRPr="005160C6">
        <w:t xml:space="preserve">Although </w:t>
      </w:r>
      <w:r w:rsidR="00AB729D" w:rsidRPr="003D70B4">
        <w:t>obtaining higher-level positions through peer nominations or in a selection context</w:t>
      </w:r>
      <w:r w:rsidR="00EC234A" w:rsidRPr="003D70B4">
        <w:t xml:space="preserve"> </w:t>
      </w:r>
      <w:r w:rsidR="00195A81" w:rsidRPr="003D70B4">
        <w:t xml:space="preserve">might </w:t>
      </w:r>
      <w:r w:rsidR="00975B8C" w:rsidRPr="003D70B4">
        <w:t xml:space="preserve">occur </w:t>
      </w:r>
      <w:r w:rsidR="00195A81" w:rsidRPr="003D70B4">
        <w:t xml:space="preserve">after </w:t>
      </w:r>
      <w:r w:rsidR="00975B8C" w:rsidRPr="003D70B4">
        <w:t>short-term interactions, supervisor</w:t>
      </w:r>
      <w:r w:rsidR="00813CDD" w:rsidRPr="003D70B4">
        <w:t>y</w:t>
      </w:r>
      <w:r w:rsidR="00975B8C" w:rsidRPr="003D70B4">
        <w:t xml:space="preserve"> evaluations</w:t>
      </w:r>
      <w:r w:rsidR="00FB0978" w:rsidRPr="003D70B4">
        <w:t xml:space="preserve"> of employees</w:t>
      </w:r>
      <w:r w:rsidR="001E21FA" w:rsidRPr="003D70B4">
        <w:t>’</w:t>
      </w:r>
      <w:r w:rsidR="00FB0978" w:rsidRPr="003D70B4">
        <w:t xml:space="preserve"> promotability</w:t>
      </w:r>
      <w:r w:rsidR="00975B8C" w:rsidRPr="003D70B4">
        <w:t xml:space="preserve"> are </w:t>
      </w:r>
      <w:r w:rsidR="00195A81" w:rsidRPr="003D70B4">
        <w:t xml:space="preserve">often </w:t>
      </w:r>
      <w:r w:rsidR="00975B8C" w:rsidRPr="003D70B4">
        <w:t xml:space="preserve">based on longer-term observations of employee </w:t>
      </w:r>
      <w:r w:rsidR="00427A8D" w:rsidRPr="003D70B4">
        <w:t>functionality</w:t>
      </w:r>
      <w:r w:rsidR="00975B8C" w:rsidRPr="003D70B4">
        <w:t>. Interestingly, narcissists</w:t>
      </w:r>
      <w:r w:rsidRPr="003D70B4">
        <w:t xml:space="preserve"> may be</w:t>
      </w:r>
      <w:r w:rsidR="00EC234A" w:rsidRPr="003D70B4">
        <w:t xml:space="preserve"> initially </w:t>
      </w:r>
      <w:r w:rsidR="00975B8C" w:rsidRPr="003D70B4">
        <w:t xml:space="preserve">evaluated positively, </w:t>
      </w:r>
      <w:r w:rsidR="00EC234A" w:rsidRPr="003D70B4">
        <w:t xml:space="preserve">both </w:t>
      </w:r>
      <w:r w:rsidR="006F4F2F" w:rsidRPr="003D70B4">
        <w:t>on</w:t>
      </w:r>
      <w:r w:rsidR="00EC234A" w:rsidRPr="003D70B4">
        <w:t xml:space="preserve"> popularity and </w:t>
      </w:r>
      <w:r w:rsidR="00AA15BB" w:rsidRPr="003D70B4">
        <w:t>leadership</w:t>
      </w:r>
      <w:r w:rsidR="009907C1" w:rsidRPr="003D70B4">
        <w:t xml:space="preserve"> capabilities</w:t>
      </w:r>
      <w:r w:rsidR="00975B8C" w:rsidRPr="003D70B4">
        <w:t xml:space="preserve">, </w:t>
      </w:r>
      <w:r w:rsidRPr="003D70B4">
        <w:t xml:space="preserve">but </w:t>
      </w:r>
      <w:r w:rsidR="00975B8C" w:rsidRPr="003D70B4">
        <w:t xml:space="preserve">these positive impressions diminish over time as </w:t>
      </w:r>
      <w:r w:rsidRPr="003D70B4">
        <w:t xml:space="preserve">others </w:t>
      </w:r>
      <w:r w:rsidR="00975B8C" w:rsidRPr="003D70B4">
        <w:t xml:space="preserve">become </w:t>
      </w:r>
      <w:r w:rsidR="002723A9" w:rsidRPr="003D70B4">
        <w:t>aware of</w:t>
      </w:r>
      <w:r w:rsidR="00975B8C" w:rsidRPr="003D70B4">
        <w:t xml:space="preserve"> </w:t>
      </w:r>
      <w:r w:rsidR="00130E8F">
        <w:t>narcissistic individuals’</w:t>
      </w:r>
      <w:r w:rsidR="00130E8F" w:rsidRPr="003D70B4">
        <w:t xml:space="preserve"> </w:t>
      </w:r>
      <w:r w:rsidR="0036011C" w:rsidRPr="003D70B4">
        <w:t xml:space="preserve">undesirable </w:t>
      </w:r>
      <w:r w:rsidR="00975B8C" w:rsidRPr="003D70B4">
        <w:t>characteristics</w:t>
      </w:r>
      <w:r w:rsidR="00AA15BB" w:rsidRPr="003D70B4">
        <w:t xml:space="preserve"> (</w:t>
      </w:r>
      <w:r w:rsidR="003D0002" w:rsidRPr="003D70B4">
        <w:t xml:space="preserve">Leckelt </w:t>
      </w:r>
      <w:r w:rsidR="00EA7EEA" w:rsidRPr="003D70B4">
        <w:t>et al.,</w:t>
      </w:r>
      <w:r w:rsidR="003D0002" w:rsidRPr="003D70B4">
        <w:t xml:space="preserve"> 2015; </w:t>
      </w:r>
      <w:r w:rsidR="00AA15BB" w:rsidRPr="003D70B4">
        <w:t xml:space="preserve">Ong </w:t>
      </w:r>
      <w:r w:rsidR="00EA7EEA" w:rsidRPr="003D70B4">
        <w:t>et al.,</w:t>
      </w:r>
      <w:r w:rsidR="00AA15BB" w:rsidRPr="003D70B4">
        <w:t xml:space="preserve"> 2016</w:t>
      </w:r>
      <w:r w:rsidR="0032545E" w:rsidRPr="003D70B4">
        <w:t>; Paulhus, 1998</w:t>
      </w:r>
      <w:r w:rsidR="00AA15BB" w:rsidRPr="003D70B4">
        <w:t>)</w:t>
      </w:r>
      <w:r w:rsidR="00975B8C" w:rsidRPr="003D70B4">
        <w:t xml:space="preserve">. </w:t>
      </w:r>
      <w:r w:rsidR="00AE6BAB" w:rsidRPr="003D70B4">
        <w:t>This</w:t>
      </w:r>
      <w:r w:rsidR="007810EA">
        <w:t xml:space="preserve"> phenomenon</w:t>
      </w:r>
      <w:r w:rsidR="00AE6BAB" w:rsidRPr="003D70B4">
        <w:t xml:space="preserve"> poses a</w:t>
      </w:r>
      <w:r w:rsidR="0036011C" w:rsidRPr="003D70B4">
        <w:t xml:space="preserve"> crucial</w:t>
      </w:r>
      <w:r w:rsidR="00AE6BAB" w:rsidRPr="003D70B4">
        <w:t xml:space="preserve"> question. </w:t>
      </w:r>
      <w:r w:rsidR="0036011C" w:rsidRPr="003D70B4">
        <w:t>A</w:t>
      </w:r>
      <w:r w:rsidR="00EC234A" w:rsidRPr="003D70B4">
        <w:t>re</w:t>
      </w:r>
      <w:r w:rsidR="008A7ACF" w:rsidRPr="003D70B4">
        <w:t xml:space="preserve"> </w:t>
      </w:r>
      <w:r w:rsidR="00845511">
        <w:t xml:space="preserve">narcissistic </w:t>
      </w:r>
      <w:r w:rsidR="005C6A5E">
        <w:t xml:space="preserve">individuals </w:t>
      </w:r>
      <w:r w:rsidR="00AE6BAB" w:rsidRPr="003D70B4">
        <w:t xml:space="preserve">successful in </w:t>
      </w:r>
      <w:r w:rsidR="00D854E2" w:rsidRPr="003D70B4">
        <w:t>convincing their</w:t>
      </w:r>
      <w:r w:rsidR="00975B8C" w:rsidRPr="003D70B4">
        <w:t xml:space="preserve"> supervisors</w:t>
      </w:r>
      <w:r w:rsidR="00D854E2" w:rsidRPr="003D70B4">
        <w:t xml:space="preserve"> of their potential</w:t>
      </w:r>
      <w:r w:rsidR="001E21FA" w:rsidRPr="003D70B4">
        <w:t>,</w:t>
      </w:r>
      <w:r w:rsidR="00975B8C" w:rsidRPr="003D70B4">
        <w:t xml:space="preserve"> </w:t>
      </w:r>
      <w:r w:rsidR="008A7ACF" w:rsidRPr="003D70B4">
        <w:t>when</w:t>
      </w:r>
      <w:r w:rsidR="00975B8C" w:rsidRPr="003D70B4">
        <w:t xml:space="preserve"> evaluations </w:t>
      </w:r>
      <w:r w:rsidR="008A7ACF" w:rsidRPr="003D70B4">
        <w:t xml:space="preserve">are </w:t>
      </w:r>
      <w:r w:rsidR="00975B8C" w:rsidRPr="003D70B4">
        <w:t>based on longer-term impressions?</w:t>
      </w:r>
      <w:r w:rsidR="00586C77" w:rsidRPr="003D70B4">
        <w:t xml:space="preserve"> </w:t>
      </w:r>
      <w:r w:rsidR="008B7635" w:rsidRPr="003D70B4">
        <w:t>Prior research does show that narcissistic employees are more successful at securing higher salaries (Spurk</w:t>
      </w:r>
      <w:r w:rsidR="00CB1DEE" w:rsidRPr="003D70B4">
        <w:t xml:space="preserve"> et al., </w:t>
      </w:r>
      <w:r w:rsidR="008B7635" w:rsidRPr="003D70B4">
        <w:t>2016),</w:t>
      </w:r>
      <w:r w:rsidR="00FD14C0" w:rsidRPr="003D70B4">
        <w:t xml:space="preserve"> an objective </w:t>
      </w:r>
      <w:r w:rsidR="00B56AB8" w:rsidRPr="003D70B4">
        <w:t>indicator</w:t>
      </w:r>
      <w:r w:rsidR="00FD14C0" w:rsidRPr="003D70B4">
        <w:t xml:space="preserve"> of career success,</w:t>
      </w:r>
      <w:r w:rsidR="008B7635" w:rsidRPr="003D70B4">
        <w:t xml:space="preserve"> which could be indicative of being seen as promotable by their supervisors.</w:t>
      </w:r>
    </w:p>
    <w:p w14:paraId="44B88E1F" w14:textId="21181444" w:rsidR="00D51548" w:rsidRPr="003D70B4" w:rsidRDefault="002723A9" w:rsidP="004C28FB">
      <w:pPr>
        <w:spacing w:line="480" w:lineRule="auto"/>
        <w:contextualSpacing/>
      </w:pPr>
      <w:r w:rsidRPr="003D70B4">
        <w:tab/>
      </w:r>
      <w:r w:rsidR="006B5E76" w:rsidRPr="003D70B4">
        <w:t xml:space="preserve">On the basis of </w:t>
      </w:r>
      <w:r w:rsidR="00116D44">
        <w:t>previous</w:t>
      </w:r>
      <w:r w:rsidR="00116D44" w:rsidRPr="003D70B4">
        <w:t xml:space="preserve"> </w:t>
      </w:r>
      <w:r w:rsidR="00CB1DEE" w:rsidRPr="003D70B4">
        <w:t xml:space="preserve">research </w:t>
      </w:r>
      <w:r w:rsidR="00203625" w:rsidRPr="003D70B4">
        <w:t xml:space="preserve">on the association between </w:t>
      </w:r>
      <w:r w:rsidR="006B5E76" w:rsidRPr="003D70B4">
        <w:t xml:space="preserve">power cues and promotability, and between </w:t>
      </w:r>
      <w:r w:rsidR="00203625" w:rsidRPr="003D70B4">
        <w:t xml:space="preserve">impression management and promotability, we </w:t>
      </w:r>
      <w:r w:rsidR="00264121" w:rsidRPr="003D70B4">
        <w:t>o</w:t>
      </w:r>
      <w:r w:rsidR="00203625" w:rsidRPr="003D70B4">
        <w:t>ffer</w:t>
      </w:r>
      <w:r w:rsidR="00264121" w:rsidRPr="003D70B4">
        <w:t xml:space="preserve"> </w:t>
      </w:r>
      <w:r w:rsidR="00023F87" w:rsidRPr="003D70B4">
        <w:t>competing theoretical perspectives (Platt, 1964</w:t>
      </w:r>
      <w:r w:rsidR="000121B2">
        <w:t>; Sedikides et al., 2013</w:t>
      </w:r>
      <w:r w:rsidR="00023F87" w:rsidRPr="003D70B4">
        <w:t xml:space="preserve">) as to the underlying mechanism </w:t>
      </w:r>
      <w:r w:rsidR="006B5E76" w:rsidRPr="003D70B4">
        <w:t xml:space="preserve">that </w:t>
      </w:r>
      <w:r w:rsidR="00023F87" w:rsidRPr="003D70B4">
        <w:t xml:space="preserve">would explain </w:t>
      </w:r>
      <w:r w:rsidR="005C6A5E">
        <w:t>narcissistic individuals’</w:t>
      </w:r>
      <w:r w:rsidR="005C6A5E" w:rsidRPr="003D70B4">
        <w:t xml:space="preserve"> </w:t>
      </w:r>
      <w:r w:rsidR="006B5E76" w:rsidRPr="003D70B4">
        <w:t xml:space="preserve">favorable </w:t>
      </w:r>
      <w:r w:rsidR="00023F87" w:rsidRPr="003D70B4">
        <w:t>promotability evaluations</w:t>
      </w:r>
      <w:r w:rsidR="00203625" w:rsidRPr="003D70B4">
        <w:t>.</w:t>
      </w:r>
      <w:r w:rsidR="00D51548" w:rsidRPr="003D70B4">
        <w:t xml:space="preserve"> </w:t>
      </w:r>
      <w:r w:rsidR="006B5E76" w:rsidRPr="003D70B4">
        <w:t xml:space="preserve">These are </w:t>
      </w:r>
      <w:r w:rsidR="00E0051E" w:rsidRPr="003D70B4">
        <w:t>the display of power perspective</w:t>
      </w:r>
      <w:r w:rsidR="006B5E76" w:rsidRPr="003D70B4">
        <w:t xml:space="preserve"> and </w:t>
      </w:r>
      <w:r w:rsidR="00D51548" w:rsidRPr="003D70B4">
        <w:t>the impression management perspective</w:t>
      </w:r>
      <w:r w:rsidR="00203625" w:rsidRPr="003D70B4">
        <w:t>.</w:t>
      </w:r>
      <w:r w:rsidR="00ED53EF" w:rsidRPr="003D70B4">
        <w:t xml:space="preserve"> </w:t>
      </w:r>
    </w:p>
    <w:p w14:paraId="2A62C900" w14:textId="77777777" w:rsidR="00DD7296" w:rsidRPr="003D70B4" w:rsidRDefault="00DD7296" w:rsidP="004C28FB">
      <w:pPr>
        <w:spacing w:line="480" w:lineRule="auto"/>
        <w:contextualSpacing/>
        <w:rPr>
          <w:b/>
        </w:rPr>
      </w:pPr>
      <w:r w:rsidRPr="003D70B4">
        <w:rPr>
          <w:b/>
        </w:rPr>
        <w:t>Display of Power Perspective</w:t>
      </w:r>
    </w:p>
    <w:p w14:paraId="6B8C405E" w14:textId="40DE9A25" w:rsidR="00C13BBD" w:rsidRPr="003D70B4" w:rsidRDefault="002C2074">
      <w:pPr>
        <w:spacing w:line="480" w:lineRule="auto"/>
        <w:ind w:firstLine="720"/>
        <w:contextualSpacing/>
      </w:pPr>
      <w:r>
        <w:t>The m</w:t>
      </w:r>
      <w:r w:rsidR="006B5E76" w:rsidRPr="003D70B4">
        <w:t>otivation</w:t>
      </w:r>
      <w:r w:rsidR="00611672">
        <w:t xml:space="preserve"> of narcissistic individuals </w:t>
      </w:r>
      <w:r w:rsidR="00DD7296" w:rsidRPr="003D70B4">
        <w:t xml:space="preserve">to get ahead and </w:t>
      </w:r>
      <w:r w:rsidR="00610714" w:rsidRPr="003D70B4">
        <w:t xml:space="preserve">their personal sense </w:t>
      </w:r>
      <w:r w:rsidR="00DD7296" w:rsidRPr="003D70B4">
        <w:t>of power</w:t>
      </w:r>
      <w:r w:rsidR="00610714" w:rsidRPr="003D70B4">
        <w:t xml:space="preserve"> </w:t>
      </w:r>
      <w:r w:rsidR="00DD7296" w:rsidRPr="003D70B4">
        <w:t>may serve as cues for managerial potential (</w:t>
      </w:r>
      <w:r w:rsidR="00F26A13" w:rsidRPr="003D70B4">
        <w:t>Sedikides &amp; Campbell, 2017</w:t>
      </w:r>
      <w:r w:rsidR="00DD7296" w:rsidRPr="003D70B4">
        <w:t xml:space="preserve">). This, in turn, might be </w:t>
      </w:r>
      <w:r w:rsidR="00E8459D" w:rsidRPr="003D70B4">
        <w:t xml:space="preserve">linked </w:t>
      </w:r>
      <w:r w:rsidR="00DD7296" w:rsidRPr="003D70B4">
        <w:t xml:space="preserve">with higher promotability perceptions (Blickle et al., 2011; Paustian-Underdahl </w:t>
      </w:r>
      <w:r w:rsidR="00EA7EEA" w:rsidRPr="003D70B4">
        <w:t>et al.,</w:t>
      </w:r>
      <w:r w:rsidR="00DD7296" w:rsidRPr="003D70B4">
        <w:t xml:space="preserve"> 2016).</w:t>
      </w:r>
    </w:p>
    <w:p w14:paraId="6D5D1D26" w14:textId="49B0EEB6" w:rsidR="003661F0" w:rsidRPr="003D70B4" w:rsidRDefault="00C13BBD">
      <w:pPr>
        <w:spacing w:line="480" w:lineRule="auto"/>
        <w:ind w:firstLine="720"/>
        <w:contextualSpacing/>
      </w:pPr>
      <w:r w:rsidRPr="003D70B4">
        <w:t xml:space="preserve">In particular, </w:t>
      </w:r>
      <w:r w:rsidR="00611672">
        <w:t xml:space="preserve">individuals high </w:t>
      </w:r>
      <w:r w:rsidR="002C2074">
        <w:t>o</w:t>
      </w:r>
      <w:r w:rsidR="004C5476">
        <w:t>n</w:t>
      </w:r>
      <w:r w:rsidR="00611672">
        <w:t xml:space="preserve"> narcissism</w:t>
      </w:r>
      <w:r w:rsidR="00611672" w:rsidRPr="003D70B4">
        <w:t xml:space="preserve"> </w:t>
      </w:r>
      <w:r w:rsidR="00DD7296" w:rsidRPr="003D70B4">
        <w:t>believe</w:t>
      </w:r>
      <w:r w:rsidR="006B5E76" w:rsidRPr="003D70B4">
        <w:t xml:space="preserve"> that</w:t>
      </w:r>
      <w:r w:rsidR="00DD7296" w:rsidRPr="003D70B4">
        <w:t xml:space="preserve"> they make superior leaders</w:t>
      </w:r>
      <w:r w:rsidR="008B660C" w:rsidRPr="003D70B4">
        <w:t xml:space="preserve"> (Grijalva and Zheng, 2015)</w:t>
      </w:r>
      <w:r w:rsidR="00E8459D" w:rsidRPr="003D70B4">
        <w:t>,</w:t>
      </w:r>
      <w:r w:rsidR="00DD7296" w:rsidRPr="003D70B4">
        <w:t xml:space="preserve"> and this</w:t>
      </w:r>
      <w:r w:rsidR="00610714" w:rsidRPr="003D70B4">
        <w:t xml:space="preserve">, along with their desire for </w:t>
      </w:r>
      <w:r w:rsidR="006B5E76" w:rsidRPr="003D70B4">
        <w:t xml:space="preserve">status and </w:t>
      </w:r>
      <w:r w:rsidR="00610714" w:rsidRPr="003D70B4">
        <w:t>power,</w:t>
      </w:r>
      <w:r w:rsidR="00DD7296" w:rsidRPr="003D70B4">
        <w:t xml:space="preserve"> drives them to ascend formal hierarchies (</w:t>
      </w:r>
      <w:r w:rsidR="00610714" w:rsidRPr="003D70B4">
        <w:rPr>
          <w:bCs/>
        </w:rPr>
        <w:t xml:space="preserve">Grapsas et al., 2020; </w:t>
      </w:r>
      <w:r w:rsidR="00DD7296" w:rsidRPr="003D70B4">
        <w:t xml:space="preserve">Zitek &amp; Jordan, 2016). </w:t>
      </w:r>
      <w:r w:rsidR="00E8459D" w:rsidRPr="003D70B4">
        <w:t>T</w:t>
      </w:r>
      <w:r w:rsidR="00AB29D2" w:rsidRPr="003D70B4">
        <w:t>hey</w:t>
      </w:r>
      <w:r w:rsidR="00DD7296" w:rsidRPr="003D70B4">
        <w:t xml:space="preserve"> </w:t>
      </w:r>
      <w:r w:rsidR="00E8459D" w:rsidRPr="003D70B4">
        <w:t xml:space="preserve">also </w:t>
      </w:r>
      <w:r w:rsidR="00DD7296" w:rsidRPr="003D70B4">
        <w:t xml:space="preserve">behave as if they have influence over </w:t>
      </w:r>
      <w:r w:rsidR="00E8459D" w:rsidRPr="003D70B4">
        <w:t>group members</w:t>
      </w:r>
      <w:r w:rsidR="00094270" w:rsidRPr="003D70B4">
        <w:t xml:space="preserve"> (</w:t>
      </w:r>
      <w:r w:rsidR="00E8459D" w:rsidRPr="003D70B4">
        <w:t>Sedikides &amp; Campbell, 2017</w:t>
      </w:r>
      <w:r w:rsidR="00DD7296" w:rsidRPr="003D70B4">
        <w:t xml:space="preserve">). </w:t>
      </w:r>
      <w:r w:rsidR="00116D44">
        <w:t xml:space="preserve">The </w:t>
      </w:r>
      <w:r w:rsidR="00116D44">
        <w:lastRenderedPageBreak/>
        <w:t>literature indicates</w:t>
      </w:r>
      <w:r w:rsidR="007D54C2" w:rsidRPr="003D70B4">
        <w:t xml:space="preserve"> that people with high perceptions of their power exhibit similar </w:t>
      </w:r>
      <w:r w:rsidR="00844AE7" w:rsidRPr="003D70B4">
        <w:t>behavior</w:t>
      </w:r>
      <w:r w:rsidR="007D54C2" w:rsidRPr="003D70B4">
        <w:t xml:space="preserve"> to </w:t>
      </w:r>
      <w:r w:rsidR="002C2074">
        <w:t>those</w:t>
      </w:r>
      <w:r w:rsidR="002C2074" w:rsidRPr="003D70B4">
        <w:t xml:space="preserve"> </w:t>
      </w:r>
      <w:r w:rsidR="007D54C2" w:rsidRPr="003D70B4">
        <w:t xml:space="preserve">with structurally high power (e.g., control over resources), such as being more outspoken and </w:t>
      </w:r>
      <w:r w:rsidR="00BE0A50" w:rsidRPr="003D70B4">
        <w:t>assertive</w:t>
      </w:r>
      <w:r w:rsidR="007D54C2" w:rsidRPr="003D70B4">
        <w:t xml:space="preserve"> or less likely to show concessions (</w:t>
      </w:r>
      <w:r w:rsidR="004223F3" w:rsidRPr="003D70B4">
        <w:t xml:space="preserve">Anderson &amp; Galinsky, 2006; </w:t>
      </w:r>
      <w:r w:rsidR="007D54C2" w:rsidRPr="003D70B4">
        <w:t xml:space="preserve">Galinsky </w:t>
      </w:r>
      <w:r w:rsidR="004223F3" w:rsidRPr="003D70B4">
        <w:t>et al.</w:t>
      </w:r>
      <w:r w:rsidR="007D54C2" w:rsidRPr="003D70B4">
        <w:t xml:space="preserve">, 2015). </w:t>
      </w:r>
      <w:r w:rsidR="00DD7296" w:rsidRPr="003D70B4">
        <w:t xml:space="preserve">Thus, even when they do not </w:t>
      </w:r>
      <w:r w:rsidR="001E21FA" w:rsidRPr="003D70B4">
        <w:t xml:space="preserve">possess </w:t>
      </w:r>
      <w:r w:rsidR="00DD7296" w:rsidRPr="003D70B4">
        <w:t xml:space="preserve">formal power, narcissistic employees </w:t>
      </w:r>
      <w:r w:rsidR="00923E80" w:rsidRPr="003D70B4">
        <w:t xml:space="preserve">would </w:t>
      </w:r>
      <w:r w:rsidR="00AD6F6D" w:rsidRPr="003D70B4">
        <w:t>perceive</w:t>
      </w:r>
      <w:r w:rsidR="00610714" w:rsidRPr="003D70B4">
        <w:t xml:space="preserve"> </w:t>
      </w:r>
      <w:r w:rsidR="00C03271" w:rsidRPr="003D70B4">
        <w:t xml:space="preserve">to </w:t>
      </w:r>
      <w:r w:rsidRPr="003D70B4">
        <w:t xml:space="preserve">have </w:t>
      </w:r>
      <w:r w:rsidR="004033F2">
        <w:t>power</w:t>
      </w:r>
      <w:r w:rsidR="004033F2" w:rsidRPr="003D70B4">
        <w:t xml:space="preserve"> </w:t>
      </w:r>
      <w:r w:rsidR="00610714" w:rsidRPr="003D70B4">
        <w:t>and</w:t>
      </w:r>
      <w:r w:rsidRPr="003D70B4">
        <w:t>,</w:t>
      </w:r>
      <w:r w:rsidR="00610714" w:rsidRPr="003D70B4">
        <w:t xml:space="preserve"> as such</w:t>
      </w:r>
      <w:r w:rsidRPr="003D70B4">
        <w:t>,</w:t>
      </w:r>
      <w:r w:rsidR="00923E80" w:rsidRPr="003D70B4">
        <w:t xml:space="preserve"> would</w:t>
      </w:r>
      <w:r w:rsidR="00610714" w:rsidRPr="003D70B4">
        <w:t xml:space="preserve"> </w:t>
      </w:r>
      <w:r w:rsidR="00DD7296" w:rsidRPr="003D70B4">
        <w:t xml:space="preserve">exhibit the </w:t>
      </w:r>
      <w:r w:rsidR="00844AE7" w:rsidRPr="003D70B4">
        <w:t>behavior</w:t>
      </w:r>
      <w:r w:rsidR="00DD7296" w:rsidRPr="003D70B4">
        <w:t xml:space="preserve"> of someone who belongs higher up the hierarchical ladder.</w:t>
      </w:r>
      <w:r w:rsidR="00AD6F6D" w:rsidRPr="003D70B4">
        <w:t xml:space="preserve"> </w:t>
      </w:r>
    </w:p>
    <w:p w14:paraId="2AC5CFB5" w14:textId="1D1E7F2B" w:rsidR="00DD7296" w:rsidRPr="003D70B4" w:rsidRDefault="003661F0">
      <w:pPr>
        <w:spacing w:line="480" w:lineRule="auto"/>
        <w:ind w:firstLine="720"/>
        <w:contextualSpacing/>
      </w:pPr>
      <w:r w:rsidRPr="003D70B4">
        <w:t xml:space="preserve">How </w:t>
      </w:r>
      <w:r w:rsidR="00DD59F2" w:rsidRPr="003D70B4">
        <w:t xml:space="preserve">do </w:t>
      </w:r>
      <w:r w:rsidR="004033F2">
        <w:t>narcissistic individuals’</w:t>
      </w:r>
      <w:r w:rsidR="004033F2" w:rsidRPr="003D70B4">
        <w:t xml:space="preserve"> </w:t>
      </w:r>
      <w:r w:rsidRPr="003D70B4">
        <w:t xml:space="preserve">subjective beliefs in their power translate into promotability ratings? </w:t>
      </w:r>
      <w:r w:rsidR="00ED2693" w:rsidRPr="003D70B4">
        <w:t>Signaling theory (Spence, 1973) suggests that</w:t>
      </w:r>
      <w:r w:rsidR="00C13BBD" w:rsidRPr="003D70B4">
        <w:t>,</w:t>
      </w:r>
      <w:r w:rsidR="00ED2693" w:rsidRPr="003D70B4">
        <w:t xml:space="preserve"> in making promotability evaluations, supervisors rely on available signals (i.e.</w:t>
      </w:r>
      <w:r w:rsidR="00C13BBD" w:rsidRPr="003D70B4">
        <w:t>,</w:t>
      </w:r>
      <w:r w:rsidR="00ED2693" w:rsidRPr="003D70B4">
        <w:t xml:space="preserve"> observable personal attributes) of employee’s future potential of being successful in higher-level functions</w:t>
      </w:r>
      <w:r w:rsidR="00A232E5" w:rsidRPr="003D70B4">
        <w:t xml:space="preserve"> (Rubin et al., 2010)</w:t>
      </w:r>
      <w:r w:rsidR="00ED2693" w:rsidRPr="003D70B4">
        <w:t>.</w:t>
      </w:r>
      <w:r w:rsidR="00AD6F6D" w:rsidRPr="003D70B4">
        <w:t xml:space="preserve"> </w:t>
      </w:r>
      <w:r w:rsidR="00C13BBD" w:rsidRPr="003D70B4">
        <w:t xml:space="preserve">Given that </w:t>
      </w:r>
      <w:r w:rsidRPr="003D70B4">
        <w:t xml:space="preserve">interpersonal influence and </w:t>
      </w:r>
      <w:r w:rsidR="00923E80" w:rsidRPr="003D70B4">
        <w:t>politics become more relevant with increasing job complexity at higher organizational levels, supervisors will need to take into account employee</w:t>
      </w:r>
      <w:r w:rsidR="00C13BBD" w:rsidRPr="003D70B4">
        <w:t>s</w:t>
      </w:r>
      <w:r w:rsidR="00923E80" w:rsidRPr="003D70B4">
        <w:t>’ ability to gain power</w:t>
      </w:r>
      <w:r w:rsidRPr="003D70B4">
        <w:t xml:space="preserve"> (so that they exert influence and be effective in politics)</w:t>
      </w:r>
      <w:r w:rsidR="00923E80" w:rsidRPr="003D70B4">
        <w:t xml:space="preserve"> in their jobs when evaluating employees’ career growth potential (Liu </w:t>
      </w:r>
      <w:r w:rsidR="00EA7EEA" w:rsidRPr="003D70B4">
        <w:t xml:space="preserve">et al., </w:t>
      </w:r>
      <w:r w:rsidR="00923E80" w:rsidRPr="003D70B4">
        <w:t>2010). Therefore,</w:t>
      </w:r>
      <w:r w:rsidR="00AD6F6D" w:rsidRPr="003D70B4">
        <w:t xml:space="preserve"> if employees</w:t>
      </w:r>
      <w:r w:rsidR="00923E80" w:rsidRPr="003D70B4">
        <w:t xml:space="preserve"> perceive </w:t>
      </w:r>
      <w:r w:rsidRPr="003D70B4">
        <w:t xml:space="preserve">that </w:t>
      </w:r>
      <w:r w:rsidR="00923E80" w:rsidRPr="003D70B4">
        <w:t>they have power in their work and</w:t>
      </w:r>
      <w:r w:rsidR="00AD6F6D" w:rsidRPr="003D70B4">
        <w:t xml:space="preserve"> start to exercise discretionary power in their work roles,</w:t>
      </w:r>
      <w:r w:rsidR="00923E80" w:rsidRPr="003D70B4">
        <w:t xml:space="preserve"> </w:t>
      </w:r>
      <w:r w:rsidR="007810EA">
        <w:t xml:space="preserve">then </w:t>
      </w:r>
      <w:r w:rsidR="00923E80" w:rsidRPr="003D70B4">
        <w:t xml:space="preserve">their </w:t>
      </w:r>
      <w:r w:rsidRPr="003D70B4">
        <w:t xml:space="preserve">soaring </w:t>
      </w:r>
      <w:r w:rsidR="00923E80" w:rsidRPr="003D70B4">
        <w:t>presence in the team and visible influence</w:t>
      </w:r>
      <w:r w:rsidR="00AD6F6D" w:rsidRPr="003D70B4">
        <w:t xml:space="preserve"> </w:t>
      </w:r>
      <w:r w:rsidR="00923E80" w:rsidRPr="003D70B4">
        <w:t>would likely</w:t>
      </w:r>
      <w:r w:rsidR="00AD6F6D" w:rsidRPr="003D70B4">
        <w:t xml:space="preserve"> </w:t>
      </w:r>
      <w:r w:rsidR="007F1260" w:rsidRPr="003D70B4">
        <w:t>serve as a positive signal for</w:t>
      </w:r>
      <w:r w:rsidR="00923E80" w:rsidRPr="003D70B4">
        <w:t xml:space="preserve"> </w:t>
      </w:r>
      <w:r w:rsidR="007F1260" w:rsidRPr="003D70B4">
        <w:t>their</w:t>
      </w:r>
      <w:r w:rsidR="00923E80" w:rsidRPr="003D70B4">
        <w:t xml:space="preserve"> supervisor</w:t>
      </w:r>
      <w:r w:rsidR="00AD6F6D" w:rsidRPr="003D70B4">
        <w:t xml:space="preserve"> concerning their future potential. </w:t>
      </w:r>
      <w:r w:rsidR="005D5A0D" w:rsidRPr="003D70B4">
        <w:t>Additionally, exercising influence over others may help such employees compete better against their rival peers, which</w:t>
      </w:r>
      <w:r w:rsidR="000F3D81" w:rsidRPr="003D70B4">
        <w:t>,</w:t>
      </w:r>
      <w:r w:rsidR="005D5A0D" w:rsidRPr="003D70B4">
        <w:t xml:space="preserve"> according to the contest-mobility model of career success</w:t>
      </w:r>
      <w:r w:rsidR="000F3D81" w:rsidRPr="003D70B4">
        <w:t>,</w:t>
      </w:r>
      <w:r w:rsidR="005D5A0D" w:rsidRPr="003D70B4">
        <w:t xml:space="preserve"> would likewise improve their </w:t>
      </w:r>
      <w:r w:rsidR="00B72D21">
        <w:t xml:space="preserve">chances for </w:t>
      </w:r>
      <w:r w:rsidR="005D5A0D" w:rsidRPr="003D70B4">
        <w:t>career mobility (Liu</w:t>
      </w:r>
      <w:r w:rsidRPr="003D70B4">
        <w:t xml:space="preserve"> et al.</w:t>
      </w:r>
      <w:r w:rsidR="005D5A0D" w:rsidRPr="003D70B4">
        <w:t>,</w:t>
      </w:r>
      <w:r w:rsidRPr="003D70B4">
        <w:t xml:space="preserve"> </w:t>
      </w:r>
      <w:r w:rsidR="005D5A0D" w:rsidRPr="003D70B4">
        <w:t>2010). Finally, p</w:t>
      </w:r>
      <w:r w:rsidR="00DD7296" w:rsidRPr="003D70B4">
        <w:t>ower may also serve as a cue for competence (Anderson &amp; Kilduff, 2009)</w:t>
      </w:r>
      <w:r w:rsidR="008F56C0" w:rsidRPr="003D70B4">
        <w:t xml:space="preserve">, further </w:t>
      </w:r>
      <w:r w:rsidR="00207590" w:rsidRPr="003D70B4">
        <w:t>signaling</w:t>
      </w:r>
      <w:r w:rsidR="008F56C0" w:rsidRPr="003D70B4">
        <w:t xml:space="preserve"> </w:t>
      </w:r>
      <w:r w:rsidR="004033F2">
        <w:t xml:space="preserve">narcissistic individuals’ </w:t>
      </w:r>
      <w:r w:rsidR="008F56C0" w:rsidRPr="003D70B4">
        <w:t>future potential in a higher-level function</w:t>
      </w:r>
      <w:r w:rsidR="00DD7296" w:rsidRPr="003D70B4">
        <w:t xml:space="preserve">. </w:t>
      </w:r>
      <w:r w:rsidR="0085116B" w:rsidRPr="003D70B4">
        <w:t>Indeed,</w:t>
      </w:r>
      <w:r w:rsidR="0099542D" w:rsidRPr="003D70B4">
        <w:t xml:space="preserve"> as we mentioned before,</w:t>
      </w:r>
      <w:r w:rsidR="0085116B" w:rsidRPr="003D70B4">
        <w:t xml:space="preserve"> beliefs in one’s own power, irrespective of the actual sociostructural position, lead one to behave in more effective ways </w:t>
      </w:r>
      <w:r w:rsidR="00B72D21">
        <w:t xml:space="preserve">so as </w:t>
      </w:r>
      <w:r w:rsidR="0085116B" w:rsidRPr="003D70B4">
        <w:t xml:space="preserve">to increase </w:t>
      </w:r>
      <w:r w:rsidR="0099542D" w:rsidRPr="003D70B4">
        <w:t xml:space="preserve">eventually </w:t>
      </w:r>
      <w:r w:rsidR="0085116B" w:rsidRPr="003D70B4">
        <w:t xml:space="preserve">their actual power (Anderson </w:t>
      </w:r>
      <w:r w:rsidR="00EA7EEA" w:rsidRPr="003D70B4">
        <w:t>et al.,</w:t>
      </w:r>
      <w:r w:rsidR="0085116B" w:rsidRPr="003D70B4">
        <w:t xml:space="preserve"> 2012; Galinsky et al., 2015). </w:t>
      </w:r>
      <w:r w:rsidR="00DD7296" w:rsidRPr="003D70B4">
        <w:t xml:space="preserve">Taken together, this literature </w:t>
      </w:r>
      <w:r w:rsidR="00CC2053">
        <w:t>advocates</w:t>
      </w:r>
      <w:r w:rsidR="00CC2053" w:rsidRPr="003D70B4">
        <w:t xml:space="preserve"> </w:t>
      </w:r>
      <w:r w:rsidR="00DD7296" w:rsidRPr="003D70B4">
        <w:t xml:space="preserve">that, </w:t>
      </w:r>
      <w:r w:rsidRPr="003D70B4">
        <w:lastRenderedPageBreak/>
        <w:t>due to</w:t>
      </w:r>
      <w:r w:rsidR="00DD7296" w:rsidRPr="003D70B4">
        <w:t xml:space="preserve"> their </w:t>
      </w:r>
      <w:r w:rsidR="00886683" w:rsidRPr="003D70B4">
        <w:t xml:space="preserve">greater personal sense of </w:t>
      </w:r>
      <w:r w:rsidR="00DD7296" w:rsidRPr="003D70B4">
        <w:t xml:space="preserve">power, narcissistic employees will be perceived as more promotable. </w:t>
      </w:r>
    </w:p>
    <w:p w14:paraId="2F7C69B5" w14:textId="52F00F4F" w:rsidR="00D51548" w:rsidRPr="003D70B4" w:rsidRDefault="00D51548" w:rsidP="004C28FB">
      <w:pPr>
        <w:spacing w:line="480" w:lineRule="auto"/>
        <w:contextualSpacing/>
        <w:rPr>
          <w:b/>
        </w:rPr>
      </w:pPr>
      <w:r w:rsidRPr="003D70B4">
        <w:rPr>
          <w:b/>
        </w:rPr>
        <w:t>Impression Management Perspective</w:t>
      </w:r>
    </w:p>
    <w:p w14:paraId="4EC7CA96" w14:textId="0C020189" w:rsidR="00F46730" w:rsidRPr="003D70B4" w:rsidRDefault="00987795" w:rsidP="004C28FB">
      <w:pPr>
        <w:spacing w:line="480" w:lineRule="auto"/>
        <w:contextualSpacing/>
      </w:pPr>
      <w:r w:rsidRPr="003D70B4">
        <w:tab/>
      </w:r>
      <w:r w:rsidR="00C27E01">
        <w:t xml:space="preserve">Narcissistic individuals’ </w:t>
      </w:r>
      <w:r w:rsidR="005172BC" w:rsidRPr="003D70B4">
        <w:t xml:space="preserve">need to impress high-status others (Giacomin </w:t>
      </w:r>
      <w:r w:rsidR="00EA7EEA" w:rsidRPr="003D70B4">
        <w:t>et al.,</w:t>
      </w:r>
      <w:r w:rsidR="005172BC" w:rsidRPr="003D70B4">
        <w:t xml:space="preserve"> </w:t>
      </w:r>
      <w:r w:rsidR="00094270" w:rsidRPr="003D70B4">
        <w:t>2018</w:t>
      </w:r>
      <w:r w:rsidR="005172BC" w:rsidRPr="003D70B4">
        <w:t xml:space="preserve">), coupled with their </w:t>
      </w:r>
      <w:r w:rsidR="003661F0" w:rsidRPr="003D70B4">
        <w:t xml:space="preserve">desire </w:t>
      </w:r>
      <w:r w:rsidR="005172BC" w:rsidRPr="003D70B4">
        <w:t xml:space="preserve">to ascend formal hierarchies (Zitek &amp; Jordan, 2016), implies that narcissistic employees will be particularly motivated to </w:t>
      </w:r>
      <w:r w:rsidR="00800D8F" w:rsidRPr="003D70B4">
        <w:t xml:space="preserve">use impression management tactics to </w:t>
      </w:r>
      <w:r w:rsidR="005172BC" w:rsidRPr="003D70B4">
        <w:t xml:space="preserve">present themselves </w:t>
      </w:r>
      <w:r w:rsidR="00844AE7" w:rsidRPr="003D70B4">
        <w:t>favor</w:t>
      </w:r>
      <w:r w:rsidR="005172BC" w:rsidRPr="003D70B4">
        <w:t xml:space="preserve">ably to their supervisors. </w:t>
      </w:r>
      <w:r w:rsidRPr="003D70B4">
        <w:t xml:space="preserve">One </w:t>
      </w:r>
      <w:r w:rsidR="00195A81" w:rsidRPr="003D70B4">
        <w:t xml:space="preserve">such </w:t>
      </w:r>
      <w:r w:rsidRPr="003D70B4">
        <w:t>tactic, self-promotion</w:t>
      </w:r>
      <w:r w:rsidR="00B83F7D" w:rsidRPr="003D70B4">
        <w:t>,</w:t>
      </w:r>
      <w:r w:rsidR="00211FE4" w:rsidRPr="003D70B4">
        <w:t xml:space="preserve"> is aimed at highlighting one</w:t>
      </w:r>
      <w:r w:rsidR="001E21FA" w:rsidRPr="003D70B4">
        <w:t>’</w:t>
      </w:r>
      <w:r w:rsidR="00211FE4" w:rsidRPr="003D70B4">
        <w:t xml:space="preserve">s competencies and involves taking credit for positive events, making others aware of one’s accomplishments, and </w:t>
      </w:r>
      <w:r w:rsidR="00B83F7D" w:rsidRPr="003D70B4">
        <w:t xml:space="preserve">emphasizing </w:t>
      </w:r>
      <w:r w:rsidR="00211FE4" w:rsidRPr="003D70B4">
        <w:t xml:space="preserve">one’s performances (Bolino </w:t>
      </w:r>
      <w:r w:rsidR="00EA7EEA" w:rsidRPr="003D70B4">
        <w:t>et al.,</w:t>
      </w:r>
      <w:r w:rsidR="00211FE4" w:rsidRPr="003D70B4">
        <w:t xml:space="preserve"> 2014). </w:t>
      </w:r>
      <w:r w:rsidRPr="003D70B4">
        <w:t>Another tactic, i</w:t>
      </w:r>
      <w:r w:rsidR="00257FCE" w:rsidRPr="003D70B4">
        <w:t>ng</w:t>
      </w:r>
      <w:r w:rsidR="007E09AA" w:rsidRPr="003D70B4">
        <w:t>ratiation</w:t>
      </w:r>
      <w:r w:rsidRPr="003D70B4">
        <w:t>,</w:t>
      </w:r>
      <w:r w:rsidR="007E09AA" w:rsidRPr="003D70B4">
        <w:t xml:space="preserve"> </w:t>
      </w:r>
      <w:r w:rsidR="00257FCE" w:rsidRPr="003D70B4">
        <w:t xml:space="preserve">is aimed at increasing likeability </w:t>
      </w:r>
      <w:r w:rsidR="00195A81" w:rsidRPr="003D70B4">
        <w:t xml:space="preserve">through </w:t>
      </w:r>
      <w:r w:rsidRPr="003D70B4">
        <w:t xml:space="preserve">the </w:t>
      </w:r>
      <w:r w:rsidR="00257FCE" w:rsidRPr="003D70B4">
        <w:t>use of flattery</w:t>
      </w:r>
      <w:r w:rsidR="00D92F73" w:rsidRPr="003D70B4">
        <w:t xml:space="preserve"> and agreeable or</w:t>
      </w:r>
      <w:r w:rsidR="00257FCE" w:rsidRPr="003D70B4">
        <w:t xml:space="preserve"> helping </w:t>
      </w:r>
      <w:r w:rsidR="00844AE7" w:rsidRPr="003D70B4">
        <w:t>behavior</w:t>
      </w:r>
      <w:r w:rsidR="00257FCE" w:rsidRPr="003D70B4">
        <w:t xml:space="preserve"> (Jones</w:t>
      </w:r>
      <w:r w:rsidR="009F7893" w:rsidRPr="003D70B4">
        <w:t>, 1964</w:t>
      </w:r>
      <w:r w:rsidR="00257FCE" w:rsidRPr="003D70B4">
        <w:t>).</w:t>
      </w:r>
      <w:r w:rsidR="003778AE" w:rsidRPr="003D70B4">
        <w:t xml:space="preserve"> </w:t>
      </w:r>
    </w:p>
    <w:p w14:paraId="6BD75981" w14:textId="621F885A" w:rsidR="00F46730" w:rsidRPr="00D15D0E" w:rsidRDefault="003661F0" w:rsidP="007810EA">
      <w:pPr>
        <w:spacing w:line="480" w:lineRule="auto"/>
        <w:ind w:firstLine="720"/>
        <w:contextualSpacing/>
      </w:pPr>
      <w:r w:rsidRPr="003D70B4">
        <w:t>Although</w:t>
      </w:r>
      <w:r w:rsidR="00F46730" w:rsidRPr="003D70B4">
        <w:t xml:space="preserve"> self-promotion can be effective during</w:t>
      </w:r>
      <w:r w:rsidR="0099542D" w:rsidRPr="003D70B4">
        <w:t xml:space="preserve"> job</w:t>
      </w:r>
      <w:r w:rsidR="00F46730" w:rsidRPr="003D70B4">
        <w:t xml:space="preserve"> interviews (Barrick </w:t>
      </w:r>
      <w:r w:rsidR="00EA7EEA" w:rsidRPr="003D70B4">
        <w:t>et al.</w:t>
      </w:r>
      <w:r w:rsidR="00F46730" w:rsidRPr="003D70B4">
        <w:t>, 2009</w:t>
      </w:r>
      <w:r w:rsidR="0072239A" w:rsidRPr="003D70B4">
        <w:t>;</w:t>
      </w:r>
      <w:r w:rsidR="00C03122" w:rsidRPr="003D70B4">
        <w:t xml:space="preserve"> </w:t>
      </w:r>
      <w:r w:rsidR="0072239A" w:rsidRPr="003D70B4">
        <w:t xml:space="preserve">Melchers </w:t>
      </w:r>
      <w:r w:rsidR="00EA7EEA" w:rsidRPr="003D70B4">
        <w:t>et al.,</w:t>
      </w:r>
      <w:r w:rsidR="0072239A" w:rsidRPr="003D70B4">
        <w:t xml:space="preserve"> 2020</w:t>
      </w:r>
      <w:r w:rsidR="00F46730" w:rsidRPr="003D70B4">
        <w:t xml:space="preserve">), it may backfire in obtaining </w:t>
      </w:r>
      <w:r w:rsidR="00844AE7" w:rsidRPr="003D70B4">
        <w:t>favor</w:t>
      </w:r>
      <w:r w:rsidR="00F46730" w:rsidRPr="003D70B4">
        <w:t xml:space="preserve">able performance ratings from </w:t>
      </w:r>
      <w:r w:rsidR="00F46730" w:rsidRPr="00D15D0E">
        <w:t xml:space="preserve">supervisors in work-settings (Higgins </w:t>
      </w:r>
      <w:r w:rsidR="00EA7EEA" w:rsidRPr="00D15D0E">
        <w:t>et al.,</w:t>
      </w:r>
      <w:r w:rsidR="00F46730" w:rsidRPr="00D15D0E">
        <w:t xml:space="preserve"> 2003) where supervisors can</w:t>
      </w:r>
      <w:r w:rsidR="00C03122" w:rsidRPr="00D15D0E">
        <w:t xml:space="preserve"> </w:t>
      </w:r>
      <w:r w:rsidR="00673E59" w:rsidRPr="00D15D0E">
        <w:t xml:space="preserve">more readily </w:t>
      </w:r>
      <w:r w:rsidR="00F46730" w:rsidRPr="00D15D0E">
        <w:t xml:space="preserve">verify exaggerated claims of competence (Steinmetz </w:t>
      </w:r>
      <w:r w:rsidR="00EA7EEA" w:rsidRPr="00D15D0E">
        <w:t xml:space="preserve">et al., </w:t>
      </w:r>
      <w:r w:rsidR="00F46730" w:rsidRPr="00D15D0E">
        <w:t xml:space="preserve">2017). Ingratiation, by contrast, has been linked to higher supervisory ratings of employee likeability (Wayne </w:t>
      </w:r>
      <w:r w:rsidR="00EA7EEA" w:rsidRPr="00D15D0E">
        <w:t>et al.,</w:t>
      </w:r>
      <w:r w:rsidR="00F46730" w:rsidRPr="00D15D0E">
        <w:t xml:space="preserve"> 1997) and performance (Higgins et al., 2003). Nonetheless, the success of both of these impression management tactics in soliciting </w:t>
      </w:r>
      <w:r w:rsidR="00844AE7" w:rsidRPr="00D15D0E">
        <w:t>favor</w:t>
      </w:r>
      <w:r w:rsidR="00F46730" w:rsidRPr="00D15D0E">
        <w:t>able ratings from the target hinge</w:t>
      </w:r>
      <w:r w:rsidR="00B17ED4" w:rsidRPr="00D15D0E">
        <w:t>s</w:t>
      </w:r>
      <w:r w:rsidR="00F46730" w:rsidRPr="00D15D0E">
        <w:t xml:space="preserve"> on the social astuteness of the actor (</w:t>
      </w:r>
      <w:r w:rsidR="00161562" w:rsidRPr="00D15D0E">
        <w:t>Harris</w:t>
      </w:r>
      <w:r w:rsidR="0039512A" w:rsidRPr="00D15D0E">
        <w:t xml:space="preserve"> </w:t>
      </w:r>
      <w:r w:rsidR="00EA7EEA" w:rsidRPr="00D15D0E">
        <w:t>et al.,</w:t>
      </w:r>
      <w:r w:rsidR="0039512A" w:rsidRPr="00D15D0E">
        <w:t xml:space="preserve"> 2007</w:t>
      </w:r>
      <w:r w:rsidR="00161562" w:rsidRPr="00D15D0E">
        <w:t xml:space="preserve">; Turney &amp; Bolino, 2001). </w:t>
      </w:r>
      <w:r w:rsidR="00B17ED4" w:rsidRPr="00D15D0E">
        <w:t>According to s</w:t>
      </w:r>
      <w:r w:rsidR="00161562" w:rsidRPr="00D15D0E">
        <w:t>ocial influence theory (Levy et al., 1998)</w:t>
      </w:r>
      <w:r w:rsidR="00B17ED4" w:rsidRPr="00D15D0E">
        <w:t>,</w:t>
      </w:r>
      <w:r w:rsidR="00161562" w:rsidRPr="00D15D0E">
        <w:t xml:space="preserve"> individuals who are more skilled at impression management tactics will also be more successful in co</w:t>
      </w:r>
      <w:r w:rsidR="007C74B6" w:rsidRPr="00D15D0E">
        <w:t>n</w:t>
      </w:r>
      <w:r w:rsidR="00161562" w:rsidRPr="00D15D0E">
        <w:t>vey</w:t>
      </w:r>
      <w:r w:rsidR="00B17ED4" w:rsidRPr="00D15D0E">
        <w:t>ing</w:t>
      </w:r>
      <w:r w:rsidR="00161562" w:rsidRPr="00D15D0E">
        <w:t xml:space="preserve"> a particular image to the target person.</w:t>
      </w:r>
      <w:r w:rsidR="0092653D" w:rsidRPr="00D15D0E">
        <w:t xml:space="preserve"> For instance, a socially skilled </w:t>
      </w:r>
      <w:r w:rsidR="00F220C5" w:rsidRPr="00D15D0E">
        <w:t>employee</w:t>
      </w:r>
      <w:r w:rsidR="0092653D" w:rsidRPr="00D15D0E">
        <w:t xml:space="preserve"> using self-promotion and ingrati</w:t>
      </w:r>
      <w:r w:rsidR="0039512A" w:rsidRPr="00D15D0E">
        <w:t>ati</w:t>
      </w:r>
      <w:r w:rsidR="0092653D" w:rsidRPr="00D15D0E">
        <w:t xml:space="preserve">on </w:t>
      </w:r>
      <w:r w:rsidR="00B17ED4" w:rsidRPr="00D15D0E">
        <w:t>may</w:t>
      </w:r>
      <w:r w:rsidR="0092653D" w:rsidRPr="00D15D0E">
        <w:t xml:space="preserve"> convey an image of competence and likeability, whereas </w:t>
      </w:r>
      <w:r w:rsidR="00E3066B" w:rsidRPr="00D15D0E">
        <w:t xml:space="preserve">an </w:t>
      </w:r>
      <w:r w:rsidR="00F220C5" w:rsidRPr="00D15D0E">
        <w:t>employee</w:t>
      </w:r>
      <w:r w:rsidR="0039512A" w:rsidRPr="00D15D0E">
        <w:t xml:space="preserve"> with low social skills may convey an image of conceit and sycophan</w:t>
      </w:r>
      <w:r w:rsidR="00B17ED4" w:rsidRPr="00D15D0E">
        <w:t>cy</w:t>
      </w:r>
      <w:r w:rsidR="007C74B6" w:rsidRPr="00D15D0E">
        <w:t xml:space="preserve"> to their supervisors</w:t>
      </w:r>
      <w:r w:rsidR="00F736AC" w:rsidRPr="00D15D0E">
        <w:t xml:space="preserve"> (Turney &amp; Bolino, 2001).</w:t>
      </w:r>
      <w:r w:rsidR="002428ED" w:rsidRPr="00D15D0E">
        <w:t xml:space="preserve"> Thus, social skills enable the actor to engage in subtle</w:t>
      </w:r>
      <w:r w:rsidR="00B17ED4" w:rsidRPr="00D15D0E">
        <w:t>r</w:t>
      </w:r>
      <w:r w:rsidR="002428ED" w:rsidRPr="00D15D0E">
        <w:t xml:space="preserve"> forms of impression </w:t>
      </w:r>
      <w:r w:rsidR="002428ED" w:rsidRPr="00D15D0E">
        <w:lastRenderedPageBreak/>
        <w:t xml:space="preserve">management so that the </w:t>
      </w:r>
      <w:r w:rsidR="00844AE7" w:rsidRPr="00D15D0E">
        <w:t>behavior</w:t>
      </w:r>
      <w:r w:rsidR="002428ED" w:rsidRPr="00D15D0E">
        <w:t xml:space="preserve"> appears genuine rather than instrumental (Harris et al., 2007).</w:t>
      </w:r>
      <w:r w:rsidR="0022269F" w:rsidRPr="00D15D0E">
        <w:t xml:space="preserve"> </w:t>
      </w:r>
      <w:r w:rsidR="00C27E01">
        <w:t xml:space="preserve">Narcissistic individuals </w:t>
      </w:r>
      <w:r w:rsidR="0022269F" w:rsidRPr="00D15D0E">
        <w:t xml:space="preserve">are known to be strategic in </w:t>
      </w:r>
      <w:r w:rsidR="002428ED" w:rsidRPr="00D15D0E">
        <w:t>changing</w:t>
      </w:r>
      <w:r w:rsidR="00D75321" w:rsidRPr="00D15D0E">
        <w:t xml:space="preserve"> </w:t>
      </w:r>
      <w:r w:rsidR="0022269F" w:rsidRPr="00D15D0E">
        <w:t xml:space="preserve">their </w:t>
      </w:r>
      <w:r w:rsidR="00844AE7" w:rsidRPr="00D15D0E">
        <w:t>behavior</w:t>
      </w:r>
      <w:r w:rsidR="0022269F" w:rsidRPr="00D15D0E">
        <w:t xml:space="preserve"> </w:t>
      </w:r>
      <w:r w:rsidR="00D75321" w:rsidRPr="00D15D0E">
        <w:t xml:space="preserve">as means </w:t>
      </w:r>
      <w:r w:rsidR="002428ED" w:rsidRPr="00D15D0E">
        <w:t>of achieving</w:t>
      </w:r>
      <w:r w:rsidR="00D75321" w:rsidRPr="00D15D0E">
        <w:t xml:space="preserve"> their goals</w:t>
      </w:r>
      <w:r w:rsidR="00B17ED4" w:rsidRPr="00D15D0E">
        <w:t xml:space="preserve"> (e.g., </w:t>
      </w:r>
      <w:r w:rsidR="00D75321" w:rsidRPr="00D15D0E">
        <w:t>being prosocial in front of an audience</w:t>
      </w:r>
      <w:r w:rsidR="00B17ED4" w:rsidRPr="00D15D0E">
        <w:t xml:space="preserve">; </w:t>
      </w:r>
      <w:r w:rsidR="00D75321" w:rsidRPr="00D15D0E">
        <w:t xml:space="preserve">Konrath </w:t>
      </w:r>
      <w:r w:rsidR="00EA7EEA" w:rsidRPr="00D15D0E">
        <w:t xml:space="preserve">et al., </w:t>
      </w:r>
      <w:r w:rsidR="00D75321" w:rsidRPr="00D15D0E">
        <w:t>2016), and the</w:t>
      </w:r>
      <w:r w:rsidR="00303A31" w:rsidRPr="00D15D0E">
        <w:t>ir manipulative</w:t>
      </w:r>
      <w:r w:rsidR="00B17ED4" w:rsidRPr="00D15D0E">
        <w:t>ness</w:t>
      </w:r>
      <w:r w:rsidR="00303A31" w:rsidRPr="00D15D0E">
        <w:t xml:space="preserve"> makes them highly attuned to social contexts (Rauthmann, 2011) </w:t>
      </w:r>
      <w:r w:rsidR="00662655">
        <w:t>in which they perceived</w:t>
      </w:r>
      <w:r w:rsidR="00303A31" w:rsidRPr="00D15D0E">
        <w:t xml:space="preserve"> opportunities for furthering their interests. </w:t>
      </w:r>
      <w:r w:rsidR="00A036C4" w:rsidRPr="00D15D0E">
        <w:t xml:space="preserve">Moreover, </w:t>
      </w:r>
      <w:r w:rsidR="00CD4F63">
        <w:t xml:space="preserve">individuals who score high on narcissism </w:t>
      </w:r>
      <w:r w:rsidR="00735F4B" w:rsidRPr="00D15D0E">
        <w:t>possess</w:t>
      </w:r>
      <w:r w:rsidR="00A036C4" w:rsidRPr="00D15D0E">
        <w:t xml:space="preserve"> charm and enthusiasm, which </w:t>
      </w:r>
      <w:r w:rsidR="00735F4B" w:rsidRPr="00D15D0E">
        <w:t>helps</w:t>
      </w:r>
      <w:r w:rsidR="00A036C4" w:rsidRPr="00D15D0E">
        <w:t xml:space="preserve"> them persuade others </w:t>
      </w:r>
      <w:r w:rsidR="00FD148B" w:rsidRPr="00D15D0E">
        <w:t xml:space="preserve">that the idea they </w:t>
      </w:r>
      <w:r w:rsidR="00735F4B" w:rsidRPr="00D15D0E">
        <w:t>are</w:t>
      </w:r>
      <w:r w:rsidR="00FD148B" w:rsidRPr="00D15D0E">
        <w:t xml:space="preserve"> pitching </w:t>
      </w:r>
      <w:r w:rsidR="00735F4B" w:rsidRPr="00D15D0E">
        <w:t>is</w:t>
      </w:r>
      <w:r w:rsidR="00FD148B" w:rsidRPr="00D15D0E">
        <w:t xml:space="preserve"> creative</w:t>
      </w:r>
      <w:r w:rsidR="00A036C4" w:rsidRPr="00D15D0E">
        <w:t>, despite</w:t>
      </w:r>
      <w:r w:rsidR="007C74B6" w:rsidRPr="00D15D0E">
        <w:t xml:space="preserve"> lack of objective evidence</w:t>
      </w:r>
      <w:r w:rsidR="00A036C4" w:rsidRPr="00D15D0E">
        <w:t xml:space="preserve"> (Goncalo </w:t>
      </w:r>
      <w:r w:rsidR="00EA7EEA" w:rsidRPr="00D15D0E">
        <w:t xml:space="preserve">et al., </w:t>
      </w:r>
      <w:r w:rsidR="00A036C4" w:rsidRPr="00D15D0E">
        <w:t>2010).</w:t>
      </w:r>
      <w:r w:rsidR="0056717E" w:rsidRPr="00D15D0E">
        <w:t xml:space="preserve"> </w:t>
      </w:r>
      <w:r w:rsidR="00B17ED4" w:rsidRPr="00D15D0E">
        <w:t>Hence</w:t>
      </w:r>
      <w:r w:rsidR="0056717E" w:rsidRPr="00D15D0E">
        <w:t xml:space="preserve">, </w:t>
      </w:r>
      <w:r w:rsidR="002059A2" w:rsidRPr="00D15D0E">
        <w:t xml:space="preserve">given </w:t>
      </w:r>
      <w:r w:rsidR="00CD4F63">
        <w:t xml:space="preserve">narcissistic individuals’ </w:t>
      </w:r>
      <w:r w:rsidR="002059A2" w:rsidRPr="00D15D0E">
        <w:t xml:space="preserve">ability to adjust their </w:t>
      </w:r>
      <w:r w:rsidR="00844AE7" w:rsidRPr="00D15D0E">
        <w:t>behavior</w:t>
      </w:r>
      <w:r w:rsidR="00D639A1" w:rsidRPr="00D15D0E">
        <w:t xml:space="preserve"> </w:t>
      </w:r>
      <w:r w:rsidR="002059A2" w:rsidRPr="00D15D0E">
        <w:t xml:space="preserve">in social contexts </w:t>
      </w:r>
      <w:r w:rsidR="007810EA">
        <w:t xml:space="preserve">in line with </w:t>
      </w:r>
      <w:r w:rsidR="00735F4B" w:rsidRPr="00D15D0E">
        <w:t xml:space="preserve">their interests </w:t>
      </w:r>
      <w:r w:rsidR="002059A2" w:rsidRPr="00D15D0E">
        <w:t xml:space="preserve">as well as their charisma and verbal persuasion skills, </w:t>
      </w:r>
      <w:r w:rsidR="0056717E" w:rsidRPr="00D15D0E">
        <w:t xml:space="preserve">we expect </w:t>
      </w:r>
      <w:r w:rsidR="00CD4F63">
        <w:t>them</w:t>
      </w:r>
      <w:r w:rsidR="00CD4F63" w:rsidRPr="00D15D0E">
        <w:t xml:space="preserve"> </w:t>
      </w:r>
      <w:r w:rsidR="0056717E" w:rsidRPr="00D15D0E">
        <w:t>to be able to u</w:t>
      </w:r>
      <w:r w:rsidR="00B17ED4" w:rsidRPr="00D15D0E">
        <w:t>se</w:t>
      </w:r>
      <w:r w:rsidR="0056717E" w:rsidRPr="00D15D0E">
        <w:t xml:space="preserve"> impression management tactics </w:t>
      </w:r>
      <w:r w:rsidR="00EA7EEA" w:rsidRPr="00D15D0E">
        <w:t>skil</w:t>
      </w:r>
      <w:r w:rsidR="00CB1DEE" w:rsidRPr="00D15D0E">
        <w:t>l</w:t>
      </w:r>
      <w:r w:rsidR="00EA7EEA" w:rsidRPr="00D15D0E">
        <w:t>fully</w:t>
      </w:r>
      <w:r w:rsidR="0056717E" w:rsidRPr="00D15D0E">
        <w:t xml:space="preserve">. </w:t>
      </w:r>
    </w:p>
    <w:p w14:paraId="4032BC94" w14:textId="459E69A2" w:rsidR="00DD7296" w:rsidRPr="00D15D0E" w:rsidRDefault="00934CA4" w:rsidP="004C28FB">
      <w:pPr>
        <w:spacing w:line="480" w:lineRule="auto"/>
        <w:ind w:firstLine="720"/>
        <w:contextualSpacing/>
      </w:pPr>
      <w:r>
        <w:t>Although</w:t>
      </w:r>
      <w:r w:rsidR="00CD4F63">
        <w:t xml:space="preserve"> n</w:t>
      </w:r>
      <w:r w:rsidR="003778AE" w:rsidRPr="00D15D0E">
        <w:t>arcissist</w:t>
      </w:r>
      <w:r w:rsidR="00CD4F63">
        <w:t>ic individuals</w:t>
      </w:r>
      <w:r w:rsidR="003778AE" w:rsidRPr="00D15D0E">
        <w:t xml:space="preserve"> </w:t>
      </w:r>
      <w:r w:rsidR="00D550C4" w:rsidRPr="00D15D0E">
        <w:t xml:space="preserve">implement </w:t>
      </w:r>
      <w:r w:rsidR="003778AE" w:rsidRPr="00D15D0E">
        <w:t xml:space="preserve">both types of impression management tactics in their </w:t>
      </w:r>
      <w:r w:rsidR="0022609C" w:rsidRPr="00D15D0E">
        <w:t xml:space="preserve">general </w:t>
      </w:r>
      <w:r w:rsidR="00BD240A" w:rsidRPr="00D15D0E">
        <w:t xml:space="preserve">social </w:t>
      </w:r>
      <w:r w:rsidR="003778AE" w:rsidRPr="00D15D0E">
        <w:t xml:space="preserve">interactions </w:t>
      </w:r>
      <w:r w:rsidR="00116721" w:rsidRPr="00D15D0E">
        <w:t>(Hart</w:t>
      </w:r>
      <w:r w:rsidR="00D550C4" w:rsidRPr="00D15D0E">
        <w:t xml:space="preserve"> et al.</w:t>
      </w:r>
      <w:r w:rsidR="00116721" w:rsidRPr="00D15D0E">
        <w:t>, 2016</w:t>
      </w:r>
      <w:r w:rsidR="00B9286E" w:rsidRPr="00D15D0E">
        <w:t>; Sedikides &amp; Campbell, 2017</w:t>
      </w:r>
      <w:r w:rsidR="003778AE" w:rsidRPr="00D15D0E">
        <w:t>), we</w:t>
      </w:r>
      <w:r w:rsidR="0092103B" w:rsidRPr="00D15D0E">
        <w:t xml:space="preserve"> expect that self-promotion </w:t>
      </w:r>
      <w:r w:rsidR="00AD4C96" w:rsidRPr="00D15D0E">
        <w:t xml:space="preserve">will be </w:t>
      </w:r>
      <w:r w:rsidR="00987795" w:rsidRPr="00D15D0E">
        <w:t>the</w:t>
      </w:r>
      <w:r w:rsidR="002F5F3E" w:rsidRPr="00D15D0E">
        <w:t>ir</w:t>
      </w:r>
      <w:r w:rsidR="00987795" w:rsidRPr="00D15D0E">
        <w:t xml:space="preserve"> preferred tactic in work-related settings</w:t>
      </w:r>
      <w:r w:rsidR="003778AE" w:rsidRPr="00D15D0E">
        <w:t xml:space="preserve">. Self-promotion is </w:t>
      </w:r>
      <w:r w:rsidR="007E09AA" w:rsidRPr="00D15D0E">
        <w:t xml:space="preserve">more </w:t>
      </w:r>
      <w:r w:rsidR="003778AE" w:rsidRPr="00D15D0E">
        <w:t xml:space="preserve">consistent with </w:t>
      </w:r>
      <w:r w:rsidR="00191EFD">
        <w:t xml:space="preserve">narcissistic individuals’ </w:t>
      </w:r>
      <w:r w:rsidR="003778AE" w:rsidRPr="00D15D0E">
        <w:t xml:space="preserve">need to </w:t>
      </w:r>
      <w:r w:rsidR="00D92F73" w:rsidRPr="00D15D0E">
        <w:t xml:space="preserve">boost </w:t>
      </w:r>
      <w:r w:rsidR="00987795" w:rsidRPr="00D15D0E">
        <w:t xml:space="preserve">their image and </w:t>
      </w:r>
      <w:r w:rsidR="00813CDD" w:rsidRPr="00D15D0E">
        <w:t xml:space="preserve">flaunt </w:t>
      </w:r>
      <w:r w:rsidR="003778AE" w:rsidRPr="00D15D0E">
        <w:t>the</w:t>
      </w:r>
      <w:r w:rsidR="00813CDD" w:rsidRPr="00D15D0E">
        <w:t>ir</w:t>
      </w:r>
      <w:r w:rsidR="003778AE" w:rsidRPr="00D15D0E">
        <w:t xml:space="preserve"> </w:t>
      </w:r>
      <w:r w:rsidR="00813CDD" w:rsidRPr="00D15D0E">
        <w:t>talent</w:t>
      </w:r>
      <w:r w:rsidR="003778AE" w:rsidRPr="00D15D0E">
        <w:t xml:space="preserve"> (</w:t>
      </w:r>
      <w:r w:rsidR="00B9286E" w:rsidRPr="00D15D0E">
        <w:t>Hart et al., 2016</w:t>
      </w:r>
      <w:r w:rsidR="00987795" w:rsidRPr="00D15D0E">
        <w:t>)</w:t>
      </w:r>
      <w:r w:rsidR="002F5F3E" w:rsidRPr="00D15D0E">
        <w:t>, and th</w:t>
      </w:r>
      <w:r w:rsidR="001E21FA" w:rsidRPr="00D15D0E">
        <w:t>e</w:t>
      </w:r>
      <w:r w:rsidR="00D550C4" w:rsidRPr="00D15D0E">
        <w:t>ir</w:t>
      </w:r>
      <w:r w:rsidR="00BC35BE" w:rsidRPr="00D15D0E">
        <w:t xml:space="preserve"> need to be seen as competent is </w:t>
      </w:r>
      <w:r w:rsidR="00583093" w:rsidRPr="00D15D0E">
        <w:t>especially</w:t>
      </w:r>
      <w:r w:rsidR="00BC35BE" w:rsidRPr="00D15D0E">
        <w:t xml:space="preserve"> triggered</w:t>
      </w:r>
      <w:r w:rsidR="00583093" w:rsidRPr="00D15D0E">
        <w:t xml:space="preserve"> in performance</w:t>
      </w:r>
      <w:r w:rsidR="00D92F73" w:rsidRPr="00D15D0E">
        <w:t>-</w:t>
      </w:r>
      <w:r w:rsidR="00583093" w:rsidRPr="00D15D0E">
        <w:t>settings</w:t>
      </w:r>
      <w:r w:rsidR="00BC35BE" w:rsidRPr="00D15D0E">
        <w:t xml:space="preserve"> </w:t>
      </w:r>
      <w:r w:rsidR="00583093" w:rsidRPr="00D15D0E">
        <w:t>(Wallace &amp; Baumeister, 2002</w:t>
      </w:r>
      <w:r w:rsidR="00BB7DB0" w:rsidRPr="00D15D0E">
        <w:t>; Woodman</w:t>
      </w:r>
      <w:r w:rsidR="00D550C4" w:rsidRPr="00D15D0E">
        <w:t xml:space="preserve"> et al.</w:t>
      </w:r>
      <w:r w:rsidR="00BB7DB0" w:rsidRPr="00D15D0E">
        <w:t>, 2011</w:t>
      </w:r>
      <w:r w:rsidR="00583093" w:rsidRPr="00D15D0E">
        <w:t>)</w:t>
      </w:r>
      <w:r w:rsidR="00BC35BE" w:rsidRPr="00D15D0E">
        <w:t>.</w:t>
      </w:r>
      <w:r w:rsidR="00DD7296" w:rsidRPr="00D15D0E">
        <w:t xml:space="preserve"> </w:t>
      </w:r>
    </w:p>
    <w:p w14:paraId="0C0955CF" w14:textId="703B25FC" w:rsidR="002E560D" w:rsidRPr="00D15D0E" w:rsidRDefault="00DA6231" w:rsidP="004C28FB">
      <w:pPr>
        <w:spacing w:line="480" w:lineRule="auto"/>
        <w:contextualSpacing/>
        <w:rPr>
          <w:b/>
        </w:rPr>
      </w:pPr>
      <w:r w:rsidRPr="00D15D0E">
        <w:rPr>
          <w:b/>
        </w:rPr>
        <w:t>Overview</w:t>
      </w:r>
    </w:p>
    <w:p w14:paraId="726377CA" w14:textId="6EBEC546" w:rsidR="002966B7" w:rsidRPr="00D8563B" w:rsidRDefault="00075EC7" w:rsidP="007810EA">
      <w:pPr>
        <w:spacing w:line="480" w:lineRule="auto"/>
        <w:ind w:firstLine="720"/>
        <w:contextualSpacing/>
      </w:pPr>
      <w:r w:rsidRPr="00D15D0E">
        <w:t xml:space="preserve">We </w:t>
      </w:r>
      <w:r w:rsidR="009570E7" w:rsidRPr="00D15D0E">
        <w:t>assessed the relation between narcissism and promotability (Stud</w:t>
      </w:r>
      <w:r w:rsidR="00D550C4" w:rsidRPr="00D15D0E">
        <w:t>ies</w:t>
      </w:r>
      <w:r w:rsidR="009570E7" w:rsidRPr="00D15D0E">
        <w:t xml:space="preserve"> 1 and 2) and </w:t>
      </w:r>
      <w:r w:rsidR="00324EE8" w:rsidRPr="00D15D0E">
        <w:t xml:space="preserve">gauged </w:t>
      </w:r>
      <w:r w:rsidR="005172BC" w:rsidRPr="00D15D0E">
        <w:t>the</w:t>
      </w:r>
      <w:r w:rsidR="009A3730" w:rsidRPr="00D15D0E">
        <w:t xml:space="preserve"> relative plausibility of the</w:t>
      </w:r>
      <w:r w:rsidR="005172BC" w:rsidRPr="00D15D0E">
        <w:t xml:space="preserve"> power </w:t>
      </w:r>
      <w:r w:rsidR="009A3730" w:rsidRPr="00D15D0E">
        <w:t>and</w:t>
      </w:r>
      <w:r w:rsidR="005172BC" w:rsidRPr="00D15D0E">
        <w:t xml:space="preserve"> impression management perspectives</w:t>
      </w:r>
      <w:r w:rsidRPr="00D15D0E">
        <w:t xml:space="preserve"> </w:t>
      </w:r>
      <w:r w:rsidR="00FB2732" w:rsidRPr="00D15D0E">
        <w:t>(Study 2)</w:t>
      </w:r>
      <w:r w:rsidR="00D550C4" w:rsidRPr="00D15D0E">
        <w:t>,</w:t>
      </w:r>
      <w:r w:rsidR="00FB2732" w:rsidRPr="00D15D0E">
        <w:t xml:space="preserve"> </w:t>
      </w:r>
      <w:r w:rsidR="001702AB" w:rsidRPr="00D15D0E">
        <w:t xml:space="preserve">with data </w:t>
      </w:r>
      <w:r w:rsidR="00237025" w:rsidRPr="00D15D0E">
        <w:t xml:space="preserve">obtained from </w:t>
      </w:r>
      <w:r w:rsidR="00390B92" w:rsidRPr="00D15D0E">
        <w:t xml:space="preserve">supervisors </w:t>
      </w:r>
      <w:r w:rsidR="00237025" w:rsidRPr="00D15D0E">
        <w:t xml:space="preserve">and </w:t>
      </w:r>
      <w:r w:rsidR="00390B92" w:rsidRPr="00D15D0E">
        <w:t xml:space="preserve">employees </w:t>
      </w:r>
      <w:r w:rsidR="001702AB" w:rsidRPr="00D15D0E">
        <w:t>across several industries</w:t>
      </w:r>
      <w:r w:rsidR="002E560D" w:rsidRPr="00D15D0E">
        <w:t xml:space="preserve">. </w:t>
      </w:r>
      <w:r w:rsidR="000F400B" w:rsidRPr="00D15D0E">
        <w:t>We also conducted an experiment</w:t>
      </w:r>
      <w:r w:rsidR="000E6794" w:rsidRPr="003D70B4">
        <w:t xml:space="preserve"> </w:t>
      </w:r>
      <w:r w:rsidR="000F400B" w:rsidRPr="003D70B4">
        <w:t>(Study 3) to test the causal effect of the underlying mechanism</w:t>
      </w:r>
      <w:r w:rsidR="000E6794" w:rsidRPr="003D70B4">
        <w:t xml:space="preserve"> (i.e., sense of power)</w:t>
      </w:r>
      <w:r w:rsidR="006720D8" w:rsidRPr="003D70B4">
        <w:t xml:space="preserve"> </w:t>
      </w:r>
      <w:r w:rsidR="006720D8" w:rsidRPr="00D15D0E">
        <w:t>on promotability</w:t>
      </w:r>
      <w:r w:rsidR="000F400B" w:rsidRPr="00D15D0E">
        <w:t>.</w:t>
      </w:r>
      <w:r w:rsidR="00155F0B" w:rsidRPr="00D15D0E">
        <w:t xml:space="preserve"> </w:t>
      </w:r>
      <w:r w:rsidR="00A9117E" w:rsidRPr="00D15D0E">
        <w:t>B</w:t>
      </w:r>
      <w:r w:rsidR="002966B7" w:rsidRPr="00D15D0E">
        <w:t>y examining the relation between employees</w:t>
      </w:r>
      <w:r w:rsidR="00D52D7E" w:rsidRPr="00D15D0E">
        <w:t>’</w:t>
      </w:r>
      <w:r w:rsidR="002966B7" w:rsidRPr="00D15D0E">
        <w:t xml:space="preserve"> narcissism and supervisors</w:t>
      </w:r>
      <w:r w:rsidR="00324EE8" w:rsidRPr="0041230A">
        <w:t>’</w:t>
      </w:r>
      <w:r w:rsidR="002966B7" w:rsidRPr="0041230A">
        <w:t xml:space="preserve"> evaluations of promotability</w:t>
      </w:r>
      <w:r w:rsidR="00324EE8" w:rsidRPr="00AD6A74">
        <w:t>—</w:t>
      </w:r>
      <w:r w:rsidR="002966B7" w:rsidRPr="00AD6A74">
        <w:t>a</w:t>
      </w:r>
      <w:r w:rsidR="00324EE8" w:rsidRPr="00AD6A74">
        <w:t xml:space="preserve"> key</w:t>
      </w:r>
      <w:r w:rsidR="002966B7" w:rsidRPr="00076E4A">
        <w:t xml:space="preserve"> predictor of actual promotions and career success</w:t>
      </w:r>
      <w:r w:rsidR="001702AB" w:rsidRPr="007E74C2">
        <w:t xml:space="preserve"> (De Pater et al., 2009)</w:t>
      </w:r>
      <w:r w:rsidR="00324EE8" w:rsidRPr="007E74C2">
        <w:t>—</w:t>
      </w:r>
      <w:r w:rsidR="002966B7" w:rsidRPr="008E3958">
        <w:t>we extend</w:t>
      </w:r>
      <w:r w:rsidR="00A9117E" w:rsidRPr="003D57C7">
        <w:t xml:space="preserve"> substantially</w:t>
      </w:r>
      <w:r w:rsidR="009A3730" w:rsidRPr="003D57C7">
        <w:t xml:space="preserve"> the</w:t>
      </w:r>
      <w:r w:rsidR="002966B7" w:rsidRPr="003D57C7">
        <w:t xml:space="preserve"> literature </w:t>
      </w:r>
      <w:r w:rsidR="00A9117E" w:rsidRPr="00495C0B">
        <w:t>on</w:t>
      </w:r>
      <w:r w:rsidR="00D51548" w:rsidRPr="00D2563E">
        <w:t xml:space="preserve"> the</w:t>
      </w:r>
      <w:r w:rsidR="002966B7" w:rsidRPr="005160C6">
        <w:t xml:space="preserve"> </w:t>
      </w:r>
      <w:r w:rsidR="00EA239E" w:rsidRPr="003D70B4">
        <w:t xml:space="preserve">rise </w:t>
      </w:r>
      <w:r w:rsidR="00D51548" w:rsidRPr="003D70B4">
        <w:t>of narcissistic</w:t>
      </w:r>
      <w:r w:rsidR="002966B7" w:rsidRPr="003D70B4">
        <w:t xml:space="preserve"> leaders and </w:t>
      </w:r>
      <w:r w:rsidR="00324EE8" w:rsidRPr="003D70B4">
        <w:t>expand</w:t>
      </w:r>
      <w:r w:rsidR="002966B7" w:rsidRPr="003D70B4">
        <w:t xml:space="preserve"> understanding of how narcissist</w:t>
      </w:r>
      <w:r w:rsidR="009530A2">
        <w:t>ic individuals</w:t>
      </w:r>
      <w:r w:rsidR="002966B7" w:rsidRPr="003D70B4">
        <w:t xml:space="preserve"> attain </w:t>
      </w:r>
      <w:r w:rsidR="00785D34" w:rsidRPr="003D70B4">
        <w:t>higher-</w:t>
      </w:r>
      <w:r w:rsidR="00785D34" w:rsidRPr="003D70B4">
        <w:lastRenderedPageBreak/>
        <w:t xml:space="preserve">level </w:t>
      </w:r>
      <w:r w:rsidR="002966B7" w:rsidRPr="003D70B4">
        <w:t>positions.</w:t>
      </w:r>
      <w:r w:rsidR="00254AB1" w:rsidRPr="003D70B4">
        <w:t xml:space="preserve"> </w:t>
      </w:r>
      <w:r w:rsidR="00D51548" w:rsidRPr="003D70B4">
        <w:t>Also</w:t>
      </w:r>
      <w:r w:rsidR="00254AB1" w:rsidRPr="003D70B4">
        <w:t xml:space="preserve">, </w:t>
      </w:r>
      <w:r w:rsidR="00254AB1" w:rsidRPr="00D8563B">
        <w:t xml:space="preserve">by focusing on </w:t>
      </w:r>
      <w:r w:rsidR="00F44563" w:rsidRPr="00D8563B">
        <w:t>power</w:t>
      </w:r>
      <w:r w:rsidR="003C251C" w:rsidRPr="00D8563B">
        <w:t xml:space="preserve"> and impression management tactics</w:t>
      </w:r>
      <w:r w:rsidR="00254AB1" w:rsidRPr="00D8563B">
        <w:t xml:space="preserve">, </w:t>
      </w:r>
      <w:r w:rsidRPr="00D8563B">
        <w:t xml:space="preserve">we </w:t>
      </w:r>
      <w:r w:rsidR="00254AB1" w:rsidRPr="00D8563B">
        <w:t xml:space="preserve">identify the type of </w:t>
      </w:r>
      <w:r w:rsidR="00844AE7" w:rsidRPr="00D8563B">
        <w:t>behavior</w:t>
      </w:r>
      <w:r w:rsidR="00254AB1" w:rsidRPr="00D8563B">
        <w:t xml:space="preserve"> </w:t>
      </w:r>
      <w:r w:rsidR="00875A00" w:rsidRPr="00D8563B">
        <w:t>that influences</w:t>
      </w:r>
      <w:r w:rsidR="00254AB1" w:rsidRPr="00D8563B">
        <w:t xml:space="preserve"> supervisors</w:t>
      </w:r>
      <w:r w:rsidR="00D52D7E" w:rsidRPr="00D8563B">
        <w:t>’</w:t>
      </w:r>
      <w:r w:rsidR="00254AB1" w:rsidRPr="00D8563B">
        <w:t xml:space="preserve"> perceptions of </w:t>
      </w:r>
      <w:r w:rsidR="009530A2">
        <w:t xml:space="preserve">narcissistic individuals’ </w:t>
      </w:r>
      <w:r w:rsidR="00875A00" w:rsidRPr="00D8563B">
        <w:t xml:space="preserve">potential </w:t>
      </w:r>
      <w:r w:rsidR="00785D34" w:rsidRPr="00D8563B">
        <w:t>to rise in</w:t>
      </w:r>
      <w:r w:rsidR="00AC0038">
        <w:t xml:space="preserve"> </w:t>
      </w:r>
      <w:r w:rsidR="00785D34" w:rsidRPr="00D8563B">
        <w:t>organization</w:t>
      </w:r>
      <w:r w:rsidR="0000108E" w:rsidRPr="00D8563B">
        <w:t>s</w:t>
      </w:r>
      <w:r w:rsidR="00254AB1" w:rsidRPr="00D8563B">
        <w:t xml:space="preserve">. </w:t>
      </w:r>
      <w:r w:rsidR="007810EA" w:rsidRPr="00D8563B">
        <w:rPr>
          <w:bCs/>
        </w:rPr>
        <w:t xml:space="preserve">The protocol </w:t>
      </w:r>
      <w:r w:rsidR="007810EA">
        <w:rPr>
          <w:bCs/>
        </w:rPr>
        <w:t xml:space="preserve">for all studies </w:t>
      </w:r>
      <w:r w:rsidR="007810EA" w:rsidRPr="00D8563B">
        <w:rPr>
          <w:bCs/>
        </w:rPr>
        <w:t xml:space="preserve">was approved by the </w:t>
      </w:r>
      <w:r w:rsidR="007810EA">
        <w:rPr>
          <w:bCs/>
        </w:rPr>
        <w:t>Faculty of Social and Behavioral Sciences</w:t>
      </w:r>
      <w:r w:rsidR="007810EA" w:rsidRPr="00D8563B" w:rsidDel="00D8563B">
        <w:rPr>
          <w:bCs/>
        </w:rPr>
        <w:t xml:space="preserve"> </w:t>
      </w:r>
      <w:r w:rsidR="007810EA" w:rsidRPr="00D8563B">
        <w:rPr>
          <w:bCs/>
        </w:rPr>
        <w:t xml:space="preserve">Ethics Review Board </w:t>
      </w:r>
      <w:r w:rsidR="007810EA">
        <w:rPr>
          <w:bCs/>
        </w:rPr>
        <w:t xml:space="preserve">at </w:t>
      </w:r>
      <w:r w:rsidR="007810EA" w:rsidRPr="00D8563B">
        <w:rPr>
          <w:bCs/>
        </w:rPr>
        <w:t>University of Amsterdam.</w:t>
      </w:r>
      <w:r w:rsidR="007810EA" w:rsidRPr="00D15D0E">
        <w:rPr>
          <w:bCs/>
        </w:rPr>
        <w:t xml:space="preserve"> </w:t>
      </w:r>
      <w:r w:rsidR="007810EA">
        <w:t>Our</w:t>
      </w:r>
      <w:r w:rsidR="007810EA" w:rsidRPr="00F4469C">
        <w:t xml:space="preserve"> data</w:t>
      </w:r>
      <w:r w:rsidR="007810EA">
        <w:rPr>
          <w:rStyle w:val="FootnoteReference"/>
          <w:bCs/>
        </w:rPr>
        <w:footnoteReference w:id="1"/>
      </w:r>
      <w:r w:rsidR="007810EA" w:rsidRPr="00F4469C">
        <w:t xml:space="preserve"> are available </w:t>
      </w:r>
      <w:r w:rsidR="007810EA">
        <w:t>on OSF</w:t>
      </w:r>
      <w:r w:rsidR="007810EA" w:rsidRPr="00F4469C">
        <w:t xml:space="preserve"> </w:t>
      </w:r>
      <w:hyperlink r:id="rId8" w:history="1">
        <w:r w:rsidR="007810EA" w:rsidRPr="00514D4F">
          <w:rPr>
            <w:rStyle w:val="Hyperlink"/>
            <w:bCs/>
            <w:color w:val="000000" w:themeColor="text1"/>
            <w:u w:val="none"/>
          </w:rPr>
          <w:t>https://osf.io/d9njf/?view_only=cb4aa1b356664c1a80efe920a9ebd585</w:t>
        </w:r>
      </w:hyperlink>
      <w:r w:rsidR="007810EA">
        <w:rPr>
          <w:bCs/>
        </w:rPr>
        <w:t>.</w:t>
      </w:r>
    </w:p>
    <w:p w14:paraId="678490D1" w14:textId="014E6E0F" w:rsidR="00094A36" w:rsidRPr="00D8563B" w:rsidRDefault="00C278F5" w:rsidP="004C28FB">
      <w:pPr>
        <w:spacing w:line="480" w:lineRule="auto"/>
        <w:contextualSpacing/>
        <w:jc w:val="center"/>
        <w:outlineLvl w:val="0"/>
        <w:rPr>
          <w:b/>
        </w:rPr>
      </w:pPr>
      <w:r w:rsidRPr="00D8563B">
        <w:rPr>
          <w:b/>
        </w:rPr>
        <w:t>Study</w:t>
      </w:r>
      <w:r w:rsidR="00FE2C21" w:rsidRPr="00D8563B">
        <w:rPr>
          <w:b/>
        </w:rPr>
        <w:t xml:space="preserve"> 1</w:t>
      </w:r>
    </w:p>
    <w:p w14:paraId="68753C61" w14:textId="23FF31DA" w:rsidR="00751FDA" w:rsidRPr="00D8563B" w:rsidRDefault="0039223C" w:rsidP="004C28FB">
      <w:pPr>
        <w:spacing w:line="480" w:lineRule="auto"/>
        <w:contextualSpacing/>
      </w:pPr>
      <w:r w:rsidRPr="00D8563B">
        <w:tab/>
      </w:r>
      <w:r w:rsidR="00BD4E6D" w:rsidRPr="00D8563B">
        <w:t xml:space="preserve">Study </w:t>
      </w:r>
      <w:r w:rsidR="005401CD" w:rsidRPr="00D8563B">
        <w:t xml:space="preserve">1 </w:t>
      </w:r>
      <w:r w:rsidR="00BD4E6D" w:rsidRPr="00D8563B">
        <w:t>constitutes a</w:t>
      </w:r>
      <w:r w:rsidR="00D52D7E" w:rsidRPr="00D8563B">
        <w:t xml:space="preserve"> foray into</w:t>
      </w:r>
      <w:r w:rsidR="003C251C" w:rsidRPr="00D8563B">
        <w:t xml:space="preserve"> the link between narcissism and promotability. </w:t>
      </w:r>
    </w:p>
    <w:p w14:paraId="63B492EA" w14:textId="044934A1" w:rsidR="009351BC" w:rsidRPr="00D8563B" w:rsidRDefault="004B4062" w:rsidP="004C28FB">
      <w:pPr>
        <w:spacing w:line="480" w:lineRule="auto"/>
        <w:outlineLvl w:val="0"/>
        <w:rPr>
          <w:b/>
        </w:rPr>
      </w:pPr>
      <w:r w:rsidRPr="00D8563B">
        <w:rPr>
          <w:b/>
        </w:rPr>
        <w:t>Method</w:t>
      </w:r>
    </w:p>
    <w:p w14:paraId="10DC8609" w14:textId="77777777" w:rsidR="00231EB8" w:rsidRPr="00D8563B" w:rsidRDefault="00231EB8" w:rsidP="004C28FB">
      <w:pPr>
        <w:spacing w:line="480" w:lineRule="auto"/>
        <w:outlineLvl w:val="0"/>
        <w:rPr>
          <w:b/>
          <w:bCs/>
          <w:i/>
          <w:iCs/>
        </w:rPr>
      </w:pPr>
      <w:r w:rsidRPr="00D8563B">
        <w:rPr>
          <w:b/>
          <w:bCs/>
          <w:i/>
          <w:iCs/>
        </w:rPr>
        <w:t>Sample and Procedure</w:t>
      </w:r>
    </w:p>
    <w:p w14:paraId="7CC08AEA" w14:textId="48B77EC9" w:rsidR="0091330D" w:rsidRPr="003D70B4" w:rsidRDefault="00407E66" w:rsidP="004C28FB">
      <w:pPr>
        <w:spacing w:line="480" w:lineRule="auto"/>
        <w:ind w:firstLine="720"/>
        <w:rPr>
          <w:bCs/>
        </w:rPr>
      </w:pPr>
      <w:r w:rsidRPr="00D15D0E">
        <w:rPr>
          <w:bCs/>
        </w:rPr>
        <w:t>We recruited p</w:t>
      </w:r>
      <w:r w:rsidR="00AC4215" w:rsidRPr="00D8563B">
        <w:rPr>
          <w:bCs/>
        </w:rPr>
        <w:t xml:space="preserve">articipants </w:t>
      </w:r>
      <w:r w:rsidR="0099677C" w:rsidRPr="00D8563B">
        <w:rPr>
          <w:bCs/>
        </w:rPr>
        <w:t>by</w:t>
      </w:r>
      <w:r w:rsidR="00075713" w:rsidRPr="00D8563B">
        <w:rPr>
          <w:bCs/>
        </w:rPr>
        <w:t xml:space="preserve"> asking administrative personnel within </w:t>
      </w:r>
      <w:r w:rsidR="00914102" w:rsidRPr="00D8563B">
        <w:rPr>
          <w:bCs/>
        </w:rPr>
        <w:t xml:space="preserve">different </w:t>
      </w:r>
      <w:r w:rsidR="00F44563" w:rsidRPr="00D8563B">
        <w:rPr>
          <w:bCs/>
        </w:rPr>
        <w:t>industries</w:t>
      </w:r>
      <w:r w:rsidR="00A85E18" w:rsidRPr="00D8563B">
        <w:rPr>
          <w:bCs/>
        </w:rPr>
        <w:t xml:space="preserve"> </w:t>
      </w:r>
      <w:r w:rsidR="00914102" w:rsidRPr="00D8563B">
        <w:rPr>
          <w:bCs/>
        </w:rPr>
        <w:t xml:space="preserve">(e.g., </w:t>
      </w:r>
      <w:r w:rsidR="008565B9" w:rsidRPr="00D8563B">
        <w:rPr>
          <w:bCs/>
        </w:rPr>
        <w:t>business services, education</w:t>
      </w:r>
      <w:r w:rsidR="00B5094B">
        <w:rPr>
          <w:bCs/>
        </w:rPr>
        <w:t xml:space="preserve">, </w:t>
      </w:r>
      <w:r w:rsidR="00B5094B" w:rsidRPr="00D8563B">
        <w:rPr>
          <w:bCs/>
        </w:rPr>
        <w:t>health care</w:t>
      </w:r>
      <w:r w:rsidR="00914102" w:rsidRPr="00D8563B">
        <w:rPr>
          <w:bCs/>
        </w:rPr>
        <w:t>)</w:t>
      </w:r>
      <w:r w:rsidR="00DA6231" w:rsidRPr="00D8563B">
        <w:rPr>
          <w:bCs/>
        </w:rPr>
        <w:t xml:space="preserve"> in The Netherlands</w:t>
      </w:r>
      <w:r w:rsidR="00075713" w:rsidRPr="0041230A">
        <w:rPr>
          <w:bCs/>
        </w:rPr>
        <w:t xml:space="preserve"> to distribute a</w:t>
      </w:r>
      <w:r w:rsidR="0091330D" w:rsidRPr="0041230A">
        <w:rPr>
          <w:bCs/>
        </w:rPr>
        <w:t xml:space="preserve"> study</w:t>
      </w:r>
      <w:r w:rsidR="00075713" w:rsidRPr="0041230A">
        <w:rPr>
          <w:bCs/>
        </w:rPr>
        <w:t xml:space="preserve"> invitation to employees</w:t>
      </w:r>
      <w:r w:rsidR="0091330D" w:rsidRPr="0041230A">
        <w:rPr>
          <w:bCs/>
        </w:rPr>
        <w:t>. By doing so, we</w:t>
      </w:r>
      <w:r w:rsidR="00075713" w:rsidRPr="00AD6A74">
        <w:rPr>
          <w:bCs/>
        </w:rPr>
        <w:t xml:space="preserve"> obtain</w:t>
      </w:r>
      <w:r w:rsidR="0091330D" w:rsidRPr="00AD6A74">
        <w:rPr>
          <w:bCs/>
        </w:rPr>
        <w:t>ed</w:t>
      </w:r>
      <w:r w:rsidR="00075713" w:rsidRPr="00AD6A74">
        <w:rPr>
          <w:bCs/>
        </w:rPr>
        <w:t xml:space="preserve"> e-mail addresses of employees at different organizations and</w:t>
      </w:r>
      <w:r w:rsidR="0091330D" w:rsidRPr="00AD6A74">
        <w:rPr>
          <w:bCs/>
        </w:rPr>
        <w:t xml:space="preserve"> requested their </w:t>
      </w:r>
      <w:r w:rsidR="00075713" w:rsidRPr="00076E4A">
        <w:rPr>
          <w:bCs/>
        </w:rPr>
        <w:t>participat</w:t>
      </w:r>
      <w:r w:rsidR="0091330D" w:rsidRPr="007E74C2">
        <w:rPr>
          <w:bCs/>
        </w:rPr>
        <w:t xml:space="preserve">ion. Further, we asked </w:t>
      </w:r>
      <w:r w:rsidR="00871118" w:rsidRPr="007E74C2">
        <w:rPr>
          <w:bCs/>
        </w:rPr>
        <w:t xml:space="preserve">participants who </w:t>
      </w:r>
      <w:r w:rsidR="0091330D" w:rsidRPr="008E3958">
        <w:rPr>
          <w:bCs/>
        </w:rPr>
        <w:t xml:space="preserve">had </w:t>
      </w:r>
      <w:r w:rsidR="00871118" w:rsidRPr="003D57C7">
        <w:rPr>
          <w:bCs/>
        </w:rPr>
        <w:t xml:space="preserve">already completed the </w:t>
      </w:r>
      <w:r w:rsidR="00E34A98" w:rsidRPr="003D57C7">
        <w:rPr>
          <w:bCs/>
        </w:rPr>
        <w:t xml:space="preserve">online </w:t>
      </w:r>
      <w:r w:rsidR="00871118" w:rsidRPr="003D57C7">
        <w:rPr>
          <w:bCs/>
        </w:rPr>
        <w:t xml:space="preserve">survey to nominate additional </w:t>
      </w:r>
      <w:r w:rsidR="00E34A98" w:rsidRPr="00495C0B">
        <w:rPr>
          <w:bCs/>
        </w:rPr>
        <w:t>employees</w:t>
      </w:r>
      <w:r w:rsidR="00871118" w:rsidRPr="00D2563E">
        <w:rPr>
          <w:bCs/>
        </w:rPr>
        <w:t xml:space="preserve"> and p</w:t>
      </w:r>
      <w:r w:rsidR="00871118" w:rsidRPr="005160C6">
        <w:rPr>
          <w:bCs/>
        </w:rPr>
        <w:t>rovide their email addresses</w:t>
      </w:r>
      <w:r w:rsidR="00075713" w:rsidRPr="003D70B4">
        <w:rPr>
          <w:bCs/>
        </w:rPr>
        <w:t>.</w:t>
      </w:r>
      <w:r w:rsidR="00E71D44" w:rsidRPr="003D70B4">
        <w:rPr>
          <w:bCs/>
        </w:rPr>
        <w:t xml:space="preserve"> </w:t>
      </w:r>
      <w:r w:rsidR="002221C8" w:rsidRPr="003D70B4">
        <w:rPr>
          <w:bCs/>
        </w:rPr>
        <w:t>All</w:t>
      </w:r>
      <w:r w:rsidR="003155BE" w:rsidRPr="003D70B4">
        <w:rPr>
          <w:bCs/>
        </w:rPr>
        <w:t xml:space="preserve"> </w:t>
      </w:r>
      <w:r w:rsidR="00E71D44" w:rsidRPr="003D70B4">
        <w:rPr>
          <w:bCs/>
        </w:rPr>
        <w:t>surveys</w:t>
      </w:r>
      <w:r w:rsidR="002221C8" w:rsidRPr="003D70B4">
        <w:rPr>
          <w:bCs/>
        </w:rPr>
        <w:t xml:space="preserve"> were</w:t>
      </w:r>
      <w:r w:rsidR="007905CA" w:rsidRPr="003D70B4">
        <w:rPr>
          <w:bCs/>
        </w:rPr>
        <w:t xml:space="preserve"> </w:t>
      </w:r>
      <w:r w:rsidR="00E71D44" w:rsidRPr="003D70B4">
        <w:rPr>
          <w:bCs/>
        </w:rPr>
        <w:t>in Dutch</w:t>
      </w:r>
      <w:r w:rsidR="0091330D" w:rsidRPr="003D70B4">
        <w:rPr>
          <w:bCs/>
        </w:rPr>
        <w:t>. The stimulus materials</w:t>
      </w:r>
      <w:r w:rsidR="002B46CD" w:rsidRPr="003D70B4">
        <w:rPr>
          <w:bCs/>
        </w:rPr>
        <w:t xml:space="preserve"> (in this study and also in Study 2)</w:t>
      </w:r>
      <w:r w:rsidR="001B0137" w:rsidRPr="003D70B4">
        <w:t xml:space="preserve"> </w:t>
      </w:r>
      <w:r w:rsidR="001B0137" w:rsidRPr="003D70B4">
        <w:rPr>
          <w:bCs/>
        </w:rPr>
        <w:t>we</w:t>
      </w:r>
      <w:r w:rsidR="0091330D" w:rsidRPr="003D70B4">
        <w:rPr>
          <w:bCs/>
        </w:rPr>
        <w:t>re translated and back-translated by a</w:t>
      </w:r>
      <w:r w:rsidR="001B0137" w:rsidRPr="003D70B4">
        <w:rPr>
          <w:bCs/>
        </w:rPr>
        <w:t xml:space="preserve"> committee of bilinguals (Brislin, 1980).</w:t>
      </w:r>
    </w:p>
    <w:p w14:paraId="19BB7B41" w14:textId="00E131CA" w:rsidR="00B5094B" w:rsidRDefault="00EB7BB2" w:rsidP="004C28FB">
      <w:pPr>
        <w:spacing w:line="480" w:lineRule="auto"/>
        <w:ind w:firstLine="720"/>
        <w:rPr>
          <w:bCs/>
        </w:rPr>
      </w:pPr>
      <w:r w:rsidRPr="003D70B4">
        <w:rPr>
          <w:bCs/>
        </w:rPr>
        <w:t>Participants complete</w:t>
      </w:r>
      <w:r w:rsidR="0099677C" w:rsidRPr="003D70B4">
        <w:rPr>
          <w:bCs/>
        </w:rPr>
        <w:t>d</w:t>
      </w:r>
      <w:r w:rsidR="007905CA" w:rsidRPr="003D70B4">
        <w:rPr>
          <w:bCs/>
        </w:rPr>
        <w:t xml:space="preserve"> </w:t>
      </w:r>
      <w:r w:rsidRPr="003D70B4">
        <w:rPr>
          <w:bCs/>
        </w:rPr>
        <w:t xml:space="preserve">the online </w:t>
      </w:r>
      <w:r w:rsidR="00390B92" w:rsidRPr="003D70B4">
        <w:rPr>
          <w:bCs/>
        </w:rPr>
        <w:t xml:space="preserve">supervisor </w:t>
      </w:r>
      <w:r w:rsidRPr="003D70B4">
        <w:rPr>
          <w:bCs/>
        </w:rPr>
        <w:t xml:space="preserve">or </w:t>
      </w:r>
      <w:r w:rsidR="00390B92" w:rsidRPr="003D70B4">
        <w:rPr>
          <w:bCs/>
        </w:rPr>
        <w:t xml:space="preserve">employee </w:t>
      </w:r>
      <w:r w:rsidRPr="003D70B4">
        <w:rPr>
          <w:bCs/>
        </w:rPr>
        <w:t>survey.</w:t>
      </w:r>
      <w:r w:rsidR="00AC4215" w:rsidRPr="003D70B4">
        <w:rPr>
          <w:bCs/>
        </w:rPr>
        <w:t xml:space="preserve"> </w:t>
      </w:r>
      <w:r w:rsidR="00D97E2B" w:rsidRPr="003D70B4">
        <w:rPr>
          <w:bCs/>
        </w:rPr>
        <w:t xml:space="preserve">When </w:t>
      </w:r>
      <w:r w:rsidR="0091330D" w:rsidRPr="003D70B4">
        <w:rPr>
          <w:bCs/>
        </w:rPr>
        <w:t xml:space="preserve">we approached the </w:t>
      </w:r>
      <w:r w:rsidR="00390B92" w:rsidRPr="003D70B4">
        <w:rPr>
          <w:bCs/>
        </w:rPr>
        <w:t xml:space="preserve">supervisor </w:t>
      </w:r>
      <w:r w:rsidR="00D97E2B" w:rsidRPr="003D70B4">
        <w:rPr>
          <w:bCs/>
        </w:rPr>
        <w:t xml:space="preserve">first, we asked them to nominate up to 10 </w:t>
      </w:r>
      <w:r w:rsidR="00390B92" w:rsidRPr="003D70B4">
        <w:rPr>
          <w:bCs/>
        </w:rPr>
        <w:t>employees</w:t>
      </w:r>
      <w:r w:rsidR="00062A6D" w:rsidRPr="003D70B4">
        <w:rPr>
          <w:bCs/>
        </w:rPr>
        <w:t xml:space="preserve"> who they directly supervise</w:t>
      </w:r>
      <w:r w:rsidR="00D550C4" w:rsidRPr="003D70B4">
        <w:rPr>
          <w:bCs/>
        </w:rPr>
        <w:t>d</w:t>
      </w:r>
      <w:r w:rsidR="00D97E2B" w:rsidRPr="003D70B4">
        <w:rPr>
          <w:bCs/>
        </w:rPr>
        <w:t xml:space="preserve">, and subsequently we randomly selected three of these for the </w:t>
      </w:r>
      <w:r w:rsidR="00062A6D" w:rsidRPr="003D70B4">
        <w:rPr>
          <w:bCs/>
        </w:rPr>
        <w:t xml:space="preserve">supervisors </w:t>
      </w:r>
      <w:r w:rsidR="00D97E2B" w:rsidRPr="003D70B4">
        <w:rPr>
          <w:bCs/>
        </w:rPr>
        <w:t>to evaluate. In this manner, we aimed to minimi</w:t>
      </w:r>
      <w:r w:rsidR="00390B92" w:rsidRPr="003D70B4">
        <w:rPr>
          <w:bCs/>
        </w:rPr>
        <w:t>z</w:t>
      </w:r>
      <w:r w:rsidR="00D97E2B" w:rsidRPr="003D70B4">
        <w:rPr>
          <w:bCs/>
        </w:rPr>
        <w:t xml:space="preserve">e selection bias. </w:t>
      </w:r>
      <w:r w:rsidR="0091330D" w:rsidRPr="003D70B4">
        <w:rPr>
          <w:bCs/>
        </w:rPr>
        <w:t>We then invited t</w:t>
      </w:r>
      <w:r w:rsidR="00D97E2B" w:rsidRPr="003D70B4">
        <w:rPr>
          <w:bCs/>
        </w:rPr>
        <w:t xml:space="preserve">hese selected </w:t>
      </w:r>
      <w:r w:rsidR="00062A6D" w:rsidRPr="003D70B4">
        <w:rPr>
          <w:bCs/>
        </w:rPr>
        <w:t xml:space="preserve">employees </w:t>
      </w:r>
      <w:r w:rsidR="00D97E2B" w:rsidRPr="003D70B4">
        <w:rPr>
          <w:bCs/>
        </w:rPr>
        <w:t xml:space="preserve">to complete the </w:t>
      </w:r>
      <w:r w:rsidR="00062A6D" w:rsidRPr="003D70B4">
        <w:rPr>
          <w:bCs/>
        </w:rPr>
        <w:t xml:space="preserve">employee </w:t>
      </w:r>
      <w:r w:rsidR="00D97E2B" w:rsidRPr="003D70B4">
        <w:rPr>
          <w:bCs/>
        </w:rPr>
        <w:t>survey. When</w:t>
      </w:r>
      <w:r w:rsidR="0091330D" w:rsidRPr="003D70B4">
        <w:rPr>
          <w:bCs/>
        </w:rPr>
        <w:t xml:space="preserve"> we approached</w:t>
      </w:r>
      <w:r w:rsidR="00D97E2B" w:rsidRPr="003D70B4">
        <w:rPr>
          <w:bCs/>
        </w:rPr>
        <w:t xml:space="preserve"> the </w:t>
      </w:r>
      <w:r w:rsidR="00062A6D" w:rsidRPr="003D70B4">
        <w:rPr>
          <w:bCs/>
        </w:rPr>
        <w:t xml:space="preserve">employee </w:t>
      </w:r>
      <w:r w:rsidR="00D97E2B" w:rsidRPr="003D70B4">
        <w:rPr>
          <w:bCs/>
        </w:rPr>
        <w:t>first, w</w:t>
      </w:r>
      <w:r w:rsidR="0099677C" w:rsidRPr="003D70B4">
        <w:rPr>
          <w:bCs/>
        </w:rPr>
        <w:t xml:space="preserve">e asked </w:t>
      </w:r>
      <w:r w:rsidR="00D97E2B" w:rsidRPr="003D70B4">
        <w:rPr>
          <w:bCs/>
        </w:rPr>
        <w:t xml:space="preserve">them </w:t>
      </w:r>
      <w:r w:rsidR="00AC4215" w:rsidRPr="003D70B4">
        <w:rPr>
          <w:bCs/>
        </w:rPr>
        <w:t>to provide an email add</w:t>
      </w:r>
      <w:r w:rsidR="00F44563" w:rsidRPr="003D70B4">
        <w:rPr>
          <w:bCs/>
        </w:rPr>
        <w:t>ress of their direct supervisor, who</w:t>
      </w:r>
      <w:r w:rsidR="00DA6231" w:rsidRPr="003D70B4">
        <w:rPr>
          <w:bCs/>
        </w:rPr>
        <w:t>m</w:t>
      </w:r>
      <w:r w:rsidR="0099677C" w:rsidRPr="003D70B4">
        <w:rPr>
          <w:bCs/>
        </w:rPr>
        <w:t xml:space="preserve"> we</w:t>
      </w:r>
      <w:r w:rsidR="00F44563" w:rsidRPr="003D70B4">
        <w:rPr>
          <w:bCs/>
        </w:rPr>
        <w:t xml:space="preserve"> subsequently invited to </w:t>
      </w:r>
      <w:r w:rsidR="0099677C" w:rsidRPr="003D70B4">
        <w:rPr>
          <w:bCs/>
        </w:rPr>
        <w:t>complete</w:t>
      </w:r>
      <w:r w:rsidR="00F44563" w:rsidRPr="003D70B4">
        <w:rPr>
          <w:bCs/>
        </w:rPr>
        <w:t xml:space="preserve"> the </w:t>
      </w:r>
      <w:r w:rsidR="00CC6EB3" w:rsidRPr="003D70B4">
        <w:rPr>
          <w:bCs/>
        </w:rPr>
        <w:t xml:space="preserve">supervisor </w:t>
      </w:r>
      <w:r w:rsidR="00F44563" w:rsidRPr="003D70B4">
        <w:rPr>
          <w:bCs/>
        </w:rPr>
        <w:t>survey.</w:t>
      </w:r>
      <w:r w:rsidR="00AC4215" w:rsidRPr="003D70B4">
        <w:rPr>
          <w:bCs/>
        </w:rPr>
        <w:t xml:space="preserve"> </w:t>
      </w:r>
      <w:r w:rsidR="007739F3" w:rsidRPr="003D70B4">
        <w:rPr>
          <w:bCs/>
        </w:rPr>
        <w:t>To encourage</w:t>
      </w:r>
      <w:r w:rsidR="00C265ED" w:rsidRPr="003D70B4">
        <w:rPr>
          <w:bCs/>
        </w:rPr>
        <w:t xml:space="preserve"> study</w:t>
      </w:r>
      <w:r w:rsidR="007739F3" w:rsidRPr="003D70B4">
        <w:rPr>
          <w:bCs/>
        </w:rPr>
        <w:t xml:space="preserve"> </w:t>
      </w:r>
      <w:r w:rsidR="00407E66" w:rsidRPr="003D70B4">
        <w:rPr>
          <w:bCs/>
        </w:rPr>
        <w:t>involvement</w:t>
      </w:r>
      <w:r w:rsidR="007739F3" w:rsidRPr="003D70B4">
        <w:rPr>
          <w:bCs/>
        </w:rPr>
        <w:t xml:space="preserve">, </w:t>
      </w:r>
      <w:r w:rsidR="00407E66" w:rsidRPr="003D70B4">
        <w:rPr>
          <w:bCs/>
        </w:rPr>
        <w:t xml:space="preserve">we </w:t>
      </w:r>
      <w:r w:rsidR="00407E66" w:rsidRPr="003D70B4">
        <w:rPr>
          <w:bCs/>
        </w:rPr>
        <w:lastRenderedPageBreak/>
        <w:t xml:space="preserve">offered </w:t>
      </w:r>
      <w:r w:rsidR="007739F3" w:rsidRPr="003D70B4">
        <w:rPr>
          <w:bCs/>
        </w:rPr>
        <w:t>participants the op</w:t>
      </w:r>
      <w:r w:rsidR="00F44563" w:rsidRPr="003D70B4">
        <w:rPr>
          <w:bCs/>
        </w:rPr>
        <w:t xml:space="preserve">portunity to receive a summary of </w:t>
      </w:r>
      <w:r w:rsidR="007739F3" w:rsidRPr="003D70B4">
        <w:rPr>
          <w:bCs/>
        </w:rPr>
        <w:t>the results</w:t>
      </w:r>
      <w:r w:rsidR="00407E66" w:rsidRPr="003D70B4">
        <w:rPr>
          <w:bCs/>
        </w:rPr>
        <w:t xml:space="preserve">; in addition, </w:t>
      </w:r>
      <w:r w:rsidR="00606271" w:rsidRPr="003D70B4">
        <w:rPr>
          <w:bCs/>
        </w:rPr>
        <w:t>six dyads</w:t>
      </w:r>
      <w:r w:rsidR="00F44563" w:rsidRPr="003D70B4">
        <w:rPr>
          <w:bCs/>
        </w:rPr>
        <w:t xml:space="preserve"> (i.e.</w:t>
      </w:r>
      <w:r w:rsidR="00407E66" w:rsidRPr="003D70B4">
        <w:rPr>
          <w:bCs/>
        </w:rPr>
        <w:t>,</w:t>
      </w:r>
      <w:r w:rsidR="00F44563" w:rsidRPr="003D70B4">
        <w:rPr>
          <w:bCs/>
        </w:rPr>
        <w:t xml:space="preserve"> </w:t>
      </w:r>
      <w:r w:rsidR="00062A6D" w:rsidRPr="003D70B4">
        <w:rPr>
          <w:bCs/>
        </w:rPr>
        <w:t>supervisor</w:t>
      </w:r>
      <w:r w:rsidR="00F44563" w:rsidRPr="003D70B4">
        <w:rPr>
          <w:bCs/>
        </w:rPr>
        <w:t>-</w:t>
      </w:r>
      <w:r w:rsidR="00062A6D" w:rsidRPr="003D70B4">
        <w:rPr>
          <w:bCs/>
        </w:rPr>
        <w:t xml:space="preserve">employee </w:t>
      </w:r>
      <w:r w:rsidR="00F44563" w:rsidRPr="003D70B4">
        <w:rPr>
          <w:bCs/>
        </w:rPr>
        <w:t>pairs)</w:t>
      </w:r>
      <w:r w:rsidR="00606271" w:rsidRPr="003D70B4">
        <w:rPr>
          <w:bCs/>
        </w:rPr>
        <w:t xml:space="preserve"> could win </w:t>
      </w:r>
      <w:r w:rsidR="007739F3" w:rsidRPr="003D70B4">
        <w:rPr>
          <w:bCs/>
        </w:rPr>
        <w:t>vouchers in a raffle.</w:t>
      </w:r>
      <w:r w:rsidR="004C6D7E" w:rsidRPr="003D70B4">
        <w:t xml:space="preserve"> </w:t>
      </w:r>
      <w:r w:rsidR="004C6D7E" w:rsidRPr="003D70B4">
        <w:rPr>
          <w:bCs/>
        </w:rPr>
        <w:t>Participation was voluntary and confidential</w:t>
      </w:r>
      <w:r w:rsidR="007905CA" w:rsidRPr="003D70B4">
        <w:rPr>
          <w:bCs/>
        </w:rPr>
        <w:t>,</w:t>
      </w:r>
      <w:r w:rsidR="004C6D7E" w:rsidRPr="003D70B4">
        <w:rPr>
          <w:bCs/>
        </w:rPr>
        <w:t xml:space="preserve"> and all participants gave informed consent. </w:t>
      </w:r>
    </w:p>
    <w:p w14:paraId="31FFD717" w14:textId="379063D8" w:rsidR="00261B45" w:rsidRDefault="0091330D">
      <w:pPr>
        <w:spacing w:line="480" w:lineRule="auto"/>
        <w:ind w:firstLine="720"/>
        <w:rPr>
          <w:bCs/>
        </w:rPr>
      </w:pPr>
      <w:r w:rsidRPr="00864BCC">
        <w:rPr>
          <w:bCs/>
        </w:rPr>
        <w:t>We determined t</w:t>
      </w:r>
      <w:r w:rsidR="003915E2" w:rsidRPr="00864BCC">
        <w:rPr>
          <w:bCs/>
        </w:rPr>
        <w:t xml:space="preserve">he sample size </w:t>
      </w:r>
      <w:r w:rsidR="00402105" w:rsidRPr="00864BCC">
        <w:rPr>
          <w:bCs/>
        </w:rPr>
        <w:t xml:space="preserve">for testing a general linear model </w:t>
      </w:r>
      <w:r w:rsidRPr="00864BCC">
        <w:rPr>
          <w:bCs/>
        </w:rPr>
        <w:t>via</w:t>
      </w:r>
      <w:r w:rsidR="003915E2" w:rsidRPr="00864BCC">
        <w:rPr>
          <w:bCs/>
        </w:rPr>
        <w:t xml:space="preserve"> a G*</w:t>
      </w:r>
      <w:r w:rsidR="00CF17C2" w:rsidRPr="00864BCC">
        <w:rPr>
          <w:bCs/>
        </w:rPr>
        <w:t>P</w:t>
      </w:r>
      <w:r w:rsidR="003915E2" w:rsidRPr="00864BCC">
        <w:rPr>
          <w:bCs/>
        </w:rPr>
        <w:t>ower analysis</w:t>
      </w:r>
      <w:r w:rsidR="00D63D79" w:rsidRPr="00864BCC">
        <w:rPr>
          <w:bCs/>
        </w:rPr>
        <w:t xml:space="preserve"> (Faul</w:t>
      </w:r>
      <w:r w:rsidR="00C03122" w:rsidRPr="00864BCC">
        <w:rPr>
          <w:bCs/>
        </w:rPr>
        <w:t xml:space="preserve"> </w:t>
      </w:r>
      <w:r w:rsidR="0035789C" w:rsidRPr="00864BCC">
        <w:t>et al.</w:t>
      </w:r>
      <w:r w:rsidR="00D63D79" w:rsidRPr="00864BCC">
        <w:rPr>
          <w:bCs/>
        </w:rPr>
        <w:t>, 2007)</w:t>
      </w:r>
      <w:r w:rsidR="003915E2" w:rsidRPr="00864BCC">
        <w:rPr>
          <w:bCs/>
        </w:rPr>
        <w:t xml:space="preserve">, </w:t>
      </w:r>
      <w:r w:rsidR="00C75AD5" w:rsidRPr="00864BCC">
        <w:rPr>
          <w:bCs/>
        </w:rPr>
        <w:t xml:space="preserve">using the following parameters: power = .80, </w:t>
      </w:r>
      <w:r w:rsidR="00C75AD5" w:rsidRPr="00864BCC">
        <w:rPr>
          <w:iCs/>
        </w:rPr>
        <w:t>α = .05</w:t>
      </w:r>
      <w:r w:rsidR="00402105" w:rsidRPr="00864BCC">
        <w:rPr>
          <w:iCs/>
        </w:rPr>
        <w:t>, number of predictors = 3</w:t>
      </w:r>
      <w:r w:rsidR="00792EB5" w:rsidRPr="00864BCC">
        <w:rPr>
          <w:iCs/>
        </w:rPr>
        <w:t>, number of tested predictors = 1 (narcissism)</w:t>
      </w:r>
      <w:r w:rsidR="00C75AD5" w:rsidRPr="00864BCC">
        <w:rPr>
          <w:iCs/>
        </w:rPr>
        <w:t xml:space="preserve">. </w:t>
      </w:r>
      <w:r w:rsidR="00934CA4">
        <w:rPr>
          <w:iCs/>
        </w:rPr>
        <w:t>We set t</w:t>
      </w:r>
      <w:r w:rsidR="00C75AD5" w:rsidRPr="00864BCC">
        <w:rPr>
          <w:iCs/>
        </w:rPr>
        <w:t>he expected effect size to small-to-medium (</w:t>
      </w:r>
      <w:r w:rsidR="00C75AD5" w:rsidRPr="00864BCC">
        <w:rPr>
          <w:i/>
          <w:iCs/>
        </w:rPr>
        <w:t>f</w:t>
      </w:r>
      <w:r w:rsidR="00C75AD5" w:rsidRPr="00864BCC">
        <w:rPr>
          <w:i/>
          <w:iCs/>
          <w:vertAlign w:val="superscript"/>
        </w:rPr>
        <w:t>2</w:t>
      </w:r>
      <w:r w:rsidR="008C2F94" w:rsidRPr="00864BCC">
        <w:rPr>
          <w:i/>
          <w:iCs/>
          <w:vertAlign w:val="superscript"/>
        </w:rPr>
        <w:t xml:space="preserve"> </w:t>
      </w:r>
      <w:r w:rsidR="00C75AD5" w:rsidRPr="00864BCC">
        <w:rPr>
          <w:iCs/>
        </w:rPr>
        <w:t>=</w:t>
      </w:r>
      <w:r w:rsidR="008C2F94" w:rsidRPr="00864BCC">
        <w:rPr>
          <w:iCs/>
        </w:rPr>
        <w:t xml:space="preserve"> </w:t>
      </w:r>
      <w:r w:rsidR="00C75AD5" w:rsidRPr="00864BCC">
        <w:rPr>
          <w:iCs/>
        </w:rPr>
        <w:t xml:space="preserve">.085), which required a minimum sample of 95 </w:t>
      </w:r>
      <w:r w:rsidR="004439F2" w:rsidRPr="00864BCC">
        <w:rPr>
          <w:iCs/>
        </w:rPr>
        <w:t>employees</w:t>
      </w:r>
      <w:r w:rsidR="00C75AD5" w:rsidRPr="00864BCC">
        <w:rPr>
          <w:iCs/>
        </w:rPr>
        <w:t>.</w:t>
      </w:r>
      <w:r w:rsidR="00C75AD5" w:rsidRPr="00864BCC">
        <w:rPr>
          <w:bCs/>
        </w:rPr>
        <w:t xml:space="preserve"> </w:t>
      </w:r>
      <w:r w:rsidR="00702400" w:rsidRPr="00864BCC">
        <w:rPr>
          <w:bCs/>
        </w:rPr>
        <w:t>With</w:t>
      </w:r>
      <w:r w:rsidR="00702400">
        <w:rPr>
          <w:bCs/>
        </w:rPr>
        <w:t xml:space="preserve"> respect to the multilevel nature of our data, with employees being nested in supervisors, we checked our sample size against Monte Carlo simulations </w:t>
      </w:r>
      <w:r w:rsidR="00702400" w:rsidRPr="00702400">
        <w:rPr>
          <w:bCs/>
        </w:rPr>
        <w:t>for estimating two-level models with various specifications</w:t>
      </w:r>
      <w:r w:rsidR="00934CA4">
        <w:rPr>
          <w:bCs/>
        </w:rPr>
        <w:t xml:space="preserve"> (</w:t>
      </w:r>
      <w:r w:rsidR="00702400" w:rsidRPr="00702400">
        <w:rPr>
          <w:bCs/>
        </w:rPr>
        <w:t xml:space="preserve">Aarend </w:t>
      </w:r>
      <w:r w:rsidR="00934CA4">
        <w:rPr>
          <w:bCs/>
        </w:rPr>
        <w:t>&amp;</w:t>
      </w:r>
      <w:r w:rsidR="00702400" w:rsidRPr="00702400">
        <w:rPr>
          <w:bCs/>
        </w:rPr>
        <w:t xml:space="preserve"> Schäfer</w:t>
      </w:r>
      <w:r w:rsidR="00934CA4">
        <w:rPr>
          <w:bCs/>
        </w:rPr>
        <w:t xml:space="preserve">, </w:t>
      </w:r>
      <w:r w:rsidR="00702400" w:rsidRPr="00702400">
        <w:rPr>
          <w:bCs/>
        </w:rPr>
        <w:t>2019)</w:t>
      </w:r>
      <w:r w:rsidR="00702400">
        <w:rPr>
          <w:bCs/>
        </w:rPr>
        <w:t xml:space="preserve">. </w:t>
      </w:r>
      <w:r w:rsidR="00702400" w:rsidRPr="00702400">
        <w:rPr>
          <w:bCs/>
        </w:rPr>
        <w:t>Based on the</w:t>
      </w:r>
      <w:r w:rsidR="00934CA4">
        <w:rPr>
          <w:bCs/>
        </w:rPr>
        <w:t>se</w:t>
      </w:r>
      <w:r w:rsidR="00702400" w:rsidRPr="00702400">
        <w:rPr>
          <w:bCs/>
        </w:rPr>
        <w:t xml:space="preserve"> simulations, a sample size of 80 at level 2 (i.e., number of supervisors) and a cluster size of 3 (i.e., number of employees per supervisor) can provide sufficient power </w:t>
      </w:r>
      <w:r w:rsidR="00702400">
        <w:rPr>
          <w:bCs/>
        </w:rPr>
        <w:sym w:font="Symbol" w:char="F020"/>
      </w:r>
      <w:r w:rsidR="00702400">
        <w:rPr>
          <w:bCs/>
        </w:rPr>
        <w:sym w:font="Symbol" w:char="F0B3"/>
      </w:r>
      <w:r w:rsidR="00702400" w:rsidRPr="00702400">
        <w:rPr>
          <w:bCs/>
        </w:rPr>
        <w:t xml:space="preserve"> .80 for detecting small to medium effect sizes (minimum detectable standard effect size = .21) testing level 1 predictors (i.e., narcissism).</w:t>
      </w:r>
    </w:p>
    <w:p w14:paraId="349069BF" w14:textId="39531D40" w:rsidR="00914102" w:rsidRPr="00E164E6" w:rsidRDefault="00D9013B">
      <w:pPr>
        <w:spacing w:line="480" w:lineRule="auto"/>
        <w:ind w:firstLine="720"/>
      </w:pPr>
      <w:r w:rsidRPr="003D70B4">
        <w:rPr>
          <w:bCs/>
        </w:rPr>
        <w:t xml:space="preserve">Out of 61 </w:t>
      </w:r>
      <w:r w:rsidR="004439F2" w:rsidRPr="003D70B4">
        <w:rPr>
          <w:bCs/>
        </w:rPr>
        <w:t xml:space="preserve">supervisors </w:t>
      </w:r>
      <w:r w:rsidRPr="003D70B4">
        <w:rPr>
          <w:bCs/>
        </w:rPr>
        <w:t>who were nominated</w:t>
      </w:r>
      <w:r w:rsidR="003D51A3" w:rsidRPr="003D70B4">
        <w:rPr>
          <w:bCs/>
        </w:rPr>
        <w:t xml:space="preserve"> for participation</w:t>
      </w:r>
      <w:r w:rsidRPr="003D70B4">
        <w:rPr>
          <w:bCs/>
        </w:rPr>
        <w:t xml:space="preserve"> by their </w:t>
      </w:r>
      <w:r w:rsidR="004439F2" w:rsidRPr="003D70B4">
        <w:rPr>
          <w:bCs/>
        </w:rPr>
        <w:t>employees</w:t>
      </w:r>
      <w:r w:rsidRPr="003D70B4">
        <w:rPr>
          <w:bCs/>
        </w:rPr>
        <w:t>, 48</w:t>
      </w:r>
      <w:r w:rsidR="00CD665A" w:rsidRPr="003D70B4">
        <w:rPr>
          <w:bCs/>
        </w:rPr>
        <w:t xml:space="preserve"> (78.6%)</w:t>
      </w:r>
      <w:r w:rsidRPr="003D70B4">
        <w:rPr>
          <w:bCs/>
        </w:rPr>
        <w:t xml:space="preserve"> completed the survey. A</w:t>
      </w:r>
      <w:r w:rsidR="00F44563" w:rsidRPr="003D70B4">
        <w:rPr>
          <w:bCs/>
        </w:rPr>
        <w:t>n a</w:t>
      </w:r>
      <w:r w:rsidRPr="003D70B4">
        <w:rPr>
          <w:bCs/>
        </w:rPr>
        <w:t xml:space="preserve">dditional 62 </w:t>
      </w:r>
      <w:r w:rsidR="004439F2" w:rsidRPr="003D70B4">
        <w:rPr>
          <w:bCs/>
        </w:rPr>
        <w:t xml:space="preserve">supervisors </w:t>
      </w:r>
      <w:r w:rsidRPr="003D70B4">
        <w:rPr>
          <w:bCs/>
        </w:rPr>
        <w:t>completed the survey after being directly invited</w:t>
      </w:r>
      <w:r w:rsidR="00F63E10" w:rsidRPr="003D70B4">
        <w:rPr>
          <w:bCs/>
        </w:rPr>
        <w:t xml:space="preserve"> </w:t>
      </w:r>
      <w:r w:rsidR="00CD665A" w:rsidRPr="003D70B4">
        <w:rPr>
          <w:bCs/>
        </w:rPr>
        <w:t xml:space="preserve">via </w:t>
      </w:r>
      <w:r w:rsidR="00D97E2B" w:rsidRPr="003D70B4">
        <w:rPr>
          <w:bCs/>
        </w:rPr>
        <w:t xml:space="preserve">other </w:t>
      </w:r>
      <w:r w:rsidR="00F63E10" w:rsidRPr="003D70B4">
        <w:rPr>
          <w:bCs/>
        </w:rPr>
        <w:t>recruitment modes listed above</w:t>
      </w:r>
      <w:r w:rsidRPr="003D70B4">
        <w:rPr>
          <w:bCs/>
        </w:rPr>
        <w:t xml:space="preserve">, </w:t>
      </w:r>
      <w:r w:rsidR="00F63E10" w:rsidRPr="003D70B4">
        <w:rPr>
          <w:bCs/>
        </w:rPr>
        <w:t>result</w:t>
      </w:r>
      <w:r w:rsidR="00CD665A" w:rsidRPr="003D70B4">
        <w:rPr>
          <w:bCs/>
        </w:rPr>
        <w:t>ing</w:t>
      </w:r>
      <w:r w:rsidRPr="003D70B4">
        <w:rPr>
          <w:bCs/>
        </w:rPr>
        <w:t xml:space="preserve"> in a total of 110 completed </w:t>
      </w:r>
      <w:r w:rsidR="004439F2" w:rsidRPr="003D70B4">
        <w:rPr>
          <w:bCs/>
        </w:rPr>
        <w:t xml:space="preserve">supervisor </w:t>
      </w:r>
      <w:r w:rsidRPr="003D70B4">
        <w:rPr>
          <w:bCs/>
        </w:rPr>
        <w:t>surveys.</w:t>
      </w:r>
      <w:r w:rsidR="00F63E10" w:rsidRPr="003D70B4">
        <w:rPr>
          <w:bCs/>
        </w:rPr>
        <w:t xml:space="preserve"> </w:t>
      </w:r>
      <w:r w:rsidR="00871118" w:rsidRPr="003D70B4">
        <w:rPr>
          <w:bCs/>
        </w:rPr>
        <w:t xml:space="preserve">Out of 210 </w:t>
      </w:r>
      <w:r w:rsidR="004439F2" w:rsidRPr="003D70B4">
        <w:rPr>
          <w:bCs/>
        </w:rPr>
        <w:t xml:space="preserve">employees </w:t>
      </w:r>
      <w:r w:rsidR="00871118" w:rsidRPr="003D70B4">
        <w:rPr>
          <w:bCs/>
        </w:rPr>
        <w:t xml:space="preserve">who </w:t>
      </w:r>
      <w:r w:rsidR="00E34A98" w:rsidRPr="003D70B4">
        <w:rPr>
          <w:bCs/>
        </w:rPr>
        <w:t xml:space="preserve">were nominated by their </w:t>
      </w:r>
      <w:r w:rsidR="004439F2" w:rsidRPr="003D70B4">
        <w:rPr>
          <w:bCs/>
        </w:rPr>
        <w:t xml:space="preserve">supervisor </w:t>
      </w:r>
      <w:r w:rsidRPr="003D70B4">
        <w:rPr>
          <w:bCs/>
        </w:rPr>
        <w:t>to participate</w:t>
      </w:r>
      <w:r w:rsidR="00E34A98" w:rsidRPr="003D70B4">
        <w:rPr>
          <w:bCs/>
        </w:rPr>
        <w:t>, 120 (57.1</w:t>
      </w:r>
      <w:r w:rsidR="00F63E10" w:rsidRPr="003D70B4">
        <w:rPr>
          <w:bCs/>
        </w:rPr>
        <w:t>%) completed the online survey. A</w:t>
      </w:r>
      <w:r w:rsidR="00F44563" w:rsidRPr="003D70B4">
        <w:rPr>
          <w:bCs/>
        </w:rPr>
        <w:t>n a</w:t>
      </w:r>
      <w:r w:rsidRPr="003D70B4">
        <w:rPr>
          <w:bCs/>
        </w:rPr>
        <w:t xml:space="preserve">dditional 75 </w:t>
      </w:r>
      <w:r w:rsidR="004439F2" w:rsidRPr="003D70B4">
        <w:rPr>
          <w:bCs/>
        </w:rPr>
        <w:t xml:space="preserve">employees </w:t>
      </w:r>
      <w:r w:rsidRPr="003D70B4">
        <w:rPr>
          <w:bCs/>
        </w:rPr>
        <w:t xml:space="preserve">completed the survey after being </w:t>
      </w:r>
      <w:r w:rsidR="00F63E10" w:rsidRPr="003D70B4">
        <w:rPr>
          <w:bCs/>
        </w:rPr>
        <w:t xml:space="preserve">directly invited </w:t>
      </w:r>
      <w:r w:rsidR="00CD665A" w:rsidRPr="003D70B4">
        <w:rPr>
          <w:bCs/>
        </w:rPr>
        <w:t xml:space="preserve">via </w:t>
      </w:r>
      <w:r w:rsidR="00F63E10" w:rsidRPr="003D70B4">
        <w:rPr>
          <w:bCs/>
        </w:rPr>
        <w:t xml:space="preserve">recruitment modes </w:t>
      </w:r>
      <w:r w:rsidR="00D97E2B" w:rsidRPr="003D70B4">
        <w:rPr>
          <w:bCs/>
        </w:rPr>
        <w:t>mentioned above</w:t>
      </w:r>
      <w:r w:rsidRPr="003D70B4">
        <w:rPr>
          <w:bCs/>
        </w:rPr>
        <w:t xml:space="preserve">, </w:t>
      </w:r>
      <w:r w:rsidR="00CD665A" w:rsidRPr="003D70B4">
        <w:rPr>
          <w:bCs/>
        </w:rPr>
        <w:t>resulting in</w:t>
      </w:r>
      <w:r w:rsidRPr="003D70B4">
        <w:rPr>
          <w:bCs/>
        </w:rPr>
        <w:t xml:space="preserve"> 195 </w:t>
      </w:r>
      <w:r w:rsidR="004439F2" w:rsidRPr="003D70B4">
        <w:rPr>
          <w:bCs/>
        </w:rPr>
        <w:t xml:space="preserve">employees </w:t>
      </w:r>
      <w:r w:rsidR="00F63E10" w:rsidRPr="003D70B4">
        <w:rPr>
          <w:bCs/>
        </w:rPr>
        <w:t xml:space="preserve">who completed the survey. </w:t>
      </w:r>
      <w:r w:rsidR="009570E7" w:rsidRPr="003D70B4">
        <w:rPr>
          <w:bCs/>
        </w:rPr>
        <w:t>We determined t</w:t>
      </w:r>
      <w:r w:rsidR="00F73558" w:rsidRPr="003D70B4">
        <w:rPr>
          <w:bCs/>
        </w:rPr>
        <w:t>he final sample size</w:t>
      </w:r>
      <w:r w:rsidR="00C75AD5" w:rsidRPr="003D70B4">
        <w:rPr>
          <w:bCs/>
        </w:rPr>
        <w:t xml:space="preserve"> </w:t>
      </w:r>
      <w:r w:rsidR="00F73558" w:rsidRPr="003D70B4">
        <w:rPr>
          <w:bCs/>
        </w:rPr>
        <w:t xml:space="preserve">by the number of completed </w:t>
      </w:r>
      <w:r w:rsidR="004439F2" w:rsidRPr="003D70B4">
        <w:rPr>
          <w:bCs/>
        </w:rPr>
        <w:t xml:space="preserve">employee </w:t>
      </w:r>
      <w:r w:rsidR="00F73558" w:rsidRPr="003D70B4">
        <w:rPr>
          <w:bCs/>
        </w:rPr>
        <w:t xml:space="preserve">surveys that </w:t>
      </w:r>
      <w:r w:rsidR="009570E7" w:rsidRPr="003D70B4">
        <w:rPr>
          <w:bCs/>
        </w:rPr>
        <w:t xml:space="preserve">we </w:t>
      </w:r>
      <w:r w:rsidR="00F73558" w:rsidRPr="003D70B4">
        <w:rPr>
          <w:bCs/>
        </w:rPr>
        <w:t xml:space="preserve">could match with </w:t>
      </w:r>
      <w:r w:rsidR="004439F2" w:rsidRPr="003D70B4">
        <w:rPr>
          <w:bCs/>
        </w:rPr>
        <w:t xml:space="preserve">supervisor </w:t>
      </w:r>
      <w:r w:rsidR="00F73558" w:rsidRPr="003D70B4">
        <w:rPr>
          <w:bCs/>
        </w:rPr>
        <w:t xml:space="preserve">ratings of these </w:t>
      </w:r>
      <w:r w:rsidR="004439F2" w:rsidRPr="003D70B4">
        <w:rPr>
          <w:bCs/>
        </w:rPr>
        <w:t>employees</w:t>
      </w:r>
      <w:r w:rsidR="00F73558" w:rsidRPr="003D70B4">
        <w:rPr>
          <w:bCs/>
        </w:rPr>
        <w:t xml:space="preserve">. </w:t>
      </w:r>
      <w:r w:rsidR="00CD665A" w:rsidRPr="003D70B4">
        <w:rPr>
          <w:bCs/>
        </w:rPr>
        <w:t xml:space="preserve">We matched </w:t>
      </w:r>
      <w:r w:rsidR="004439F2" w:rsidRPr="003D70B4">
        <w:rPr>
          <w:bCs/>
        </w:rPr>
        <w:t xml:space="preserve">supervisors </w:t>
      </w:r>
      <w:r w:rsidR="00F63E10" w:rsidRPr="003D70B4">
        <w:rPr>
          <w:bCs/>
        </w:rPr>
        <w:t xml:space="preserve">and </w:t>
      </w:r>
      <w:r w:rsidR="004439F2" w:rsidRPr="003D70B4">
        <w:rPr>
          <w:bCs/>
        </w:rPr>
        <w:t xml:space="preserve">employees </w:t>
      </w:r>
      <w:r w:rsidR="00F63E10" w:rsidRPr="003D70B4">
        <w:rPr>
          <w:bCs/>
        </w:rPr>
        <w:t>using email addresses, with the final sample size consistin</w:t>
      </w:r>
      <w:r w:rsidR="00AE7162" w:rsidRPr="003D70B4">
        <w:rPr>
          <w:bCs/>
        </w:rPr>
        <w:t xml:space="preserve">g </w:t>
      </w:r>
      <w:r w:rsidR="00F44563" w:rsidRPr="003D70B4">
        <w:rPr>
          <w:bCs/>
        </w:rPr>
        <w:t xml:space="preserve">of </w:t>
      </w:r>
      <w:r w:rsidR="00E408B9" w:rsidRPr="003D70B4">
        <w:rPr>
          <w:bCs/>
        </w:rPr>
        <w:t xml:space="preserve">166 </w:t>
      </w:r>
      <w:r w:rsidR="004439F2" w:rsidRPr="003D70B4">
        <w:rPr>
          <w:bCs/>
        </w:rPr>
        <w:t xml:space="preserve">employees </w:t>
      </w:r>
      <w:r w:rsidR="00F73558" w:rsidRPr="003D70B4">
        <w:rPr>
          <w:bCs/>
        </w:rPr>
        <w:t>rated by</w:t>
      </w:r>
      <w:r w:rsidR="00AE7162" w:rsidRPr="003D70B4">
        <w:rPr>
          <w:bCs/>
        </w:rPr>
        <w:t xml:space="preserve"> </w:t>
      </w:r>
      <w:r w:rsidR="008B0074" w:rsidRPr="003D70B4">
        <w:rPr>
          <w:bCs/>
        </w:rPr>
        <w:t>93</w:t>
      </w:r>
      <w:r w:rsidR="00AE7162" w:rsidRPr="003D70B4">
        <w:rPr>
          <w:bCs/>
        </w:rPr>
        <w:t xml:space="preserve"> </w:t>
      </w:r>
      <w:r w:rsidR="004439F2" w:rsidRPr="003D70B4">
        <w:rPr>
          <w:bCs/>
        </w:rPr>
        <w:t>supervisors</w:t>
      </w:r>
      <w:r w:rsidR="00F63E10" w:rsidRPr="003D70B4">
        <w:rPr>
          <w:bCs/>
        </w:rPr>
        <w:t xml:space="preserve">. </w:t>
      </w:r>
      <w:r w:rsidR="004439F2" w:rsidRPr="003D70B4">
        <w:rPr>
          <w:bCs/>
        </w:rPr>
        <w:t xml:space="preserve">Employees </w:t>
      </w:r>
      <w:r w:rsidR="00E408B9" w:rsidRPr="003D70B4">
        <w:rPr>
          <w:bCs/>
        </w:rPr>
        <w:t>(</w:t>
      </w:r>
      <w:r w:rsidR="00E408B9" w:rsidRPr="003D70B4">
        <w:rPr>
          <w:bCs/>
          <w:i/>
        </w:rPr>
        <w:t>M</w:t>
      </w:r>
      <w:r w:rsidR="00E408B9" w:rsidRPr="003D70B4">
        <w:rPr>
          <w:bCs/>
          <w:i/>
          <w:vertAlign w:val="subscript"/>
        </w:rPr>
        <w:t>age</w:t>
      </w:r>
      <w:r w:rsidR="00E408B9" w:rsidRPr="003D70B4">
        <w:rPr>
          <w:bCs/>
          <w:i/>
        </w:rPr>
        <w:t xml:space="preserve"> </w:t>
      </w:r>
      <w:r w:rsidR="00E408B9" w:rsidRPr="003D70B4">
        <w:rPr>
          <w:bCs/>
        </w:rPr>
        <w:t xml:space="preserve">= 39.20 years, </w:t>
      </w:r>
      <w:r w:rsidR="00E408B9" w:rsidRPr="003D70B4">
        <w:rPr>
          <w:bCs/>
          <w:i/>
        </w:rPr>
        <w:t xml:space="preserve">SD </w:t>
      </w:r>
      <w:r w:rsidR="00E408B9" w:rsidRPr="003D70B4">
        <w:rPr>
          <w:bCs/>
        </w:rPr>
        <w:t xml:space="preserve">= 13.16; </w:t>
      </w:r>
      <w:r w:rsidR="009872F5" w:rsidRPr="003D70B4">
        <w:rPr>
          <w:bCs/>
        </w:rPr>
        <w:t>72</w:t>
      </w:r>
      <w:r w:rsidR="00E408B9" w:rsidRPr="003D70B4">
        <w:rPr>
          <w:bCs/>
        </w:rPr>
        <w:t>.</w:t>
      </w:r>
      <w:r w:rsidR="009872F5" w:rsidRPr="003D70B4">
        <w:rPr>
          <w:bCs/>
        </w:rPr>
        <w:t>3</w:t>
      </w:r>
      <w:r w:rsidR="00E408B9" w:rsidRPr="003D70B4">
        <w:rPr>
          <w:bCs/>
        </w:rPr>
        <w:t xml:space="preserve">% </w:t>
      </w:r>
      <w:r w:rsidR="009872F5" w:rsidRPr="003D70B4">
        <w:rPr>
          <w:bCs/>
        </w:rPr>
        <w:t>wo</w:t>
      </w:r>
      <w:r w:rsidR="00E408B9" w:rsidRPr="003D70B4">
        <w:rPr>
          <w:bCs/>
        </w:rPr>
        <w:t xml:space="preserve">men) had an average tenure of 6.06 </w:t>
      </w:r>
      <w:r w:rsidR="00E408B9" w:rsidRPr="003D70B4">
        <w:rPr>
          <w:bCs/>
        </w:rPr>
        <w:lastRenderedPageBreak/>
        <w:t>(</w:t>
      </w:r>
      <w:r w:rsidR="00E408B9" w:rsidRPr="003D70B4">
        <w:rPr>
          <w:bCs/>
          <w:i/>
        </w:rPr>
        <w:t xml:space="preserve">SD </w:t>
      </w:r>
      <w:r w:rsidR="00E408B9" w:rsidRPr="003D70B4">
        <w:rPr>
          <w:bCs/>
        </w:rPr>
        <w:t xml:space="preserve">= 7.16) years, had worked with their </w:t>
      </w:r>
      <w:r w:rsidR="004439F2" w:rsidRPr="003D70B4">
        <w:rPr>
          <w:bCs/>
        </w:rPr>
        <w:t xml:space="preserve">supervisor </w:t>
      </w:r>
      <w:r w:rsidR="00E408B9" w:rsidRPr="003D70B4">
        <w:rPr>
          <w:bCs/>
        </w:rPr>
        <w:t>for 3.01 (</w:t>
      </w:r>
      <w:r w:rsidR="00E408B9" w:rsidRPr="003D70B4">
        <w:rPr>
          <w:bCs/>
          <w:i/>
        </w:rPr>
        <w:t xml:space="preserve">SD </w:t>
      </w:r>
      <w:r w:rsidR="00E408B9" w:rsidRPr="003D70B4">
        <w:rPr>
          <w:bCs/>
        </w:rPr>
        <w:t>= 3.67) years</w:t>
      </w:r>
      <w:r w:rsidR="005C73D5" w:rsidRPr="003D70B4">
        <w:rPr>
          <w:bCs/>
        </w:rPr>
        <w:t>,</w:t>
      </w:r>
      <w:r w:rsidR="00E408B9" w:rsidRPr="003D70B4">
        <w:rPr>
          <w:bCs/>
        </w:rPr>
        <w:t xml:space="preserve"> and 81.4% </w:t>
      </w:r>
      <w:r w:rsidR="00AE62EC" w:rsidRPr="003D70B4">
        <w:rPr>
          <w:bCs/>
        </w:rPr>
        <w:t>completed higher education</w:t>
      </w:r>
      <w:r w:rsidR="00E408B9" w:rsidRPr="003D70B4">
        <w:rPr>
          <w:bCs/>
        </w:rPr>
        <w:t xml:space="preserve">. </w:t>
      </w:r>
      <w:r w:rsidR="004439F2" w:rsidRPr="003D70B4">
        <w:rPr>
          <w:bCs/>
        </w:rPr>
        <w:t xml:space="preserve">Supervisors </w:t>
      </w:r>
      <w:r w:rsidR="00914102" w:rsidRPr="003D70B4">
        <w:rPr>
          <w:bCs/>
        </w:rPr>
        <w:t>(</w:t>
      </w:r>
      <w:r w:rsidR="00914102" w:rsidRPr="003D70B4">
        <w:rPr>
          <w:bCs/>
          <w:i/>
        </w:rPr>
        <w:t>M</w:t>
      </w:r>
      <w:r w:rsidR="00914102" w:rsidRPr="003D70B4">
        <w:rPr>
          <w:bCs/>
          <w:i/>
          <w:vertAlign w:val="subscript"/>
        </w:rPr>
        <w:t>age</w:t>
      </w:r>
      <w:r w:rsidR="00914102" w:rsidRPr="003D70B4">
        <w:rPr>
          <w:bCs/>
          <w:i/>
        </w:rPr>
        <w:t xml:space="preserve"> </w:t>
      </w:r>
      <w:r w:rsidR="00914102" w:rsidRPr="003D70B4">
        <w:rPr>
          <w:bCs/>
        </w:rPr>
        <w:t xml:space="preserve">= </w:t>
      </w:r>
      <w:r w:rsidR="00726349" w:rsidRPr="003D70B4">
        <w:rPr>
          <w:bCs/>
        </w:rPr>
        <w:t>43.70</w:t>
      </w:r>
      <w:r w:rsidR="00914102" w:rsidRPr="003D70B4">
        <w:rPr>
          <w:bCs/>
        </w:rPr>
        <w:t xml:space="preserve"> years, </w:t>
      </w:r>
      <w:r w:rsidR="00914102" w:rsidRPr="003D70B4">
        <w:rPr>
          <w:bCs/>
          <w:i/>
        </w:rPr>
        <w:t xml:space="preserve">SD </w:t>
      </w:r>
      <w:r w:rsidR="00914102" w:rsidRPr="003D70B4">
        <w:rPr>
          <w:bCs/>
        </w:rPr>
        <w:t>= 11.</w:t>
      </w:r>
      <w:r w:rsidR="00726349" w:rsidRPr="003D70B4">
        <w:rPr>
          <w:bCs/>
        </w:rPr>
        <w:t>97</w:t>
      </w:r>
      <w:r w:rsidR="00914102" w:rsidRPr="003D70B4">
        <w:rPr>
          <w:bCs/>
        </w:rPr>
        <w:t xml:space="preserve">; </w:t>
      </w:r>
      <w:r w:rsidR="009872F5" w:rsidRPr="003D70B4">
        <w:rPr>
          <w:bCs/>
        </w:rPr>
        <w:t>51</w:t>
      </w:r>
      <w:r w:rsidR="006B355C" w:rsidRPr="003D70B4">
        <w:rPr>
          <w:bCs/>
        </w:rPr>
        <w:t>.</w:t>
      </w:r>
      <w:r w:rsidR="009872F5" w:rsidRPr="003D70B4">
        <w:rPr>
          <w:bCs/>
        </w:rPr>
        <w:t>6</w:t>
      </w:r>
      <w:r w:rsidR="00914102" w:rsidRPr="003D70B4">
        <w:rPr>
          <w:bCs/>
        </w:rPr>
        <w:t xml:space="preserve">% </w:t>
      </w:r>
      <w:r w:rsidR="009872F5" w:rsidRPr="003D70B4">
        <w:rPr>
          <w:bCs/>
        </w:rPr>
        <w:t>wo</w:t>
      </w:r>
      <w:r w:rsidR="00914102" w:rsidRPr="003D70B4">
        <w:rPr>
          <w:bCs/>
        </w:rPr>
        <w:t>me</w:t>
      </w:r>
      <w:r w:rsidR="006B355C" w:rsidRPr="003D70B4">
        <w:rPr>
          <w:bCs/>
        </w:rPr>
        <w:t>n) had an average tenure of 5.77</w:t>
      </w:r>
      <w:r w:rsidR="00914102" w:rsidRPr="003D70B4">
        <w:rPr>
          <w:bCs/>
        </w:rPr>
        <w:t xml:space="preserve"> (</w:t>
      </w:r>
      <w:r w:rsidR="00914102" w:rsidRPr="003D70B4">
        <w:rPr>
          <w:bCs/>
          <w:i/>
        </w:rPr>
        <w:t xml:space="preserve">SD </w:t>
      </w:r>
      <w:r w:rsidR="00914102" w:rsidRPr="003D70B4">
        <w:rPr>
          <w:bCs/>
        </w:rPr>
        <w:t xml:space="preserve">= </w:t>
      </w:r>
      <w:r w:rsidR="006B355C" w:rsidRPr="003D70B4">
        <w:rPr>
          <w:bCs/>
        </w:rPr>
        <w:t>6.58</w:t>
      </w:r>
      <w:r w:rsidR="00914102" w:rsidRPr="003D70B4">
        <w:rPr>
          <w:bCs/>
        </w:rPr>
        <w:t xml:space="preserve">) years, had </w:t>
      </w:r>
      <w:r w:rsidR="00206DE4" w:rsidRPr="003D70B4">
        <w:rPr>
          <w:bCs/>
        </w:rPr>
        <w:t>24.44</w:t>
      </w:r>
      <w:r w:rsidR="00AD6A74">
        <w:rPr>
          <w:rStyle w:val="FootnoteReference"/>
          <w:bCs/>
        </w:rPr>
        <w:footnoteReference w:id="2"/>
      </w:r>
      <w:r w:rsidR="00914102" w:rsidRPr="0041230A">
        <w:rPr>
          <w:bCs/>
        </w:rPr>
        <w:t xml:space="preserve"> (</w:t>
      </w:r>
      <w:r w:rsidR="00914102" w:rsidRPr="0041230A">
        <w:rPr>
          <w:bCs/>
          <w:i/>
        </w:rPr>
        <w:t xml:space="preserve">SD </w:t>
      </w:r>
      <w:r w:rsidR="00914102" w:rsidRPr="00AD6A74">
        <w:rPr>
          <w:bCs/>
        </w:rPr>
        <w:t xml:space="preserve">= </w:t>
      </w:r>
      <w:r w:rsidR="00206DE4" w:rsidRPr="00AD6A74">
        <w:rPr>
          <w:bCs/>
        </w:rPr>
        <w:t>38.27</w:t>
      </w:r>
      <w:r w:rsidR="00914102" w:rsidRPr="00AD6A74">
        <w:rPr>
          <w:bCs/>
        </w:rPr>
        <w:t xml:space="preserve">) </w:t>
      </w:r>
      <w:r w:rsidR="004439F2" w:rsidRPr="00AD6A74">
        <w:rPr>
          <w:bCs/>
        </w:rPr>
        <w:t xml:space="preserve">employees </w:t>
      </w:r>
      <w:r w:rsidR="00206DE4" w:rsidRPr="00AD6A74">
        <w:rPr>
          <w:bCs/>
        </w:rPr>
        <w:t xml:space="preserve">reporting to them </w:t>
      </w:r>
      <w:r w:rsidR="00914102" w:rsidRPr="00AD6A74">
        <w:rPr>
          <w:bCs/>
        </w:rPr>
        <w:t>on average</w:t>
      </w:r>
      <w:r w:rsidR="005C73D5" w:rsidRPr="00AD6A74">
        <w:rPr>
          <w:bCs/>
        </w:rPr>
        <w:t>,</w:t>
      </w:r>
      <w:r w:rsidR="00914102" w:rsidRPr="00AD6A74">
        <w:rPr>
          <w:bCs/>
        </w:rPr>
        <w:t xml:space="preserve"> and </w:t>
      </w:r>
      <w:r w:rsidR="0059768B" w:rsidRPr="00AD6A74">
        <w:rPr>
          <w:bCs/>
        </w:rPr>
        <w:t>89.2</w:t>
      </w:r>
      <w:r w:rsidR="00914102" w:rsidRPr="00AD6A74">
        <w:rPr>
          <w:bCs/>
        </w:rPr>
        <w:t xml:space="preserve">% </w:t>
      </w:r>
      <w:r w:rsidR="00AE62EC" w:rsidRPr="00076E4A">
        <w:rPr>
          <w:bCs/>
        </w:rPr>
        <w:t>completed higher education</w:t>
      </w:r>
      <w:r w:rsidR="00914102" w:rsidRPr="00076E4A">
        <w:rPr>
          <w:bCs/>
        </w:rPr>
        <w:t xml:space="preserve">. </w:t>
      </w:r>
      <w:r w:rsidR="00CD665A" w:rsidRPr="007E74C2">
        <w:rPr>
          <w:bCs/>
        </w:rPr>
        <w:t xml:space="preserve">On average, the sample featured </w:t>
      </w:r>
      <w:r w:rsidR="00914102" w:rsidRPr="007E74C2">
        <w:rPr>
          <w:bCs/>
        </w:rPr>
        <w:t>1.7</w:t>
      </w:r>
      <w:r w:rsidR="008B0074" w:rsidRPr="008E3958">
        <w:rPr>
          <w:bCs/>
        </w:rPr>
        <w:t>8</w:t>
      </w:r>
      <w:r w:rsidR="00914102" w:rsidRPr="003D57C7">
        <w:rPr>
          <w:bCs/>
        </w:rPr>
        <w:t xml:space="preserve"> </w:t>
      </w:r>
      <w:r w:rsidR="004439F2" w:rsidRPr="003D57C7">
        <w:rPr>
          <w:bCs/>
        </w:rPr>
        <w:t xml:space="preserve">employees </w:t>
      </w:r>
      <w:r w:rsidR="00914102" w:rsidRPr="003D57C7">
        <w:rPr>
          <w:bCs/>
        </w:rPr>
        <w:t xml:space="preserve">per </w:t>
      </w:r>
      <w:r w:rsidR="00B75390" w:rsidRPr="00495C0B">
        <w:rPr>
          <w:bCs/>
        </w:rPr>
        <w:t xml:space="preserve">supervisor </w:t>
      </w:r>
      <w:r w:rsidR="00914102" w:rsidRPr="00D2563E">
        <w:rPr>
          <w:bCs/>
        </w:rPr>
        <w:t>(</w:t>
      </w:r>
      <w:r w:rsidR="00950849" w:rsidRPr="00D2563E">
        <w:rPr>
          <w:bCs/>
        </w:rPr>
        <w:t>r</w:t>
      </w:r>
      <w:r w:rsidR="00914102" w:rsidRPr="00D2563E">
        <w:rPr>
          <w:bCs/>
        </w:rPr>
        <w:t>ange</w:t>
      </w:r>
      <w:r w:rsidR="00950849" w:rsidRPr="005160C6">
        <w:rPr>
          <w:bCs/>
        </w:rPr>
        <w:t xml:space="preserve"> =</w:t>
      </w:r>
      <w:r w:rsidR="00914102" w:rsidRPr="003D70B4">
        <w:rPr>
          <w:bCs/>
        </w:rPr>
        <w:t xml:space="preserve"> 1-</w:t>
      </w:r>
      <w:r w:rsidR="003D34E3" w:rsidRPr="003D70B4">
        <w:rPr>
          <w:bCs/>
        </w:rPr>
        <w:t>5</w:t>
      </w:r>
      <w:r w:rsidR="00914102" w:rsidRPr="003D70B4">
        <w:rPr>
          <w:bCs/>
        </w:rPr>
        <w:t xml:space="preserve">). </w:t>
      </w:r>
    </w:p>
    <w:p w14:paraId="00D9FBC1" w14:textId="77777777" w:rsidR="004C28FB" w:rsidRDefault="00231EB8" w:rsidP="004C28FB">
      <w:pPr>
        <w:spacing w:line="480" w:lineRule="auto"/>
        <w:outlineLvl w:val="0"/>
        <w:rPr>
          <w:b/>
          <w:bCs/>
          <w:i/>
          <w:iCs/>
        </w:rPr>
      </w:pPr>
      <w:r w:rsidRPr="007E74C2">
        <w:rPr>
          <w:b/>
          <w:bCs/>
          <w:i/>
          <w:iCs/>
        </w:rPr>
        <w:t xml:space="preserve">Measures </w:t>
      </w:r>
    </w:p>
    <w:p w14:paraId="0CC72F28" w14:textId="77777777" w:rsidR="00AC0038" w:rsidRDefault="005539F6" w:rsidP="00AC0038">
      <w:pPr>
        <w:spacing w:line="480" w:lineRule="auto"/>
        <w:ind w:firstLine="720"/>
        <w:outlineLvl w:val="0"/>
        <w:rPr>
          <w:b/>
          <w:bCs/>
          <w:i/>
          <w:iCs/>
        </w:rPr>
      </w:pPr>
      <w:r w:rsidRPr="003D57C7">
        <w:rPr>
          <w:bCs/>
        </w:rPr>
        <w:t xml:space="preserve">Employees </w:t>
      </w:r>
      <w:r w:rsidR="009570E7" w:rsidRPr="003D57C7">
        <w:rPr>
          <w:bCs/>
        </w:rPr>
        <w:t xml:space="preserve">completed </w:t>
      </w:r>
      <w:r w:rsidR="00382BDE" w:rsidRPr="003D57C7">
        <w:rPr>
          <w:bCs/>
        </w:rPr>
        <w:t>measures of narcissism</w:t>
      </w:r>
      <w:r w:rsidR="00CD665A" w:rsidRPr="00495C0B">
        <w:rPr>
          <w:bCs/>
        </w:rPr>
        <w:t>,</w:t>
      </w:r>
      <w:r w:rsidR="00382BDE" w:rsidRPr="00D2563E">
        <w:rPr>
          <w:bCs/>
        </w:rPr>
        <w:t xml:space="preserve"> </w:t>
      </w:r>
      <w:r w:rsidR="00B24B12" w:rsidRPr="00D2563E">
        <w:rPr>
          <w:bCs/>
        </w:rPr>
        <w:t xml:space="preserve">and </w:t>
      </w:r>
      <w:r w:rsidRPr="00D2563E">
        <w:rPr>
          <w:bCs/>
        </w:rPr>
        <w:t xml:space="preserve">supervisors </w:t>
      </w:r>
      <w:r w:rsidR="00231EB8" w:rsidRPr="005160C6">
        <w:rPr>
          <w:bCs/>
        </w:rPr>
        <w:t xml:space="preserve">evaluated </w:t>
      </w:r>
      <w:r w:rsidR="00771B41" w:rsidRPr="003D70B4">
        <w:rPr>
          <w:bCs/>
        </w:rPr>
        <w:t xml:space="preserve">the </w:t>
      </w:r>
      <w:r w:rsidRPr="003D70B4">
        <w:rPr>
          <w:bCs/>
        </w:rPr>
        <w:t xml:space="preserve">employees’ </w:t>
      </w:r>
      <w:r w:rsidR="00231EB8" w:rsidRPr="003D70B4">
        <w:rPr>
          <w:bCs/>
        </w:rPr>
        <w:t>promotability.</w:t>
      </w:r>
    </w:p>
    <w:p w14:paraId="143649BE" w14:textId="487E7960" w:rsidR="00AC0038" w:rsidRDefault="00AE1A59">
      <w:pPr>
        <w:widowControl w:val="0"/>
        <w:spacing w:line="480" w:lineRule="auto"/>
        <w:ind w:firstLine="720"/>
        <w:contextualSpacing/>
        <w:outlineLvl w:val="0"/>
        <w:rPr>
          <w:bCs/>
        </w:rPr>
      </w:pPr>
      <w:r w:rsidRPr="003D70B4">
        <w:rPr>
          <w:b/>
          <w:bCs/>
        </w:rPr>
        <w:t>Narcissism</w:t>
      </w:r>
      <w:r w:rsidR="00C278F5" w:rsidRPr="003D70B4">
        <w:rPr>
          <w:bCs/>
        </w:rPr>
        <w:t>.</w:t>
      </w:r>
      <w:r w:rsidRPr="003D70B4">
        <w:rPr>
          <w:bCs/>
        </w:rPr>
        <w:t xml:space="preserve"> </w:t>
      </w:r>
      <w:r w:rsidR="005539F6" w:rsidRPr="003D70B4">
        <w:rPr>
          <w:bCs/>
        </w:rPr>
        <w:t xml:space="preserve">Employees </w:t>
      </w:r>
      <w:r w:rsidR="009570E7" w:rsidRPr="003D70B4">
        <w:rPr>
          <w:bCs/>
        </w:rPr>
        <w:t xml:space="preserve">filled out </w:t>
      </w:r>
      <w:r w:rsidRPr="003D70B4">
        <w:rPr>
          <w:bCs/>
        </w:rPr>
        <w:t xml:space="preserve">the </w:t>
      </w:r>
      <w:r w:rsidR="00FA5FAE" w:rsidRPr="003D70B4">
        <w:rPr>
          <w:bCs/>
        </w:rPr>
        <w:t>40</w:t>
      </w:r>
      <w:r w:rsidRPr="003D70B4">
        <w:rPr>
          <w:bCs/>
        </w:rPr>
        <w:t xml:space="preserve">-item Narcissistic Personality Inventory (NPI; Raskin &amp; Terry, 1988). </w:t>
      </w:r>
      <w:r w:rsidR="00950849" w:rsidRPr="003D70B4">
        <w:rPr>
          <w:bCs/>
        </w:rPr>
        <w:t xml:space="preserve">Participants </w:t>
      </w:r>
      <w:r w:rsidR="00432B9C" w:rsidRPr="003D70B4">
        <w:rPr>
          <w:bCs/>
        </w:rPr>
        <w:t>responded to</w:t>
      </w:r>
      <w:r w:rsidR="00950849" w:rsidRPr="003D70B4">
        <w:rPr>
          <w:bCs/>
        </w:rPr>
        <w:t xml:space="preserve"> t</w:t>
      </w:r>
      <w:r w:rsidRPr="003D70B4">
        <w:rPr>
          <w:bCs/>
        </w:rPr>
        <w:t>he narcissism option from each of the original forced</w:t>
      </w:r>
      <w:r w:rsidR="004B4062" w:rsidRPr="003D70B4">
        <w:rPr>
          <w:bCs/>
        </w:rPr>
        <w:t>-</w:t>
      </w:r>
      <w:r w:rsidRPr="003D70B4">
        <w:rPr>
          <w:bCs/>
        </w:rPr>
        <w:t>choice items</w:t>
      </w:r>
      <w:r w:rsidR="00950849" w:rsidRPr="003D70B4">
        <w:rPr>
          <w:bCs/>
        </w:rPr>
        <w:t xml:space="preserve"> (e.g., </w:t>
      </w:r>
      <w:r w:rsidR="00950849" w:rsidRPr="003D70B4">
        <w:rPr>
          <w:bCs/>
          <w:iCs/>
        </w:rPr>
        <w:t>“</w:t>
      </w:r>
      <w:r w:rsidR="00950849" w:rsidRPr="003D70B4">
        <w:rPr>
          <w:bCs/>
        </w:rPr>
        <w:t>I want to amount to something in the eyes of the world</w:t>
      </w:r>
      <w:r w:rsidR="0085686D">
        <w:rPr>
          <w:bCs/>
        </w:rPr>
        <w:t>,</w:t>
      </w:r>
      <w:r w:rsidR="00950849" w:rsidRPr="003D70B4">
        <w:rPr>
          <w:bCs/>
        </w:rPr>
        <w:t>”</w:t>
      </w:r>
      <w:r w:rsidR="008E357B">
        <w:rPr>
          <w:bCs/>
        </w:rPr>
        <w:t xml:space="preserve"> “</w:t>
      </w:r>
      <w:r w:rsidR="008E357B" w:rsidRPr="008E357B">
        <w:rPr>
          <w:bCs/>
        </w:rPr>
        <w:t>If I ruled the world it would be a much better place</w:t>
      </w:r>
      <w:r w:rsidR="0085686D">
        <w:rPr>
          <w:bCs/>
        </w:rPr>
        <w:t>,</w:t>
      </w:r>
      <w:r w:rsidR="008E357B">
        <w:rPr>
          <w:bCs/>
        </w:rPr>
        <w:t>” “</w:t>
      </w:r>
      <w:r w:rsidR="008E357B" w:rsidRPr="008E357B">
        <w:rPr>
          <w:bCs/>
        </w:rPr>
        <w:t>I am an extraordinary person</w:t>
      </w:r>
      <w:r w:rsidR="008E357B">
        <w:rPr>
          <w:bCs/>
        </w:rPr>
        <w:t>”</w:t>
      </w:r>
      <w:r w:rsidR="00950849" w:rsidRPr="003D70B4">
        <w:rPr>
          <w:bCs/>
          <w:iCs/>
        </w:rPr>
        <w:t>)</w:t>
      </w:r>
      <w:r w:rsidRPr="003D70B4">
        <w:rPr>
          <w:bCs/>
        </w:rPr>
        <w:t xml:space="preserve"> as</w:t>
      </w:r>
      <w:r w:rsidR="00950849" w:rsidRPr="003D70B4">
        <w:rPr>
          <w:bCs/>
        </w:rPr>
        <w:t xml:space="preserve"> either</w:t>
      </w:r>
      <w:r w:rsidRPr="003D70B4">
        <w:rPr>
          <w:bCs/>
        </w:rPr>
        <w:t xml:space="preserve"> true or false (</w:t>
      </w:r>
      <w:r w:rsidR="00950849" w:rsidRPr="003D70B4">
        <w:rPr>
          <w:bCs/>
        </w:rPr>
        <w:t xml:space="preserve">1 = </w:t>
      </w:r>
      <w:r w:rsidR="00950849" w:rsidRPr="003D70B4">
        <w:rPr>
          <w:bCs/>
          <w:i/>
        </w:rPr>
        <w:t>true</w:t>
      </w:r>
      <w:r w:rsidR="00950849" w:rsidRPr="003D70B4">
        <w:rPr>
          <w:bCs/>
        </w:rPr>
        <w:t xml:space="preserve">, 0 = </w:t>
      </w:r>
      <w:r w:rsidR="00950849" w:rsidRPr="003D70B4">
        <w:rPr>
          <w:bCs/>
          <w:i/>
        </w:rPr>
        <w:t>false</w:t>
      </w:r>
      <w:r w:rsidR="00950849" w:rsidRPr="003D70B4">
        <w:rPr>
          <w:bCs/>
        </w:rPr>
        <w:t xml:space="preserve">; possible range = 0-40; </w:t>
      </w:r>
      <w:r w:rsidRPr="003D70B4">
        <w:rPr>
          <w:bCs/>
        </w:rPr>
        <w:t>Nevicka, Ten Velden et al., 2011)</w:t>
      </w:r>
      <w:r w:rsidR="00950849" w:rsidRPr="003D70B4">
        <w:rPr>
          <w:bCs/>
        </w:rPr>
        <w:t xml:space="preserve">. We then </w:t>
      </w:r>
      <w:r w:rsidRPr="003D70B4">
        <w:rPr>
          <w:bCs/>
        </w:rPr>
        <w:t>summed</w:t>
      </w:r>
      <w:r w:rsidR="00950849" w:rsidRPr="003D70B4">
        <w:rPr>
          <w:bCs/>
        </w:rPr>
        <w:t xml:space="preserve"> the</w:t>
      </w:r>
      <w:r w:rsidR="00432B9C" w:rsidRPr="003D70B4">
        <w:rPr>
          <w:bCs/>
        </w:rPr>
        <w:t xml:space="preserve"> “true”</w:t>
      </w:r>
      <w:r w:rsidR="00950849" w:rsidRPr="003D70B4">
        <w:rPr>
          <w:bCs/>
        </w:rPr>
        <w:t xml:space="preserve"> responses</w:t>
      </w:r>
      <w:r w:rsidRPr="003D70B4">
        <w:rPr>
          <w:bCs/>
        </w:rPr>
        <w:t xml:space="preserve"> to calculate the total score (α = .8</w:t>
      </w:r>
      <w:r w:rsidR="0027102C" w:rsidRPr="003D70B4">
        <w:rPr>
          <w:bCs/>
        </w:rPr>
        <w:t>3</w:t>
      </w:r>
      <w:r w:rsidR="004D296B">
        <w:rPr>
          <w:bCs/>
        </w:rPr>
        <w:t>; ICC</w:t>
      </w:r>
      <w:r w:rsidR="00F2685C">
        <w:rPr>
          <w:bCs/>
        </w:rPr>
        <w:t>[</w:t>
      </w:r>
      <w:r w:rsidR="004D296B">
        <w:rPr>
          <w:bCs/>
        </w:rPr>
        <w:t>1</w:t>
      </w:r>
      <w:r w:rsidR="00F2685C">
        <w:rPr>
          <w:bCs/>
        </w:rPr>
        <w:t>]</w:t>
      </w:r>
      <w:r w:rsidR="004D296B">
        <w:rPr>
          <w:bCs/>
        </w:rPr>
        <w:t xml:space="preserve"> = .10</w:t>
      </w:r>
      <w:r w:rsidRPr="003D70B4">
        <w:rPr>
          <w:bCs/>
        </w:rPr>
        <w:t>).</w:t>
      </w:r>
      <w:r w:rsidR="004A1636" w:rsidRPr="003D70B4">
        <w:rPr>
          <w:bCs/>
        </w:rPr>
        <w:t xml:space="preserve"> </w:t>
      </w:r>
    </w:p>
    <w:p w14:paraId="73C3EED0" w14:textId="2ACA769C" w:rsidR="00F56E76" w:rsidRPr="007F38C5" w:rsidRDefault="00F56E76" w:rsidP="007F38C5">
      <w:pPr>
        <w:widowControl w:val="0"/>
        <w:spacing w:line="480" w:lineRule="auto"/>
        <w:ind w:firstLine="720"/>
        <w:contextualSpacing/>
        <w:outlineLvl w:val="0"/>
        <w:rPr>
          <w:bCs/>
        </w:rPr>
      </w:pPr>
      <w:r w:rsidRPr="003F772E">
        <w:rPr>
          <w:bCs/>
        </w:rPr>
        <w:t>We explored how the three NPI subscales, as established by prior research (Ackerman et al., 2011), related to promotability. The subscales were: Leadership/Authority (LA: 11 items; α = .70), Grandiose Exhibitionism (GE: 10 items; α = .63), and Entitlement/Exploitativeness (EE: 4 items; α = .24).</w:t>
      </w:r>
      <w:r w:rsidR="006A1B0F">
        <w:rPr>
          <w:bCs/>
        </w:rPr>
        <w:t xml:space="preserve"> </w:t>
      </w:r>
      <w:r w:rsidR="0042510D">
        <w:rPr>
          <w:bCs/>
        </w:rPr>
        <w:t>Additionally, g</w:t>
      </w:r>
      <w:r w:rsidR="001F4196">
        <w:rPr>
          <w:bCs/>
        </w:rPr>
        <w:t xml:space="preserve">iven the </w:t>
      </w:r>
      <w:r w:rsidR="0042510D">
        <w:rPr>
          <w:bCs/>
        </w:rPr>
        <w:t xml:space="preserve">close conceptual link </w:t>
      </w:r>
      <w:r w:rsidR="001F4196">
        <w:rPr>
          <w:bCs/>
        </w:rPr>
        <w:t xml:space="preserve">between </w:t>
      </w:r>
      <w:r w:rsidR="0042510D">
        <w:rPr>
          <w:bCs/>
        </w:rPr>
        <w:t xml:space="preserve">Leadership/Authority (i.e., </w:t>
      </w:r>
      <w:r w:rsidR="0042510D" w:rsidRPr="0042510D">
        <w:rPr>
          <w:bCs/>
        </w:rPr>
        <w:t>seeing oneself as a good leader, being assertive</w:t>
      </w:r>
      <w:r w:rsidR="0042510D">
        <w:rPr>
          <w:bCs/>
        </w:rPr>
        <w:t xml:space="preserve"> and</w:t>
      </w:r>
      <w:r w:rsidR="0042510D" w:rsidRPr="0042510D">
        <w:rPr>
          <w:bCs/>
        </w:rPr>
        <w:t xml:space="preserve"> having authority</w:t>
      </w:r>
      <w:r w:rsidR="0042510D">
        <w:rPr>
          <w:bCs/>
        </w:rPr>
        <w:t xml:space="preserve">) </w:t>
      </w:r>
      <w:r w:rsidR="001F4196">
        <w:rPr>
          <w:bCs/>
        </w:rPr>
        <w:t xml:space="preserve">and </w:t>
      </w:r>
      <w:r w:rsidR="0042510D">
        <w:rPr>
          <w:bCs/>
        </w:rPr>
        <w:t>promotability,</w:t>
      </w:r>
      <w:r w:rsidR="001F4196">
        <w:rPr>
          <w:bCs/>
        </w:rPr>
        <w:t xml:space="preserve"> w</w:t>
      </w:r>
      <w:r w:rsidR="006A1B0F">
        <w:rPr>
          <w:bCs/>
        </w:rPr>
        <w:t xml:space="preserve">e also </w:t>
      </w:r>
      <w:r w:rsidR="00061948">
        <w:rPr>
          <w:bCs/>
        </w:rPr>
        <w:t>checked</w:t>
      </w:r>
      <w:r w:rsidR="006A1B0F">
        <w:rPr>
          <w:bCs/>
        </w:rPr>
        <w:t xml:space="preserve"> whether removing Leadership/Authority items from the scale affected the findings (GE and EE collapsed: 14 items; </w:t>
      </w:r>
      <w:r w:rsidR="006A1B0F" w:rsidRPr="003F772E">
        <w:rPr>
          <w:bCs/>
        </w:rPr>
        <w:t>α = .63</w:t>
      </w:r>
      <w:r w:rsidR="006A1B0F">
        <w:rPr>
          <w:bCs/>
        </w:rPr>
        <w:t>)</w:t>
      </w:r>
      <w:r w:rsidR="009765EE">
        <w:rPr>
          <w:bCs/>
        </w:rPr>
        <w:t>.</w:t>
      </w:r>
      <w:r w:rsidR="007F38C5">
        <w:rPr>
          <w:bCs/>
        </w:rPr>
        <w:t xml:space="preserve"> </w:t>
      </w:r>
      <w:r w:rsidR="007F38C5" w:rsidRPr="007F38C5">
        <w:rPr>
          <w:bCs/>
        </w:rPr>
        <w:t>To facilitate comparison of the subscales, we</w:t>
      </w:r>
      <w:r w:rsidR="007F38C5">
        <w:rPr>
          <w:bCs/>
        </w:rPr>
        <w:t xml:space="preserve"> </w:t>
      </w:r>
      <w:r w:rsidR="007F38C5" w:rsidRPr="007F38C5">
        <w:rPr>
          <w:bCs/>
        </w:rPr>
        <w:t xml:space="preserve">computed average instead of </w:t>
      </w:r>
      <w:r w:rsidR="007F38C5" w:rsidRPr="007F38C5">
        <w:rPr>
          <w:bCs/>
        </w:rPr>
        <w:lastRenderedPageBreak/>
        <w:t xml:space="preserve">sum scores (possible range </w:t>
      </w:r>
      <w:r w:rsidR="007F38C5">
        <w:rPr>
          <w:bCs/>
        </w:rPr>
        <w:t>=</w:t>
      </w:r>
      <w:r w:rsidR="007F38C5" w:rsidRPr="007F38C5">
        <w:rPr>
          <w:bCs/>
        </w:rPr>
        <w:t xml:space="preserve"> 0</w:t>
      </w:r>
      <w:r w:rsidR="007F38C5">
        <w:rPr>
          <w:bCs/>
        </w:rPr>
        <w:t>-</w:t>
      </w:r>
      <w:r w:rsidR="007F38C5" w:rsidRPr="007F38C5">
        <w:rPr>
          <w:bCs/>
        </w:rPr>
        <w:t>1).</w:t>
      </w:r>
    </w:p>
    <w:p w14:paraId="26B131FC" w14:textId="48B95540" w:rsidR="00210891" w:rsidRPr="00AC0038" w:rsidRDefault="00210891">
      <w:pPr>
        <w:widowControl w:val="0"/>
        <w:spacing w:line="480" w:lineRule="auto"/>
        <w:ind w:firstLine="720"/>
        <w:contextualSpacing/>
        <w:outlineLvl w:val="0"/>
        <w:rPr>
          <w:b/>
          <w:bCs/>
          <w:i/>
          <w:iCs/>
        </w:rPr>
      </w:pPr>
      <w:r w:rsidRPr="003D70B4">
        <w:rPr>
          <w:b/>
          <w:bCs/>
        </w:rPr>
        <w:t>Promotability.</w:t>
      </w:r>
      <w:r w:rsidRPr="003D70B4">
        <w:rPr>
          <w:bCs/>
        </w:rPr>
        <w:t xml:space="preserve"> </w:t>
      </w:r>
      <w:r w:rsidR="005539F6" w:rsidRPr="003D70B4">
        <w:rPr>
          <w:bCs/>
        </w:rPr>
        <w:t xml:space="preserve">Supervisors </w:t>
      </w:r>
      <w:r w:rsidRPr="003D70B4">
        <w:rPr>
          <w:bCs/>
        </w:rPr>
        <w:t xml:space="preserve">rated each of their </w:t>
      </w:r>
      <w:r w:rsidR="005539F6" w:rsidRPr="003D70B4">
        <w:rPr>
          <w:bCs/>
        </w:rPr>
        <w:t xml:space="preserve">employees’ </w:t>
      </w:r>
      <w:r w:rsidRPr="003D70B4">
        <w:rPr>
          <w:bCs/>
        </w:rPr>
        <w:t xml:space="preserve">promotion prospects </w:t>
      </w:r>
      <w:r w:rsidR="00950849" w:rsidRPr="003D70B4">
        <w:rPr>
          <w:bCs/>
        </w:rPr>
        <w:t xml:space="preserve">on </w:t>
      </w:r>
      <w:r w:rsidRPr="003D70B4">
        <w:rPr>
          <w:bCs/>
        </w:rPr>
        <w:t xml:space="preserve">two items: (1) </w:t>
      </w:r>
      <w:r w:rsidR="00950849" w:rsidRPr="003D70B4">
        <w:rPr>
          <w:bCs/>
        </w:rPr>
        <w:t>“</w:t>
      </w:r>
      <w:r w:rsidRPr="003D70B4">
        <w:rPr>
          <w:bCs/>
        </w:rPr>
        <w:t>This employee has a good chance of climbing the organizational ladder</w:t>
      </w:r>
      <w:r w:rsidR="00950849" w:rsidRPr="003D70B4">
        <w:rPr>
          <w:bCs/>
        </w:rPr>
        <w:t>”</w:t>
      </w:r>
      <w:r w:rsidRPr="003D70B4">
        <w:rPr>
          <w:bCs/>
        </w:rPr>
        <w:t xml:space="preserve"> and (2) </w:t>
      </w:r>
      <w:r w:rsidR="00950849" w:rsidRPr="003D70B4">
        <w:rPr>
          <w:bCs/>
        </w:rPr>
        <w:t>“</w:t>
      </w:r>
      <w:r w:rsidRPr="003D70B4">
        <w:rPr>
          <w:bCs/>
        </w:rPr>
        <w:t>I would recommend this employee for a promotion</w:t>
      </w:r>
      <w:r w:rsidR="00950849" w:rsidRPr="003D70B4">
        <w:rPr>
          <w:bCs/>
        </w:rPr>
        <w:t>”</w:t>
      </w:r>
      <w:r w:rsidRPr="003D70B4">
        <w:rPr>
          <w:bCs/>
        </w:rPr>
        <w:t xml:space="preserve"> (</w:t>
      </w:r>
      <w:r w:rsidRPr="003D70B4">
        <w:t xml:space="preserve">1 = </w:t>
      </w:r>
      <w:r w:rsidR="0035349B" w:rsidRPr="003D70B4">
        <w:rPr>
          <w:i/>
          <w:iCs/>
        </w:rPr>
        <w:t>s</w:t>
      </w:r>
      <w:r w:rsidRPr="003D70B4">
        <w:rPr>
          <w:i/>
          <w:iCs/>
        </w:rPr>
        <w:t>trongly disagree</w:t>
      </w:r>
      <w:r w:rsidRPr="003D70B4">
        <w:rPr>
          <w:iCs/>
        </w:rPr>
        <w:t>,</w:t>
      </w:r>
      <w:r w:rsidRPr="003D70B4">
        <w:rPr>
          <w:i/>
          <w:iCs/>
        </w:rPr>
        <w:t xml:space="preserve"> </w:t>
      </w:r>
      <w:r w:rsidRPr="003D70B4">
        <w:t>7 = </w:t>
      </w:r>
      <w:r w:rsidR="0035349B" w:rsidRPr="003D70B4">
        <w:rPr>
          <w:i/>
          <w:iCs/>
        </w:rPr>
        <w:t>s</w:t>
      </w:r>
      <w:r w:rsidRPr="003D70B4">
        <w:rPr>
          <w:i/>
          <w:iCs/>
        </w:rPr>
        <w:t>trongly agree</w:t>
      </w:r>
      <w:r w:rsidR="00950849" w:rsidRPr="003D70B4">
        <w:t>;</w:t>
      </w:r>
      <w:r w:rsidRPr="003D70B4">
        <w:t xml:space="preserve"> </w:t>
      </w:r>
      <w:r w:rsidRPr="003D70B4">
        <w:rPr>
          <w:iCs/>
        </w:rPr>
        <w:t>α = .</w:t>
      </w:r>
      <w:r w:rsidR="00F640B2" w:rsidRPr="003D70B4">
        <w:rPr>
          <w:iCs/>
        </w:rPr>
        <w:t>94</w:t>
      </w:r>
      <w:r w:rsidR="009F5A48">
        <w:rPr>
          <w:iCs/>
        </w:rPr>
        <w:t>; ICC</w:t>
      </w:r>
      <w:r w:rsidR="00714BE6">
        <w:rPr>
          <w:iCs/>
        </w:rPr>
        <w:t>[</w:t>
      </w:r>
      <w:r w:rsidR="009F5A48">
        <w:rPr>
          <w:iCs/>
        </w:rPr>
        <w:t>1</w:t>
      </w:r>
      <w:r w:rsidR="00714BE6">
        <w:rPr>
          <w:iCs/>
        </w:rPr>
        <w:t>]</w:t>
      </w:r>
      <w:r w:rsidR="009F5A48">
        <w:rPr>
          <w:iCs/>
        </w:rPr>
        <w:t xml:space="preserve"> = .07</w:t>
      </w:r>
      <w:r w:rsidRPr="003D70B4">
        <w:rPr>
          <w:iCs/>
        </w:rPr>
        <w:t>).</w:t>
      </w:r>
      <w:r w:rsidR="00950849" w:rsidRPr="003D70B4">
        <w:rPr>
          <w:iCs/>
        </w:rPr>
        <w:t xml:space="preserve"> </w:t>
      </w:r>
      <w:r w:rsidRPr="003D70B4">
        <w:rPr>
          <w:iCs/>
        </w:rPr>
        <w:t>This</w:t>
      </w:r>
      <w:r w:rsidR="00004029" w:rsidRPr="003D70B4">
        <w:rPr>
          <w:iCs/>
        </w:rPr>
        <w:t xml:space="preserve"> brief</w:t>
      </w:r>
      <w:r w:rsidRPr="003D70B4">
        <w:rPr>
          <w:iCs/>
        </w:rPr>
        <w:t xml:space="preserve"> measure corresponds</w:t>
      </w:r>
      <w:r w:rsidR="0099677C" w:rsidRPr="003D70B4">
        <w:rPr>
          <w:iCs/>
        </w:rPr>
        <w:t xml:space="preserve"> closely</w:t>
      </w:r>
      <w:r w:rsidRPr="003D70B4">
        <w:rPr>
          <w:iCs/>
        </w:rPr>
        <w:t xml:space="preserve"> </w:t>
      </w:r>
      <w:r w:rsidR="00950849" w:rsidRPr="003D70B4">
        <w:rPr>
          <w:iCs/>
        </w:rPr>
        <w:t xml:space="preserve">to established promotability </w:t>
      </w:r>
      <w:r w:rsidRPr="003D70B4">
        <w:rPr>
          <w:iCs/>
        </w:rPr>
        <w:t>measures (Blickle et al., 2011; Paustian-Underdahl</w:t>
      </w:r>
      <w:r w:rsidR="004610B7" w:rsidRPr="003D70B4">
        <w:rPr>
          <w:iCs/>
        </w:rPr>
        <w:t xml:space="preserve"> et al.</w:t>
      </w:r>
      <w:r w:rsidRPr="003D70B4">
        <w:rPr>
          <w:iCs/>
        </w:rPr>
        <w:t>, 2016</w:t>
      </w:r>
      <w:r w:rsidR="003C251C" w:rsidRPr="003D70B4">
        <w:rPr>
          <w:iCs/>
        </w:rPr>
        <w:t xml:space="preserve">; </w:t>
      </w:r>
      <w:r w:rsidR="003C251C" w:rsidRPr="003D70B4">
        <w:rPr>
          <w:bCs/>
        </w:rPr>
        <w:t>Thacker &amp; Wayne, 1995</w:t>
      </w:r>
      <w:r w:rsidRPr="003D70B4">
        <w:rPr>
          <w:iCs/>
        </w:rPr>
        <w:t>).</w:t>
      </w:r>
      <w:r w:rsidR="003C251C" w:rsidRPr="003D70B4">
        <w:rPr>
          <w:iCs/>
        </w:rPr>
        <w:t xml:space="preserve"> </w:t>
      </w:r>
      <w:r w:rsidR="009570E7" w:rsidRPr="003D70B4">
        <w:rPr>
          <w:iCs/>
        </w:rPr>
        <w:t>Nevertheless, w</w:t>
      </w:r>
      <w:r w:rsidR="00004029" w:rsidRPr="003D70B4">
        <w:rPr>
          <w:iCs/>
        </w:rPr>
        <w:t>e</w:t>
      </w:r>
      <w:r w:rsidR="009570E7" w:rsidRPr="003D70B4">
        <w:rPr>
          <w:iCs/>
        </w:rPr>
        <w:t xml:space="preserve"> proceeded to</w:t>
      </w:r>
      <w:r w:rsidR="00004029" w:rsidRPr="003D70B4">
        <w:rPr>
          <w:iCs/>
        </w:rPr>
        <w:t xml:space="preserve"> </w:t>
      </w:r>
      <w:r w:rsidR="00730083" w:rsidRPr="003D70B4">
        <w:rPr>
          <w:iCs/>
        </w:rPr>
        <w:t>validate</w:t>
      </w:r>
      <w:r w:rsidR="009570E7" w:rsidRPr="003D70B4">
        <w:rPr>
          <w:iCs/>
        </w:rPr>
        <w:t xml:space="preserve"> it</w:t>
      </w:r>
      <w:r w:rsidR="00730083" w:rsidRPr="003D70B4">
        <w:rPr>
          <w:iCs/>
        </w:rPr>
        <w:t xml:space="preserve"> </w:t>
      </w:r>
      <w:r w:rsidR="007B5C3E" w:rsidRPr="003D70B4">
        <w:rPr>
          <w:iCs/>
        </w:rPr>
        <w:t>in a sample</w:t>
      </w:r>
      <w:r w:rsidR="00004029" w:rsidRPr="003D70B4">
        <w:rPr>
          <w:iCs/>
        </w:rPr>
        <w:t xml:space="preserve"> of </w:t>
      </w:r>
      <w:r w:rsidR="007B5C3E" w:rsidRPr="003D70B4">
        <w:rPr>
          <w:iCs/>
        </w:rPr>
        <w:t>50</w:t>
      </w:r>
      <w:r w:rsidR="0092174D" w:rsidRPr="003D70B4">
        <w:rPr>
          <w:iCs/>
        </w:rPr>
        <w:t xml:space="preserve"> American</w:t>
      </w:r>
      <w:r w:rsidR="007B5C3E" w:rsidRPr="003D70B4">
        <w:rPr>
          <w:iCs/>
        </w:rPr>
        <w:t xml:space="preserve"> </w:t>
      </w:r>
      <w:r w:rsidR="001821E6" w:rsidRPr="003D70B4">
        <w:rPr>
          <w:iCs/>
        </w:rPr>
        <w:t xml:space="preserve">working </w:t>
      </w:r>
      <w:r w:rsidR="007B5C3E" w:rsidRPr="003D70B4">
        <w:rPr>
          <w:iCs/>
        </w:rPr>
        <w:t>MTurk</w:t>
      </w:r>
      <w:r w:rsidR="00004029" w:rsidRPr="003D70B4">
        <w:rPr>
          <w:iCs/>
        </w:rPr>
        <w:t>ers</w:t>
      </w:r>
      <w:r w:rsidR="0092174D" w:rsidRPr="003D70B4">
        <w:rPr>
          <w:iCs/>
        </w:rPr>
        <w:t xml:space="preserve"> </w:t>
      </w:r>
      <w:r w:rsidR="007B5C3E" w:rsidRPr="003D70B4">
        <w:rPr>
          <w:iCs/>
        </w:rPr>
        <w:t>(</w:t>
      </w:r>
      <w:r w:rsidR="007B5C3E" w:rsidRPr="003D70B4">
        <w:rPr>
          <w:i/>
          <w:iCs/>
        </w:rPr>
        <w:t>M</w:t>
      </w:r>
      <w:r w:rsidR="006423BC" w:rsidRPr="003D70B4">
        <w:rPr>
          <w:iCs/>
          <w:vertAlign w:val="subscript"/>
        </w:rPr>
        <w:t>age</w:t>
      </w:r>
      <w:r w:rsidR="007B5C3E" w:rsidRPr="003D70B4">
        <w:rPr>
          <w:iCs/>
        </w:rPr>
        <w:t xml:space="preserve"> = </w:t>
      </w:r>
      <w:r w:rsidR="0062105A" w:rsidRPr="003D70B4">
        <w:rPr>
          <w:iCs/>
        </w:rPr>
        <w:t>32.68</w:t>
      </w:r>
      <w:r w:rsidR="007B5C3E" w:rsidRPr="003D70B4">
        <w:rPr>
          <w:iCs/>
        </w:rPr>
        <w:t xml:space="preserve">, </w:t>
      </w:r>
      <w:r w:rsidR="007B5C3E" w:rsidRPr="003D70B4">
        <w:rPr>
          <w:i/>
          <w:iCs/>
        </w:rPr>
        <w:t>SD</w:t>
      </w:r>
      <w:r w:rsidR="007B5C3E" w:rsidRPr="003D70B4">
        <w:rPr>
          <w:iCs/>
        </w:rPr>
        <w:t xml:space="preserve"> = </w:t>
      </w:r>
      <w:r w:rsidR="0062105A" w:rsidRPr="003D70B4">
        <w:rPr>
          <w:iCs/>
        </w:rPr>
        <w:t>9.09</w:t>
      </w:r>
      <w:r w:rsidR="007B5C3E" w:rsidRPr="003D70B4">
        <w:rPr>
          <w:iCs/>
        </w:rPr>
        <w:t xml:space="preserve">; </w:t>
      </w:r>
      <w:r w:rsidR="00404E76" w:rsidRPr="003D70B4">
        <w:rPr>
          <w:iCs/>
        </w:rPr>
        <w:t>70%</w:t>
      </w:r>
      <w:r w:rsidR="00004029" w:rsidRPr="003D70B4">
        <w:rPr>
          <w:iCs/>
        </w:rPr>
        <w:t xml:space="preserve"> men</w:t>
      </w:r>
      <w:r w:rsidR="001821E6" w:rsidRPr="003D70B4">
        <w:rPr>
          <w:iCs/>
        </w:rPr>
        <w:t xml:space="preserve">; </w:t>
      </w:r>
      <w:r w:rsidR="001821E6" w:rsidRPr="003D70B4">
        <w:rPr>
          <w:i/>
        </w:rPr>
        <w:t>M</w:t>
      </w:r>
      <w:r w:rsidR="001821E6" w:rsidRPr="003D70B4">
        <w:rPr>
          <w:i/>
          <w:vertAlign w:val="subscript"/>
        </w:rPr>
        <w:t>tenure</w:t>
      </w:r>
      <w:r w:rsidR="001821E6" w:rsidRPr="003D70B4">
        <w:rPr>
          <w:iCs/>
        </w:rPr>
        <w:t xml:space="preserve"> = 5.81, </w:t>
      </w:r>
      <w:r w:rsidR="001821E6" w:rsidRPr="003D70B4">
        <w:rPr>
          <w:i/>
          <w:iCs/>
        </w:rPr>
        <w:t>SD</w:t>
      </w:r>
      <w:r w:rsidR="001821E6" w:rsidRPr="003D70B4">
        <w:rPr>
          <w:iCs/>
        </w:rPr>
        <w:t xml:space="preserve"> = 3.65</w:t>
      </w:r>
      <w:r w:rsidR="00065197" w:rsidRPr="003D70B4">
        <w:rPr>
          <w:iCs/>
        </w:rPr>
        <w:t>; 96% completed higher education</w:t>
      </w:r>
      <w:r w:rsidR="007B5C3E" w:rsidRPr="003D70B4">
        <w:rPr>
          <w:iCs/>
        </w:rPr>
        <w:t>)</w:t>
      </w:r>
      <w:r w:rsidR="00730083" w:rsidRPr="003D70B4">
        <w:rPr>
          <w:iCs/>
        </w:rPr>
        <w:t xml:space="preserve"> who were</w:t>
      </w:r>
      <w:r w:rsidR="0092174D" w:rsidRPr="003D70B4">
        <w:rPr>
          <w:iCs/>
        </w:rPr>
        <w:t xml:space="preserve"> selected on the premise that they</w:t>
      </w:r>
      <w:r w:rsidR="0062105A" w:rsidRPr="003D70B4">
        <w:rPr>
          <w:iCs/>
        </w:rPr>
        <w:t xml:space="preserve"> supervised employees (</w:t>
      </w:r>
      <w:r w:rsidR="0062105A" w:rsidRPr="003D70B4">
        <w:rPr>
          <w:i/>
          <w:iCs/>
        </w:rPr>
        <w:t>M</w:t>
      </w:r>
      <w:r w:rsidR="0062105A" w:rsidRPr="003D70B4">
        <w:rPr>
          <w:iCs/>
        </w:rPr>
        <w:t xml:space="preserve"> = 11.56 </w:t>
      </w:r>
      <w:r w:rsidR="008533FA" w:rsidRPr="003D70B4">
        <w:rPr>
          <w:iCs/>
        </w:rPr>
        <w:t>employees</w:t>
      </w:r>
      <w:r w:rsidR="0062105A" w:rsidRPr="003D70B4">
        <w:rPr>
          <w:iCs/>
        </w:rPr>
        <w:t xml:space="preserve">, </w:t>
      </w:r>
      <w:r w:rsidR="0062105A" w:rsidRPr="003D70B4">
        <w:rPr>
          <w:i/>
          <w:iCs/>
        </w:rPr>
        <w:t>SD</w:t>
      </w:r>
      <w:r w:rsidR="0062105A" w:rsidRPr="003D70B4">
        <w:rPr>
          <w:iCs/>
        </w:rPr>
        <w:t xml:space="preserve"> = 13.92). </w:t>
      </w:r>
      <w:r w:rsidR="00730083" w:rsidRPr="003D70B4">
        <w:rPr>
          <w:iCs/>
        </w:rPr>
        <w:t>First, w</w:t>
      </w:r>
      <w:r w:rsidR="0062105A" w:rsidRPr="003D70B4">
        <w:rPr>
          <w:iCs/>
        </w:rPr>
        <w:t>e randomly presented participants with a letter and asked them to answer the questions for an employee whose last name started with</w:t>
      </w:r>
      <w:r w:rsidR="00730083" w:rsidRPr="003D70B4">
        <w:rPr>
          <w:iCs/>
        </w:rPr>
        <w:t>,</w:t>
      </w:r>
      <w:r w:rsidR="0062105A" w:rsidRPr="003D70B4">
        <w:rPr>
          <w:iCs/>
        </w:rPr>
        <w:t xml:space="preserve"> or was closest to</w:t>
      </w:r>
      <w:r w:rsidR="00730083" w:rsidRPr="003D70B4">
        <w:rPr>
          <w:iCs/>
        </w:rPr>
        <w:t>,</w:t>
      </w:r>
      <w:r w:rsidR="0062105A" w:rsidRPr="003D70B4">
        <w:rPr>
          <w:iCs/>
        </w:rPr>
        <w:t xml:space="preserve"> that letter (thus minimizing </w:t>
      </w:r>
      <w:r w:rsidR="006423BC" w:rsidRPr="003D70B4">
        <w:rPr>
          <w:iCs/>
        </w:rPr>
        <w:t>potential</w:t>
      </w:r>
      <w:r w:rsidR="0062105A" w:rsidRPr="003D70B4">
        <w:rPr>
          <w:iCs/>
        </w:rPr>
        <w:t xml:space="preserve"> selection bias). Participants </w:t>
      </w:r>
      <w:r w:rsidR="00730083" w:rsidRPr="003D70B4">
        <w:rPr>
          <w:iCs/>
        </w:rPr>
        <w:t xml:space="preserve">indicated that they had </w:t>
      </w:r>
      <w:r w:rsidR="0062105A" w:rsidRPr="003D70B4">
        <w:rPr>
          <w:iCs/>
        </w:rPr>
        <w:t>worked</w:t>
      </w:r>
      <w:r w:rsidR="00DA474E" w:rsidRPr="003D70B4">
        <w:rPr>
          <w:iCs/>
        </w:rPr>
        <w:t xml:space="preserve"> with </w:t>
      </w:r>
      <w:r w:rsidR="00B74813" w:rsidRPr="003D70B4">
        <w:rPr>
          <w:iCs/>
        </w:rPr>
        <w:t>their</w:t>
      </w:r>
      <w:r w:rsidR="00DA474E" w:rsidRPr="003D70B4">
        <w:rPr>
          <w:iCs/>
        </w:rPr>
        <w:t xml:space="preserve"> </w:t>
      </w:r>
      <w:r w:rsidR="00C265ED" w:rsidRPr="003D70B4">
        <w:rPr>
          <w:iCs/>
        </w:rPr>
        <w:t xml:space="preserve">selected </w:t>
      </w:r>
      <w:r w:rsidR="00DA474E" w:rsidRPr="003D70B4">
        <w:rPr>
          <w:iCs/>
        </w:rPr>
        <w:t>employee on average 2</w:t>
      </w:r>
      <w:r w:rsidR="0062105A" w:rsidRPr="003D70B4">
        <w:rPr>
          <w:iCs/>
        </w:rPr>
        <w:t>.</w:t>
      </w:r>
      <w:r w:rsidR="00DA474E" w:rsidRPr="003D70B4">
        <w:rPr>
          <w:iCs/>
        </w:rPr>
        <w:t>95</w:t>
      </w:r>
      <w:r w:rsidR="0062105A" w:rsidRPr="003D70B4">
        <w:rPr>
          <w:iCs/>
        </w:rPr>
        <w:t xml:space="preserve"> years (</w:t>
      </w:r>
      <w:r w:rsidR="0062105A" w:rsidRPr="003D70B4">
        <w:rPr>
          <w:i/>
          <w:iCs/>
        </w:rPr>
        <w:t>SD</w:t>
      </w:r>
      <w:r w:rsidR="00DA474E" w:rsidRPr="003D70B4">
        <w:rPr>
          <w:iCs/>
        </w:rPr>
        <w:t xml:space="preserve"> = 2</w:t>
      </w:r>
      <w:r w:rsidR="00D36C47" w:rsidRPr="003D70B4">
        <w:rPr>
          <w:iCs/>
        </w:rPr>
        <w:t>.</w:t>
      </w:r>
      <w:r w:rsidR="001821E6" w:rsidRPr="003D70B4">
        <w:rPr>
          <w:iCs/>
        </w:rPr>
        <w:t>02</w:t>
      </w:r>
      <w:r w:rsidR="0062105A" w:rsidRPr="003D70B4">
        <w:rPr>
          <w:iCs/>
        </w:rPr>
        <w:t>)</w:t>
      </w:r>
      <w:r w:rsidR="00A464D5">
        <w:rPr>
          <w:iCs/>
        </w:rPr>
        <w:t xml:space="preserve">. Sixty-four percent </w:t>
      </w:r>
      <w:r w:rsidR="000906E3">
        <w:rPr>
          <w:iCs/>
        </w:rPr>
        <w:t>of the employees were men</w:t>
      </w:r>
      <w:r w:rsidR="0062105A" w:rsidRPr="003D70B4">
        <w:rPr>
          <w:iCs/>
        </w:rPr>
        <w:t xml:space="preserve">. </w:t>
      </w:r>
      <w:r w:rsidR="00730083" w:rsidRPr="003D70B4">
        <w:rPr>
          <w:iCs/>
        </w:rPr>
        <w:t>Next, participants</w:t>
      </w:r>
      <w:r w:rsidR="00E109BA" w:rsidRPr="003D70B4">
        <w:rPr>
          <w:iCs/>
        </w:rPr>
        <w:t xml:space="preserve"> </w:t>
      </w:r>
      <w:r w:rsidR="0062105A" w:rsidRPr="003D70B4">
        <w:rPr>
          <w:iCs/>
        </w:rPr>
        <w:t xml:space="preserve">completed our 2-item </w:t>
      </w:r>
      <w:r w:rsidR="0092174D" w:rsidRPr="003D70B4">
        <w:rPr>
          <w:iCs/>
        </w:rPr>
        <w:t xml:space="preserve">promotability </w:t>
      </w:r>
      <w:r w:rsidR="0062105A" w:rsidRPr="003D70B4">
        <w:rPr>
          <w:iCs/>
        </w:rPr>
        <w:t xml:space="preserve">measure (α = .88), the 3-item promotability measure </w:t>
      </w:r>
      <w:r w:rsidR="0092174D" w:rsidRPr="003D70B4">
        <w:rPr>
          <w:iCs/>
        </w:rPr>
        <w:t xml:space="preserve">of </w:t>
      </w:r>
      <w:r w:rsidR="008533FA" w:rsidRPr="003D70B4">
        <w:rPr>
          <w:iCs/>
        </w:rPr>
        <w:t>Thacker and Wayne (</w:t>
      </w:r>
      <w:r w:rsidR="0062105A" w:rsidRPr="003D70B4">
        <w:rPr>
          <w:iCs/>
        </w:rPr>
        <w:t>1995</w:t>
      </w:r>
      <w:r w:rsidR="008533FA" w:rsidRPr="003D70B4">
        <w:rPr>
          <w:iCs/>
        </w:rPr>
        <w:t>; e.g., “I believe that this employee will have a successful career</w:t>
      </w:r>
      <w:r w:rsidR="0092174D" w:rsidRPr="003D70B4">
        <w:rPr>
          <w:iCs/>
        </w:rPr>
        <w:t>;</w:t>
      </w:r>
      <w:r w:rsidR="008533FA" w:rsidRPr="003D70B4">
        <w:rPr>
          <w:iCs/>
        </w:rPr>
        <w:t>” α = .76), and the 4-</w:t>
      </w:r>
      <w:r w:rsidR="00642F15" w:rsidRPr="003D70B4">
        <w:rPr>
          <w:iCs/>
        </w:rPr>
        <w:t>item promotability</w:t>
      </w:r>
      <w:r w:rsidR="008533FA" w:rsidRPr="003D70B4">
        <w:rPr>
          <w:iCs/>
        </w:rPr>
        <w:t xml:space="preserve"> measure </w:t>
      </w:r>
      <w:r w:rsidR="0092174D" w:rsidRPr="003D70B4">
        <w:rPr>
          <w:iCs/>
        </w:rPr>
        <w:t xml:space="preserve">of </w:t>
      </w:r>
      <w:r w:rsidR="008533FA" w:rsidRPr="003D70B4">
        <w:rPr>
          <w:iCs/>
        </w:rPr>
        <w:t xml:space="preserve">Blickle et al. (2011; e.g., “This employee can be considered for higher jobs”). </w:t>
      </w:r>
      <w:r w:rsidR="0092174D" w:rsidRPr="003D70B4">
        <w:rPr>
          <w:iCs/>
        </w:rPr>
        <w:t>W</w:t>
      </w:r>
      <w:r w:rsidR="008533FA" w:rsidRPr="003D70B4">
        <w:rPr>
          <w:iCs/>
        </w:rPr>
        <w:t xml:space="preserve">e removed </w:t>
      </w:r>
      <w:r w:rsidR="008073BB" w:rsidRPr="003D70B4">
        <w:rPr>
          <w:iCs/>
        </w:rPr>
        <w:t xml:space="preserve">the last </w:t>
      </w:r>
      <w:r w:rsidR="008533FA" w:rsidRPr="003D70B4">
        <w:rPr>
          <w:iCs/>
        </w:rPr>
        <w:t>item from the Blickle et al. (2011) measure, improv</w:t>
      </w:r>
      <w:r w:rsidR="00C265ED" w:rsidRPr="003D70B4">
        <w:rPr>
          <w:iCs/>
        </w:rPr>
        <w:t>ing</w:t>
      </w:r>
      <w:r w:rsidR="008533FA" w:rsidRPr="003D70B4">
        <w:rPr>
          <w:iCs/>
        </w:rPr>
        <w:t xml:space="preserve"> </w:t>
      </w:r>
      <w:r w:rsidR="0092174D" w:rsidRPr="003D70B4">
        <w:rPr>
          <w:iCs/>
        </w:rPr>
        <w:t xml:space="preserve">internal consistency </w:t>
      </w:r>
      <w:r w:rsidR="008533FA" w:rsidRPr="003D70B4">
        <w:rPr>
          <w:iCs/>
        </w:rPr>
        <w:t>(</w:t>
      </w:r>
      <w:r w:rsidR="00C265ED" w:rsidRPr="003D70B4">
        <w:rPr>
          <w:iCs/>
        </w:rPr>
        <w:t>from α = .</w:t>
      </w:r>
      <w:r w:rsidR="001A2DAD" w:rsidRPr="003D70B4">
        <w:rPr>
          <w:iCs/>
        </w:rPr>
        <w:t>63</w:t>
      </w:r>
      <w:r w:rsidR="00C265ED" w:rsidRPr="003D70B4">
        <w:rPr>
          <w:iCs/>
        </w:rPr>
        <w:t xml:space="preserve"> to </w:t>
      </w:r>
      <w:r w:rsidR="008533FA" w:rsidRPr="003D70B4">
        <w:rPr>
          <w:iCs/>
        </w:rPr>
        <w:t xml:space="preserve">α = .83). </w:t>
      </w:r>
      <w:r w:rsidR="003654E5">
        <w:rPr>
          <w:iCs/>
        </w:rPr>
        <w:t>O</w:t>
      </w:r>
      <w:r w:rsidR="008533FA" w:rsidRPr="003D70B4">
        <w:rPr>
          <w:iCs/>
        </w:rPr>
        <w:t xml:space="preserve">ur measure of promotability correlated significantly with both the Thacker and Wayne (1995) measure, </w:t>
      </w:r>
      <w:r w:rsidR="008533FA" w:rsidRPr="003D70B4">
        <w:rPr>
          <w:i/>
          <w:iCs/>
        </w:rPr>
        <w:t>r</w:t>
      </w:r>
      <w:r w:rsidR="008533FA" w:rsidRPr="003D70B4">
        <w:rPr>
          <w:iCs/>
        </w:rPr>
        <w:t xml:space="preserve"> = .84, </w:t>
      </w:r>
      <w:r w:rsidR="008533FA" w:rsidRPr="003D70B4">
        <w:rPr>
          <w:i/>
          <w:iCs/>
        </w:rPr>
        <w:t>p</w:t>
      </w:r>
      <w:r w:rsidR="008533FA" w:rsidRPr="003D70B4">
        <w:rPr>
          <w:iCs/>
        </w:rPr>
        <w:t xml:space="preserve"> &lt; .001, and the Blickle et al. (2011) measure, </w:t>
      </w:r>
      <w:r w:rsidR="008533FA" w:rsidRPr="003D70B4">
        <w:rPr>
          <w:i/>
          <w:iCs/>
        </w:rPr>
        <w:t>r</w:t>
      </w:r>
      <w:r w:rsidR="008533FA" w:rsidRPr="003D70B4">
        <w:rPr>
          <w:iCs/>
        </w:rPr>
        <w:t xml:space="preserve"> = .</w:t>
      </w:r>
      <w:r w:rsidR="00BA6F95" w:rsidRPr="003D70B4">
        <w:rPr>
          <w:iCs/>
        </w:rPr>
        <w:t>86</w:t>
      </w:r>
      <w:r w:rsidR="008533FA" w:rsidRPr="003D70B4">
        <w:rPr>
          <w:iCs/>
        </w:rPr>
        <w:t xml:space="preserve">, </w:t>
      </w:r>
      <w:r w:rsidR="008533FA" w:rsidRPr="003D70B4">
        <w:rPr>
          <w:i/>
          <w:iCs/>
        </w:rPr>
        <w:t>p</w:t>
      </w:r>
      <w:r w:rsidR="008533FA" w:rsidRPr="003D70B4">
        <w:rPr>
          <w:iCs/>
        </w:rPr>
        <w:t xml:space="preserve"> &lt; .001.</w:t>
      </w:r>
      <w:r w:rsidR="00076E4A">
        <w:rPr>
          <w:rStyle w:val="FootnoteReference"/>
          <w:iCs/>
        </w:rPr>
        <w:footnoteReference w:id="3"/>
      </w:r>
      <w:r w:rsidR="00AD1452" w:rsidRPr="00076E4A">
        <w:rPr>
          <w:iCs/>
        </w:rPr>
        <w:t xml:space="preserve"> </w:t>
      </w:r>
      <w:r w:rsidR="008533FA" w:rsidRPr="00076E4A">
        <w:rPr>
          <w:iCs/>
        </w:rPr>
        <w:t xml:space="preserve">Finally, a factor-analysis (oblique rotation) showed that all </w:t>
      </w:r>
      <w:r w:rsidR="00B74813" w:rsidRPr="00076E4A">
        <w:rPr>
          <w:iCs/>
        </w:rPr>
        <w:t>eight</w:t>
      </w:r>
      <w:r w:rsidR="008533FA" w:rsidRPr="00076E4A">
        <w:rPr>
          <w:iCs/>
        </w:rPr>
        <w:t xml:space="preserve"> items loa</w:t>
      </w:r>
      <w:r w:rsidR="008533FA" w:rsidRPr="007E74C2">
        <w:rPr>
          <w:iCs/>
        </w:rPr>
        <w:t>ded on</w:t>
      </w:r>
      <w:r w:rsidR="00730083" w:rsidRPr="007E74C2">
        <w:rPr>
          <w:iCs/>
        </w:rPr>
        <w:t>to</w:t>
      </w:r>
      <w:r w:rsidR="008533FA" w:rsidRPr="007E74C2">
        <w:rPr>
          <w:iCs/>
        </w:rPr>
        <w:t xml:space="preserve"> one component, </w:t>
      </w:r>
      <w:r w:rsidR="00341EC6" w:rsidRPr="007E74C2">
        <w:rPr>
          <w:iCs/>
        </w:rPr>
        <w:t xml:space="preserve">the KMO statistic was .91, and both our promotability items had a factor loading </w:t>
      </w:r>
      <w:r w:rsidR="0009257E" w:rsidRPr="008E3958">
        <w:rPr>
          <w:iCs/>
        </w:rPr>
        <w:t>of</w:t>
      </w:r>
      <w:r w:rsidR="003155BE" w:rsidRPr="003D57C7">
        <w:rPr>
          <w:iCs/>
        </w:rPr>
        <w:t xml:space="preserve"> </w:t>
      </w:r>
      <w:r w:rsidR="0009257E" w:rsidRPr="003D57C7">
        <w:rPr>
          <w:iCs/>
        </w:rPr>
        <w:t xml:space="preserve">&gt; </w:t>
      </w:r>
      <w:r w:rsidR="00341EC6" w:rsidRPr="003D57C7">
        <w:rPr>
          <w:iCs/>
        </w:rPr>
        <w:t xml:space="preserve">.85. </w:t>
      </w:r>
      <w:r w:rsidR="00730083" w:rsidRPr="00495C0B">
        <w:rPr>
          <w:iCs/>
        </w:rPr>
        <w:t xml:space="preserve">Thus, the </w:t>
      </w:r>
      <w:r w:rsidR="000075A8" w:rsidRPr="00D2563E">
        <w:rPr>
          <w:iCs/>
        </w:rPr>
        <w:t xml:space="preserve">results supported the validity </w:t>
      </w:r>
      <w:r w:rsidR="000075A8" w:rsidRPr="00D2563E">
        <w:rPr>
          <w:iCs/>
        </w:rPr>
        <w:lastRenderedPageBreak/>
        <w:t xml:space="preserve">of </w:t>
      </w:r>
      <w:r w:rsidR="00341EC6" w:rsidRPr="005160C6">
        <w:rPr>
          <w:iCs/>
        </w:rPr>
        <w:t xml:space="preserve">our </w:t>
      </w:r>
      <w:r w:rsidR="000075A8" w:rsidRPr="003D70B4">
        <w:rPr>
          <w:iCs/>
        </w:rPr>
        <w:t xml:space="preserve">promotability </w:t>
      </w:r>
      <w:r w:rsidR="00341EC6" w:rsidRPr="003D70B4">
        <w:rPr>
          <w:iCs/>
        </w:rPr>
        <w:t>measure.</w:t>
      </w:r>
    </w:p>
    <w:p w14:paraId="5CE38886" w14:textId="699CBB36" w:rsidR="003019FE" w:rsidRPr="003D70B4" w:rsidRDefault="00C20093" w:rsidP="004C28FB">
      <w:pPr>
        <w:spacing w:line="480" w:lineRule="auto"/>
        <w:rPr>
          <w:bCs/>
        </w:rPr>
      </w:pPr>
      <w:r w:rsidRPr="003D70B4">
        <w:rPr>
          <w:b/>
          <w:bCs/>
        </w:rPr>
        <w:tab/>
        <w:t xml:space="preserve">Control </w:t>
      </w:r>
      <w:r w:rsidR="00EA3B84" w:rsidRPr="003D70B4">
        <w:rPr>
          <w:b/>
          <w:bCs/>
        </w:rPr>
        <w:t>V</w:t>
      </w:r>
      <w:r w:rsidRPr="003D70B4">
        <w:rPr>
          <w:b/>
          <w:bCs/>
        </w:rPr>
        <w:t>ariables</w:t>
      </w:r>
      <w:r w:rsidR="00E91A2C" w:rsidRPr="003D70B4">
        <w:rPr>
          <w:b/>
          <w:bCs/>
        </w:rPr>
        <w:t xml:space="preserve">. </w:t>
      </w:r>
      <w:r w:rsidR="00D62F3F" w:rsidRPr="003D70B4">
        <w:rPr>
          <w:bCs/>
        </w:rPr>
        <w:t>We included employee gender as a control variable, given that men score higher on narcissism than women</w:t>
      </w:r>
      <w:r w:rsidR="009D6E37" w:rsidRPr="003D70B4">
        <w:rPr>
          <w:bCs/>
        </w:rPr>
        <w:t xml:space="preserve"> (Grijalva, Newman et al., 2015)</w:t>
      </w:r>
      <w:r w:rsidR="00D62F3F" w:rsidRPr="003D70B4">
        <w:rPr>
          <w:bCs/>
        </w:rPr>
        <w:t xml:space="preserve"> and seem to have a relative advantage in terms of promotability (Roth et al., 2012). </w:t>
      </w:r>
      <w:r w:rsidR="00AB2631" w:rsidRPr="003D70B4">
        <w:rPr>
          <w:bCs/>
        </w:rPr>
        <w:t>Organizational t</w:t>
      </w:r>
      <w:r w:rsidR="00861247" w:rsidRPr="003D70B4">
        <w:rPr>
          <w:bCs/>
        </w:rPr>
        <w:t xml:space="preserve">enure </w:t>
      </w:r>
      <w:r w:rsidR="00F732C7" w:rsidRPr="003D70B4">
        <w:rPr>
          <w:bCs/>
        </w:rPr>
        <w:t>can influence promotability ratings</w:t>
      </w:r>
      <w:r w:rsidRPr="003D70B4">
        <w:rPr>
          <w:bCs/>
        </w:rPr>
        <w:t xml:space="preserve"> (</w:t>
      </w:r>
      <w:r w:rsidR="00D550C4" w:rsidRPr="003D70B4">
        <w:rPr>
          <w:bCs/>
        </w:rPr>
        <w:t xml:space="preserve">De Pater et al., 2009; </w:t>
      </w:r>
      <w:r w:rsidR="00DE0308" w:rsidRPr="003D70B4">
        <w:rPr>
          <w:bCs/>
        </w:rPr>
        <w:t>Thacker &amp; Wayne, 1995</w:t>
      </w:r>
      <w:r w:rsidRPr="003D70B4">
        <w:rPr>
          <w:bCs/>
        </w:rPr>
        <w:t>)</w:t>
      </w:r>
      <w:r w:rsidR="00EB3B09" w:rsidRPr="003D70B4">
        <w:rPr>
          <w:bCs/>
        </w:rPr>
        <w:t>, and</w:t>
      </w:r>
      <w:r w:rsidR="00AB2631" w:rsidRPr="003D70B4">
        <w:rPr>
          <w:bCs/>
        </w:rPr>
        <w:t xml:space="preserve"> so we </w:t>
      </w:r>
      <w:r w:rsidR="00D62F3F" w:rsidRPr="003D70B4">
        <w:rPr>
          <w:bCs/>
        </w:rPr>
        <w:t xml:space="preserve">also </w:t>
      </w:r>
      <w:r w:rsidR="00AB2631" w:rsidRPr="003D70B4">
        <w:rPr>
          <w:bCs/>
        </w:rPr>
        <w:t xml:space="preserve">included </w:t>
      </w:r>
      <w:r w:rsidR="00426EED" w:rsidRPr="003D70B4">
        <w:rPr>
          <w:bCs/>
        </w:rPr>
        <w:t xml:space="preserve">it </w:t>
      </w:r>
      <w:r w:rsidR="00E429BC" w:rsidRPr="003D70B4">
        <w:rPr>
          <w:bCs/>
        </w:rPr>
        <w:t xml:space="preserve">as </w:t>
      </w:r>
      <w:r w:rsidR="00426EED" w:rsidRPr="003D70B4">
        <w:rPr>
          <w:bCs/>
        </w:rPr>
        <w:t xml:space="preserve">a </w:t>
      </w:r>
      <w:r w:rsidR="00E429BC" w:rsidRPr="003D70B4">
        <w:rPr>
          <w:bCs/>
        </w:rPr>
        <w:t>control.</w:t>
      </w:r>
      <w:r w:rsidRPr="003D70B4">
        <w:rPr>
          <w:bCs/>
        </w:rPr>
        <w:t xml:space="preserve"> </w:t>
      </w:r>
    </w:p>
    <w:p w14:paraId="3EE24C40" w14:textId="7D9A24E4" w:rsidR="00C20093" w:rsidRPr="003D70B4" w:rsidRDefault="001D53FE" w:rsidP="004C28FB">
      <w:pPr>
        <w:spacing w:line="480" w:lineRule="auto"/>
        <w:outlineLvl w:val="0"/>
        <w:rPr>
          <w:b/>
          <w:bCs/>
          <w:i/>
          <w:iCs/>
        </w:rPr>
      </w:pPr>
      <w:r w:rsidRPr="003D70B4">
        <w:rPr>
          <w:b/>
          <w:bCs/>
          <w:i/>
          <w:iCs/>
        </w:rPr>
        <w:t xml:space="preserve">Data </w:t>
      </w:r>
      <w:r w:rsidR="00C20093" w:rsidRPr="003D70B4">
        <w:rPr>
          <w:b/>
          <w:bCs/>
          <w:i/>
          <w:iCs/>
        </w:rPr>
        <w:t>Analy</w:t>
      </w:r>
      <w:r w:rsidRPr="003D70B4">
        <w:rPr>
          <w:b/>
          <w:bCs/>
          <w:i/>
          <w:iCs/>
        </w:rPr>
        <w:t>tic</w:t>
      </w:r>
      <w:r w:rsidR="00C20093" w:rsidRPr="003D70B4">
        <w:rPr>
          <w:b/>
          <w:bCs/>
          <w:i/>
          <w:iCs/>
        </w:rPr>
        <w:t xml:space="preserve"> </w:t>
      </w:r>
      <w:r w:rsidRPr="003D70B4">
        <w:rPr>
          <w:b/>
          <w:bCs/>
          <w:i/>
          <w:iCs/>
        </w:rPr>
        <w:t>S</w:t>
      </w:r>
      <w:r w:rsidR="00C20093" w:rsidRPr="003D70B4">
        <w:rPr>
          <w:b/>
          <w:bCs/>
          <w:i/>
          <w:iCs/>
        </w:rPr>
        <w:t>trategy</w:t>
      </w:r>
    </w:p>
    <w:p w14:paraId="0A941436" w14:textId="3CC6F8BC" w:rsidR="00C20093" w:rsidRPr="003D70B4" w:rsidRDefault="00C20093" w:rsidP="004C28FB">
      <w:pPr>
        <w:spacing w:line="480" w:lineRule="auto"/>
        <w:rPr>
          <w:bCs/>
        </w:rPr>
      </w:pPr>
      <w:r w:rsidRPr="003D70B4">
        <w:rPr>
          <w:bCs/>
        </w:rPr>
        <w:tab/>
      </w:r>
      <w:r w:rsidR="00C265ED" w:rsidRPr="003D70B4">
        <w:rPr>
          <w:bCs/>
        </w:rPr>
        <w:t xml:space="preserve">Due to </w:t>
      </w:r>
      <w:r w:rsidRPr="003D70B4">
        <w:rPr>
          <w:bCs/>
        </w:rPr>
        <w:t>the hierarchical</w:t>
      </w:r>
      <w:r w:rsidR="00C265ED" w:rsidRPr="003D70B4">
        <w:rPr>
          <w:bCs/>
        </w:rPr>
        <w:t xml:space="preserve"> data</w:t>
      </w:r>
      <w:r w:rsidRPr="003D70B4">
        <w:rPr>
          <w:bCs/>
        </w:rPr>
        <w:t xml:space="preserve"> structure, with </w:t>
      </w:r>
      <w:r w:rsidR="00AE73EF" w:rsidRPr="003D70B4">
        <w:rPr>
          <w:bCs/>
        </w:rPr>
        <w:t xml:space="preserve">employees </w:t>
      </w:r>
      <w:r w:rsidRPr="003D70B4">
        <w:rPr>
          <w:bCs/>
        </w:rPr>
        <w:t xml:space="preserve">(level 1) nested in </w:t>
      </w:r>
      <w:r w:rsidR="00AE73EF" w:rsidRPr="003D70B4">
        <w:rPr>
          <w:bCs/>
        </w:rPr>
        <w:t xml:space="preserve">supervisors </w:t>
      </w:r>
      <w:r w:rsidRPr="003D70B4">
        <w:rPr>
          <w:bCs/>
        </w:rPr>
        <w:t xml:space="preserve">(level 2), we </w:t>
      </w:r>
      <w:r w:rsidR="003363EE" w:rsidRPr="003D70B4">
        <w:rPr>
          <w:bCs/>
        </w:rPr>
        <w:t>ran the analyses</w:t>
      </w:r>
      <w:r w:rsidRPr="003D70B4">
        <w:rPr>
          <w:bCs/>
        </w:rPr>
        <w:t xml:space="preserve"> using a random coefficient model. </w:t>
      </w:r>
      <w:r w:rsidR="00EB3B09" w:rsidRPr="003D70B4">
        <w:rPr>
          <w:bCs/>
        </w:rPr>
        <w:t>We calculated t</w:t>
      </w:r>
      <w:r w:rsidRPr="003D70B4">
        <w:rPr>
          <w:bCs/>
        </w:rPr>
        <w:t xml:space="preserve">he total variance explained by the models </w:t>
      </w:r>
      <w:r w:rsidR="00AB2631" w:rsidRPr="003D70B4">
        <w:rPr>
          <w:bCs/>
        </w:rPr>
        <w:t xml:space="preserve">with </w:t>
      </w:r>
      <w:r w:rsidRPr="003D70B4">
        <w:rPr>
          <w:bCs/>
        </w:rPr>
        <w:t xml:space="preserve">the conditional </w:t>
      </w:r>
      <w:r w:rsidRPr="003D70B4">
        <w:rPr>
          <w:bCs/>
          <w:i/>
        </w:rPr>
        <w:t>R</w:t>
      </w:r>
      <w:r w:rsidRPr="003D70B4">
        <w:rPr>
          <w:bCs/>
          <w:i/>
          <w:vertAlign w:val="superscript"/>
        </w:rPr>
        <w:t>2</w:t>
      </w:r>
      <w:r w:rsidR="00D550C4" w:rsidRPr="003D70B4">
        <w:rPr>
          <w:bCs/>
        </w:rPr>
        <w:t xml:space="preserve">, </w:t>
      </w:r>
      <w:r w:rsidR="007C37C5" w:rsidRPr="003D70B4">
        <w:rPr>
          <w:bCs/>
        </w:rPr>
        <w:t xml:space="preserve">and the total variance explained by the fixed effects with the marginal </w:t>
      </w:r>
      <w:r w:rsidR="007C37C5" w:rsidRPr="003D70B4">
        <w:rPr>
          <w:bCs/>
          <w:i/>
          <w:iCs/>
        </w:rPr>
        <w:t>R</w:t>
      </w:r>
      <w:r w:rsidR="007C37C5" w:rsidRPr="003D70B4">
        <w:rPr>
          <w:bCs/>
          <w:i/>
          <w:iCs/>
          <w:vertAlign w:val="superscript"/>
        </w:rPr>
        <w:t>2</w:t>
      </w:r>
      <w:r w:rsidR="007C37C5" w:rsidRPr="003D70B4">
        <w:rPr>
          <w:bCs/>
          <w:i/>
          <w:iCs/>
        </w:rPr>
        <w:t xml:space="preserve"> </w:t>
      </w:r>
      <w:r w:rsidRPr="003D70B4">
        <w:rPr>
          <w:bCs/>
        </w:rPr>
        <w:t>(Nakagawa &amp; Schielzeth, 2013).</w:t>
      </w:r>
    </w:p>
    <w:p w14:paraId="00E66622" w14:textId="3470F769" w:rsidR="00087FE1" w:rsidRPr="003D70B4" w:rsidRDefault="004B4062" w:rsidP="004C28FB">
      <w:pPr>
        <w:spacing w:line="480" w:lineRule="auto"/>
        <w:outlineLvl w:val="0"/>
        <w:rPr>
          <w:b/>
        </w:rPr>
      </w:pPr>
      <w:r w:rsidRPr="003D70B4">
        <w:rPr>
          <w:b/>
        </w:rPr>
        <w:t>Results</w:t>
      </w:r>
    </w:p>
    <w:p w14:paraId="68C899A3" w14:textId="22B17C98" w:rsidR="00234008" w:rsidRDefault="008900CB">
      <w:pPr>
        <w:adjustRightInd w:val="0"/>
        <w:snapToGrid w:val="0"/>
        <w:spacing w:line="480" w:lineRule="auto"/>
        <w:contextualSpacing/>
      </w:pPr>
      <w:r w:rsidRPr="003D70B4">
        <w:tab/>
      </w:r>
      <w:r w:rsidR="00EB3B09" w:rsidRPr="003D70B4">
        <w:t xml:space="preserve">We present in </w:t>
      </w:r>
      <w:r w:rsidR="008373FB" w:rsidRPr="003D70B4">
        <w:t>Table 1 means, standard deviations</w:t>
      </w:r>
      <w:r w:rsidR="00EB3B09" w:rsidRPr="003D70B4">
        <w:t>,</w:t>
      </w:r>
      <w:r w:rsidR="008373FB" w:rsidRPr="003D70B4">
        <w:t xml:space="preserve"> and bivariate correlations </w:t>
      </w:r>
      <w:r w:rsidR="008C3266" w:rsidRPr="003D70B4">
        <w:t>among</w:t>
      </w:r>
      <w:r w:rsidR="008373FB" w:rsidRPr="003D70B4">
        <w:t xml:space="preserve"> variables. </w:t>
      </w:r>
      <w:r w:rsidR="002678B4">
        <w:t xml:space="preserve">As expected </w:t>
      </w:r>
      <w:r w:rsidR="002678B4" w:rsidRPr="003D70B4">
        <w:rPr>
          <w:bCs/>
        </w:rPr>
        <w:t>(Grijalva, Newman et al., 2015)</w:t>
      </w:r>
      <w:r w:rsidR="002678B4">
        <w:rPr>
          <w:bCs/>
        </w:rPr>
        <w:t>,</w:t>
      </w:r>
      <w:r w:rsidR="002678B4">
        <w:t xml:space="preserve"> women employees scored lower on narcissism than men employees (</w:t>
      </w:r>
      <w:r w:rsidR="002678B4" w:rsidRPr="002678B4">
        <w:rPr>
          <w:i/>
          <w:iCs/>
        </w:rPr>
        <w:t>r</w:t>
      </w:r>
      <w:r w:rsidR="002678B4">
        <w:t xml:space="preserve"> = -.22, </w:t>
      </w:r>
      <w:r w:rsidR="002678B4" w:rsidRPr="002678B4">
        <w:rPr>
          <w:i/>
          <w:iCs/>
        </w:rPr>
        <w:t>p</w:t>
      </w:r>
      <w:r w:rsidR="002678B4">
        <w:t xml:space="preserve"> = .005), but gender was not significantly correlated with promotability (</w:t>
      </w:r>
      <w:r w:rsidR="002678B4" w:rsidRPr="002678B4">
        <w:rPr>
          <w:i/>
          <w:iCs/>
        </w:rPr>
        <w:t>r</w:t>
      </w:r>
      <w:r w:rsidR="002678B4">
        <w:t xml:space="preserve"> = -.07, </w:t>
      </w:r>
      <w:r w:rsidR="002678B4" w:rsidRPr="002678B4">
        <w:rPr>
          <w:i/>
          <w:iCs/>
        </w:rPr>
        <w:t>p</w:t>
      </w:r>
      <w:r w:rsidR="002678B4">
        <w:t xml:space="preserve"> = .390). Tenure, on the other hand, correlated negatively both with narcissism (</w:t>
      </w:r>
      <w:r w:rsidR="002678B4" w:rsidRPr="002678B4">
        <w:rPr>
          <w:i/>
          <w:iCs/>
        </w:rPr>
        <w:t>r</w:t>
      </w:r>
      <w:r w:rsidR="002678B4">
        <w:t xml:space="preserve"> = -.24, </w:t>
      </w:r>
      <w:r w:rsidR="002678B4" w:rsidRPr="002678B4">
        <w:rPr>
          <w:i/>
          <w:iCs/>
        </w:rPr>
        <w:t>p</w:t>
      </w:r>
      <w:r w:rsidR="002678B4">
        <w:t xml:space="preserve"> = .002) and promotability (</w:t>
      </w:r>
      <w:r w:rsidR="002678B4" w:rsidRPr="002678B4">
        <w:rPr>
          <w:i/>
          <w:iCs/>
        </w:rPr>
        <w:t>r</w:t>
      </w:r>
      <w:r w:rsidR="002678B4">
        <w:t xml:space="preserve"> = -.21, </w:t>
      </w:r>
      <w:r w:rsidR="002678B4" w:rsidRPr="002678B4">
        <w:rPr>
          <w:i/>
          <w:iCs/>
        </w:rPr>
        <w:t>p</w:t>
      </w:r>
      <w:r w:rsidR="002678B4">
        <w:t xml:space="preserve"> = .009). </w:t>
      </w:r>
      <w:r w:rsidR="00CD297C">
        <w:t>Thus, it seems that more</w:t>
      </w:r>
      <w:r w:rsidR="008277D9">
        <w:t xml:space="preserve"> narcissistic</w:t>
      </w:r>
      <w:r w:rsidR="00CD297C">
        <w:t xml:space="preserve"> employees with more seniority have a lower chance of being seen as promotable. </w:t>
      </w:r>
      <w:r w:rsidR="008373FB" w:rsidRPr="003D70B4">
        <w:t xml:space="preserve">To test </w:t>
      </w:r>
      <w:r w:rsidR="00237025" w:rsidRPr="003D70B4">
        <w:t xml:space="preserve">the relation between </w:t>
      </w:r>
      <w:r w:rsidR="00AE73EF" w:rsidRPr="003D70B4">
        <w:t xml:space="preserve">employee </w:t>
      </w:r>
      <w:r w:rsidR="00237025" w:rsidRPr="003D70B4">
        <w:t xml:space="preserve">narcissism and promotability as rated by the </w:t>
      </w:r>
      <w:r w:rsidR="00AE73EF" w:rsidRPr="003D70B4">
        <w:t>supervisor</w:t>
      </w:r>
      <w:r w:rsidR="008373FB" w:rsidRPr="003D70B4">
        <w:t xml:space="preserve">, </w:t>
      </w:r>
      <w:r w:rsidR="00EB3B09" w:rsidRPr="003D70B4">
        <w:t xml:space="preserve">we entered </w:t>
      </w:r>
      <w:r w:rsidR="008373FB" w:rsidRPr="003D70B4">
        <w:t>the control variables (i.e.</w:t>
      </w:r>
      <w:r w:rsidR="00EB3B09" w:rsidRPr="003D70B4">
        <w:t>,</w:t>
      </w:r>
      <w:r w:rsidR="008373FB" w:rsidRPr="003D70B4">
        <w:t xml:space="preserve"> </w:t>
      </w:r>
      <w:r w:rsidR="00CC6EB3" w:rsidRPr="003D70B4">
        <w:t xml:space="preserve">employee </w:t>
      </w:r>
      <w:r w:rsidR="009B4409" w:rsidRPr="003D70B4">
        <w:t>gender and</w:t>
      </w:r>
      <w:r w:rsidR="008373FB" w:rsidRPr="003D70B4">
        <w:t xml:space="preserve"> tenure) and </w:t>
      </w:r>
      <w:r w:rsidR="00AE73EF" w:rsidRPr="003D70B4">
        <w:t xml:space="preserve">employee </w:t>
      </w:r>
      <w:r w:rsidR="008373FB" w:rsidRPr="003D70B4">
        <w:t xml:space="preserve">narcissism into the random coefficient model. </w:t>
      </w:r>
      <w:r w:rsidRPr="003D70B4">
        <w:t xml:space="preserve">As shown in Table 2, </w:t>
      </w:r>
      <w:r w:rsidR="00AE73EF" w:rsidRPr="003D70B4">
        <w:t xml:space="preserve">employee </w:t>
      </w:r>
      <w:r w:rsidRPr="003D70B4">
        <w:t xml:space="preserve">narcissism was positively related to promotability ratings given by the </w:t>
      </w:r>
      <w:r w:rsidR="00AE73EF" w:rsidRPr="003D70B4">
        <w:t>supervisor</w:t>
      </w:r>
      <w:r w:rsidRPr="003D70B4">
        <w:t xml:space="preserve">, </w:t>
      </w:r>
      <w:r w:rsidR="008373FB" w:rsidRPr="003D70B4">
        <w:rPr>
          <w:i/>
        </w:rPr>
        <w:t>B</w:t>
      </w:r>
      <w:r w:rsidR="00910028" w:rsidRPr="003D70B4">
        <w:t xml:space="preserve"> = 0.</w:t>
      </w:r>
      <w:r w:rsidR="00326D02" w:rsidRPr="003D70B4">
        <w:t>05</w:t>
      </w:r>
      <w:r w:rsidR="008373FB" w:rsidRPr="003D70B4">
        <w:t xml:space="preserve">, </w:t>
      </w:r>
      <w:r w:rsidR="008373FB" w:rsidRPr="003D70B4">
        <w:rPr>
          <w:i/>
        </w:rPr>
        <w:t>t</w:t>
      </w:r>
      <w:r w:rsidR="00910028" w:rsidRPr="003D70B4">
        <w:t>(14</w:t>
      </w:r>
      <w:r w:rsidR="00326D02" w:rsidRPr="003D70B4">
        <w:t>8.36</w:t>
      </w:r>
      <w:r w:rsidR="00910028" w:rsidRPr="003D70B4">
        <w:t>) = 2.</w:t>
      </w:r>
      <w:r w:rsidR="00326D02" w:rsidRPr="003D70B4">
        <w:t>72</w:t>
      </w:r>
      <w:r w:rsidR="008373FB" w:rsidRPr="003D70B4">
        <w:t xml:space="preserve">, </w:t>
      </w:r>
      <w:r w:rsidR="008373FB" w:rsidRPr="003D70B4">
        <w:rPr>
          <w:i/>
        </w:rPr>
        <w:t>p</w:t>
      </w:r>
      <w:r w:rsidR="00910028" w:rsidRPr="003D70B4">
        <w:t xml:space="preserve"> = .0</w:t>
      </w:r>
      <w:r w:rsidR="00326D02" w:rsidRPr="003D70B4">
        <w:t>07</w:t>
      </w:r>
      <w:r w:rsidR="008373FB" w:rsidRPr="003D70B4">
        <w:t xml:space="preserve">, </w:t>
      </w:r>
      <w:r w:rsidR="008373FB" w:rsidRPr="003D70B4">
        <w:rPr>
          <w:i/>
        </w:rPr>
        <w:t>r</w:t>
      </w:r>
      <w:r w:rsidR="008373FB" w:rsidRPr="003D70B4">
        <w:t xml:space="preserve"> = </w:t>
      </w:r>
      <w:r w:rsidR="00A956A1" w:rsidRPr="003D70B4">
        <w:t>.</w:t>
      </w:r>
      <w:r w:rsidR="00326D02" w:rsidRPr="003D70B4">
        <w:t>22</w:t>
      </w:r>
      <w:r w:rsidR="00910028" w:rsidRPr="003D70B4">
        <w:t>, 95%CI[.0</w:t>
      </w:r>
      <w:r w:rsidR="00326D02" w:rsidRPr="003D70B4">
        <w:t>14</w:t>
      </w:r>
      <w:r w:rsidR="00910028" w:rsidRPr="003D70B4">
        <w:t>, .0</w:t>
      </w:r>
      <w:r w:rsidR="00326D02" w:rsidRPr="003D70B4">
        <w:t>92</w:t>
      </w:r>
      <w:r w:rsidR="008373FB" w:rsidRPr="003D70B4">
        <w:t>].</w:t>
      </w:r>
      <w:r w:rsidR="00AD1452" w:rsidRPr="007E74C2">
        <w:rPr>
          <w:vertAlign w:val="superscript"/>
        </w:rPr>
        <w:t xml:space="preserve"> </w:t>
      </w:r>
      <w:r w:rsidR="00B60DB5">
        <w:t xml:space="preserve">Moreover, </w:t>
      </w:r>
      <w:r w:rsidR="00B60DB5" w:rsidRPr="00B60DB5">
        <w:t>Akaike Information Criteria</w:t>
      </w:r>
      <w:r w:rsidR="00331570">
        <w:t xml:space="preserve"> (AIC)</w:t>
      </w:r>
      <w:r w:rsidR="0048374E">
        <w:t xml:space="preserve"> of model fit</w:t>
      </w:r>
      <w:r w:rsidR="00B60DB5">
        <w:t xml:space="preserve"> indicated that the model which </w:t>
      </w:r>
      <w:r w:rsidR="0048374E">
        <w:t>included</w:t>
      </w:r>
      <w:r w:rsidR="00B60DB5">
        <w:t xml:space="preserve"> employee narcissism as a predictor showed a superior fit to the model which only included </w:t>
      </w:r>
      <w:r w:rsidR="00B60DB5">
        <w:lastRenderedPageBreak/>
        <w:t xml:space="preserve">the control variables as predictors, </w:t>
      </w:r>
      <w:r w:rsidR="00B60DB5">
        <w:sym w:font="Symbol" w:char="F044"/>
      </w:r>
      <w:r w:rsidR="00B60DB5">
        <w:t>AIC = 5.17</w:t>
      </w:r>
      <w:r w:rsidR="002B29D6">
        <w:t>, with the former being 13.29 times more likely (based on the relative AIC weights</w:t>
      </w:r>
      <w:r w:rsidR="008B50BE">
        <w:t>; Wagenmakers &amp; Farrell, 2004</w:t>
      </w:r>
      <w:r w:rsidR="002B29D6">
        <w:t xml:space="preserve">) to be the best </w:t>
      </w:r>
      <w:r w:rsidR="00801CBE">
        <w:t xml:space="preserve">fitting </w:t>
      </w:r>
      <w:r w:rsidR="002B29D6">
        <w:t xml:space="preserve">model in comparison to the latter. </w:t>
      </w:r>
      <w:r w:rsidR="008277D9">
        <w:t>In all, t</w:t>
      </w:r>
      <w:r w:rsidR="00EB3B09" w:rsidRPr="007E74C2">
        <w:t>he</w:t>
      </w:r>
      <w:r w:rsidR="0099677C" w:rsidRPr="007E74C2">
        <w:t xml:space="preserve"> </w:t>
      </w:r>
      <w:r w:rsidR="00EB3B09" w:rsidRPr="007E74C2">
        <w:t>results</w:t>
      </w:r>
      <w:r w:rsidR="00452B63" w:rsidRPr="007E74C2">
        <w:t xml:space="preserve"> </w:t>
      </w:r>
      <w:r w:rsidR="002A1FFA" w:rsidRPr="007E74C2">
        <w:t xml:space="preserve">illustrate </w:t>
      </w:r>
      <w:r w:rsidR="00EB3B09" w:rsidRPr="007E74C2">
        <w:t>that narcissistic employees were more likely to be perceived as promotable by their supervisors</w:t>
      </w:r>
      <w:r w:rsidR="003E2413">
        <w:rPr>
          <w:rStyle w:val="FootnoteReference"/>
        </w:rPr>
        <w:footnoteReference w:id="4"/>
      </w:r>
      <w:r w:rsidR="00331570">
        <w:rPr>
          <w:vertAlign w:val="superscript"/>
        </w:rPr>
        <w:t>,</w:t>
      </w:r>
      <w:r w:rsidR="00331570">
        <w:rPr>
          <w:rStyle w:val="FootnoteReference"/>
        </w:rPr>
        <w:footnoteReference w:id="5"/>
      </w:r>
      <w:r w:rsidR="00785D34" w:rsidRPr="008E3958">
        <w:t xml:space="preserve">. </w:t>
      </w:r>
    </w:p>
    <w:p w14:paraId="36B17AEF" w14:textId="2A948251" w:rsidR="00A574F5" w:rsidRPr="007A173A" w:rsidRDefault="007B46D7" w:rsidP="005876F4">
      <w:pPr>
        <w:adjustRightInd w:val="0"/>
        <w:snapToGrid w:val="0"/>
        <w:spacing w:line="480" w:lineRule="auto"/>
        <w:contextualSpacing/>
        <w:rPr>
          <w:b/>
          <w:bCs/>
          <w:i/>
          <w:iCs/>
        </w:rPr>
      </w:pPr>
      <w:r>
        <w:rPr>
          <w:b/>
          <w:bCs/>
          <w:i/>
          <w:iCs/>
        </w:rPr>
        <w:t>Components of Narcissism</w:t>
      </w:r>
    </w:p>
    <w:p w14:paraId="26C4697C" w14:textId="5C97178A" w:rsidR="003F772E" w:rsidRDefault="00E44103" w:rsidP="007A173A">
      <w:pPr>
        <w:adjustRightInd w:val="0"/>
        <w:snapToGrid w:val="0"/>
        <w:spacing w:line="480" w:lineRule="auto"/>
        <w:ind w:firstLine="720"/>
        <w:contextualSpacing/>
      </w:pPr>
      <w:r>
        <w:rPr>
          <w:bCs/>
        </w:rPr>
        <w:t xml:space="preserve">We further explored whether the components of narcissism differentially related to promotability. </w:t>
      </w:r>
      <w:r w:rsidR="003F772E" w:rsidRPr="003F772E">
        <w:rPr>
          <w:bCs/>
        </w:rPr>
        <w:t>We obtained</w:t>
      </w:r>
      <w:r w:rsidR="003F772E" w:rsidRPr="003F772E">
        <w:t xml:space="preserve"> a significant relation between Leadership/Authority and promotability, </w:t>
      </w:r>
      <w:r w:rsidR="003F772E" w:rsidRPr="003F772E">
        <w:rPr>
          <w:i/>
        </w:rPr>
        <w:t>B</w:t>
      </w:r>
      <w:r w:rsidR="003F772E" w:rsidRPr="003F772E">
        <w:t xml:space="preserve"> = 1.85, </w:t>
      </w:r>
      <w:r w:rsidR="003F772E" w:rsidRPr="003F772E">
        <w:rPr>
          <w:i/>
        </w:rPr>
        <w:t>t</w:t>
      </w:r>
      <w:r w:rsidR="003F772E" w:rsidRPr="003F772E">
        <w:t xml:space="preserve">(143.23) = 3.27, </w:t>
      </w:r>
      <w:r w:rsidR="003F772E" w:rsidRPr="003F772E">
        <w:rPr>
          <w:i/>
        </w:rPr>
        <w:t>p</w:t>
      </w:r>
      <w:r w:rsidR="003F772E" w:rsidRPr="003F772E">
        <w:t xml:space="preserve"> = .001, </w:t>
      </w:r>
      <w:r w:rsidR="003F772E" w:rsidRPr="003F772E">
        <w:rPr>
          <w:i/>
        </w:rPr>
        <w:t>r</w:t>
      </w:r>
      <w:r w:rsidR="003F772E" w:rsidRPr="003F772E">
        <w:t xml:space="preserve"> = .26, 95%CI[.730, 2.962], a somewhat weaker relation between Grandiose Exhibitionism and promotability, </w:t>
      </w:r>
      <w:r w:rsidR="003F772E" w:rsidRPr="003F772E">
        <w:rPr>
          <w:i/>
        </w:rPr>
        <w:t>B</w:t>
      </w:r>
      <w:r w:rsidR="003F772E" w:rsidRPr="003F772E">
        <w:t xml:space="preserve"> = 1.35, </w:t>
      </w:r>
      <w:r w:rsidR="003F772E" w:rsidRPr="003F772E">
        <w:rPr>
          <w:i/>
        </w:rPr>
        <w:t>t</w:t>
      </w:r>
      <w:r w:rsidR="003F772E" w:rsidRPr="003F772E">
        <w:t xml:space="preserve">(150.87) = 2.17, </w:t>
      </w:r>
      <w:r w:rsidR="003F772E" w:rsidRPr="003F772E">
        <w:rPr>
          <w:i/>
        </w:rPr>
        <w:t>p</w:t>
      </w:r>
      <w:r w:rsidR="003F772E" w:rsidRPr="003F772E">
        <w:t xml:space="preserve"> = .032, </w:t>
      </w:r>
      <w:r w:rsidR="003F772E" w:rsidRPr="003F772E">
        <w:rPr>
          <w:i/>
        </w:rPr>
        <w:t>r</w:t>
      </w:r>
      <w:r w:rsidR="003F772E" w:rsidRPr="003F772E">
        <w:t xml:space="preserve"> = .17, 95%CI[.118, .2.579], and a null relation between Entitlement/Exploitativeness and promotability, </w:t>
      </w:r>
      <w:r w:rsidR="003F772E" w:rsidRPr="003F772E">
        <w:rPr>
          <w:i/>
        </w:rPr>
        <w:t>B</w:t>
      </w:r>
      <w:r w:rsidR="003F772E" w:rsidRPr="003F772E">
        <w:t xml:space="preserve"> = 0.85, </w:t>
      </w:r>
      <w:r w:rsidR="003F772E" w:rsidRPr="003F772E">
        <w:rPr>
          <w:i/>
        </w:rPr>
        <w:t>t</w:t>
      </w:r>
      <w:r w:rsidR="003F772E" w:rsidRPr="003F772E">
        <w:t xml:space="preserve">(151.50) = 1.80, </w:t>
      </w:r>
      <w:r w:rsidR="003F772E" w:rsidRPr="003F772E">
        <w:rPr>
          <w:i/>
        </w:rPr>
        <w:t>p</w:t>
      </w:r>
      <w:r w:rsidR="003F772E" w:rsidRPr="003F772E">
        <w:t xml:space="preserve"> = .073, 95%CI[-.081, 1.786]. When including all three dimensions in one analysis, Leadership/Authority remained the only significant predictor, </w:t>
      </w:r>
      <w:r w:rsidR="003F772E" w:rsidRPr="003F772E">
        <w:rPr>
          <w:i/>
        </w:rPr>
        <w:t>B</w:t>
      </w:r>
      <w:r w:rsidR="003F772E" w:rsidRPr="003F772E">
        <w:t xml:space="preserve"> = 1.49, </w:t>
      </w:r>
      <w:r w:rsidR="003F772E" w:rsidRPr="003F772E">
        <w:rPr>
          <w:i/>
        </w:rPr>
        <w:t>t</w:t>
      </w:r>
      <w:r w:rsidR="003F772E" w:rsidRPr="003F772E">
        <w:t xml:space="preserve">(141.49) = 2.28, </w:t>
      </w:r>
      <w:r w:rsidR="003F772E" w:rsidRPr="003F772E">
        <w:rPr>
          <w:i/>
        </w:rPr>
        <w:t>p</w:t>
      </w:r>
      <w:r w:rsidR="003F772E" w:rsidRPr="003F772E">
        <w:t xml:space="preserve"> = .024, </w:t>
      </w:r>
      <w:r w:rsidR="003F772E" w:rsidRPr="003F772E">
        <w:rPr>
          <w:i/>
        </w:rPr>
        <w:t>r</w:t>
      </w:r>
      <w:r w:rsidR="003F772E" w:rsidRPr="003F772E">
        <w:t xml:space="preserve"> = .19, 95%CI[.195, 2.788]</w:t>
      </w:r>
      <w:r w:rsidR="005F4D08">
        <w:t>.</w:t>
      </w:r>
      <w:r w:rsidR="003F772E" w:rsidRPr="003F772E">
        <w:t xml:space="preserve"> These auxiliary analyses suggest that promotability perceptions were driven mainly by the narcissism component that reflects leadership (i.e., social potency, assertiveness, self-efficacy; Liu et al., 2017), and are thus consistent with the power perspective. We note, however, that the alpha for Entitlement/Exploitativeness was very low.</w:t>
      </w:r>
    </w:p>
    <w:p w14:paraId="2B6EF734" w14:textId="6470F09C" w:rsidR="00217DB9" w:rsidRPr="00217DB9" w:rsidRDefault="00217DB9" w:rsidP="00217DB9">
      <w:pPr>
        <w:adjustRightInd w:val="0"/>
        <w:snapToGrid w:val="0"/>
        <w:spacing w:line="480" w:lineRule="auto"/>
        <w:contextualSpacing/>
        <w:rPr>
          <w:b/>
          <w:bCs/>
          <w:i/>
          <w:iCs/>
        </w:rPr>
      </w:pPr>
      <w:r>
        <w:rPr>
          <w:b/>
          <w:bCs/>
          <w:i/>
          <w:iCs/>
        </w:rPr>
        <w:t>Sensitivity Analysis</w:t>
      </w:r>
    </w:p>
    <w:p w14:paraId="5FD709A6" w14:textId="0FB3F55F" w:rsidR="00E03707" w:rsidRPr="008E3958" w:rsidRDefault="00280990">
      <w:pPr>
        <w:adjustRightInd w:val="0"/>
        <w:snapToGrid w:val="0"/>
        <w:spacing w:line="480" w:lineRule="auto"/>
        <w:ind w:firstLine="720"/>
        <w:contextualSpacing/>
      </w:pPr>
      <w:r>
        <w:lastRenderedPageBreak/>
        <w:t xml:space="preserve">Given the conceptual </w:t>
      </w:r>
      <w:r w:rsidR="00543B7B">
        <w:t>closeness</w:t>
      </w:r>
      <w:r>
        <w:t xml:space="preserve"> between the Leadership/Authority component of narcissism and </w:t>
      </w:r>
      <w:r w:rsidR="00E50B73">
        <w:t>being seen as promotable</w:t>
      </w:r>
      <w:r>
        <w:t xml:space="preserve">, we </w:t>
      </w:r>
      <w:r w:rsidR="00061948">
        <w:t>ran</w:t>
      </w:r>
      <w:r>
        <w:t xml:space="preserve"> a sensitivity analysis to examine the predictive power of </w:t>
      </w:r>
      <w:r w:rsidR="004875BA">
        <w:t xml:space="preserve">narcissism </w:t>
      </w:r>
      <w:r w:rsidR="009C39BE">
        <w:t xml:space="preserve">without </w:t>
      </w:r>
      <w:r w:rsidR="004875BA">
        <w:t>the Leadership/Authority items</w:t>
      </w:r>
      <w:r>
        <w:t xml:space="preserve">. When including </w:t>
      </w:r>
      <w:r w:rsidR="004875BA">
        <w:t xml:space="preserve">narcissism as </w:t>
      </w:r>
      <w:r w:rsidR="004F720A">
        <w:t>consisting</w:t>
      </w:r>
      <w:r w:rsidR="004875BA">
        <w:t xml:space="preserve"> of </w:t>
      </w:r>
      <w:r>
        <w:t xml:space="preserve">only Grandiose Exhibitionism and </w:t>
      </w:r>
      <w:r w:rsidRPr="003F772E">
        <w:t>Entitlement/Exploitativeness</w:t>
      </w:r>
      <w:r w:rsidR="004875BA">
        <w:t xml:space="preserve"> items</w:t>
      </w:r>
      <w:r>
        <w:t xml:space="preserve"> in the analysis, the results </w:t>
      </w:r>
      <w:r w:rsidR="004875BA">
        <w:t xml:space="preserve">still </w:t>
      </w:r>
      <w:r>
        <w:t>show</w:t>
      </w:r>
      <w:r w:rsidR="004875BA">
        <w:t xml:space="preserve"> a positive </w:t>
      </w:r>
      <w:r w:rsidR="00611EF5">
        <w:t>relation</w:t>
      </w:r>
      <w:r w:rsidR="004875BA">
        <w:t xml:space="preserve"> between employee narcissism and promotability, </w:t>
      </w:r>
      <w:r w:rsidR="00BB683F" w:rsidRPr="003D70B4">
        <w:rPr>
          <w:i/>
        </w:rPr>
        <w:t>B</w:t>
      </w:r>
      <w:r w:rsidR="00BB683F" w:rsidRPr="003D70B4">
        <w:t xml:space="preserve"> = </w:t>
      </w:r>
      <w:r w:rsidR="005E44CE">
        <w:t>1.73</w:t>
      </w:r>
      <w:r w:rsidR="00BB683F" w:rsidRPr="003D70B4">
        <w:t xml:space="preserve">, </w:t>
      </w:r>
      <w:r w:rsidR="00BB683F" w:rsidRPr="003D70B4">
        <w:rPr>
          <w:i/>
        </w:rPr>
        <w:t>t</w:t>
      </w:r>
      <w:r w:rsidR="00BB683F" w:rsidRPr="003D70B4">
        <w:t>(</w:t>
      </w:r>
      <w:r w:rsidR="005E44CE">
        <w:t>150.87</w:t>
      </w:r>
      <w:r w:rsidR="00BB683F" w:rsidRPr="003D70B4">
        <w:t>) = 2.</w:t>
      </w:r>
      <w:r w:rsidR="005E44CE">
        <w:t>51</w:t>
      </w:r>
      <w:r w:rsidR="00BB683F" w:rsidRPr="003D70B4">
        <w:t xml:space="preserve">, </w:t>
      </w:r>
      <w:r w:rsidR="00BB683F" w:rsidRPr="003D70B4">
        <w:rPr>
          <w:i/>
        </w:rPr>
        <w:t>p</w:t>
      </w:r>
      <w:r w:rsidR="00BB683F" w:rsidRPr="003D70B4">
        <w:t xml:space="preserve"> = .0</w:t>
      </w:r>
      <w:r w:rsidR="005E44CE">
        <w:t>13</w:t>
      </w:r>
      <w:r w:rsidR="00BB683F" w:rsidRPr="003D70B4">
        <w:t xml:space="preserve">, </w:t>
      </w:r>
      <w:r w:rsidR="00BB683F" w:rsidRPr="003D70B4">
        <w:rPr>
          <w:i/>
        </w:rPr>
        <w:t>r</w:t>
      </w:r>
      <w:r w:rsidR="00BB683F" w:rsidRPr="003D70B4">
        <w:t xml:space="preserve"> = .2</w:t>
      </w:r>
      <w:r w:rsidR="00002AC4">
        <w:t>0</w:t>
      </w:r>
      <w:r w:rsidR="00BB683F" w:rsidRPr="003D70B4">
        <w:t>, 95%CI[.</w:t>
      </w:r>
      <w:r w:rsidR="00002AC4">
        <w:t>369</w:t>
      </w:r>
      <w:r w:rsidR="00BB683F" w:rsidRPr="003D70B4">
        <w:t xml:space="preserve">, </w:t>
      </w:r>
      <w:r w:rsidR="00002AC4">
        <w:t>3.099</w:t>
      </w:r>
      <w:r w:rsidR="00BB683F" w:rsidRPr="003D70B4">
        <w:t>]</w:t>
      </w:r>
      <w:r w:rsidR="00BB683F">
        <w:t xml:space="preserve">, </w:t>
      </w:r>
      <w:r w:rsidR="006859D6">
        <w:t>with a similar</w:t>
      </w:r>
      <w:r w:rsidR="00BB683F">
        <w:t xml:space="preserve"> </w:t>
      </w:r>
      <w:r w:rsidR="00DF6700">
        <w:t>effect size</w:t>
      </w:r>
      <w:r w:rsidR="0000654D">
        <w:t xml:space="preserve"> (Table 3)</w:t>
      </w:r>
      <w:r w:rsidR="004875BA">
        <w:t>.</w:t>
      </w:r>
    </w:p>
    <w:p w14:paraId="29D076C2" w14:textId="580FD6EB" w:rsidR="001517BE" w:rsidRPr="003D57C7" w:rsidRDefault="001517BE" w:rsidP="004C28FB">
      <w:pPr>
        <w:spacing w:line="480" w:lineRule="auto"/>
        <w:jc w:val="center"/>
        <w:rPr>
          <w:b/>
          <w:bCs/>
        </w:rPr>
      </w:pPr>
      <w:r w:rsidRPr="003D57C7">
        <w:rPr>
          <w:b/>
          <w:bCs/>
        </w:rPr>
        <w:t>Study 2</w:t>
      </w:r>
    </w:p>
    <w:p w14:paraId="7D7BA2E5" w14:textId="70535D33" w:rsidR="0055683F" w:rsidRPr="00D2563E" w:rsidRDefault="00471D84" w:rsidP="004C28FB">
      <w:pPr>
        <w:spacing w:line="480" w:lineRule="auto"/>
      </w:pPr>
      <w:r w:rsidRPr="003D57C7">
        <w:rPr>
          <w:b/>
        </w:rPr>
        <w:tab/>
      </w:r>
      <w:r w:rsidR="00DA6231" w:rsidRPr="00495C0B">
        <w:t>In</w:t>
      </w:r>
      <w:r w:rsidR="00C6536D" w:rsidRPr="00D2563E">
        <w:t xml:space="preserve"> Study 2</w:t>
      </w:r>
      <w:r w:rsidR="00DA6231" w:rsidRPr="00D2563E">
        <w:t xml:space="preserve">, we </w:t>
      </w:r>
      <w:r w:rsidR="0055683F" w:rsidRPr="00D2563E">
        <w:t>provide</w:t>
      </w:r>
      <w:r w:rsidR="002B46CD" w:rsidRPr="005160C6">
        <w:t>d</w:t>
      </w:r>
      <w:r w:rsidR="0055683F" w:rsidRPr="003D70B4">
        <w:t xml:space="preserve"> a conceptual replication of</w:t>
      </w:r>
      <w:r w:rsidR="00C6536D" w:rsidRPr="003D70B4">
        <w:t xml:space="preserve"> </w:t>
      </w:r>
      <w:r w:rsidR="00C05B45" w:rsidRPr="003D70B4">
        <w:t xml:space="preserve">Study 1 </w:t>
      </w:r>
      <w:r w:rsidR="00C6536D" w:rsidRPr="003D70B4">
        <w:t>and</w:t>
      </w:r>
      <w:r w:rsidR="00DA6231" w:rsidRPr="003D70B4">
        <w:t>, importantly,</w:t>
      </w:r>
      <w:r w:rsidR="00C6536D" w:rsidRPr="003D70B4">
        <w:t xml:space="preserve"> </w:t>
      </w:r>
      <w:r w:rsidR="00DA6231" w:rsidRPr="003D70B4">
        <w:t>test</w:t>
      </w:r>
      <w:r w:rsidR="002B46CD" w:rsidRPr="003D70B4">
        <w:t>ed</w:t>
      </w:r>
      <w:r w:rsidR="00DA6231" w:rsidRPr="003D70B4">
        <w:t xml:space="preserve"> the two perspectives</w:t>
      </w:r>
      <w:r w:rsidR="00C6536D" w:rsidRPr="003D70B4">
        <w:t>.</w:t>
      </w:r>
      <w:r w:rsidR="00DA6231" w:rsidRPr="003D70B4">
        <w:t xml:space="preserve"> I</w:t>
      </w:r>
      <w:r w:rsidR="00B64780" w:rsidRPr="003D70B4">
        <w:t>n addition</w:t>
      </w:r>
      <w:r w:rsidR="00F540A4" w:rsidRPr="003D70B4">
        <w:t xml:space="preserve"> to obtaining promotability ratings from </w:t>
      </w:r>
      <w:r w:rsidR="005539F6" w:rsidRPr="003D70B4">
        <w:t>supervisors</w:t>
      </w:r>
      <w:r w:rsidR="00F540A4" w:rsidRPr="003D70B4">
        <w:t xml:space="preserve">, </w:t>
      </w:r>
      <w:r w:rsidR="005539F6" w:rsidRPr="00D2563E">
        <w:t xml:space="preserve">employees </w:t>
      </w:r>
      <w:r w:rsidR="00C66CA0" w:rsidRPr="00D2563E">
        <w:t>report</w:t>
      </w:r>
      <w:r w:rsidR="00845E1A" w:rsidRPr="00D2563E">
        <w:t>ed</w:t>
      </w:r>
      <w:r w:rsidR="00C66CA0" w:rsidRPr="00D2563E">
        <w:t xml:space="preserve"> their </w:t>
      </w:r>
      <w:r w:rsidR="001B606A" w:rsidRPr="00D2563E">
        <w:t xml:space="preserve">sense of </w:t>
      </w:r>
      <w:r w:rsidR="00C66CA0" w:rsidRPr="00D2563E">
        <w:t xml:space="preserve">power in the workplace </w:t>
      </w:r>
      <w:r w:rsidR="00112B53" w:rsidRPr="00D2563E">
        <w:t>and</w:t>
      </w:r>
      <w:r w:rsidR="00C66CA0" w:rsidRPr="00D2563E">
        <w:t xml:space="preserve"> </w:t>
      </w:r>
      <w:r w:rsidR="00F540A4" w:rsidRPr="00D2563E">
        <w:t xml:space="preserve">their </w:t>
      </w:r>
      <w:r w:rsidR="00B64780" w:rsidRPr="00D2563E">
        <w:t xml:space="preserve">impression management </w:t>
      </w:r>
      <w:r w:rsidR="00844AE7" w:rsidRPr="00D2563E">
        <w:t>behavior</w:t>
      </w:r>
      <w:r w:rsidR="00F540A4" w:rsidRPr="00D2563E">
        <w:t xml:space="preserve"> when in contact with their </w:t>
      </w:r>
      <w:r w:rsidR="005539F6" w:rsidRPr="00D2563E">
        <w:rPr>
          <w:bCs/>
        </w:rPr>
        <w:t>supervisor</w:t>
      </w:r>
      <w:r w:rsidR="00F540A4" w:rsidRPr="00D2563E">
        <w:t xml:space="preserve">. </w:t>
      </w:r>
    </w:p>
    <w:p w14:paraId="20FAF481" w14:textId="16C39781" w:rsidR="00087FE1" w:rsidRPr="00D2563E" w:rsidRDefault="00087FE1" w:rsidP="004C28FB">
      <w:pPr>
        <w:spacing w:line="480" w:lineRule="auto"/>
        <w:outlineLvl w:val="0"/>
        <w:rPr>
          <w:b/>
        </w:rPr>
      </w:pPr>
      <w:r w:rsidRPr="00D2563E">
        <w:rPr>
          <w:b/>
        </w:rPr>
        <w:t>M</w:t>
      </w:r>
      <w:r w:rsidR="00A879DC" w:rsidRPr="00D2563E">
        <w:rPr>
          <w:b/>
        </w:rPr>
        <w:t>ethod</w:t>
      </w:r>
    </w:p>
    <w:p w14:paraId="0674DB55" w14:textId="2BD41496" w:rsidR="005A7A79" w:rsidRPr="00D2563E" w:rsidRDefault="00D72B29" w:rsidP="004C28FB">
      <w:pPr>
        <w:spacing w:line="480" w:lineRule="auto"/>
        <w:outlineLvl w:val="0"/>
        <w:rPr>
          <w:b/>
          <w:bCs/>
          <w:i/>
          <w:iCs/>
        </w:rPr>
      </w:pPr>
      <w:r w:rsidRPr="00D2563E">
        <w:rPr>
          <w:b/>
          <w:bCs/>
          <w:i/>
          <w:iCs/>
        </w:rPr>
        <w:t>Sample and P</w:t>
      </w:r>
      <w:r w:rsidR="005A7A79" w:rsidRPr="00D2563E">
        <w:rPr>
          <w:b/>
          <w:bCs/>
          <w:i/>
          <w:iCs/>
        </w:rPr>
        <w:t>rocedure</w:t>
      </w:r>
    </w:p>
    <w:p w14:paraId="46FCBCF8" w14:textId="77D41A28" w:rsidR="00BA446A" w:rsidRPr="00D2563E" w:rsidRDefault="004E5D68" w:rsidP="00C05CD0">
      <w:pPr>
        <w:widowControl w:val="0"/>
        <w:spacing w:line="480" w:lineRule="auto"/>
        <w:rPr>
          <w:bCs/>
        </w:rPr>
      </w:pPr>
      <w:r w:rsidRPr="00D2563E">
        <w:rPr>
          <w:bCs/>
        </w:rPr>
        <w:tab/>
      </w:r>
      <w:r w:rsidR="001E48E1" w:rsidRPr="00D2563E">
        <w:rPr>
          <w:bCs/>
        </w:rPr>
        <w:t xml:space="preserve">We first approached </w:t>
      </w:r>
      <w:r w:rsidR="005539F6" w:rsidRPr="00D2563E">
        <w:rPr>
          <w:bCs/>
        </w:rPr>
        <w:t xml:space="preserve">supervisors </w:t>
      </w:r>
      <w:r w:rsidR="00864757" w:rsidRPr="00D2563E">
        <w:rPr>
          <w:bCs/>
        </w:rPr>
        <w:t>via email</w:t>
      </w:r>
      <w:r w:rsidR="005A7A79" w:rsidRPr="00D2563E">
        <w:rPr>
          <w:bCs/>
        </w:rPr>
        <w:t xml:space="preserve"> and social network </w:t>
      </w:r>
      <w:r w:rsidR="005A7A79" w:rsidRPr="002105A5">
        <w:rPr>
          <w:bCs/>
        </w:rPr>
        <w:t xml:space="preserve">websites. </w:t>
      </w:r>
      <w:r w:rsidR="00681853" w:rsidRPr="002105A5">
        <w:rPr>
          <w:bCs/>
        </w:rPr>
        <w:t xml:space="preserve">We determined the sample size for testing a general linear model via a G*Power analysis (Faul </w:t>
      </w:r>
      <w:r w:rsidR="00681853" w:rsidRPr="002105A5">
        <w:t>et al.</w:t>
      </w:r>
      <w:r w:rsidR="00681853" w:rsidRPr="002105A5">
        <w:rPr>
          <w:bCs/>
        </w:rPr>
        <w:t xml:space="preserve">, 2007), using the following parameters: power = .80, </w:t>
      </w:r>
      <w:r w:rsidR="00681853" w:rsidRPr="002105A5">
        <w:rPr>
          <w:iCs/>
        </w:rPr>
        <w:t>α = .05, number of predictors = 5</w:t>
      </w:r>
      <w:r w:rsidR="00D56228" w:rsidRPr="002105A5">
        <w:rPr>
          <w:iCs/>
        </w:rPr>
        <w:t>, number of tested predictors = 3</w:t>
      </w:r>
      <w:r w:rsidR="00792EB5" w:rsidRPr="002105A5">
        <w:rPr>
          <w:iCs/>
        </w:rPr>
        <w:t xml:space="preserve"> (i.e., narcissism, sense of power, self-promotion)</w:t>
      </w:r>
      <w:r w:rsidR="00681853" w:rsidRPr="002105A5">
        <w:rPr>
          <w:iCs/>
        </w:rPr>
        <w:t xml:space="preserve">. The expected </w:t>
      </w:r>
      <w:r w:rsidR="00681853" w:rsidRPr="007227D9">
        <w:rPr>
          <w:iCs/>
        </w:rPr>
        <w:t>effect size was set to small-to-medium (</w:t>
      </w:r>
      <w:r w:rsidR="00681853" w:rsidRPr="007227D9">
        <w:rPr>
          <w:i/>
          <w:iCs/>
        </w:rPr>
        <w:t>f</w:t>
      </w:r>
      <w:r w:rsidR="00681853" w:rsidRPr="007227D9">
        <w:rPr>
          <w:i/>
          <w:iCs/>
          <w:vertAlign w:val="superscript"/>
        </w:rPr>
        <w:t xml:space="preserve">2 </w:t>
      </w:r>
      <w:r w:rsidR="00681853" w:rsidRPr="007227D9">
        <w:rPr>
          <w:iCs/>
        </w:rPr>
        <w:t xml:space="preserve">= .085), which required a minimum sample of </w:t>
      </w:r>
      <w:r w:rsidR="00D56228" w:rsidRPr="007227D9">
        <w:rPr>
          <w:iCs/>
        </w:rPr>
        <w:t>133</w:t>
      </w:r>
      <w:r w:rsidR="00681853" w:rsidRPr="007227D9">
        <w:rPr>
          <w:iCs/>
        </w:rPr>
        <w:t xml:space="preserve"> employees. </w:t>
      </w:r>
      <w:r w:rsidR="006C4CC1" w:rsidRPr="007227D9">
        <w:rPr>
          <w:iCs/>
        </w:rPr>
        <w:t xml:space="preserve">As stated </w:t>
      </w:r>
      <w:r w:rsidR="00424D58" w:rsidRPr="007227D9">
        <w:rPr>
          <w:iCs/>
        </w:rPr>
        <w:t xml:space="preserve">in </w:t>
      </w:r>
      <w:r w:rsidR="006C4CC1" w:rsidRPr="007227D9">
        <w:rPr>
          <w:iCs/>
        </w:rPr>
        <w:t xml:space="preserve">Study 1, Aarend and Schäfer’s (2019) </w:t>
      </w:r>
      <w:r w:rsidR="005B12BE" w:rsidRPr="007227D9">
        <w:rPr>
          <w:bCs/>
        </w:rPr>
        <w:t xml:space="preserve">Monte Carlo simulations for estimating two-level models with various specifications </w:t>
      </w:r>
      <w:r w:rsidR="006C4CC1" w:rsidRPr="007227D9">
        <w:rPr>
          <w:bCs/>
        </w:rPr>
        <w:t>showed that</w:t>
      </w:r>
      <w:r w:rsidR="005B12BE" w:rsidRPr="007227D9">
        <w:rPr>
          <w:bCs/>
        </w:rPr>
        <w:t xml:space="preserve"> a sample size of 80 at level 2 (i.e., number of supervisors) and a cluster size of 3 (i.e., number of employees per supervisor) can provide sufficient power </w:t>
      </w:r>
      <w:r w:rsidR="005B12BE" w:rsidRPr="007227D9">
        <w:rPr>
          <w:bCs/>
        </w:rPr>
        <w:sym w:font="Symbol" w:char="F020"/>
      </w:r>
      <w:r w:rsidR="005B12BE" w:rsidRPr="007227D9">
        <w:rPr>
          <w:bCs/>
        </w:rPr>
        <w:sym w:font="Symbol" w:char="F0B3"/>
      </w:r>
      <w:r w:rsidR="005B12BE" w:rsidRPr="007227D9">
        <w:rPr>
          <w:bCs/>
        </w:rPr>
        <w:t xml:space="preserve"> .80 for detecting small to medium effect sizes (minimum detectable standard effect size = .21) testing level 1 predictors (i.e., narcissism</w:t>
      </w:r>
      <w:r w:rsidR="006C4CC1" w:rsidRPr="007227D9">
        <w:rPr>
          <w:bCs/>
        </w:rPr>
        <w:t xml:space="preserve">, </w:t>
      </w:r>
      <w:r w:rsidR="006C4CC1" w:rsidRPr="007227D9">
        <w:rPr>
          <w:iCs/>
        </w:rPr>
        <w:t>sense of power, self-promotion</w:t>
      </w:r>
      <w:r w:rsidR="005B12BE" w:rsidRPr="007227D9">
        <w:rPr>
          <w:bCs/>
        </w:rPr>
        <w:t>).</w:t>
      </w:r>
      <w:r w:rsidR="006C4CC1" w:rsidRPr="007227D9">
        <w:rPr>
          <w:bCs/>
        </w:rPr>
        <w:t xml:space="preserve"> </w:t>
      </w:r>
      <w:r w:rsidR="001E48E1" w:rsidRPr="007227D9">
        <w:rPr>
          <w:bCs/>
        </w:rPr>
        <w:t xml:space="preserve">We invited </w:t>
      </w:r>
      <w:r w:rsidR="005A7A79" w:rsidRPr="007227D9">
        <w:rPr>
          <w:bCs/>
        </w:rPr>
        <w:t xml:space="preserve">128 </w:t>
      </w:r>
      <w:r w:rsidR="005539F6" w:rsidRPr="007227D9">
        <w:rPr>
          <w:bCs/>
        </w:rPr>
        <w:t>supervisors</w:t>
      </w:r>
      <w:r w:rsidR="005539F6" w:rsidRPr="002105A5">
        <w:rPr>
          <w:bCs/>
        </w:rPr>
        <w:t xml:space="preserve"> </w:t>
      </w:r>
      <w:r w:rsidR="005C7EB8" w:rsidRPr="002105A5">
        <w:rPr>
          <w:bCs/>
        </w:rPr>
        <w:t xml:space="preserve">working in </w:t>
      </w:r>
      <w:r w:rsidR="00BA446A" w:rsidRPr="002105A5">
        <w:rPr>
          <w:bCs/>
        </w:rPr>
        <w:t xml:space="preserve">various </w:t>
      </w:r>
      <w:r w:rsidR="005C7EB8" w:rsidRPr="002105A5">
        <w:rPr>
          <w:bCs/>
        </w:rPr>
        <w:lastRenderedPageBreak/>
        <w:t>organizations and</w:t>
      </w:r>
      <w:r w:rsidR="005C7EB8" w:rsidRPr="00D2563E">
        <w:rPr>
          <w:bCs/>
        </w:rPr>
        <w:t xml:space="preserve"> industries (e.g., </w:t>
      </w:r>
      <w:r w:rsidR="003654E5" w:rsidRPr="00D2563E">
        <w:rPr>
          <w:bCs/>
        </w:rPr>
        <w:t>business</w:t>
      </w:r>
      <w:r w:rsidR="005C7EB8" w:rsidRPr="00D2563E">
        <w:rPr>
          <w:bCs/>
        </w:rPr>
        <w:t>, healthcare,</w:t>
      </w:r>
      <w:r w:rsidR="003654E5">
        <w:rPr>
          <w:bCs/>
        </w:rPr>
        <w:t xml:space="preserve"> </w:t>
      </w:r>
      <w:r w:rsidR="003654E5" w:rsidRPr="00D2563E">
        <w:rPr>
          <w:bCs/>
        </w:rPr>
        <w:t>hospitality</w:t>
      </w:r>
      <w:r w:rsidR="005C7EB8" w:rsidRPr="00D2563E">
        <w:rPr>
          <w:bCs/>
        </w:rPr>
        <w:t xml:space="preserve">) </w:t>
      </w:r>
      <w:r w:rsidR="005A7A79" w:rsidRPr="00D2563E">
        <w:rPr>
          <w:bCs/>
        </w:rPr>
        <w:t xml:space="preserve">to </w:t>
      </w:r>
      <w:r w:rsidR="001E48E1" w:rsidRPr="00D2563E">
        <w:rPr>
          <w:bCs/>
        </w:rPr>
        <w:t xml:space="preserve">take part </w:t>
      </w:r>
      <w:r w:rsidR="00806759" w:rsidRPr="00D2563E">
        <w:rPr>
          <w:bCs/>
        </w:rPr>
        <w:t>in the study</w:t>
      </w:r>
      <w:r w:rsidR="005C7EB8" w:rsidRPr="00D2563E">
        <w:rPr>
          <w:bCs/>
        </w:rPr>
        <w:t>.</w:t>
      </w:r>
      <w:r w:rsidR="005A7A79" w:rsidRPr="00D2563E">
        <w:rPr>
          <w:bCs/>
        </w:rPr>
        <w:t xml:space="preserve"> </w:t>
      </w:r>
      <w:r w:rsidR="005C7EB8" w:rsidRPr="00D2563E">
        <w:rPr>
          <w:bCs/>
        </w:rPr>
        <w:t>O</w:t>
      </w:r>
      <w:r w:rsidR="005A7A79" w:rsidRPr="00D2563E">
        <w:rPr>
          <w:bCs/>
        </w:rPr>
        <w:t>nce they agreed</w:t>
      </w:r>
      <w:r w:rsidR="005C7EB8" w:rsidRPr="00D2563E">
        <w:rPr>
          <w:bCs/>
        </w:rPr>
        <w:t xml:space="preserve"> to </w:t>
      </w:r>
      <w:r w:rsidR="00B93F82" w:rsidRPr="00D2563E">
        <w:rPr>
          <w:bCs/>
        </w:rPr>
        <w:t>do so</w:t>
      </w:r>
      <w:r w:rsidR="001E48E1" w:rsidRPr="00D2563E">
        <w:rPr>
          <w:bCs/>
        </w:rPr>
        <w:t>,</w:t>
      </w:r>
      <w:r w:rsidR="005C7EB8" w:rsidRPr="00D2563E">
        <w:rPr>
          <w:bCs/>
        </w:rPr>
        <w:t xml:space="preserve"> </w:t>
      </w:r>
      <w:r w:rsidR="001E48E1" w:rsidRPr="00D2563E">
        <w:rPr>
          <w:bCs/>
        </w:rPr>
        <w:t xml:space="preserve">we sent </w:t>
      </w:r>
      <w:r w:rsidR="005539F6" w:rsidRPr="00D2563E">
        <w:rPr>
          <w:bCs/>
        </w:rPr>
        <w:t xml:space="preserve">supervisors </w:t>
      </w:r>
      <w:r w:rsidR="005A7A79" w:rsidRPr="00D2563E">
        <w:rPr>
          <w:bCs/>
        </w:rPr>
        <w:t>online survey links</w:t>
      </w:r>
      <w:r w:rsidR="001E48E1" w:rsidRPr="00D2563E">
        <w:rPr>
          <w:bCs/>
        </w:rPr>
        <w:t>. Ninety-seven</w:t>
      </w:r>
      <w:r w:rsidR="005A7A79" w:rsidRPr="00D2563E">
        <w:rPr>
          <w:bCs/>
        </w:rPr>
        <w:t xml:space="preserve"> </w:t>
      </w:r>
      <w:r w:rsidR="00B93F82" w:rsidRPr="00D2563E">
        <w:rPr>
          <w:bCs/>
        </w:rPr>
        <w:t xml:space="preserve">of them </w:t>
      </w:r>
      <w:r w:rsidR="005A7A79" w:rsidRPr="00D2563E">
        <w:rPr>
          <w:bCs/>
        </w:rPr>
        <w:t>(75.8%) complet</w:t>
      </w:r>
      <w:r w:rsidR="001E48E1" w:rsidRPr="00D2563E">
        <w:rPr>
          <w:bCs/>
        </w:rPr>
        <w:t>ed</w:t>
      </w:r>
      <w:r w:rsidR="005A7A79" w:rsidRPr="00D2563E">
        <w:rPr>
          <w:bCs/>
        </w:rPr>
        <w:t xml:space="preserve"> the survey. </w:t>
      </w:r>
      <w:r w:rsidR="001E48E1" w:rsidRPr="00D2563E">
        <w:rPr>
          <w:bCs/>
        </w:rPr>
        <w:t xml:space="preserve">Also, we asked </w:t>
      </w:r>
      <w:r w:rsidR="005539F6" w:rsidRPr="00D2563E">
        <w:rPr>
          <w:bCs/>
        </w:rPr>
        <w:t xml:space="preserve">supervisors </w:t>
      </w:r>
      <w:r w:rsidR="005A7A79" w:rsidRPr="00D2563E">
        <w:rPr>
          <w:bCs/>
        </w:rPr>
        <w:t xml:space="preserve">to nominate up to three </w:t>
      </w:r>
      <w:r w:rsidR="005539F6" w:rsidRPr="00D2563E">
        <w:rPr>
          <w:bCs/>
        </w:rPr>
        <w:t xml:space="preserve">employees </w:t>
      </w:r>
      <w:r w:rsidR="005A7A79" w:rsidRPr="00D2563E">
        <w:rPr>
          <w:bCs/>
        </w:rPr>
        <w:t xml:space="preserve">and </w:t>
      </w:r>
      <w:r w:rsidR="00762AE7" w:rsidRPr="00D2563E">
        <w:rPr>
          <w:bCs/>
        </w:rPr>
        <w:t xml:space="preserve">supply </w:t>
      </w:r>
      <w:r w:rsidR="005A7A79" w:rsidRPr="00D2563E">
        <w:rPr>
          <w:bCs/>
        </w:rPr>
        <w:t xml:space="preserve">their email addresses. Once </w:t>
      </w:r>
      <w:r w:rsidR="002A7CD7" w:rsidRPr="00D2563E">
        <w:rPr>
          <w:bCs/>
        </w:rPr>
        <w:t xml:space="preserve">the </w:t>
      </w:r>
      <w:r w:rsidR="005539F6" w:rsidRPr="00D2563E">
        <w:rPr>
          <w:bCs/>
        </w:rPr>
        <w:t xml:space="preserve">supervisors </w:t>
      </w:r>
      <w:r w:rsidR="00BA446A" w:rsidRPr="00D2563E">
        <w:rPr>
          <w:bCs/>
        </w:rPr>
        <w:t xml:space="preserve">filled out </w:t>
      </w:r>
      <w:r w:rsidR="005A7A79" w:rsidRPr="00D2563E">
        <w:rPr>
          <w:bCs/>
        </w:rPr>
        <w:t>the survey,</w:t>
      </w:r>
      <w:r w:rsidR="001E48E1" w:rsidRPr="00D2563E">
        <w:rPr>
          <w:bCs/>
        </w:rPr>
        <w:t xml:space="preserve"> we sent</w:t>
      </w:r>
      <w:r w:rsidR="005A7A79" w:rsidRPr="00D2563E">
        <w:rPr>
          <w:bCs/>
        </w:rPr>
        <w:t xml:space="preserve"> the nominated </w:t>
      </w:r>
      <w:r w:rsidR="005539F6" w:rsidRPr="00D2563E">
        <w:rPr>
          <w:bCs/>
        </w:rPr>
        <w:t xml:space="preserve">employees </w:t>
      </w:r>
      <w:r w:rsidR="005A7A79" w:rsidRPr="00D2563E">
        <w:rPr>
          <w:bCs/>
        </w:rPr>
        <w:t xml:space="preserve">a separate survey link. </w:t>
      </w:r>
      <w:r w:rsidR="00806759" w:rsidRPr="00D2563E">
        <w:rPr>
          <w:bCs/>
        </w:rPr>
        <w:t xml:space="preserve">Out of 203 </w:t>
      </w:r>
      <w:r w:rsidR="005539F6" w:rsidRPr="00D2563E">
        <w:rPr>
          <w:bCs/>
        </w:rPr>
        <w:t xml:space="preserve">employees </w:t>
      </w:r>
      <w:r w:rsidR="00806759" w:rsidRPr="00D2563E">
        <w:rPr>
          <w:bCs/>
        </w:rPr>
        <w:t xml:space="preserve">invited to participate, 128 </w:t>
      </w:r>
      <w:r w:rsidR="00BA446A" w:rsidRPr="00D2563E">
        <w:rPr>
          <w:bCs/>
        </w:rPr>
        <w:t xml:space="preserve">(63.1%) </w:t>
      </w:r>
      <w:r w:rsidR="00806759" w:rsidRPr="00D2563E">
        <w:rPr>
          <w:bCs/>
        </w:rPr>
        <w:t xml:space="preserve">completed the survey. </w:t>
      </w:r>
      <w:r w:rsidR="0005013F" w:rsidRPr="00D2563E">
        <w:rPr>
          <w:bCs/>
        </w:rPr>
        <w:t>Participation was voluntary and confidential</w:t>
      </w:r>
      <w:r w:rsidR="00BA446A" w:rsidRPr="00D2563E">
        <w:rPr>
          <w:bCs/>
        </w:rPr>
        <w:t>,</w:t>
      </w:r>
      <w:r w:rsidR="0005013F" w:rsidRPr="00D2563E">
        <w:rPr>
          <w:bCs/>
        </w:rPr>
        <w:t xml:space="preserve"> </w:t>
      </w:r>
      <w:r w:rsidR="00BA446A" w:rsidRPr="00D2563E">
        <w:rPr>
          <w:bCs/>
        </w:rPr>
        <w:t xml:space="preserve">with </w:t>
      </w:r>
      <w:r w:rsidR="0005013F" w:rsidRPr="00D2563E">
        <w:rPr>
          <w:bCs/>
        </w:rPr>
        <w:t xml:space="preserve">all participants </w:t>
      </w:r>
      <w:r w:rsidR="00BA446A" w:rsidRPr="00D2563E">
        <w:rPr>
          <w:bCs/>
        </w:rPr>
        <w:t xml:space="preserve">providing </w:t>
      </w:r>
      <w:r w:rsidR="0005013F" w:rsidRPr="00D2563E">
        <w:rPr>
          <w:bCs/>
        </w:rPr>
        <w:t xml:space="preserve">informed consent. </w:t>
      </w:r>
    </w:p>
    <w:p w14:paraId="46A5821E" w14:textId="044F5B51" w:rsidR="00806759" w:rsidRPr="00D2563E" w:rsidRDefault="00806759" w:rsidP="004C28FB">
      <w:pPr>
        <w:spacing w:line="480" w:lineRule="auto"/>
        <w:ind w:firstLine="720"/>
        <w:rPr>
          <w:bCs/>
        </w:rPr>
      </w:pPr>
      <w:r w:rsidRPr="00D2563E">
        <w:rPr>
          <w:bCs/>
        </w:rPr>
        <w:t xml:space="preserve">Surveys could be completed either in English (74% of </w:t>
      </w:r>
      <w:r w:rsidR="005C7EB8" w:rsidRPr="00D2563E">
        <w:rPr>
          <w:bCs/>
        </w:rPr>
        <w:t xml:space="preserve">all </w:t>
      </w:r>
      <w:r w:rsidR="00BA446A" w:rsidRPr="00D2563E">
        <w:rPr>
          <w:bCs/>
        </w:rPr>
        <w:t>participants</w:t>
      </w:r>
      <w:r w:rsidRPr="00D2563E">
        <w:rPr>
          <w:bCs/>
        </w:rPr>
        <w:t xml:space="preserve">) or in Dutch (26% of </w:t>
      </w:r>
      <w:r w:rsidR="005C7EB8" w:rsidRPr="00D2563E">
        <w:rPr>
          <w:bCs/>
        </w:rPr>
        <w:t xml:space="preserve">all </w:t>
      </w:r>
      <w:r w:rsidR="00BA446A" w:rsidRPr="00D2563E">
        <w:rPr>
          <w:bCs/>
        </w:rPr>
        <w:t>participants</w:t>
      </w:r>
      <w:r w:rsidRPr="00D2563E">
        <w:rPr>
          <w:bCs/>
        </w:rPr>
        <w:t>)</w:t>
      </w:r>
      <w:r w:rsidR="002A7CD7" w:rsidRPr="00D2563E">
        <w:rPr>
          <w:bCs/>
        </w:rPr>
        <w:t xml:space="preserve">. </w:t>
      </w:r>
      <w:r w:rsidR="00A90AF1" w:rsidRPr="00D2563E">
        <w:rPr>
          <w:bCs/>
        </w:rPr>
        <w:t>Similar to</w:t>
      </w:r>
      <w:r w:rsidR="00F73558" w:rsidRPr="00D2563E">
        <w:rPr>
          <w:bCs/>
        </w:rPr>
        <w:t xml:space="preserve"> Study 1, </w:t>
      </w:r>
      <w:r w:rsidR="00BA446A" w:rsidRPr="00D2563E">
        <w:rPr>
          <w:bCs/>
        </w:rPr>
        <w:t xml:space="preserve">we determined </w:t>
      </w:r>
      <w:r w:rsidR="00F73558" w:rsidRPr="00D2563E">
        <w:rPr>
          <w:bCs/>
        </w:rPr>
        <w:t xml:space="preserve">the final sample size by the number of completed </w:t>
      </w:r>
      <w:r w:rsidR="005539F6" w:rsidRPr="00D2563E">
        <w:rPr>
          <w:bCs/>
        </w:rPr>
        <w:t xml:space="preserve">employee </w:t>
      </w:r>
      <w:r w:rsidR="00F73558" w:rsidRPr="00D2563E">
        <w:rPr>
          <w:bCs/>
        </w:rPr>
        <w:t xml:space="preserve">surveys that could be matched with </w:t>
      </w:r>
      <w:r w:rsidR="005539F6" w:rsidRPr="00D2563E">
        <w:rPr>
          <w:bCs/>
        </w:rPr>
        <w:t xml:space="preserve">supervisor </w:t>
      </w:r>
      <w:r w:rsidR="00F73558" w:rsidRPr="00D2563E">
        <w:rPr>
          <w:bCs/>
        </w:rPr>
        <w:t xml:space="preserve">ratings of these </w:t>
      </w:r>
      <w:r w:rsidR="005539F6" w:rsidRPr="00D2563E">
        <w:rPr>
          <w:bCs/>
        </w:rPr>
        <w:t>employees</w:t>
      </w:r>
      <w:r w:rsidR="00F73558" w:rsidRPr="00D2563E">
        <w:rPr>
          <w:bCs/>
        </w:rPr>
        <w:t xml:space="preserve">. </w:t>
      </w:r>
      <w:r w:rsidR="001E48E1" w:rsidRPr="00D2563E">
        <w:rPr>
          <w:bCs/>
        </w:rPr>
        <w:t xml:space="preserve">We </w:t>
      </w:r>
      <w:r w:rsidR="005C7EB8" w:rsidRPr="00D2563E">
        <w:rPr>
          <w:bCs/>
        </w:rPr>
        <w:t>match</w:t>
      </w:r>
      <w:r w:rsidR="001E48E1" w:rsidRPr="00D2563E">
        <w:rPr>
          <w:bCs/>
        </w:rPr>
        <w:t>ed</w:t>
      </w:r>
      <w:r w:rsidR="005C7EB8" w:rsidRPr="00D2563E">
        <w:rPr>
          <w:bCs/>
        </w:rPr>
        <w:t xml:space="preserve"> the </w:t>
      </w:r>
      <w:r w:rsidR="005539F6" w:rsidRPr="00D2563E">
        <w:rPr>
          <w:bCs/>
        </w:rPr>
        <w:t xml:space="preserve">supervisors </w:t>
      </w:r>
      <w:r w:rsidR="005C7EB8" w:rsidRPr="00D2563E">
        <w:rPr>
          <w:bCs/>
        </w:rPr>
        <w:t xml:space="preserve">with </w:t>
      </w:r>
      <w:r w:rsidR="005539F6" w:rsidRPr="00D2563E">
        <w:rPr>
          <w:bCs/>
        </w:rPr>
        <w:t xml:space="preserve">employees </w:t>
      </w:r>
      <w:r w:rsidR="005C7EB8" w:rsidRPr="00D2563E">
        <w:rPr>
          <w:bCs/>
        </w:rPr>
        <w:t xml:space="preserve">using unique codes and </w:t>
      </w:r>
      <w:r w:rsidR="005539F6" w:rsidRPr="00D2563E">
        <w:rPr>
          <w:bCs/>
        </w:rPr>
        <w:t xml:space="preserve">employees’ </w:t>
      </w:r>
      <w:r w:rsidR="005C7EB8" w:rsidRPr="00D2563E">
        <w:rPr>
          <w:bCs/>
        </w:rPr>
        <w:t>email addresses</w:t>
      </w:r>
      <w:r w:rsidR="001E48E1" w:rsidRPr="00D2563E">
        <w:rPr>
          <w:bCs/>
        </w:rPr>
        <w:t>. T</w:t>
      </w:r>
      <w:r w:rsidR="005C7EB8" w:rsidRPr="00D2563E">
        <w:rPr>
          <w:bCs/>
        </w:rPr>
        <w:t xml:space="preserve">he final sample </w:t>
      </w:r>
      <w:r w:rsidR="00BA446A" w:rsidRPr="00D2563E">
        <w:rPr>
          <w:bCs/>
        </w:rPr>
        <w:t>comprised</w:t>
      </w:r>
      <w:r w:rsidR="005C7EB8" w:rsidRPr="00D2563E">
        <w:rPr>
          <w:bCs/>
        </w:rPr>
        <w:t xml:space="preserve"> 128 </w:t>
      </w:r>
      <w:r w:rsidR="005539F6" w:rsidRPr="00D2563E">
        <w:rPr>
          <w:bCs/>
        </w:rPr>
        <w:t xml:space="preserve">employees </w:t>
      </w:r>
      <w:r w:rsidR="00883556" w:rsidRPr="00D2563E">
        <w:rPr>
          <w:bCs/>
        </w:rPr>
        <w:t>rated by</w:t>
      </w:r>
      <w:r w:rsidR="005C7EB8" w:rsidRPr="00D2563E">
        <w:rPr>
          <w:bCs/>
        </w:rPr>
        <w:t xml:space="preserve"> 85 </w:t>
      </w:r>
      <w:r w:rsidR="005539F6" w:rsidRPr="00D2563E">
        <w:rPr>
          <w:bCs/>
        </w:rPr>
        <w:t>supervisors</w:t>
      </w:r>
      <w:r w:rsidR="005C7EB8" w:rsidRPr="00D2563E">
        <w:rPr>
          <w:bCs/>
        </w:rPr>
        <w:t xml:space="preserve">. </w:t>
      </w:r>
      <w:r w:rsidR="005539F6" w:rsidRPr="00D2563E">
        <w:rPr>
          <w:bCs/>
        </w:rPr>
        <w:t xml:space="preserve">Employees </w:t>
      </w:r>
      <w:r w:rsidR="005C7EB8" w:rsidRPr="00D2563E">
        <w:rPr>
          <w:bCs/>
        </w:rPr>
        <w:t>(</w:t>
      </w:r>
      <w:r w:rsidR="005C7EB8" w:rsidRPr="00D2563E">
        <w:rPr>
          <w:bCs/>
          <w:i/>
        </w:rPr>
        <w:t>M</w:t>
      </w:r>
      <w:r w:rsidR="005C7EB8" w:rsidRPr="00D2563E">
        <w:rPr>
          <w:bCs/>
          <w:i/>
          <w:vertAlign w:val="subscript"/>
        </w:rPr>
        <w:t>age</w:t>
      </w:r>
      <w:r w:rsidR="005C7EB8" w:rsidRPr="00D2563E">
        <w:rPr>
          <w:bCs/>
          <w:i/>
        </w:rPr>
        <w:t xml:space="preserve"> </w:t>
      </w:r>
      <w:r w:rsidR="005C7EB8" w:rsidRPr="00D2563E">
        <w:rPr>
          <w:bCs/>
        </w:rPr>
        <w:t xml:space="preserve">= 35.48 years, </w:t>
      </w:r>
      <w:r w:rsidR="005C7EB8" w:rsidRPr="00D2563E">
        <w:rPr>
          <w:bCs/>
          <w:i/>
        </w:rPr>
        <w:t xml:space="preserve">SD </w:t>
      </w:r>
      <w:r w:rsidR="005C7EB8" w:rsidRPr="00D2563E">
        <w:rPr>
          <w:bCs/>
        </w:rPr>
        <w:t xml:space="preserve">= 12.28; </w:t>
      </w:r>
      <w:r w:rsidR="00B059B1" w:rsidRPr="00D2563E">
        <w:rPr>
          <w:bCs/>
        </w:rPr>
        <w:t>60</w:t>
      </w:r>
      <w:r w:rsidR="005C7EB8" w:rsidRPr="00D2563E">
        <w:rPr>
          <w:bCs/>
        </w:rPr>
        <w:t>.</w:t>
      </w:r>
      <w:r w:rsidR="00B059B1" w:rsidRPr="00D2563E">
        <w:rPr>
          <w:bCs/>
        </w:rPr>
        <w:t>2</w:t>
      </w:r>
      <w:r w:rsidR="005C7EB8" w:rsidRPr="00D2563E">
        <w:rPr>
          <w:bCs/>
        </w:rPr>
        <w:t xml:space="preserve">% </w:t>
      </w:r>
      <w:r w:rsidR="00B059B1" w:rsidRPr="00D2563E">
        <w:rPr>
          <w:bCs/>
        </w:rPr>
        <w:t>wo</w:t>
      </w:r>
      <w:r w:rsidR="005C7EB8" w:rsidRPr="00D2563E">
        <w:rPr>
          <w:bCs/>
        </w:rPr>
        <w:t>men) had an average tenure of 5.79 (</w:t>
      </w:r>
      <w:r w:rsidR="005C7EB8" w:rsidRPr="00D2563E">
        <w:rPr>
          <w:bCs/>
          <w:i/>
        </w:rPr>
        <w:t xml:space="preserve">SD </w:t>
      </w:r>
      <w:r w:rsidR="005C7EB8" w:rsidRPr="00D2563E">
        <w:rPr>
          <w:bCs/>
        </w:rPr>
        <w:t>= 7.70) years</w:t>
      </w:r>
      <w:r w:rsidR="009336A2" w:rsidRPr="00D2563E">
        <w:rPr>
          <w:bCs/>
        </w:rPr>
        <w:t xml:space="preserve">, </w:t>
      </w:r>
      <w:r w:rsidR="005C7EB8" w:rsidRPr="00D2563E">
        <w:rPr>
          <w:bCs/>
        </w:rPr>
        <w:t xml:space="preserve">had worked with their </w:t>
      </w:r>
      <w:r w:rsidR="005539F6" w:rsidRPr="00D2563E">
        <w:rPr>
          <w:bCs/>
        </w:rPr>
        <w:t xml:space="preserve">supervisor </w:t>
      </w:r>
      <w:r w:rsidR="005C7EB8" w:rsidRPr="00D2563E">
        <w:rPr>
          <w:bCs/>
        </w:rPr>
        <w:t>for 2.53 (</w:t>
      </w:r>
      <w:r w:rsidR="005C7EB8" w:rsidRPr="00D2563E">
        <w:rPr>
          <w:bCs/>
          <w:i/>
        </w:rPr>
        <w:t xml:space="preserve">SD </w:t>
      </w:r>
      <w:r w:rsidR="005C7EB8" w:rsidRPr="00D2563E">
        <w:rPr>
          <w:bCs/>
        </w:rPr>
        <w:t>= 2.83) years</w:t>
      </w:r>
      <w:r w:rsidR="001E48E1" w:rsidRPr="00D2563E">
        <w:rPr>
          <w:bCs/>
        </w:rPr>
        <w:t>,</w:t>
      </w:r>
      <w:r w:rsidR="000B7C0F" w:rsidRPr="00D2563E">
        <w:rPr>
          <w:bCs/>
        </w:rPr>
        <w:t xml:space="preserve"> and </w:t>
      </w:r>
      <w:r w:rsidR="00E76932" w:rsidRPr="00D2563E">
        <w:rPr>
          <w:bCs/>
        </w:rPr>
        <w:t>64.9</w:t>
      </w:r>
      <w:r w:rsidR="000B7C0F" w:rsidRPr="00D2563E">
        <w:rPr>
          <w:bCs/>
        </w:rPr>
        <w:t xml:space="preserve">% </w:t>
      </w:r>
      <w:r w:rsidR="00E76932" w:rsidRPr="00D2563E">
        <w:rPr>
          <w:bCs/>
        </w:rPr>
        <w:t>completed higher level education</w:t>
      </w:r>
      <w:r w:rsidR="005C7EB8" w:rsidRPr="00D2563E">
        <w:rPr>
          <w:bCs/>
        </w:rPr>
        <w:t>.</w:t>
      </w:r>
      <w:r w:rsidR="00DD4B8E" w:rsidRPr="00D2563E">
        <w:rPr>
          <w:bCs/>
        </w:rPr>
        <w:t xml:space="preserve"> </w:t>
      </w:r>
      <w:r w:rsidR="005539F6" w:rsidRPr="00D2563E">
        <w:rPr>
          <w:bCs/>
        </w:rPr>
        <w:t xml:space="preserve">Supervisors </w:t>
      </w:r>
      <w:r w:rsidR="00DD4B8E" w:rsidRPr="00D2563E">
        <w:rPr>
          <w:bCs/>
        </w:rPr>
        <w:t>(</w:t>
      </w:r>
      <w:r w:rsidR="00DD4B8E" w:rsidRPr="00D2563E">
        <w:rPr>
          <w:bCs/>
          <w:i/>
        </w:rPr>
        <w:t>M</w:t>
      </w:r>
      <w:r w:rsidR="00DD4B8E" w:rsidRPr="00D2563E">
        <w:rPr>
          <w:bCs/>
          <w:i/>
          <w:vertAlign w:val="subscript"/>
        </w:rPr>
        <w:t>age</w:t>
      </w:r>
      <w:r w:rsidR="00DD4B8E" w:rsidRPr="00D2563E">
        <w:rPr>
          <w:bCs/>
          <w:i/>
        </w:rPr>
        <w:t xml:space="preserve"> </w:t>
      </w:r>
      <w:r w:rsidR="00DD4B8E" w:rsidRPr="00D2563E">
        <w:rPr>
          <w:bCs/>
        </w:rPr>
        <w:t xml:space="preserve">= 38.38 years, </w:t>
      </w:r>
      <w:r w:rsidR="00DD4B8E" w:rsidRPr="00D2563E">
        <w:rPr>
          <w:bCs/>
          <w:i/>
        </w:rPr>
        <w:t xml:space="preserve">SD </w:t>
      </w:r>
      <w:r w:rsidR="00DD4B8E" w:rsidRPr="00D2563E">
        <w:rPr>
          <w:bCs/>
        </w:rPr>
        <w:t>= 11.09; 69.4% men) had an average tenure of 5.53 (</w:t>
      </w:r>
      <w:r w:rsidR="00DD4B8E" w:rsidRPr="00D2563E">
        <w:rPr>
          <w:bCs/>
          <w:i/>
        </w:rPr>
        <w:t xml:space="preserve">SD </w:t>
      </w:r>
      <w:r w:rsidR="00DD4B8E" w:rsidRPr="00D2563E">
        <w:rPr>
          <w:bCs/>
        </w:rPr>
        <w:t xml:space="preserve">= </w:t>
      </w:r>
      <w:r w:rsidR="00210B29" w:rsidRPr="00D2563E">
        <w:rPr>
          <w:bCs/>
        </w:rPr>
        <w:t>6.69</w:t>
      </w:r>
      <w:r w:rsidR="00DD4B8E" w:rsidRPr="00D2563E">
        <w:rPr>
          <w:bCs/>
        </w:rPr>
        <w:t>) years, had 3</w:t>
      </w:r>
      <w:r w:rsidR="00A219DF" w:rsidRPr="00D2563E">
        <w:rPr>
          <w:bCs/>
        </w:rPr>
        <w:t>7</w:t>
      </w:r>
      <w:r w:rsidR="00DD4B8E" w:rsidRPr="00D2563E">
        <w:rPr>
          <w:bCs/>
        </w:rPr>
        <w:t>.38</w:t>
      </w:r>
      <w:r w:rsidR="008E3958">
        <w:rPr>
          <w:rStyle w:val="FootnoteReference"/>
          <w:bCs/>
        </w:rPr>
        <w:footnoteReference w:id="6"/>
      </w:r>
      <w:r w:rsidR="00DD4B8E" w:rsidRPr="008E3958">
        <w:rPr>
          <w:bCs/>
        </w:rPr>
        <w:t xml:space="preserve"> (</w:t>
      </w:r>
      <w:r w:rsidR="00DD4B8E" w:rsidRPr="008E3958">
        <w:rPr>
          <w:bCs/>
          <w:i/>
        </w:rPr>
        <w:t xml:space="preserve">SD </w:t>
      </w:r>
      <w:r w:rsidR="00DD4B8E" w:rsidRPr="008E3958">
        <w:rPr>
          <w:bCs/>
        </w:rPr>
        <w:t>= 7</w:t>
      </w:r>
      <w:r w:rsidR="00A219DF" w:rsidRPr="008E3958">
        <w:rPr>
          <w:bCs/>
        </w:rPr>
        <w:t>7</w:t>
      </w:r>
      <w:r w:rsidR="00DD4B8E" w:rsidRPr="003D57C7">
        <w:rPr>
          <w:bCs/>
        </w:rPr>
        <w:t>.</w:t>
      </w:r>
      <w:r w:rsidR="00A219DF" w:rsidRPr="003D57C7">
        <w:rPr>
          <w:bCs/>
        </w:rPr>
        <w:t>67</w:t>
      </w:r>
      <w:r w:rsidR="00DD4B8E" w:rsidRPr="003D57C7">
        <w:rPr>
          <w:bCs/>
        </w:rPr>
        <w:t xml:space="preserve">) </w:t>
      </w:r>
      <w:r w:rsidR="005539F6" w:rsidRPr="00495C0B">
        <w:rPr>
          <w:bCs/>
        </w:rPr>
        <w:t xml:space="preserve">employees </w:t>
      </w:r>
      <w:r w:rsidR="00DD4B8E" w:rsidRPr="00D2563E">
        <w:rPr>
          <w:bCs/>
        </w:rPr>
        <w:t>on average who reported to them</w:t>
      </w:r>
      <w:r w:rsidR="001E48E1" w:rsidRPr="00D2563E">
        <w:rPr>
          <w:bCs/>
        </w:rPr>
        <w:t>,</w:t>
      </w:r>
      <w:r w:rsidR="00DD4B8E" w:rsidRPr="00D2563E">
        <w:rPr>
          <w:bCs/>
        </w:rPr>
        <w:t xml:space="preserve"> and </w:t>
      </w:r>
      <w:r w:rsidR="00210B29" w:rsidRPr="00D2563E">
        <w:rPr>
          <w:bCs/>
        </w:rPr>
        <w:t>74</w:t>
      </w:r>
      <w:r w:rsidR="00DD4B8E" w:rsidRPr="00D2563E">
        <w:rPr>
          <w:bCs/>
        </w:rPr>
        <w:t xml:space="preserve">% </w:t>
      </w:r>
      <w:r w:rsidR="00210B29" w:rsidRPr="00D2563E">
        <w:rPr>
          <w:bCs/>
        </w:rPr>
        <w:t>completed higher education</w:t>
      </w:r>
      <w:r w:rsidR="00DD4B8E" w:rsidRPr="00D2563E">
        <w:rPr>
          <w:bCs/>
        </w:rPr>
        <w:t>. The</w:t>
      </w:r>
      <w:r w:rsidR="00BA446A" w:rsidRPr="00D2563E">
        <w:rPr>
          <w:bCs/>
        </w:rPr>
        <w:t xml:space="preserve"> sample contained on </w:t>
      </w:r>
      <w:r w:rsidR="00DD4B8E" w:rsidRPr="00D2563E">
        <w:rPr>
          <w:bCs/>
        </w:rPr>
        <w:t xml:space="preserve">average 1.51 </w:t>
      </w:r>
      <w:r w:rsidR="00041750" w:rsidRPr="00D2563E">
        <w:rPr>
          <w:bCs/>
        </w:rPr>
        <w:t xml:space="preserve">employees </w:t>
      </w:r>
      <w:r w:rsidR="00DD4B8E" w:rsidRPr="00D2563E">
        <w:rPr>
          <w:bCs/>
        </w:rPr>
        <w:t xml:space="preserve">per </w:t>
      </w:r>
      <w:r w:rsidR="00041750" w:rsidRPr="00D2563E">
        <w:rPr>
          <w:bCs/>
        </w:rPr>
        <w:t xml:space="preserve">supervisor </w:t>
      </w:r>
      <w:r w:rsidR="00DD4B8E" w:rsidRPr="00D2563E">
        <w:rPr>
          <w:bCs/>
        </w:rPr>
        <w:t xml:space="preserve">(range </w:t>
      </w:r>
      <w:r w:rsidR="003654E5">
        <w:rPr>
          <w:bCs/>
        </w:rPr>
        <w:t xml:space="preserve">= </w:t>
      </w:r>
      <w:r w:rsidR="00DD4B8E" w:rsidRPr="00D2563E">
        <w:rPr>
          <w:bCs/>
        </w:rPr>
        <w:t>1-3).</w:t>
      </w:r>
      <w:r w:rsidR="008C5F3D" w:rsidRPr="00D2563E">
        <w:rPr>
          <w:bCs/>
        </w:rPr>
        <w:t xml:space="preserve"> </w:t>
      </w:r>
    </w:p>
    <w:p w14:paraId="5295B597" w14:textId="77777777" w:rsidR="00036540" w:rsidRPr="00D2563E" w:rsidRDefault="00036540" w:rsidP="004C28FB">
      <w:pPr>
        <w:spacing w:line="480" w:lineRule="auto"/>
        <w:outlineLvl w:val="0"/>
        <w:rPr>
          <w:b/>
          <w:bCs/>
          <w:i/>
          <w:iCs/>
        </w:rPr>
      </w:pPr>
      <w:r w:rsidRPr="00D2563E">
        <w:rPr>
          <w:b/>
          <w:bCs/>
          <w:i/>
          <w:iCs/>
        </w:rPr>
        <w:t xml:space="preserve">Measures </w:t>
      </w:r>
    </w:p>
    <w:p w14:paraId="54645240" w14:textId="7C1BEB7B" w:rsidR="00036540" w:rsidRPr="00D2563E" w:rsidRDefault="004E5D68" w:rsidP="004C28FB">
      <w:pPr>
        <w:spacing w:line="480" w:lineRule="auto"/>
        <w:rPr>
          <w:bCs/>
        </w:rPr>
      </w:pPr>
      <w:r w:rsidRPr="00D2563E">
        <w:rPr>
          <w:bCs/>
        </w:rPr>
        <w:tab/>
      </w:r>
      <w:r w:rsidR="00041750" w:rsidRPr="00D2563E">
        <w:rPr>
          <w:bCs/>
        </w:rPr>
        <w:t xml:space="preserve">Employees </w:t>
      </w:r>
      <w:r w:rsidR="00F6095E" w:rsidRPr="00D2563E">
        <w:rPr>
          <w:bCs/>
        </w:rPr>
        <w:t xml:space="preserve">responded to </w:t>
      </w:r>
      <w:r w:rsidR="00CB39F3" w:rsidRPr="00D2563E">
        <w:rPr>
          <w:bCs/>
        </w:rPr>
        <w:t xml:space="preserve">measures of narcissism, </w:t>
      </w:r>
      <w:r w:rsidR="00D72B29" w:rsidRPr="00D2563E">
        <w:rPr>
          <w:bCs/>
        </w:rPr>
        <w:t xml:space="preserve">power, </w:t>
      </w:r>
      <w:r w:rsidR="00864757" w:rsidRPr="00D2563E">
        <w:rPr>
          <w:bCs/>
        </w:rPr>
        <w:t>s</w:t>
      </w:r>
      <w:r w:rsidR="00CB39F3" w:rsidRPr="00D2563E">
        <w:rPr>
          <w:bCs/>
        </w:rPr>
        <w:t>elf-promotion</w:t>
      </w:r>
      <w:r w:rsidR="00864757" w:rsidRPr="00D2563E">
        <w:rPr>
          <w:bCs/>
        </w:rPr>
        <w:t>, and ingratiation</w:t>
      </w:r>
      <w:r w:rsidR="00036540" w:rsidRPr="00D2563E">
        <w:rPr>
          <w:bCs/>
        </w:rPr>
        <w:t>.</w:t>
      </w:r>
      <w:r w:rsidR="00D72B29" w:rsidRPr="00D2563E">
        <w:rPr>
          <w:bCs/>
        </w:rPr>
        <w:t xml:space="preserve"> </w:t>
      </w:r>
      <w:r w:rsidR="00041750" w:rsidRPr="00D2563E">
        <w:rPr>
          <w:bCs/>
        </w:rPr>
        <w:t xml:space="preserve">Supervisors </w:t>
      </w:r>
      <w:r w:rsidR="00D72B29" w:rsidRPr="00D2563E">
        <w:rPr>
          <w:bCs/>
        </w:rPr>
        <w:t>evaluated</w:t>
      </w:r>
      <w:r w:rsidR="00AE3DDC" w:rsidRPr="00D2563E">
        <w:rPr>
          <w:bCs/>
        </w:rPr>
        <w:t xml:space="preserve"> </w:t>
      </w:r>
      <w:r w:rsidR="00041750" w:rsidRPr="00D2563E">
        <w:rPr>
          <w:bCs/>
        </w:rPr>
        <w:t xml:space="preserve">the employees’ </w:t>
      </w:r>
      <w:r w:rsidR="00D72B29" w:rsidRPr="00D2563E">
        <w:rPr>
          <w:bCs/>
        </w:rPr>
        <w:t>promotability and likeability.</w:t>
      </w:r>
    </w:p>
    <w:p w14:paraId="27B431E0" w14:textId="2C9B463A" w:rsidR="00036540" w:rsidRDefault="009A22BC">
      <w:pPr>
        <w:spacing w:line="480" w:lineRule="auto"/>
        <w:rPr>
          <w:bCs/>
        </w:rPr>
      </w:pPr>
      <w:r w:rsidRPr="00D2563E">
        <w:rPr>
          <w:b/>
          <w:bCs/>
        </w:rPr>
        <w:tab/>
      </w:r>
      <w:r w:rsidR="00F26F2B" w:rsidRPr="00D2563E">
        <w:rPr>
          <w:b/>
          <w:bCs/>
        </w:rPr>
        <w:t>Narcissism</w:t>
      </w:r>
      <w:r w:rsidR="00036540" w:rsidRPr="00D2563E">
        <w:rPr>
          <w:b/>
          <w:bCs/>
        </w:rPr>
        <w:t>.</w:t>
      </w:r>
      <w:r w:rsidR="00036540" w:rsidRPr="00D2563E">
        <w:rPr>
          <w:bCs/>
        </w:rPr>
        <w:t xml:space="preserve"> </w:t>
      </w:r>
      <w:r w:rsidR="00AE73EF" w:rsidRPr="00D2563E">
        <w:rPr>
          <w:bCs/>
        </w:rPr>
        <w:t xml:space="preserve">Employees </w:t>
      </w:r>
      <w:r w:rsidR="00F6095E" w:rsidRPr="00D2563E">
        <w:rPr>
          <w:bCs/>
        </w:rPr>
        <w:t>completed</w:t>
      </w:r>
      <w:r w:rsidR="00036540" w:rsidRPr="00D2563E">
        <w:rPr>
          <w:bCs/>
        </w:rPr>
        <w:t xml:space="preserve"> the 16-item version of the Narcissistic Personality Inventory (NPI-16; Ames, </w:t>
      </w:r>
      <w:r w:rsidR="00612D54" w:rsidRPr="00D2563E">
        <w:t>et al.,</w:t>
      </w:r>
      <w:r w:rsidR="00036540" w:rsidRPr="00D2563E">
        <w:rPr>
          <w:bCs/>
        </w:rPr>
        <w:t xml:space="preserve"> 2006). This </w:t>
      </w:r>
      <w:r w:rsidR="00B93F82" w:rsidRPr="00D2563E">
        <w:rPr>
          <w:bCs/>
        </w:rPr>
        <w:t xml:space="preserve">scale </w:t>
      </w:r>
      <w:r w:rsidR="00036540" w:rsidRPr="00D2563E">
        <w:rPr>
          <w:bCs/>
        </w:rPr>
        <w:t xml:space="preserve">is based on the 40-item NPI (Raskin </w:t>
      </w:r>
      <w:r w:rsidR="00997BE5" w:rsidRPr="00D2563E">
        <w:rPr>
          <w:bCs/>
        </w:rPr>
        <w:t xml:space="preserve">&amp; </w:t>
      </w:r>
      <w:r w:rsidR="00997BE5" w:rsidRPr="00D2563E">
        <w:rPr>
          <w:bCs/>
        </w:rPr>
        <w:lastRenderedPageBreak/>
        <w:t>Terry, 1988</w:t>
      </w:r>
      <w:r w:rsidR="00036540" w:rsidRPr="00D2563E">
        <w:rPr>
          <w:bCs/>
        </w:rPr>
        <w:t>)</w:t>
      </w:r>
      <w:r w:rsidR="00785D34" w:rsidRPr="00D2563E">
        <w:rPr>
          <w:bCs/>
        </w:rPr>
        <w:t xml:space="preserve"> </w:t>
      </w:r>
      <w:r w:rsidR="00036540" w:rsidRPr="00D2563E">
        <w:rPr>
          <w:bCs/>
        </w:rPr>
        <w:t xml:space="preserve">and </w:t>
      </w:r>
      <w:r w:rsidR="00C441A6" w:rsidRPr="00D2563E">
        <w:rPr>
          <w:bCs/>
        </w:rPr>
        <w:t xml:space="preserve">is </w:t>
      </w:r>
      <w:r w:rsidR="00785D34" w:rsidRPr="00D2563E">
        <w:rPr>
          <w:bCs/>
        </w:rPr>
        <w:t xml:space="preserve">similarly </w:t>
      </w:r>
      <w:r w:rsidR="00036540" w:rsidRPr="00D2563E">
        <w:rPr>
          <w:bCs/>
        </w:rPr>
        <w:t xml:space="preserve">used to </w:t>
      </w:r>
      <w:r w:rsidR="001E48E1" w:rsidRPr="00D2563E">
        <w:rPr>
          <w:bCs/>
        </w:rPr>
        <w:t xml:space="preserve">assess </w:t>
      </w:r>
      <w:r w:rsidR="00036540" w:rsidRPr="00D2563E">
        <w:rPr>
          <w:bCs/>
        </w:rPr>
        <w:t>narcissism in normal populations (</w:t>
      </w:r>
      <w:r w:rsidR="003F20E8" w:rsidRPr="00D2563E">
        <w:rPr>
          <w:bCs/>
        </w:rPr>
        <w:t>Liu et al., 2017</w:t>
      </w:r>
      <w:r w:rsidR="00036540" w:rsidRPr="00D2563E">
        <w:rPr>
          <w:bCs/>
        </w:rPr>
        <w:t>). The scale has a forced</w:t>
      </w:r>
      <w:r w:rsidR="001E48E1" w:rsidRPr="00D2563E">
        <w:rPr>
          <w:bCs/>
        </w:rPr>
        <w:t>-</w:t>
      </w:r>
      <w:r w:rsidR="00036540" w:rsidRPr="00D2563E">
        <w:rPr>
          <w:bCs/>
        </w:rPr>
        <w:t>choice format, with</w:t>
      </w:r>
      <w:r w:rsidR="00C441A6" w:rsidRPr="00D2563E">
        <w:rPr>
          <w:bCs/>
        </w:rPr>
        <w:t xml:space="preserve"> a</w:t>
      </w:r>
      <w:r w:rsidR="00036540" w:rsidRPr="00D2563E">
        <w:rPr>
          <w:bCs/>
        </w:rPr>
        <w:t xml:space="preserve"> </w:t>
      </w:r>
      <w:r w:rsidR="001E48E1" w:rsidRPr="00D2563E">
        <w:rPr>
          <w:bCs/>
        </w:rPr>
        <w:t xml:space="preserve">sample </w:t>
      </w:r>
      <w:r w:rsidR="00036540" w:rsidRPr="00D2563E">
        <w:rPr>
          <w:bCs/>
        </w:rPr>
        <w:t xml:space="preserve">item </w:t>
      </w:r>
      <w:r w:rsidR="001E48E1" w:rsidRPr="00D2563E">
        <w:rPr>
          <w:bCs/>
        </w:rPr>
        <w:t xml:space="preserve">being </w:t>
      </w:r>
      <w:r w:rsidR="00C441A6" w:rsidRPr="00D2563E">
        <w:rPr>
          <w:bCs/>
        </w:rPr>
        <w:t>“</w:t>
      </w:r>
      <w:r w:rsidR="00BB603E" w:rsidRPr="00D2563E">
        <w:rPr>
          <w:bCs/>
        </w:rPr>
        <w:t>I think I am a special person</w:t>
      </w:r>
      <w:r w:rsidR="00C441A6" w:rsidRPr="00D2563E">
        <w:rPr>
          <w:bCs/>
        </w:rPr>
        <w:t>”</w:t>
      </w:r>
      <w:r w:rsidR="00036540" w:rsidRPr="00D2563E">
        <w:rPr>
          <w:bCs/>
        </w:rPr>
        <w:t xml:space="preserve"> (n</w:t>
      </w:r>
      <w:r w:rsidR="006B3908" w:rsidRPr="00D2563E">
        <w:rPr>
          <w:bCs/>
        </w:rPr>
        <w:t xml:space="preserve">arcissistic option = 1) versus </w:t>
      </w:r>
      <w:r w:rsidR="00C441A6" w:rsidRPr="00D2563E">
        <w:rPr>
          <w:bCs/>
        </w:rPr>
        <w:t>“</w:t>
      </w:r>
      <w:r w:rsidR="00036540" w:rsidRPr="00D2563E">
        <w:rPr>
          <w:bCs/>
        </w:rPr>
        <w:t>I am no b</w:t>
      </w:r>
      <w:r w:rsidR="006B3908" w:rsidRPr="00D2563E">
        <w:rPr>
          <w:bCs/>
        </w:rPr>
        <w:t>etter or worse than most people</w:t>
      </w:r>
      <w:r w:rsidR="00C441A6" w:rsidRPr="00D2563E">
        <w:rPr>
          <w:bCs/>
        </w:rPr>
        <w:t>”</w:t>
      </w:r>
      <w:r w:rsidR="00036540" w:rsidRPr="00D2563E">
        <w:rPr>
          <w:bCs/>
        </w:rPr>
        <w:t xml:space="preserve"> (non-narcissistic option = 0). </w:t>
      </w:r>
      <w:r w:rsidR="001E48E1" w:rsidRPr="00D2563E">
        <w:rPr>
          <w:bCs/>
        </w:rPr>
        <w:t>We computed t</w:t>
      </w:r>
      <w:r w:rsidR="00036540" w:rsidRPr="00D2563E">
        <w:rPr>
          <w:bCs/>
        </w:rPr>
        <w:t>he NPI score as the sum of the</w:t>
      </w:r>
      <w:r w:rsidR="00C441A6" w:rsidRPr="00D2563E">
        <w:rPr>
          <w:bCs/>
        </w:rPr>
        <w:t xml:space="preserve"> narcissistic options </w:t>
      </w:r>
      <w:r w:rsidR="002D359C" w:rsidRPr="00D2563E">
        <w:rPr>
          <w:bCs/>
        </w:rPr>
        <w:t>selected</w:t>
      </w:r>
      <w:r w:rsidR="00997BE5" w:rsidRPr="00D2563E">
        <w:rPr>
          <w:bCs/>
        </w:rPr>
        <w:t xml:space="preserve"> (</w:t>
      </w:r>
      <w:r w:rsidR="003E0B3E" w:rsidRPr="00D2563E">
        <w:rPr>
          <w:bCs/>
        </w:rPr>
        <w:t xml:space="preserve">possible range = 0-16; </w:t>
      </w:r>
      <w:r w:rsidR="00997BE5" w:rsidRPr="00D15D0E">
        <w:rPr>
          <w:bCs/>
        </w:rPr>
        <w:sym w:font="Symbol" w:char="F061"/>
      </w:r>
      <w:r w:rsidR="00997BE5" w:rsidRPr="00D15D0E">
        <w:rPr>
          <w:bCs/>
        </w:rPr>
        <w:t xml:space="preserve"> = .65</w:t>
      </w:r>
      <w:r w:rsidR="005D7E5F">
        <w:rPr>
          <w:bCs/>
        </w:rPr>
        <w:t>; ICC</w:t>
      </w:r>
      <w:r w:rsidR="00334864">
        <w:rPr>
          <w:bCs/>
        </w:rPr>
        <w:t>[</w:t>
      </w:r>
      <w:r w:rsidR="005D7E5F">
        <w:rPr>
          <w:bCs/>
        </w:rPr>
        <w:t>1</w:t>
      </w:r>
      <w:r w:rsidR="00334864">
        <w:rPr>
          <w:bCs/>
        </w:rPr>
        <w:t>]</w:t>
      </w:r>
      <w:r w:rsidR="005D7E5F">
        <w:rPr>
          <w:bCs/>
        </w:rPr>
        <w:t xml:space="preserve"> = .06</w:t>
      </w:r>
      <w:r w:rsidR="00997BE5" w:rsidRPr="00D15D0E">
        <w:rPr>
          <w:bCs/>
        </w:rPr>
        <w:t>)</w:t>
      </w:r>
      <w:r w:rsidR="00036540" w:rsidRPr="00D8563B">
        <w:rPr>
          <w:bCs/>
        </w:rPr>
        <w:t xml:space="preserve">. </w:t>
      </w:r>
    </w:p>
    <w:p w14:paraId="2E8874CF" w14:textId="02626A82" w:rsidR="00504A00" w:rsidRPr="00BD596A" w:rsidRDefault="00504A00" w:rsidP="0085686D">
      <w:pPr>
        <w:widowControl w:val="0"/>
        <w:spacing w:line="480" w:lineRule="auto"/>
        <w:ind w:firstLine="720"/>
        <w:contextualSpacing/>
        <w:outlineLvl w:val="0"/>
        <w:rPr>
          <w:b/>
          <w:bCs/>
          <w:i/>
          <w:iCs/>
        </w:rPr>
      </w:pPr>
      <w:r w:rsidRPr="00504A00">
        <w:rPr>
          <w:bCs/>
        </w:rPr>
        <w:t>Due to the limited number of items, the NPI-16 is not customarily broken down in separate components (i.e., Leadership/Authority, Grandiose Exhibitionism, Entitlement/Exploitativeness; Ackerman et al., 2011), and so we refrained from doing so.</w:t>
      </w:r>
      <w:r>
        <w:rPr>
          <w:bCs/>
        </w:rPr>
        <w:t xml:space="preserve"> </w:t>
      </w:r>
      <w:r w:rsidR="00DF5AEC">
        <w:rPr>
          <w:bCs/>
        </w:rPr>
        <w:t>N</w:t>
      </w:r>
      <w:r w:rsidR="00E64673">
        <w:rPr>
          <w:bCs/>
        </w:rPr>
        <w:t>onetheless, similar</w:t>
      </w:r>
      <w:r w:rsidR="000E3F73">
        <w:rPr>
          <w:bCs/>
        </w:rPr>
        <w:t xml:space="preserve"> to</w:t>
      </w:r>
      <w:r w:rsidR="00E64673">
        <w:rPr>
          <w:bCs/>
        </w:rPr>
        <w:t xml:space="preserve"> Study 1</w:t>
      </w:r>
      <w:r>
        <w:rPr>
          <w:bCs/>
        </w:rPr>
        <w:t xml:space="preserve">, </w:t>
      </w:r>
      <w:r w:rsidR="00DF5AEC">
        <w:rPr>
          <w:bCs/>
        </w:rPr>
        <w:t xml:space="preserve">we </w:t>
      </w:r>
      <w:r>
        <w:rPr>
          <w:bCs/>
        </w:rPr>
        <w:t>check</w:t>
      </w:r>
      <w:r w:rsidR="00061948">
        <w:rPr>
          <w:bCs/>
        </w:rPr>
        <w:t>ed</w:t>
      </w:r>
      <w:r>
        <w:rPr>
          <w:bCs/>
        </w:rPr>
        <w:t xml:space="preserve"> whether removing items </w:t>
      </w:r>
      <w:r w:rsidR="00D17325">
        <w:rPr>
          <w:bCs/>
        </w:rPr>
        <w:t xml:space="preserve">from the </w:t>
      </w:r>
      <w:r w:rsidR="00D317E0">
        <w:rPr>
          <w:bCs/>
        </w:rPr>
        <w:t xml:space="preserve">NPI </w:t>
      </w:r>
      <w:r w:rsidR="00D17325">
        <w:rPr>
          <w:bCs/>
        </w:rPr>
        <w:t>scale which pertained</w:t>
      </w:r>
      <w:r>
        <w:rPr>
          <w:bCs/>
        </w:rPr>
        <w:t xml:space="preserve"> to leadership and </w:t>
      </w:r>
      <w:r w:rsidR="00E64673">
        <w:rPr>
          <w:bCs/>
        </w:rPr>
        <w:t>authority</w:t>
      </w:r>
      <w:r>
        <w:rPr>
          <w:bCs/>
        </w:rPr>
        <w:t xml:space="preserve"> affected the findings</w:t>
      </w:r>
      <w:r w:rsidR="00D317E0">
        <w:rPr>
          <w:bCs/>
        </w:rPr>
        <w:t xml:space="preserve"> (</w:t>
      </w:r>
      <w:r w:rsidR="00D317E0" w:rsidRPr="003F772E">
        <w:rPr>
          <w:bCs/>
        </w:rPr>
        <w:t>α = .</w:t>
      </w:r>
      <w:r w:rsidR="00D317E0">
        <w:rPr>
          <w:bCs/>
        </w:rPr>
        <w:t>56).</w:t>
      </w:r>
    </w:p>
    <w:p w14:paraId="314B185A" w14:textId="5B04DAA8" w:rsidR="00951B21" w:rsidRPr="00D2563E" w:rsidRDefault="009A22BC">
      <w:pPr>
        <w:widowControl w:val="0"/>
        <w:spacing w:line="480" w:lineRule="auto"/>
      </w:pPr>
      <w:r w:rsidRPr="0041230A">
        <w:rPr>
          <w:b/>
          <w:bCs/>
        </w:rPr>
        <w:tab/>
      </w:r>
      <w:r w:rsidR="00F26F2B" w:rsidRPr="0041230A">
        <w:rPr>
          <w:b/>
          <w:bCs/>
        </w:rPr>
        <w:t>Self-</w:t>
      </w:r>
      <w:r w:rsidR="003654E5">
        <w:rPr>
          <w:b/>
          <w:bCs/>
        </w:rPr>
        <w:t>P</w:t>
      </w:r>
      <w:r w:rsidR="00F26F2B" w:rsidRPr="0041230A">
        <w:rPr>
          <w:b/>
          <w:bCs/>
        </w:rPr>
        <w:t>romotion</w:t>
      </w:r>
      <w:r w:rsidR="001E48E1" w:rsidRPr="0041230A">
        <w:rPr>
          <w:b/>
          <w:bCs/>
        </w:rPr>
        <w:t>.</w:t>
      </w:r>
      <w:r w:rsidR="00951B21" w:rsidRPr="00AD6A74">
        <w:rPr>
          <w:b/>
          <w:bCs/>
        </w:rPr>
        <w:t> </w:t>
      </w:r>
      <w:r w:rsidR="002D359C" w:rsidRPr="00AD6A74">
        <w:rPr>
          <w:bCs/>
        </w:rPr>
        <w:t xml:space="preserve">We </w:t>
      </w:r>
      <w:r w:rsidR="00BC34AB" w:rsidRPr="00AD6A74">
        <w:rPr>
          <w:bCs/>
        </w:rPr>
        <w:t>measure</w:t>
      </w:r>
      <w:r w:rsidR="002D359C" w:rsidRPr="00AD6A74">
        <w:rPr>
          <w:bCs/>
        </w:rPr>
        <w:t>d</w:t>
      </w:r>
      <w:r w:rsidR="00BC34AB" w:rsidRPr="00AD6A74">
        <w:rPr>
          <w:bCs/>
        </w:rPr>
        <w:t xml:space="preserve"> </w:t>
      </w:r>
      <w:r w:rsidR="00BC34AB" w:rsidRPr="00180E78">
        <w:t>self-promotion of competencies in organizational settings</w:t>
      </w:r>
      <w:r w:rsidR="002D359C" w:rsidRPr="00076E4A">
        <w:t xml:space="preserve"> </w:t>
      </w:r>
      <w:r w:rsidR="001D7CEF">
        <w:t>based on</w:t>
      </w:r>
      <w:r w:rsidR="001D7CEF" w:rsidRPr="007E74C2">
        <w:rPr>
          <w:bCs/>
        </w:rPr>
        <w:t xml:space="preserve"> </w:t>
      </w:r>
      <w:r w:rsidR="00BC34AB" w:rsidRPr="007E74C2">
        <w:rPr>
          <w:bCs/>
        </w:rPr>
        <w:t>Kumar and Beyerlein’s (1991) self-presentation scale</w:t>
      </w:r>
      <w:r w:rsidR="00ED00BA">
        <w:rPr>
          <w:bCs/>
        </w:rPr>
        <w:t xml:space="preserve"> (</w:t>
      </w:r>
      <w:r w:rsidR="00ED00BA" w:rsidRPr="00D2563E">
        <w:t>Bolino et al., 2014</w:t>
      </w:r>
      <w:r w:rsidR="00ED00BA">
        <w:t>)</w:t>
      </w:r>
      <w:r w:rsidR="00A327F3" w:rsidRPr="007E74C2">
        <w:t xml:space="preserve">. </w:t>
      </w:r>
      <w:r w:rsidR="002D359C" w:rsidRPr="00C725B1">
        <w:t>We excluded o</w:t>
      </w:r>
      <w:r w:rsidR="00785D34" w:rsidRPr="00C725B1">
        <w:t xml:space="preserve">ne item </w:t>
      </w:r>
      <w:r w:rsidR="00E71901" w:rsidRPr="00C725B1">
        <w:t xml:space="preserve">from </w:t>
      </w:r>
      <w:r w:rsidR="00785D34" w:rsidRPr="00C725B1">
        <w:t xml:space="preserve">the original </w:t>
      </w:r>
      <w:r w:rsidR="002D359C" w:rsidRPr="00C725B1">
        <w:t>4-</w:t>
      </w:r>
      <w:r w:rsidR="00785D34" w:rsidRPr="00C725B1">
        <w:t xml:space="preserve">item scale, because it </w:t>
      </w:r>
      <w:r w:rsidR="00E71901" w:rsidRPr="00C725B1">
        <w:t xml:space="preserve">pertains to </w:t>
      </w:r>
      <w:r w:rsidR="00785D34" w:rsidRPr="00C725B1">
        <w:t>likeability, rather than self-promotion</w:t>
      </w:r>
      <w:r w:rsidR="001D7CEF" w:rsidRPr="00C725B1">
        <w:rPr>
          <w:rStyle w:val="FootnoteReference"/>
        </w:rPr>
        <w:footnoteReference w:id="7"/>
      </w:r>
      <w:r w:rsidR="00E71901" w:rsidRPr="00C725B1">
        <w:t xml:space="preserve"> (with the latter </w:t>
      </w:r>
      <w:r w:rsidR="00785D34" w:rsidRPr="00C725B1">
        <w:t>defined</w:t>
      </w:r>
      <w:r w:rsidR="00E71901" w:rsidRPr="00C725B1">
        <w:t xml:space="preserve"> in terms of trumpeting</w:t>
      </w:r>
      <w:r w:rsidR="00785D34" w:rsidRPr="00D2563E">
        <w:t xml:space="preserve"> one’s competencies</w:t>
      </w:r>
      <w:r w:rsidR="00E71901" w:rsidRPr="00D2563E">
        <w:t xml:space="preserve">; </w:t>
      </w:r>
      <w:r w:rsidR="00785D34" w:rsidRPr="00D2563E">
        <w:t xml:space="preserve">Bolino et al., 2014). </w:t>
      </w:r>
      <w:r w:rsidR="00AE73EF" w:rsidRPr="00D2563E">
        <w:t xml:space="preserve">Employees </w:t>
      </w:r>
      <w:r w:rsidR="00456C03" w:rsidRPr="00D2563E">
        <w:t xml:space="preserve">indicated how often they </w:t>
      </w:r>
      <w:r w:rsidR="00E71901" w:rsidRPr="00D2563E">
        <w:t xml:space="preserve">manifested </w:t>
      </w:r>
      <w:r w:rsidR="00456C03" w:rsidRPr="00D2563E">
        <w:t xml:space="preserve">each </w:t>
      </w:r>
      <w:r w:rsidR="00844AE7" w:rsidRPr="00D2563E">
        <w:t>behavior</w:t>
      </w:r>
      <w:r w:rsidR="00456C03" w:rsidRPr="00D2563E">
        <w:t xml:space="preserve"> when in contact with their </w:t>
      </w:r>
      <w:r w:rsidR="00AE73EF" w:rsidRPr="00D2563E">
        <w:t xml:space="preserve">supervisor </w:t>
      </w:r>
      <w:r w:rsidR="003A35C0" w:rsidRPr="00D2563E">
        <w:t>(e</w:t>
      </w:r>
      <w:r w:rsidR="00456C03" w:rsidRPr="00D2563E">
        <w:t xml:space="preserve">.g., </w:t>
      </w:r>
      <w:r w:rsidR="00E71901" w:rsidRPr="00D2563E">
        <w:t>“</w:t>
      </w:r>
      <w:r w:rsidR="00951B21" w:rsidRPr="00D2563E">
        <w:t>Try to make a positive event that you are responsible for app</w:t>
      </w:r>
      <w:r w:rsidR="00456C03" w:rsidRPr="00D2563E">
        <w:t>ear greater than it actually is</w:t>
      </w:r>
      <w:r w:rsidR="00E71901" w:rsidRPr="00D2563E">
        <w:t>,”</w:t>
      </w:r>
      <w:r w:rsidR="00456C03" w:rsidRPr="00D2563E">
        <w:t xml:space="preserve"> </w:t>
      </w:r>
      <w:r w:rsidR="00E71901" w:rsidRPr="00D2563E">
        <w:t>“</w:t>
      </w:r>
      <w:r w:rsidR="00951B21" w:rsidRPr="00D2563E">
        <w:t xml:space="preserve">Make your </w:t>
      </w:r>
      <w:r w:rsidR="00456C03" w:rsidRPr="00D2563E">
        <w:t>supervisor aware of your accomplishments</w:t>
      </w:r>
      <w:r w:rsidR="00096607" w:rsidRPr="00D2563E">
        <w:t>;</w:t>
      </w:r>
      <w:r w:rsidR="00E71901" w:rsidRPr="00D2563E">
        <w:t>”</w:t>
      </w:r>
      <w:r w:rsidR="00456C03" w:rsidRPr="00D2563E">
        <w:t xml:space="preserve"> </w:t>
      </w:r>
      <w:r w:rsidR="00951B21" w:rsidRPr="00D2563E">
        <w:t xml:space="preserve">1 = </w:t>
      </w:r>
      <w:r w:rsidR="002A1FFA" w:rsidRPr="00D2563E">
        <w:rPr>
          <w:i/>
          <w:iCs/>
        </w:rPr>
        <w:t>a</w:t>
      </w:r>
      <w:r w:rsidR="00951B21" w:rsidRPr="00D2563E">
        <w:rPr>
          <w:i/>
          <w:iCs/>
        </w:rPr>
        <w:t>lmost never</w:t>
      </w:r>
      <w:r w:rsidR="001E48E1" w:rsidRPr="00D2563E">
        <w:rPr>
          <w:iCs/>
        </w:rPr>
        <w:t>,</w:t>
      </w:r>
      <w:r w:rsidR="00951B21" w:rsidRPr="00D2563E">
        <w:t xml:space="preserve"> 5 = </w:t>
      </w:r>
      <w:r w:rsidR="002A1FFA" w:rsidRPr="00D2563E">
        <w:rPr>
          <w:i/>
          <w:iCs/>
        </w:rPr>
        <w:t>a</w:t>
      </w:r>
      <w:r w:rsidR="00951B21" w:rsidRPr="00D2563E">
        <w:rPr>
          <w:i/>
          <w:iCs/>
        </w:rPr>
        <w:t>lmost always</w:t>
      </w:r>
      <w:r w:rsidR="001E48E1" w:rsidRPr="00D2563E">
        <w:t>;</w:t>
      </w:r>
      <w:r w:rsidR="00456C03" w:rsidRPr="00D2563E">
        <w:t xml:space="preserve"> </w:t>
      </w:r>
      <w:r w:rsidR="00456C03" w:rsidRPr="00D2563E">
        <w:rPr>
          <w:iCs/>
        </w:rPr>
        <w:t>α</w:t>
      </w:r>
      <w:r w:rsidR="00F46E0C" w:rsidRPr="00D2563E">
        <w:rPr>
          <w:iCs/>
        </w:rPr>
        <w:t xml:space="preserve"> = .72</w:t>
      </w:r>
      <w:r w:rsidR="005B5BBF">
        <w:rPr>
          <w:iCs/>
        </w:rPr>
        <w:t>; ICC</w:t>
      </w:r>
      <w:r w:rsidR="000E3F73">
        <w:rPr>
          <w:iCs/>
        </w:rPr>
        <w:t>[</w:t>
      </w:r>
      <w:r w:rsidR="005B5BBF">
        <w:rPr>
          <w:iCs/>
        </w:rPr>
        <w:t>1</w:t>
      </w:r>
      <w:r w:rsidR="000E3F73">
        <w:rPr>
          <w:iCs/>
        </w:rPr>
        <w:t>]</w:t>
      </w:r>
      <w:r w:rsidR="005B5BBF">
        <w:rPr>
          <w:iCs/>
        </w:rPr>
        <w:t xml:space="preserve"> = .30</w:t>
      </w:r>
      <w:r w:rsidR="00456C03" w:rsidRPr="00D2563E">
        <w:rPr>
          <w:iCs/>
        </w:rPr>
        <w:t>).</w:t>
      </w:r>
      <w:r w:rsidR="00951B21" w:rsidRPr="00D2563E">
        <w:t xml:space="preserve"> </w:t>
      </w:r>
    </w:p>
    <w:p w14:paraId="1FF8D2AA" w14:textId="7EA5A6FC" w:rsidR="00864757" w:rsidRPr="00D2563E" w:rsidRDefault="00864757">
      <w:pPr>
        <w:spacing w:line="480" w:lineRule="auto"/>
        <w:rPr>
          <w:bCs/>
        </w:rPr>
      </w:pPr>
      <w:r w:rsidRPr="00D2563E">
        <w:rPr>
          <w:b/>
          <w:bCs/>
        </w:rPr>
        <w:tab/>
        <w:t>Ingratiation</w:t>
      </w:r>
      <w:r w:rsidR="001E48E1" w:rsidRPr="00D2563E">
        <w:rPr>
          <w:b/>
          <w:bCs/>
        </w:rPr>
        <w:t>.</w:t>
      </w:r>
      <w:r w:rsidRPr="00D2563E">
        <w:rPr>
          <w:b/>
          <w:bCs/>
        </w:rPr>
        <w:t xml:space="preserve"> </w:t>
      </w:r>
      <w:r w:rsidR="001E48E1" w:rsidRPr="00D2563E">
        <w:rPr>
          <w:bCs/>
        </w:rPr>
        <w:t xml:space="preserve">We </w:t>
      </w:r>
      <w:r w:rsidR="00F81E59" w:rsidRPr="00D2563E">
        <w:rPr>
          <w:bCs/>
        </w:rPr>
        <w:t xml:space="preserve">measured </w:t>
      </w:r>
      <w:r w:rsidR="001E48E1" w:rsidRPr="00D2563E">
        <w:rPr>
          <w:bCs/>
        </w:rPr>
        <w:t>ingratiation with</w:t>
      </w:r>
      <w:r w:rsidRPr="00D2563E">
        <w:rPr>
          <w:bCs/>
        </w:rPr>
        <w:t xml:space="preserve"> </w:t>
      </w:r>
      <w:r w:rsidR="00AE0E2A" w:rsidRPr="00D2563E">
        <w:rPr>
          <w:bCs/>
        </w:rPr>
        <w:t>a 6</w:t>
      </w:r>
      <w:r w:rsidR="00F81E59" w:rsidRPr="00D2563E">
        <w:rPr>
          <w:bCs/>
        </w:rPr>
        <w:t>-item subset</w:t>
      </w:r>
      <w:r w:rsidR="00AE0E2A" w:rsidRPr="00D2563E">
        <w:rPr>
          <w:bCs/>
        </w:rPr>
        <w:t xml:space="preserve"> (see also </w:t>
      </w:r>
      <w:r w:rsidR="00AE0E2A" w:rsidRPr="00D2563E">
        <w:t xml:space="preserve">Wayne et al., 1997) </w:t>
      </w:r>
      <w:r w:rsidR="001E48E1" w:rsidRPr="00D2563E">
        <w:rPr>
          <w:bCs/>
        </w:rPr>
        <w:t xml:space="preserve">from </w:t>
      </w:r>
      <w:r w:rsidRPr="00D2563E">
        <w:t>Kumar and Beyerlein</w:t>
      </w:r>
      <w:r w:rsidR="003B2406" w:rsidRPr="00D2563E">
        <w:t>’</w:t>
      </w:r>
      <w:r w:rsidRPr="00D2563E">
        <w:t>s (1991)</w:t>
      </w:r>
      <w:r w:rsidRPr="00D2563E">
        <w:rPr>
          <w:bCs/>
        </w:rPr>
        <w:t xml:space="preserve"> </w:t>
      </w:r>
      <w:r w:rsidRPr="00D2563E">
        <w:t xml:space="preserve">measure of ingratiating </w:t>
      </w:r>
      <w:r w:rsidR="00844AE7" w:rsidRPr="00D2563E">
        <w:t>behavior</w:t>
      </w:r>
      <w:r w:rsidRPr="00D2563E">
        <w:t xml:space="preserve"> in organizational </w:t>
      </w:r>
      <w:r w:rsidR="00A327F3" w:rsidRPr="00D2563E">
        <w:t>contexts</w:t>
      </w:r>
      <w:r w:rsidR="00AE0E2A" w:rsidRPr="00D2563E">
        <w:t>.</w:t>
      </w:r>
      <w:r w:rsidRPr="00D2563E">
        <w:t xml:space="preserve"> </w:t>
      </w:r>
      <w:r w:rsidR="00AE73EF" w:rsidRPr="00D2563E">
        <w:t xml:space="preserve">Employees </w:t>
      </w:r>
      <w:r w:rsidRPr="00D2563E">
        <w:t xml:space="preserve">indicated how often they </w:t>
      </w:r>
      <w:r w:rsidR="001E48E1" w:rsidRPr="00D2563E">
        <w:t xml:space="preserve">enacted </w:t>
      </w:r>
      <w:r w:rsidRPr="00D2563E">
        <w:t xml:space="preserve">each </w:t>
      </w:r>
      <w:r w:rsidR="00844AE7" w:rsidRPr="00D2563E">
        <w:t>behavior</w:t>
      </w:r>
      <w:r w:rsidRPr="00D2563E">
        <w:t xml:space="preserve"> when in contact with their </w:t>
      </w:r>
      <w:r w:rsidR="00AE73EF" w:rsidRPr="00D2563E">
        <w:t xml:space="preserve">supervisor </w:t>
      </w:r>
      <w:r w:rsidRPr="00D2563E">
        <w:t xml:space="preserve">(e.g., </w:t>
      </w:r>
      <w:r w:rsidR="00762AE7" w:rsidRPr="00D2563E">
        <w:t>“</w:t>
      </w:r>
      <w:r w:rsidR="00D11CE6" w:rsidRPr="00D2563E">
        <w:t>Spend time listening to your supervisor’s personal problems even if you have no interest in them</w:t>
      </w:r>
      <w:r w:rsidR="001E48E1" w:rsidRPr="00D2563E">
        <w:t>,</w:t>
      </w:r>
      <w:r w:rsidR="00762AE7" w:rsidRPr="00D2563E">
        <w:t>”</w:t>
      </w:r>
      <w:r w:rsidRPr="00D2563E">
        <w:t xml:space="preserve"> </w:t>
      </w:r>
      <w:r w:rsidR="00762AE7" w:rsidRPr="00D2563E">
        <w:t>“</w:t>
      </w:r>
      <w:r w:rsidRPr="00D2563E">
        <w:t xml:space="preserve">Give frequent smiles to express enthusiasm/interest about </w:t>
      </w:r>
      <w:r w:rsidRPr="00D2563E">
        <w:lastRenderedPageBreak/>
        <w:t>something he/she is interested in even if you do not like it</w:t>
      </w:r>
      <w:r w:rsidR="001E48E1" w:rsidRPr="00D2563E">
        <w:t>;</w:t>
      </w:r>
      <w:r w:rsidR="00762AE7" w:rsidRPr="00D2563E">
        <w:t>”</w:t>
      </w:r>
      <w:r w:rsidRPr="00D2563E">
        <w:t xml:space="preserve"> 1 = </w:t>
      </w:r>
      <w:r w:rsidRPr="00D2563E">
        <w:rPr>
          <w:i/>
          <w:iCs/>
        </w:rPr>
        <w:t>almost never</w:t>
      </w:r>
      <w:r w:rsidRPr="00D2563E">
        <w:t xml:space="preserve">, 5 = </w:t>
      </w:r>
      <w:r w:rsidRPr="00D2563E">
        <w:rPr>
          <w:i/>
          <w:iCs/>
        </w:rPr>
        <w:t>almost always</w:t>
      </w:r>
      <w:r w:rsidR="001E48E1" w:rsidRPr="00D2563E">
        <w:rPr>
          <w:iCs/>
        </w:rPr>
        <w:t>;</w:t>
      </w:r>
      <w:r w:rsidRPr="00D2563E">
        <w:rPr>
          <w:iCs/>
        </w:rPr>
        <w:t xml:space="preserve"> α = .75</w:t>
      </w:r>
      <w:r w:rsidR="00340175">
        <w:rPr>
          <w:iCs/>
        </w:rPr>
        <w:t>; ICC</w:t>
      </w:r>
      <w:r w:rsidR="000E3F73">
        <w:rPr>
          <w:iCs/>
        </w:rPr>
        <w:t>[</w:t>
      </w:r>
      <w:r w:rsidR="00340175">
        <w:rPr>
          <w:iCs/>
        </w:rPr>
        <w:t>1</w:t>
      </w:r>
      <w:r w:rsidR="000E3F73">
        <w:rPr>
          <w:iCs/>
        </w:rPr>
        <w:t>]</w:t>
      </w:r>
      <w:r w:rsidR="00340175">
        <w:rPr>
          <w:iCs/>
        </w:rPr>
        <w:t xml:space="preserve"> = .49</w:t>
      </w:r>
      <w:r w:rsidRPr="00D2563E">
        <w:t xml:space="preserve">). </w:t>
      </w:r>
    </w:p>
    <w:p w14:paraId="4C3FD277" w14:textId="0DA6B9D1" w:rsidR="005969C4" w:rsidRPr="00D2563E" w:rsidRDefault="009A22BC">
      <w:pPr>
        <w:spacing w:line="480" w:lineRule="auto"/>
      </w:pPr>
      <w:r w:rsidRPr="00D2563E">
        <w:rPr>
          <w:b/>
        </w:rPr>
        <w:tab/>
      </w:r>
      <w:r w:rsidR="00EA3B84" w:rsidRPr="00D2563E">
        <w:rPr>
          <w:b/>
        </w:rPr>
        <w:t>S</w:t>
      </w:r>
      <w:r w:rsidR="00845230" w:rsidRPr="00D2563E">
        <w:rPr>
          <w:b/>
        </w:rPr>
        <w:t xml:space="preserve">ense of </w:t>
      </w:r>
      <w:r w:rsidR="00EA3B84" w:rsidRPr="00D2563E">
        <w:rPr>
          <w:b/>
        </w:rPr>
        <w:t>P</w:t>
      </w:r>
      <w:r w:rsidR="005969C4" w:rsidRPr="00D2563E">
        <w:rPr>
          <w:b/>
        </w:rPr>
        <w:t>ower</w:t>
      </w:r>
      <w:r w:rsidR="001D53FE" w:rsidRPr="00D2563E">
        <w:rPr>
          <w:b/>
        </w:rPr>
        <w:t>.</w:t>
      </w:r>
      <w:r w:rsidR="007657F6" w:rsidRPr="00D2563E">
        <w:rPr>
          <w:b/>
        </w:rPr>
        <w:t xml:space="preserve"> </w:t>
      </w:r>
      <w:r w:rsidR="001D53FE" w:rsidRPr="00D2563E">
        <w:t xml:space="preserve">We </w:t>
      </w:r>
      <w:r w:rsidR="00E71901" w:rsidRPr="00D2563E">
        <w:t xml:space="preserve">measured </w:t>
      </w:r>
      <w:r w:rsidR="00AE73EF" w:rsidRPr="00D2563E">
        <w:t xml:space="preserve">employees’ </w:t>
      </w:r>
      <w:r w:rsidR="00845230" w:rsidRPr="00D2563E">
        <w:t xml:space="preserve">sense of </w:t>
      </w:r>
      <w:r w:rsidR="001D53FE" w:rsidRPr="00D2563E">
        <w:t>power</w:t>
      </w:r>
      <w:r w:rsidR="003363EE" w:rsidRPr="00D2563E">
        <w:t xml:space="preserve"> using the </w:t>
      </w:r>
      <w:r w:rsidR="001D53FE" w:rsidRPr="00D2563E">
        <w:t>8</w:t>
      </w:r>
      <w:r w:rsidR="003363EE" w:rsidRPr="00D2563E">
        <w:t xml:space="preserve">-item power scale (Anderson &amp; Galinsky, 2006) adapted for the context of work. </w:t>
      </w:r>
      <w:r w:rsidR="00AE73EF" w:rsidRPr="00D2563E">
        <w:t xml:space="preserve">Employees </w:t>
      </w:r>
      <w:r w:rsidR="005969C4" w:rsidRPr="00D2563E">
        <w:t xml:space="preserve">indicated the extent to which they felt they had </w:t>
      </w:r>
      <w:r w:rsidR="00A327F3" w:rsidRPr="00D2563E">
        <w:t xml:space="preserve">or enacted </w:t>
      </w:r>
      <w:r w:rsidR="005969C4" w:rsidRPr="00D2563E">
        <w:t xml:space="preserve">power in their work team (e.g., </w:t>
      </w:r>
      <w:r w:rsidR="00E71901" w:rsidRPr="00D2563E">
        <w:t>“</w:t>
      </w:r>
      <w:r w:rsidR="005969C4" w:rsidRPr="00D2563E">
        <w:t>In my work team if I want to, I get to make the decisions</w:t>
      </w:r>
      <w:r w:rsidR="001D53FE" w:rsidRPr="00D2563E">
        <w:t>,</w:t>
      </w:r>
      <w:r w:rsidR="00E71901" w:rsidRPr="00D2563E">
        <w:t>”</w:t>
      </w:r>
      <w:r w:rsidR="005969C4" w:rsidRPr="00D2563E">
        <w:t xml:space="preserve"> </w:t>
      </w:r>
      <w:r w:rsidR="00E71901" w:rsidRPr="00D2563E">
        <w:t>“</w:t>
      </w:r>
      <w:r w:rsidR="005969C4" w:rsidRPr="00D2563E">
        <w:t>In my work team I think I have a great deal of power</w:t>
      </w:r>
      <w:r w:rsidR="001D53FE" w:rsidRPr="00D2563E">
        <w:t>;</w:t>
      </w:r>
      <w:r w:rsidR="00E71901" w:rsidRPr="00D2563E">
        <w:t>”</w:t>
      </w:r>
      <w:r w:rsidR="00DD1ED0" w:rsidRPr="00D2563E">
        <w:t xml:space="preserve"> 1 = </w:t>
      </w:r>
      <w:r w:rsidR="002A1FFA" w:rsidRPr="00D2563E">
        <w:rPr>
          <w:i/>
          <w:iCs/>
        </w:rPr>
        <w:t>s</w:t>
      </w:r>
      <w:r w:rsidR="00DD1ED0" w:rsidRPr="00D2563E">
        <w:rPr>
          <w:i/>
          <w:iCs/>
        </w:rPr>
        <w:t xml:space="preserve">trongly disagree, </w:t>
      </w:r>
      <w:r w:rsidR="00DD1ED0" w:rsidRPr="00D2563E">
        <w:t>7 = </w:t>
      </w:r>
      <w:r w:rsidR="002A1FFA" w:rsidRPr="00D2563E">
        <w:rPr>
          <w:i/>
          <w:iCs/>
        </w:rPr>
        <w:t>s</w:t>
      </w:r>
      <w:r w:rsidR="00DD1ED0" w:rsidRPr="00D2563E">
        <w:rPr>
          <w:i/>
          <w:iCs/>
        </w:rPr>
        <w:t>trongly agree</w:t>
      </w:r>
      <w:r w:rsidR="001D53FE" w:rsidRPr="00D2563E">
        <w:t>;</w:t>
      </w:r>
      <w:r w:rsidR="00DD1ED0" w:rsidRPr="00D2563E">
        <w:t xml:space="preserve"> </w:t>
      </w:r>
      <w:r w:rsidR="00DD1ED0" w:rsidRPr="00D2563E">
        <w:rPr>
          <w:iCs/>
        </w:rPr>
        <w:t>α = .</w:t>
      </w:r>
      <w:r w:rsidR="00423524" w:rsidRPr="00D2563E">
        <w:rPr>
          <w:iCs/>
        </w:rPr>
        <w:t>77</w:t>
      </w:r>
      <w:r w:rsidR="0047191B">
        <w:rPr>
          <w:iCs/>
        </w:rPr>
        <w:t>; ICC</w:t>
      </w:r>
      <w:r w:rsidR="000E3F73">
        <w:rPr>
          <w:iCs/>
        </w:rPr>
        <w:t>[</w:t>
      </w:r>
      <w:r w:rsidR="0047191B">
        <w:rPr>
          <w:iCs/>
        </w:rPr>
        <w:t>1</w:t>
      </w:r>
      <w:r w:rsidR="000E3F73">
        <w:rPr>
          <w:iCs/>
        </w:rPr>
        <w:t>]</w:t>
      </w:r>
      <w:r w:rsidR="0047191B">
        <w:rPr>
          <w:iCs/>
        </w:rPr>
        <w:t xml:space="preserve"> = .26</w:t>
      </w:r>
      <w:r w:rsidR="00DD1ED0" w:rsidRPr="00D2563E">
        <w:rPr>
          <w:iCs/>
        </w:rPr>
        <w:t>)</w:t>
      </w:r>
      <w:r w:rsidR="005969C4" w:rsidRPr="00D2563E">
        <w:t xml:space="preserve"> </w:t>
      </w:r>
    </w:p>
    <w:p w14:paraId="4916273B" w14:textId="5A34747E" w:rsidR="004D4751" w:rsidRPr="00D2563E" w:rsidRDefault="009A22BC">
      <w:pPr>
        <w:spacing w:line="480" w:lineRule="auto"/>
      </w:pPr>
      <w:r w:rsidRPr="00D2563E">
        <w:rPr>
          <w:b/>
          <w:bCs/>
        </w:rPr>
        <w:tab/>
      </w:r>
      <w:r w:rsidR="00F26F2B" w:rsidRPr="00D2563E">
        <w:rPr>
          <w:b/>
          <w:bCs/>
        </w:rPr>
        <w:t>P</w:t>
      </w:r>
      <w:r w:rsidR="00784E47" w:rsidRPr="00D2563E">
        <w:rPr>
          <w:b/>
          <w:bCs/>
        </w:rPr>
        <w:t>romotability</w:t>
      </w:r>
      <w:r w:rsidR="001D53FE" w:rsidRPr="00D2563E">
        <w:rPr>
          <w:bCs/>
        </w:rPr>
        <w:t xml:space="preserve">. We </w:t>
      </w:r>
      <w:r w:rsidR="00E71901" w:rsidRPr="00D2563E">
        <w:rPr>
          <w:bCs/>
        </w:rPr>
        <w:t xml:space="preserve">measured </w:t>
      </w:r>
      <w:r w:rsidR="001D53FE" w:rsidRPr="00D2563E">
        <w:rPr>
          <w:bCs/>
        </w:rPr>
        <w:t xml:space="preserve">promotability as </w:t>
      </w:r>
      <w:r w:rsidR="00C20093" w:rsidRPr="00D2563E">
        <w:rPr>
          <w:bCs/>
        </w:rPr>
        <w:t>in Study 1 (</w:t>
      </w:r>
      <w:r w:rsidR="00F07826" w:rsidRPr="00D2563E">
        <w:rPr>
          <w:iCs/>
        </w:rPr>
        <w:t>α = .</w:t>
      </w:r>
      <w:r w:rsidR="007A3484" w:rsidRPr="00D2563E">
        <w:rPr>
          <w:iCs/>
        </w:rPr>
        <w:t>90</w:t>
      </w:r>
      <w:r w:rsidR="00C8170A">
        <w:rPr>
          <w:iCs/>
        </w:rPr>
        <w:t>; ICC</w:t>
      </w:r>
      <w:r w:rsidR="000E3F73">
        <w:rPr>
          <w:iCs/>
        </w:rPr>
        <w:t>[</w:t>
      </w:r>
      <w:r w:rsidR="00C8170A">
        <w:rPr>
          <w:iCs/>
        </w:rPr>
        <w:t>1</w:t>
      </w:r>
      <w:r w:rsidR="000E3F73">
        <w:rPr>
          <w:iCs/>
        </w:rPr>
        <w:t>]</w:t>
      </w:r>
      <w:r w:rsidR="00C8170A">
        <w:rPr>
          <w:iCs/>
        </w:rPr>
        <w:t xml:space="preserve"> = .47</w:t>
      </w:r>
      <w:r w:rsidR="00F07826" w:rsidRPr="00D2563E">
        <w:rPr>
          <w:iCs/>
        </w:rPr>
        <w:t>).</w:t>
      </w:r>
      <w:r w:rsidR="003A35C0" w:rsidRPr="00D2563E">
        <w:rPr>
          <w:iCs/>
        </w:rPr>
        <w:t xml:space="preserve"> </w:t>
      </w:r>
    </w:p>
    <w:p w14:paraId="3EA99200" w14:textId="61E05DB2" w:rsidR="00C95D6E" w:rsidRPr="00D2563E" w:rsidRDefault="009A22BC" w:rsidP="004C28FB">
      <w:pPr>
        <w:spacing w:line="480" w:lineRule="auto"/>
        <w:rPr>
          <w:bCs/>
        </w:rPr>
      </w:pPr>
      <w:r w:rsidRPr="00D2563E">
        <w:rPr>
          <w:b/>
          <w:bCs/>
        </w:rPr>
        <w:tab/>
      </w:r>
      <w:r w:rsidR="00036540" w:rsidRPr="00D2563E">
        <w:rPr>
          <w:b/>
          <w:bCs/>
        </w:rPr>
        <w:t xml:space="preserve">Control </w:t>
      </w:r>
      <w:r w:rsidR="00EA3B84" w:rsidRPr="00D2563E">
        <w:rPr>
          <w:b/>
          <w:bCs/>
        </w:rPr>
        <w:t>V</w:t>
      </w:r>
      <w:r w:rsidR="00036540" w:rsidRPr="00D2563E">
        <w:rPr>
          <w:b/>
          <w:bCs/>
        </w:rPr>
        <w:t>ariables</w:t>
      </w:r>
      <w:r w:rsidR="00E91A2C" w:rsidRPr="00D2563E">
        <w:rPr>
          <w:b/>
          <w:bCs/>
        </w:rPr>
        <w:t xml:space="preserve">. </w:t>
      </w:r>
      <w:r w:rsidR="00E71901" w:rsidRPr="00D2563E">
        <w:rPr>
          <w:bCs/>
        </w:rPr>
        <w:t>Similar to</w:t>
      </w:r>
      <w:r w:rsidR="00847A0A" w:rsidRPr="00D2563E">
        <w:rPr>
          <w:bCs/>
        </w:rPr>
        <w:t xml:space="preserve"> Study 1, w</w:t>
      </w:r>
      <w:r w:rsidR="001D53FE" w:rsidRPr="00D2563E">
        <w:rPr>
          <w:bCs/>
        </w:rPr>
        <w:t xml:space="preserve">e included </w:t>
      </w:r>
      <w:r w:rsidR="009919D1" w:rsidRPr="00D2563E">
        <w:rPr>
          <w:bCs/>
        </w:rPr>
        <w:t xml:space="preserve">employee gender and organizational tenure </w:t>
      </w:r>
      <w:r w:rsidR="00C95D6E" w:rsidRPr="00D2563E">
        <w:rPr>
          <w:bCs/>
        </w:rPr>
        <w:t>as control variable</w:t>
      </w:r>
      <w:r w:rsidR="009919D1" w:rsidRPr="00D2563E">
        <w:rPr>
          <w:bCs/>
        </w:rPr>
        <w:t>s</w:t>
      </w:r>
      <w:r w:rsidR="00C95D6E" w:rsidRPr="00D2563E">
        <w:rPr>
          <w:bCs/>
        </w:rPr>
        <w:t xml:space="preserve">. </w:t>
      </w:r>
    </w:p>
    <w:p w14:paraId="75575316" w14:textId="7E309330" w:rsidR="00036540" w:rsidRPr="00D2563E" w:rsidRDefault="001D53FE" w:rsidP="004C28FB">
      <w:pPr>
        <w:spacing w:line="480" w:lineRule="auto"/>
        <w:outlineLvl w:val="0"/>
        <w:rPr>
          <w:b/>
          <w:bCs/>
          <w:i/>
          <w:iCs/>
        </w:rPr>
      </w:pPr>
      <w:r w:rsidRPr="00D2563E">
        <w:rPr>
          <w:b/>
          <w:bCs/>
          <w:i/>
          <w:iCs/>
        </w:rPr>
        <w:t xml:space="preserve">Data </w:t>
      </w:r>
      <w:r w:rsidR="0000435A" w:rsidRPr="00D2563E">
        <w:rPr>
          <w:b/>
          <w:bCs/>
          <w:i/>
          <w:iCs/>
        </w:rPr>
        <w:t>Analy</w:t>
      </w:r>
      <w:r w:rsidRPr="00D2563E">
        <w:rPr>
          <w:b/>
          <w:bCs/>
          <w:i/>
          <w:iCs/>
        </w:rPr>
        <w:t>tic</w:t>
      </w:r>
      <w:r w:rsidR="0000435A" w:rsidRPr="00D2563E">
        <w:rPr>
          <w:b/>
          <w:bCs/>
          <w:i/>
          <w:iCs/>
        </w:rPr>
        <w:t xml:space="preserve"> S</w:t>
      </w:r>
      <w:r w:rsidR="00036540" w:rsidRPr="00D2563E">
        <w:rPr>
          <w:b/>
          <w:bCs/>
          <w:i/>
          <w:iCs/>
        </w:rPr>
        <w:t>trategy</w:t>
      </w:r>
    </w:p>
    <w:p w14:paraId="54F509A2" w14:textId="1EFC626D" w:rsidR="00036540" w:rsidRPr="00D2563E" w:rsidRDefault="009A22BC" w:rsidP="00C05CD0">
      <w:pPr>
        <w:spacing w:line="480" w:lineRule="auto"/>
        <w:rPr>
          <w:bCs/>
        </w:rPr>
      </w:pPr>
      <w:r w:rsidRPr="00D2563E">
        <w:rPr>
          <w:bCs/>
        </w:rPr>
        <w:tab/>
      </w:r>
      <w:r w:rsidR="00223942" w:rsidRPr="00D2563E">
        <w:rPr>
          <w:bCs/>
        </w:rPr>
        <w:t xml:space="preserve">Due to </w:t>
      </w:r>
      <w:r w:rsidR="00036540" w:rsidRPr="00D2563E">
        <w:rPr>
          <w:bCs/>
        </w:rPr>
        <w:t xml:space="preserve">the hierarchical structure of </w:t>
      </w:r>
      <w:r w:rsidR="00761929" w:rsidRPr="00D2563E">
        <w:rPr>
          <w:bCs/>
        </w:rPr>
        <w:t>the</w:t>
      </w:r>
      <w:r w:rsidR="00036540" w:rsidRPr="00D2563E">
        <w:rPr>
          <w:bCs/>
        </w:rPr>
        <w:t xml:space="preserve"> data, with </w:t>
      </w:r>
      <w:r w:rsidR="00CC6EB3" w:rsidRPr="00D2563E">
        <w:rPr>
          <w:bCs/>
        </w:rPr>
        <w:t xml:space="preserve">employees </w:t>
      </w:r>
      <w:r w:rsidR="00036540" w:rsidRPr="00D2563E">
        <w:rPr>
          <w:bCs/>
        </w:rPr>
        <w:t xml:space="preserve">(level 1) nested in </w:t>
      </w:r>
      <w:r w:rsidR="00CC6EB3" w:rsidRPr="00D2563E">
        <w:rPr>
          <w:bCs/>
        </w:rPr>
        <w:t xml:space="preserve">supervisors </w:t>
      </w:r>
      <w:r w:rsidR="00036540" w:rsidRPr="00D2563E">
        <w:rPr>
          <w:bCs/>
        </w:rPr>
        <w:t xml:space="preserve">(level 2), we </w:t>
      </w:r>
      <w:r w:rsidR="006955E3" w:rsidRPr="00D2563E">
        <w:rPr>
          <w:bCs/>
        </w:rPr>
        <w:t>carried out</w:t>
      </w:r>
      <w:r w:rsidR="00223942" w:rsidRPr="00D2563E">
        <w:rPr>
          <w:bCs/>
        </w:rPr>
        <w:t xml:space="preserve"> </w:t>
      </w:r>
      <w:r w:rsidR="003363EE" w:rsidRPr="00D2563E">
        <w:rPr>
          <w:bCs/>
        </w:rPr>
        <w:t>the analyses</w:t>
      </w:r>
      <w:r w:rsidR="00036540" w:rsidRPr="00D2563E">
        <w:rPr>
          <w:bCs/>
        </w:rPr>
        <w:t xml:space="preserve"> </w:t>
      </w:r>
      <w:r w:rsidR="000E3F73">
        <w:rPr>
          <w:bCs/>
        </w:rPr>
        <w:t>via</w:t>
      </w:r>
      <w:r w:rsidR="000E3F73" w:rsidRPr="00D2563E">
        <w:rPr>
          <w:bCs/>
        </w:rPr>
        <w:t xml:space="preserve"> </w:t>
      </w:r>
      <w:r w:rsidR="00036540" w:rsidRPr="00D2563E">
        <w:rPr>
          <w:bCs/>
        </w:rPr>
        <w:t>a random coefficient model</w:t>
      </w:r>
      <w:r w:rsidR="00761929" w:rsidRPr="00D2563E">
        <w:rPr>
          <w:bCs/>
        </w:rPr>
        <w:t>, as</w:t>
      </w:r>
      <w:r w:rsidR="003363EE" w:rsidRPr="00D2563E">
        <w:rPr>
          <w:bCs/>
        </w:rPr>
        <w:t xml:space="preserve"> </w:t>
      </w:r>
      <w:r w:rsidR="00761929" w:rsidRPr="00D2563E">
        <w:rPr>
          <w:bCs/>
        </w:rPr>
        <w:t>in Study 1</w:t>
      </w:r>
      <w:r w:rsidR="00036540" w:rsidRPr="00D2563E">
        <w:rPr>
          <w:bCs/>
        </w:rPr>
        <w:t xml:space="preserve">. </w:t>
      </w:r>
      <w:r w:rsidR="001D53FE" w:rsidRPr="00D2563E">
        <w:rPr>
          <w:bCs/>
        </w:rPr>
        <w:t>We calculated t</w:t>
      </w:r>
      <w:r w:rsidR="00036540" w:rsidRPr="00D2563E">
        <w:rPr>
          <w:bCs/>
        </w:rPr>
        <w:t xml:space="preserve">he variance explained by the models </w:t>
      </w:r>
      <w:r w:rsidR="00223942" w:rsidRPr="00D2563E">
        <w:rPr>
          <w:bCs/>
        </w:rPr>
        <w:t xml:space="preserve">with </w:t>
      </w:r>
      <w:r w:rsidR="00036540" w:rsidRPr="00D2563E">
        <w:rPr>
          <w:bCs/>
        </w:rPr>
        <w:t xml:space="preserve">the conditional </w:t>
      </w:r>
      <w:r w:rsidR="00036540" w:rsidRPr="00D2563E">
        <w:rPr>
          <w:bCs/>
          <w:i/>
        </w:rPr>
        <w:t>R</w:t>
      </w:r>
      <w:r w:rsidR="00036540" w:rsidRPr="00D2563E">
        <w:rPr>
          <w:bCs/>
          <w:i/>
          <w:vertAlign w:val="superscript"/>
        </w:rPr>
        <w:t>2</w:t>
      </w:r>
      <w:r w:rsidR="00036540" w:rsidRPr="00D2563E">
        <w:rPr>
          <w:bCs/>
        </w:rPr>
        <w:t xml:space="preserve"> </w:t>
      </w:r>
      <w:r w:rsidR="009A2C97" w:rsidRPr="00D2563E">
        <w:rPr>
          <w:bCs/>
        </w:rPr>
        <w:t xml:space="preserve">and the marginal </w:t>
      </w:r>
      <w:r w:rsidR="009A2C97" w:rsidRPr="00D2563E">
        <w:rPr>
          <w:bCs/>
          <w:i/>
        </w:rPr>
        <w:t>R</w:t>
      </w:r>
      <w:r w:rsidR="009A2C97" w:rsidRPr="00D2563E">
        <w:rPr>
          <w:bCs/>
          <w:i/>
          <w:vertAlign w:val="superscript"/>
        </w:rPr>
        <w:t>2</w:t>
      </w:r>
      <w:r w:rsidR="009A2C97" w:rsidRPr="00D2563E">
        <w:rPr>
          <w:bCs/>
        </w:rPr>
        <w:t xml:space="preserve"> </w:t>
      </w:r>
      <w:r w:rsidR="00036540" w:rsidRPr="00D2563E">
        <w:rPr>
          <w:bCs/>
        </w:rPr>
        <w:t>(Nakagawa &amp; Schielzeth, 2013).</w:t>
      </w:r>
      <w:r w:rsidR="008C378A" w:rsidRPr="00D2563E">
        <w:rPr>
          <w:bCs/>
        </w:rPr>
        <w:t xml:space="preserve"> </w:t>
      </w:r>
      <w:r w:rsidR="0089039F" w:rsidRPr="00D2563E">
        <w:rPr>
          <w:bCs/>
        </w:rPr>
        <w:t>Given the data’s nested properties, w</w:t>
      </w:r>
      <w:r w:rsidR="001D53FE" w:rsidRPr="00D2563E">
        <w:rPr>
          <w:bCs/>
        </w:rPr>
        <w:t xml:space="preserve">e tested </w:t>
      </w:r>
      <w:r w:rsidR="00871AA5">
        <w:rPr>
          <w:bCs/>
        </w:rPr>
        <w:t xml:space="preserve">the explanatory </w:t>
      </w:r>
      <w:r w:rsidR="00AF07D1">
        <w:rPr>
          <w:bCs/>
        </w:rPr>
        <w:t>role</w:t>
      </w:r>
      <w:r w:rsidR="00871AA5">
        <w:rPr>
          <w:bCs/>
        </w:rPr>
        <w:t xml:space="preserve"> of </w:t>
      </w:r>
      <w:r w:rsidR="00CE4964">
        <w:rPr>
          <w:bCs/>
        </w:rPr>
        <w:t xml:space="preserve">sense of </w:t>
      </w:r>
      <w:r w:rsidR="00871AA5">
        <w:rPr>
          <w:bCs/>
        </w:rPr>
        <w:t xml:space="preserve">power and self-promotion in accounting for the </w:t>
      </w:r>
      <w:r w:rsidR="00611EF5">
        <w:rPr>
          <w:bCs/>
        </w:rPr>
        <w:t>relation</w:t>
      </w:r>
      <w:r w:rsidR="00871AA5">
        <w:rPr>
          <w:bCs/>
        </w:rPr>
        <w:t xml:space="preserve"> between employee narcissism and supervisor-rated promotability</w:t>
      </w:r>
      <w:r w:rsidR="00BD46B3" w:rsidRPr="00D2563E">
        <w:rPr>
          <w:bCs/>
        </w:rPr>
        <w:t xml:space="preserve"> </w:t>
      </w:r>
      <w:r w:rsidR="00B70473" w:rsidRPr="00D2563E">
        <w:rPr>
          <w:bCs/>
        </w:rPr>
        <w:t xml:space="preserve">using </w:t>
      </w:r>
      <w:r w:rsidR="000316CA" w:rsidRPr="000316CA">
        <w:rPr>
          <w:bCs/>
        </w:rPr>
        <w:t>the TYPE = COMPLEX function in Mplus version 7 (Muthén &amp; Muthén, 2012)</w:t>
      </w:r>
      <w:r w:rsidR="000316CA">
        <w:rPr>
          <w:bCs/>
        </w:rPr>
        <w:t xml:space="preserve">, which </w:t>
      </w:r>
      <w:r w:rsidR="00424D58">
        <w:rPr>
          <w:bCs/>
        </w:rPr>
        <w:t>takes into consideration</w:t>
      </w:r>
      <w:r w:rsidR="000316CA">
        <w:rPr>
          <w:bCs/>
        </w:rPr>
        <w:t xml:space="preserve"> clustering by adjusting standard errors (</w:t>
      </w:r>
      <w:r w:rsidR="000316CA" w:rsidRPr="00925AF8">
        <w:t>McNeish</w:t>
      </w:r>
      <w:r w:rsidR="000316CA">
        <w:t xml:space="preserve"> et al., 2017)</w:t>
      </w:r>
      <w:r w:rsidR="00E02128" w:rsidRPr="00D2563E">
        <w:rPr>
          <w:bCs/>
        </w:rPr>
        <w:t>.</w:t>
      </w:r>
    </w:p>
    <w:p w14:paraId="0A5D7D7E" w14:textId="29C44928" w:rsidR="007D2012" w:rsidRPr="00D2563E" w:rsidRDefault="007D2012" w:rsidP="004C28FB">
      <w:pPr>
        <w:spacing w:line="480" w:lineRule="auto"/>
        <w:outlineLvl w:val="0"/>
        <w:rPr>
          <w:b/>
        </w:rPr>
      </w:pPr>
      <w:r w:rsidRPr="00D2563E">
        <w:rPr>
          <w:b/>
        </w:rPr>
        <w:t>R</w:t>
      </w:r>
      <w:r w:rsidR="00A879DC" w:rsidRPr="00D2563E">
        <w:rPr>
          <w:b/>
        </w:rPr>
        <w:t>esults</w:t>
      </w:r>
    </w:p>
    <w:p w14:paraId="48B3E743" w14:textId="0FF8295B" w:rsidR="001517BE" w:rsidRPr="003D57C7" w:rsidRDefault="007D2012">
      <w:pPr>
        <w:spacing w:line="480" w:lineRule="auto"/>
      </w:pPr>
      <w:r w:rsidRPr="00D2563E">
        <w:tab/>
      </w:r>
      <w:r w:rsidR="001D53FE" w:rsidRPr="00D2563E">
        <w:t xml:space="preserve">We present, in </w:t>
      </w:r>
      <w:r w:rsidRPr="00D2563E">
        <w:t xml:space="preserve">Table </w:t>
      </w:r>
      <w:r w:rsidR="007831F4">
        <w:t>1</w:t>
      </w:r>
      <w:r w:rsidR="001D53FE" w:rsidRPr="00D2563E">
        <w:t>,</w:t>
      </w:r>
      <w:r w:rsidRPr="00D2563E">
        <w:t xml:space="preserve"> means, standard deviations</w:t>
      </w:r>
      <w:r w:rsidR="001D53FE" w:rsidRPr="00D2563E">
        <w:t>,</w:t>
      </w:r>
      <w:r w:rsidRPr="00D2563E">
        <w:t xml:space="preserve"> and bivariate correlations </w:t>
      </w:r>
      <w:r w:rsidR="006955E3" w:rsidRPr="00D2563E">
        <w:t>among</w:t>
      </w:r>
      <w:r w:rsidRPr="00D2563E">
        <w:t xml:space="preserve"> variables. </w:t>
      </w:r>
      <w:r w:rsidR="00064FBB">
        <w:t>Women employees scored lower on narcissism than men employees (</w:t>
      </w:r>
      <w:r w:rsidR="00064FBB" w:rsidRPr="002678B4">
        <w:rPr>
          <w:i/>
          <w:iCs/>
        </w:rPr>
        <w:t>r</w:t>
      </w:r>
      <w:r w:rsidR="00064FBB">
        <w:t xml:space="preserve"> = -.31, </w:t>
      </w:r>
      <w:r w:rsidR="00064FBB" w:rsidRPr="002678B4">
        <w:rPr>
          <w:i/>
          <w:iCs/>
        </w:rPr>
        <w:t>p</w:t>
      </w:r>
      <w:r w:rsidR="00064FBB">
        <w:t xml:space="preserve"> &lt; .001), and reported less self-promotion behavior towards their supervisor (</w:t>
      </w:r>
      <w:r w:rsidR="00064FBB" w:rsidRPr="002678B4">
        <w:rPr>
          <w:i/>
          <w:iCs/>
        </w:rPr>
        <w:t>r</w:t>
      </w:r>
      <w:r w:rsidR="00064FBB">
        <w:t xml:space="preserve"> = -.24, </w:t>
      </w:r>
      <w:r w:rsidR="00064FBB" w:rsidRPr="002678B4">
        <w:rPr>
          <w:i/>
          <w:iCs/>
        </w:rPr>
        <w:t>p</w:t>
      </w:r>
      <w:r w:rsidR="00064FBB">
        <w:t xml:space="preserve"> = .006), with gender not being significantly correlated with promotability (</w:t>
      </w:r>
      <w:r w:rsidR="00064FBB" w:rsidRPr="002678B4">
        <w:rPr>
          <w:i/>
          <w:iCs/>
        </w:rPr>
        <w:t>r</w:t>
      </w:r>
      <w:r w:rsidR="00064FBB">
        <w:t xml:space="preserve"> = -.04, </w:t>
      </w:r>
      <w:r w:rsidR="00064FBB" w:rsidRPr="002678B4">
        <w:rPr>
          <w:i/>
          <w:iCs/>
        </w:rPr>
        <w:t>p</w:t>
      </w:r>
      <w:r w:rsidR="00064FBB">
        <w:t xml:space="preserve"> = .659). Tenure correlated negatively with self-promotion (</w:t>
      </w:r>
      <w:r w:rsidR="00064FBB" w:rsidRPr="002678B4">
        <w:rPr>
          <w:i/>
          <w:iCs/>
        </w:rPr>
        <w:t>r</w:t>
      </w:r>
      <w:r w:rsidR="00064FBB">
        <w:t xml:space="preserve"> = -.21, </w:t>
      </w:r>
      <w:r w:rsidR="00064FBB" w:rsidRPr="002678B4">
        <w:rPr>
          <w:i/>
          <w:iCs/>
        </w:rPr>
        <w:t>p</w:t>
      </w:r>
      <w:r w:rsidR="00064FBB">
        <w:t xml:space="preserve"> = .018) and ingratiation (</w:t>
      </w:r>
      <w:r w:rsidR="00064FBB" w:rsidRPr="002678B4">
        <w:rPr>
          <w:i/>
          <w:iCs/>
        </w:rPr>
        <w:t>r</w:t>
      </w:r>
      <w:r w:rsidR="00064FBB">
        <w:t xml:space="preserve"> = -.19, </w:t>
      </w:r>
      <w:r w:rsidR="00064FBB" w:rsidRPr="002678B4">
        <w:rPr>
          <w:i/>
          <w:iCs/>
        </w:rPr>
        <w:t>p</w:t>
      </w:r>
      <w:r w:rsidR="00064FBB">
        <w:t xml:space="preserve"> = </w:t>
      </w:r>
      <w:r w:rsidR="00064FBB">
        <w:lastRenderedPageBreak/>
        <w:t>.036) behavior, while not significantly correlating with promotability (</w:t>
      </w:r>
      <w:r w:rsidR="00064FBB" w:rsidRPr="002678B4">
        <w:rPr>
          <w:i/>
          <w:iCs/>
        </w:rPr>
        <w:t>r</w:t>
      </w:r>
      <w:r w:rsidR="00064FBB">
        <w:t xml:space="preserve"> = -.12, </w:t>
      </w:r>
      <w:r w:rsidR="00064FBB" w:rsidRPr="002678B4">
        <w:rPr>
          <w:i/>
          <w:iCs/>
        </w:rPr>
        <w:t>p</w:t>
      </w:r>
      <w:r w:rsidR="00064FBB">
        <w:t xml:space="preserve"> = .191). It appears as if both women employees and those who have worked at the organization longer are less engaged in impression management behavior towards the supervisor, which could indirectly affect their promotability evaluations. </w:t>
      </w:r>
      <w:r w:rsidRPr="00D2563E">
        <w:t xml:space="preserve">To test the </w:t>
      </w:r>
      <w:r w:rsidR="003363EE" w:rsidRPr="00D2563E">
        <w:t xml:space="preserve">association between </w:t>
      </w:r>
      <w:r w:rsidR="00CC6EB3" w:rsidRPr="00D2563E">
        <w:t xml:space="preserve">employee </w:t>
      </w:r>
      <w:r w:rsidR="003363EE" w:rsidRPr="00D2563E">
        <w:t>narcissism and promotability</w:t>
      </w:r>
      <w:r w:rsidRPr="00D2563E">
        <w:t xml:space="preserve">, </w:t>
      </w:r>
      <w:r w:rsidR="001D53FE" w:rsidRPr="00D2563E">
        <w:t xml:space="preserve">we entered </w:t>
      </w:r>
      <w:r w:rsidR="00502C52" w:rsidRPr="00D2563E">
        <w:t xml:space="preserve">employee </w:t>
      </w:r>
      <w:r w:rsidR="00846BE7" w:rsidRPr="00D2563E">
        <w:t>gender, employee tenure</w:t>
      </w:r>
      <w:r w:rsidR="0018165B" w:rsidRPr="00D2563E">
        <w:t>,</w:t>
      </w:r>
      <w:r w:rsidR="00846BE7" w:rsidRPr="00D2563E">
        <w:t xml:space="preserve"> </w:t>
      </w:r>
      <w:r w:rsidRPr="00D2563E">
        <w:t xml:space="preserve">and narcissism into the random coefficient model. </w:t>
      </w:r>
      <w:r w:rsidR="001D53FE" w:rsidRPr="00D2563E">
        <w:t xml:space="preserve">As </w:t>
      </w:r>
      <w:r w:rsidR="006955E3" w:rsidRPr="00D2563E">
        <w:t xml:space="preserve">depicted </w:t>
      </w:r>
      <w:r w:rsidR="001D53FE" w:rsidRPr="00D2563E">
        <w:t xml:space="preserve">in Table </w:t>
      </w:r>
      <w:r w:rsidR="007831F4">
        <w:t>2</w:t>
      </w:r>
      <w:r w:rsidR="001D53FE" w:rsidRPr="00D2563E">
        <w:t xml:space="preserve">, </w:t>
      </w:r>
      <w:r w:rsidR="00502C52" w:rsidRPr="00D2563E">
        <w:t xml:space="preserve">employee </w:t>
      </w:r>
      <w:r w:rsidRPr="00D2563E">
        <w:t xml:space="preserve">narcissism was positively related to promotability ratings </w:t>
      </w:r>
      <w:r w:rsidR="00D17928" w:rsidRPr="00D2563E">
        <w:t>provided</w:t>
      </w:r>
      <w:r w:rsidRPr="00D2563E">
        <w:t xml:space="preserve"> by the </w:t>
      </w:r>
      <w:r w:rsidR="00502C52" w:rsidRPr="00D2563E">
        <w:t>supervisor</w:t>
      </w:r>
      <w:r w:rsidRPr="00D2563E">
        <w:t xml:space="preserve">, </w:t>
      </w:r>
      <w:r w:rsidRPr="00D2563E">
        <w:rPr>
          <w:i/>
        </w:rPr>
        <w:t>B</w:t>
      </w:r>
      <w:r w:rsidRPr="00D2563E">
        <w:t xml:space="preserve"> = 0.</w:t>
      </w:r>
      <w:r w:rsidR="00846BE7" w:rsidRPr="00D2563E">
        <w:t>11</w:t>
      </w:r>
      <w:r w:rsidRPr="00D2563E">
        <w:t xml:space="preserve">, </w:t>
      </w:r>
      <w:r w:rsidRPr="00D2563E">
        <w:rPr>
          <w:i/>
        </w:rPr>
        <w:t>t</w:t>
      </w:r>
      <w:r w:rsidR="00D17928" w:rsidRPr="00D2563E">
        <w:t>(</w:t>
      </w:r>
      <w:r w:rsidR="00C662D5" w:rsidRPr="00D2563E">
        <w:t>1</w:t>
      </w:r>
      <w:r w:rsidR="00846BE7" w:rsidRPr="00D2563E">
        <w:t>0</w:t>
      </w:r>
      <w:r w:rsidR="00C662D5" w:rsidRPr="00D2563E">
        <w:t>4.</w:t>
      </w:r>
      <w:r w:rsidR="00846BE7" w:rsidRPr="00D2563E">
        <w:t>24</w:t>
      </w:r>
      <w:r w:rsidR="00C662D5" w:rsidRPr="00D2563E">
        <w:t xml:space="preserve">) = </w:t>
      </w:r>
      <w:r w:rsidR="00846BE7" w:rsidRPr="00D2563E">
        <w:t>3.13</w:t>
      </w:r>
      <w:r w:rsidRPr="00D2563E">
        <w:t xml:space="preserve">, </w:t>
      </w:r>
      <w:r w:rsidRPr="00D2563E">
        <w:rPr>
          <w:i/>
        </w:rPr>
        <w:t>p</w:t>
      </w:r>
      <w:r w:rsidRPr="00D2563E">
        <w:t xml:space="preserve"> = .0</w:t>
      </w:r>
      <w:r w:rsidR="00846BE7" w:rsidRPr="00D2563E">
        <w:t>0</w:t>
      </w:r>
      <w:r w:rsidR="000C1513" w:rsidRPr="00D2563E">
        <w:t>2</w:t>
      </w:r>
      <w:r w:rsidRPr="00D2563E">
        <w:t xml:space="preserve">, </w:t>
      </w:r>
      <w:r w:rsidRPr="00D2563E">
        <w:rPr>
          <w:i/>
        </w:rPr>
        <w:t>r</w:t>
      </w:r>
      <w:r w:rsidRPr="00D2563E">
        <w:t xml:space="preserve"> = .</w:t>
      </w:r>
      <w:r w:rsidR="00846BE7" w:rsidRPr="00D2563E">
        <w:t>29</w:t>
      </w:r>
      <w:r w:rsidR="00D17928" w:rsidRPr="00D2563E">
        <w:t>,</w:t>
      </w:r>
      <w:r w:rsidR="000C1513" w:rsidRPr="00D2563E">
        <w:t xml:space="preserve"> 95%CI[.0</w:t>
      </w:r>
      <w:r w:rsidR="00364864" w:rsidRPr="00D2563E">
        <w:t>40</w:t>
      </w:r>
      <w:r w:rsidR="00D17928" w:rsidRPr="00D2563E">
        <w:t>, .</w:t>
      </w:r>
      <w:r w:rsidR="000C1513" w:rsidRPr="00D2563E">
        <w:t>1</w:t>
      </w:r>
      <w:r w:rsidR="00364864" w:rsidRPr="00D2563E">
        <w:t>81</w:t>
      </w:r>
      <w:r w:rsidRPr="00D2563E">
        <w:t>]</w:t>
      </w:r>
      <w:r w:rsidR="00A12967" w:rsidRPr="00D2563E">
        <w:t>.</w:t>
      </w:r>
      <w:r w:rsidR="003D57C7">
        <w:rPr>
          <w:rStyle w:val="FootnoteReference"/>
        </w:rPr>
        <w:footnoteReference w:id="8"/>
      </w:r>
      <w:r w:rsidR="00063104">
        <w:rPr>
          <w:vertAlign w:val="superscript"/>
        </w:rPr>
        <w:t>,</w:t>
      </w:r>
      <w:r w:rsidR="00063104">
        <w:rPr>
          <w:rStyle w:val="FootnoteReference"/>
        </w:rPr>
        <w:footnoteReference w:id="9"/>
      </w:r>
      <w:r w:rsidR="00F02D1B">
        <w:t xml:space="preserve"> </w:t>
      </w:r>
      <w:r w:rsidR="003E7950">
        <w:t xml:space="preserve">The model </w:t>
      </w:r>
      <w:r w:rsidR="000E3F73">
        <w:t>that</w:t>
      </w:r>
      <w:r w:rsidR="003E7950">
        <w:t xml:space="preserve"> included employee narcissism as a predictor showed a superior fit to the model </w:t>
      </w:r>
      <w:r w:rsidR="000E3F73">
        <w:t>that</w:t>
      </w:r>
      <w:r w:rsidR="003E7950">
        <w:t xml:space="preserve"> only included the control variables as predictors, </w:t>
      </w:r>
      <w:r w:rsidR="003E7950">
        <w:sym w:font="Symbol" w:char="F044"/>
      </w:r>
      <w:r w:rsidR="003E7950">
        <w:t xml:space="preserve">AIC = </w:t>
      </w:r>
      <w:r w:rsidR="00DA3218">
        <w:t>7.32</w:t>
      </w:r>
      <w:r w:rsidR="00D878D2">
        <w:t xml:space="preserve">, with the former being </w:t>
      </w:r>
      <w:r w:rsidR="002B29D6">
        <w:t>38.80</w:t>
      </w:r>
      <w:r w:rsidR="00D878D2">
        <w:t xml:space="preserve"> times more likely (based on the relative AIC weights</w:t>
      </w:r>
      <w:r w:rsidR="007B4F79">
        <w:t>; Wagenmakers &amp; Farrell, 2004</w:t>
      </w:r>
      <w:r w:rsidR="00D878D2">
        <w:t xml:space="preserve">) to be the </w:t>
      </w:r>
      <w:r w:rsidR="00F64D2B">
        <w:t>best</w:t>
      </w:r>
      <w:r w:rsidR="00D878D2">
        <w:t xml:space="preserve"> model in comparison to the latter. </w:t>
      </w:r>
    </w:p>
    <w:p w14:paraId="460A4B26" w14:textId="31ABE07C" w:rsidR="00DB5680" w:rsidRPr="003D57C7" w:rsidRDefault="00502C52" w:rsidP="004C28FB">
      <w:pPr>
        <w:spacing w:line="480" w:lineRule="auto"/>
        <w:ind w:firstLine="720"/>
      </w:pPr>
      <w:r w:rsidRPr="003D57C7">
        <w:t xml:space="preserve">Employee </w:t>
      </w:r>
      <w:r w:rsidR="00BF4733" w:rsidRPr="003D57C7">
        <w:t xml:space="preserve">narcissism was positively related to </w:t>
      </w:r>
      <w:r w:rsidRPr="003D57C7">
        <w:t xml:space="preserve">employee sense of </w:t>
      </w:r>
      <w:r w:rsidR="00BF4733" w:rsidRPr="003D57C7">
        <w:t xml:space="preserve">power in the workplace, </w:t>
      </w:r>
      <w:r w:rsidR="00BF4733" w:rsidRPr="003D57C7">
        <w:rPr>
          <w:i/>
        </w:rPr>
        <w:t>B</w:t>
      </w:r>
      <w:r w:rsidR="00BF4733" w:rsidRPr="003D57C7">
        <w:t xml:space="preserve"> = 0.0</w:t>
      </w:r>
      <w:r w:rsidR="00C24F27" w:rsidRPr="00495C0B">
        <w:t>8</w:t>
      </w:r>
      <w:r w:rsidR="00BF4733" w:rsidRPr="00495C0B">
        <w:t xml:space="preserve">, </w:t>
      </w:r>
      <w:r w:rsidR="00BF4733" w:rsidRPr="00495C0B">
        <w:rPr>
          <w:i/>
        </w:rPr>
        <w:t>t</w:t>
      </w:r>
      <w:r w:rsidR="00BF4733" w:rsidRPr="00D2563E">
        <w:t>(12</w:t>
      </w:r>
      <w:r w:rsidR="00250E55" w:rsidRPr="00D2563E">
        <w:t>2</w:t>
      </w:r>
      <w:r w:rsidR="00BF4733" w:rsidRPr="00D2563E">
        <w:t>.</w:t>
      </w:r>
      <w:r w:rsidR="00C24F27" w:rsidRPr="00D2563E">
        <w:t>71</w:t>
      </w:r>
      <w:r w:rsidR="00BF4733" w:rsidRPr="00D2563E">
        <w:t xml:space="preserve">) = </w:t>
      </w:r>
      <w:r w:rsidR="00C24F27" w:rsidRPr="00D2563E">
        <w:t>3.83</w:t>
      </w:r>
      <w:r w:rsidR="00BF4733" w:rsidRPr="00D2563E">
        <w:t xml:space="preserve">, </w:t>
      </w:r>
      <w:r w:rsidR="00BF4733" w:rsidRPr="00D2563E">
        <w:rPr>
          <w:i/>
        </w:rPr>
        <w:t>p</w:t>
      </w:r>
      <w:r w:rsidR="00BF4733" w:rsidRPr="00D2563E">
        <w:t xml:space="preserve"> </w:t>
      </w:r>
      <w:r w:rsidR="00C24F27" w:rsidRPr="00D2563E">
        <w:t xml:space="preserve">&lt; </w:t>
      </w:r>
      <w:r w:rsidR="00BF4733" w:rsidRPr="00D2563E">
        <w:t>.00</w:t>
      </w:r>
      <w:r w:rsidR="00C24F27" w:rsidRPr="00D2563E">
        <w:t>1</w:t>
      </w:r>
      <w:r w:rsidR="00BF4733" w:rsidRPr="00D2563E">
        <w:t xml:space="preserve">, </w:t>
      </w:r>
      <w:r w:rsidR="00BF4733" w:rsidRPr="00D2563E">
        <w:rPr>
          <w:i/>
        </w:rPr>
        <w:t>r</w:t>
      </w:r>
      <w:r w:rsidR="00BF4733" w:rsidRPr="00D2563E">
        <w:t xml:space="preserve"> = </w:t>
      </w:r>
      <w:r w:rsidR="00C24F27" w:rsidRPr="00D2563E">
        <w:t>.33</w:t>
      </w:r>
      <w:r w:rsidR="00BF4733" w:rsidRPr="00D2563E">
        <w:t>,</w:t>
      </w:r>
      <w:r w:rsidR="00250E55" w:rsidRPr="00D2563E">
        <w:t xml:space="preserve"> 95%CI[.0</w:t>
      </w:r>
      <w:r w:rsidR="00C24F27" w:rsidRPr="00D2563E">
        <w:t>40</w:t>
      </w:r>
      <w:r w:rsidR="00250E55" w:rsidRPr="00D2563E">
        <w:t>, .1</w:t>
      </w:r>
      <w:r w:rsidR="00C24F27" w:rsidRPr="00D2563E">
        <w:t>24</w:t>
      </w:r>
      <w:r w:rsidR="00BF4733" w:rsidRPr="00D2563E">
        <w:t xml:space="preserve">]. </w:t>
      </w:r>
      <w:r w:rsidR="00DB5680" w:rsidRPr="00D2563E">
        <w:t>With respect to impression management tactics</w:t>
      </w:r>
      <w:r w:rsidR="00583C55" w:rsidRPr="00D2563E">
        <w:t xml:space="preserve">, </w:t>
      </w:r>
      <w:r w:rsidR="00F6095E" w:rsidRPr="00D2563E">
        <w:t xml:space="preserve">whereas </w:t>
      </w:r>
      <w:r w:rsidRPr="00D2563E">
        <w:t xml:space="preserve">employee </w:t>
      </w:r>
      <w:r w:rsidR="00DB5680" w:rsidRPr="00D2563E">
        <w:t>narcissism</w:t>
      </w:r>
      <w:r w:rsidR="005E36C9" w:rsidRPr="00D2563E">
        <w:t xml:space="preserve"> positively predicted </w:t>
      </w:r>
      <w:r w:rsidRPr="00D2563E">
        <w:t xml:space="preserve">employees’ </w:t>
      </w:r>
      <w:r w:rsidR="005E36C9" w:rsidRPr="00D2563E">
        <w:t xml:space="preserve">self-promotion </w:t>
      </w:r>
      <w:r w:rsidR="00844AE7" w:rsidRPr="00D2563E">
        <w:t>behavior</w:t>
      </w:r>
      <w:r w:rsidR="005E36C9" w:rsidRPr="00D2563E">
        <w:t xml:space="preserve"> toward their </w:t>
      </w:r>
      <w:r w:rsidRPr="00D2563E">
        <w:t>supervisor</w:t>
      </w:r>
      <w:r w:rsidR="005E36C9" w:rsidRPr="00D2563E">
        <w:t xml:space="preserve">, </w:t>
      </w:r>
      <w:r w:rsidR="005E36C9" w:rsidRPr="00D2563E">
        <w:rPr>
          <w:i/>
        </w:rPr>
        <w:t>B</w:t>
      </w:r>
      <w:r w:rsidR="005E36C9" w:rsidRPr="00D2563E">
        <w:t xml:space="preserve"> = 0.0</w:t>
      </w:r>
      <w:r w:rsidR="00B14509" w:rsidRPr="00D2563E">
        <w:t>6</w:t>
      </w:r>
      <w:r w:rsidR="005E36C9" w:rsidRPr="00D2563E">
        <w:t xml:space="preserve">, </w:t>
      </w:r>
      <w:r w:rsidR="005E36C9" w:rsidRPr="00D2563E">
        <w:rPr>
          <w:i/>
        </w:rPr>
        <w:t>t</w:t>
      </w:r>
      <w:r w:rsidR="003E30A8" w:rsidRPr="00D2563E">
        <w:t>(12</w:t>
      </w:r>
      <w:r w:rsidR="00B14509" w:rsidRPr="00D2563E">
        <w:t>3</w:t>
      </w:r>
      <w:r w:rsidR="003E30A8" w:rsidRPr="00D2563E">
        <w:t>.</w:t>
      </w:r>
      <w:r w:rsidR="00B14509" w:rsidRPr="00D2563E">
        <w:t>6</w:t>
      </w:r>
      <w:r w:rsidR="003E30A8" w:rsidRPr="00D2563E">
        <w:t>4) = 2.</w:t>
      </w:r>
      <w:r w:rsidR="00B14509" w:rsidRPr="00D2563E">
        <w:t>55</w:t>
      </w:r>
      <w:r w:rsidR="005E36C9" w:rsidRPr="00D2563E">
        <w:t xml:space="preserve">, </w:t>
      </w:r>
      <w:r w:rsidR="005E36C9" w:rsidRPr="00D2563E">
        <w:rPr>
          <w:i/>
        </w:rPr>
        <w:t>p</w:t>
      </w:r>
      <w:r w:rsidR="005E36C9" w:rsidRPr="00D2563E">
        <w:t xml:space="preserve"> = </w:t>
      </w:r>
      <w:r w:rsidR="005E36C9" w:rsidRPr="00D2563E">
        <w:lastRenderedPageBreak/>
        <w:t>.0</w:t>
      </w:r>
      <w:r w:rsidR="00B14509" w:rsidRPr="00D2563E">
        <w:t>12</w:t>
      </w:r>
      <w:r w:rsidR="005E36C9" w:rsidRPr="00D2563E">
        <w:t xml:space="preserve">, </w:t>
      </w:r>
      <w:r w:rsidR="005E36C9" w:rsidRPr="00D2563E">
        <w:rPr>
          <w:i/>
        </w:rPr>
        <w:t>r</w:t>
      </w:r>
      <w:r w:rsidR="005E36C9" w:rsidRPr="00D2563E">
        <w:t xml:space="preserve"> = .</w:t>
      </w:r>
      <w:r w:rsidR="003E30A8" w:rsidRPr="00D2563E">
        <w:t>2</w:t>
      </w:r>
      <w:r w:rsidR="00B14509" w:rsidRPr="00D2563E">
        <w:t>2</w:t>
      </w:r>
      <w:r w:rsidR="005E36C9" w:rsidRPr="00D2563E">
        <w:t>,</w:t>
      </w:r>
      <w:r w:rsidR="003E30A8" w:rsidRPr="00D2563E">
        <w:t xml:space="preserve"> 95%CI[.01</w:t>
      </w:r>
      <w:r w:rsidR="00B14509" w:rsidRPr="00D2563E">
        <w:t>4</w:t>
      </w:r>
      <w:r w:rsidR="003E30A8" w:rsidRPr="00D2563E">
        <w:t>, .11</w:t>
      </w:r>
      <w:r w:rsidR="00B14509" w:rsidRPr="00D2563E">
        <w:t>3</w:t>
      </w:r>
      <w:r w:rsidR="005E36C9" w:rsidRPr="00D2563E">
        <w:t xml:space="preserve">], </w:t>
      </w:r>
      <w:r w:rsidR="005B5AB1" w:rsidRPr="00D2563E">
        <w:t>it</w:t>
      </w:r>
      <w:r w:rsidR="00DB5680" w:rsidRPr="00D2563E">
        <w:t xml:space="preserve"> did not predict ingratiation, </w:t>
      </w:r>
      <w:r w:rsidR="00DB5680" w:rsidRPr="00D2563E">
        <w:rPr>
          <w:i/>
        </w:rPr>
        <w:t>B</w:t>
      </w:r>
      <w:r w:rsidR="00DB5680" w:rsidRPr="00D2563E">
        <w:t xml:space="preserve"> = 0.</w:t>
      </w:r>
      <w:r w:rsidR="009A110D" w:rsidRPr="00D2563E">
        <w:t>0</w:t>
      </w:r>
      <w:r w:rsidR="00C24F27" w:rsidRPr="00D2563E">
        <w:t>2</w:t>
      </w:r>
      <w:r w:rsidR="00DB5680" w:rsidRPr="00D2563E">
        <w:t xml:space="preserve">, </w:t>
      </w:r>
      <w:r w:rsidR="00DB5680" w:rsidRPr="00D2563E">
        <w:rPr>
          <w:i/>
        </w:rPr>
        <w:t>t</w:t>
      </w:r>
      <w:r w:rsidR="009A110D" w:rsidRPr="00D2563E">
        <w:t>(1</w:t>
      </w:r>
      <w:r w:rsidR="00C24F27" w:rsidRPr="00D2563E">
        <w:t>08</w:t>
      </w:r>
      <w:r w:rsidR="009A110D" w:rsidRPr="00D2563E">
        <w:t>.</w:t>
      </w:r>
      <w:r w:rsidR="00C24F27" w:rsidRPr="00D2563E">
        <w:t>05</w:t>
      </w:r>
      <w:r w:rsidR="00DB5680" w:rsidRPr="00D2563E">
        <w:t xml:space="preserve">) = </w:t>
      </w:r>
      <w:r w:rsidR="007D2D9A" w:rsidRPr="00D2563E">
        <w:t>0.63</w:t>
      </w:r>
      <w:r w:rsidR="00DB5680" w:rsidRPr="00D2563E">
        <w:t xml:space="preserve">, </w:t>
      </w:r>
      <w:r w:rsidR="00DB5680" w:rsidRPr="00D2563E">
        <w:rPr>
          <w:i/>
        </w:rPr>
        <w:t>p</w:t>
      </w:r>
      <w:r w:rsidR="00DB5680" w:rsidRPr="00D2563E">
        <w:t xml:space="preserve"> = .</w:t>
      </w:r>
      <w:r w:rsidR="00C24F27" w:rsidRPr="00D2563E">
        <w:t>467</w:t>
      </w:r>
      <w:r w:rsidR="00DB5680" w:rsidRPr="00D2563E">
        <w:t>, 95%CI[</w:t>
      </w:r>
      <w:r w:rsidR="009A110D" w:rsidRPr="00D2563E">
        <w:t>-.0</w:t>
      </w:r>
      <w:r w:rsidR="007D2D9A" w:rsidRPr="00D2563E">
        <w:t>2</w:t>
      </w:r>
      <w:r w:rsidR="00C24F27" w:rsidRPr="00D2563E">
        <w:t>8</w:t>
      </w:r>
      <w:r w:rsidR="009A110D" w:rsidRPr="00D2563E">
        <w:t>, .</w:t>
      </w:r>
      <w:r w:rsidR="007D2D9A" w:rsidRPr="00D2563E">
        <w:t>0</w:t>
      </w:r>
      <w:r w:rsidR="00C24F27" w:rsidRPr="00D2563E">
        <w:t>61</w:t>
      </w:r>
      <w:r w:rsidR="00DB5680" w:rsidRPr="00D2563E">
        <w:t>].</w:t>
      </w:r>
      <w:r w:rsidR="003D57C7">
        <w:rPr>
          <w:rStyle w:val="FootnoteReference"/>
        </w:rPr>
        <w:footnoteReference w:id="10"/>
      </w:r>
    </w:p>
    <w:p w14:paraId="573C6E22" w14:textId="4B413D5E" w:rsidR="0089039F" w:rsidRPr="00D2563E" w:rsidRDefault="00871AA5" w:rsidP="004C28FB">
      <w:pPr>
        <w:spacing w:line="480" w:lineRule="auto"/>
        <w:outlineLvl w:val="0"/>
        <w:rPr>
          <w:b/>
          <w:bCs/>
          <w:i/>
          <w:iCs/>
        </w:rPr>
      </w:pPr>
      <w:r>
        <w:rPr>
          <w:b/>
          <w:bCs/>
          <w:i/>
          <w:iCs/>
        </w:rPr>
        <w:t xml:space="preserve">Explanatory </w:t>
      </w:r>
      <w:r w:rsidR="000E3F73">
        <w:rPr>
          <w:b/>
          <w:bCs/>
          <w:i/>
          <w:iCs/>
        </w:rPr>
        <w:t>R</w:t>
      </w:r>
      <w:r w:rsidR="00CE4964">
        <w:rPr>
          <w:b/>
          <w:bCs/>
          <w:i/>
          <w:iCs/>
        </w:rPr>
        <w:t xml:space="preserve">ole of </w:t>
      </w:r>
      <w:r w:rsidR="000E3F73">
        <w:rPr>
          <w:b/>
          <w:bCs/>
          <w:i/>
          <w:iCs/>
        </w:rPr>
        <w:t>S</w:t>
      </w:r>
      <w:r w:rsidR="00CE4964">
        <w:rPr>
          <w:b/>
          <w:bCs/>
          <w:i/>
          <w:iCs/>
        </w:rPr>
        <w:t xml:space="preserve">ense of </w:t>
      </w:r>
      <w:r w:rsidR="000E3F73">
        <w:rPr>
          <w:b/>
          <w:bCs/>
          <w:i/>
          <w:iCs/>
        </w:rPr>
        <w:t>P</w:t>
      </w:r>
      <w:r w:rsidR="00CE4964">
        <w:rPr>
          <w:b/>
          <w:bCs/>
          <w:i/>
          <w:iCs/>
        </w:rPr>
        <w:t xml:space="preserve">ower and </w:t>
      </w:r>
      <w:r w:rsidR="000E3F73">
        <w:rPr>
          <w:b/>
          <w:bCs/>
          <w:i/>
          <w:iCs/>
        </w:rPr>
        <w:t>S</w:t>
      </w:r>
      <w:r w:rsidR="00CE4964">
        <w:rPr>
          <w:b/>
          <w:bCs/>
          <w:i/>
          <w:iCs/>
        </w:rPr>
        <w:t>elf-</w:t>
      </w:r>
      <w:r w:rsidR="000E3F73">
        <w:rPr>
          <w:b/>
          <w:bCs/>
          <w:i/>
          <w:iCs/>
        </w:rPr>
        <w:t>P</w:t>
      </w:r>
      <w:r w:rsidR="00CE4964">
        <w:rPr>
          <w:b/>
          <w:bCs/>
          <w:i/>
          <w:iCs/>
        </w:rPr>
        <w:t>romotion</w:t>
      </w:r>
      <w:r w:rsidR="0089039F" w:rsidRPr="00495C0B">
        <w:rPr>
          <w:b/>
          <w:bCs/>
          <w:i/>
          <w:iCs/>
        </w:rPr>
        <w:t xml:space="preserve"> </w:t>
      </w:r>
    </w:p>
    <w:p w14:paraId="6B2E38DB" w14:textId="429E29A7" w:rsidR="002528EA" w:rsidRDefault="0089039F">
      <w:pPr>
        <w:widowControl w:val="0"/>
        <w:spacing w:line="480" w:lineRule="auto"/>
        <w:rPr>
          <w:bCs/>
        </w:rPr>
      </w:pPr>
      <w:r w:rsidRPr="00D2563E">
        <w:rPr>
          <w:bCs/>
        </w:rPr>
        <w:tab/>
        <w:t>Given that employees’ perceived sense of power in the workplace and self-promotion were associated with their narcissism, we simultaneously tested these variables as possibl</w:t>
      </w:r>
      <w:r w:rsidR="001E57AA">
        <w:rPr>
          <w:bCs/>
        </w:rPr>
        <w:t>y</w:t>
      </w:r>
      <w:r w:rsidRPr="00D2563E">
        <w:rPr>
          <w:bCs/>
        </w:rPr>
        <w:t xml:space="preserve"> </w:t>
      </w:r>
      <w:r w:rsidR="00946AA8">
        <w:rPr>
          <w:bCs/>
        </w:rPr>
        <w:t>account</w:t>
      </w:r>
      <w:r w:rsidR="001E57AA">
        <w:rPr>
          <w:bCs/>
        </w:rPr>
        <w:t>ing</w:t>
      </w:r>
      <w:r w:rsidR="00946AA8">
        <w:rPr>
          <w:bCs/>
        </w:rPr>
        <w:t xml:space="preserve"> for</w:t>
      </w:r>
      <w:r w:rsidR="00871AA5" w:rsidRPr="00D2563E">
        <w:rPr>
          <w:bCs/>
        </w:rPr>
        <w:t xml:space="preserve"> </w:t>
      </w:r>
      <w:r w:rsidRPr="00D2563E">
        <w:rPr>
          <w:bCs/>
        </w:rPr>
        <w:t xml:space="preserve">the relation between employee narcissism and promotability. Employee sense of power showed a significant indirect effect, </w:t>
      </w:r>
      <w:r w:rsidR="002528EA" w:rsidRPr="00D2563E">
        <w:rPr>
          <w:bCs/>
          <w:i/>
        </w:rPr>
        <w:t>B</w:t>
      </w:r>
      <w:r w:rsidR="002528EA" w:rsidRPr="00D2563E">
        <w:rPr>
          <w:bCs/>
          <w:i/>
          <w:vertAlign w:val="subscript"/>
        </w:rPr>
        <w:t>indirect</w:t>
      </w:r>
      <w:r w:rsidR="002528EA" w:rsidRPr="00D2563E">
        <w:rPr>
          <w:bCs/>
        </w:rPr>
        <w:t xml:space="preserve"> = .0</w:t>
      </w:r>
      <w:r w:rsidR="002528EA">
        <w:rPr>
          <w:bCs/>
        </w:rPr>
        <w:t>5</w:t>
      </w:r>
      <w:r w:rsidR="002528EA" w:rsidRPr="00D2563E">
        <w:rPr>
          <w:bCs/>
        </w:rPr>
        <w:t xml:space="preserve">, </w:t>
      </w:r>
      <w:r w:rsidR="002528EA">
        <w:rPr>
          <w:bCs/>
          <w:i/>
          <w:iCs/>
        </w:rPr>
        <w:t>t</w:t>
      </w:r>
      <w:r w:rsidR="002528EA">
        <w:rPr>
          <w:bCs/>
        </w:rPr>
        <w:t>(122)</w:t>
      </w:r>
      <w:r w:rsidR="002528EA" w:rsidRPr="00D2563E">
        <w:rPr>
          <w:bCs/>
        </w:rPr>
        <w:t xml:space="preserve"> = 2.</w:t>
      </w:r>
      <w:r w:rsidR="002528EA">
        <w:rPr>
          <w:bCs/>
        </w:rPr>
        <w:t>17</w:t>
      </w:r>
      <w:r w:rsidR="002528EA" w:rsidRPr="00D2563E">
        <w:rPr>
          <w:bCs/>
        </w:rPr>
        <w:t xml:space="preserve">, </w:t>
      </w:r>
      <w:r w:rsidR="002528EA" w:rsidRPr="00D2563E">
        <w:rPr>
          <w:bCs/>
          <w:i/>
        </w:rPr>
        <w:t>p</w:t>
      </w:r>
      <w:r w:rsidR="002528EA" w:rsidRPr="00D2563E">
        <w:rPr>
          <w:bCs/>
        </w:rPr>
        <w:t xml:space="preserve"> = .0</w:t>
      </w:r>
      <w:r w:rsidR="002528EA">
        <w:rPr>
          <w:bCs/>
        </w:rPr>
        <w:t>30</w:t>
      </w:r>
      <w:r w:rsidR="002528EA" w:rsidRPr="00D2563E">
        <w:rPr>
          <w:bCs/>
        </w:rPr>
        <w:t>, 95%CI [.0</w:t>
      </w:r>
      <w:r w:rsidR="002528EA">
        <w:rPr>
          <w:bCs/>
        </w:rPr>
        <w:t>05</w:t>
      </w:r>
      <w:r w:rsidR="002528EA" w:rsidRPr="00D2563E">
        <w:rPr>
          <w:bCs/>
        </w:rPr>
        <w:t>, .</w:t>
      </w:r>
      <w:r w:rsidR="002528EA">
        <w:rPr>
          <w:bCs/>
        </w:rPr>
        <w:t>096</w:t>
      </w:r>
      <w:r w:rsidR="002528EA" w:rsidRPr="00D2563E">
        <w:rPr>
          <w:bCs/>
        </w:rPr>
        <w:t>]</w:t>
      </w:r>
      <w:r w:rsidRPr="00D2563E">
        <w:rPr>
          <w:bCs/>
        </w:rPr>
        <w:t xml:space="preserve">. With respect to self-promotion, the indirect effect was not significant, </w:t>
      </w:r>
      <w:r w:rsidR="002528EA" w:rsidRPr="00D2563E">
        <w:rPr>
          <w:bCs/>
          <w:i/>
        </w:rPr>
        <w:t>B</w:t>
      </w:r>
      <w:r w:rsidR="002528EA" w:rsidRPr="00D2563E">
        <w:rPr>
          <w:bCs/>
          <w:i/>
          <w:vertAlign w:val="subscript"/>
        </w:rPr>
        <w:t>indirect</w:t>
      </w:r>
      <w:r w:rsidR="002528EA" w:rsidRPr="00D2563E">
        <w:rPr>
          <w:bCs/>
        </w:rPr>
        <w:t xml:space="preserve"> = .0</w:t>
      </w:r>
      <w:r w:rsidR="002528EA">
        <w:rPr>
          <w:bCs/>
        </w:rPr>
        <w:t>2</w:t>
      </w:r>
      <w:r w:rsidR="002528EA" w:rsidRPr="00D2563E">
        <w:rPr>
          <w:bCs/>
        </w:rPr>
        <w:t xml:space="preserve">, </w:t>
      </w:r>
      <w:r w:rsidR="002528EA">
        <w:rPr>
          <w:bCs/>
          <w:i/>
          <w:iCs/>
        </w:rPr>
        <w:t>t</w:t>
      </w:r>
      <w:r w:rsidR="002528EA">
        <w:rPr>
          <w:bCs/>
        </w:rPr>
        <w:t>(122)</w:t>
      </w:r>
      <w:r w:rsidR="002528EA" w:rsidRPr="00D2563E">
        <w:rPr>
          <w:bCs/>
        </w:rPr>
        <w:t xml:space="preserve"> = 1.</w:t>
      </w:r>
      <w:r w:rsidR="002528EA">
        <w:rPr>
          <w:bCs/>
        </w:rPr>
        <w:t>70</w:t>
      </w:r>
      <w:r w:rsidR="002528EA" w:rsidRPr="00D2563E">
        <w:rPr>
          <w:bCs/>
        </w:rPr>
        <w:t xml:space="preserve">, </w:t>
      </w:r>
      <w:r w:rsidR="002528EA" w:rsidRPr="00D2563E">
        <w:rPr>
          <w:bCs/>
          <w:i/>
        </w:rPr>
        <w:t>p</w:t>
      </w:r>
      <w:r w:rsidR="002528EA" w:rsidRPr="00D2563E">
        <w:rPr>
          <w:bCs/>
        </w:rPr>
        <w:t xml:space="preserve"> = .</w:t>
      </w:r>
      <w:r w:rsidR="002528EA">
        <w:rPr>
          <w:bCs/>
        </w:rPr>
        <w:t>090</w:t>
      </w:r>
      <w:r w:rsidR="002528EA" w:rsidRPr="00D2563E">
        <w:rPr>
          <w:bCs/>
        </w:rPr>
        <w:t>, 95%CI [</w:t>
      </w:r>
      <w:r w:rsidR="002528EA">
        <w:rPr>
          <w:bCs/>
        </w:rPr>
        <w:t>-</w:t>
      </w:r>
      <w:r w:rsidR="002528EA" w:rsidRPr="00D2563E">
        <w:rPr>
          <w:bCs/>
        </w:rPr>
        <w:t>.0</w:t>
      </w:r>
      <w:r w:rsidR="002528EA">
        <w:rPr>
          <w:bCs/>
        </w:rPr>
        <w:t>03</w:t>
      </w:r>
      <w:r w:rsidR="002528EA" w:rsidRPr="00D2563E">
        <w:rPr>
          <w:bCs/>
        </w:rPr>
        <w:t>, .0</w:t>
      </w:r>
      <w:r w:rsidR="002528EA">
        <w:rPr>
          <w:bCs/>
        </w:rPr>
        <w:t>40</w:t>
      </w:r>
      <w:r w:rsidR="002528EA" w:rsidRPr="00D2563E">
        <w:rPr>
          <w:bCs/>
        </w:rPr>
        <w:t>]</w:t>
      </w:r>
      <w:r w:rsidR="005213C5">
        <w:rPr>
          <w:bCs/>
        </w:rPr>
        <w:t xml:space="preserve"> </w:t>
      </w:r>
      <w:r w:rsidR="005C726A" w:rsidRPr="00D2563E">
        <w:rPr>
          <w:bCs/>
        </w:rPr>
        <w:t>(Figure 1)</w:t>
      </w:r>
      <w:r w:rsidRPr="00D2563E">
        <w:rPr>
          <w:bCs/>
        </w:rPr>
        <w:t xml:space="preserve">. Thus, supervisors with </w:t>
      </w:r>
      <w:r w:rsidR="008948B6">
        <w:rPr>
          <w:bCs/>
        </w:rPr>
        <w:t>employees higher in narcissism</w:t>
      </w:r>
      <w:r w:rsidRPr="00D2563E">
        <w:rPr>
          <w:bCs/>
        </w:rPr>
        <w:t>, on average, have employees with a higher sense of power</w:t>
      </w:r>
      <w:r w:rsidR="001E57AA">
        <w:rPr>
          <w:bCs/>
        </w:rPr>
        <w:t>. This</w:t>
      </w:r>
      <w:r w:rsidRPr="00D2563E">
        <w:rPr>
          <w:bCs/>
        </w:rPr>
        <w:t xml:space="preserve"> </w:t>
      </w:r>
      <w:r w:rsidR="00946AA8">
        <w:rPr>
          <w:bCs/>
        </w:rPr>
        <w:t>accounts</w:t>
      </w:r>
      <w:r w:rsidR="001E57AA">
        <w:rPr>
          <w:bCs/>
        </w:rPr>
        <w:t>, at least in part,</w:t>
      </w:r>
      <w:r w:rsidR="00946AA8">
        <w:rPr>
          <w:bCs/>
        </w:rPr>
        <w:t xml:space="preserve"> for</w:t>
      </w:r>
      <w:r w:rsidR="00946AA8" w:rsidRPr="00D2563E">
        <w:rPr>
          <w:bCs/>
        </w:rPr>
        <w:t xml:space="preserve"> </w:t>
      </w:r>
      <w:r w:rsidRPr="00D2563E">
        <w:rPr>
          <w:bCs/>
        </w:rPr>
        <w:t xml:space="preserve">the effect of employee narcissism on employee promotability across different supervisors. </w:t>
      </w:r>
    </w:p>
    <w:p w14:paraId="00758E11" w14:textId="77777777" w:rsidR="007C2C40" w:rsidRPr="007A173A" w:rsidRDefault="007C2C40" w:rsidP="007C2C40">
      <w:pPr>
        <w:adjustRightInd w:val="0"/>
        <w:snapToGrid w:val="0"/>
        <w:spacing w:line="480" w:lineRule="auto"/>
        <w:contextualSpacing/>
        <w:rPr>
          <w:b/>
          <w:bCs/>
          <w:i/>
          <w:iCs/>
        </w:rPr>
      </w:pPr>
      <w:r>
        <w:rPr>
          <w:b/>
          <w:bCs/>
          <w:i/>
          <w:iCs/>
        </w:rPr>
        <w:t>Sensitivity Analyses</w:t>
      </w:r>
    </w:p>
    <w:p w14:paraId="21F99FD6" w14:textId="48B0C090" w:rsidR="007C2C40" w:rsidRDefault="00543B7B">
      <w:pPr>
        <w:widowControl w:val="0"/>
        <w:spacing w:line="480" w:lineRule="auto"/>
        <w:ind w:firstLine="720"/>
      </w:pPr>
      <w:r>
        <w:t xml:space="preserve">Given the conceptual closeness between the Leadership/Authority component of narcissism and </w:t>
      </w:r>
      <w:r w:rsidR="00A34F07">
        <w:t>the other variables in the model</w:t>
      </w:r>
      <w:r>
        <w:t xml:space="preserve">, we </w:t>
      </w:r>
      <w:r w:rsidR="00A34F07">
        <w:t>ran</w:t>
      </w:r>
      <w:r>
        <w:t xml:space="preserve"> a sensitivity analys</w:t>
      </w:r>
      <w:r w:rsidR="00A874DF">
        <w:t>e</w:t>
      </w:r>
      <w:r>
        <w:t>s to examine the predictive power of narcissism</w:t>
      </w:r>
      <w:r w:rsidR="00BE1491">
        <w:t xml:space="preserve"> after</w:t>
      </w:r>
      <w:r>
        <w:t xml:space="preserve"> </w:t>
      </w:r>
      <w:r w:rsidR="00A34F07">
        <w:t>excluding</w:t>
      </w:r>
      <w:r>
        <w:t xml:space="preserve"> the Leadership/Authority items.</w:t>
      </w:r>
      <w:r w:rsidR="00A874DF">
        <w:t xml:space="preserve"> The results </w:t>
      </w:r>
      <w:r w:rsidR="009B0AAC">
        <w:t>indicated</w:t>
      </w:r>
      <w:r w:rsidR="00A874DF">
        <w:t xml:space="preserve"> that </w:t>
      </w:r>
      <w:r w:rsidR="00A874DF" w:rsidRPr="00D2563E">
        <w:t xml:space="preserve">employee narcissism </w:t>
      </w:r>
      <w:r w:rsidR="00A874DF">
        <w:t>remained</w:t>
      </w:r>
      <w:r w:rsidR="00A874DF" w:rsidRPr="00D2563E">
        <w:t xml:space="preserve"> positively related to promotability ratings provided by the supervisor, </w:t>
      </w:r>
      <w:r w:rsidR="00A874DF" w:rsidRPr="00D2563E">
        <w:rPr>
          <w:i/>
        </w:rPr>
        <w:t>B</w:t>
      </w:r>
      <w:r w:rsidR="00A874DF" w:rsidRPr="00D2563E">
        <w:t xml:space="preserve"> = 0.1</w:t>
      </w:r>
      <w:r w:rsidR="00A874DF">
        <w:t>5</w:t>
      </w:r>
      <w:r w:rsidR="00A874DF" w:rsidRPr="00D2563E">
        <w:t xml:space="preserve">, </w:t>
      </w:r>
      <w:r w:rsidR="00A874DF" w:rsidRPr="00D2563E">
        <w:rPr>
          <w:i/>
        </w:rPr>
        <w:t>t</w:t>
      </w:r>
      <w:r w:rsidR="00A874DF" w:rsidRPr="00D2563E">
        <w:t>(10</w:t>
      </w:r>
      <w:r w:rsidR="00A874DF">
        <w:t>9</w:t>
      </w:r>
      <w:r w:rsidR="00A874DF" w:rsidRPr="00D2563E">
        <w:t>.</w:t>
      </w:r>
      <w:r w:rsidR="00A874DF">
        <w:t>79</w:t>
      </w:r>
      <w:r w:rsidR="00A874DF" w:rsidRPr="00D2563E">
        <w:t>) = 3.1</w:t>
      </w:r>
      <w:r w:rsidR="00A874DF">
        <w:t>1</w:t>
      </w:r>
      <w:r w:rsidR="00A874DF" w:rsidRPr="00D2563E">
        <w:t xml:space="preserve">, </w:t>
      </w:r>
      <w:r w:rsidR="00A874DF" w:rsidRPr="00D2563E">
        <w:rPr>
          <w:i/>
        </w:rPr>
        <w:t>p</w:t>
      </w:r>
      <w:r w:rsidR="00A874DF" w:rsidRPr="00D2563E">
        <w:t xml:space="preserve"> = .002, </w:t>
      </w:r>
      <w:r w:rsidR="00A874DF" w:rsidRPr="00D2563E">
        <w:rPr>
          <w:i/>
        </w:rPr>
        <w:t>r</w:t>
      </w:r>
      <w:r w:rsidR="00A874DF" w:rsidRPr="00D2563E">
        <w:t xml:space="preserve"> = .2</w:t>
      </w:r>
      <w:r w:rsidR="00A874DF">
        <w:t>8</w:t>
      </w:r>
      <w:r w:rsidR="00A874DF" w:rsidRPr="00D2563E">
        <w:t>, 95%CI[.0</w:t>
      </w:r>
      <w:r w:rsidR="00A874DF">
        <w:t>53</w:t>
      </w:r>
      <w:r w:rsidR="00A874DF" w:rsidRPr="00D2563E">
        <w:t>, .</w:t>
      </w:r>
      <w:r w:rsidR="00A874DF">
        <w:t>244</w:t>
      </w:r>
      <w:r w:rsidR="00A874DF" w:rsidRPr="00D2563E">
        <w:t>]</w:t>
      </w:r>
      <w:r w:rsidR="00A874DF">
        <w:t>, with a</w:t>
      </w:r>
      <w:r w:rsidR="00D53EB2">
        <w:t xml:space="preserve"> similar</w:t>
      </w:r>
      <w:r w:rsidR="00A874DF">
        <w:t xml:space="preserve"> effect size</w:t>
      </w:r>
      <w:r w:rsidR="00473484">
        <w:t xml:space="preserve"> (Table 3)</w:t>
      </w:r>
      <w:r w:rsidR="00A874DF">
        <w:t>.</w:t>
      </w:r>
    </w:p>
    <w:p w14:paraId="0E757C4F" w14:textId="3FD8266F" w:rsidR="00420C84" w:rsidRPr="00D2563E" w:rsidRDefault="00420C84" w:rsidP="0085686D">
      <w:pPr>
        <w:widowControl w:val="0"/>
        <w:spacing w:line="480" w:lineRule="auto"/>
        <w:ind w:firstLine="720"/>
        <w:rPr>
          <w:bCs/>
        </w:rPr>
      </w:pPr>
      <w:r>
        <w:t xml:space="preserve">We also checked for the explanatory role of sense of power and self-promotion while using the narcissism scale without Leadership/Authority items as the predictor. The results similarly </w:t>
      </w:r>
      <w:r w:rsidR="009B0AAC">
        <w:t>indicated</w:t>
      </w:r>
      <w:r>
        <w:t xml:space="preserve"> that the indirect effect </w:t>
      </w:r>
      <w:r w:rsidR="00BE1491">
        <w:t>of</w:t>
      </w:r>
      <w:r>
        <w:t xml:space="preserve"> sense of power was significant, </w:t>
      </w:r>
      <w:r w:rsidRPr="00D2563E">
        <w:rPr>
          <w:bCs/>
          <w:i/>
        </w:rPr>
        <w:t>B</w:t>
      </w:r>
      <w:r w:rsidRPr="00D2563E">
        <w:rPr>
          <w:bCs/>
          <w:i/>
          <w:vertAlign w:val="subscript"/>
        </w:rPr>
        <w:t>indirect</w:t>
      </w:r>
      <w:r w:rsidRPr="00D2563E">
        <w:rPr>
          <w:bCs/>
        </w:rPr>
        <w:t xml:space="preserve"> = .0</w:t>
      </w:r>
      <w:r w:rsidR="005537D6">
        <w:rPr>
          <w:bCs/>
        </w:rPr>
        <w:t>6</w:t>
      </w:r>
      <w:r w:rsidRPr="00D2563E">
        <w:rPr>
          <w:bCs/>
        </w:rPr>
        <w:t xml:space="preserve">, </w:t>
      </w:r>
      <w:r>
        <w:rPr>
          <w:bCs/>
          <w:i/>
          <w:iCs/>
        </w:rPr>
        <w:t>t</w:t>
      </w:r>
      <w:r>
        <w:rPr>
          <w:bCs/>
        </w:rPr>
        <w:t>(122)</w:t>
      </w:r>
      <w:r w:rsidRPr="00D2563E">
        <w:rPr>
          <w:bCs/>
        </w:rPr>
        <w:t xml:space="preserve"> = 2.</w:t>
      </w:r>
      <w:r w:rsidR="005537D6">
        <w:rPr>
          <w:bCs/>
        </w:rPr>
        <w:t>06</w:t>
      </w:r>
      <w:r w:rsidRPr="00D2563E">
        <w:rPr>
          <w:bCs/>
        </w:rPr>
        <w:t xml:space="preserve">, </w:t>
      </w:r>
      <w:r w:rsidRPr="00D2563E">
        <w:rPr>
          <w:bCs/>
          <w:i/>
        </w:rPr>
        <w:t>p</w:t>
      </w:r>
      <w:r w:rsidRPr="00D2563E">
        <w:rPr>
          <w:bCs/>
        </w:rPr>
        <w:t xml:space="preserve"> = .0</w:t>
      </w:r>
      <w:r>
        <w:rPr>
          <w:bCs/>
        </w:rPr>
        <w:t>3</w:t>
      </w:r>
      <w:r w:rsidR="005537D6">
        <w:rPr>
          <w:bCs/>
        </w:rPr>
        <w:t>9</w:t>
      </w:r>
      <w:r w:rsidRPr="00D2563E">
        <w:rPr>
          <w:bCs/>
        </w:rPr>
        <w:t>, 95%CI [.0</w:t>
      </w:r>
      <w:r>
        <w:rPr>
          <w:bCs/>
        </w:rPr>
        <w:t>0</w:t>
      </w:r>
      <w:r w:rsidR="005537D6">
        <w:rPr>
          <w:bCs/>
        </w:rPr>
        <w:t>3</w:t>
      </w:r>
      <w:r w:rsidRPr="00D2563E">
        <w:rPr>
          <w:bCs/>
        </w:rPr>
        <w:t>, .</w:t>
      </w:r>
      <w:r w:rsidR="005537D6">
        <w:rPr>
          <w:bCs/>
        </w:rPr>
        <w:t>117</w:t>
      </w:r>
      <w:r w:rsidRPr="00D2563E">
        <w:rPr>
          <w:bCs/>
        </w:rPr>
        <w:t>]</w:t>
      </w:r>
      <w:r>
        <w:rPr>
          <w:bCs/>
        </w:rPr>
        <w:t xml:space="preserve">, whereas the indirect effect </w:t>
      </w:r>
      <w:r w:rsidR="00BE1491">
        <w:rPr>
          <w:bCs/>
        </w:rPr>
        <w:t>of</w:t>
      </w:r>
      <w:r>
        <w:rPr>
          <w:bCs/>
        </w:rPr>
        <w:t xml:space="preserve"> self-promotion was </w:t>
      </w:r>
      <w:r>
        <w:rPr>
          <w:bCs/>
        </w:rPr>
        <w:lastRenderedPageBreak/>
        <w:t xml:space="preserve">not significant, </w:t>
      </w:r>
      <w:r w:rsidRPr="00D2563E">
        <w:rPr>
          <w:bCs/>
          <w:i/>
        </w:rPr>
        <w:t>B</w:t>
      </w:r>
      <w:r w:rsidRPr="00D2563E">
        <w:rPr>
          <w:bCs/>
          <w:i/>
          <w:vertAlign w:val="subscript"/>
        </w:rPr>
        <w:t>indirect</w:t>
      </w:r>
      <w:r w:rsidRPr="00D2563E">
        <w:rPr>
          <w:bCs/>
        </w:rPr>
        <w:t xml:space="preserve"> = .0</w:t>
      </w:r>
      <w:r>
        <w:rPr>
          <w:bCs/>
        </w:rPr>
        <w:t>2</w:t>
      </w:r>
      <w:r w:rsidRPr="00D2563E">
        <w:rPr>
          <w:bCs/>
        </w:rPr>
        <w:t xml:space="preserve">, </w:t>
      </w:r>
      <w:r>
        <w:rPr>
          <w:bCs/>
          <w:i/>
          <w:iCs/>
        </w:rPr>
        <w:t>t</w:t>
      </w:r>
      <w:r>
        <w:rPr>
          <w:bCs/>
        </w:rPr>
        <w:t>(122)</w:t>
      </w:r>
      <w:r w:rsidRPr="00D2563E">
        <w:rPr>
          <w:bCs/>
        </w:rPr>
        <w:t xml:space="preserve"> = 1.</w:t>
      </w:r>
      <w:r w:rsidR="005537D6">
        <w:rPr>
          <w:bCs/>
        </w:rPr>
        <w:t>53</w:t>
      </w:r>
      <w:r w:rsidRPr="00D2563E">
        <w:rPr>
          <w:bCs/>
        </w:rPr>
        <w:t xml:space="preserve">, </w:t>
      </w:r>
      <w:r w:rsidRPr="00D2563E">
        <w:rPr>
          <w:bCs/>
          <w:i/>
        </w:rPr>
        <w:t>p</w:t>
      </w:r>
      <w:r w:rsidRPr="00D2563E">
        <w:rPr>
          <w:bCs/>
        </w:rPr>
        <w:t xml:space="preserve"> = .</w:t>
      </w:r>
      <w:r w:rsidR="005537D6">
        <w:rPr>
          <w:bCs/>
        </w:rPr>
        <w:t>126</w:t>
      </w:r>
      <w:r w:rsidRPr="00D2563E">
        <w:rPr>
          <w:bCs/>
        </w:rPr>
        <w:t>, 95%CI [</w:t>
      </w:r>
      <w:r>
        <w:rPr>
          <w:bCs/>
        </w:rPr>
        <w:t>-</w:t>
      </w:r>
      <w:r w:rsidRPr="00D2563E">
        <w:rPr>
          <w:bCs/>
        </w:rPr>
        <w:t>.0</w:t>
      </w:r>
      <w:r>
        <w:rPr>
          <w:bCs/>
        </w:rPr>
        <w:t>0</w:t>
      </w:r>
      <w:r w:rsidR="005537D6">
        <w:rPr>
          <w:bCs/>
        </w:rPr>
        <w:t>6</w:t>
      </w:r>
      <w:r w:rsidRPr="00D2563E">
        <w:rPr>
          <w:bCs/>
        </w:rPr>
        <w:t>, .0</w:t>
      </w:r>
      <w:r>
        <w:rPr>
          <w:bCs/>
        </w:rPr>
        <w:t>4</w:t>
      </w:r>
      <w:r w:rsidR="005537D6">
        <w:rPr>
          <w:bCs/>
        </w:rPr>
        <w:t>8</w:t>
      </w:r>
      <w:r w:rsidRPr="00D2563E">
        <w:rPr>
          <w:bCs/>
        </w:rPr>
        <w:t>]</w:t>
      </w:r>
      <w:r>
        <w:rPr>
          <w:bCs/>
        </w:rPr>
        <w:t>.</w:t>
      </w:r>
    </w:p>
    <w:p w14:paraId="638AFF71" w14:textId="2795491B" w:rsidR="00C13FE3" w:rsidRPr="00D15D0E" w:rsidRDefault="00C13FE3" w:rsidP="004C28FB">
      <w:pPr>
        <w:spacing w:line="480" w:lineRule="auto"/>
        <w:jc w:val="center"/>
        <w:rPr>
          <w:b/>
          <w:bCs/>
        </w:rPr>
      </w:pPr>
      <w:r w:rsidRPr="00D2563E">
        <w:rPr>
          <w:b/>
          <w:bCs/>
        </w:rPr>
        <w:t>Study 3</w:t>
      </w:r>
    </w:p>
    <w:p w14:paraId="0924FD2B" w14:textId="62474D29" w:rsidR="00D374E6" w:rsidRPr="005160C6" w:rsidRDefault="00C13FE3">
      <w:pPr>
        <w:spacing w:line="480" w:lineRule="auto"/>
      </w:pPr>
      <w:r w:rsidRPr="00D8563B">
        <w:rPr>
          <w:b/>
        </w:rPr>
        <w:tab/>
      </w:r>
      <w:r w:rsidR="00231F3C" w:rsidRPr="005160C6">
        <w:rPr>
          <w:bCs/>
        </w:rPr>
        <w:t>E</w:t>
      </w:r>
      <w:r w:rsidRPr="005160C6">
        <w:rPr>
          <w:bCs/>
        </w:rPr>
        <w:t xml:space="preserve">mployees higher </w:t>
      </w:r>
      <w:r w:rsidR="00231F3C" w:rsidRPr="005160C6">
        <w:rPr>
          <w:bCs/>
        </w:rPr>
        <w:t xml:space="preserve">on </w:t>
      </w:r>
      <w:r w:rsidRPr="005160C6">
        <w:rPr>
          <w:bCs/>
        </w:rPr>
        <w:t xml:space="preserve">narcissism were perceived by their supervisors as more promotable, </w:t>
      </w:r>
      <w:r w:rsidR="00231F3C" w:rsidRPr="005160C6">
        <w:rPr>
          <w:bCs/>
        </w:rPr>
        <w:t>due to</w:t>
      </w:r>
      <w:r w:rsidRPr="005160C6">
        <w:rPr>
          <w:bCs/>
        </w:rPr>
        <w:t xml:space="preserve"> employee</w:t>
      </w:r>
      <w:r w:rsidR="00231F3C" w:rsidRPr="005160C6">
        <w:rPr>
          <w:bCs/>
        </w:rPr>
        <w:t>s</w:t>
      </w:r>
      <w:r w:rsidRPr="005160C6">
        <w:rPr>
          <w:bCs/>
        </w:rPr>
        <w:t>’ sense of power in the work team</w:t>
      </w:r>
      <w:r w:rsidR="00C96176">
        <w:rPr>
          <w:bCs/>
        </w:rPr>
        <w:t xml:space="preserve"> rather than their self-promotion impression management tactics towards the supervisor</w:t>
      </w:r>
      <w:r w:rsidRPr="005160C6">
        <w:rPr>
          <w:bCs/>
        </w:rPr>
        <w:t xml:space="preserve">. </w:t>
      </w:r>
      <w:r w:rsidR="00B053FF">
        <w:rPr>
          <w:bCs/>
        </w:rPr>
        <w:t>Given that</w:t>
      </w:r>
      <w:r w:rsidR="00C96176">
        <w:rPr>
          <w:bCs/>
        </w:rPr>
        <w:t xml:space="preserve"> </w:t>
      </w:r>
      <w:r w:rsidR="00B053FF">
        <w:rPr>
          <w:bCs/>
        </w:rPr>
        <w:t>individuals</w:t>
      </w:r>
      <w:r w:rsidR="00C96176">
        <w:t xml:space="preserve"> who perceive themselves to have high power show</w:t>
      </w:r>
      <w:r w:rsidR="00C96176" w:rsidRPr="00D374E6">
        <w:t xml:space="preserve"> similar behavior to </w:t>
      </w:r>
      <w:r w:rsidR="00B053FF">
        <w:t>those</w:t>
      </w:r>
      <w:r w:rsidR="00C96176" w:rsidRPr="00D374E6">
        <w:t xml:space="preserve"> with structurally high power</w:t>
      </w:r>
      <w:r w:rsidR="00B053FF">
        <w:t xml:space="preserve"> (e.g., </w:t>
      </w:r>
      <w:r w:rsidR="003D46FD">
        <w:t>assertiveness</w:t>
      </w:r>
      <w:r w:rsidR="00B053FF">
        <w:t xml:space="preserve">; </w:t>
      </w:r>
      <w:r w:rsidR="00C96176" w:rsidRPr="00D374E6">
        <w:t>Anderson &amp; Galinsky, 2006; Galinsky et al., 2015)</w:t>
      </w:r>
      <w:r w:rsidR="00C96176">
        <w:t>,</w:t>
      </w:r>
      <w:r w:rsidR="00C96176" w:rsidRPr="0041230A">
        <w:rPr>
          <w:bCs/>
        </w:rPr>
        <w:t xml:space="preserve"> </w:t>
      </w:r>
      <w:r w:rsidR="00B053FF">
        <w:rPr>
          <w:bCs/>
        </w:rPr>
        <w:t>the S</w:t>
      </w:r>
      <w:r w:rsidR="00C96176" w:rsidRPr="00D8563B">
        <w:rPr>
          <w:bCs/>
        </w:rPr>
        <w:t xml:space="preserve">tudy 2 </w:t>
      </w:r>
      <w:r w:rsidR="00B053FF">
        <w:rPr>
          <w:bCs/>
        </w:rPr>
        <w:t>findings reinforce</w:t>
      </w:r>
      <w:r w:rsidR="00C96176" w:rsidRPr="00D8563B">
        <w:rPr>
          <w:bCs/>
        </w:rPr>
        <w:t xml:space="preserve"> the display of power perspective</w:t>
      </w:r>
      <w:r w:rsidR="00C96176" w:rsidRPr="0041230A">
        <w:rPr>
          <w:bCs/>
        </w:rPr>
        <w:t>.</w:t>
      </w:r>
      <w:r w:rsidR="00C96176">
        <w:rPr>
          <w:bCs/>
        </w:rPr>
        <w:t xml:space="preserve"> </w:t>
      </w:r>
      <w:r w:rsidR="00231F3C" w:rsidRPr="005160C6">
        <w:rPr>
          <w:bCs/>
        </w:rPr>
        <w:t xml:space="preserve">In Study 3, </w:t>
      </w:r>
      <w:r w:rsidR="00231F3C" w:rsidRPr="00C96176">
        <w:t>we manipulated the putative mediator. We hypothesized that</w:t>
      </w:r>
      <w:r w:rsidRPr="00C96176">
        <w:t xml:space="preserve"> exhibiting higher </w:t>
      </w:r>
      <w:r w:rsidR="00231F3C" w:rsidRPr="00C96176">
        <w:t>(vs.</w:t>
      </w:r>
      <w:r w:rsidRPr="00C96176">
        <w:t xml:space="preserve"> lower power</w:t>
      </w:r>
      <w:r w:rsidR="00231F3C" w:rsidRPr="00C96176">
        <w:t>) would</w:t>
      </w:r>
      <w:r w:rsidRPr="00C96176">
        <w:t xml:space="preserve"> </w:t>
      </w:r>
      <w:r w:rsidR="00A51C3C" w:rsidRPr="00C96176">
        <w:t>help</w:t>
      </w:r>
      <w:r w:rsidRPr="00C96176">
        <w:t xml:space="preserve"> high narcissistic employees to be perceived as more promotable by their supervisors.</w:t>
      </w:r>
      <w:r w:rsidRPr="005160C6">
        <w:t xml:space="preserve"> </w:t>
      </w:r>
    </w:p>
    <w:p w14:paraId="1E58FFD0" w14:textId="0127959C" w:rsidR="001747FE" w:rsidRPr="005160C6" w:rsidRDefault="001747FE" w:rsidP="004C28FB">
      <w:pPr>
        <w:spacing w:line="480" w:lineRule="auto"/>
        <w:rPr>
          <w:b/>
          <w:bCs/>
        </w:rPr>
      </w:pPr>
      <w:r w:rsidRPr="005160C6">
        <w:rPr>
          <w:b/>
          <w:bCs/>
        </w:rPr>
        <w:t>Method</w:t>
      </w:r>
    </w:p>
    <w:p w14:paraId="66A34328" w14:textId="0BF662FC" w:rsidR="001747FE" w:rsidRPr="0018716F" w:rsidRDefault="001747FE" w:rsidP="004C28FB">
      <w:pPr>
        <w:spacing w:line="480" w:lineRule="auto"/>
        <w:rPr>
          <w:b/>
          <w:bCs/>
          <w:i/>
          <w:iCs/>
        </w:rPr>
      </w:pPr>
      <w:r w:rsidRPr="0018716F">
        <w:rPr>
          <w:b/>
          <w:bCs/>
          <w:i/>
          <w:iCs/>
        </w:rPr>
        <w:t>Participants and Design</w:t>
      </w:r>
    </w:p>
    <w:p w14:paraId="4C9CF48B" w14:textId="764B3C6D" w:rsidR="001747FE" w:rsidRPr="005160C6" w:rsidRDefault="00395129" w:rsidP="004C28FB">
      <w:pPr>
        <w:spacing w:line="480" w:lineRule="auto"/>
        <w:rPr>
          <w:bCs/>
        </w:rPr>
      </w:pPr>
      <w:r w:rsidRPr="00D15D0E">
        <w:tab/>
        <w:t xml:space="preserve">The sample </w:t>
      </w:r>
      <w:r w:rsidR="00B053FF">
        <w:t>comprised</w:t>
      </w:r>
      <w:r w:rsidR="00B053FF" w:rsidRPr="00D15D0E">
        <w:t xml:space="preserve"> </w:t>
      </w:r>
      <w:r w:rsidR="00107D2B" w:rsidRPr="00D8563B">
        <w:t>181</w:t>
      </w:r>
      <w:r w:rsidRPr="00D8563B">
        <w:t xml:space="preserve"> </w:t>
      </w:r>
      <w:r w:rsidR="00231F3C" w:rsidRPr="0041230A">
        <w:t xml:space="preserve">British </w:t>
      </w:r>
      <w:r w:rsidRPr="0041230A">
        <w:t>participants</w:t>
      </w:r>
      <w:r w:rsidRPr="005160C6">
        <w:t xml:space="preserve"> recruited via Prolific. </w:t>
      </w:r>
      <w:r w:rsidR="00231F3C" w:rsidRPr="005160C6">
        <w:t>We recruited them under the proviso that they all held supervisory positions, in an effort to</w:t>
      </w:r>
      <w:r w:rsidRPr="005160C6">
        <w:t xml:space="preserve"> enhance </w:t>
      </w:r>
      <w:r w:rsidR="007A0723" w:rsidRPr="005160C6">
        <w:t xml:space="preserve">the </w:t>
      </w:r>
      <w:r w:rsidRPr="005160C6">
        <w:t>ecological validity</w:t>
      </w:r>
      <w:r w:rsidR="00231F3C" w:rsidRPr="005160C6">
        <w:t xml:space="preserve"> of the study</w:t>
      </w:r>
      <w:r w:rsidRPr="005160C6">
        <w:t xml:space="preserve">. </w:t>
      </w:r>
      <w:r w:rsidR="00231F3C" w:rsidRPr="005160C6">
        <w:t>P</w:t>
      </w:r>
      <w:r w:rsidRPr="005160C6">
        <w:t>articipants (</w:t>
      </w:r>
      <w:r w:rsidRPr="005160C6">
        <w:rPr>
          <w:bCs/>
          <w:i/>
        </w:rPr>
        <w:t>M</w:t>
      </w:r>
      <w:r w:rsidRPr="005160C6">
        <w:rPr>
          <w:bCs/>
          <w:i/>
          <w:vertAlign w:val="subscript"/>
        </w:rPr>
        <w:t>age</w:t>
      </w:r>
      <w:r w:rsidRPr="005160C6">
        <w:rPr>
          <w:bCs/>
          <w:i/>
        </w:rPr>
        <w:t xml:space="preserve"> </w:t>
      </w:r>
      <w:r w:rsidRPr="005160C6">
        <w:rPr>
          <w:bCs/>
        </w:rPr>
        <w:t xml:space="preserve">= 38.07 years, </w:t>
      </w:r>
      <w:r w:rsidRPr="005160C6">
        <w:rPr>
          <w:bCs/>
          <w:i/>
        </w:rPr>
        <w:t xml:space="preserve">SD </w:t>
      </w:r>
      <w:r w:rsidRPr="005160C6">
        <w:rPr>
          <w:bCs/>
        </w:rPr>
        <w:t>= 11.20; 54.7% women) supervised on average 10.39 employees (</w:t>
      </w:r>
      <w:r w:rsidRPr="005160C6">
        <w:rPr>
          <w:bCs/>
          <w:i/>
        </w:rPr>
        <w:t xml:space="preserve">SD </w:t>
      </w:r>
      <w:r w:rsidRPr="005160C6">
        <w:rPr>
          <w:bCs/>
        </w:rPr>
        <w:t>= 32.68)</w:t>
      </w:r>
      <w:r w:rsidR="00231F3C" w:rsidRPr="005160C6">
        <w:rPr>
          <w:bCs/>
        </w:rPr>
        <w:t>. Also</w:t>
      </w:r>
      <w:r w:rsidR="004F647B" w:rsidRPr="005160C6">
        <w:rPr>
          <w:bCs/>
        </w:rPr>
        <w:t>, 91.7%</w:t>
      </w:r>
      <w:r w:rsidR="00231F3C" w:rsidRPr="005160C6">
        <w:rPr>
          <w:bCs/>
        </w:rPr>
        <w:t xml:space="preserve"> of them</w:t>
      </w:r>
      <w:r w:rsidR="004F647B" w:rsidRPr="005160C6">
        <w:rPr>
          <w:bCs/>
        </w:rPr>
        <w:t xml:space="preserve"> had a higher-level education</w:t>
      </w:r>
      <w:r w:rsidR="00231F3C" w:rsidRPr="005160C6">
        <w:rPr>
          <w:bCs/>
        </w:rPr>
        <w:t>,</w:t>
      </w:r>
      <w:r w:rsidR="004F647B" w:rsidRPr="005160C6">
        <w:rPr>
          <w:bCs/>
        </w:rPr>
        <w:t xml:space="preserve"> and 90.6% were Caucasian.</w:t>
      </w:r>
      <w:r w:rsidR="00AB440D" w:rsidRPr="005160C6">
        <w:rPr>
          <w:bCs/>
        </w:rPr>
        <w:t xml:space="preserve"> </w:t>
      </w:r>
      <w:r w:rsidR="00231F3C" w:rsidRPr="005160C6">
        <w:rPr>
          <w:bCs/>
        </w:rPr>
        <w:t xml:space="preserve">We randomly assigned them </w:t>
      </w:r>
      <w:r w:rsidR="00AB440D" w:rsidRPr="005160C6">
        <w:rPr>
          <w:bCs/>
        </w:rPr>
        <w:t xml:space="preserve">either </w:t>
      </w:r>
      <w:r w:rsidR="00231F3C" w:rsidRPr="005160C6">
        <w:rPr>
          <w:bCs/>
        </w:rPr>
        <w:t xml:space="preserve">to </w:t>
      </w:r>
      <w:r w:rsidR="00AB440D" w:rsidRPr="005160C6">
        <w:rPr>
          <w:bCs/>
        </w:rPr>
        <w:t xml:space="preserve">a high </w:t>
      </w:r>
      <w:r w:rsidR="007A0723" w:rsidRPr="005160C6">
        <w:rPr>
          <w:bCs/>
        </w:rPr>
        <w:t xml:space="preserve">or </w:t>
      </w:r>
      <w:r w:rsidR="00AB440D" w:rsidRPr="005160C6">
        <w:rPr>
          <w:bCs/>
        </w:rPr>
        <w:t>low employee power condition.</w:t>
      </w:r>
      <w:r w:rsidR="00155F0B" w:rsidRPr="005160C6">
        <w:rPr>
          <w:bCs/>
        </w:rPr>
        <w:t xml:space="preserve"> We determined the sample size via a G*Power analysis (Faul </w:t>
      </w:r>
      <w:r w:rsidR="00155F0B" w:rsidRPr="005160C6">
        <w:t>et al.</w:t>
      </w:r>
      <w:r w:rsidR="00155F0B" w:rsidRPr="005160C6">
        <w:rPr>
          <w:bCs/>
        </w:rPr>
        <w:t xml:space="preserve">, 2007), using the following parameters: power = .80, </w:t>
      </w:r>
      <w:r w:rsidR="00155F0B" w:rsidRPr="005160C6">
        <w:rPr>
          <w:iCs/>
        </w:rPr>
        <w:t>α = .05. The expected effect size was set to medium (</w:t>
      </w:r>
      <w:r w:rsidR="00155F0B" w:rsidRPr="005160C6">
        <w:rPr>
          <w:i/>
          <w:iCs/>
        </w:rPr>
        <w:t>f</w:t>
      </w:r>
      <w:r w:rsidR="00155F0B" w:rsidRPr="005160C6">
        <w:rPr>
          <w:i/>
          <w:iCs/>
          <w:vertAlign w:val="superscript"/>
        </w:rPr>
        <w:t xml:space="preserve">2 </w:t>
      </w:r>
      <w:r w:rsidR="00155F0B" w:rsidRPr="005160C6">
        <w:rPr>
          <w:iCs/>
        </w:rPr>
        <w:t>= .15), which required a minimum sample of 128 participants.</w:t>
      </w:r>
    </w:p>
    <w:p w14:paraId="35B2F23D" w14:textId="237D8239" w:rsidR="006751F8" w:rsidRPr="005160C6" w:rsidRDefault="006751F8" w:rsidP="004C28FB">
      <w:pPr>
        <w:spacing w:line="480" w:lineRule="auto"/>
        <w:rPr>
          <w:b/>
          <w:i/>
          <w:iCs/>
        </w:rPr>
      </w:pPr>
      <w:r w:rsidRPr="005160C6">
        <w:rPr>
          <w:b/>
          <w:i/>
          <w:iCs/>
        </w:rPr>
        <w:t>Pilot Study</w:t>
      </w:r>
    </w:p>
    <w:p w14:paraId="2D03CC94" w14:textId="100D0689" w:rsidR="006751F8" w:rsidRPr="00D8563B" w:rsidRDefault="006751F8">
      <w:pPr>
        <w:spacing w:line="480" w:lineRule="auto"/>
        <w:rPr>
          <w:bCs/>
        </w:rPr>
      </w:pPr>
      <w:r w:rsidRPr="005160C6">
        <w:rPr>
          <w:b/>
        </w:rPr>
        <w:tab/>
      </w:r>
      <w:r w:rsidRPr="005160C6">
        <w:rPr>
          <w:bCs/>
        </w:rPr>
        <w:t>We conducted a pilot study to validate our manipulation</w:t>
      </w:r>
      <w:r w:rsidR="005160C6">
        <w:rPr>
          <w:bCs/>
        </w:rPr>
        <w:t xml:space="preserve"> of narcissism and sense of power (see below under </w:t>
      </w:r>
      <w:r w:rsidR="003815FF">
        <w:rPr>
          <w:bCs/>
        </w:rPr>
        <w:t>Procedure and Materials for more details)</w:t>
      </w:r>
      <w:r w:rsidRPr="005160C6">
        <w:rPr>
          <w:bCs/>
        </w:rPr>
        <w:t xml:space="preserve">. In particular, we tested </w:t>
      </w:r>
      <w:r w:rsidRPr="005160C6">
        <w:rPr>
          <w:iCs/>
        </w:rPr>
        <w:t>71 British Prolific workers (</w:t>
      </w:r>
      <w:r w:rsidRPr="005160C6">
        <w:rPr>
          <w:i/>
          <w:iCs/>
        </w:rPr>
        <w:t>M</w:t>
      </w:r>
      <w:r w:rsidRPr="005160C6">
        <w:rPr>
          <w:iCs/>
          <w:vertAlign w:val="subscript"/>
        </w:rPr>
        <w:t>age</w:t>
      </w:r>
      <w:r w:rsidRPr="005160C6">
        <w:rPr>
          <w:iCs/>
        </w:rPr>
        <w:t xml:space="preserve"> = 37.91, </w:t>
      </w:r>
      <w:r w:rsidRPr="005160C6">
        <w:rPr>
          <w:i/>
          <w:iCs/>
        </w:rPr>
        <w:t>SD</w:t>
      </w:r>
      <w:r w:rsidRPr="005160C6">
        <w:rPr>
          <w:iCs/>
        </w:rPr>
        <w:t xml:space="preserve"> = 13.25; 67.6% women; 81.7% completed higher education).</w:t>
      </w:r>
      <w:r w:rsidRPr="003815FF">
        <w:rPr>
          <w:iCs/>
        </w:rPr>
        <w:t xml:space="preserve"> </w:t>
      </w:r>
      <w:r w:rsidRPr="00D15D0E">
        <w:rPr>
          <w:iCs/>
        </w:rPr>
        <w:t xml:space="preserve">We included the same manipulation check items as </w:t>
      </w:r>
      <w:r w:rsidR="00B053FF">
        <w:rPr>
          <w:iCs/>
        </w:rPr>
        <w:t>in</w:t>
      </w:r>
      <w:r w:rsidR="00B053FF" w:rsidRPr="00D15D0E">
        <w:rPr>
          <w:iCs/>
        </w:rPr>
        <w:t xml:space="preserve"> </w:t>
      </w:r>
      <w:r w:rsidRPr="00D15D0E">
        <w:rPr>
          <w:iCs/>
        </w:rPr>
        <w:t>the main study</w:t>
      </w:r>
      <w:r w:rsidR="003815FF">
        <w:rPr>
          <w:iCs/>
        </w:rPr>
        <w:t xml:space="preserve"> </w:t>
      </w:r>
      <w:r w:rsidR="003815FF">
        <w:rPr>
          <w:bCs/>
        </w:rPr>
        <w:t xml:space="preserve">(see below </w:t>
      </w:r>
      <w:r w:rsidR="003815FF">
        <w:rPr>
          <w:bCs/>
        </w:rPr>
        <w:lastRenderedPageBreak/>
        <w:t>under Procedure and Materials)</w:t>
      </w:r>
      <w:r w:rsidRPr="00D15D0E">
        <w:rPr>
          <w:iCs/>
        </w:rPr>
        <w:t xml:space="preserve">. Results of a 2 (employee narcissism: high vs. low) by 2 (employee </w:t>
      </w:r>
      <w:r w:rsidR="00391742">
        <w:rPr>
          <w:iCs/>
        </w:rPr>
        <w:t>sense</w:t>
      </w:r>
      <w:r w:rsidR="00391742" w:rsidRPr="00D15D0E">
        <w:rPr>
          <w:iCs/>
        </w:rPr>
        <w:t xml:space="preserve"> </w:t>
      </w:r>
      <w:r w:rsidRPr="00D15D0E">
        <w:rPr>
          <w:iCs/>
        </w:rPr>
        <w:t>of power: high vs. low) Analysis of Variance (ANOVA) revealed that the high narcissistic employee was perce</w:t>
      </w:r>
      <w:r w:rsidRPr="0041230A">
        <w:rPr>
          <w:iCs/>
        </w:rPr>
        <w:t>ived as more narcissistic (</w:t>
      </w:r>
      <w:r w:rsidRPr="0041230A">
        <w:rPr>
          <w:i/>
          <w:iCs/>
        </w:rPr>
        <w:t>M</w:t>
      </w:r>
      <w:r w:rsidRPr="00AD6A74">
        <w:rPr>
          <w:iCs/>
        </w:rPr>
        <w:t xml:space="preserve"> = 5.69, </w:t>
      </w:r>
      <w:r w:rsidRPr="00AD6A74">
        <w:rPr>
          <w:i/>
          <w:iCs/>
        </w:rPr>
        <w:t>SD</w:t>
      </w:r>
      <w:r w:rsidRPr="00AD6A74">
        <w:rPr>
          <w:iCs/>
        </w:rPr>
        <w:t xml:space="preserve"> = 1.41) than the low narcissistic employee (</w:t>
      </w:r>
      <w:r w:rsidRPr="00180E78">
        <w:rPr>
          <w:i/>
          <w:iCs/>
        </w:rPr>
        <w:t>M</w:t>
      </w:r>
      <w:r w:rsidRPr="00076E4A">
        <w:rPr>
          <w:iCs/>
        </w:rPr>
        <w:t xml:space="preserve"> = </w:t>
      </w:r>
      <w:r w:rsidRPr="007E74C2">
        <w:rPr>
          <w:iCs/>
        </w:rPr>
        <w:t xml:space="preserve">1.49, </w:t>
      </w:r>
      <w:r w:rsidRPr="007E74C2">
        <w:rPr>
          <w:i/>
          <w:iCs/>
        </w:rPr>
        <w:t>SD</w:t>
      </w:r>
      <w:r w:rsidRPr="007E74C2">
        <w:rPr>
          <w:iCs/>
        </w:rPr>
        <w:t xml:space="preserve"> = 1.17), </w:t>
      </w:r>
      <w:r w:rsidRPr="007E74C2">
        <w:rPr>
          <w:i/>
        </w:rPr>
        <w:t>F</w:t>
      </w:r>
      <w:r w:rsidRPr="007E74C2">
        <w:rPr>
          <w:iCs/>
        </w:rPr>
        <w:t xml:space="preserve">(1, 67) = 216.32, </w:t>
      </w:r>
      <w:r w:rsidRPr="008E3958">
        <w:rPr>
          <w:i/>
        </w:rPr>
        <w:t>p</w:t>
      </w:r>
      <w:r w:rsidRPr="008E3958">
        <w:rPr>
          <w:iCs/>
        </w:rPr>
        <w:t xml:space="preserve"> &lt; .001, </w:t>
      </w:r>
      <w:r w:rsidRPr="00D15D0E">
        <w:rPr>
          <w:iCs/>
        </w:rPr>
        <w:sym w:font="Symbol" w:char="F068"/>
      </w:r>
      <w:r w:rsidRPr="00D15D0E">
        <w:rPr>
          <w:iCs/>
          <w:vertAlign w:val="superscript"/>
        </w:rPr>
        <w:t>2</w:t>
      </w:r>
      <w:r w:rsidRPr="00D15D0E">
        <w:rPr>
          <w:iCs/>
          <w:vertAlign w:val="subscript"/>
        </w:rPr>
        <w:t>p</w:t>
      </w:r>
      <w:r w:rsidRPr="00D8563B">
        <w:rPr>
          <w:iCs/>
        </w:rPr>
        <w:t xml:space="preserve"> = .76. Additionally, the high power employee was perceived as more narcissistic </w:t>
      </w:r>
      <w:r w:rsidRPr="0041230A">
        <w:rPr>
          <w:iCs/>
        </w:rPr>
        <w:t>(</w:t>
      </w:r>
      <w:r w:rsidRPr="0041230A">
        <w:rPr>
          <w:i/>
          <w:iCs/>
        </w:rPr>
        <w:t>M</w:t>
      </w:r>
      <w:r w:rsidRPr="0041230A">
        <w:rPr>
          <w:iCs/>
        </w:rPr>
        <w:t xml:space="preserve"> = </w:t>
      </w:r>
      <w:r w:rsidRPr="00AD6A74">
        <w:rPr>
          <w:iCs/>
        </w:rPr>
        <w:t xml:space="preserve">4.31, </w:t>
      </w:r>
      <w:r w:rsidRPr="00AD6A74">
        <w:rPr>
          <w:i/>
          <w:iCs/>
        </w:rPr>
        <w:t>SD</w:t>
      </w:r>
      <w:r w:rsidRPr="00AD6A74">
        <w:rPr>
          <w:iCs/>
        </w:rPr>
        <w:t xml:space="preserve"> = 2.56) than the low power employee (</w:t>
      </w:r>
      <w:r w:rsidRPr="00AD6A74">
        <w:rPr>
          <w:i/>
          <w:iCs/>
        </w:rPr>
        <w:t>M</w:t>
      </w:r>
      <w:r w:rsidRPr="00180E78">
        <w:rPr>
          <w:iCs/>
        </w:rPr>
        <w:t xml:space="preserve"> = </w:t>
      </w:r>
      <w:r w:rsidRPr="00076E4A">
        <w:rPr>
          <w:iCs/>
        </w:rPr>
        <w:t>2.94</w:t>
      </w:r>
      <w:r w:rsidRPr="007E74C2">
        <w:rPr>
          <w:iCs/>
        </w:rPr>
        <w:t xml:space="preserve">, </w:t>
      </w:r>
      <w:r w:rsidRPr="007E74C2">
        <w:rPr>
          <w:i/>
          <w:iCs/>
        </w:rPr>
        <w:t>SD</w:t>
      </w:r>
      <w:r w:rsidRPr="007E74C2">
        <w:rPr>
          <w:iCs/>
        </w:rPr>
        <w:t xml:space="preserve"> = 2.23), </w:t>
      </w:r>
      <w:r w:rsidRPr="007E74C2">
        <w:rPr>
          <w:i/>
        </w:rPr>
        <w:t>F</w:t>
      </w:r>
      <w:r w:rsidRPr="007E74C2">
        <w:rPr>
          <w:iCs/>
        </w:rPr>
        <w:t xml:space="preserve">(1, 67) = 14.52, </w:t>
      </w:r>
      <w:r w:rsidRPr="007E74C2">
        <w:rPr>
          <w:i/>
        </w:rPr>
        <w:t>p</w:t>
      </w:r>
      <w:r w:rsidRPr="007E74C2">
        <w:rPr>
          <w:iCs/>
        </w:rPr>
        <w:t xml:space="preserve"> &lt; .001, </w:t>
      </w:r>
      <w:r w:rsidRPr="00D15D0E">
        <w:rPr>
          <w:iCs/>
        </w:rPr>
        <w:sym w:font="Symbol" w:char="F068"/>
      </w:r>
      <w:r w:rsidRPr="00D15D0E">
        <w:rPr>
          <w:iCs/>
          <w:vertAlign w:val="superscript"/>
        </w:rPr>
        <w:t>2</w:t>
      </w:r>
      <w:r w:rsidRPr="00D15D0E">
        <w:rPr>
          <w:iCs/>
          <w:vertAlign w:val="subscript"/>
        </w:rPr>
        <w:t>p</w:t>
      </w:r>
      <w:r w:rsidRPr="00D8563B">
        <w:rPr>
          <w:iCs/>
        </w:rPr>
        <w:t xml:space="preserve"> = .18, although this effect was much weaker. For the perception of the employee’s power</w:t>
      </w:r>
      <w:r w:rsidRPr="00D15D0E">
        <w:rPr>
          <w:iCs/>
        </w:rPr>
        <w:t xml:space="preserve">, </w:t>
      </w:r>
      <w:r w:rsidR="00391742">
        <w:rPr>
          <w:iCs/>
        </w:rPr>
        <w:t xml:space="preserve">we obtained </w:t>
      </w:r>
      <w:r w:rsidRPr="00D15D0E">
        <w:rPr>
          <w:iCs/>
        </w:rPr>
        <w:t>an interaction</w:t>
      </w:r>
      <w:r w:rsidR="00391742">
        <w:rPr>
          <w:iCs/>
        </w:rPr>
        <w:t xml:space="preserve"> effect</w:t>
      </w:r>
      <w:r w:rsidRPr="00D15D0E">
        <w:rPr>
          <w:iCs/>
        </w:rPr>
        <w:t xml:space="preserve">, </w:t>
      </w:r>
      <w:r w:rsidRPr="00D15D0E">
        <w:rPr>
          <w:i/>
        </w:rPr>
        <w:t>F</w:t>
      </w:r>
      <w:r w:rsidRPr="00D8563B">
        <w:rPr>
          <w:iCs/>
        </w:rPr>
        <w:t xml:space="preserve">(1, 67) = </w:t>
      </w:r>
      <w:r w:rsidR="00B41EAD">
        <w:rPr>
          <w:iCs/>
        </w:rPr>
        <w:t>7.25</w:t>
      </w:r>
      <w:r w:rsidRPr="00D8563B">
        <w:rPr>
          <w:iCs/>
        </w:rPr>
        <w:t xml:space="preserve">, </w:t>
      </w:r>
      <w:r w:rsidRPr="00D8563B">
        <w:rPr>
          <w:i/>
        </w:rPr>
        <w:t>p</w:t>
      </w:r>
      <w:r w:rsidRPr="0041230A">
        <w:rPr>
          <w:iCs/>
        </w:rPr>
        <w:t xml:space="preserve"> = .00</w:t>
      </w:r>
      <w:r w:rsidR="00B41EAD">
        <w:rPr>
          <w:iCs/>
        </w:rPr>
        <w:t>9</w:t>
      </w:r>
      <w:r w:rsidRPr="0041230A">
        <w:rPr>
          <w:iCs/>
        </w:rPr>
        <w:t xml:space="preserve">, </w:t>
      </w:r>
      <w:r w:rsidRPr="00D15D0E">
        <w:rPr>
          <w:iCs/>
        </w:rPr>
        <w:sym w:font="Symbol" w:char="F068"/>
      </w:r>
      <w:r w:rsidRPr="00D15D0E">
        <w:rPr>
          <w:iCs/>
          <w:vertAlign w:val="superscript"/>
        </w:rPr>
        <w:t>2</w:t>
      </w:r>
      <w:r w:rsidRPr="00D15D0E">
        <w:rPr>
          <w:iCs/>
          <w:vertAlign w:val="subscript"/>
        </w:rPr>
        <w:t>p</w:t>
      </w:r>
      <w:r w:rsidRPr="00D8563B">
        <w:rPr>
          <w:iCs/>
        </w:rPr>
        <w:t xml:space="preserve"> = .1</w:t>
      </w:r>
      <w:r w:rsidR="00B41EAD">
        <w:rPr>
          <w:iCs/>
        </w:rPr>
        <w:t>0</w:t>
      </w:r>
      <w:r w:rsidRPr="00D8563B">
        <w:rPr>
          <w:iCs/>
        </w:rPr>
        <w:t xml:space="preserve">. Simple effects analyses indicated that the power manipulation was effective for the high narcissistic employee: Participants perceived him/her as </w:t>
      </w:r>
      <w:r w:rsidR="00391742">
        <w:rPr>
          <w:iCs/>
        </w:rPr>
        <w:t>having higher</w:t>
      </w:r>
      <w:r w:rsidRPr="00D8563B">
        <w:rPr>
          <w:iCs/>
        </w:rPr>
        <w:t xml:space="preserve"> power</w:t>
      </w:r>
      <w:r w:rsidR="00391742">
        <w:rPr>
          <w:iCs/>
        </w:rPr>
        <w:t xml:space="preserve"> in the team</w:t>
      </w:r>
      <w:r w:rsidRPr="00D8563B">
        <w:rPr>
          <w:iCs/>
        </w:rPr>
        <w:t xml:space="preserve"> </w:t>
      </w:r>
      <w:r w:rsidRPr="00D15D0E">
        <w:rPr>
          <w:iCs/>
        </w:rPr>
        <w:t>in the high power (</w:t>
      </w:r>
      <w:r w:rsidRPr="00D8563B">
        <w:rPr>
          <w:i/>
          <w:iCs/>
        </w:rPr>
        <w:t>M</w:t>
      </w:r>
      <w:r w:rsidRPr="00D8563B">
        <w:rPr>
          <w:iCs/>
        </w:rPr>
        <w:t xml:space="preserve"> = </w:t>
      </w:r>
      <w:r w:rsidRPr="0041230A">
        <w:rPr>
          <w:iCs/>
        </w:rPr>
        <w:t>4.</w:t>
      </w:r>
      <w:r w:rsidR="00B41EAD">
        <w:rPr>
          <w:iCs/>
        </w:rPr>
        <w:t>00</w:t>
      </w:r>
      <w:r w:rsidRPr="0041230A">
        <w:rPr>
          <w:iCs/>
        </w:rPr>
        <w:t xml:space="preserve">, </w:t>
      </w:r>
      <w:r w:rsidRPr="0041230A">
        <w:rPr>
          <w:i/>
          <w:iCs/>
        </w:rPr>
        <w:t>SD</w:t>
      </w:r>
      <w:r w:rsidRPr="00AD6A74">
        <w:rPr>
          <w:iCs/>
        </w:rPr>
        <w:t xml:space="preserve"> = </w:t>
      </w:r>
      <w:r w:rsidR="00B41EAD">
        <w:rPr>
          <w:iCs/>
        </w:rPr>
        <w:t>1.11</w:t>
      </w:r>
      <w:r w:rsidRPr="00AD6A74">
        <w:rPr>
          <w:iCs/>
        </w:rPr>
        <w:t>) rather the low power (</w:t>
      </w:r>
      <w:r w:rsidRPr="00AD6A74">
        <w:rPr>
          <w:i/>
          <w:iCs/>
        </w:rPr>
        <w:t>M</w:t>
      </w:r>
      <w:r w:rsidRPr="00AD6A74">
        <w:rPr>
          <w:iCs/>
        </w:rPr>
        <w:t xml:space="preserve"> = 2.</w:t>
      </w:r>
      <w:r w:rsidR="00B41EAD">
        <w:rPr>
          <w:iCs/>
        </w:rPr>
        <w:t>65</w:t>
      </w:r>
      <w:r w:rsidRPr="00AD6A74">
        <w:rPr>
          <w:iCs/>
        </w:rPr>
        <w:t xml:space="preserve">, </w:t>
      </w:r>
      <w:r w:rsidRPr="00180E78">
        <w:rPr>
          <w:i/>
          <w:iCs/>
        </w:rPr>
        <w:t>SD</w:t>
      </w:r>
      <w:r w:rsidRPr="00076E4A">
        <w:rPr>
          <w:iCs/>
        </w:rPr>
        <w:t xml:space="preserve"> = </w:t>
      </w:r>
      <w:r w:rsidR="00B41EAD">
        <w:rPr>
          <w:iCs/>
        </w:rPr>
        <w:t>0.86</w:t>
      </w:r>
      <w:r w:rsidRPr="00076E4A">
        <w:rPr>
          <w:iCs/>
        </w:rPr>
        <w:t xml:space="preserve">) condition, </w:t>
      </w:r>
      <w:r w:rsidRPr="00076E4A">
        <w:rPr>
          <w:i/>
        </w:rPr>
        <w:t>F</w:t>
      </w:r>
      <w:r w:rsidRPr="00076E4A">
        <w:rPr>
          <w:iCs/>
        </w:rPr>
        <w:t xml:space="preserve">(1, 67) = </w:t>
      </w:r>
      <w:r w:rsidR="00DA5275">
        <w:rPr>
          <w:iCs/>
        </w:rPr>
        <w:t>22.04</w:t>
      </w:r>
      <w:r w:rsidRPr="00076E4A">
        <w:rPr>
          <w:iCs/>
        </w:rPr>
        <w:t xml:space="preserve">, </w:t>
      </w:r>
      <w:r w:rsidRPr="00076E4A">
        <w:rPr>
          <w:i/>
        </w:rPr>
        <w:t>p</w:t>
      </w:r>
      <w:r w:rsidRPr="00076E4A">
        <w:rPr>
          <w:iCs/>
        </w:rPr>
        <w:t xml:space="preserve"> &lt; .001, </w:t>
      </w:r>
      <w:r w:rsidRPr="00D15D0E">
        <w:rPr>
          <w:iCs/>
        </w:rPr>
        <w:sym w:font="Symbol" w:char="F068"/>
      </w:r>
      <w:r w:rsidRPr="00D15D0E">
        <w:rPr>
          <w:iCs/>
          <w:vertAlign w:val="superscript"/>
        </w:rPr>
        <w:t>2</w:t>
      </w:r>
      <w:r w:rsidRPr="00D15D0E">
        <w:rPr>
          <w:iCs/>
          <w:vertAlign w:val="subscript"/>
        </w:rPr>
        <w:t>p</w:t>
      </w:r>
      <w:r w:rsidRPr="00D8563B">
        <w:rPr>
          <w:iCs/>
        </w:rPr>
        <w:t xml:space="preserve"> = .2</w:t>
      </w:r>
      <w:r w:rsidR="00DA5275">
        <w:rPr>
          <w:iCs/>
        </w:rPr>
        <w:t>5</w:t>
      </w:r>
      <w:r w:rsidRPr="00D8563B">
        <w:rPr>
          <w:iCs/>
        </w:rPr>
        <w:t xml:space="preserve">. </w:t>
      </w:r>
      <w:r w:rsidR="007F30C0">
        <w:rPr>
          <w:iCs/>
        </w:rPr>
        <w:t>However, t</w:t>
      </w:r>
      <w:r w:rsidRPr="00D8563B">
        <w:rPr>
          <w:iCs/>
        </w:rPr>
        <w:t xml:space="preserve">he power manipulation was ineffective for the low narcissistic employee: Participants perceived this person </w:t>
      </w:r>
      <w:r w:rsidR="006230E2">
        <w:rPr>
          <w:iCs/>
        </w:rPr>
        <w:t>to have</w:t>
      </w:r>
      <w:r w:rsidR="00391742">
        <w:rPr>
          <w:iCs/>
        </w:rPr>
        <w:t xml:space="preserve"> similar power in the team</w:t>
      </w:r>
      <w:r w:rsidRPr="00D8563B">
        <w:rPr>
          <w:iCs/>
        </w:rPr>
        <w:t xml:space="preserve"> </w:t>
      </w:r>
      <w:r w:rsidRPr="00D15D0E">
        <w:rPr>
          <w:iCs/>
        </w:rPr>
        <w:t>in the high power (</w:t>
      </w:r>
      <w:r w:rsidRPr="00D8563B">
        <w:rPr>
          <w:i/>
          <w:iCs/>
        </w:rPr>
        <w:t>M</w:t>
      </w:r>
      <w:r w:rsidRPr="00D8563B">
        <w:rPr>
          <w:iCs/>
        </w:rPr>
        <w:t xml:space="preserve"> = </w:t>
      </w:r>
      <w:r w:rsidR="007710BF">
        <w:rPr>
          <w:iCs/>
          <w:color w:val="000000" w:themeColor="text1"/>
        </w:rPr>
        <w:t>2.56</w:t>
      </w:r>
      <w:r w:rsidRPr="007710BF">
        <w:rPr>
          <w:iCs/>
          <w:color w:val="000000" w:themeColor="text1"/>
        </w:rPr>
        <w:t xml:space="preserve">, </w:t>
      </w:r>
      <w:r w:rsidRPr="007710BF">
        <w:rPr>
          <w:i/>
          <w:iCs/>
          <w:color w:val="000000" w:themeColor="text1"/>
        </w:rPr>
        <w:t>SD</w:t>
      </w:r>
      <w:r w:rsidRPr="007710BF">
        <w:rPr>
          <w:iCs/>
          <w:color w:val="000000" w:themeColor="text1"/>
        </w:rPr>
        <w:t xml:space="preserve"> = </w:t>
      </w:r>
      <w:r w:rsidR="007710BF">
        <w:rPr>
          <w:iCs/>
          <w:color w:val="000000" w:themeColor="text1"/>
        </w:rPr>
        <w:t>0.81</w:t>
      </w:r>
      <w:r w:rsidRPr="007710BF">
        <w:rPr>
          <w:iCs/>
          <w:color w:val="000000" w:themeColor="text1"/>
        </w:rPr>
        <w:t>) and low power (</w:t>
      </w:r>
      <w:r w:rsidRPr="007710BF">
        <w:rPr>
          <w:i/>
          <w:iCs/>
          <w:color w:val="000000" w:themeColor="text1"/>
        </w:rPr>
        <w:t>M</w:t>
      </w:r>
      <w:r w:rsidRPr="007710BF">
        <w:rPr>
          <w:iCs/>
          <w:color w:val="000000" w:themeColor="text1"/>
        </w:rPr>
        <w:t xml:space="preserve"> = </w:t>
      </w:r>
      <w:r w:rsidR="007710BF">
        <w:rPr>
          <w:iCs/>
          <w:color w:val="000000" w:themeColor="text1"/>
        </w:rPr>
        <w:t>2.32</w:t>
      </w:r>
      <w:r w:rsidRPr="007710BF">
        <w:rPr>
          <w:iCs/>
          <w:color w:val="000000" w:themeColor="text1"/>
        </w:rPr>
        <w:t xml:space="preserve">, </w:t>
      </w:r>
      <w:r w:rsidRPr="007710BF">
        <w:rPr>
          <w:i/>
          <w:iCs/>
          <w:color w:val="000000" w:themeColor="text1"/>
        </w:rPr>
        <w:t>SD</w:t>
      </w:r>
      <w:r w:rsidRPr="007710BF">
        <w:rPr>
          <w:iCs/>
          <w:color w:val="000000" w:themeColor="text1"/>
        </w:rPr>
        <w:t xml:space="preserve"> = </w:t>
      </w:r>
      <w:r w:rsidR="007710BF">
        <w:rPr>
          <w:iCs/>
          <w:color w:val="000000" w:themeColor="text1"/>
        </w:rPr>
        <w:t>0.58</w:t>
      </w:r>
      <w:r w:rsidRPr="007710BF">
        <w:rPr>
          <w:iCs/>
          <w:color w:val="000000" w:themeColor="text1"/>
        </w:rPr>
        <w:t>) conditions</w:t>
      </w:r>
      <w:r w:rsidRPr="00180E78">
        <w:rPr>
          <w:iCs/>
        </w:rPr>
        <w:t xml:space="preserve">, </w:t>
      </w:r>
      <w:r w:rsidRPr="00076E4A">
        <w:rPr>
          <w:i/>
        </w:rPr>
        <w:t>F</w:t>
      </w:r>
      <w:r w:rsidRPr="00076E4A">
        <w:rPr>
          <w:iCs/>
        </w:rPr>
        <w:t>(1, 67) = 0.</w:t>
      </w:r>
      <w:r w:rsidR="00900BA7">
        <w:rPr>
          <w:iCs/>
        </w:rPr>
        <w:t>71</w:t>
      </w:r>
      <w:r w:rsidRPr="00076E4A">
        <w:rPr>
          <w:iCs/>
        </w:rPr>
        <w:t xml:space="preserve">, </w:t>
      </w:r>
      <w:r w:rsidRPr="00076E4A">
        <w:rPr>
          <w:i/>
        </w:rPr>
        <w:t>p</w:t>
      </w:r>
      <w:r w:rsidRPr="00076E4A">
        <w:rPr>
          <w:iCs/>
        </w:rPr>
        <w:t xml:space="preserve"> = .</w:t>
      </w:r>
      <w:r w:rsidR="00900BA7">
        <w:rPr>
          <w:iCs/>
        </w:rPr>
        <w:t>403</w:t>
      </w:r>
      <w:r w:rsidRPr="00076E4A">
        <w:rPr>
          <w:iCs/>
        </w:rPr>
        <w:t xml:space="preserve">, </w:t>
      </w:r>
      <w:r w:rsidRPr="00D15D0E">
        <w:rPr>
          <w:iCs/>
        </w:rPr>
        <w:sym w:font="Symbol" w:char="F068"/>
      </w:r>
      <w:r w:rsidRPr="00D15D0E">
        <w:rPr>
          <w:iCs/>
          <w:vertAlign w:val="superscript"/>
        </w:rPr>
        <w:t>2</w:t>
      </w:r>
      <w:r w:rsidRPr="00D15D0E">
        <w:rPr>
          <w:iCs/>
          <w:vertAlign w:val="subscript"/>
        </w:rPr>
        <w:t>p</w:t>
      </w:r>
      <w:r w:rsidRPr="00D8563B">
        <w:rPr>
          <w:iCs/>
        </w:rPr>
        <w:t xml:space="preserve"> = .0</w:t>
      </w:r>
      <w:r w:rsidR="00900BA7">
        <w:rPr>
          <w:iCs/>
        </w:rPr>
        <w:t>1</w:t>
      </w:r>
      <w:r w:rsidRPr="00D8563B">
        <w:rPr>
          <w:iCs/>
        </w:rPr>
        <w:t xml:space="preserve">. </w:t>
      </w:r>
      <w:r w:rsidRPr="00D15D0E">
        <w:rPr>
          <w:iCs/>
        </w:rPr>
        <w:t xml:space="preserve">Given that our focus was specifically on high narcissistic employees and on finding out how </w:t>
      </w:r>
      <w:r w:rsidR="00391742">
        <w:rPr>
          <w:iCs/>
        </w:rPr>
        <w:t xml:space="preserve">their sense of </w:t>
      </w:r>
      <w:r w:rsidRPr="00D15D0E">
        <w:rPr>
          <w:iCs/>
        </w:rPr>
        <w:t xml:space="preserve">power influenced their perceived promotability, we limited the main study manipulation (high vs. low power) to </w:t>
      </w:r>
      <w:r w:rsidR="00BA160D">
        <w:rPr>
          <w:iCs/>
        </w:rPr>
        <w:t>the</w:t>
      </w:r>
      <w:r w:rsidR="00BA160D" w:rsidRPr="00D15D0E">
        <w:rPr>
          <w:iCs/>
        </w:rPr>
        <w:t xml:space="preserve"> </w:t>
      </w:r>
      <w:r w:rsidRPr="00D15D0E">
        <w:rPr>
          <w:iCs/>
        </w:rPr>
        <w:t>narcissistic employee.</w:t>
      </w:r>
    </w:p>
    <w:p w14:paraId="0DB2CB85" w14:textId="5A489E97" w:rsidR="00AB440D" w:rsidRPr="00332939" w:rsidRDefault="00AB440D" w:rsidP="004C28FB">
      <w:pPr>
        <w:spacing w:line="480" w:lineRule="auto"/>
        <w:rPr>
          <w:b/>
          <w:i/>
          <w:iCs/>
        </w:rPr>
      </w:pPr>
      <w:r w:rsidRPr="00332939">
        <w:rPr>
          <w:b/>
          <w:i/>
          <w:iCs/>
        </w:rPr>
        <w:t>Procedure</w:t>
      </w:r>
      <w:r w:rsidR="005160C6">
        <w:rPr>
          <w:b/>
          <w:i/>
          <w:iCs/>
        </w:rPr>
        <w:t xml:space="preserve"> and Materials</w:t>
      </w:r>
    </w:p>
    <w:p w14:paraId="60FD9966" w14:textId="429C6E46" w:rsidR="004F1718" w:rsidRPr="00D15D0E" w:rsidRDefault="004F1718">
      <w:pPr>
        <w:spacing w:line="480" w:lineRule="auto"/>
        <w:rPr>
          <w:bCs/>
        </w:rPr>
      </w:pPr>
      <w:r w:rsidRPr="00D15D0E">
        <w:rPr>
          <w:bCs/>
        </w:rPr>
        <w:tab/>
      </w:r>
      <w:r w:rsidRPr="00D8563B">
        <w:rPr>
          <w:bCs/>
        </w:rPr>
        <w:t xml:space="preserve">After answering demographic questions, participants were </w:t>
      </w:r>
      <w:r w:rsidR="007F30C0">
        <w:rPr>
          <w:bCs/>
        </w:rPr>
        <w:t>instructed</w:t>
      </w:r>
      <w:r w:rsidR="007F30C0" w:rsidRPr="00D8563B">
        <w:rPr>
          <w:bCs/>
        </w:rPr>
        <w:t xml:space="preserve"> </w:t>
      </w:r>
      <w:r w:rsidRPr="00D8563B">
        <w:rPr>
          <w:bCs/>
        </w:rPr>
        <w:t xml:space="preserve">to imagine that they were working as a manager in an organization and that several of </w:t>
      </w:r>
      <w:r w:rsidRPr="0041230A">
        <w:rPr>
          <w:bCs/>
        </w:rPr>
        <w:t>their employees ha</w:t>
      </w:r>
      <w:r w:rsidR="00FE31B6" w:rsidRPr="0041230A">
        <w:rPr>
          <w:bCs/>
        </w:rPr>
        <w:t>d</w:t>
      </w:r>
      <w:r w:rsidRPr="00332939">
        <w:rPr>
          <w:bCs/>
        </w:rPr>
        <w:t xml:space="preserve"> applied for a </w:t>
      </w:r>
      <w:r w:rsidRPr="005160C6">
        <w:rPr>
          <w:bCs/>
        </w:rPr>
        <w:t>promotion</w:t>
      </w:r>
      <w:r w:rsidR="00FF4D14" w:rsidRPr="005160C6">
        <w:rPr>
          <w:bCs/>
        </w:rPr>
        <w:t xml:space="preserve">. </w:t>
      </w:r>
      <w:r w:rsidR="00FE31B6" w:rsidRPr="005160C6">
        <w:rPr>
          <w:bCs/>
        </w:rPr>
        <w:t xml:space="preserve">As supervisors, they </w:t>
      </w:r>
      <w:r w:rsidR="00107D2B" w:rsidRPr="005160C6">
        <w:rPr>
          <w:bCs/>
        </w:rPr>
        <w:t>needed</w:t>
      </w:r>
      <w:r w:rsidRPr="005160C6">
        <w:rPr>
          <w:bCs/>
        </w:rPr>
        <w:t xml:space="preserve"> to make </w:t>
      </w:r>
      <w:r w:rsidR="00231F3C" w:rsidRPr="005160C6">
        <w:rPr>
          <w:bCs/>
        </w:rPr>
        <w:t xml:space="preserve">promotion </w:t>
      </w:r>
      <w:r w:rsidRPr="005160C6">
        <w:rPr>
          <w:bCs/>
        </w:rPr>
        <w:t xml:space="preserve">recommendations to higher-level management. They were also informed that all </w:t>
      </w:r>
      <w:r w:rsidR="00FE31B6" w:rsidRPr="005160C6">
        <w:rPr>
          <w:bCs/>
        </w:rPr>
        <w:t>candidates</w:t>
      </w:r>
      <w:r w:rsidRPr="005160C6">
        <w:rPr>
          <w:bCs/>
        </w:rPr>
        <w:t xml:space="preserve"> met the minimum criteria. Participants </w:t>
      </w:r>
      <w:r w:rsidR="00FF4D14" w:rsidRPr="005160C6">
        <w:rPr>
          <w:bCs/>
        </w:rPr>
        <w:t xml:space="preserve">first </w:t>
      </w:r>
      <w:r w:rsidR="00FE31B6" w:rsidRPr="005160C6">
        <w:rPr>
          <w:bCs/>
        </w:rPr>
        <w:t>read</w:t>
      </w:r>
      <w:r w:rsidRPr="005160C6">
        <w:rPr>
          <w:bCs/>
        </w:rPr>
        <w:t xml:space="preserve"> a description of an employee </w:t>
      </w:r>
      <w:r w:rsidR="00FF4D14" w:rsidRPr="005160C6">
        <w:rPr>
          <w:bCs/>
        </w:rPr>
        <w:t>with narcissistic characteristics</w:t>
      </w:r>
      <w:r w:rsidRPr="005160C6">
        <w:rPr>
          <w:bCs/>
        </w:rPr>
        <w:t xml:space="preserve">, </w:t>
      </w:r>
      <w:r w:rsidR="00FF4D14" w:rsidRPr="005160C6">
        <w:rPr>
          <w:bCs/>
        </w:rPr>
        <w:t xml:space="preserve">and then </w:t>
      </w:r>
      <w:r w:rsidR="00FE31B6" w:rsidRPr="005160C6">
        <w:rPr>
          <w:bCs/>
        </w:rPr>
        <w:t xml:space="preserve">viewed this employee’s </w:t>
      </w:r>
      <w:r w:rsidR="00FF4D14" w:rsidRPr="005160C6">
        <w:rPr>
          <w:bCs/>
        </w:rPr>
        <w:t>answers on a short questionnaire</w:t>
      </w:r>
      <w:r w:rsidR="00107D2B" w:rsidRPr="005160C6">
        <w:rPr>
          <w:bCs/>
        </w:rPr>
        <w:t xml:space="preserve">. The answers </w:t>
      </w:r>
      <w:r w:rsidR="00FE31B6" w:rsidRPr="005160C6">
        <w:rPr>
          <w:bCs/>
        </w:rPr>
        <w:t>reflected</w:t>
      </w:r>
      <w:r w:rsidR="00107D2B" w:rsidRPr="005160C6">
        <w:rPr>
          <w:bCs/>
        </w:rPr>
        <w:t xml:space="preserve"> </w:t>
      </w:r>
      <w:r w:rsidR="00107D2B" w:rsidRPr="005160C6">
        <w:rPr>
          <w:bCs/>
        </w:rPr>
        <w:lastRenderedPageBreak/>
        <w:t xml:space="preserve">either a high or low power </w:t>
      </w:r>
      <w:r w:rsidR="00057AE0" w:rsidRPr="005160C6">
        <w:rPr>
          <w:bCs/>
        </w:rPr>
        <w:t xml:space="preserve">employee </w:t>
      </w:r>
      <w:r w:rsidR="00107D2B" w:rsidRPr="005160C6">
        <w:rPr>
          <w:bCs/>
        </w:rPr>
        <w:t xml:space="preserve">profile. </w:t>
      </w:r>
      <w:r w:rsidR="00057AE0" w:rsidRPr="005160C6">
        <w:rPr>
          <w:bCs/>
        </w:rPr>
        <w:t xml:space="preserve">Finally, participants </w:t>
      </w:r>
      <w:r w:rsidR="00FE31B6" w:rsidRPr="005160C6">
        <w:rPr>
          <w:bCs/>
        </w:rPr>
        <w:t>completed</w:t>
      </w:r>
      <w:r w:rsidR="00057AE0" w:rsidRPr="005160C6">
        <w:rPr>
          <w:bCs/>
        </w:rPr>
        <w:t xml:space="preserve"> the promotability measure</w:t>
      </w:r>
      <w:r w:rsidR="00493843" w:rsidRPr="005160C6">
        <w:rPr>
          <w:bCs/>
        </w:rPr>
        <w:t xml:space="preserve"> and manipulation checks</w:t>
      </w:r>
      <w:r w:rsidR="00057AE0" w:rsidRPr="005160C6">
        <w:rPr>
          <w:bCs/>
        </w:rPr>
        <w:t xml:space="preserve">. </w:t>
      </w:r>
    </w:p>
    <w:p w14:paraId="7252A266" w14:textId="0FC212CB" w:rsidR="004F1718" w:rsidRPr="00D15D0E" w:rsidRDefault="001B1D7A" w:rsidP="004C28FB">
      <w:pPr>
        <w:spacing w:line="480" w:lineRule="auto"/>
        <w:rPr>
          <w:bCs/>
        </w:rPr>
      </w:pPr>
      <w:r w:rsidRPr="003D70B4">
        <w:rPr>
          <w:bCs/>
        </w:rPr>
        <w:tab/>
      </w:r>
      <w:r w:rsidR="00733CF8" w:rsidRPr="003D70B4">
        <w:rPr>
          <w:b/>
        </w:rPr>
        <w:t>Employee</w:t>
      </w:r>
      <w:r w:rsidR="00733CF8" w:rsidRPr="003D70B4">
        <w:rPr>
          <w:bCs/>
        </w:rPr>
        <w:t xml:space="preserve"> </w:t>
      </w:r>
      <w:r w:rsidR="00811767" w:rsidRPr="003D70B4">
        <w:rPr>
          <w:b/>
        </w:rPr>
        <w:t>N</w:t>
      </w:r>
      <w:r w:rsidRPr="003D70B4">
        <w:rPr>
          <w:b/>
        </w:rPr>
        <w:t xml:space="preserve">arcissism </w:t>
      </w:r>
      <w:r w:rsidR="00811767" w:rsidRPr="003D70B4">
        <w:rPr>
          <w:b/>
        </w:rPr>
        <w:t>M</w:t>
      </w:r>
      <w:r w:rsidRPr="003D70B4">
        <w:rPr>
          <w:b/>
        </w:rPr>
        <w:t xml:space="preserve">anipulation. </w:t>
      </w:r>
      <w:r w:rsidR="00C23BDF" w:rsidRPr="003D70B4">
        <w:rPr>
          <w:bCs/>
        </w:rPr>
        <w:t xml:space="preserve">We used the 16-item version of the Narcissistic Personality Inventory (NPI-16; Ames, </w:t>
      </w:r>
      <w:r w:rsidR="00C23BDF" w:rsidRPr="003D70B4">
        <w:t>et al.,</w:t>
      </w:r>
      <w:r w:rsidR="00C23BDF" w:rsidRPr="003D70B4">
        <w:rPr>
          <w:bCs/>
        </w:rPr>
        <w:t xml:space="preserve"> 2006)</w:t>
      </w:r>
      <w:r w:rsidR="003D70B4">
        <w:rPr>
          <w:bCs/>
        </w:rPr>
        <w:t xml:space="preserve">, </w:t>
      </w:r>
      <w:r w:rsidR="00B053FF">
        <w:rPr>
          <w:bCs/>
        </w:rPr>
        <w:t>as</w:t>
      </w:r>
      <w:r w:rsidR="003D70B4">
        <w:rPr>
          <w:bCs/>
        </w:rPr>
        <w:t xml:space="preserve"> in </w:t>
      </w:r>
      <w:r w:rsidR="00C23BDF" w:rsidRPr="003D70B4">
        <w:rPr>
          <w:bCs/>
        </w:rPr>
        <w:t>Study 2</w:t>
      </w:r>
      <w:r w:rsidR="003D70B4">
        <w:rPr>
          <w:bCs/>
        </w:rPr>
        <w:t>,</w:t>
      </w:r>
      <w:r w:rsidR="00C23BDF" w:rsidRPr="003D70B4">
        <w:rPr>
          <w:bCs/>
        </w:rPr>
        <w:t xml:space="preserve"> to create a description of a narcissistic </w:t>
      </w:r>
      <w:r w:rsidR="00C23BDF" w:rsidRPr="009C2C5C">
        <w:rPr>
          <w:bCs/>
        </w:rPr>
        <w:t xml:space="preserve">employee. </w:t>
      </w:r>
      <w:r w:rsidR="006751F8" w:rsidRPr="009C2C5C">
        <w:rPr>
          <w:bCs/>
        </w:rPr>
        <w:t>We removed i</w:t>
      </w:r>
      <w:r w:rsidR="00CC14A7" w:rsidRPr="009C2C5C">
        <w:rPr>
          <w:bCs/>
        </w:rPr>
        <w:t xml:space="preserve">tems that referred to having authority, as these were closely related to power. </w:t>
      </w:r>
      <w:r w:rsidR="00B053FF" w:rsidRPr="009C2C5C">
        <w:rPr>
          <w:bCs/>
        </w:rPr>
        <w:t>T</w:t>
      </w:r>
      <w:r w:rsidR="00102380" w:rsidRPr="00D8563B">
        <w:rPr>
          <w:bCs/>
        </w:rPr>
        <w:t xml:space="preserve">o enhance </w:t>
      </w:r>
      <w:r w:rsidR="00B053FF">
        <w:rPr>
          <w:bCs/>
        </w:rPr>
        <w:t>text</w:t>
      </w:r>
      <w:r w:rsidR="00B053FF" w:rsidRPr="00D8563B">
        <w:rPr>
          <w:bCs/>
        </w:rPr>
        <w:t xml:space="preserve"> </w:t>
      </w:r>
      <w:r w:rsidR="00102380" w:rsidRPr="00D8563B">
        <w:rPr>
          <w:bCs/>
        </w:rPr>
        <w:t>readability</w:t>
      </w:r>
      <w:r w:rsidR="006751F8" w:rsidRPr="00D8563B">
        <w:rPr>
          <w:bCs/>
        </w:rPr>
        <w:t>,</w:t>
      </w:r>
      <w:r w:rsidR="00102380" w:rsidRPr="0041230A">
        <w:rPr>
          <w:bCs/>
        </w:rPr>
        <w:t xml:space="preserve"> we u</w:t>
      </w:r>
      <w:r w:rsidR="006751F8" w:rsidRPr="0041230A">
        <w:rPr>
          <w:bCs/>
        </w:rPr>
        <w:t>s</w:t>
      </w:r>
      <w:r w:rsidR="00102380" w:rsidRPr="003D70B4">
        <w:rPr>
          <w:bCs/>
        </w:rPr>
        <w:t>ed gender pronouns ensur</w:t>
      </w:r>
      <w:r w:rsidR="006751F8" w:rsidRPr="003D70B4">
        <w:rPr>
          <w:bCs/>
        </w:rPr>
        <w:t>ing</w:t>
      </w:r>
      <w:r w:rsidR="00102380" w:rsidRPr="003D70B4">
        <w:rPr>
          <w:bCs/>
        </w:rPr>
        <w:t xml:space="preserve"> that male participants received a description of a male employee and female participants of a female employee</w:t>
      </w:r>
      <w:r w:rsidR="00F17E58" w:rsidRPr="003D70B4">
        <w:rPr>
          <w:bCs/>
        </w:rPr>
        <w:t xml:space="preserve"> (see </w:t>
      </w:r>
      <w:r w:rsidR="00700B48">
        <w:rPr>
          <w:bCs/>
        </w:rPr>
        <w:t>Supplementary Material</w:t>
      </w:r>
      <w:r w:rsidR="00A6062C">
        <w:rPr>
          <w:bCs/>
        </w:rPr>
        <w:t xml:space="preserve"> for full description</w:t>
      </w:r>
      <w:r w:rsidR="00F17E58" w:rsidRPr="003D70B4">
        <w:rPr>
          <w:bCs/>
        </w:rPr>
        <w:t>).</w:t>
      </w:r>
    </w:p>
    <w:p w14:paraId="760E5AC9" w14:textId="7DC0DA73" w:rsidR="005F1B5A" w:rsidRPr="00D8563B" w:rsidRDefault="00733CF8" w:rsidP="004C28FB">
      <w:pPr>
        <w:spacing w:line="480" w:lineRule="auto"/>
      </w:pPr>
      <w:r w:rsidRPr="00D8563B">
        <w:rPr>
          <w:bCs/>
        </w:rPr>
        <w:tab/>
      </w:r>
      <w:r w:rsidRPr="00D8563B">
        <w:rPr>
          <w:b/>
        </w:rPr>
        <w:t>Employee</w:t>
      </w:r>
      <w:r w:rsidRPr="0041230A">
        <w:rPr>
          <w:bCs/>
        </w:rPr>
        <w:t xml:space="preserve"> </w:t>
      </w:r>
      <w:r w:rsidR="00F21D55">
        <w:rPr>
          <w:b/>
        </w:rPr>
        <w:t>Sense</w:t>
      </w:r>
      <w:r w:rsidR="00F21D55" w:rsidRPr="003D70B4">
        <w:rPr>
          <w:b/>
        </w:rPr>
        <w:t xml:space="preserve"> </w:t>
      </w:r>
      <w:r w:rsidR="005024B7" w:rsidRPr="003D70B4">
        <w:rPr>
          <w:b/>
        </w:rPr>
        <w:t>of</w:t>
      </w:r>
      <w:r w:rsidR="00A40FD8" w:rsidRPr="003D70B4">
        <w:rPr>
          <w:b/>
        </w:rPr>
        <w:t xml:space="preserve"> </w:t>
      </w:r>
      <w:r w:rsidR="00EB14FB" w:rsidRPr="003D70B4">
        <w:rPr>
          <w:b/>
        </w:rPr>
        <w:t>P</w:t>
      </w:r>
      <w:r w:rsidRPr="003D70B4">
        <w:rPr>
          <w:b/>
        </w:rPr>
        <w:t xml:space="preserve">ower </w:t>
      </w:r>
      <w:r w:rsidR="00EB14FB" w:rsidRPr="00D15D0E">
        <w:rPr>
          <w:b/>
        </w:rPr>
        <w:t>M</w:t>
      </w:r>
      <w:r w:rsidRPr="003D70B4">
        <w:rPr>
          <w:b/>
        </w:rPr>
        <w:t xml:space="preserve">anipulation. </w:t>
      </w:r>
      <w:r w:rsidR="006751F8" w:rsidRPr="003D70B4">
        <w:rPr>
          <w:bCs/>
        </w:rPr>
        <w:t>P</w:t>
      </w:r>
      <w:r w:rsidR="005F1B5A" w:rsidRPr="003D70B4">
        <w:rPr>
          <w:bCs/>
        </w:rPr>
        <w:t>articipant</w:t>
      </w:r>
      <w:r w:rsidR="00E57F67">
        <w:rPr>
          <w:bCs/>
        </w:rPr>
        <w:t>s</w:t>
      </w:r>
      <w:r w:rsidR="006751F8" w:rsidRPr="003D70B4">
        <w:rPr>
          <w:bCs/>
        </w:rPr>
        <w:t xml:space="preserve"> learned</w:t>
      </w:r>
      <w:r w:rsidR="005F1B5A" w:rsidRPr="003D70B4">
        <w:rPr>
          <w:bCs/>
        </w:rPr>
        <w:t xml:space="preserve"> that</w:t>
      </w:r>
      <w:r w:rsidR="005F1B5A" w:rsidRPr="003D70B4">
        <w:t xml:space="preserve"> the</w:t>
      </w:r>
      <w:r w:rsidR="006751F8" w:rsidRPr="003D70B4">
        <w:t xml:space="preserve"> just-described</w:t>
      </w:r>
      <w:r w:rsidR="005F1B5A" w:rsidRPr="003D70B4">
        <w:t xml:space="preserve"> employee </w:t>
      </w:r>
      <w:r w:rsidR="006751F8" w:rsidRPr="003D70B4">
        <w:t xml:space="preserve">had </w:t>
      </w:r>
      <w:r w:rsidR="005F1B5A" w:rsidRPr="003D70B4">
        <w:t xml:space="preserve">also filled out a short questionnaire on their experience at work. We </w:t>
      </w:r>
      <w:r w:rsidR="006751F8" w:rsidRPr="003D70B4">
        <w:t>used</w:t>
      </w:r>
      <w:r w:rsidR="005F1B5A" w:rsidRPr="003D70B4">
        <w:t xml:space="preserve"> the same sense of power scale as in Study 2 (Anderson &amp; Galinsky, 2006) to create either a high or low employee power profile. </w:t>
      </w:r>
      <w:r w:rsidR="00602463" w:rsidRPr="003D70B4">
        <w:t>Both profiles were balanced</w:t>
      </w:r>
      <w:r w:rsidR="00B053FF">
        <w:t xml:space="preserve">; </w:t>
      </w:r>
      <w:r w:rsidR="00602463" w:rsidRPr="003D70B4">
        <w:t xml:space="preserve">for example, where a </w:t>
      </w:r>
      <w:r w:rsidR="00BF0807" w:rsidRPr="003D70B4">
        <w:t>high-power</w:t>
      </w:r>
      <w:r w:rsidR="00602463" w:rsidRPr="003D70B4">
        <w:t xml:space="preserve"> employee scored 6 on the item, a low</w:t>
      </w:r>
      <w:r w:rsidR="00BF0807" w:rsidRPr="003D70B4">
        <w:t>-</w:t>
      </w:r>
      <w:r w:rsidR="00602463" w:rsidRPr="003D70B4">
        <w:t>power employee would score a 2</w:t>
      </w:r>
      <w:r w:rsidR="00F17E58" w:rsidRPr="003D70B4">
        <w:t xml:space="preserve"> (</w:t>
      </w:r>
      <w:r w:rsidR="00700B48">
        <w:t>Supplementary Material</w:t>
      </w:r>
      <w:r w:rsidR="00F17E58" w:rsidRPr="00D15D0E">
        <w:t>).</w:t>
      </w:r>
    </w:p>
    <w:p w14:paraId="19998C7F" w14:textId="063F5C2F" w:rsidR="005570B4" w:rsidRPr="00D15D0E" w:rsidRDefault="005570B4">
      <w:pPr>
        <w:spacing w:line="480" w:lineRule="auto"/>
        <w:rPr>
          <w:iCs/>
        </w:rPr>
      </w:pPr>
      <w:r w:rsidRPr="00D8563B">
        <w:tab/>
      </w:r>
      <w:r w:rsidRPr="0041230A">
        <w:rPr>
          <w:b/>
          <w:bCs/>
        </w:rPr>
        <w:t>Promotability.</w:t>
      </w:r>
      <w:r w:rsidRPr="0041230A">
        <w:t xml:space="preserve"> We used the </w:t>
      </w:r>
      <w:r w:rsidR="006751F8" w:rsidRPr="003D70B4">
        <w:t>4</w:t>
      </w:r>
      <w:r w:rsidRPr="003D70B4">
        <w:t xml:space="preserve">-item </w:t>
      </w:r>
      <w:r w:rsidRPr="003D70B4">
        <w:rPr>
          <w:iCs/>
        </w:rPr>
        <w:t xml:space="preserve">Blickle et al. (2011) measure of promotability </w:t>
      </w:r>
      <w:r w:rsidRPr="003D70B4">
        <w:rPr>
          <w:bCs/>
        </w:rPr>
        <w:t>(</w:t>
      </w:r>
      <w:r w:rsidRPr="003D70B4">
        <w:t xml:space="preserve">1 = </w:t>
      </w:r>
      <w:r w:rsidRPr="003D70B4">
        <w:rPr>
          <w:i/>
          <w:iCs/>
        </w:rPr>
        <w:t>strongly disagree</w:t>
      </w:r>
      <w:r w:rsidRPr="003D70B4">
        <w:rPr>
          <w:iCs/>
        </w:rPr>
        <w:t>,</w:t>
      </w:r>
      <w:r w:rsidRPr="003D70B4">
        <w:rPr>
          <w:i/>
          <w:iCs/>
        </w:rPr>
        <w:t xml:space="preserve"> </w:t>
      </w:r>
      <w:r w:rsidRPr="003D70B4">
        <w:t>7 = </w:t>
      </w:r>
      <w:r w:rsidRPr="003D70B4">
        <w:rPr>
          <w:i/>
          <w:iCs/>
        </w:rPr>
        <w:t>strongly agree</w:t>
      </w:r>
      <w:r w:rsidRPr="003D70B4">
        <w:t xml:space="preserve">; </w:t>
      </w:r>
      <w:r w:rsidRPr="003D70B4">
        <w:rPr>
          <w:iCs/>
        </w:rPr>
        <w:t>α = .83)</w:t>
      </w:r>
      <w:r w:rsidR="006751F8" w:rsidRPr="003D70B4">
        <w:rPr>
          <w:iCs/>
        </w:rPr>
        <w:t xml:space="preserve">. </w:t>
      </w:r>
      <w:r w:rsidR="00AD7467">
        <w:rPr>
          <w:iCs/>
        </w:rPr>
        <w:t xml:space="preserve">Sample items </w:t>
      </w:r>
      <w:r w:rsidR="00943D23">
        <w:rPr>
          <w:iCs/>
        </w:rPr>
        <w:t>include</w:t>
      </w:r>
      <w:r w:rsidR="006751F8" w:rsidRPr="003D70B4">
        <w:rPr>
          <w:iCs/>
        </w:rPr>
        <w:t xml:space="preserve">: </w:t>
      </w:r>
      <w:r w:rsidRPr="003D70B4">
        <w:rPr>
          <w:iCs/>
        </w:rPr>
        <w:t>“This employee can be considered for higher jobs</w:t>
      </w:r>
      <w:r w:rsidR="007F30C0">
        <w:rPr>
          <w:iCs/>
        </w:rPr>
        <w:t>,</w:t>
      </w:r>
      <w:r w:rsidRPr="003D70B4">
        <w:rPr>
          <w:iCs/>
        </w:rPr>
        <w:t>”</w:t>
      </w:r>
      <w:r w:rsidR="00AD7467">
        <w:rPr>
          <w:iCs/>
        </w:rPr>
        <w:t xml:space="preserve"> “</w:t>
      </w:r>
      <w:r w:rsidR="00AD7467" w:rsidRPr="00AD7467">
        <w:rPr>
          <w:iCs/>
        </w:rPr>
        <w:t>This employee is immediately able to pass to the next hierarchical level or expert position</w:t>
      </w:r>
      <w:r w:rsidR="00B053FF">
        <w:rPr>
          <w:iCs/>
        </w:rPr>
        <w:t>.</w:t>
      </w:r>
      <w:r w:rsidR="00AD7467">
        <w:rPr>
          <w:iCs/>
        </w:rPr>
        <w:t>”</w:t>
      </w:r>
    </w:p>
    <w:p w14:paraId="6F97420B" w14:textId="47C02801" w:rsidR="000F45C4" w:rsidRPr="00D15D0E" w:rsidRDefault="000F45C4" w:rsidP="004C28FB">
      <w:pPr>
        <w:spacing w:line="480" w:lineRule="auto"/>
        <w:rPr>
          <w:iCs/>
        </w:rPr>
      </w:pPr>
      <w:r w:rsidRPr="00D15D0E">
        <w:rPr>
          <w:iCs/>
        </w:rPr>
        <w:tab/>
      </w:r>
      <w:r w:rsidR="006751F8" w:rsidRPr="00D8563B">
        <w:rPr>
          <w:b/>
          <w:bCs/>
          <w:iCs/>
        </w:rPr>
        <w:t>M</w:t>
      </w:r>
      <w:r w:rsidRPr="003D70B4">
        <w:rPr>
          <w:b/>
          <w:bCs/>
          <w:iCs/>
        </w:rPr>
        <w:t xml:space="preserve">anipulation </w:t>
      </w:r>
      <w:r w:rsidR="00EB14FB" w:rsidRPr="003D70B4">
        <w:rPr>
          <w:b/>
          <w:bCs/>
          <w:iCs/>
        </w:rPr>
        <w:t>C</w:t>
      </w:r>
      <w:r w:rsidRPr="003D70B4">
        <w:rPr>
          <w:b/>
          <w:bCs/>
          <w:iCs/>
        </w:rPr>
        <w:t>heck</w:t>
      </w:r>
      <w:r w:rsidR="009376B8">
        <w:rPr>
          <w:b/>
          <w:bCs/>
          <w:iCs/>
        </w:rPr>
        <w:t xml:space="preserve"> for Employee Narcissism</w:t>
      </w:r>
      <w:r w:rsidRPr="003D70B4">
        <w:rPr>
          <w:b/>
          <w:bCs/>
          <w:iCs/>
        </w:rPr>
        <w:t xml:space="preserve">. </w:t>
      </w:r>
      <w:r w:rsidRPr="003D70B4">
        <w:rPr>
          <w:iCs/>
        </w:rPr>
        <w:t xml:space="preserve">We </w:t>
      </w:r>
      <w:r w:rsidR="00EE04C7" w:rsidRPr="003D70B4">
        <w:rPr>
          <w:iCs/>
        </w:rPr>
        <w:t>adapted the</w:t>
      </w:r>
      <w:r w:rsidRPr="003D70B4">
        <w:rPr>
          <w:iCs/>
        </w:rPr>
        <w:t xml:space="preserve"> </w:t>
      </w:r>
      <w:r w:rsidR="004B37EB" w:rsidRPr="003D70B4">
        <w:rPr>
          <w:iCs/>
        </w:rPr>
        <w:t>single</w:t>
      </w:r>
      <w:r w:rsidR="006751F8" w:rsidRPr="003D70B4">
        <w:rPr>
          <w:iCs/>
        </w:rPr>
        <w:t>-</w:t>
      </w:r>
      <w:r w:rsidRPr="003D70B4">
        <w:rPr>
          <w:iCs/>
        </w:rPr>
        <w:t>item narcissism</w:t>
      </w:r>
      <w:r w:rsidR="004B37EB" w:rsidRPr="003D70B4">
        <w:rPr>
          <w:iCs/>
        </w:rPr>
        <w:t xml:space="preserve"> scale (</w:t>
      </w:r>
      <w:r w:rsidR="004B37EB" w:rsidRPr="004F0D26">
        <w:rPr>
          <w:color w:val="000000" w:themeColor="text1"/>
        </w:rPr>
        <w:t>Konrath</w:t>
      </w:r>
      <w:r w:rsidR="006751F8" w:rsidRPr="004F0D26">
        <w:rPr>
          <w:color w:val="000000" w:themeColor="text1"/>
        </w:rPr>
        <w:t xml:space="preserve"> et al.</w:t>
      </w:r>
      <w:r w:rsidR="004B37EB" w:rsidRPr="004F0D26">
        <w:rPr>
          <w:color w:val="000000" w:themeColor="text1"/>
        </w:rPr>
        <w:t>, 2014)</w:t>
      </w:r>
      <w:r w:rsidR="004B37EB" w:rsidRPr="00D15D0E">
        <w:rPr>
          <w:iCs/>
        </w:rPr>
        <w:t xml:space="preserve"> </w:t>
      </w:r>
      <w:r w:rsidR="00EE04C7" w:rsidRPr="00D8563B">
        <w:rPr>
          <w:iCs/>
        </w:rPr>
        <w:t xml:space="preserve">to serve </w:t>
      </w:r>
      <w:r w:rsidR="004B37EB" w:rsidRPr="0041230A">
        <w:rPr>
          <w:iCs/>
        </w:rPr>
        <w:t xml:space="preserve">as a manipulation check. </w:t>
      </w:r>
      <w:r w:rsidR="004F0D26">
        <w:rPr>
          <w:iCs/>
        </w:rPr>
        <w:t>After reading a definition of a narcissist</w:t>
      </w:r>
      <w:r w:rsidR="00A1233C">
        <w:rPr>
          <w:iCs/>
        </w:rPr>
        <w:t>ic individual</w:t>
      </w:r>
      <w:r w:rsidR="004F0D26">
        <w:rPr>
          <w:iCs/>
        </w:rPr>
        <w:t>—</w:t>
      </w:r>
      <w:r w:rsidR="004F0D26" w:rsidRPr="004F0D26">
        <w:rPr>
          <w:iCs/>
        </w:rPr>
        <w:t xml:space="preserve"> </w:t>
      </w:r>
      <w:r w:rsidR="004F0D26" w:rsidRPr="003D70B4">
        <w:rPr>
          <w:iCs/>
        </w:rPr>
        <w:t>as someone who is egotistical, self-focused, and vain</w:t>
      </w:r>
      <w:r w:rsidR="004F0D26">
        <w:rPr>
          <w:iCs/>
        </w:rPr>
        <w:t>— p</w:t>
      </w:r>
      <w:r w:rsidR="004B37EB" w:rsidRPr="003D70B4">
        <w:rPr>
          <w:iCs/>
        </w:rPr>
        <w:t>articipants indicate</w:t>
      </w:r>
      <w:r w:rsidR="006751F8" w:rsidRPr="003D70B4">
        <w:rPr>
          <w:iCs/>
        </w:rPr>
        <w:t>d</w:t>
      </w:r>
      <w:r w:rsidR="004B37EB" w:rsidRPr="003D70B4">
        <w:rPr>
          <w:iCs/>
        </w:rPr>
        <w:t xml:space="preserve"> the</w:t>
      </w:r>
      <w:r w:rsidR="006751F8" w:rsidRPr="003D70B4">
        <w:rPr>
          <w:iCs/>
        </w:rPr>
        <w:t xml:space="preserve">ir </w:t>
      </w:r>
      <w:r w:rsidR="004B37EB" w:rsidRPr="003D70B4">
        <w:rPr>
          <w:iCs/>
        </w:rPr>
        <w:t>agree</w:t>
      </w:r>
      <w:r w:rsidR="006751F8" w:rsidRPr="003D70B4">
        <w:rPr>
          <w:iCs/>
        </w:rPr>
        <w:t>ment</w:t>
      </w:r>
      <w:r w:rsidR="004B37EB" w:rsidRPr="003D70B4">
        <w:rPr>
          <w:iCs/>
        </w:rPr>
        <w:t xml:space="preserve"> </w:t>
      </w:r>
      <w:r w:rsidR="001B3679" w:rsidRPr="003D70B4">
        <w:rPr>
          <w:iCs/>
        </w:rPr>
        <w:t>with</w:t>
      </w:r>
      <w:r w:rsidR="004B37EB" w:rsidRPr="003D70B4">
        <w:rPr>
          <w:iCs/>
        </w:rPr>
        <w:t xml:space="preserve"> the following statement concerning the employee: </w:t>
      </w:r>
      <w:r w:rsidR="006751F8" w:rsidRPr="003D70B4">
        <w:rPr>
          <w:iCs/>
        </w:rPr>
        <w:t>“</w:t>
      </w:r>
      <w:r w:rsidR="004B37EB" w:rsidRPr="003D70B4">
        <w:rPr>
          <w:iCs/>
        </w:rPr>
        <w:t>This employee is a narcissist</w:t>
      </w:r>
      <w:r w:rsidR="006751F8" w:rsidRPr="003D70B4">
        <w:rPr>
          <w:iCs/>
        </w:rPr>
        <w:t>”</w:t>
      </w:r>
      <w:r w:rsidR="004B37EB" w:rsidRPr="003D70B4">
        <w:rPr>
          <w:iCs/>
        </w:rPr>
        <w:t xml:space="preserve"> (</w:t>
      </w:r>
      <w:r w:rsidR="004B37EB" w:rsidRPr="003D70B4">
        <w:t xml:space="preserve">1 = </w:t>
      </w:r>
      <w:r w:rsidR="001B3679" w:rsidRPr="003D70B4">
        <w:rPr>
          <w:i/>
          <w:iCs/>
        </w:rPr>
        <w:t>not very true of this employee</w:t>
      </w:r>
      <w:r w:rsidR="004B37EB" w:rsidRPr="003D70B4">
        <w:rPr>
          <w:iCs/>
        </w:rPr>
        <w:t>,</w:t>
      </w:r>
      <w:r w:rsidR="004B37EB" w:rsidRPr="003D70B4">
        <w:rPr>
          <w:i/>
          <w:iCs/>
        </w:rPr>
        <w:t xml:space="preserve"> </w:t>
      </w:r>
      <w:r w:rsidR="004B37EB" w:rsidRPr="003D70B4">
        <w:t>7 = </w:t>
      </w:r>
      <w:r w:rsidR="001B3679" w:rsidRPr="003D70B4">
        <w:rPr>
          <w:i/>
          <w:iCs/>
        </w:rPr>
        <w:t>very true of this employee</w:t>
      </w:r>
      <w:r w:rsidR="004B37EB" w:rsidRPr="003D70B4">
        <w:rPr>
          <w:iCs/>
        </w:rPr>
        <w:t>).</w:t>
      </w:r>
      <w:r w:rsidR="00286BDF">
        <w:rPr>
          <w:iCs/>
        </w:rPr>
        <w:t xml:space="preserve"> </w:t>
      </w:r>
    </w:p>
    <w:p w14:paraId="2BF0FEC9" w14:textId="0D71D0E6" w:rsidR="001F2E93" w:rsidRPr="003D70B4" w:rsidRDefault="000F45C4" w:rsidP="004C28FB">
      <w:pPr>
        <w:spacing w:line="480" w:lineRule="auto"/>
        <w:ind w:firstLine="720"/>
      </w:pPr>
      <w:r w:rsidRPr="0041230A">
        <w:rPr>
          <w:b/>
          <w:bCs/>
          <w:iCs/>
        </w:rPr>
        <w:lastRenderedPageBreak/>
        <w:t xml:space="preserve">Manipulation </w:t>
      </w:r>
      <w:r w:rsidR="00EB14FB" w:rsidRPr="0041230A">
        <w:rPr>
          <w:b/>
          <w:bCs/>
          <w:iCs/>
        </w:rPr>
        <w:t>C</w:t>
      </w:r>
      <w:r w:rsidRPr="003D70B4">
        <w:rPr>
          <w:b/>
          <w:bCs/>
          <w:iCs/>
        </w:rPr>
        <w:t xml:space="preserve">heck for </w:t>
      </w:r>
      <w:r w:rsidR="009376B8">
        <w:rPr>
          <w:b/>
          <w:bCs/>
          <w:iCs/>
        </w:rPr>
        <w:t>Employee Sense</w:t>
      </w:r>
      <w:r w:rsidR="009376B8" w:rsidRPr="003D70B4">
        <w:rPr>
          <w:b/>
          <w:bCs/>
          <w:iCs/>
        </w:rPr>
        <w:t xml:space="preserve"> </w:t>
      </w:r>
      <w:r w:rsidRPr="003D70B4">
        <w:rPr>
          <w:b/>
          <w:bCs/>
          <w:iCs/>
        </w:rPr>
        <w:t xml:space="preserve">of </w:t>
      </w:r>
      <w:r w:rsidR="00EB14FB" w:rsidRPr="003D70B4">
        <w:rPr>
          <w:b/>
          <w:bCs/>
          <w:iCs/>
        </w:rPr>
        <w:t>P</w:t>
      </w:r>
      <w:r w:rsidRPr="003D70B4">
        <w:rPr>
          <w:b/>
          <w:bCs/>
          <w:iCs/>
        </w:rPr>
        <w:t>ower</w:t>
      </w:r>
      <w:r w:rsidRPr="00D15D0E">
        <w:rPr>
          <w:b/>
          <w:bCs/>
          <w:iCs/>
        </w:rPr>
        <w:t>.</w:t>
      </w:r>
      <w:r w:rsidR="00EE04C7" w:rsidRPr="0041230A">
        <w:rPr>
          <w:b/>
          <w:bCs/>
          <w:iCs/>
        </w:rPr>
        <w:t xml:space="preserve"> </w:t>
      </w:r>
      <w:r w:rsidR="001F2E93" w:rsidRPr="0041230A">
        <w:rPr>
          <w:iCs/>
        </w:rPr>
        <w:t xml:space="preserve">Participants </w:t>
      </w:r>
      <w:r w:rsidR="001F2E93" w:rsidRPr="003D70B4">
        <w:rPr>
          <w:iCs/>
        </w:rPr>
        <w:t>indicate</w:t>
      </w:r>
      <w:r w:rsidR="006751F8" w:rsidRPr="003D70B4">
        <w:rPr>
          <w:iCs/>
        </w:rPr>
        <w:t>d</w:t>
      </w:r>
      <w:r w:rsidR="001F2E93" w:rsidRPr="003D70B4">
        <w:rPr>
          <w:iCs/>
        </w:rPr>
        <w:t xml:space="preserve"> how much power they </w:t>
      </w:r>
      <w:r w:rsidR="00AC0038">
        <w:rPr>
          <w:iCs/>
        </w:rPr>
        <w:t>thought</w:t>
      </w:r>
      <w:r w:rsidR="001F2E93" w:rsidRPr="003D70B4">
        <w:rPr>
          <w:iCs/>
        </w:rPr>
        <w:t xml:space="preserve"> this employee would be likely to display in the team (</w:t>
      </w:r>
      <w:r w:rsidR="001F2E93" w:rsidRPr="003D70B4">
        <w:t xml:space="preserve">1 = </w:t>
      </w:r>
      <w:r w:rsidR="001F2E93" w:rsidRPr="003D70B4">
        <w:rPr>
          <w:i/>
          <w:iCs/>
        </w:rPr>
        <w:t>no power</w:t>
      </w:r>
      <w:r w:rsidR="001F2E93" w:rsidRPr="003D70B4">
        <w:rPr>
          <w:iCs/>
        </w:rPr>
        <w:t>,</w:t>
      </w:r>
      <w:r w:rsidR="001F2E93" w:rsidRPr="003D70B4">
        <w:rPr>
          <w:i/>
          <w:iCs/>
        </w:rPr>
        <w:t xml:space="preserve"> </w:t>
      </w:r>
      <w:r w:rsidR="001F2E93" w:rsidRPr="003D70B4">
        <w:t>2 = </w:t>
      </w:r>
      <w:r w:rsidR="001F2E93" w:rsidRPr="003D70B4">
        <w:rPr>
          <w:i/>
          <w:iCs/>
        </w:rPr>
        <w:t>very little power</w:t>
      </w:r>
      <w:r w:rsidR="001F2E93" w:rsidRPr="003D70B4">
        <w:t>, 3 = </w:t>
      </w:r>
      <w:r w:rsidR="001F2E93" w:rsidRPr="003D70B4">
        <w:rPr>
          <w:i/>
          <w:iCs/>
        </w:rPr>
        <w:t xml:space="preserve">some power, </w:t>
      </w:r>
      <w:r w:rsidR="001F2E93" w:rsidRPr="003D70B4">
        <w:t>4 = </w:t>
      </w:r>
      <w:r w:rsidR="001F2E93" w:rsidRPr="003D70B4">
        <w:rPr>
          <w:i/>
          <w:iCs/>
        </w:rPr>
        <w:t xml:space="preserve">moderate amount of power, </w:t>
      </w:r>
      <w:r w:rsidR="001F2E93" w:rsidRPr="003D70B4">
        <w:t>5 = </w:t>
      </w:r>
      <w:r w:rsidR="001F2E93" w:rsidRPr="003D70B4">
        <w:rPr>
          <w:i/>
          <w:iCs/>
        </w:rPr>
        <w:t>a lot of power</w:t>
      </w:r>
      <w:r w:rsidR="001F2E93" w:rsidRPr="003D70B4">
        <w:t>).</w:t>
      </w:r>
    </w:p>
    <w:p w14:paraId="2FA28D78" w14:textId="02F273AA" w:rsidR="00EA434B" w:rsidRPr="003D70B4" w:rsidRDefault="00EA434B" w:rsidP="004C28FB">
      <w:pPr>
        <w:spacing w:line="480" w:lineRule="auto"/>
        <w:rPr>
          <w:b/>
          <w:bCs/>
        </w:rPr>
      </w:pPr>
      <w:r w:rsidRPr="003D70B4">
        <w:rPr>
          <w:b/>
          <w:bCs/>
        </w:rPr>
        <w:t>Results</w:t>
      </w:r>
    </w:p>
    <w:p w14:paraId="6CD8A986" w14:textId="1407CC40" w:rsidR="000F45C4" w:rsidRPr="003D70B4" w:rsidRDefault="00EA57E3" w:rsidP="004C28FB">
      <w:pPr>
        <w:spacing w:line="480" w:lineRule="auto"/>
        <w:ind w:firstLine="720"/>
        <w:rPr>
          <w:iCs/>
        </w:rPr>
      </w:pPr>
      <w:r w:rsidRPr="003D70B4">
        <w:rPr>
          <w:iCs/>
        </w:rPr>
        <w:t>Results of an independent t-test revealed that</w:t>
      </w:r>
      <w:r w:rsidR="006751F8" w:rsidRPr="003D70B4">
        <w:rPr>
          <w:iCs/>
        </w:rPr>
        <w:t xml:space="preserve"> participants perceived</w:t>
      </w:r>
      <w:r w:rsidRPr="003D70B4">
        <w:rPr>
          <w:iCs/>
        </w:rPr>
        <w:t xml:space="preserve"> the high power employee </w:t>
      </w:r>
      <w:r w:rsidR="006751F8" w:rsidRPr="003D70B4">
        <w:rPr>
          <w:iCs/>
        </w:rPr>
        <w:t>as</w:t>
      </w:r>
      <w:r w:rsidRPr="003D70B4">
        <w:rPr>
          <w:iCs/>
        </w:rPr>
        <w:t xml:space="preserve"> </w:t>
      </w:r>
      <w:r w:rsidR="00CB2A78">
        <w:rPr>
          <w:iCs/>
        </w:rPr>
        <w:t>having</w:t>
      </w:r>
      <w:r w:rsidRPr="003D70B4">
        <w:rPr>
          <w:iCs/>
        </w:rPr>
        <w:t xml:space="preserve"> </w:t>
      </w:r>
      <w:r w:rsidR="00A76C08">
        <w:rPr>
          <w:iCs/>
        </w:rPr>
        <w:t>more</w:t>
      </w:r>
      <w:r w:rsidR="00B95E58" w:rsidRPr="003D70B4">
        <w:rPr>
          <w:iCs/>
        </w:rPr>
        <w:t xml:space="preserve"> </w:t>
      </w:r>
      <w:r w:rsidRPr="003D70B4">
        <w:rPr>
          <w:iCs/>
        </w:rPr>
        <w:t>power in a team</w:t>
      </w:r>
      <w:r w:rsidR="00D85B2F" w:rsidRPr="003D70B4">
        <w:rPr>
          <w:iCs/>
        </w:rPr>
        <w:t xml:space="preserve"> (</w:t>
      </w:r>
      <w:r w:rsidR="00D85B2F" w:rsidRPr="003D70B4">
        <w:rPr>
          <w:i/>
          <w:iCs/>
        </w:rPr>
        <w:t>M</w:t>
      </w:r>
      <w:r w:rsidR="00D85B2F" w:rsidRPr="003D70B4">
        <w:rPr>
          <w:iCs/>
        </w:rPr>
        <w:t xml:space="preserve"> = </w:t>
      </w:r>
      <w:r w:rsidR="00B41EAD">
        <w:rPr>
          <w:iCs/>
        </w:rPr>
        <w:t>3.90</w:t>
      </w:r>
      <w:r w:rsidR="00D85B2F" w:rsidRPr="003D70B4">
        <w:rPr>
          <w:iCs/>
        </w:rPr>
        <w:t xml:space="preserve">, </w:t>
      </w:r>
      <w:r w:rsidR="00D85B2F" w:rsidRPr="003D70B4">
        <w:rPr>
          <w:i/>
          <w:iCs/>
        </w:rPr>
        <w:t>SD</w:t>
      </w:r>
      <w:r w:rsidR="00D85B2F" w:rsidRPr="003D70B4">
        <w:rPr>
          <w:iCs/>
        </w:rPr>
        <w:t xml:space="preserve"> = 1.</w:t>
      </w:r>
      <w:r w:rsidR="00B41EAD">
        <w:rPr>
          <w:iCs/>
        </w:rPr>
        <w:t>08</w:t>
      </w:r>
      <w:r w:rsidR="00D85B2F" w:rsidRPr="003D70B4">
        <w:rPr>
          <w:iCs/>
        </w:rPr>
        <w:t xml:space="preserve">) </w:t>
      </w:r>
      <w:r w:rsidRPr="003D70B4">
        <w:rPr>
          <w:iCs/>
        </w:rPr>
        <w:t xml:space="preserve">than </w:t>
      </w:r>
      <w:r w:rsidR="00D85B2F" w:rsidRPr="003D70B4">
        <w:rPr>
          <w:iCs/>
        </w:rPr>
        <w:t>the</w:t>
      </w:r>
      <w:r w:rsidRPr="003D70B4">
        <w:rPr>
          <w:iCs/>
        </w:rPr>
        <w:t xml:space="preserve"> low power employee (</w:t>
      </w:r>
      <w:r w:rsidRPr="003D70B4">
        <w:rPr>
          <w:i/>
          <w:iCs/>
        </w:rPr>
        <w:t>M</w:t>
      </w:r>
      <w:r w:rsidRPr="003D70B4">
        <w:rPr>
          <w:iCs/>
        </w:rPr>
        <w:t xml:space="preserve"> = </w:t>
      </w:r>
      <w:r w:rsidR="00B41EAD">
        <w:rPr>
          <w:iCs/>
        </w:rPr>
        <w:t>2.88</w:t>
      </w:r>
      <w:r w:rsidRPr="003D70B4">
        <w:rPr>
          <w:iCs/>
        </w:rPr>
        <w:t xml:space="preserve">, </w:t>
      </w:r>
      <w:r w:rsidRPr="003D70B4">
        <w:rPr>
          <w:i/>
          <w:iCs/>
        </w:rPr>
        <w:t>SD</w:t>
      </w:r>
      <w:r w:rsidRPr="003D70B4">
        <w:rPr>
          <w:iCs/>
        </w:rPr>
        <w:t xml:space="preserve"> = 1.</w:t>
      </w:r>
      <w:r w:rsidR="00B41EAD">
        <w:rPr>
          <w:iCs/>
        </w:rPr>
        <w:t>13</w:t>
      </w:r>
      <w:r w:rsidRPr="003D70B4">
        <w:rPr>
          <w:iCs/>
        </w:rPr>
        <w:t xml:space="preserve">), </w:t>
      </w:r>
      <w:r w:rsidR="00055E8B" w:rsidRPr="003D70B4">
        <w:rPr>
          <w:i/>
        </w:rPr>
        <w:t>t</w:t>
      </w:r>
      <w:r w:rsidRPr="003D70B4">
        <w:rPr>
          <w:iCs/>
        </w:rPr>
        <w:t>(</w:t>
      </w:r>
      <w:r w:rsidR="00B41EAD">
        <w:rPr>
          <w:iCs/>
        </w:rPr>
        <w:t>179</w:t>
      </w:r>
      <w:r w:rsidRPr="003D70B4">
        <w:rPr>
          <w:iCs/>
        </w:rPr>
        <w:t xml:space="preserve">) = </w:t>
      </w:r>
      <w:r w:rsidR="00055E8B" w:rsidRPr="003D70B4">
        <w:rPr>
          <w:iCs/>
        </w:rPr>
        <w:t>-</w:t>
      </w:r>
      <w:r w:rsidR="00B41EAD">
        <w:rPr>
          <w:iCs/>
        </w:rPr>
        <w:t>6.17</w:t>
      </w:r>
      <w:r w:rsidRPr="003D70B4">
        <w:rPr>
          <w:iCs/>
        </w:rPr>
        <w:t xml:space="preserve">, </w:t>
      </w:r>
      <w:r w:rsidRPr="003D70B4">
        <w:rPr>
          <w:i/>
        </w:rPr>
        <w:t>p</w:t>
      </w:r>
      <w:r w:rsidRPr="003D70B4">
        <w:rPr>
          <w:iCs/>
        </w:rPr>
        <w:t xml:space="preserve"> &lt; .001, </w:t>
      </w:r>
      <w:r w:rsidR="00055E8B" w:rsidRPr="00B41EAD">
        <w:rPr>
          <w:i/>
        </w:rPr>
        <w:t>d</w:t>
      </w:r>
      <w:r w:rsidRPr="00B41EAD">
        <w:rPr>
          <w:iCs/>
        </w:rPr>
        <w:t xml:space="preserve"> = </w:t>
      </w:r>
      <w:r w:rsidR="000B7DCC" w:rsidRPr="00B41EAD">
        <w:rPr>
          <w:iCs/>
        </w:rPr>
        <w:t>0</w:t>
      </w:r>
      <w:r w:rsidRPr="00B41EAD">
        <w:rPr>
          <w:iCs/>
        </w:rPr>
        <w:t>.</w:t>
      </w:r>
      <w:r w:rsidR="00B41EAD" w:rsidRPr="00B41EAD">
        <w:rPr>
          <w:iCs/>
        </w:rPr>
        <w:t>92</w:t>
      </w:r>
      <w:r w:rsidRPr="00B41EAD">
        <w:rPr>
          <w:iCs/>
        </w:rPr>
        <w:t>.</w:t>
      </w:r>
      <w:r w:rsidR="00DB452B" w:rsidRPr="00B41EAD">
        <w:rPr>
          <w:iCs/>
        </w:rPr>
        <w:t xml:space="preserve"> </w:t>
      </w:r>
      <w:r w:rsidR="006751F8" w:rsidRPr="00B41EAD">
        <w:rPr>
          <w:iCs/>
        </w:rPr>
        <w:t>Participants</w:t>
      </w:r>
      <w:r w:rsidR="006751F8" w:rsidRPr="003D70B4">
        <w:rPr>
          <w:iCs/>
        </w:rPr>
        <w:t xml:space="preserve"> also perceived t</w:t>
      </w:r>
      <w:r w:rsidR="00DB452B" w:rsidRPr="003D70B4">
        <w:rPr>
          <w:iCs/>
        </w:rPr>
        <w:t xml:space="preserve">he employee </w:t>
      </w:r>
      <w:r w:rsidR="006751F8" w:rsidRPr="003D70B4">
        <w:rPr>
          <w:iCs/>
        </w:rPr>
        <w:t xml:space="preserve">as </w:t>
      </w:r>
      <w:r w:rsidR="00DB452B" w:rsidRPr="003D70B4">
        <w:rPr>
          <w:iCs/>
        </w:rPr>
        <w:t>narcissistic (</w:t>
      </w:r>
      <w:r w:rsidR="00DB452B" w:rsidRPr="003D70B4">
        <w:rPr>
          <w:i/>
          <w:iCs/>
        </w:rPr>
        <w:t>M</w:t>
      </w:r>
      <w:r w:rsidR="00DB452B" w:rsidRPr="003D70B4">
        <w:rPr>
          <w:iCs/>
        </w:rPr>
        <w:t xml:space="preserve"> = 6.07, </w:t>
      </w:r>
      <w:r w:rsidR="00DB452B" w:rsidRPr="003D70B4">
        <w:rPr>
          <w:i/>
          <w:iCs/>
        </w:rPr>
        <w:t>SD</w:t>
      </w:r>
      <w:r w:rsidR="00DB452B" w:rsidRPr="003D70B4">
        <w:rPr>
          <w:iCs/>
        </w:rPr>
        <w:t xml:space="preserve"> = 1.07)</w:t>
      </w:r>
      <w:r w:rsidR="00EF5DF9" w:rsidRPr="003D70B4">
        <w:rPr>
          <w:iCs/>
        </w:rPr>
        <w:t xml:space="preserve"> compared to </w:t>
      </w:r>
      <w:r w:rsidR="00DB452B" w:rsidRPr="003D70B4">
        <w:rPr>
          <w:iCs/>
        </w:rPr>
        <w:t xml:space="preserve">the </w:t>
      </w:r>
      <w:r w:rsidR="006751F8" w:rsidRPr="003D70B4">
        <w:rPr>
          <w:iCs/>
        </w:rPr>
        <w:t xml:space="preserve">scale </w:t>
      </w:r>
      <w:r w:rsidR="00DB452B" w:rsidRPr="003D70B4">
        <w:rPr>
          <w:iCs/>
        </w:rPr>
        <w:t xml:space="preserve">midpoint, </w:t>
      </w:r>
      <w:r w:rsidR="00DB452B" w:rsidRPr="003D70B4">
        <w:rPr>
          <w:i/>
        </w:rPr>
        <w:t>t</w:t>
      </w:r>
      <w:r w:rsidR="00DB452B" w:rsidRPr="003D70B4">
        <w:rPr>
          <w:iCs/>
        </w:rPr>
        <w:t xml:space="preserve">(180) = 26.04, </w:t>
      </w:r>
      <w:r w:rsidR="00DB452B" w:rsidRPr="003D70B4">
        <w:rPr>
          <w:i/>
        </w:rPr>
        <w:t>p</w:t>
      </w:r>
      <w:r w:rsidR="00DB452B" w:rsidRPr="003D70B4">
        <w:rPr>
          <w:iCs/>
        </w:rPr>
        <w:t xml:space="preserve"> &lt; .001, </w:t>
      </w:r>
      <w:r w:rsidR="00DB452B" w:rsidRPr="003D70B4">
        <w:rPr>
          <w:i/>
        </w:rPr>
        <w:t>d</w:t>
      </w:r>
      <w:r w:rsidR="00DB452B" w:rsidRPr="003D70B4">
        <w:rPr>
          <w:iCs/>
        </w:rPr>
        <w:t xml:space="preserve"> = 3.88.</w:t>
      </w:r>
    </w:p>
    <w:p w14:paraId="2FC5C7AD" w14:textId="31CB794B" w:rsidR="004457D2" w:rsidRPr="003D70B4" w:rsidRDefault="004457D2">
      <w:pPr>
        <w:spacing w:line="480" w:lineRule="auto"/>
        <w:ind w:firstLine="720"/>
        <w:rPr>
          <w:iCs/>
        </w:rPr>
      </w:pPr>
      <w:r w:rsidRPr="003D70B4">
        <w:rPr>
          <w:iCs/>
        </w:rPr>
        <w:t xml:space="preserve">Testing the main </w:t>
      </w:r>
      <w:r w:rsidR="00EF5DF9" w:rsidRPr="003D70B4">
        <w:rPr>
          <w:iCs/>
        </w:rPr>
        <w:t>hypothesis</w:t>
      </w:r>
      <w:r w:rsidRPr="00D15D0E">
        <w:rPr>
          <w:iCs/>
        </w:rPr>
        <w:t xml:space="preserve">, an independent t-test </w:t>
      </w:r>
      <w:r w:rsidR="007F30C0">
        <w:rPr>
          <w:iCs/>
        </w:rPr>
        <w:t>indicated</w:t>
      </w:r>
      <w:r w:rsidR="007F30C0" w:rsidRPr="00D15D0E">
        <w:rPr>
          <w:iCs/>
        </w:rPr>
        <w:t xml:space="preserve"> </w:t>
      </w:r>
      <w:r w:rsidRPr="00D15D0E">
        <w:rPr>
          <w:iCs/>
        </w:rPr>
        <w:t>that</w:t>
      </w:r>
      <w:r w:rsidR="00EF5DF9" w:rsidRPr="0041230A">
        <w:rPr>
          <w:iCs/>
        </w:rPr>
        <w:t xml:space="preserve"> participants perceived</w:t>
      </w:r>
      <w:r w:rsidRPr="0041230A">
        <w:rPr>
          <w:iCs/>
        </w:rPr>
        <w:t xml:space="preserve"> the narcissistic employee who </w:t>
      </w:r>
      <w:r w:rsidR="00147F08">
        <w:rPr>
          <w:iCs/>
        </w:rPr>
        <w:t>had</w:t>
      </w:r>
      <w:r w:rsidR="00147F08" w:rsidRPr="0041230A">
        <w:rPr>
          <w:iCs/>
        </w:rPr>
        <w:t xml:space="preserve"> </w:t>
      </w:r>
      <w:r w:rsidRPr="0041230A">
        <w:rPr>
          <w:iCs/>
        </w:rPr>
        <w:t xml:space="preserve">high power </w:t>
      </w:r>
      <w:r w:rsidR="00147F08">
        <w:rPr>
          <w:iCs/>
        </w:rPr>
        <w:t xml:space="preserve">in the team </w:t>
      </w:r>
      <w:r w:rsidRPr="0041230A">
        <w:rPr>
          <w:iCs/>
        </w:rPr>
        <w:t>(</w:t>
      </w:r>
      <w:r w:rsidRPr="0041230A">
        <w:rPr>
          <w:i/>
          <w:iCs/>
        </w:rPr>
        <w:t>M</w:t>
      </w:r>
      <w:r w:rsidRPr="00AD6A74">
        <w:rPr>
          <w:iCs/>
        </w:rPr>
        <w:t xml:space="preserve"> = 3.32, </w:t>
      </w:r>
      <w:r w:rsidRPr="00AD6A74">
        <w:rPr>
          <w:i/>
          <w:iCs/>
        </w:rPr>
        <w:t>SD</w:t>
      </w:r>
      <w:r w:rsidRPr="00AD6A74">
        <w:rPr>
          <w:iCs/>
        </w:rPr>
        <w:t xml:space="preserve"> = </w:t>
      </w:r>
      <w:r w:rsidRPr="00180E78">
        <w:rPr>
          <w:iCs/>
        </w:rPr>
        <w:t xml:space="preserve">1.17) </w:t>
      </w:r>
      <w:r w:rsidRPr="003D70B4">
        <w:rPr>
          <w:iCs/>
        </w:rPr>
        <w:t xml:space="preserve">as more promotable than the one who </w:t>
      </w:r>
      <w:r w:rsidR="00147F08">
        <w:rPr>
          <w:iCs/>
        </w:rPr>
        <w:t>had</w:t>
      </w:r>
      <w:r w:rsidR="00147F08" w:rsidRPr="003D70B4">
        <w:rPr>
          <w:iCs/>
        </w:rPr>
        <w:t xml:space="preserve"> </w:t>
      </w:r>
      <w:r w:rsidRPr="003D70B4">
        <w:rPr>
          <w:iCs/>
        </w:rPr>
        <w:t>low power (</w:t>
      </w:r>
      <w:r w:rsidRPr="003D70B4">
        <w:rPr>
          <w:i/>
          <w:iCs/>
        </w:rPr>
        <w:t>M</w:t>
      </w:r>
      <w:r w:rsidRPr="003D70B4">
        <w:rPr>
          <w:iCs/>
        </w:rPr>
        <w:t xml:space="preserve"> = 2.53, </w:t>
      </w:r>
      <w:r w:rsidRPr="003D70B4">
        <w:rPr>
          <w:i/>
          <w:iCs/>
        </w:rPr>
        <w:t>SD</w:t>
      </w:r>
      <w:r w:rsidRPr="003D70B4">
        <w:rPr>
          <w:iCs/>
        </w:rPr>
        <w:t xml:space="preserve"> = 0.98), </w:t>
      </w:r>
      <w:r w:rsidRPr="003D70B4">
        <w:rPr>
          <w:i/>
        </w:rPr>
        <w:t>t</w:t>
      </w:r>
      <w:r w:rsidRPr="003D70B4">
        <w:rPr>
          <w:iCs/>
        </w:rPr>
        <w:t xml:space="preserve">(179) = -4.84, </w:t>
      </w:r>
      <w:r w:rsidRPr="003D70B4">
        <w:rPr>
          <w:i/>
        </w:rPr>
        <w:t>p</w:t>
      </w:r>
      <w:r w:rsidRPr="003D70B4">
        <w:rPr>
          <w:iCs/>
        </w:rPr>
        <w:t xml:space="preserve"> &lt; .001, </w:t>
      </w:r>
      <w:r w:rsidRPr="003D70B4">
        <w:rPr>
          <w:i/>
        </w:rPr>
        <w:t>d</w:t>
      </w:r>
      <w:r w:rsidRPr="003D70B4">
        <w:rPr>
          <w:iCs/>
        </w:rPr>
        <w:t xml:space="preserve"> = 0.72.</w:t>
      </w:r>
      <w:r w:rsidR="00205E91" w:rsidRPr="003D70B4">
        <w:rPr>
          <w:iCs/>
        </w:rPr>
        <w:t xml:space="preserve"> </w:t>
      </w:r>
      <w:r w:rsidR="00345F8F" w:rsidRPr="003D70B4">
        <w:rPr>
          <w:iCs/>
        </w:rPr>
        <w:t>When controlling for gender</w:t>
      </w:r>
      <w:r w:rsidR="000A181F" w:rsidRPr="003D70B4">
        <w:rPr>
          <w:iCs/>
        </w:rPr>
        <w:t>, the</w:t>
      </w:r>
      <w:r w:rsidR="00205E91" w:rsidRPr="003D70B4">
        <w:rPr>
          <w:iCs/>
        </w:rPr>
        <w:t xml:space="preserve"> ANOVA revealed only a main effect of power</w:t>
      </w:r>
      <w:r w:rsidR="000A181F" w:rsidRPr="003D70B4">
        <w:rPr>
          <w:iCs/>
        </w:rPr>
        <w:t xml:space="preserve"> on promotability</w:t>
      </w:r>
      <w:r w:rsidR="00205E91" w:rsidRPr="003D70B4">
        <w:rPr>
          <w:iCs/>
        </w:rPr>
        <w:t xml:space="preserve">, </w:t>
      </w:r>
      <w:r w:rsidR="000A181F" w:rsidRPr="003D70B4">
        <w:rPr>
          <w:i/>
        </w:rPr>
        <w:t>F</w:t>
      </w:r>
      <w:r w:rsidR="000A181F" w:rsidRPr="003D70B4">
        <w:rPr>
          <w:iCs/>
        </w:rPr>
        <w:t xml:space="preserve">(1, 177) = 21.43, </w:t>
      </w:r>
      <w:r w:rsidR="000A181F" w:rsidRPr="003D70B4">
        <w:rPr>
          <w:i/>
        </w:rPr>
        <w:t>p</w:t>
      </w:r>
      <w:r w:rsidR="000A181F" w:rsidRPr="003D70B4">
        <w:rPr>
          <w:iCs/>
        </w:rPr>
        <w:t xml:space="preserve"> &lt; .001, </w:t>
      </w:r>
      <w:r w:rsidR="000A181F" w:rsidRPr="00D15D0E">
        <w:rPr>
          <w:iCs/>
        </w:rPr>
        <w:sym w:font="Symbol" w:char="F068"/>
      </w:r>
      <w:r w:rsidR="000A181F" w:rsidRPr="00D15D0E">
        <w:rPr>
          <w:iCs/>
          <w:vertAlign w:val="superscript"/>
        </w:rPr>
        <w:t>2</w:t>
      </w:r>
      <w:r w:rsidR="000A181F" w:rsidRPr="0041230A">
        <w:rPr>
          <w:iCs/>
          <w:vertAlign w:val="subscript"/>
        </w:rPr>
        <w:t>p</w:t>
      </w:r>
      <w:r w:rsidR="000A181F" w:rsidRPr="0041230A">
        <w:rPr>
          <w:iCs/>
        </w:rPr>
        <w:t xml:space="preserve"> = .11 and no significant effect of gender, </w:t>
      </w:r>
      <w:r w:rsidR="000A181F" w:rsidRPr="0041230A">
        <w:rPr>
          <w:i/>
        </w:rPr>
        <w:t>F</w:t>
      </w:r>
      <w:r w:rsidR="000A181F" w:rsidRPr="00AD6A74">
        <w:rPr>
          <w:iCs/>
        </w:rPr>
        <w:t xml:space="preserve">(1, 177) = 0.37, </w:t>
      </w:r>
      <w:r w:rsidR="000A181F" w:rsidRPr="00AD6A74">
        <w:rPr>
          <w:i/>
        </w:rPr>
        <w:t>p</w:t>
      </w:r>
      <w:r w:rsidR="000A181F" w:rsidRPr="00AD6A74">
        <w:rPr>
          <w:iCs/>
        </w:rPr>
        <w:t xml:space="preserve"> = .545, or an interaction </w:t>
      </w:r>
      <w:r w:rsidR="000A181F" w:rsidRPr="003D70B4">
        <w:rPr>
          <w:iCs/>
        </w:rPr>
        <w:t xml:space="preserve">between gender and the power condition, </w:t>
      </w:r>
      <w:r w:rsidR="000A181F" w:rsidRPr="003D70B4">
        <w:rPr>
          <w:i/>
        </w:rPr>
        <w:t>F</w:t>
      </w:r>
      <w:r w:rsidR="000A181F" w:rsidRPr="003D70B4">
        <w:rPr>
          <w:iCs/>
        </w:rPr>
        <w:t xml:space="preserve">(1, 177) = 0.01, </w:t>
      </w:r>
      <w:r w:rsidR="000A181F" w:rsidRPr="003D70B4">
        <w:rPr>
          <w:i/>
        </w:rPr>
        <w:t>p</w:t>
      </w:r>
      <w:r w:rsidR="000A181F" w:rsidRPr="003D70B4">
        <w:rPr>
          <w:iCs/>
        </w:rPr>
        <w:t xml:space="preserve"> = .921.</w:t>
      </w:r>
      <w:r w:rsidR="00495C0B">
        <w:rPr>
          <w:rStyle w:val="FootnoteReference"/>
          <w:iCs/>
        </w:rPr>
        <w:footnoteReference w:id="11"/>
      </w:r>
      <w:r w:rsidR="00205E91" w:rsidRPr="00495C0B">
        <w:rPr>
          <w:iCs/>
        </w:rPr>
        <w:t xml:space="preserve"> </w:t>
      </w:r>
      <w:r w:rsidR="00EF5DF9" w:rsidRPr="003D70B4">
        <w:rPr>
          <w:iCs/>
        </w:rPr>
        <w:t>In all</w:t>
      </w:r>
      <w:r w:rsidR="00392B8F" w:rsidRPr="003D70B4">
        <w:rPr>
          <w:iCs/>
        </w:rPr>
        <w:t xml:space="preserve">, display of higher power by narcissistic employees </w:t>
      </w:r>
      <w:r w:rsidR="0068081B" w:rsidRPr="003D70B4">
        <w:rPr>
          <w:iCs/>
        </w:rPr>
        <w:t>help</w:t>
      </w:r>
      <w:r w:rsidR="007F30C0">
        <w:rPr>
          <w:iCs/>
        </w:rPr>
        <w:t>s</w:t>
      </w:r>
      <w:r w:rsidR="0068081B" w:rsidRPr="003D70B4">
        <w:rPr>
          <w:iCs/>
        </w:rPr>
        <w:t xml:space="preserve"> them obtain</w:t>
      </w:r>
      <w:r w:rsidR="00392B8F" w:rsidRPr="003D70B4">
        <w:rPr>
          <w:iCs/>
        </w:rPr>
        <w:t xml:space="preserve"> higher promotability ratings.</w:t>
      </w:r>
    </w:p>
    <w:p w14:paraId="51DA67A7" w14:textId="6C4EED7D" w:rsidR="0036011C" w:rsidRPr="003D70B4" w:rsidRDefault="00063701" w:rsidP="004C28FB">
      <w:pPr>
        <w:spacing w:line="480" w:lineRule="auto"/>
        <w:jc w:val="center"/>
        <w:outlineLvl w:val="0"/>
        <w:rPr>
          <w:b/>
          <w:bCs/>
        </w:rPr>
      </w:pPr>
      <w:r w:rsidRPr="003D70B4">
        <w:rPr>
          <w:b/>
          <w:bCs/>
        </w:rPr>
        <w:t>General</w:t>
      </w:r>
      <w:r w:rsidR="00A879DC" w:rsidRPr="003D70B4">
        <w:rPr>
          <w:b/>
          <w:bCs/>
        </w:rPr>
        <w:t xml:space="preserve"> </w:t>
      </w:r>
      <w:r w:rsidR="0036011C" w:rsidRPr="003D70B4">
        <w:rPr>
          <w:b/>
          <w:bCs/>
        </w:rPr>
        <w:t>D</w:t>
      </w:r>
      <w:r w:rsidRPr="003D70B4">
        <w:rPr>
          <w:b/>
          <w:bCs/>
        </w:rPr>
        <w:t>iscussion</w:t>
      </w:r>
    </w:p>
    <w:p w14:paraId="2F405F93" w14:textId="3F44A6E0" w:rsidR="00802054" w:rsidRPr="003D70B4" w:rsidRDefault="0004638B" w:rsidP="004C28FB">
      <w:pPr>
        <w:spacing w:line="480" w:lineRule="auto"/>
        <w:rPr>
          <w:bCs/>
        </w:rPr>
      </w:pPr>
      <w:r w:rsidRPr="003D70B4">
        <w:rPr>
          <w:bCs/>
        </w:rPr>
        <w:tab/>
      </w:r>
      <w:r w:rsidR="009955B0">
        <w:rPr>
          <w:bCs/>
        </w:rPr>
        <w:t>We</w:t>
      </w:r>
      <w:r w:rsidRPr="003D70B4">
        <w:rPr>
          <w:bCs/>
        </w:rPr>
        <w:t xml:space="preserve"> examine</w:t>
      </w:r>
      <w:r w:rsidR="00A90AF1" w:rsidRPr="003D70B4">
        <w:rPr>
          <w:bCs/>
        </w:rPr>
        <w:t>d</w:t>
      </w:r>
      <w:r w:rsidRPr="003D70B4">
        <w:rPr>
          <w:bCs/>
        </w:rPr>
        <w:t xml:space="preserve"> </w:t>
      </w:r>
      <w:r w:rsidR="00C8437D" w:rsidRPr="003D70B4">
        <w:rPr>
          <w:bCs/>
        </w:rPr>
        <w:t xml:space="preserve">the link between </w:t>
      </w:r>
      <w:r w:rsidR="00897220" w:rsidRPr="003D70B4">
        <w:rPr>
          <w:bCs/>
        </w:rPr>
        <w:t>employee narcissism</w:t>
      </w:r>
      <w:r w:rsidR="00C8437D" w:rsidRPr="003D70B4">
        <w:rPr>
          <w:bCs/>
        </w:rPr>
        <w:t xml:space="preserve"> and </w:t>
      </w:r>
      <w:r w:rsidR="00691669" w:rsidRPr="003D70B4">
        <w:rPr>
          <w:bCs/>
        </w:rPr>
        <w:t xml:space="preserve">supervisory </w:t>
      </w:r>
      <w:r w:rsidR="008C211F" w:rsidRPr="003D70B4">
        <w:rPr>
          <w:bCs/>
        </w:rPr>
        <w:t xml:space="preserve">promotability </w:t>
      </w:r>
      <w:r w:rsidR="00691669" w:rsidRPr="003D70B4">
        <w:rPr>
          <w:bCs/>
        </w:rPr>
        <w:t>perceptions</w:t>
      </w:r>
      <w:r w:rsidR="008C211F" w:rsidRPr="003D70B4">
        <w:rPr>
          <w:bCs/>
        </w:rPr>
        <w:t xml:space="preserve"> to </w:t>
      </w:r>
      <w:r w:rsidR="002B5128" w:rsidRPr="003D70B4">
        <w:rPr>
          <w:bCs/>
        </w:rPr>
        <w:t xml:space="preserve">address </w:t>
      </w:r>
      <w:r w:rsidR="00A90AF1" w:rsidRPr="003D70B4">
        <w:rPr>
          <w:bCs/>
        </w:rPr>
        <w:t>how</w:t>
      </w:r>
      <w:r w:rsidR="008C211F" w:rsidRPr="003D70B4">
        <w:rPr>
          <w:bCs/>
        </w:rPr>
        <w:t xml:space="preserve"> narcissistic </w:t>
      </w:r>
      <w:r w:rsidR="00A90AF1" w:rsidRPr="003D70B4">
        <w:rPr>
          <w:bCs/>
        </w:rPr>
        <w:t xml:space="preserve">employees </w:t>
      </w:r>
      <w:r w:rsidR="008C211F" w:rsidRPr="003D70B4">
        <w:rPr>
          <w:bCs/>
        </w:rPr>
        <w:t xml:space="preserve">ascend formal </w:t>
      </w:r>
      <w:r w:rsidR="003725CD" w:rsidRPr="003D70B4">
        <w:rPr>
          <w:bCs/>
        </w:rPr>
        <w:t>hierarchies</w:t>
      </w:r>
      <w:r w:rsidR="008C211F" w:rsidRPr="003D70B4">
        <w:rPr>
          <w:bCs/>
        </w:rPr>
        <w:t>.</w:t>
      </w:r>
      <w:r w:rsidR="00D74C21" w:rsidRPr="003D70B4">
        <w:rPr>
          <w:bCs/>
        </w:rPr>
        <w:t xml:space="preserve"> We tested two </w:t>
      </w:r>
      <w:r w:rsidR="004B6643" w:rsidRPr="003D70B4">
        <w:rPr>
          <w:bCs/>
        </w:rPr>
        <w:t xml:space="preserve">theoretical </w:t>
      </w:r>
      <w:r w:rsidR="00A90AF1" w:rsidRPr="003D70B4">
        <w:rPr>
          <w:bCs/>
        </w:rPr>
        <w:t>perspectives</w:t>
      </w:r>
      <w:r w:rsidR="00FE772B" w:rsidRPr="003D70B4">
        <w:rPr>
          <w:bCs/>
        </w:rPr>
        <w:t xml:space="preserve"> that offer competing explanations about the mechanisms through which this happens</w:t>
      </w:r>
      <w:r w:rsidR="00A90AF1" w:rsidRPr="003D70B4">
        <w:rPr>
          <w:bCs/>
        </w:rPr>
        <w:t xml:space="preserve">. </w:t>
      </w:r>
      <w:r w:rsidR="00FD5D1C" w:rsidRPr="003D70B4">
        <w:rPr>
          <w:bCs/>
        </w:rPr>
        <w:t>The display of power perspective, which advocates that power serves as a cue for potential</w:t>
      </w:r>
      <w:r w:rsidR="004B6643" w:rsidRPr="003D70B4">
        <w:rPr>
          <w:bCs/>
        </w:rPr>
        <w:t xml:space="preserve"> to function in more complex higher-level positions</w:t>
      </w:r>
      <w:r w:rsidR="00FD5D1C" w:rsidRPr="003D70B4">
        <w:rPr>
          <w:bCs/>
        </w:rPr>
        <w:t xml:space="preserve">, predicted a positive </w:t>
      </w:r>
      <w:r w:rsidR="00FD5D1C" w:rsidRPr="003D70B4">
        <w:rPr>
          <w:bCs/>
        </w:rPr>
        <w:lastRenderedPageBreak/>
        <w:t xml:space="preserve">relation between employee narcissism and promotability, due to </w:t>
      </w:r>
      <w:r w:rsidR="004B6643" w:rsidRPr="003D70B4">
        <w:rPr>
          <w:bCs/>
        </w:rPr>
        <w:t>personal sense of</w:t>
      </w:r>
      <w:r w:rsidR="00FD5D1C" w:rsidRPr="003D70B4">
        <w:rPr>
          <w:bCs/>
        </w:rPr>
        <w:t xml:space="preserve"> power. </w:t>
      </w:r>
      <w:r w:rsidR="00691669" w:rsidRPr="003D70B4">
        <w:rPr>
          <w:bCs/>
        </w:rPr>
        <w:t xml:space="preserve">The </w:t>
      </w:r>
      <w:r w:rsidR="00D74C21" w:rsidRPr="003D70B4">
        <w:rPr>
          <w:bCs/>
        </w:rPr>
        <w:t xml:space="preserve">impression </w:t>
      </w:r>
      <w:r w:rsidR="003725CD" w:rsidRPr="003D70B4">
        <w:rPr>
          <w:bCs/>
        </w:rPr>
        <w:t>management</w:t>
      </w:r>
      <w:r w:rsidR="00D74C21" w:rsidRPr="003D70B4">
        <w:rPr>
          <w:bCs/>
        </w:rPr>
        <w:t xml:space="preserve"> </w:t>
      </w:r>
      <w:r w:rsidR="00691669" w:rsidRPr="003D70B4">
        <w:rPr>
          <w:bCs/>
        </w:rPr>
        <w:t>perspective</w:t>
      </w:r>
      <w:r w:rsidR="00A90AF1" w:rsidRPr="003D70B4">
        <w:rPr>
          <w:bCs/>
        </w:rPr>
        <w:t xml:space="preserve"> </w:t>
      </w:r>
      <w:r w:rsidR="00D74C21" w:rsidRPr="003D70B4">
        <w:rPr>
          <w:bCs/>
        </w:rPr>
        <w:t xml:space="preserve">predicted a </w:t>
      </w:r>
      <w:r w:rsidR="00116C7D" w:rsidRPr="003D70B4">
        <w:rPr>
          <w:bCs/>
        </w:rPr>
        <w:t xml:space="preserve">positive </w:t>
      </w:r>
      <w:r w:rsidR="00D74C21" w:rsidRPr="003D70B4">
        <w:rPr>
          <w:bCs/>
        </w:rPr>
        <w:t>relation between employee narcissism and promotability due t</w:t>
      </w:r>
      <w:r w:rsidR="007B467A" w:rsidRPr="003D70B4">
        <w:rPr>
          <w:bCs/>
        </w:rPr>
        <w:t>o self-promotion</w:t>
      </w:r>
      <w:r w:rsidR="00116C7D" w:rsidRPr="003D70B4">
        <w:rPr>
          <w:bCs/>
        </w:rPr>
        <w:t xml:space="preserve"> tactics</w:t>
      </w:r>
      <w:r w:rsidR="00A90AF1" w:rsidRPr="003D70B4">
        <w:rPr>
          <w:bCs/>
        </w:rPr>
        <w:t xml:space="preserve">. </w:t>
      </w:r>
      <w:r w:rsidR="005518B3" w:rsidRPr="003D70B4">
        <w:rPr>
          <w:bCs/>
        </w:rPr>
        <w:t>The</w:t>
      </w:r>
      <w:r w:rsidR="007B467A" w:rsidRPr="003D70B4">
        <w:rPr>
          <w:bCs/>
        </w:rPr>
        <w:t xml:space="preserve"> results from two </w:t>
      </w:r>
      <w:r w:rsidR="00C07CB2" w:rsidRPr="003D70B4">
        <w:rPr>
          <w:bCs/>
        </w:rPr>
        <w:t xml:space="preserve">multisource </w:t>
      </w:r>
      <w:r w:rsidR="007B467A" w:rsidRPr="003D70B4">
        <w:rPr>
          <w:bCs/>
        </w:rPr>
        <w:t>studies</w:t>
      </w:r>
      <w:r w:rsidR="00802054" w:rsidRPr="003D70B4">
        <w:rPr>
          <w:bCs/>
        </w:rPr>
        <w:t xml:space="preserve">, using </w:t>
      </w:r>
      <w:r w:rsidR="00802054" w:rsidRPr="003D70B4">
        <w:t>data across many organizations,</w:t>
      </w:r>
      <w:r w:rsidR="007B467A" w:rsidRPr="003D70B4">
        <w:rPr>
          <w:bCs/>
        </w:rPr>
        <w:t xml:space="preserve"> </w:t>
      </w:r>
      <w:r w:rsidR="002B5128" w:rsidRPr="003D70B4">
        <w:rPr>
          <w:bCs/>
        </w:rPr>
        <w:t>converged in</w:t>
      </w:r>
      <w:r w:rsidR="006F1F01" w:rsidRPr="003D70B4">
        <w:rPr>
          <w:bCs/>
        </w:rPr>
        <w:t xml:space="preserve"> </w:t>
      </w:r>
      <w:r w:rsidR="007B467A" w:rsidRPr="003D70B4">
        <w:rPr>
          <w:bCs/>
        </w:rPr>
        <w:t>support</w:t>
      </w:r>
      <w:r w:rsidR="002B5128" w:rsidRPr="003D70B4">
        <w:rPr>
          <w:bCs/>
        </w:rPr>
        <w:t>ing</w:t>
      </w:r>
      <w:r w:rsidR="007B467A" w:rsidRPr="003D70B4">
        <w:rPr>
          <w:bCs/>
        </w:rPr>
        <w:t xml:space="preserve"> the </w:t>
      </w:r>
      <w:r w:rsidR="00FD5D1C" w:rsidRPr="003D70B4">
        <w:rPr>
          <w:bCs/>
        </w:rPr>
        <w:t>fi</w:t>
      </w:r>
      <w:r w:rsidR="007B5C3E" w:rsidRPr="003D70B4">
        <w:rPr>
          <w:bCs/>
        </w:rPr>
        <w:t>r</w:t>
      </w:r>
      <w:r w:rsidR="00FD5D1C" w:rsidRPr="003D70B4">
        <w:rPr>
          <w:bCs/>
        </w:rPr>
        <w:t xml:space="preserve">st </w:t>
      </w:r>
      <w:r w:rsidR="003522D4" w:rsidRPr="003D70B4">
        <w:rPr>
          <w:bCs/>
        </w:rPr>
        <w:t>perspective</w:t>
      </w:r>
      <w:r w:rsidR="004726B4" w:rsidRPr="003D70B4">
        <w:rPr>
          <w:bCs/>
        </w:rPr>
        <w:t>.</w:t>
      </w:r>
      <w:r w:rsidR="00BE74FF" w:rsidRPr="003D70B4">
        <w:rPr>
          <w:bCs/>
        </w:rPr>
        <w:t xml:space="preserve"> </w:t>
      </w:r>
      <w:r w:rsidR="00F6095E" w:rsidRPr="003D70B4">
        <w:rPr>
          <w:bCs/>
        </w:rPr>
        <w:t xml:space="preserve">Although </w:t>
      </w:r>
      <w:r w:rsidR="00BE74FF" w:rsidRPr="003D70B4">
        <w:rPr>
          <w:bCs/>
        </w:rPr>
        <w:t xml:space="preserve">narcissistic employees </w:t>
      </w:r>
      <w:r w:rsidR="003522D4" w:rsidRPr="003D70B4">
        <w:rPr>
          <w:bCs/>
        </w:rPr>
        <w:t>used</w:t>
      </w:r>
      <w:r w:rsidR="00BE74FF" w:rsidRPr="003D70B4">
        <w:rPr>
          <w:bCs/>
        </w:rPr>
        <w:t xml:space="preserve"> self-promotion as an impression management tactic towards their supervisors, it was their </w:t>
      </w:r>
      <w:r w:rsidR="005635E7" w:rsidRPr="003D70B4">
        <w:rPr>
          <w:bCs/>
        </w:rPr>
        <w:t xml:space="preserve">perceived sense of power and commensurate </w:t>
      </w:r>
      <w:r w:rsidR="00691669" w:rsidRPr="003D70B4">
        <w:rPr>
          <w:bCs/>
        </w:rPr>
        <w:t>enacted</w:t>
      </w:r>
      <w:r w:rsidR="00BE74FF" w:rsidRPr="003D70B4">
        <w:rPr>
          <w:bCs/>
        </w:rPr>
        <w:t xml:space="preserve"> power</w:t>
      </w:r>
      <w:r w:rsidR="00691669" w:rsidRPr="003D70B4">
        <w:rPr>
          <w:bCs/>
        </w:rPr>
        <w:t>-related</w:t>
      </w:r>
      <w:r w:rsidR="00BE74FF" w:rsidRPr="003D70B4">
        <w:rPr>
          <w:bCs/>
        </w:rPr>
        <w:t xml:space="preserve"> </w:t>
      </w:r>
      <w:r w:rsidR="00844AE7" w:rsidRPr="003D70B4">
        <w:rPr>
          <w:bCs/>
        </w:rPr>
        <w:t>behavior</w:t>
      </w:r>
      <w:r w:rsidR="00BE74FF" w:rsidRPr="003D70B4">
        <w:rPr>
          <w:bCs/>
        </w:rPr>
        <w:t xml:space="preserve"> that </w:t>
      </w:r>
      <w:r w:rsidR="00691669" w:rsidRPr="003D70B4">
        <w:rPr>
          <w:bCs/>
        </w:rPr>
        <w:t xml:space="preserve">emerged as </w:t>
      </w:r>
      <w:r w:rsidR="00BE74FF" w:rsidRPr="003D70B4">
        <w:rPr>
          <w:bCs/>
        </w:rPr>
        <w:t>the</w:t>
      </w:r>
      <w:r w:rsidR="00FE772B" w:rsidRPr="003D70B4">
        <w:rPr>
          <w:bCs/>
        </w:rPr>
        <w:t xml:space="preserve"> more likely</w:t>
      </w:r>
      <w:r w:rsidR="00BE74FF" w:rsidRPr="003D70B4">
        <w:rPr>
          <w:bCs/>
        </w:rPr>
        <w:t xml:space="preserve"> mechanism</w:t>
      </w:r>
      <w:r w:rsidR="00F6095E" w:rsidRPr="003D70B4">
        <w:rPr>
          <w:bCs/>
        </w:rPr>
        <w:t xml:space="preserve"> accounting for</w:t>
      </w:r>
      <w:r w:rsidR="00BE74FF" w:rsidRPr="003D70B4">
        <w:rPr>
          <w:bCs/>
        </w:rPr>
        <w:t xml:space="preserve"> the link between </w:t>
      </w:r>
      <w:r w:rsidR="00CC6EB3" w:rsidRPr="003D70B4">
        <w:rPr>
          <w:bCs/>
        </w:rPr>
        <w:t xml:space="preserve">employee </w:t>
      </w:r>
      <w:r w:rsidR="00BE74FF" w:rsidRPr="003D70B4">
        <w:rPr>
          <w:bCs/>
        </w:rPr>
        <w:t>narcissism and promotability.</w:t>
      </w:r>
      <w:r w:rsidR="006A7A8E" w:rsidRPr="003D70B4">
        <w:rPr>
          <w:bCs/>
        </w:rPr>
        <w:t xml:space="preserve"> </w:t>
      </w:r>
      <w:r w:rsidR="00EF5DF9" w:rsidRPr="003D70B4">
        <w:rPr>
          <w:bCs/>
        </w:rPr>
        <w:t>Further, an</w:t>
      </w:r>
      <w:r w:rsidR="006A7A8E" w:rsidRPr="003D70B4">
        <w:rPr>
          <w:bCs/>
        </w:rPr>
        <w:t xml:space="preserve"> experiment</w:t>
      </w:r>
      <w:r w:rsidR="00EF5DF9" w:rsidRPr="003D70B4">
        <w:rPr>
          <w:bCs/>
        </w:rPr>
        <w:t xml:space="preserve"> illustrated</w:t>
      </w:r>
      <w:r w:rsidR="006A7A8E" w:rsidRPr="003D70B4">
        <w:rPr>
          <w:bCs/>
        </w:rPr>
        <w:t xml:space="preserve"> that high power exhibited by a narcissistic employee did increase promotability ratings. </w:t>
      </w:r>
    </w:p>
    <w:p w14:paraId="7DDC8529" w14:textId="762906F9" w:rsidR="0086580A" w:rsidRPr="003D70B4" w:rsidRDefault="00BA03BE" w:rsidP="00AD31AC">
      <w:pPr>
        <w:widowControl w:val="0"/>
        <w:spacing w:line="480" w:lineRule="auto"/>
        <w:rPr>
          <w:bCs/>
        </w:rPr>
      </w:pPr>
      <w:r w:rsidRPr="003D70B4">
        <w:rPr>
          <w:bCs/>
        </w:rPr>
        <w:tab/>
        <w:t>The present work</w:t>
      </w:r>
      <w:r w:rsidR="003522D4" w:rsidRPr="003D70B4">
        <w:rPr>
          <w:bCs/>
        </w:rPr>
        <w:t xml:space="preserve"> </w:t>
      </w:r>
      <w:r w:rsidRPr="003D70B4">
        <w:rPr>
          <w:bCs/>
        </w:rPr>
        <w:t xml:space="preserve">extends </w:t>
      </w:r>
      <w:r w:rsidR="009E26BF" w:rsidRPr="003D70B4">
        <w:rPr>
          <w:bCs/>
        </w:rPr>
        <w:t>literature</w:t>
      </w:r>
      <w:r w:rsidRPr="003D70B4">
        <w:rPr>
          <w:bCs/>
        </w:rPr>
        <w:t xml:space="preserve"> on the rise of </w:t>
      </w:r>
      <w:r w:rsidR="00E76A19">
        <w:t xml:space="preserve">narcissistic individuals </w:t>
      </w:r>
      <w:r w:rsidRPr="003D70B4">
        <w:rPr>
          <w:bCs/>
        </w:rPr>
        <w:t xml:space="preserve">to </w:t>
      </w:r>
      <w:r w:rsidR="00691669" w:rsidRPr="003D70B4">
        <w:rPr>
          <w:bCs/>
        </w:rPr>
        <w:t>leadership</w:t>
      </w:r>
      <w:r w:rsidRPr="003D70B4">
        <w:rPr>
          <w:bCs/>
        </w:rPr>
        <w:t xml:space="preserve"> posit</w:t>
      </w:r>
      <w:r w:rsidR="00541F02" w:rsidRPr="003D70B4">
        <w:rPr>
          <w:bCs/>
        </w:rPr>
        <w:t>ions in short-term groups (Brun</w:t>
      </w:r>
      <w:r w:rsidRPr="003D70B4">
        <w:rPr>
          <w:bCs/>
        </w:rPr>
        <w:t>el</w:t>
      </w:r>
      <w:r w:rsidR="00541F02" w:rsidRPr="003D70B4">
        <w:rPr>
          <w:bCs/>
        </w:rPr>
        <w:t>l et al., 2008</w:t>
      </w:r>
      <w:r w:rsidRPr="003D70B4">
        <w:rPr>
          <w:bCs/>
        </w:rPr>
        <w:t>)</w:t>
      </w:r>
      <w:r w:rsidR="00FE772B" w:rsidRPr="003D70B4">
        <w:rPr>
          <w:bCs/>
        </w:rPr>
        <w:t>,</w:t>
      </w:r>
      <w:r w:rsidRPr="003D70B4">
        <w:rPr>
          <w:bCs/>
        </w:rPr>
        <w:t xml:space="preserve"> and </w:t>
      </w:r>
      <w:r w:rsidR="00407A1C" w:rsidRPr="003D70B4">
        <w:rPr>
          <w:bCs/>
        </w:rPr>
        <w:t>provide</w:t>
      </w:r>
      <w:r w:rsidR="00F6095E" w:rsidRPr="003D70B4">
        <w:rPr>
          <w:bCs/>
        </w:rPr>
        <w:t>s</w:t>
      </w:r>
      <w:r w:rsidR="00407A1C" w:rsidRPr="003D70B4">
        <w:rPr>
          <w:bCs/>
        </w:rPr>
        <w:t xml:space="preserve"> </w:t>
      </w:r>
      <w:r w:rsidR="004163B3" w:rsidRPr="003D70B4">
        <w:rPr>
          <w:bCs/>
        </w:rPr>
        <w:t xml:space="preserve">a potential </w:t>
      </w:r>
      <w:r w:rsidR="00267077" w:rsidRPr="003D70B4">
        <w:rPr>
          <w:bCs/>
        </w:rPr>
        <w:t>explanation</w:t>
      </w:r>
      <w:r w:rsidR="00407A1C" w:rsidRPr="003D70B4">
        <w:rPr>
          <w:bCs/>
        </w:rPr>
        <w:t xml:space="preserve"> for </w:t>
      </w:r>
      <w:r w:rsidRPr="003D70B4">
        <w:rPr>
          <w:bCs/>
        </w:rPr>
        <w:t>the</w:t>
      </w:r>
      <w:r w:rsidR="00FE772B" w:rsidRPr="003D70B4">
        <w:rPr>
          <w:bCs/>
        </w:rPr>
        <w:t xml:space="preserve"> </w:t>
      </w:r>
      <w:r w:rsidRPr="003D70B4">
        <w:rPr>
          <w:bCs/>
        </w:rPr>
        <w:t>prevalence</w:t>
      </w:r>
      <w:r w:rsidR="00FE772B" w:rsidRPr="003D70B4">
        <w:rPr>
          <w:bCs/>
        </w:rPr>
        <w:t xml:space="preserve"> of </w:t>
      </w:r>
      <w:r w:rsidR="00BF76C8">
        <w:t>such</w:t>
      </w:r>
      <w:r w:rsidR="00E76A19">
        <w:t xml:space="preserve"> individuals</w:t>
      </w:r>
      <w:r w:rsidR="00E76A19" w:rsidRPr="003D70B4" w:rsidDel="00E76A19">
        <w:rPr>
          <w:bCs/>
        </w:rPr>
        <w:t xml:space="preserve"> </w:t>
      </w:r>
      <w:r w:rsidRPr="003D70B4">
        <w:rPr>
          <w:bCs/>
        </w:rPr>
        <w:t>in</w:t>
      </w:r>
      <w:r w:rsidR="00691669" w:rsidRPr="003D70B4">
        <w:rPr>
          <w:bCs/>
        </w:rPr>
        <w:t xml:space="preserve"> more enduring </w:t>
      </w:r>
      <w:r w:rsidR="00502C52" w:rsidRPr="003D70B4">
        <w:rPr>
          <w:bCs/>
        </w:rPr>
        <w:t>high-</w:t>
      </w:r>
      <w:r w:rsidR="00FE772B" w:rsidRPr="003D70B4">
        <w:rPr>
          <w:bCs/>
        </w:rPr>
        <w:t xml:space="preserve">influence </w:t>
      </w:r>
      <w:r w:rsidRPr="003D70B4">
        <w:rPr>
          <w:bCs/>
        </w:rPr>
        <w:t>positions (</w:t>
      </w:r>
      <w:r w:rsidR="00541F02" w:rsidRPr="003D70B4">
        <w:t>Watts et al., 2013</w:t>
      </w:r>
      <w:r w:rsidRPr="003D70B4">
        <w:rPr>
          <w:bCs/>
        </w:rPr>
        <w:t>)</w:t>
      </w:r>
      <w:r w:rsidR="00407A1C" w:rsidRPr="003D70B4">
        <w:rPr>
          <w:bCs/>
        </w:rPr>
        <w:t>.</w:t>
      </w:r>
      <w:r w:rsidRPr="003D70B4">
        <w:rPr>
          <w:bCs/>
        </w:rPr>
        <w:t xml:space="preserve"> </w:t>
      </w:r>
      <w:r w:rsidR="002B5128" w:rsidRPr="003D70B4">
        <w:rPr>
          <w:bCs/>
        </w:rPr>
        <w:t>The work d</w:t>
      </w:r>
      <w:r w:rsidR="00F6095E" w:rsidRPr="003D70B4">
        <w:rPr>
          <w:bCs/>
        </w:rPr>
        <w:t>emonstrate</w:t>
      </w:r>
      <w:r w:rsidR="002B5128" w:rsidRPr="003D70B4">
        <w:rPr>
          <w:bCs/>
        </w:rPr>
        <w:t>d</w:t>
      </w:r>
      <w:r w:rsidR="00F6095E" w:rsidRPr="003D70B4">
        <w:rPr>
          <w:bCs/>
        </w:rPr>
        <w:t xml:space="preserve"> </w:t>
      </w:r>
      <w:r w:rsidRPr="003D70B4">
        <w:rPr>
          <w:bCs/>
        </w:rPr>
        <w:t xml:space="preserve">that </w:t>
      </w:r>
      <w:r w:rsidR="003522D4" w:rsidRPr="003D70B4">
        <w:rPr>
          <w:bCs/>
        </w:rPr>
        <w:t>one</w:t>
      </w:r>
      <w:r w:rsidRPr="003D70B4">
        <w:rPr>
          <w:bCs/>
        </w:rPr>
        <w:t xml:space="preserve"> </w:t>
      </w:r>
      <w:r w:rsidR="003522D4" w:rsidRPr="003D70B4">
        <w:rPr>
          <w:bCs/>
        </w:rPr>
        <w:t>route</w:t>
      </w:r>
      <w:r w:rsidR="00407A1C" w:rsidRPr="003D70B4">
        <w:rPr>
          <w:bCs/>
        </w:rPr>
        <w:t xml:space="preserve"> </w:t>
      </w:r>
      <w:r w:rsidR="00541F02" w:rsidRPr="003D70B4">
        <w:rPr>
          <w:bCs/>
        </w:rPr>
        <w:t xml:space="preserve">to the top </w:t>
      </w:r>
      <w:r w:rsidRPr="003D70B4">
        <w:rPr>
          <w:bCs/>
        </w:rPr>
        <w:t xml:space="preserve">is </w:t>
      </w:r>
      <w:r w:rsidR="00E2667F" w:rsidRPr="003D70B4">
        <w:rPr>
          <w:bCs/>
        </w:rPr>
        <w:t xml:space="preserve">perceiving and exercising </w:t>
      </w:r>
      <w:r w:rsidR="006C62C5" w:rsidRPr="003D70B4">
        <w:rPr>
          <w:bCs/>
        </w:rPr>
        <w:t>power in group</w:t>
      </w:r>
      <w:r w:rsidR="00541F02" w:rsidRPr="003D70B4">
        <w:rPr>
          <w:bCs/>
        </w:rPr>
        <w:t>s</w:t>
      </w:r>
      <w:r w:rsidR="006C62C5" w:rsidRPr="003D70B4">
        <w:rPr>
          <w:bCs/>
        </w:rPr>
        <w:t>, which</w:t>
      </w:r>
      <w:r w:rsidR="00DF653A" w:rsidRPr="003D70B4">
        <w:rPr>
          <w:bCs/>
        </w:rPr>
        <w:t xml:space="preserve"> </w:t>
      </w:r>
      <w:r w:rsidR="009F3254" w:rsidRPr="003D70B4">
        <w:rPr>
          <w:bCs/>
        </w:rPr>
        <w:t>conduces to</w:t>
      </w:r>
      <w:r w:rsidR="00DF653A" w:rsidRPr="003D70B4">
        <w:rPr>
          <w:bCs/>
        </w:rPr>
        <w:t xml:space="preserve"> supervisors </w:t>
      </w:r>
      <w:r w:rsidR="00FE772B" w:rsidRPr="003D70B4">
        <w:rPr>
          <w:bCs/>
        </w:rPr>
        <w:t xml:space="preserve">considering </w:t>
      </w:r>
      <w:r w:rsidR="00DF653A" w:rsidRPr="003D70B4">
        <w:rPr>
          <w:bCs/>
        </w:rPr>
        <w:t>narcissistic individuals as promotable and c</w:t>
      </w:r>
      <w:r w:rsidR="003725CD" w:rsidRPr="003D70B4">
        <w:rPr>
          <w:bCs/>
        </w:rPr>
        <w:t xml:space="preserve">apable of functioning in </w:t>
      </w:r>
      <w:r w:rsidR="00DF653A" w:rsidRPr="003D70B4">
        <w:rPr>
          <w:bCs/>
        </w:rPr>
        <w:t>higher-level positions.</w:t>
      </w:r>
      <w:r w:rsidR="00267077" w:rsidRPr="003D70B4">
        <w:rPr>
          <w:bCs/>
        </w:rPr>
        <w:t xml:space="preserve"> These findings </w:t>
      </w:r>
      <w:r w:rsidR="00F6095E" w:rsidRPr="003D70B4">
        <w:rPr>
          <w:bCs/>
        </w:rPr>
        <w:t>augur</w:t>
      </w:r>
      <w:r w:rsidR="00267077" w:rsidRPr="003D70B4">
        <w:rPr>
          <w:bCs/>
        </w:rPr>
        <w:t xml:space="preserve"> with implicit theory of leadership </w:t>
      </w:r>
      <w:r w:rsidR="00541F02" w:rsidRPr="003D70B4">
        <w:rPr>
          <w:bCs/>
        </w:rPr>
        <w:t>(</w:t>
      </w:r>
      <w:r w:rsidR="00541F02" w:rsidRPr="003D70B4">
        <w:t xml:space="preserve">Lord et al., 1984) </w:t>
      </w:r>
      <w:r w:rsidR="00267077" w:rsidRPr="003D70B4">
        <w:rPr>
          <w:bCs/>
        </w:rPr>
        <w:t>posit</w:t>
      </w:r>
      <w:r w:rsidR="009F3254" w:rsidRPr="003D70B4">
        <w:rPr>
          <w:bCs/>
        </w:rPr>
        <w:t>ing</w:t>
      </w:r>
      <w:r w:rsidR="00267077" w:rsidRPr="003D70B4">
        <w:rPr>
          <w:bCs/>
        </w:rPr>
        <w:t xml:space="preserve"> that</w:t>
      </w:r>
      <w:r w:rsidR="00F6095E" w:rsidRPr="003D70B4">
        <w:rPr>
          <w:bCs/>
        </w:rPr>
        <w:t>,</w:t>
      </w:r>
      <w:r w:rsidR="00267077" w:rsidRPr="003D70B4">
        <w:rPr>
          <w:bCs/>
        </w:rPr>
        <w:t xml:space="preserve"> if someone </w:t>
      </w:r>
      <w:r w:rsidR="00F6095E" w:rsidRPr="003D70B4">
        <w:rPr>
          <w:bCs/>
        </w:rPr>
        <w:t xml:space="preserve">manifests </w:t>
      </w:r>
      <w:r w:rsidR="00844AE7" w:rsidRPr="003D70B4">
        <w:rPr>
          <w:bCs/>
        </w:rPr>
        <w:t>behavior</w:t>
      </w:r>
      <w:r w:rsidR="00267077" w:rsidRPr="003D70B4">
        <w:rPr>
          <w:bCs/>
        </w:rPr>
        <w:t xml:space="preserve">s associated with prototypical leader characteristics, this person will be </w:t>
      </w:r>
      <w:r w:rsidR="003522D4" w:rsidRPr="003D70B4">
        <w:rPr>
          <w:bCs/>
        </w:rPr>
        <w:t>perceived</w:t>
      </w:r>
      <w:r w:rsidR="00267077" w:rsidRPr="003D70B4">
        <w:rPr>
          <w:bCs/>
        </w:rPr>
        <w:t xml:space="preserve"> as leader.</w:t>
      </w:r>
      <w:r w:rsidR="00523C7B" w:rsidRPr="003D70B4">
        <w:rPr>
          <w:bCs/>
        </w:rPr>
        <w:t xml:space="preserve"> </w:t>
      </w:r>
      <w:r w:rsidR="000770F0" w:rsidRPr="003D70B4">
        <w:rPr>
          <w:bCs/>
        </w:rPr>
        <w:t>The</w:t>
      </w:r>
      <w:r w:rsidR="00523C7B" w:rsidRPr="003D70B4">
        <w:rPr>
          <w:bCs/>
        </w:rPr>
        <w:t xml:space="preserve"> findings </w:t>
      </w:r>
      <w:r w:rsidR="00A70B38" w:rsidRPr="003D70B4">
        <w:rPr>
          <w:bCs/>
        </w:rPr>
        <w:t xml:space="preserve">could </w:t>
      </w:r>
      <w:r w:rsidR="00292A16" w:rsidRPr="003D70B4">
        <w:rPr>
          <w:bCs/>
        </w:rPr>
        <w:t xml:space="preserve">also </w:t>
      </w:r>
      <w:r w:rsidR="00A70B38" w:rsidRPr="003D70B4">
        <w:rPr>
          <w:bCs/>
        </w:rPr>
        <w:t>be interpreted through</w:t>
      </w:r>
      <w:r w:rsidR="00523C7B" w:rsidRPr="003D70B4">
        <w:rPr>
          <w:bCs/>
        </w:rPr>
        <w:t xml:space="preserve"> leadership identity theory </w:t>
      </w:r>
      <w:r w:rsidR="00292A16" w:rsidRPr="003D70B4">
        <w:rPr>
          <w:bCs/>
        </w:rPr>
        <w:t>positing</w:t>
      </w:r>
      <w:r w:rsidR="00523C7B" w:rsidRPr="003D70B4">
        <w:rPr>
          <w:bCs/>
        </w:rPr>
        <w:t xml:space="preserve"> that leadership develops through a series of claiming</w:t>
      </w:r>
      <w:r w:rsidR="00A70B38" w:rsidRPr="003D70B4">
        <w:rPr>
          <w:bCs/>
        </w:rPr>
        <w:t xml:space="preserve"> and granting</w:t>
      </w:r>
      <w:r w:rsidR="00523C7B" w:rsidRPr="003D70B4">
        <w:rPr>
          <w:bCs/>
        </w:rPr>
        <w:t xml:space="preserve"> </w:t>
      </w:r>
      <w:r w:rsidR="00844AE7" w:rsidRPr="003D70B4">
        <w:rPr>
          <w:bCs/>
        </w:rPr>
        <w:t>behavior</w:t>
      </w:r>
      <w:r w:rsidR="00523C7B" w:rsidRPr="003D70B4">
        <w:rPr>
          <w:bCs/>
        </w:rPr>
        <w:t xml:space="preserve">s in </w:t>
      </w:r>
      <w:r w:rsidR="00A70B38" w:rsidRPr="003D70B4">
        <w:rPr>
          <w:bCs/>
        </w:rPr>
        <w:t>which a person</w:t>
      </w:r>
      <w:r w:rsidR="00523C7B" w:rsidRPr="003D70B4">
        <w:rPr>
          <w:bCs/>
        </w:rPr>
        <w:t xml:space="preserve"> </w:t>
      </w:r>
      <w:r w:rsidR="00A70B38" w:rsidRPr="003D70B4">
        <w:rPr>
          <w:bCs/>
        </w:rPr>
        <w:t>asserts oneself as either</w:t>
      </w:r>
      <w:r w:rsidR="00523C7B" w:rsidRPr="003D70B4">
        <w:rPr>
          <w:bCs/>
        </w:rPr>
        <w:t xml:space="preserve"> a leader or a follower</w:t>
      </w:r>
      <w:r w:rsidR="00A70B38" w:rsidRPr="003D70B4">
        <w:rPr>
          <w:bCs/>
        </w:rPr>
        <w:t xml:space="preserve"> in the course of social interactions (DeRue &amp; Ashford, 2010)</w:t>
      </w:r>
      <w:r w:rsidR="00523C7B" w:rsidRPr="003D70B4">
        <w:rPr>
          <w:bCs/>
        </w:rPr>
        <w:t xml:space="preserve">. </w:t>
      </w:r>
      <w:r w:rsidR="00A70B38" w:rsidRPr="003D70B4">
        <w:rPr>
          <w:bCs/>
        </w:rPr>
        <w:t xml:space="preserve">By acting as if they have more power in the group, </w:t>
      </w:r>
      <w:r w:rsidR="00BF76C8">
        <w:t>narcissistic employees</w:t>
      </w:r>
      <w:r w:rsidR="00BF76C8" w:rsidRPr="003D70B4" w:rsidDel="00BF76C8">
        <w:rPr>
          <w:bCs/>
        </w:rPr>
        <w:t xml:space="preserve"> </w:t>
      </w:r>
      <w:r w:rsidR="00292A16" w:rsidRPr="003D70B4">
        <w:rPr>
          <w:bCs/>
        </w:rPr>
        <w:t>can</w:t>
      </w:r>
      <w:r w:rsidR="00A70B38" w:rsidRPr="003D70B4">
        <w:rPr>
          <w:bCs/>
        </w:rPr>
        <w:t xml:space="preserve"> be seen </w:t>
      </w:r>
      <w:r w:rsidR="00292A16" w:rsidRPr="003D70B4">
        <w:rPr>
          <w:bCs/>
        </w:rPr>
        <w:t>as staking their claim to leadership</w:t>
      </w:r>
      <w:r w:rsidR="00A70B38" w:rsidRPr="003D70B4">
        <w:rPr>
          <w:bCs/>
        </w:rPr>
        <w:t xml:space="preserve">, which </w:t>
      </w:r>
      <w:r w:rsidR="00166332" w:rsidRPr="003D70B4">
        <w:rPr>
          <w:bCs/>
        </w:rPr>
        <w:t xml:space="preserve">appears to get noticed by their supervisors who may later grant them formal leadership through </w:t>
      </w:r>
      <w:r w:rsidR="0000167F" w:rsidRPr="003D70B4">
        <w:rPr>
          <w:bCs/>
        </w:rPr>
        <w:t xml:space="preserve">a </w:t>
      </w:r>
      <w:r w:rsidR="00166332" w:rsidRPr="003D70B4">
        <w:rPr>
          <w:bCs/>
        </w:rPr>
        <w:t>promotion</w:t>
      </w:r>
      <w:r w:rsidR="00A70B38" w:rsidRPr="003D70B4">
        <w:rPr>
          <w:bCs/>
        </w:rPr>
        <w:t xml:space="preserve">. </w:t>
      </w:r>
      <w:r w:rsidR="00731603" w:rsidRPr="003D70B4">
        <w:rPr>
          <w:bCs/>
        </w:rPr>
        <w:t>This</w:t>
      </w:r>
      <w:r w:rsidR="00FE772B" w:rsidRPr="003D70B4">
        <w:rPr>
          <w:bCs/>
        </w:rPr>
        <w:t xml:space="preserve"> claim</w:t>
      </w:r>
      <w:r w:rsidR="00731603" w:rsidRPr="003D70B4">
        <w:rPr>
          <w:bCs/>
        </w:rPr>
        <w:t xml:space="preserve"> is in line with research </w:t>
      </w:r>
      <w:r w:rsidR="00AD31AC">
        <w:rPr>
          <w:bCs/>
        </w:rPr>
        <w:t>illustrating</w:t>
      </w:r>
      <w:r w:rsidR="00AD31AC" w:rsidRPr="003D70B4">
        <w:rPr>
          <w:bCs/>
        </w:rPr>
        <w:t xml:space="preserve"> </w:t>
      </w:r>
      <w:r w:rsidR="00731603" w:rsidRPr="003D70B4">
        <w:rPr>
          <w:bCs/>
        </w:rPr>
        <w:t>that individuals who believe that they have high power are more likely to be successful at accruing actual power and influence (Anderson, et al., 2012</w:t>
      </w:r>
      <w:r w:rsidR="00C03271" w:rsidRPr="003D70B4">
        <w:rPr>
          <w:bCs/>
        </w:rPr>
        <w:t xml:space="preserve">; Galinsky et al., </w:t>
      </w:r>
      <w:r w:rsidR="00C03271" w:rsidRPr="003D70B4">
        <w:rPr>
          <w:bCs/>
        </w:rPr>
        <w:lastRenderedPageBreak/>
        <w:t>2015</w:t>
      </w:r>
      <w:r w:rsidR="00731603" w:rsidRPr="003D70B4">
        <w:rPr>
          <w:bCs/>
        </w:rPr>
        <w:t>).</w:t>
      </w:r>
      <w:r w:rsidR="00177E32" w:rsidRPr="003D70B4">
        <w:rPr>
          <w:bCs/>
        </w:rPr>
        <w:t xml:space="preserve"> </w:t>
      </w:r>
      <w:r w:rsidR="00177E32">
        <w:rPr>
          <w:bCs/>
        </w:rPr>
        <w:t xml:space="preserve">Consistent with this interpretation, the component of narcissism </w:t>
      </w:r>
      <w:r w:rsidR="00AD31AC">
        <w:rPr>
          <w:bCs/>
        </w:rPr>
        <w:t>that</w:t>
      </w:r>
      <w:r w:rsidR="00177E32">
        <w:rPr>
          <w:bCs/>
        </w:rPr>
        <w:t xml:space="preserve"> is </w:t>
      </w:r>
      <w:r w:rsidR="00177E32" w:rsidRPr="006B543A">
        <w:rPr>
          <w:bCs/>
        </w:rPr>
        <w:t xml:space="preserve">indicative of </w:t>
      </w:r>
      <w:r w:rsidR="003124D1">
        <w:rPr>
          <w:bCs/>
        </w:rPr>
        <w:t xml:space="preserve">having </w:t>
      </w:r>
      <w:r w:rsidR="00177E32">
        <w:rPr>
          <w:bCs/>
        </w:rPr>
        <w:t>self-perceived</w:t>
      </w:r>
      <w:r w:rsidR="00177E32" w:rsidRPr="006B543A">
        <w:rPr>
          <w:bCs/>
        </w:rPr>
        <w:t xml:space="preserve"> </w:t>
      </w:r>
      <w:r w:rsidR="00177E32">
        <w:rPr>
          <w:bCs/>
        </w:rPr>
        <w:t>authority</w:t>
      </w:r>
      <w:r w:rsidR="00177E32" w:rsidRPr="006B543A">
        <w:rPr>
          <w:bCs/>
        </w:rPr>
        <w:t>, social potency, and dominance</w:t>
      </w:r>
      <w:r w:rsidR="00177E32">
        <w:rPr>
          <w:bCs/>
        </w:rPr>
        <w:t xml:space="preserve"> (Ackerman et al., 2011) most strongly predicted promotability in Study 1.</w:t>
      </w:r>
      <w:r w:rsidR="00DA6CA4">
        <w:rPr>
          <w:bCs/>
        </w:rPr>
        <w:t xml:space="preserve"> Nonetheless, removal of items pertaining to authority and leadership still showed that employee narcissism predicted higher promotability ratings by supervisors, as explained by employees’ higher sense of power. </w:t>
      </w:r>
      <w:r w:rsidR="0088308D">
        <w:rPr>
          <w:bCs/>
        </w:rPr>
        <w:t>Therefore, even more maladaptive aspects of narcissism, such as exploitativeness, sense of entitlement, superiority, grandiosity</w:t>
      </w:r>
      <w:r w:rsidR="00AD31AC">
        <w:rPr>
          <w:bCs/>
        </w:rPr>
        <w:t>,</w:t>
      </w:r>
      <w:r w:rsidR="0088308D">
        <w:rPr>
          <w:bCs/>
        </w:rPr>
        <w:t xml:space="preserve"> and exhibitionism </w:t>
      </w:r>
      <w:r w:rsidR="00EF2571">
        <w:rPr>
          <w:bCs/>
        </w:rPr>
        <w:t xml:space="preserve">can </w:t>
      </w:r>
      <w:r w:rsidR="0088308D">
        <w:rPr>
          <w:bCs/>
        </w:rPr>
        <w:t xml:space="preserve">help engender a positive image of the </w:t>
      </w:r>
      <w:r w:rsidR="00EF2571">
        <w:rPr>
          <w:bCs/>
        </w:rPr>
        <w:t xml:space="preserve">narcissistic </w:t>
      </w:r>
      <w:r w:rsidR="0088308D">
        <w:rPr>
          <w:bCs/>
        </w:rPr>
        <w:t xml:space="preserve">employee in the eyes of the supervisor, in terms of their ability to function successfully at higher levels. </w:t>
      </w:r>
      <w:r w:rsidR="001F205A">
        <w:rPr>
          <w:bCs/>
        </w:rPr>
        <w:t>For instance, narcissistic individuals’ sense of entitlement, exhibitionism</w:t>
      </w:r>
      <w:r w:rsidR="00AD31AC">
        <w:rPr>
          <w:bCs/>
        </w:rPr>
        <w:t>,</w:t>
      </w:r>
      <w:r w:rsidR="001F205A">
        <w:rPr>
          <w:bCs/>
        </w:rPr>
        <w:t xml:space="preserve"> and superiority </w:t>
      </w:r>
      <w:r w:rsidR="0089700B">
        <w:rPr>
          <w:bCs/>
        </w:rPr>
        <w:t>might</w:t>
      </w:r>
      <w:r w:rsidR="001F205A">
        <w:rPr>
          <w:bCs/>
        </w:rPr>
        <w:t xml:space="preserve"> propel them to exhibit proactive behavior in claiming leadership in the organization, such as by speaking out during meetings or requesting being assigned to higher-level tasks </w:t>
      </w:r>
      <w:r w:rsidR="00AD31AC">
        <w:rPr>
          <w:bCs/>
        </w:rPr>
        <w:t>that</w:t>
      </w:r>
      <w:r w:rsidR="001F205A">
        <w:rPr>
          <w:bCs/>
        </w:rPr>
        <w:t xml:space="preserve"> would allow them to showcase </w:t>
      </w:r>
      <w:r w:rsidR="0089700B">
        <w:rPr>
          <w:bCs/>
        </w:rPr>
        <w:t xml:space="preserve">their self-professed superior </w:t>
      </w:r>
      <w:r w:rsidR="001F205A">
        <w:rPr>
          <w:bCs/>
        </w:rPr>
        <w:t>leadership</w:t>
      </w:r>
      <w:r w:rsidR="0089700B">
        <w:rPr>
          <w:bCs/>
        </w:rPr>
        <w:t xml:space="preserve"> skills</w:t>
      </w:r>
      <w:r w:rsidR="001F205A">
        <w:rPr>
          <w:bCs/>
        </w:rPr>
        <w:t xml:space="preserve">. </w:t>
      </w:r>
    </w:p>
    <w:p w14:paraId="5ED676FD" w14:textId="36900063" w:rsidR="00B4514D" w:rsidRDefault="009F3254">
      <w:pPr>
        <w:spacing w:line="480" w:lineRule="auto"/>
        <w:ind w:firstLine="720"/>
        <w:rPr>
          <w:bCs/>
        </w:rPr>
      </w:pPr>
      <w:r w:rsidRPr="003D70B4">
        <w:rPr>
          <w:bCs/>
        </w:rPr>
        <w:t>O</w:t>
      </w:r>
      <w:r w:rsidR="00C97E41" w:rsidRPr="003D70B4">
        <w:rPr>
          <w:bCs/>
        </w:rPr>
        <w:t xml:space="preserve">ur findings </w:t>
      </w:r>
      <w:r w:rsidRPr="003D70B4">
        <w:rPr>
          <w:bCs/>
        </w:rPr>
        <w:t>indicate</w:t>
      </w:r>
      <w:r w:rsidR="00C97E41" w:rsidRPr="003D70B4">
        <w:rPr>
          <w:bCs/>
        </w:rPr>
        <w:t xml:space="preserve"> that</w:t>
      </w:r>
      <w:r w:rsidR="004049E3" w:rsidRPr="003D70B4">
        <w:rPr>
          <w:bCs/>
        </w:rPr>
        <w:t xml:space="preserve"> </w:t>
      </w:r>
      <w:r w:rsidR="00237532">
        <w:rPr>
          <w:bCs/>
        </w:rPr>
        <w:t>individuals high in narcissism</w:t>
      </w:r>
      <w:r w:rsidR="00237532" w:rsidRPr="003D70B4">
        <w:rPr>
          <w:bCs/>
        </w:rPr>
        <w:t xml:space="preserve"> </w:t>
      </w:r>
      <w:r w:rsidR="004049E3" w:rsidRPr="003D70B4">
        <w:rPr>
          <w:bCs/>
        </w:rPr>
        <w:t xml:space="preserve">differentiate their </w:t>
      </w:r>
      <w:r w:rsidR="00844AE7" w:rsidRPr="003D70B4">
        <w:rPr>
          <w:bCs/>
        </w:rPr>
        <w:t>behavior</w:t>
      </w:r>
      <w:r w:rsidR="004049E3" w:rsidRPr="003D70B4">
        <w:rPr>
          <w:bCs/>
        </w:rPr>
        <w:t xml:space="preserve"> depending on </w:t>
      </w:r>
      <w:r w:rsidRPr="003D70B4">
        <w:rPr>
          <w:bCs/>
        </w:rPr>
        <w:t xml:space="preserve">observer </w:t>
      </w:r>
      <w:r w:rsidR="004049E3" w:rsidRPr="003D70B4">
        <w:rPr>
          <w:bCs/>
        </w:rPr>
        <w:t xml:space="preserve">status. </w:t>
      </w:r>
      <w:r w:rsidRPr="003D70B4">
        <w:rPr>
          <w:bCs/>
        </w:rPr>
        <w:t xml:space="preserve">Although </w:t>
      </w:r>
      <w:r w:rsidR="00237532">
        <w:t>narcissistic individuals</w:t>
      </w:r>
      <w:r w:rsidR="00237532" w:rsidRPr="003D70B4" w:rsidDel="00237532">
        <w:rPr>
          <w:bCs/>
        </w:rPr>
        <w:t xml:space="preserve"> </w:t>
      </w:r>
      <w:r w:rsidR="00FE772B" w:rsidRPr="003D70B4">
        <w:rPr>
          <w:bCs/>
        </w:rPr>
        <w:t xml:space="preserve">may </w:t>
      </w:r>
      <w:r w:rsidR="00C97E41" w:rsidRPr="003D70B4">
        <w:rPr>
          <w:bCs/>
        </w:rPr>
        <w:t xml:space="preserve">lose </w:t>
      </w:r>
      <w:r w:rsidR="009F21AD" w:rsidRPr="003D70B4">
        <w:rPr>
          <w:bCs/>
        </w:rPr>
        <w:t xml:space="preserve">their </w:t>
      </w:r>
      <w:r w:rsidR="00C97E41" w:rsidRPr="003D70B4">
        <w:rPr>
          <w:bCs/>
        </w:rPr>
        <w:t>appeal to peers over time (</w:t>
      </w:r>
      <w:r w:rsidR="00053E34" w:rsidRPr="003D70B4">
        <w:t>Leckelt</w:t>
      </w:r>
      <w:r w:rsidR="003D0002" w:rsidRPr="003D70B4">
        <w:t xml:space="preserve"> et al.</w:t>
      </w:r>
      <w:r w:rsidR="00053E34" w:rsidRPr="003D70B4">
        <w:t xml:space="preserve">, 2015; </w:t>
      </w:r>
      <w:r w:rsidR="00C97E41" w:rsidRPr="003D70B4">
        <w:rPr>
          <w:bCs/>
        </w:rPr>
        <w:t xml:space="preserve">Paulhus, 1998), </w:t>
      </w:r>
      <w:r w:rsidRPr="003D70B4">
        <w:rPr>
          <w:bCs/>
        </w:rPr>
        <w:t xml:space="preserve">appeal </w:t>
      </w:r>
      <w:r w:rsidR="009F21AD" w:rsidRPr="003D70B4">
        <w:rPr>
          <w:bCs/>
        </w:rPr>
        <w:t xml:space="preserve">loss </w:t>
      </w:r>
      <w:r w:rsidRPr="003D70B4">
        <w:rPr>
          <w:bCs/>
        </w:rPr>
        <w:t>is not evident</w:t>
      </w:r>
      <w:r w:rsidR="009F21AD" w:rsidRPr="003D70B4">
        <w:rPr>
          <w:bCs/>
        </w:rPr>
        <w:t xml:space="preserve"> when</w:t>
      </w:r>
      <w:r w:rsidR="00C97E41" w:rsidRPr="003D70B4">
        <w:rPr>
          <w:bCs/>
        </w:rPr>
        <w:t xml:space="preserve"> supervisors </w:t>
      </w:r>
      <w:r w:rsidR="009F21AD" w:rsidRPr="003D70B4">
        <w:rPr>
          <w:bCs/>
        </w:rPr>
        <w:t>rate</w:t>
      </w:r>
      <w:r w:rsidR="00C97E41" w:rsidRPr="003D70B4">
        <w:rPr>
          <w:bCs/>
        </w:rPr>
        <w:t xml:space="preserve"> narcissistic employees in longer-term work contexts. </w:t>
      </w:r>
      <w:r w:rsidR="009F21AD" w:rsidRPr="003D70B4">
        <w:rPr>
          <w:bCs/>
        </w:rPr>
        <w:t>Th</w:t>
      </w:r>
      <w:r w:rsidRPr="003D70B4">
        <w:rPr>
          <w:bCs/>
        </w:rPr>
        <w:t>e</w:t>
      </w:r>
      <w:r w:rsidR="009F21AD" w:rsidRPr="003D70B4">
        <w:rPr>
          <w:bCs/>
        </w:rPr>
        <w:t xml:space="preserve"> discrepancy could </w:t>
      </w:r>
      <w:r w:rsidR="009E26BF" w:rsidRPr="003D70B4">
        <w:rPr>
          <w:bCs/>
        </w:rPr>
        <w:t xml:space="preserve">be </w:t>
      </w:r>
      <w:r w:rsidRPr="003D70B4">
        <w:rPr>
          <w:bCs/>
        </w:rPr>
        <w:t>explained</w:t>
      </w:r>
      <w:r w:rsidR="009F21AD" w:rsidRPr="003D70B4">
        <w:rPr>
          <w:bCs/>
        </w:rPr>
        <w:t xml:space="preserve"> by status differences between employees and their supervisors</w:t>
      </w:r>
      <w:r w:rsidR="004049E3" w:rsidRPr="003D70B4">
        <w:rPr>
          <w:bCs/>
        </w:rPr>
        <w:t>, and suggest</w:t>
      </w:r>
      <w:r w:rsidR="00030E9A" w:rsidRPr="003D70B4">
        <w:rPr>
          <w:bCs/>
        </w:rPr>
        <w:t>s</w:t>
      </w:r>
      <w:r w:rsidR="004049E3" w:rsidRPr="003D70B4">
        <w:rPr>
          <w:bCs/>
        </w:rPr>
        <w:t xml:space="preserve"> that narcissistic employees are more motivated to hide their negative</w:t>
      </w:r>
      <w:r w:rsidR="00030E9A" w:rsidRPr="003D70B4">
        <w:rPr>
          <w:bCs/>
        </w:rPr>
        <w:t xml:space="preserve"> side</w:t>
      </w:r>
      <w:r w:rsidR="004049E3" w:rsidRPr="003D70B4">
        <w:rPr>
          <w:bCs/>
        </w:rPr>
        <w:t xml:space="preserve"> from their supervisor than their peers</w:t>
      </w:r>
      <w:r w:rsidR="009F21AD" w:rsidRPr="003D70B4">
        <w:rPr>
          <w:bCs/>
        </w:rPr>
        <w:t xml:space="preserve">. </w:t>
      </w:r>
      <w:r w:rsidR="00237532">
        <w:t>Narcissistic individuals’</w:t>
      </w:r>
      <w:r w:rsidR="00237532" w:rsidRPr="003D70B4" w:rsidDel="00237532">
        <w:rPr>
          <w:bCs/>
        </w:rPr>
        <w:t xml:space="preserve"> </w:t>
      </w:r>
      <w:r w:rsidR="00D143E1" w:rsidRPr="003D70B4">
        <w:rPr>
          <w:bCs/>
        </w:rPr>
        <w:t>sensitivity</w:t>
      </w:r>
      <w:r w:rsidR="00A3613D" w:rsidRPr="003D70B4">
        <w:rPr>
          <w:bCs/>
        </w:rPr>
        <w:t xml:space="preserve"> to the status of others (Giacomin et al., 2018; Horton &amp; Sedikides, 2009)</w:t>
      </w:r>
      <w:r w:rsidR="00D143E1" w:rsidRPr="003D70B4">
        <w:rPr>
          <w:bCs/>
        </w:rPr>
        <w:t xml:space="preserve"> leads them to</w:t>
      </w:r>
      <w:r w:rsidR="00A3613D" w:rsidRPr="003D70B4">
        <w:rPr>
          <w:bCs/>
        </w:rPr>
        <w:t xml:space="preserve"> </w:t>
      </w:r>
      <w:r w:rsidR="00D143E1" w:rsidRPr="003D70B4">
        <w:rPr>
          <w:bCs/>
        </w:rPr>
        <w:t>seek</w:t>
      </w:r>
      <w:r w:rsidR="00A3613D" w:rsidRPr="003D70B4">
        <w:rPr>
          <w:bCs/>
        </w:rPr>
        <w:t xml:space="preserve"> social alliances with people that they perceive as having high status (Buss &amp; Chido, 1991; Jonason &amp; Schmitt, 2012)</w:t>
      </w:r>
      <w:r w:rsidR="00D143E1" w:rsidRPr="003D70B4">
        <w:rPr>
          <w:bCs/>
        </w:rPr>
        <w:t xml:space="preserve"> </w:t>
      </w:r>
      <w:r w:rsidR="000770F0" w:rsidRPr="003D70B4">
        <w:rPr>
          <w:bCs/>
        </w:rPr>
        <w:t xml:space="preserve">and to </w:t>
      </w:r>
      <w:r w:rsidR="00AD31AC">
        <w:rPr>
          <w:bCs/>
        </w:rPr>
        <w:t>solicit</w:t>
      </w:r>
      <w:r w:rsidR="00AD31AC" w:rsidRPr="003D70B4">
        <w:rPr>
          <w:bCs/>
        </w:rPr>
        <w:t xml:space="preserve"> </w:t>
      </w:r>
      <w:r w:rsidR="00D143E1" w:rsidRPr="003D70B4">
        <w:rPr>
          <w:bCs/>
        </w:rPr>
        <w:t xml:space="preserve">their </w:t>
      </w:r>
      <w:r w:rsidR="00A3613D" w:rsidRPr="003D70B4">
        <w:rPr>
          <w:bCs/>
        </w:rPr>
        <w:t>approval</w:t>
      </w:r>
      <w:r w:rsidR="00D143E1" w:rsidRPr="003D70B4">
        <w:rPr>
          <w:bCs/>
        </w:rPr>
        <w:t xml:space="preserve"> </w:t>
      </w:r>
      <w:r w:rsidR="00A3613D" w:rsidRPr="003D70B4">
        <w:rPr>
          <w:bCs/>
        </w:rPr>
        <w:t xml:space="preserve">(Ashton-James &amp; Levordashka, 2013). </w:t>
      </w:r>
      <w:r w:rsidR="00D143E1" w:rsidRPr="003D70B4">
        <w:rPr>
          <w:bCs/>
        </w:rPr>
        <w:t>As such</w:t>
      </w:r>
      <w:r w:rsidR="004049E3" w:rsidRPr="003D70B4">
        <w:rPr>
          <w:bCs/>
        </w:rPr>
        <w:t xml:space="preserve">, </w:t>
      </w:r>
      <w:r w:rsidR="00800D8F" w:rsidRPr="003D70B4">
        <w:rPr>
          <w:bCs/>
        </w:rPr>
        <w:t xml:space="preserve">peers </w:t>
      </w:r>
      <w:r w:rsidRPr="003D70B4">
        <w:rPr>
          <w:bCs/>
        </w:rPr>
        <w:t xml:space="preserve">may be better positioned to detect </w:t>
      </w:r>
      <w:r w:rsidR="00D143E1" w:rsidRPr="003D70B4">
        <w:rPr>
          <w:bCs/>
        </w:rPr>
        <w:t xml:space="preserve">the </w:t>
      </w:r>
      <w:r w:rsidRPr="003D70B4">
        <w:rPr>
          <w:bCs/>
        </w:rPr>
        <w:t>negative</w:t>
      </w:r>
      <w:r w:rsidR="00D143E1" w:rsidRPr="003D70B4">
        <w:rPr>
          <w:bCs/>
        </w:rPr>
        <w:t xml:space="preserve"> aspects of narcissistic employees</w:t>
      </w:r>
      <w:r w:rsidRPr="003D70B4">
        <w:rPr>
          <w:bCs/>
        </w:rPr>
        <w:t xml:space="preserve"> than the</w:t>
      </w:r>
      <w:r w:rsidR="00800D8F" w:rsidRPr="003D70B4">
        <w:rPr>
          <w:bCs/>
        </w:rPr>
        <w:t xml:space="preserve"> supervisor</w:t>
      </w:r>
      <w:r w:rsidR="004049E3" w:rsidRPr="003D70B4">
        <w:rPr>
          <w:bCs/>
        </w:rPr>
        <w:t xml:space="preserve">. Indeed, when </w:t>
      </w:r>
      <w:r w:rsidR="009F21AD" w:rsidRPr="003D70B4">
        <w:rPr>
          <w:bCs/>
        </w:rPr>
        <w:t xml:space="preserve">hierarchical distance </w:t>
      </w:r>
      <w:r w:rsidR="004049E3" w:rsidRPr="003D70B4">
        <w:rPr>
          <w:bCs/>
        </w:rPr>
        <w:t xml:space="preserve">increases, others’ perceptions of </w:t>
      </w:r>
      <w:r w:rsidR="00237532">
        <w:t>narcissistic individuals</w:t>
      </w:r>
      <w:r w:rsidR="00237532" w:rsidRPr="003D70B4" w:rsidDel="00237532">
        <w:rPr>
          <w:bCs/>
        </w:rPr>
        <w:t xml:space="preserve"> </w:t>
      </w:r>
      <w:r w:rsidRPr="003D70B4">
        <w:rPr>
          <w:bCs/>
        </w:rPr>
        <w:t>improve</w:t>
      </w:r>
      <w:r w:rsidR="004049E3" w:rsidRPr="003D70B4">
        <w:rPr>
          <w:bCs/>
        </w:rPr>
        <w:t xml:space="preserve"> </w:t>
      </w:r>
      <w:r w:rsidR="009F21AD" w:rsidRPr="003D70B4">
        <w:rPr>
          <w:bCs/>
        </w:rPr>
        <w:lastRenderedPageBreak/>
        <w:t xml:space="preserve">(Nevicka </w:t>
      </w:r>
      <w:r w:rsidR="00612D54" w:rsidRPr="003D70B4">
        <w:t xml:space="preserve">et al., </w:t>
      </w:r>
      <w:r w:rsidR="009F21AD" w:rsidRPr="003D70B4">
        <w:rPr>
          <w:bCs/>
        </w:rPr>
        <w:t>2018)</w:t>
      </w:r>
      <w:r w:rsidR="001E21FA" w:rsidRPr="003D70B4">
        <w:rPr>
          <w:bCs/>
        </w:rPr>
        <w:t xml:space="preserve">. </w:t>
      </w:r>
      <w:r w:rsidRPr="003D70B4">
        <w:rPr>
          <w:bCs/>
        </w:rPr>
        <w:t xml:space="preserve">Pitting </w:t>
      </w:r>
      <w:r w:rsidR="004049E3" w:rsidRPr="003D70B4">
        <w:rPr>
          <w:bCs/>
        </w:rPr>
        <w:t xml:space="preserve">these </w:t>
      </w:r>
      <w:r w:rsidR="009E26BF" w:rsidRPr="003D70B4">
        <w:rPr>
          <w:bCs/>
        </w:rPr>
        <w:t xml:space="preserve">explanations </w:t>
      </w:r>
      <w:r w:rsidRPr="003D70B4">
        <w:rPr>
          <w:bCs/>
        </w:rPr>
        <w:t>against each other is a</w:t>
      </w:r>
      <w:r w:rsidR="00901781" w:rsidRPr="003D70B4">
        <w:rPr>
          <w:bCs/>
        </w:rPr>
        <w:t xml:space="preserve"> fruitful research</w:t>
      </w:r>
      <w:r w:rsidRPr="003D70B4">
        <w:rPr>
          <w:bCs/>
        </w:rPr>
        <w:t xml:space="preserve"> direction</w:t>
      </w:r>
      <w:r w:rsidR="00901781" w:rsidRPr="003D70B4">
        <w:rPr>
          <w:bCs/>
        </w:rPr>
        <w:t xml:space="preserve">. </w:t>
      </w:r>
      <w:r w:rsidR="007C4F37">
        <w:rPr>
          <w:bCs/>
        </w:rPr>
        <w:t xml:space="preserve">Additionally, as narcissistic individuals self-enhance in the agentic domain </w:t>
      </w:r>
      <w:r w:rsidR="007C4F37" w:rsidRPr="007C4F37">
        <w:rPr>
          <w:bCs/>
        </w:rPr>
        <w:t>(</w:t>
      </w:r>
      <w:r w:rsidR="00AD31AC" w:rsidRPr="00A26BC2">
        <w:rPr>
          <w:bCs/>
          <w:color w:val="000000"/>
        </w:rPr>
        <w:t>Campbell</w:t>
      </w:r>
      <w:r w:rsidR="00AD31AC">
        <w:rPr>
          <w:bCs/>
          <w:color w:val="000000"/>
        </w:rPr>
        <w:t xml:space="preserve"> et al., </w:t>
      </w:r>
      <w:r w:rsidR="00AD31AC" w:rsidRPr="00A26BC2">
        <w:rPr>
          <w:bCs/>
          <w:color w:val="000000"/>
        </w:rPr>
        <w:t>2002</w:t>
      </w:r>
      <w:r w:rsidR="00AD31AC">
        <w:rPr>
          <w:bCs/>
          <w:color w:val="000000"/>
        </w:rPr>
        <w:t>;</w:t>
      </w:r>
      <w:r w:rsidR="00AD31AC" w:rsidRPr="00A26BC2">
        <w:rPr>
          <w:bCs/>
          <w:color w:val="000000"/>
        </w:rPr>
        <w:t xml:space="preserve"> </w:t>
      </w:r>
      <w:r w:rsidR="007C4F37" w:rsidRPr="007C4F37">
        <w:rPr>
          <w:bCs/>
        </w:rPr>
        <w:t>Grijalva &amp; Zhang, 2016)</w:t>
      </w:r>
      <w:r w:rsidR="007C4F37">
        <w:rPr>
          <w:bCs/>
        </w:rPr>
        <w:t xml:space="preserve">, it would be interesting </w:t>
      </w:r>
      <w:r w:rsidR="007C4F37" w:rsidRPr="007C4F37">
        <w:rPr>
          <w:bCs/>
        </w:rPr>
        <w:t xml:space="preserve">to </w:t>
      </w:r>
      <w:r w:rsidR="00AD31AC">
        <w:rPr>
          <w:bCs/>
        </w:rPr>
        <w:t>examine</w:t>
      </w:r>
      <w:r w:rsidR="007C4F37" w:rsidRPr="007C4F37">
        <w:rPr>
          <w:bCs/>
        </w:rPr>
        <w:t xml:space="preserve"> how accurate their perceptions of power are</w:t>
      </w:r>
      <w:r w:rsidR="007C4F37">
        <w:rPr>
          <w:bCs/>
        </w:rPr>
        <w:t xml:space="preserve"> by asking supervisors to rate how powerful the employees were</w:t>
      </w:r>
      <w:r w:rsidR="007C4F37" w:rsidRPr="007C4F37">
        <w:rPr>
          <w:bCs/>
        </w:rPr>
        <w:t xml:space="preserve">. </w:t>
      </w:r>
    </w:p>
    <w:p w14:paraId="0EC3C0E8" w14:textId="266FE205" w:rsidR="0086580A" w:rsidRPr="003D70B4" w:rsidRDefault="00AD31AC" w:rsidP="009B7728">
      <w:pPr>
        <w:widowControl w:val="0"/>
        <w:spacing w:line="480" w:lineRule="auto"/>
        <w:ind w:firstLine="720"/>
        <w:rPr>
          <w:bCs/>
        </w:rPr>
      </w:pPr>
      <w:r>
        <w:rPr>
          <w:bCs/>
        </w:rPr>
        <w:t>Our research has certain strengths, such as</w:t>
      </w:r>
      <w:r w:rsidR="0086580A">
        <w:rPr>
          <w:bCs/>
        </w:rPr>
        <w:t xml:space="preserve"> multi-source data from various organizations</w:t>
      </w:r>
      <w:r>
        <w:rPr>
          <w:bCs/>
        </w:rPr>
        <w:t xml:space="preserve">, as well as </w:t>
      </w:r>
      <w:r w:rsidR="0086580A">
        <w:rPr>
          <w:bCs/>
        </w:rPr>
        <w:t>a combination of field studies and an experiment showing robust and consistent findings</w:t>
      </w:r>
      <w:r>
        <w:rPr>
          <w:bCs/>
        </w:rPr>
        <w:t xml:space="preserve">. Yet our research also has </w:t>
      </w:r>
      <w:r w:rsidR="0086580A">
        <w:rPr>
          <w:bCs/>
        </w:rPr>
        <w:t>limitations. In Study 3</w:t>
      </w:r>
      <w:r w:rsidR="0086580A" w:rsidRPr="0086580A">
        <w:rPr>
          <w:bCs/>
        </w:rPr>
        <w:t>,</w:t>
      </w:r>
      <w:r w:rsidR="0086580A">
        <w:rPr>
          <w:bCs/>
        </w:rPr>
        <w:t xml:space="preserve"> in order to ensure</w:t>
      </w:r>
      <w:r w:rsidR="0086580A" w:rsidRPr="0086580A">
        <w:rPr>
          <w:bCs/>
        </w:rPr>
        <w:t xml:space="preserve"> </w:t>
      </w:r>
      <w:r w:rsidR="0086580A">
        <w:rPr>
          <w:bCs/>
        </w:rPr>
        <w:t xml:space="preserve">adequate </w:t>
      </w:r>
      <w:r w:rsidR="0086580A" w:rsidRPr="0086580A">
        <w:rPr>
          <w:bCs/>
        </w:rPr>
        <w:t xml:space="preserve">construct validity </w:t>
      </w:r>
      <w:r w:rsidR="0086580A">
        <w:rPr>
          <w:bCs/>
        </w:rPr>
        <w:t xml:space="preserve">of employee narcissism, we presented participants with a description using items directly from the NPI, which provided a rather blatant depiction of a narcissistic employee. </w:t>
      </w:r>
      <w:r>
        <w:rPr>
          <w:bCs/>
        </w:rPr>
        <w:t>T</w:t>
      </w:r>
      <w:r w:rsidR="0086580A">
        <w:rPr>
          <w:bCs/>
        </w:rPr>
        <w:t xml:space="preserve">he manifestation of a narcissistic employee’s behavior in organizational contexts would </w:t>
      </w:r>
      <w:r w:rsidR="00C82D1C">
        <w:rPr>
          <w:bCs/>
        </w:rPr>
        <w:t xml:space="preserve">probably </w:t>
      </w:r>
      <w:r w:rsidR="0086580A">
        <w:rPr>
          <w:bCs/>
        </w:rPr>
        <w:t xml:space="preserve">be more subtle. </w:t>
      </w:r>
      <w:r w:rsidR="00C82D1C">
        <w:rPr>
          <w:bCs/>
        </w:rPr>
        <w:t>As stated above,</w:t>
      </w:r>
      <w:r w:rsidR="0086580A" w:rsidRPr="0086580A">
        <w:rPr>
          <w:bCs/>
        </w:rPr>
        <w:t xml:space="preserve"> the negative aspects </w:t>
      </w:r>
      <w:r w:rsidR="00C82D1C">
        <w:rPr>
          <w:bCs/>
        </w:rPr>
        <w:t xml:space="preserve">of narcissistic individuals, such as their manipulativeness, </w:t>
      </w:r>
      <w:r w:rsidR="0086580A" w:rsidRPr="0086580A">
        <w:rPr>
          <w:bCs/>
        </w:rPr>
        <w:t xml:space="preserve">would </w:t>
      </w:r>
      <w:r w:rsidR="00C82D1C" w:rsidRPr="0086580A">
        <w:rPr>
          <w:bCs/>
        </w:rPr>
        <w:t xml:space="preserve">most likely </w:t>
      </w:r>
      <w:r w:rsidR="0086580A" w:rsidRPr="0086580A">
        <w:rPr>
          <w:bCs/>
        </w:rPr>
        <w:t>be tamed</w:t>
      </w:r>
      <w:r w:rsidR="00C82D1C">
        <w:rPr>
          <w:bCs/>
        </w:rPr>
        <w:t xml:space="preserve"> towards higher status individuals such as their</w:t>
      </w:r>
      <w:r w:rsidR="0086580A" w:rsidRPr="0086580A">
        <w:rPr>
          <w:bCs/>
        </w:rPr>
        <w:t xml:space="preserve"> supervisors</w:t>
      </w:r>
      <w:r w:rsidR="00C82D1C">
        <w:rPr>
          <w:bCs/>
        </w:rPr>
        <w:t>.</w:t>
      </w:r>
      <w:r w:rsidR="00047EA5">
        <w:rPr>
          <w:bCs/>
        </w:rPr>
        <w:t xml:space="preserve"> Future research could examine alternative ways of enhancing psychological realism of narcissistic employees in an experimental </w:t>
      </w:r>
      <w:r w:rsidR="00483816">
        <w:rPr>
          <w:bCs/>
        </w:rPr>
        <w:t>design</w:t>
      </w:r>
      <w:r>
        <w:rPr>
          <w:bCs/>
        </w:rPr>
        <w:t xml:space="preserve"> (e.g., </w:t>
      </w:r>
      <w:r w:rsidR="00047EA5">
        <w:rPr>
          <w:bCs/>
        </w:rPr>
        <w:t>use of videos</w:t>
      </w:r>
      <w:r>
        <w:rPr>
          <w:bCs/>
        </w:rPr>
        <w:t>)</w:t>
      </w:r>
      <w:r w:rsidR="00047EA5">
        <w:rPr>
          <w:bCs/>
        </w:rPr>
        <w:t>.</w:t>
      </w:r>
    </w:p>
    <w:p w14:paraId="1A831C9D" w14:textId="61E23278" w:rsidR="002C4E7C" w:rsidRPr="003D70B4" w:rsidRDefault="006809D9">
      <w:pPr>
        <w:spacing w:line="480" w:lineRule="auto"/>
        <w:ind w:firstLine="720"/>
        <w:rPr>
          <w:bCs/>
        </w:rPr>
      </w:pPr>
      <w:r w:rsidRPr="003D70B4">
        <w:rPr>
          <w:bCs/>
        </w:rPr>
        <w:t>Although</w:t>
      </w:r>
      <w:r w:rsidR="002C4E7C" w:rsidRPr="003D70B4">
        <w:rPr>
          <w:bCs/>
        </w:rPr>
        <w:t xml:space="preserve"> our findings </w:t>
      </w:r>
      <w:r w:rsidR="00AD31AC">
        <w:rPr>
          <w:bCs/>
        </w:rPr>
        <w:t>indicated</w:t>
      </w:r>
      <w:r w:rsidR="00AD31AC" w:rsidRPr="003D70B4">
        <w:rPr>
          <w:bCs/>
        </w:rPr>
        <w:t xml:space="preserve"> </w:t>
      </w:r>
      <w:r w:rsidR="002C4E7C" w:rsidRPr="003D70B4">
        <w:rPr>
          <w:bCs/>
        </w:rPr>
        <w:t xml:space="preserve">that narcissistic individuals were generally perceived as more promotable by their supervisors, future </w:t>
      </w:r>
      <w:r w:rsidR="00AD31AC">
        <w:rPr>
          <w:bCs/>
        </w:rPr>
        <w:t>investigations c</w:t>
      </w:r>
      <w:r w:rsidR="002C4E7C" w:rsidRPr="003D70B4">
        <w:rPr>
          <w:bCs/>
        </w:rPr>
        <w:t xml:space="preserve">ould also </w:t>
      </w:r>
      <w:r w:rsidR="00AD31AC">
        <w:rPr>
          <w:bCs/>
        </w:rPr>
        <w:t>explore</w:t>
      </w:r>
      <w:r w:rsidR="00AD31AC" w:rsidRPr="003D70B4">
        <w:rPr>
          <w:bCs/>
        </w:rPr>
        <w:t xml:space="preserve"> </w:t>
      </w:r>
      <w:r w:rsidR="002C4E7C" w:rsidRPr="003D70B4">
        <w:rPr>
          <w:bCs/>
        </w:rPr>
        <w:t>the role of the work environment.</w:t>
      </w:r>
      <w:r w:rsidR="008035A6" w:rsidRPr="003D70B4">
        <w:rPr>
          <w:bCs/>
        </w:rPr>
        <w:t xml:space="preserve"> </w:t>
      </w:r>
      <w:r w:rsidR="004163B3" w:rsidRPr="003D70B4">
        <w:rPr>
          <w:bCs/>
        </w:rPr>
        <w:t>D</w:t>
      </w:r>
      <w:r w:rsidR="008035A6" w:rsidRPr="003D70B4">
        <w:rPr>
          <w:bCs/>
        </w:rPr>
        <w:t xml:space="preserve">isplays of power may be appreciated in organizations that place a higher value on agentic employee characteristics (e.g., power, dominance, intelligence; Grijalva &amp; Zheng, 2015), </w:t>
      </w:r>
      <w:r w:rsidR="004163B3" w:rsidRPr="003D70B4">
        <w:rPr>
          <w:bCs/>
        </w:rPr>
        <w:t xml:space="preserve">but </w:t>
      </w:r>
      <w:r w:rsidR="008035A6" w:rsidRPr="003D70B4">
        <w:rPr>
          <w:bCs/>
        </w:rPr>
        <w:t>they may be seen as undesirable in organizations that value more communal characteristics (e.g., agreeableness, warmth, honesty).</w:t>
      </w:r>
      <w:r w:rsidR="002C4E7C" w:rsidRPr="003D70B4">
        <w:rPr>
          <w:bCs/>
        </w:rPr>
        <w:t xml:space="preserve"> Indeed, prior research show</w:t>
      </w:r>
      <w:r w:rsidR="008035A6" w:rsidRPr="003D70B4">
        <w:rPr>
          <w:bCs/>
        </w:rPr>
        <w:t>ed</w:t>
      </w:r>
      <w:r w:rsidR="002C4E7C" w:rsidRPr="003D70B4">
        <w:rPr>
          <w:bCs/>
        </w:rPr>
        <w:t xml:space="preserve"> that</w:t>
      </w:r>
      <w:r w:rsidRPr="003D70B4">
        <w:rPr>
          <w:bCs/>
        </w:rPr>
        <w:t>,</w:t>
      </w:r>
      <w:r w:rsidR="002C4E7C" w:rsidRPr="003D70B4">
        <w:rPr>
          <w:bCs/>
        </w:rPr>
        <w:t xml:space="preserve"> when narcissistic individuals work</w:t>
      </w:r>
      <w:r w:rsidR="008035A6" w:rsidRPr="003D70B4">
        <w:rPr>
          <w:bCs/>
        </w:rPr>
        <w:t>ed</w:t>
      </w:r>
      <w:r w:rsidR="002C4E7C" w:rsidRPr="003D70B4">
        <w:rPr>
          <w:bCs/>
        </w:rPr>
        <w:t xml:space="preserve"> in a context </w:t>
      </w:r>
      <w:r w:rsidR="008035A6" w:rsidRPr="003D70B4">
        <w:rPr>
          <w:bCs/>
        </w:rPr>
        <w:t>where</w:t>
      </w:r>
      <w:r w:rsidR="002C4E7C" w:rsidRPr="003D70B4">
        <w:rPr>
          <w:bCs/>
        </w:rPr>
        <w:t xml:space="preserve"> concern for others </w:t>
      </w:r>
      <w:r w:rsidR="008035A6" w:rsidRPr="003D70B4">
        <w:rPr>
          <w:bCs/>
        </w:rPr>
        <w:t xml:space="preserve">would be important </w:t>
      </w:r>
      <w:r w:rsidR="002C4E7C" w:rsidRPr="003D70B4">
        <w:rPr>
          <w:bCs/>
        </w:rPr>
        <w:t>(</w:t>
      </w:r>
      <w:r w:rsidR="008035A6" w:rsidRPr="003D70B4">
        <w:rPr>
          <w:bCs/>
        </w:rPr>
        <w:t>i.e., as a</w:t>
      </w:r>
      <w:r w:rsidR="002C4E7C" w:rsidRPr="003D70B4">
        <w:rPr>
          <w:bCs/>
        </w:rPr>
        <w:t xml:space="preserve"> member of a beach patrol), they </w:t>
      </w:r>
      <w:r w:rsidR="008035A6" w:rsidRPr="003D70B4">
        <w:rPr>
          <w:bCs/>
        </w:rPr>
        <w:t>were</w:t>
      </w:r>
      <w:r w:rsidR="002C4E7C" w:rsidRPr="003D70B4">
        <w:rPr>
          <w:bCs/>
        </w:rPr>
        <w:t xml:space="preserve"> rated unfavorably on their leadership </w:t>
      </w:r>
      <w:r w:rsidR="008035A6" w:rsidRPr="003D70B4">
        <w:rPr>
          <w:bCs/>
        </w:rPr>
        <w:t xml:space="preserve">skills </w:t>
      </w:r>
      <w:r w:rsidR="002C4E7C" w:rsidRPr="003D70B4">
        <w:rPr>
          <w:bCs/>
        </w:rPr>
        <w:t>by their supervisors</w:t>
      </w:r>
      <w:r w:rsidR="008035A6" w:rsidRPr="003D70B4">
        <w:rPr>
          <w:bCs/>
        </w:rPr>
        <w:t xml:space="preserve"> (Judge et al., 2006)</w:t>
      </w:r>
      <w:r w:rsidR="002C4E7C" w:rsidRPr="003D70B4">
        <w:rPr>
          <w:bCs/>
        </w:rPr>
        <w:t>.</w:t>
      </w:r>
    </w:p>
    <w:p w14:paraId="74F98DFE" w14:textId="44BD6C84" w:rsidR="009011D5" w:rsidRDefault="00130131">
      <w:pPr>
        <w:spacing w:line="480" w:lineRule="auto"/>
        <w:rPr>
          <w:bCs/>
        </w:rPr>
      </w:pPr>
      <w:r w:rsidRPr="003D70B4">
        <w:rPr>
          <w:bCs/>
        </w:rPr>
        <w:lastRenderedPageBreak/>
        <w:tab/>
      </w:r>
      <w:r w:rsidR="004B6643" w:rsidRPr="003D70B4">
        <w:rPr>
          <w:bCs/>
        </w:rPr>
        <w:t>Interestingly, s</w:t>
      </w:r>
      <w:r w:rsidR="0090156E" w:rsidRPr="003D70B4">
        <w:rPr>
          <w:bCs/>
        </w:rPr>
        <w:t xml:space="preserve">elf-promotion was not negatively related to promotability, </w:t>
      </w:r>
      <w:r w:rsidR="00F6095E" w:rsidRPr="003D70B4">
        <w:rPr>
          <w:bCs/>
        </w:rPr>
        <w:t xml:space="preserve">a </w:t>
      </w:r>
      <w:r w:rsidR="00AD31AC">
        <w:rPr>
          <w:bCs/>
        </w:rPr>
        <w:t>result</w:t>
      </w:r>
      <w:r w:rsidR="00AD31AC" w:rsidRPr="003D70B4">
        <w:rPr>
          <w:bCs/>
        </w:rPr>
        <w:t xml:space="preserve"> </w:t>
      </w:r>
      <w:r w:rsidR="009E26BF" w:rsidRPr="003D70B4">
        <w:rPr>
          <w:bCs/>
        </w:rPr>
        <w:t>seemingly</w:t>
      </w:r>
      <w:r w:rsidR="00F6095E" w:rsidRPr="003D70B4">
        <w:rPr>
          <w:bCs/>
        </w:rPr>
        <w:t xml:space="preserve"> inconsistent with </w:t>
      </w:r>
      <w:r w:rsidR="0090156E" w:rsidRPr="003D70B4">
        <w:rPr>
          <w:bCs/>
        </w:rPr>
        <w:t>meta-analy</w:t>
      </w:r>
      <w:r w:rsidR="00C4250A" w:rsidRPr="003D70B4">
        <w:rPr>
          <w:bCs/>
        </w:rPr>
        <w:t xml:space="preserve">tic findings </w:t>
      </w:r>
      <w:r w:rsidR="00F6095E" w:rsidRPr="003D70B4">
        <w:rPr>
          <w:bCs/>
        </w:rPr>
        <w:t>on</w:t>
      </w:r>
      <w:r w:rsidR="0090156E" w:rsidRPr="003D70B4">
        <w:rPr>
          <w:bCs/>
        </w:rPr>
        <w:t xml:space="preserve"> the </w:t>
      </w:r>
      <w:r w:rsidR="00F6095E" w:rsidRPr="003D70B4">
        <w:rPr>
          <w:bCs/>
        </w:rPr>
        <w:t xml:space="preserve">link </w:t>
      </w:r>
      <w:r w:rsidR="0090156E" w:rsidRPr="003D70B4">
        <w:rPr>
          <w:bCs/>
        </w:rPr>
        <w:t>between self-promotion tactics and supervisor performance evaluations (</w:t>
      </w:r>
      <w:r w:rsidR="006B3403" w:rsidRPr="003D70B4">
        <w:rPr>
          <w:bCs/>
        </w:rPr>
        <w:t>Higgin</w:t>
      </w:r>
      <w:r w:rsidR="00F63F48" w:rsidRPr="003D70B4">
        <w:rPr>
          <w:bCs/>
        </w:rPr>
        <w:t>s et al., 2003</w:t>
      </w:r>
      <w:r w:rsidR="0090156E" w:rsidRPr="003D70B4">
        <w:rPr>
          <w:bCs/>
        </w:rPr>
        <w:t xml:space="preserve">). </w:t>
      </w:r>
      <w:r w:rsidR="003522D4" w:rsidRPr="003D70B4">
        <w:rPr>
          <w:bCs/>
        </w:rPr>
        <w:t xml:space="preserve">However, this meta-analysis combined ratings </w:t>
      </w:r>
      <w:r w:rsidR="0090156E" w:rsidRPr="003D70B4">
        <w:rPr>
          <w:bCs/>
        </w:rPr>
        <w:t xml:space="preserve">of promotability </w:t>
      </w:r>
      <w:r w:rsidR="003522D4" w:rsidRPr="003D70B4">
        <w:rPr>
          <w:bCs/>
        </w:rPr>
        <w:t xml:space="preserve">with </w:t>
      </w:r>
      <w:r w:rsidR="0090156E" w:rsidRPr="003D70B4">
        <w:rPr>
          <w:bCs/>
        </w:rPr>
        <w:t xml:space="preserve">ratings of task </w:t>
      </w:r>
      <w:r w:rsidR="0090156E" w:rsidRPr="0086580A">
        <w:rPr>
          <w:bCs/>
        </w:rPr>
        <w:t xml:space="preserve">performance. </w:t>
      </w:r>
      <w:r w:rsidR="009D64B7">
        <w:rPr>
          <w:bCs/>
        </w:rPr>
        <w:t xml:space="preserve">As we point out in the </w:t>
      </w:r>
      <w:r w:rsidR="00C05CD0">
        <w:rPr>
          <w:bCs/>
        </w:rPr>
        <w:t>I</w:t>
      </w:r>
      <w:r w:rsidR="009D64B7">
        <w:rPr>
          <w:bCs/>
        </w:rPr>
        <w:t>ntroduction, although p</w:t>
      </w:r>
      <w:r w:rsidR="009D64B7" w:rsidRPr="009D64B7">
        <w:rPr>
          <w:bCs/>
        </w:rPr>
        <w:t xml:space="preserve">erformance evaluations are </w:t>
      </w:r>
      <w:r w:rsidR="009D64B7">
        <w:rPr>
          <w:bCs/>
        </w:rPr>
        <w:t xml:space="preserve">modestly </w:t>
      </w:r>
      <w:r w:rsidR="009D64B7" w:rsidRPr="009D64B7">
        <w:rPr>
          <w:bCs/>
        </w:rPr>
        <w:t xml:space="preserve">related to </w:t>
      </w:r>
      <w:r w:rsidR="009D64B7">
        <w:rPr>
          <w:bCs/>
        </w:rPr>
        <w:t>promotability ratings</w:t>
      </w:r>
      <w:r w:rsidR="009D64B7" w:rsidRPr="009D64B7">
        <w:rPr>
          <w:bCs/>
        </w:rPr>
        <w:t>, these two constructs are distinct.</w:t>
      </w:r>
      <w:r w:rsidR="009D64B7">
        <w:rPr>
          <w:bCs/>
        </w:rPr>
        <w:t xml:space="preserve"> </w:t>
      </w:r>
      <w:r w:rsidR="001552B4" w:rsidRPr="001552B4">
        <w:rPr>
          <w:bCs/>
        </w:rPr>
        <w:t xml:space="preserve">Whereas performance evaluations assess the status quo and an employee’s past behavior, promotability evaluations are concerned with how an employee may perform in a different higher-order function in the future (De Pater et al., 2009). As such, supervisors make promotability evaluations based much more on imperfect information and signals or cues of an employees’ future potential (e.g., how much power they seem to exert) rather than simply on their current performance. </w:t>
      </w:r>
      <w:r w:rsidR="001552B4">
        <w:rPr>
          <w:bCs/>
        </w:rPr>
        <w:t xml:space="preserve">Consequently, </w:t>
      </w:r>
      <w:r w:rsidR="004B6643" w:rsidRPr="0086580A">
        <w:rPr>
          <w:bCs/>
        </w:rPr>
        <w:t>without taking into account the social skills of the employee,</w:t>
      </w:r>
      <w:r w:rsidR="0090156E" w:rsidRPr="0086580A">
        <w:rPr>
          <w:bCs/>
        </w:rPr>
        <w:t xml:space="preserve"> </w:t>
      </w:r>
      <w:r w:rsidR="001552B4">
        <w:rPr>
          <w:bCs/>
        </w:rPr>
        <w:t>s</w:t>
      </w:r>
      <w:r w:rsidR="001552B4" w:rsidRPr="0086580A">
        <w:rPr>
          <w:bCs/>
        </w:rPr>
        <w:t>elf-promotion</w:t>
      </w:r>
      <w:r w:rsidR="001552B4">
        <w:rPr>
          <w:bCs/>
        </w:rPr>
        <w:t xml:space="preserve"> </w:t>
      </w:r>
      <w:r w:rsidR="00F6095E" w:rsidRPr="0086580A">
        <w:rPr>
          <w:bCs/>
        </w:rPr>
        <w:t xml:space="preserve">may be </w:t>
      </w:r>
      <w:r w:rsidR="003725CD" w:rsidRPr="0086580A">
        <w:rPr>
          <w:bCs/>
        </w:rPr>
        <w:t>particularly</w:t>
      </w:r>
      <w:r w:rsidR="0090156E" w:rsidRPr="0086580A">
        <w:rPr>
          <w:bCs/>
        </w:rPr>
        <w:t xml:space="preserve"> detrimental for </w:t>
      </w:r>
      <w:r w:rsidR="00151C70" w:rsidRPr="0086580A">
        <w:rPr>
          <w:bCs/>
        </w:rPr>
        <w:t xml:space="preserve">task </w:t>
      </w:r>
      <w:r w:rsidR="0090156E" w:rsidRPr="0086580A">
        <w:rPr>
          <w:bCs/>
        </w:rPr>
        <w:t xml:space="preserve">performance </w:t>
      </w:r>
      <w:r w:rsidR="001552B4">
        <w:rPr>
          <w:bCs/>
        </w:rPr>
        <w:t xml:space="preserve">rather than promotability </w:t>
      </w:r>
      <w:r w:rsidR="0090156E" w:rsidRPr="0086580A">
        <w:rPr>
          <w:bCs/>
        </w:rPr>
        <w:t>evaluations</w:t>
      </w:r>
      <w:r w:rsidR="00F6095E" w:rsidRPr="0086580A">
        <w:rPr>
          <w:bCs/>
        </w:rPr>
        <w:t>,</w:t>
      </w:r>
      <w:r w:rsidR="0090156E" w:rsidRPr="0086580A">
        <w:rPr>
          <w:bCs/>
        </w:rPr>
        <w:t xml:space="preserve"> as the discrepancy between the self-promoting statements and </w:t>
      </w:r>
      <w:r w:rsidR="00151C70" w:rsidRPr="0086580A">
        <w:rPr>
          <w:bCs/>
        </w:rPr>
        <w:t xml:space="preserve">actual </w:t>
      </w:r>
      <w:r w:rsidR="0090156E" w:rsidRPr="0086580A">
        <w:rPr>
          <w:bCs/>
        </w:rPr>
        <w:t xml:space="preserve">performance </w:t>
      </w:r>
      <w:r w:rsidR="00FD5D1C" w:rsidRPr="0086580A">
        <w:rPr>
          <w:bCs/>
        </w:rPr>
        <w:t xml:space="preserve">is </w:t>
      </w:r>
      <w:r w:rsidR="0090156E" w:rsidRPr="0086580A">
        <w:rPr>
          <w:bCs/>
        </w:rPr>
        <w:t>easily verifi</w:t>
      </w:r>
      <w:r w:rsidR="002B5128" w:rsidRPr="0086580A">
        <w:rPr>
          <w:bCs/>
        </w:rPr>
        <w:t>able</w:t>
      </w:r>
      <w:r w:rsidR="00850DBB" w:rsidRPr="0086580A">
        <w:rPr>
          <w:bCs/>
        </w:rPr>
        <w:t xml:space="preserve"> by supervisors</w:t>
      </w:r>
      <w:r w:rsidR="00F6095E" w:rsidRPr="0086580A">
        <w:rPr>
          <w:bCs/>
        </w:rPr>
        <w:t xml:space="preserve"> using</w:t>
      </w:r>
      <w:r w:rsidR="0090156E" w:rsidRPr="0086580A">
        <w:rPr>
          <w:bCs/>
        </w:rPr>
        <w:t xml:space="preserve"> objective </w:t>
      </w:r>
      <w:r w:rsidR="00F6095E" w:rsidRPr="0086580A">
        <w:rPr>
          <w:bCs/>
        </w:rPr>
        <w:t>assessments</w:t>
      </w:r>
      <w:r w:rsidR="00151C70" w:rsidRPr="0086580A">
        <w:rPr>
          <w:bCs/>
        </w:rPr>
        <w:t>.</w:t>
      </w:r>
      <w:r w:rsidR="00151C70" w:rsidRPr="003D70B4">
        <w:rPr>
          <w:bCs/>
        </w:rPr>
        <w:t xml:space="preserve"> </w:t>
      </w:r>
      <w:r w:rsidR="0086580A">
        <w:rPr>
          <w:bCs/>
        </w:rPr>
        <w:t xml:space="preserve">With good social skills, self-promotion might even be helpful for crafting a favorable picture of the employee in a future higher-level function, similarly, to interview contexts. </w:t>
      </w:r>
    </w:p>
    <w:p w14:paraId="68870AA6" w14:textId="45394845" w:rsidR="009D64B7" w:rsidRPr="003D70B4" w:rsidRDefault="009011D5" w:rsidP="00EF0700">
      <w:pPr>
        <w:spacing w:line="480" w:lineRule="auto"/>
        <w:ind w:firstLine="720"/>
        <w:rPr>
          <w:bCs/>
        </w:rPr>
      </w:pPr>
      <w:r>
        <w:rPr>
          <w:bCs/>
        </w:rPr>
        <w:t xml:space="preserve">The distinction between performance and promotability ratings may also inform whether employee sense of power could similarly serve as a potential explanatory variable in accounting for the relationship between employee narcissism and performance ratings. </w:t>
      </w:r>
      <w:r>
        <w:rPr>
          <w:rFonts w:asciiTheme="majorBidi" w:hAnsiTheme="majorBidi" w:cstheme="majorBidi"/>
        </w:rPr>
        <w:t>G</w:t>
      </w:r>
      <w:r w:rsidRPr="001E10D4">
        <w:rPr>
          <w:rFonts w:asciiTheme="majorBidi" w:hAnsiTheme="majorBidi" w:cstheme="majorBidi"/>
        </w:rPr>
        <w:t xml:space="preserve">iven that supervisors would have access to ample </w:t>
      </w:r>
      <w:r>
        <w:rPr>
          <w:rFonts w:asciiTheme="majorBidi" w:hAnsiTheme="majorBidi" w:cstheme="majorBidi"/>
        </w:rPr>
        <w:t xml:space="preserve">direct </w:t>
      </w:r>
      <w:r w:rsidRPr="001E10D4">
        <w:rPr>
          <w:rFonts w:asciiTheme="majorBidi" w:hAnsiTheme="majorBidi" w:cstheme="majorBidi"/>
        </w:rPr>
        <w:t xml:space="preserve">examples of how their employees are currently performing, they would need to resort less to the use of various cues, such as exhibition of power, in informing their performance evaluations, in contrast to needing such cues to help them predict how employees might function in a different role in the future. </w:t>
      </w:r>
      <w:r w:rsidR="00955B40" w:rsidRPr="001552B4">
        <w:rPr>
          <w:bCs/>
        </w:rPr>
        <w:t>Consistent with this</w:t>
      </w:r>
      <w:r w:rsidR="00C05CD0">
        <w:rPr>
          <w:bCs/>
        </w:rPr>
        <w:t xml:space="preserve"> argument</w:t>
      </w:r>
      <w:r w:rsidR="00955B40" w:rsidRPr="001552B4">
        <w:rPr>
          <w:bCs/>
        </w:rPr>
        <w:t xml:space="preserve">, construal level theory (Trope &amp; Liberman, 2010) would argue </w:t>
      </w:r>
      <w:r w:rsidR="00955B40" w:rsidRPr="001552B4">
        <w:rPr>
          <w:bCs/>
        </w:rPr>
        <w:lastRenderedPageBreak/>
        <w:t>that future evaluations of an employee’s aptitude to function well in a new role may lead to more abstract and global assessments of that employee (e.g., how assertive they are), whereas evaluations of current and past performance would probably lead to assessments of more concrete and narrow instances of an employee’s task performance.</w:t>
      </w:r>
      <w:r w:rsidR="00955B40">
        <w:rPr>
          <w:bCs/>
        </w:rPr>
        <w:t xml:space="preserve"> </w:t>
      </w:r>
      <w:r w:rsidRPr="001E10D4">
        <w:rPr>
          <w:rFonts w:asciiTheme="majorBidi" w:hAnsiTheme="majorBidi" w:cstheme="majorBidi"/>
        </w:rPr>
        <w:t xml:space="preserve">As such, sense of power would probably be less </w:t>
      </w:r>
      <w:r>
        <w:rPr>
          <w:rFonts w:asciiTheme="majorBidi" w:hAnsiTheme="majorBidi" w:cstheme="majorBidi"/>
        </w:rPr>
        <w:t>influential in</w:t>
      </w:r>
      <w:r w:rsidRPr="001E10D4">
        <w:rPr>
          <w:rFonts w:asciiTheme="majorBidi" w:hAnsiTheme="majorBidi" w:cstheme="majorBidi"/>
        </w:rPr>
        <w:t xml:space="preserve"> mediat</w:t>
      </w:r>
      <w:r>
        <w:rPr>
          <w:rFonts w:asciiTheme="majorBidi" w:hAnsiTheme="majorBidi" w:cstheme="majorBidi"/>
        </w:rPr>
        <w:t>ing</w:t>
      </w:r>
      <w:r w:rsidRPr="001E10D4">
        <w:rPr>
          <w:rFonts w:asciiTheme="majorBidi" w:hAnsiTheme="majorBidi" w:cstheme="majorBidi"/>
        </w:rPr>
        <w:t xml:space="preserve"> performance evaluations.</w:t>
      </w:r>
      <w:r>
        <w:rPr>
          <w:bCs/>
        </w:rPr>
        <w:t xml:space="preserve"> Nonetheless, </w:t>
      </w:r>
      <w:r w:rsidR="007B7F0D">
        <w:rPr>
          <w:bCs/>
        </w:rPr>
        <w:t>this</w:t>
      </w:r>
      <w:r>
        <w:rPr>
          <w:bCs/>
        </w:rPr>
        <w:t xml:space="preserve"> remains an interesting empirical question for future research.</w:t>
      </w:r>
    </w:p>
    <w:p w14:paraId="0CC52C56" w14:textId="3C94D7B8" w:rsidR="000770F0" w:rsidRPr="003D70B4" w:rsidRDefault="0090156E">
      <w:pPr>
        <w:spacing w:line="480" w:lineRule="auto"/>
        <w:rPr>
          <w:bCs/>
        </w:rPr>
      </w:pPr>
      <w:r w:rsidRPr="003D70B4">
        <w:rPr>
          <w:bCs/>
        </w:rPr>
        <w:tab/>
      </w:r>
      <w:r w:rsidR="0090036F" w:rsidRPr="003D70B4">
        <w:rPr>
          <w:bCs/>
        </w:rPr>
        <w:t xml:space="preserve">Recent </w:t>
      </w:r>
      <w:r w:rsidR="0090036F" w:rsidRPr="00D15D0E">
        <w:rPr>
          <w:bCs/>
        </w:rPr>
        <w:t xml:space="preserve">research </w:t>
      </w:r>
      <w:r w:rsidR="00151C70" w:rsidRPr="0041230A">
        <w:rPr>
          <w:bCs/>
        </w:rPr>
        <w:t>distinguis</w:t>
      </w:r>
      <w:r w:rsidR="0090036F" w:rsidRPr="0041230A">
        <w:rPr>
          <w:bCs/>
        </w:rPr>
        <w:t>he</w:t>
      </w:r>
      <w:r w:rsidR="009E26BF" w:rsidRPr="00AD6A74">
        <w:rPr>
          <w:bCs/>
        </w:rPr>
        <w:t>d</w:t>
      </w:r>
      <w:r w:rsidR="00151C70" w:rsidRPr="00AD6A74">
        <w:rPr>
          <w:bCs/>
        </w:rPr>
        <w:t xml:space="preserve"> between </w:t>
      </w:r>
      <w:r w:rsidR="0090036F" w:rsidRPr="00AD6A74">
        <w:rPr>
          <w:bCs/>
        </w:rPr>
        <w:t xml:space="preserve">two </w:t>
      </w:r>
      <w:r w:rsidR="00C4250A" w:rsidRPr="00180E78">
        <w:rPr>
          <w:bCs/>
        </w:rPr>
        <w:t xml:space="preserve">narcissism </w:t>
      </w:r>
      <w:r w:rsidR="0090036F" w:rsidRPr="00076E4A">
        <w:rPr>
          <w:bCs/>
        </w:rPr>
        <w:t>dimensions (</w:t>
      </w:r>
      <w:r w:rsidR="00D046E3" w:rsidRPr="007E74C2">
        <w:rPr>
          <w:bCs/>
        </w:rPr>
        <w:t xml:space="preserve">Back </w:t>
      </w:r>
      <w:r w:rsidR="00612D54" w:rsidRPr="007E74C2">
        <w:t>et al.,</w:t>
      </w:r>
      <w:r w:rsidR="00C03122" w:rsidRPr="008E3958">
        <w:rPr>
          <w:bCs/>
        </w:rPr>
        <w:t xml:space="preserve"> </w:t>
      </w:r>
      <w:r w:rsidR="00D046E3" w:rsidRPr="003D57C7">
        <w:rPr>
          <w:bCs/>
        </w:rPr>
        <w:t>2013</w:t>
      </w:r>
      <w:r w:rsidR="00151C70" w:rsidRPr="003D57C7">
        <w:rPr>
          <w:bCs/>
        </w:rPr>
        <w:t>). The admiration dimension is characterized by assertive and self-enhancing orientations directed at attaining social potency (e.g., charming</w:t>
      </w:r>
      <w:r w:rsidR="007B5C3E" w:rsidRPr="003D57C7">
        <w:rPr>
          <w:bCs/>
        </w:rPr>
        <w:t xml:space="preserve"> and</w:t>
      </w:r>
      <w:r w:rsidR="00151C70" w:rsidRPr="00495C0B">
        <w:rPr>
          <w:bCs/>
        </w:rPr>
        <w:t xml:space="preserve"> self-assured </w:t>
      </w:r>
      <w:r w:rsidR="00844AE7" w:rsidRPr="00495C0B">
        <w:rPr>
          <w:bCs/>
        </w:rPr>
        <w:t>behavio</w:t>
      </w:r>
      <w:r w:rsidR="00844AE7" w:rsidRPr="003D70B4">
        <w:rPr>
          <w:bCs/>
        </w:rPr>
        <w:t>r</w:t>
      </w:r>
      <w:r w:rsidR="00151C70" w:rsidRPr="003D70B4">
        <w:rPr>
          <w:bCs/>
        </w:rPr>
        <w:t xml:space="preserve">s) and is related to </w:t>
      </w:r>
      <w:r w:rsidR="00844AE7" w:rsidRPr="003D70B4">
        <w:rPr>
          <w:bCs/>
        </w:rPr>
        <w:t>favor</w:t>
      </w:r>
      <w:r w:rsidR="00810E66" w:rsidRPr="003D70B4">
        <w:rPr>
          <w:bCs/>
        </w:rPr>
        <w:t xml:space="preserve">able </w:t>
      </w:r>
      <w:r w:rsidR="00151C70" w:rsidRPr="003D70B4">
        <w:rPr>
          <w:bCs/>
        </w:rPr>
        <w:t xml:space="preserve">evaluations from others. The rivalry dimension is </w:t>
      </w:r>
      <w:r w:rsidR="00502C52" w:rsidRPr="003D70B4">
        <w:rPr>
          <w:bCs/>
        </w:rPr>
        <w:t>characterized</w:t>
      </w:r>
      <w:r w:rsidR="00151C70" w:rsidRPr="003D70B4">
        <w:rPr>
          <w:bCs/>
        </w:rPr>
        <w:t xml:space="preserve"> by antagonistic and self-protective orientations directed towards social conflict (e.g.</w:t>
      </w:r>
      <w:r w:rsidR="00810E66" w:rsidRPr="003D70B4">
        <w:rPr>
          <w:bCs/>
        </w:rPr>
        <w:t>,</w:t>
      </w:r>
      <w:r w:rsidR="00151C70" w:rsidRPr="003D70B4">
        <w:rPr>
          <w:bCs/>
        </w:rPr>
        <w:t xml:space="preserve"> aggressive </w:t>
      </w:r>
      <w:r w:rsidR="00844AE7" w:rsidRPr="003D70B4">
        <w:rPr>
          <w:bCs/>
        </w:rPr>
        <w:t>behavior</w:t>
      </w:r>
      <w:r w:rsidR="00151C70" w:rsidRPr="003D70B4">
        <w:rPr>
          <w:bCs/>
        </w:rPr>
        <w:t xml:space="preserve">s, devaluing others) and </w:t>
      </w:r>
      <w:r w:rsidR="00C4250A" w:rsidRPr="003D70B4">
        <w:rPr>
          <w:bCs/>
        </w:rPr>
        <w:t>is related to</w:t>
      </w:r>
      <w:r w:rsidR="00151C70" w:rsidRPr="003D70B4">
        <w:rPr>
          <w:bCs/>
        </w:rPr>
        <w:t xml:space="preserve"> </w:t>
      </w:r>
      <w:r w:rsidR="00810E66" w:rsidRPr="003D70B4">
        <w:rPr>
          <w:bCs/>
        </w:rPr>
        <w:t>un</w:t>
      </w:r>
      <w:r w:rsidR="00844AE7" w:rsidRPr="003D70B4">
        <w:rPr>
          <w:bCs/>
        </w:rPr>
        <w:t>favor</w:t>
      </w:r>
      <w:r w:rsidR="00810E66" w:rsidRPr="003D70B4">
        <w:rPr>
          <w:bCs/>
        </w:rPr>
        <w:t>able</w:t>
      </w:r>
      <w:r w:rsidR="00151C70" w:rsidRPr="003D70B4">
        <w:rPr>
          <w:bCs/>
        </w:rPr>
        <w:t xml:space="preserve"> evaluations by others.</w:t>
      </w:r>
      <w:r w:rsidR="00941B28" w:rsidRPr="003D70B4">
        <w:rPr>
          <w:bCs/>
        </w:rPr>
        <w:t xml:space="preserve"> Future </w:t>
      </w:r>
      <w:r w:rsidR="0069781C">
        <w:rPr>
          <w:bCs/>
        </w:rPr>
        <w:t>work</w:t>
      </w:r>
      <w:r w:rsidR="0069781C" w:rsidRPr="003D70B4">
        <w:rPr>
          <w:bCs/>
        </w:rPr>
        <w:t xml:space="preserve"> </w:t>
      </w:r>
      <w:r w:rsidR="00FF4533" w:rsidRPr="003D70B4">
        <w:rPr>
          <w:bCs/>
        </w:rPr>
        <w:t>could</w:t>
      </w:r>
      <w:r w:rsidR="00941B28" w:rsidRPr="003D70B4">
        <w:rPr>
          <w:bCs/>
        </w:rPr>
        <w:t xml:space="preserve"> </w:t>
      </w:r>
      <w:r w:rsidR="000770F0" w:rsidRPr="003D70B4">
        <w:rPr>
          <w:bCs/>
        </w:rPr>
        <w:t xml:space="preserve">examine </w:t>
      </w:r>
      <w:r w:rsidR="00941B28" w:rsidRPr="003D70B4">
        <w:rPr>
          <w:bCs/>
        </w:rPr>
        <w:t xml:space="preserve">whether and how admiration and rivalry predict promotability. </w:t>
      </w:r>
      <w:r w:rsidR="00810E66" w:rsidRPr="003D70B4">
        <w:rPr>
          <w:bCs/>
        </w:rPr>
        <w:t xml:space="preserve">Although </w:t>
      </w:r>
      <w:r w:rsidR="00151C70" w:rsidRPr="003D70B4">
        <w:rPr>
          <w:bCs/>
        </w:rPr>
        <w:t xml:space="preserve">both dimensions include aspects of power and dominance, </w:t>
      </w:r>
      <w:r w:rsidR="00941B28" w:rsidRPr="003D70B4">
        <w:rPr>
          <w:bCs/>
        </w:rPr>
        <w:t>power</w:t>
      </w:r>
      <w:r w:rsidR="009E26BF" w:rsidRPr="003D70B4">
        <w:rPr>
          <w:bCs/>
        </w:rPr>
        <w:t>,</w:t>
      </w:r>
      <w:r w:rsidR="00941B28" w:rsidRPr="003D70B4">
        <w:rPr>
          <w:bCs/>
        </w:rPr>
        <w:t xml:space="preserve"> </w:t>
      </w:r>
      <w:r w:rsidR="00151C70" w:rsidRPr="003D70B4">
        <w:rPr>
          <w:bCs/>
        </w:rPr>
        <w:t xml:space="preserve">as </w:t>
      </w:r>
      <w:r w:rsidR="00502C52" w:rsidRPr="003D70B4">
        <w:rPr>
          <w:bCs/>
        </w:rPr>
        <w:t>conceptualized</w:t>
      </w:r>
      <w:r w:rsidR="00151C70" w:rsidRPr="003D70B4">
        <w:rPr>
          <w:bCs/>
        </w:rPr>
        <w:t xml:space="preserve"> in the rivalry dimension</w:t>
      </w:r>
      <w:r w:rsidR="009E26BF" w:rsidRPr="003D70B4">
        <w:rPr>
          <w:bCs/>
        </w:rPr>
        <w:t>,</w:t>
      </w:r>
      <w:r w:rsidR="00151C70" w:rsidRPr="003D70B4">
        <w:rPr>
          <w:bCs/>
        </w:rPr>
        <w:t xml:space="preserve"> </w:t>
      </w:r>
      <w:r w:rsidR="00C4250A" w:rsidRPr="003D70B4">
        <w:rPr>
          <w:bCs/>
        </w:rPr>
        <w:t>assumes</w:t>
      </w:r>
      <w:r w:rsidR="00151C70" w:rsidRPr="003D70B4">
        <w:rPr>
          <w:bCs/>
        </w:rPr>
        <w:t xml:space="preserve"> a malevolent form</w:t>
      </w:r>
      <w:r w:rsidR="00C4250A" w:rsidRPr="003D70B4">
        <w:rPr>
          <w:bCs/>
        </w:rPr>
        <w:t xml:space="preserve"> that </w:t>
      </w:r>
      <w:r w:rsidR="00151C70" w:rsidRPr="003D70B4">
        <w:rPr>
          <w:bCs/>
        </w:rPr>
        <w:t xml:space="preserve">could </w:t>
      </w:r>
      <w:r w:rsidR="00C4250A" w:rsidRPr="003D70B4">
        <w:rPr>
          <w:bCs/>
        </w:rPr>
        <w:t>contribute</w:t>
      </w:r>
      <w:r w:rsidR="00810E66" w:rsidRPr="003D70B4">
        <w:rPr>
          <w:bCs/>
        </w:rPr>
        <w:t xml:space="preserve"> to</w:t>
      </w:r>
      <w:r w:rsidR="00151C70" w:rsidRPr="003D70B4">
        <w:rPr>
          <w:bCs/>
        </w:rPr>
        <w:t xml:space="preserve"> decrease</w:t>
      </w:r>
      <w:r w:rsidR="00810E66" w:rsidRPr="003D70B4">
        <w:rPr>
          <w:bCs/>
        </w:rPr>
        <w:t>s in</w:t>
      </w:r>
      <w:r w:rsidR="00151C70" w:rsidRPr="003D70B4">
        <w:rPr>
          <w:bCs/>
        </w:rPr>
        <w:t xml:space="preserve"> promotability ratings.</w:t>
      </w:r>
      <w:r w:rsidR="00495D6D" w:rsidRPr="003D70B4">
        <w:rPr>
          <w:bCs/>
        </w:rPr>
        <w:t xml:space="preserve"> For </w:t>
      </w:r>
      <w:r w:rsidR="00810E66" w:rsidRPr="003D70B4">
        <w:rPr>
          <w:bCs/>
        </w:rPr>
        <w:t>example</w:t>
      </w:r>
      <w:r w:rsidR="0088449F" w:rsidRPr="003D70B4">
        <w:rPr>
          <w:bCs/>
        </w:rPr>
        <w:t xml:space="preserve">, workplace deviance, </w:t>
      </w:r>
      <w:r w:rsidR="00495D6D" w:rsidRPr="003D70B4">
        <w:rPr>
          <w:bCs/>
        </w:rPr>
        <w:t xml:space="preserve">which </w:t>
      </w:r>
      <w:r w:rsidR="0088449F" w:rsidRPr="003D70B4">
        <w:rPr>
          <w:bCs/>
        </w:rPr>
        <w:t xml:space="preserve">may </w:t>
      </w:r>
      <w:r w:rsidR="00495D6D" w:rsidRPr="003D70B4">
        <w:rPr>
          <w:bCs/>
        </w:rPr>
        <w:t xml:space="preserve">include hostile and aggressive conduct, </w:t>
      </w:r>
      <w:r w:rsidR="0088449F" w:rsidRPr="003D70B4">
        <w:rPr>
          <w:bCs/>
        </w:rPr>
        <w:t>is</w:t>
      </w:r>
      <w:r w:rsidR="00495D6D" w:rsidRPr="003D70B4">
        <w:rPr>
          <w:bCs/>
        </w:rPr>
        <w:t xml:space="preserve"> negatively </w:t>
      </w:r>
      <w:r w:rsidR="009E26BF" w:rsidRPr="003D70B4">
        <w:rPr>
          <w:bCs/>
        </w:rPr>
        <w:t xml:space="preserve">linked </w:t>
      </w:r>
      <w:r w:rsidR="00495D6D" w:rsidRPr="003D70B4">
        <w:rPr>
          <w:bCs/>
        </w:rPr>
        <w:t>to performance appraisals by supervisors (Dunlop &amp; Lee, 2004).</w:t>
      </w:r>
    </w:p>
    <w:p w14:paraId="54CEF64E" w14:textId="56DE70AC" w:rsidR="00433467" w:rsidRPr="0041230A" w:rsidRDefault="006C62C5">
      <w:pPr>
        <w:spacing w:line="480" w:lineRule="auto"/>
        <w:rPr>
          <w:bCs/>
        </w:rPr>
      </w:pPr>
      <w:r w:rsidRPr="003D70B4">
        <w:rPr>
          <w:bCs/>
        </w:rPr>
        <w:tab/>
      </w:r>
      <w:r w:rsidR="008625AB">
        <w:t xml:space="preserve">Individuals high </w:t>
      </w:r>
      <w:r w:rsidR="0069781C">
        <w:t>o</w:t>
      </w:r>
      <w:r w:rsidR="008625AB">
        <w:t>n narcissism</w:t>
      </w:r>
      <w:r w:rsidR="008625AB" w:rsidRPr="003D70B4" w:rsidDel="008625AB">
        <w:rPr>
          <w:bCs/>
        </w:rPr>
        <w:t xml:space="preserve"> </w:t>
      </w:r>
      <w:r w:rsidR="00E5513C" w:rsidRPr="003D70B4">
        <w:rPr>
          <w:bCs/>
        </w:rPr>
        <w:t xml:space="preserve">are attracted to </w:t>
      </w:r>
      <w:r w:rsidRPr="003D70B4">
        <w:rPr>
          <w:bCs/>
        </w:rPr>
        <w:t>hierarchies</w:t>
      </w:r>
      <w:r w:rsidR="00810E66" w:rsidRPr="003D70B4">
        <w:rPr>
          <w:bCs/>
        </w:rPr>
        <w:t>,</w:t>
      </w:r>
      <w:r w:rsidRPr="003D70B4">
        <w:rPr>
          <w:bCs/>
        </w:rPr>
        <w:t xml:space="preserve"> because they believe they </w:t>
      </w:r>
      <w:r w:rsidR="00495D6D" w:rsidRPr="003D70B4">
        <w:rPr>
          <w:bCs/>
        </w:rPr>
        <w:t xml:space="preserve">can </w:t>
      </w:r>
      <w:r w:rsidRPr="003D70B4">
        <w:rPr>
          <w:bCs/>
        </w:rPr>
        <w:t>ris</w:t>
      </w:r>
      <w:r w:rsidR="00495D6D" w:rsidRPr="003D70B4">
        <w:rPr>
          <w:bCs/>
        </w:rPr>
        <w:t>e</w:t>
      </w:r>
      <w:r w:rsidRPr="003D70B4">
        <w:rPr>
          <w:bCs/>
        </w:rPr>
        <w:t xml:space="preserve"> to the top</w:t>
      </w:r>
      <w:r w:rsidR="00F570E2" w:rsidRPr="003D70B4">
        <w:rPr>
          <w:bCs/>
        </w:rPr>
        <w:t xml:space="preserve"> (Grapsas </w:t>
      </w:r>
      <w:r w:rsidR="00610714" w:rsidRPr="003D70B4">
        <w:rPr>
          <w:bCs/>
        </w:rPr>
        <w:t>et al.</w:t>
      </w:r>
      <w:r w:rsidR="00F570E2" w:rsidRPr="003D70B4">
        <w:rPr>
          <w:bCs/>
        </w:rPr>
        <w:t>, 2020)</w:t>
      </w:r>
      <w:r w:rsidRPr="003D70B4">
        <w:rPr>
          <w:bCs/>
        </w:rPr>
        <w:t xml:space="preserve">. Our findings </w:t>
      </w:r>
      <w:r w:rsidR="00810E66" w:rsidRPr="003D70B4">
        <w:rPr>
          <w:bCs/>
        </w:rPr>
        <w:t xml:space="preserve">indicate </w:t>
      </w:r>
      <w:r w:rsidRPr="003D70B4">
        <w:rPr>
          <w:bCs/>
        </w:rPr>
        <w:t>that</w:t>
      </w:r>
      <w:r w:rsidR="00FD38D4" w:rsidRPr="003D70B4">
        <w:rPr>
          <w:bCs/>
        </w:rPr>
        <w:t xml:space="preserve"> </w:t>
      </w:r>
      <w:r w:rsidR="008625AB">
        <w:t>narcissistic individuals</w:t>
      </w:r>
      <w:r w:rsidR="008625AB" w:rsidRPr="003D70B4" w:rsidDel="008625AB">
        <w:rPr>
          <w:bCs/>
        </w:rPr>
        <w:t xml:space="preserve"> </w:t>
      </w:r>
      <w:r w:rsidR="00810E66" w:rsidRPr="003D70B4">
        <w:rPr>
          <w:bCs/>
        </w:rPr>
        <w:t>are</w:t>
      </w:r>
      <w:r w:rsidR="00FD38D4" w:rsidRPr="003D70B4">
        <w:rPr>
          <w:bCs/>
        </w:rPr>
        <w:t xml:space="preserve"> successful in engendering </w:t>
      </w:r>
      <w:r w:rsidR="00013AFA" w:rsidRPr="003D70B4">
        <w:rPr>
          <w:bCs/>
        </w:rPr>
        <w:t>a positive</w:t>
      </w:r>
      <w:r w:rsidR="00FD38D4" w:rsidRPr="003D70B4">
        <w:rPr>
          <w:bCs/>
        </w:rPr>
        <w:t xml:space="preserve"> image of their potential to function in higher echelons. </w:t>
      </w:r>
      <w:r w:rsidR="00495D6D" w:rsidRPr="003D70B4">
        <w:rPr>
          <w:bCs/>
        </w:rPr>
        <w:t>As subordinates, t</w:t>
      </w:r>
      <w:r w:rsidR="0051405C" w:rsidRPr="003D70B4">
        <w:rPr>
          <w:bCs/>
        </w:rPr>
        <w:t xml:space="preserve">hey act as if they have more power in the </w:t>
      </w:r>
      <w:r w:rsidR="00785D34" w:rsidRPr="003D70B4">
        <w:rPr>
          <w:bCs/>
        </w:rPr>
        <w:t xml:space="preserve">organization </w:t>
      </w:r>
      <w:r w:rsidR="0051405C" w:rsidRPr="003D70B4">
        <w:rPr>
          <w:bCs/>
        </w:rPr>
        <w:t xml:space="preserve">and </w:t>
      </w:r>
      <w:r w:rsidR="00013AFA" w:rsidRPr="003D70B4">
        <w:rPr>
          <w:bCs/>
        </w:rPr>
        <w:t xml:space="preserve">thus </w:t>
      </w:r>
      <w:r w:rsidR="0051405C" w:rsidRPr="003D70B4">
        <w:rPr>
          <w:bCs/>
        </w:rPr>
        <w:t xml:space="preserve">demonstrate </w:t>
      </w:r>
      <w:r w:rsidR="00844AE7" w:rsidRPr="003D70B4">
        <w:rPr>
          <w:bCs/>
        </w:rPr>
        <w:t>behavior</w:t>
      </w:r>
      <w:r w:rsidR="004B6643" w:rsidRPr="003D70B4">
        <w:rPr>
          <w:bCs/>
        </w:rPr>
        <w:t xml:space="preserve"> that would be expected in higher-level functions</w:t>
      </w:r>
      <w:r w:rsidR="00013AFA" w:rsidRPr="003D70B4">
        <w:rPr>
          <w:bCs/>
        </w:rPr>
        <w:t>.</w:t>
      </w:r>
      <w:r w:rsidR="0051405C" w:rsidRPr="003D70B4">
        <w:rPr>
          <w:bCs/>
        </w:rPr>
        <w:t xml:space="preserve"> </w:t>
      </w:r>
      <w:r w:rsidR="00FD38D4" w:rsidRPr="003D70B4">
        <w:rPr>
          <w:bCs/>
        </w:rPr>
        <w:t xml:space="preserve">Given that career progression within formal hierarchies is </w:t>
      </w:r>
      <w:r w:rsidR="00E85FFE" w:rsidRPr="003D70B4">
        <w:rPr>
          <w:bCs/>
        </w:rPr>
        <w:t xml:space="preserve">strongly </w:t>
      </w:r>
      <w:r w:rsidR="00FD38D4" w:rsidRPr="003D70B4">
        <w:rPr>
          <w:bCs/>
        </w:rPr>
        <w:t>dependent on supervisor</w:t>
      </w:r>
      <w:r w:rsidR="00E5513C" w:rsidRPr="003D70B4">
        <w:rPr>
          <w:bCs/>
        </w:rPr>
        <w:t>s</w:t>
      </w:r>
      <w:r w:rsidR="001059E7" w:rsidRPr="003D70B4">
        <w:rPr>
          <w:bCs/>
        </w:rPr>
        <w:t>’</w:t>
      </w:r>
      <w:r w:rsidR="00FD38D4" w:rsidRPr="003D70B4">
        <w:rPr>
          <w:bCs/>
        </w:rPr>
        <w:t xml:space="preserve"> evaluations and endorsement, this </w:t>
      </w:r>
      <w:r w:rsidR="00EA3D4E" w:rsidRPr="003D70B4">
        <w:rPr>
          <w:bCs/>
        </w:rPr>
        <w:t xml:space="preserve">may help explain </w:t>
      </w:r>
      <w:r w:rsidR="00013AFA" w:rsidRPr="003D70B4">
        <w:rPr>
          <w:bCs/>
        </w:rPr>
        <w:t>why</w:t>
      </w:r>
      <w:r w:rsidR="00FD38D4" w:rsidRPr="003D70B4">
        <w:rPr>
          <w:bCs/>
        </w:rPr>
        <w:t xml:space="preserve"> </w:t>
      </w:r>
      <w:r w:rsidR="008625AB">
        <w:t>narcissistic individuals</w:t>
      </w:r>
      <w:r w:rsidR="008625AB" w:rsidRPr="003D70B4" w:rsidDel="008625AB">
        <w:rPr>
          <w:bCs/>
        </w:rPr>
        <w:t xml:space="preserve"> </w:t>
      </w:r>
      <w:r w:rsidR="001059E7" w:rsidRPr="003D70B4">
        <w:rPr>
          <w:bCs/>
        </w:rPr>
        <w:t>enjoy promising prospects</w:t>
      </w:r>
      <w:r w:rsidR="0051405C" w:rsidRPr="003D70B4">
        <w:rPr>
          <w:bCs/>
        </w:rPr>
        <w:t xml:space="preserve"> of rising</w:t>
      </w:r>
      <w:r w:rsidR="00FD38D4" w:rsidRPr="003D70B4">
        <w:rPr>
          <w:bCs/>
        </w:rPr>
        <w:t xml:space="preserve"> through the ranks</w:t>
      </w:r>
      <w:r w:rsidR="002A1FFA" w:rsidRPr="003D70B4">
        <w:rPr>
          <w:bCs/>
        </w:rPr>
        <w:t>.</w:t>
      </w:r>
      <w:r w:rsidR="00EA3D4E" w:rsidRPr="003D70B4">
        <w:rPr>
          <w:bCs/>
        </w:rPr>
        <w:t xml:space="preserve"> </w:t>
      </w:r>
      <w:r w:rsidR="00433467" w:rsidRPr="00D15D0E">
        <w:br w:type="page"/>
      </w:r>
    </w:p>
    <w:p w14:paraId="0B77F4B5" w14:textId="5C3E1596" w:rsidR="00482844" w:rsidRPr="003E2413" w:rsidRDefault="00482844" w:rsidP="004C28FB">
      <w:pPr>
        <w:widowControl w:val="0"/>
        <w:autoSpaceDE w:val="0"/>
        <w:autoSpaceDN w:val="0"/>
        <w:adjustRightInd w:val="0"/>
        <w:spacing w:line="480" w:lineRule="auto"/>
        <w:ind w:left="567" w:hanging="567"/>
        <w:contextualSpacing/>
        <w:jc w:val="center"/>
        <w:rPr>
          <w:b/>
          <w:bCs/>
        </w:rPr>
      </w:pPr>
      <w:r w:rsidRPr="003E2413">
        <w:rPr>
          <w:b/>
          <w:bCs/>
        </w:rPr>
        <w:lastRenderedPageBreak/>
        <w:t>References</w:t>
      </w:r>
    </w:p>
    <w:p w14:paraId="28C7DA4B" w14:textId="6DA51A7A" w:rsidR="00521629" w:rsidRDefault="00482844" w:rsidP="004C28FB">
      <w:pPr>
        <w:widowControl w:val="0"/>
        <w:autoSpaceDE w:val="0"/>
        <w:autoSpaceDN w:val="0"/>
        <w:adjustRightInd w:val="0"/>
        <w:spacing w:line="480" w:lineRule="auto"/>
        <w:ind w:left="567" w:hanging="567"/>
        <w:contextualSpacing/>
      </w:pPr>
      <w:r w:rsidRPr="003E2413">
        <w:t>Ackerman, R. A., Witt, E. A., Donnellan, M. B., Trzesniewski, K. H., Robins, R. W., &amp; Kashy, D. A. (2011). What does the Narcissistic Personality Inventory really</w:t>
      </w:r>
      <w:r w:rsidR="00B9286E" w:rsidRPr="003E2413">
        <w:t xml:space="preserve"> measure? </w:t>
      </w:r>
      <w:r w:rsidR="00B9286E" w:rsidRPr="003E2413">
        <w:rPr>
          <w:i/>
        </w:rPr>
        <w:t>Assessment, 18</w:t>
      </w:r>
      <w:r w:rsidR="005426AE" w:rsidRPr="003E2413">
        <w:rPr>
          <w:iCs/>
        </w:rPr>
        <w:t>(1)</w:t>
      </w:r>
      <w:r w:rsidR="00B9286E" w:rsidRPr="003E2413">
        <w:t>,</w:t>
      </w:r>
      <w:r w:rsidRPr="003E2413">
        <w:t xml:space="preserve"> 67–87</w:t>
      </w:r>
      <w:r w:rsidRPr="003E2413">
        <w:rPr>
          <w:color w:val="000000" w:themeColor="text1"/>
        </w:rPr>
        <w:t xml:space="preserve">. </w:t>
      </w:r>
      <w:hyperlink r:id="rId9" w:history="1">
        <w:r w:rsidR="00BB078B" w:rsidRPr="003E2413">
          <w:rPr>
            <w:rStyle w:val="Hyperlink"/>
            <w:color w:val="000000" w:themeColor="text1"/>
            <w:u w:val="none"/>
          </w:rPr>
          <w:t>https://doi.org/10.1177/1073191110382845</w:t>
        </w:r>
      </w:hyperlink>
      <w:r w:rsidR="00BB078B" w:rsidRPr="003E2413">
        <w:t xml:space="preserve"> </w:t>
      </w:r>
    </w:p>
    <w:p w14:paraId="71F5BE0B" w14:textId="5DF6A5B2" w:rsidR="00CF7EC4" w:rsidRPr="00CF7EC4" w:rsidRDefault="00CF7EC4" w:rsidP="00CF7EC4">
      <w:pPr>
        <w:widowControl w:val="0"/>
        <w:autoSpaceDE w:val="0"/>
        <w:autoSpaceDN w:val="0"/>
        <w:adjustRightInd w:val="0"/>
        <w:spacing w:line="480" w:lineRule="auto"/>
        <w:ind w:left="567" w:hanging="567"/>
        <w:contextualSpacing/>
      </w:pPr>
      <w:r w:rsidRPr="00CF7EC4">
        <w:t xml:space="preserve">Aslinger, E., Manuck, S., Pilkonis, P., Simms, L., &amp; Wright, A. G. (2018). Narcissist or </w:t>
      </w:r>
      <w:r w:rsidR="00715C53">
        <w:t>n</w:t>
      </w:r>
      <w:r w:rsidRPr="00CF7EC4">
        <w:t xml:space="preserve">arcissistic? Evaluation of the </w:t>
      </w:r>
      <w:r w:rsidR="00715C53">
        <w:t>l</w:t>
      </w:r>
      <w:r w:rsidRPr="00CF7EC4">
        <w:t xml:space="preserve">atent </w:t>
      </w:r>
      <w:r w:rsidR="00715C53">
        <w:t>s</w:t>
      </w:r>
      <w:r w:rsidRPr="00CF7EC4">
        <w:t xml:space="preserve">tructure of </w:t>
      </w:r>
      <w:r w:rsidR="00715C53">
        <w:t>n</w:t>
      </w:r>
      <w:r w:rsidRPr="00CF7EC4">
        <w:t xml:space="preserve">arcissistic </w:t>
      </w:r>
      <w:r w:rsidR="00715C53">
        <w:t>p</w:t>
      </w:r>
      <w:r w:rsidRPr="00CF7EC4">
        <w:t xml:space="preserve">ersonality </w:t>
      </w:r>
      <w:r w:rsidR="00715C53">
        <w:t>d</w:t>
      </w:r>
      <w:r w:rsidRPr="00CF7EC4">
        <w:t xml:space="preserve">isorder. </w:t>
      </w:r>
      <w:r w:rsidRPr="00CF7EC4">
        <w:rPr>
          <w:i/>
          <w:iCs/>
        </w:rPr>
        <w:t>Journal of Abnormal Psychology, 127</w:t>
      </w:r>
      <w:r w:rsidRPr="00CF7EC4">
        <w:t>(5), 496-502.</w:t>
      </w:r>
      <w:r>
        <w:t xml:space="preserve"> </w:t>
      </w:r>
      <w:r w:rsidRPr="00CF7EC4">
        <w:t>https://doi.org/10.1037/abn0000363</w:t>
      </w:r>
    </w:p>
    <w:p w14:paraId="39C76FE6" w14:textId="645E6881" w:rsidR="00521629" w:rsidRPr="003E2413" w:rsidRDefault="00482844" w:rsidP="004C28FB">
      <w:pPr>
        <w:widowControl w:val="0"/>
        <w:autoSpaceDE w:val="0"/>
        <w:autoSpaceDN w:val="0"/>
        <w:adjustRightInd w:val="0"/>
        <w:spacing w:line="480" w:lineRule="auto"/>
        <w:ind w:left="567" w:hanging="567"/>
        <w:contextualSpacing/>
        <w:rPr>
          <w:color w:val="000000" w:themeColor="text1"/>
        </w:rPr>
      </w:pPr>
      <w:r w:rsidRPr="003E2413">
        <w:t>Ames, D. R., Rose, P., &amp; Anderson, C. P. (2006). The NPI-16 as a short measure of narcissism. </w:t>
      </w:r>
      <w:r w:rsidRPr="003E2413">
        <w:rPr>
          <w:i/>
          <w:iCs/>
        </w:rPr>
        <w:t>Journal of Research in Personality</w:t>
      </w:r>
      <w:r w:rsidRPr="003E2413">
        <w:t>, </w:t>
      </w:r>
      <w:r w:rsidRPr="003E2413">
        <w:rPr>
          <w:i/>
          <w:iCs/>
        </w:rPr>
        <w:t>40</w:t>
      </w:r>
      <w:r w:rsidR="005426AE" w:rsidRPr="003E2413">
        <w:t>(4)</w:t>
      </w:r>
      <w:r w:rsidRPr="003E2413">
        <w:t>, 440-450.</w:t>
      </w:r>
      <w:r w:rsidR="00521629" w:rsidRPr="003E2413">
        <w:t xml:space="preserve"> </w:t>
      </w:r>
      <w:hyperlink r:id="rId10" w:history="1">
        <w:r w:rsidR="00BB078B" w:rsidRPr="003E2413">
          <w:rPr>
            <w:rStyle w:val="Hyperlink"/>
            <w:color w:val="000000" w:themeColor="text1"/>
            <w:u w:val="none"/>
          </w:rPr>
          <w:t>https://doi.org/10.1016/j.jrp.2005.03.002</w:t>
        </w:r>
      </w:hyperlink>
      <w:r w:rsidR="00BB078B" w:rsidRPr="003E2413">
        <w:rPr>
          <w:color w:val="000000" w:themeColor="text1"/>
        </w:rPr>
        <w:t xml:space="preserve"> </w:t>
      </w:r>
    </w:p>
    <w:p w14:paraId="0C93A62A" w14:textId="2A03F09C" w:rsidR="00521629" w:rsidRPr="003E2413" w:rsidRDefault="00482844" w:rsidP="004C28FB">
      <w:pPr>
        <w:widowControl w:val="0"/>
        <w:autoSpaceDE w:val="0"/>
        <w:autoSpaceDN w:val="0"/>
        <w:adjustRightInd w:val="0"/>
        <w:spacing w:line="480" w:lineRule="auto"/>
        <w:ind w:left="567" w:hanging="567"/>
        <w:contextualSpacing/>
        <w:rPr>
          <w:color w:val="231F20"/>
        </w:rPr>
      </w:pPr>
      <w:r w:rsidRPr="003E2413">
        <w:t>Anderson, C., &amp; Galinsky, A. D. (2006). Power, optimism, and risk</w:t>
      </w:r>
      <w:r w:rsidRPr="003E2413">
        <w:rPr>
          <w:rFonts w:ascii="Adobe Arabic" w:hAnsi="Adobe Arabic" w:cs="Adobe Arabic"/>
        </w:rPr>
        <w:t>‐</w:t>
      </w:r>
      <w:r w:rsidRPr="003E2413">
        <w:t>taking. </w:t>
      </w:r>
      <w:r w:rsidRPr="003E2413">
        <w:rPr>
          <w:i/>
          <w:iCs/>
        </w:rPr>
        <w:t>European Journal of Social Psychology</w:t>
      </w:r>
      <w:r w:rsidRPr="003E2413">
        <w:t>, </w:t>
      </w:r>
      <w:r w:rsidRPr="003E2413">
        <w:rPr>
          <w:i/>
          <w:iCs/>
        </w:rPr>
        <w:t>36</w:t>
      </w:r>
      <w:r w:rsidR="004223F3" w:rsidRPr="003E2413">
        <w:t>(4)</w:t>
      </w:r>
      <w:r w:rsidRPr="003E2413">
        <w:t>, 511-536.</w:t>
      </w:r>
      <w:r w:rsidR="00521629" w:rsidRPr="003E2413">
        <w:t xml:space="preserve"> </w:t>
      </w:r>
      <w:hyperlink r:id="rId11" w:history="1">
        <w:r w:rsidR="00BB078B" w:rsidRPr="003E2413">
          <w:rPr>
            <w:rStyle w:val="Hyperlink"/>
            <w:color w:val="000000" w:themeColor="text1"/>
            <w:u w:val="none"/>
          </w:rPr>
          <w:t>https://doi.org/10.1002/ejsp.324</w:t>
        </w:r>
      </w:hyperlink>
      <w:r w:rsidR="00BB078B" w:rsidRPr="003E2413">
        <w:rPr>
          <w:color w:val="000000" w:themeColor="text1"/>
        </w:rPr>
        <w:t xml:space="preserve"> </w:t>
      </w:r>
    </w:p>
    <w:p w14:paraId="7C7C469E" w14:textId="1F7F8D78" w:rsidR="00311105" w:rsidRPr="003E2413" w:rsidRDefault="00311105" w:rsidP="004C28FB">
      <w:pPr>
        <w:widowControl w:val="0"/>
        <w:autoSpaceDE w:val="0"/>
        <w:autoSpaceDN w:val="0"/>
        <w:adjustRightInd w:val="0"/>
        <w:spacing w:line="480" w:lineRule="auto"/>
        <w:ind w:left="567" w:hanging="567"/>
        <w:contextualSpacing/>
      </w:pPr>
      <w:r w:rsidRPr="003E2413">
        <w:t xml:space="preserve">Anderson, C., John, O. P., &amp; Keltner, D. (2012). The personal sense of power. </w:t>
      </w:r>
      <w:r w:rsidRPr="003E2413">
        <w:rPr>
          <w:i/>
          <w:iCs/>
        </w:rPr>
        <w:t>Journal of Personality, 80</w:t>
      </w:r>
      <w:r w:rsidR="004223F3" w:rsidRPr="003E2413">
        <w:t>(2)</w:t>
      </w:r>
      <w:r w:rsidRPr="003E2413">
        <w:rPr>
          <w:i/>
          <w:iCs/>
        </w:rPr>
        <w:t>,</w:t>
      </w:r>
      <w:r w:rsidRPr="003E2413">
        <w:t xml:space="preserve"> 313-344.</w:t>
      </w:r>
      <w:r w:rsidR="003E0274" w:rsidRPr="003E2413">
        <w:t xml:space="preserve"> </w:t>
      </w:r>
      <w:hyperlink r:id="rId12" w:history="1">
        <w:r w:rsidR="00BB078B" w:rsidRPr="003E2413">
          <w:rPr>
            <w:rStyle w:val="Hyperlink"/>
            <w:color w:val="000000" w:themeColor="text1"/>
            <w:u w:val="none"/>
          </w:rPr>
          <w:t>https://doi.org/10.1111/j.1467-6494.2011.00734.x</w:t>
        </w:r>
      </w:hyperlink>
      <w:r w:rsidR="00BB078B" w:rsidRPr="003E2413">
        <w:rPr>
          <w:color w:val="000000" w:themeColor="text1"/>
        </w:rPr>
        <w:t xml:space="preserve"> </w:t>
      </w:r>
    </w:p>
    <w:p w14:paraId="6AD63F3D" w14:textId="290907B0" w:rsidR="00482844" w:rsidRPr="003E2413" w:rsidRDefault="00482844" w:rsidP="004C28FB">
      <w:pPr>
        <w:widowControl w:val="0"/>
        <w:autoSpaceDE w:val="0"/>
        <w:autoSpaceDN w:val="0"/>
        <w:adjustRightInd w:val="0"/>
        <w:spacing w:line="480" w:lineRule="auto"/>
        <w:ind w:left="567" w:hanging="567"/>
        <w:contextualSpacing/>
        <w:rPr>
          <w:color w:val="000000" w:themeColor="text1"/>
          <w:lang w:val="fr-FR"/>
        </w:rPr>
      </w:pPr>
      <w:r w:rsidRPr="003E2413">
        <w:t>Anderson, C., &amp; Kilduff, G. J. (2009). The pursuit of status in social groups. </w:t>
      </w:r>
      <w:r w:rsidRPr="003E2413">
        <w:rPr>
          <w:i/>
          <w:iCs/>
          <w:lang w:val="fr-FR"/>
        </w:rPr>
        <w:t>Current Directions in Psychological Science</w:t>
      </w:r>
      <w:r w:rsidRPr="003E2413">
        <w:rPr>
          <w:lang w:val="fr-FR"/>
        </w:rPr>
        <w:t>, </w:t>
      </w:r>
      <w:r w:rsidRPr="003E2413">
        <w:rPr>
          <w:i/>
          <w:iCs/>
          <w:lang w:val="fr-FR"/>
        </w:rPr>
        <w:t>18</w:t>
      </w:r>
      <w:r w:rsidR="004223F3" w:rsidRPr="003E2413">
        <w:rPr>
          <w:lang w:val="fr-FR"/>
        </w:rPr>
        <w:t>(5)</w:t>
      </w:r>
      <w:r w:rsidRPr="003E2413">
        <w:rPr>
          <w:lang w:val="fr-FR"/>
        </w:rPr>
        <w:t>, 295-298.</w:t>
      </w:r>
      <w:r w:rsidR="001A2DAD" w:rsidRPr="003E2413">
        <w:rPr>
          <w:lang w:val="fr-FR"/>
        </w:rPr>
        <w:t xml:space="preserve"> </w:t>
      </w:r>
      <w:hyperlink r:id="rId13" w:history="1">
        <w:r w:rsidR="00BB078B" w:rsidRPr="003E2413">
          <w:rPr>
            <w:rStyle w:val="Hyperlink"/>
            <w:color w:val="000000" w:themeColor="text1"/>
            <w:u w:val="none"/>
            <w:lang w:val="fr-FR"/>
          </w:rPr>
          <w:t>https://doi.org/10.1111/j.1467-8721.2009.01655.x</w:t>
        </w:r>
      </w:hyperlink>
      <w:r w:rsidR="00C03122" w:rsidRPr="003E2413">
        <w:rPr>
          <w:color w:val="000000" w:themeColor="text1"/>
          <w:lang w:val="fr-FR"/>
        </w:rPr>
        <w:t xml:space="preserve"> </w:t>
      </w:r>
    </w:p>
    <w:p w14:paraId="5BF31495" w14:textId="5A78C1C7" w:rsidR="00CA3E63" w:rsidRPr="003E2413" w:rsidRDefault="00CA3E63" w:rsidP="004C28FB">
      <w:pPr>
        <w:widowControl w:val="0"/>
        <w:autoSpaceDE w:val="0"/>
        <w:autoSpaceDN w:val="0"/>
        <w:adjustRightInd w:val="0"/>
        <w:spacing w:line="480" w:lineRule="auto"/>
        <w:ind w:left="567" w:hanging="567"/>
        <w:contextualSpacing/>
      </w:pPr>
      <w:r w:rsidRPr="000C44A8">
        <w:rPr>
          <w:lang w:val="fr-FR"/>
        </w:rPr>
        <w:t xml:space="preserve">Ashton-James, C. E., &amp; Levordashka, A. (2013). </w:t>
      </w:r>
      <w:r w:rsidRPr="003E2413">
        <w:t xml:space="preserve">When the wolf wears sheep’s clothing: Individual differences in the desire to be liked influence nonconscious </w:t>
      </w:r>
      <w:r w:rsidR="00844AE7" w:rsidRPr="003E2413">
        <w:t>behaviour</w:t>
      </w:r>
      <w:r w:rsidRPr="003E2413">
        <w:t xml:space="preserve">al mimicry. </w:t>
      </w:r>
      <w:r w:rsidRPr="003E2413">
        <w:rPr>
          <w:i/>
          <w:iCs/>
        </w:rPr>
        <w:t>Social Psychological and Personality Science, 4</w:t>
      </w:r>
      <w:r w:rsidR="005071D0" w:rsidRPr="003E2413">
        <w:t>(6)</w:t>
      </w:r>
      <w:r w:rsidRPr="003E2413">
        <w:rPr>
          <w:i/>
          <w:iCs/>
        </w:rPr>
        <w:t>,</w:t>
      </w:r>
      <w:r w:rsidRPr="003E2413">
        <w:t xml:space="preserve"> 643-648. </w:t>
      </w:r>
      <w:hyperlink r:id="rId14" w:history="1">
        <w:r w:rsidR="00BB078B" w:rsidRPr="003E2413">
          <w:rPr>
            <w:rStyle w:val="Hyperlink"/>
            <w:color w:val="000000" w:themeColor="text1"/>
            <w:u w:val="none"/>
          </w:rPr>
          <w:t>https://doi.org/10.1177/1948550613476097</w:t>
        </w:r>
      </w:hyperlink>
      <w:r w:rsidR="00C03122" w:rsidRPr="003E2413">
        <w:rPr>
          <w:color w:val="000000" w:themeColor="text1"/>
        </w:rPr>
        <w:t xml:space="preserve"> </w:t>
      </w:r>
    </w:p>
    <w:p w14:paraId="0DE28CCF" w14:textId="44100F8C" w:rsidR="00521629" w:rsidRPr="003E2413" w:rsidRDefault="00482844" w:rsidP="004C28FB">
      <w:pPr>
        <w:widowControl w:val="0"/>
        <w:autoSpaceDE w:val="0"/>
        <w:autoSpaceDN w:val="0"/>
        <w:adjustRightInd w:val="0"/>
        <w:spacing w:line="480" w:lineRule="auto"/>
        <w:ind w:left="567" w:hanging="567"/>
        <w:contextualSpacing/>
        <w:rPr>
          <w:color w:val="000000" w:themeColor="text1"/>
        </w:rPr>
      </w:pPr>
      <w:r w:rsidRPr="003E2413">
        <w:t>Back, M. D., Küfner, A. C., Dufner, M., Gerlach, T. M., Rauthmann, J. F., &amp; Denissen, J. J. (2013). Narcissistic admiration and rivalry: Disentangling the bright and dark sides of narcissism. </w:t>
      </w:r>
      <w:r w:rsidRPr="003E2413">
        <w:rPr>
          <w:i/>
          <w:iCs/>
        </w:rPr>
        <w:t>Journal of Personality and Social Psychology</w:t>
      </w:r>
      <w:r w:rsidRPr="003E2413">
        <w:t>, </w:t>
      </w:r>
      <w:r w:rsidRPr="003E2413">
        <w:rPr>
          <w:i/>
          <w:iCs/>
        </w:rPr>
        <w:t>105</w:t>
      </w:r>
      <w:r w:rsidR="005071D0" w:rsidRPr="003E2413">
        <w:t>(6)</w:t>
      </w:r>
      <w:r w:rsidRPr="003E2413">
        <w:t>, 1013-1037.</w:t>
      </w:r>
      <w:r w:rsidR="00521629" w:rsidRPr="003E2413">
        <w:t xml:space="preserve"> </w:t>
      </w:r>
      <w:hyperlink r:id="rId15" w:history="1">
        <w:r w:rsidR="00BB078B" w:rsidRPr="003E2413">
          <w:rPr>
            <w:rStyle w:val="Hyperlink"/>
            <w:bCs/>
            <w:color w:val="000000" w:themeColor="text1"/>
            <w:u w:val="none"/>
          </w:rPr>
          <w:t>https://doi.org/</w:t>
        </w:r>
        <w:r w:rsidR="00BB078B" w:rsidRPr="003E2413">
          <w:rPr>
            <w:rStyle w:val="Hyperlink"/>
            <w:color w:val="000000" w:themeColor="text1"/>
            <w:u w:val="none"/>
          </w:rPr>
          <w:t>10.1037/a0034431</w:t>
        </w:r>
      </w:hyperlink>
      <w:r w:rsidR="00BB078B" w:rsidRPr="003E2413">
        <w:rPr>
          <w:color w:val="000000" w:themeColor="text1"/>
        </w:rPr>
        <w:t xml:space="preserve"> </w:t>
      </w:r>
    </w:p>
    <w:p w14:paraId="11012C84" w14:textId="3998B50E" w:rsidR="00E571B3" w:rsidRPr="003E2413" w:rsidRDefault="00E571B3" w:rsidP="004C28FB">
      <w:pPr>
        <w:widowControl w:val="0"/>
        <w:autoSpaceDE w:val="0"/>
        <w:autoSpaceDN w:val="0"/>
        <w:adjustRightInd w:val="0"/>
        <w:spacing w:line="480" w:lineRule="auto"/>
        <w:ind w:left="567" w:hanging="567"/>
        <w:contextualSpacing/>
        <w:rPr>
          <w:color w:val="000000" w:themeColor="text1"/>
        </w:rPr>
      </w:pPr>
      <w:r w:rsidRPr="003E2413">
        <w:rPr>
          <w:color w:val="000000" w:themeColor="text1"/>
        </w:rPr>
        <w:lastRenderedPageBreak/>
        <w:t xml:space="preserve">Back, M. D., Schmukle, S. C., &amp; Egloff, B. (2010). Why are narcissists so charming at first sight? Decoding the narcissism–popularity link at zero acquaintance. </w:t>
      </w:r>
      <w:r w:rsidRPr="003E2413">
        <w:rPr>
          <w:i/>
          <w:iCs/>
          <w:color w:val="000000" w:themeColor="text1"/>
        </w:rPr>
        <w:t>Journal of Personality and Social Psychology, 98</w:t>
      </w:r>
      <w:r w:rsidR="005071D0" w:rsidRPr="003E2413">
        <w:rPr>
          <w:color w:val="000000" w:themeColor="text1"/>
        </w:rPr>
        <w:t>(1)</w:t>
      </w:r>
      <w:r w:rsidRPr="003E2413">
        <w:rPr>
          <w:i/>
          <w:iCs/>
          <w:color w:val="000000" w:themeColor="text1"/>
        </w:rPr>
        <w:t>,</w:t>
      </w:r>
      <w:r w:rsidRPr="003E2413">
        <w:rPr>
          <w:color w:val="000000" w:themeColor="text1"/>
        </w:rPr>
        <w:t xml:space="preserve"> 132</w:t>
      </w:r>
      <w:r w:rsidR="004B0C95" w:rsidRPr="003E2413">
        <w:rPr>
          <w:color w:val="000000" w:themeColor="text1"/>
        </w:rPr>
        <w:t xml:space="preserve">-145. </w:t>
      </w:r>
      <w:hyperlink r:id="rId16" w:history="1">
        <w:r w:rsidR="00BB078B" w:rsidRPr="003E2413">
          <w:rPr>
            <w:rStyle w:val="Hyperlink"/>
            <w:color w:val="000000" w:themeColor="text1"/>
            <w:u w:val="none"/>
          </w:rPr>
          <w:t>https://doi.org/10.1037/a0016338</w:t>
        </w:r>
      </w:hyperlink>
      <w:r w:rsidR="00FD5ADC" w:rsidRPr="003E2413">
        <w:rPr>
          <w:color w:val="000000" w:themeColor="text1"/>
        </w:rPr>
        <w:t xml:space="preserve"> </w:t>
      </w:r>
    </w:p>
    <w:p w14:paraId="79737F3D" w14:textId="7E810C08" w:rsidR="00521629" w:rsidRPr="003E2413" w:rsidRDefault="00482844" w:rsidP="004C28FB">
      <w:pPr>
        <w:widowControl w:val="0"/>
        <w:autoSpaceDE w:val="0"/>
        <w:autoSpaceDN w:val="0"/>
        <w:adjustRightInd w:val="0"/>
        <w:spacing w:line="480" w:lineRule="auto"/>
        <w:ind w:left="567" w:hanging="567"/>
        <w:contextualSpacing/>
        <w:rPr>
          <w:color w:val="000000" w:themeColor="text1"/>
        </w:rPr>
      </w:pPr>
      <w:r w:rsidRPr="003E2413">
        <w:t>Barrick, M. R., Shaffer, J. A., &amp; DeGrassi, S. W. (2009). What you see may not be what you get: relationships among self-presentation tactics and ratings of interview and job performance. </w:t>
      </w:r>
      <w:r w:rsidRPr="003E2413">
        <w:rPr>
          <w:i/>
          <w:iCs/>
        </w:rPr>
        <w:t>Journal of Applied Psychology</w:t>
      </w:r>
      <w:r w:rsidRPr="003E2413">
        <w:t>, </w:t>
      </w:r>
      <w:r w:rsidRPr="003E2413">
        <w:rPr>
          <w:i/>
          <w:iCs/>
        </w:rPr>
        <w:t>94</w:t>
      </w:r>
      <w:r w:rsidR="00D637B1" w:rsidRPr="003E2413">
        <w:t>(6)</w:t>
      </w:r>
      <w:r w:rsidRPr="003E2413">
        <w:t>, 1394-1411.</w:t>
      </w:r>
      <w:r w:rsidR="00521629" w:rsidRPr="003E2413">
        <w:t xml:space="preserve"> </w:t>
      </w:r>
      <w:hyperlink r:id="rId17" w:history="1">
        <w:r w:rsidR="00BB078B" w:rsidRPr="003E2413">
          <w:rPr>
            <w:rStyle w:val="Hyperlink"/>
            <w:color w:val="000000" w:themeColor="text1"/>
            <w:u w:val="none"/>
          </w:rPr>
          <w:t>https://doi.org/</w:t>
        </w:r>
        <w:r w:rsidR="00BB078B" w:rsidRPr="003E2413">
          <w:rPr>
            <w:rStyle w:val="Hyperlink"/>
            <w:rFonts w:ascii="Times-Roman" w:hAnsi="Times-Roman" w:cs="Times-Roman"/>
            <w:color w:val="000000" w:themeColor="text1"/>
            <w:u w:val="none"/>
          </w:rPr>
          <w:t>10.1037/a0016532</w:t>
        </w:r>
      </w:hyperlink>
      <w:r w:rsidR="00BB078B" w:rsidRPr="003E2413">
        <w:rPr>
          <w:rFonts w:ascii="Times-Roman" w:hAnsi="Times-Roman" w:cs="Times-Roman"/>
          <w:color w:val="000000" w:themeColor="text1"/>
        </w:rPr>
        <w:t xml:space="preserve"> </w:t>
      </w:r>
    </w:p>
    <w:p w14:paraId="65EDF018" w14:textId="1FA4BEA9" w:rsidR="00521629" w:rsidRPr="003E2413" w:rsidRDefault="00482844" w:rsidP="004C28FB">
      <w:pPr>
        <w:widowControl w:val="0"/>
        <w:autoSpaceDE w:val="0"/>
        <w:autoSpaceDN w:val="0"/>
        <w:adjustRightInd w:val="0"/>
        <w:spacing w:line="480" w:lineRule="auto"/>
        <w:ind w:left="567" w:hanging="567"/>
        <w:contextualSpacing/>
        <w:rPr>
          <w:color w:val="000000" w:themeColor="text1"/>
        </w:rPr>
      </w:pPr>
      <w:r w:rsidRPr="003E2413">
        <w:t>Barrick, M. R., Swider, B. W., &amp; Stewart, G. L. (2010). Initial evaluations in the interview: Relationships with subsequent interviewer evaluations and employment offers. </w:t>
      </w:r>
      <w:r w:rsidRPr="003E2413">
        <w:rPr>
          <w:i/>
          <w:iCs/>
        </w:rPr>
        <w:t>Journal of Applied Psychology</w:t>
      </w:r>
      <w:r w:rsidRPr="003E2413">
        <w:t>, </w:t>
      </w:r>
      <w:r w:rsidRPr="003E2413">
        <w:rPr>
          <w:i/>
          <w:iCs/>
        </w:rPr>
        <w:t>95</w:t>
      </w:r>
      <w:r w:rsidR="00CE5BAE" w:rsidRPr="003E2413">
        <w:t>(6)</w:t>
      </w:r>
      <w:r w:rsidRPr="003E2413">
        <w:t>, 1163-1172.</w:t>
      </w:r>
      <w:r w:rsidR="00521629" w:rsidRPr="003E2413">
        <w:t xml:space="preserve"> </w:t>
      </w:r>
      <w:hyperlink r:id="rId18" w:history="1">
        <w:r w:rsidR="00BB078B" w:rsidRPr="003E2413">
          <w:rPr>
            <w:rStyle w:val="Hyperlink"/>
            <w:bCs/>
            <w:color w:val="000000" w:themeColor="text1"/>
            <w:u w:val="none"/>
          </w:rPr>
          <w:t>https://doi.org/</w:t>
        </w:r>
        <w:r w:rsidR="00BB078B" w:rsidRPr="003E2413">
          <w:rPr>
            <w:rStyle w:val="Hyperlink"/>
            <w:color w:val="000000" w:themeColor="text1"/>
            <w:u w:val="none"/>
          </w:rPr>
          <w:t>10.1037/a0019918</w:t>
        </w:r>
      </w:hyperlink>
      <w:r w:rsidR="00BB078B" w:rsidRPr="003E2413">
        <w:rPr>
          <w:color w:val="000000" w:themeColor="text1"/>
        </w:rPr>
        <w:t xml:space="preserve"> </w:t>
      </w:r>
    </w:p>
    <w:p w14:paraId="6FEAEB39" w14:textId="745D0360" w:rsidR="002F63F9" w:rsidRPr="003E2413" w:rsidRDefault="00482844" w:rsidP="004C28FB">
      <w:pPr>
        <w:widowControl w:val="0"/>
        <w:autoSpaceDE w:val="0"/>
        <w:autoSpaceDN w:val="0"/>
        <w:adjustRightInd w:val="0"/>
        <w:spacing w:line="480" w:lineRule="auto"/>
        <w:ind w:left="567" w:hanging="567"/>
        <w:contextualSpacing/>
        <w:rPr>
          <w:color w:val="000000" w:themeColor="text1"/>
        </w:rPr>
      </w:pPr>
      <w:r w:rsidRPr="003E2413">
        <w:t xml:space="preserve">Blickle, G., Fröhlich, J. K., Ehlert, S., Pirner, K., Dietl, E., Hanes, T. J., &amp; Ferris, G. R. (2011). Socioanalytic theory and work </w:t>
      </w:r>
      <w:r w:rsidR="00844AE7" w:rsidRPr="003E2413">
        <w:t>behaviour</w:t>
      </w:r>
      <w:r w:rsidRPr="003E2413">
        <w:t>: Roles of work values and political skill in job performance and promotability assessment. </w:t>
      </w:r>
      <w:r w:rsidRPr="003E2413">
        <w:rPr>
          <w:i/>
          <w:iCs/>
        </w:rPr>
        <w:t xml:space="preserve">Journal of Vocational </w:t>
      </w:r>
      <w:r w:rsidR="00844AE7" w:rsidRPr="003E2413">
        <w:rPr>
          <w:i/>
          <w:iCs/>
        </w:rPr>
        <w:t>Behaviour</w:t>
      </w:r>
      <w:r w:rsidRPr="003E2413">
        <w:t>, </w:t>
      </w:r>
      <w:r w:rsidRPr="003E2413">
        <w:rPr>
          <w:i/>
          <w:iCs/>
        </w:rPr>
        <w:t>78</w:t>
      </w:r>
      <w:r w:rsidR="00617BF1" w:rsidRPr="003E2413">
        <w:t>(1)</w:t>
      </w:r>
      <w:r w:rsidRPr="003E2413">
        <w:t>, 136-148.</w:t>
      </w:r>
      <w:r w:rsidR="002F63F9" w:rsidRPr="003E2413">
        <w:t xml:space="preserve"> </w:t>
      </w:r>
      <w:hyperlink r:id="rId19" w:history="1">
        <w:r w:rsidR="00BB078B" w:rsidRPr="003E2413">
          <w:rPr>
            <w:rStyle w:val="Hyperlink"/>
            <w:color w:val="000000" w:themeColor="text1"/>
            <w:u w:val="none"/>
          </w:rPr>
          <w:t>https://doi.org/10.1016/j.jvb.2010.05.010</w:t>
        </w:r>
      </w:hyperlink>
      <w:r w:rsidR="00C03122" w:rsidRPr="003E2413">
        <w:rPr>
          <w:rStyle w:val="st1"/>
          <w:color w:val="000000" w:themeColor="text1"/>
        </w:rPr>
        <w:t xml:space="preserve"> </w:t>
      </w:r>
    </w:p>
    <w:p w14:paraId="16A6712D" w14:textId="06BED8C8" w:rsidR="008F450B" w:rsidRPr="003E2413" w:rsidRDefault="00482844" w:rsidP="004C28FB">
      <w:pPr>
        <w:widowControl w:val="0"/>
        <w:autoSpaceDE w:val="0"/>
        <w:autoSpaceDN w:val="0"/>
        <w:adjustRightInd w:val="0"/>
        <w:spacing w:line="480" w:lineRule="auto"/>
        <w:ind w:left="567" w:hanging="567"/>
        <w:contextualSpacing/>
        <w:rPr>
          <w:color w:val="000000" w:themeColor="text1"/>
        </w:rPr>
      </w:pPr>
      <w:r w:rsidRPr="003E2413">
        <w:t>Bolino, M. C., Klotz, A. C., &amp; Daniels, D. (2014). The impact of impression management over time. </w:t>
      </w:r>
      <w:r w:rsidRPr="003E2413">
        <w:rPr>
          <w:i/>
          <w:iCs/>
        </w:rPr>
        <w:t>Journal of Managerial Psychology</w:t>
      </w:r>
      <w:r w:rsidRPr="003E2413">
        <w:t>, </w:t>
      </w:r>
      <w:r w:rsidRPr="003E2413">
        <w:rPr>
          <w:i/>
          <w:iCs/>
        </w:rPr>
        <w:t>29</w:t>
      </w:r>
      <w:r w:rsidR="00617BF1" w:rsidRPr="003E2413">
        <w:t>(3)</w:t>
      </w:r>
      <w:r w:rsidRPr="003E2413">
        <w:t>, 266-284.</w:t>
      </w:r>
      <w:r w:rsidR="002F63F9" w:rsidRPr="003E2413">
        <w:t xml:space="preserve"> </w:t>
      </w:r>
      <w:hyperlink r:id="rId20" w:history="1">
        <w:r w:rsidR="00BB078B" w:rsidRPr="003E2413">
          <w:rPr>
            <w:rStyle w:val="Hyperlink"/>
            <w:bCs/>
            <w:color w:val="000000" w:themeColor="text1"/>
            <w:u w:val="none"/>
          </w:rPr>
          <w:t>https://doi.org/</w:t>
        </w:r>
        <w:r w:rsidR="00BB078B" w:rsidRPr="003E2413">
          <w:rPr>
            <w:rStyle w:val="Hyperlink"/>
            <w:color w:val="000000" w:themeColor="text1"/>
            <w:u w:val="none"/>
          </w:rPr>
          <w:t>10.1108/JMP-10-2012-0290</w:t>
        </w:r>
      </w:hyperlink>
      <w:r w:rsidR="00BB078B" w:rsidRPr="003E2413">
        <w:rPr>
          <w:color w:val="000000" w:themeColor="text1"/>
        </w:rPr>
        <w:t xml:space="preserve"> </w:t>
      </w:r>
    </w:p>
    <w:p w14:paraId="42B6A83F" w14:textId="362854B8" w:rsidR="002F63F9" w:rsidRPr="003E2413" w:rsidRDefault="008F450B" w:rsidP="004C28FB">
      <w:pPr>
        <w:widowControl w:val="0"/>
        <w:autoSpaceDE w:val="0"/>
        <w:autoSpaceDN w:val="0"/>
        <w:adjustRightInd w:val="0"/>
        <w:spacing w:line="480" w:lineRule="auto"/>
        <w:ind w:left="567" w:hanging="567"/>
        <w:contextualSpacing/>
        <w:rPr>
          <w:color w:val="000000" w:themeColor="text1"/>
        </w:rPr>
      </w:pPr>
      <w:r w:rsidRPr="003E2413">
        <w:rPr>
          <w:color w:val="000000" w:themeColor="text1"/>
        </w:rPr>
        <w:t>Brislin, R.W. (1980) Translation and content analysis of oral and written material. In H. C. Triandis &amp; J. W. Berry</w:t>
      </w:r>
      <w:r w:rsidR="00715C53">
        <w:rPr>
          <w:color w:val="000000" w:themeColor="text1"/>
        </w:rPr>
        <w:t xml:space="preserve"> (Eds.)</w:t>
      </w:r>
      <w:r w:rsidRPr="003E2413">
        <w:rPr>
          <w:color w:val="000000" w:themeColor="text1"/>
        </w:rPr>
        <w:t xml:space="preserve">, </w:t>
      </w:r>
      <w:r w:rsidRPr="003E2413">
        <w:rPr>
          <w:i/>
          <w:iCs/>
          <w:color w:val="000000" w:themeColor="text1"/>
        </w:rPr>
        <w:t>Handbook of cross-cultural psychology: Methodology</w:t>
      </w:r>
      <w:r w:rsidRPr="003E2413">
        <w:rPr>
          <w:color w:val="000000" w:themeColor="text1"/>
        </w:rPr>
        <w:t xml:space="preserve"> (pp. 389-444). Allyn and Bacon.</w:t>
      </w:r>
      <w:r w:rsidR="002F63F9" w:rsidRPr="003E2413">
        <w:rPr>
          <w:color w:val="000000" w:themeColor="text1"/>
        </w:rPr>
        <w:t> </w:t>
      </w:r>
    </w:p>
    <w:p w14:paraId="234561D8" w14:textId="69BE14F9" w:rsidR="002F63F9" w:rsidRPr="003E2413" w:rsidRDefault="00482844" w:rsidP="004C28FB">
      <w:pPr>
        <w:widowControl w:val="0"/>
        <w:autoSpaceDE w:val="0"/>
        <w:autoSpaceDN w:val="0"/>
        <w:adjustRightInd w:val="0"/>
        <w:spacing w:line="480" w:lineRule="auto"/>
        <w:ind w:left="567" w:hanging="567"/>
        <w:contextualSpacing/>
        <w:rPr>
          <w:color w:val="000000" w:themeColor="text1"/>
        </w:rPr>
      </w:pPr>
      <w:r w:rsidRPr="003E2413">
        <w:t xml:space="preserve">Brunell, A. B., Gentry, W. A., Campbell, W. K., Hoffman, B. J., Kuhnert, K. W., &amp; DeMarree, K. G. (2008). Leader </w:t>
      </w:r>
      <w:r w:rsidR="002F63F9" w:rsidRPr="003E2413">
        <w:t>e</w:t>
      </w:r>
      <w:r w:rsidRPr="003E2413">
        <w:t xml:space="preserve">mergence: The </w:t>
      </w:r>
      <w:r w:rsidR="002F63F9" w:rsidRPr="003E2413">
        <w:t>c</w:t>
      </w:r>
      <w:r w:rsidRPr="003E2413">
        <w:t xml:space="preserve">ase of the </w:t>
      </w:r>
      <w:r w:rsidR="002F63F9" w:rsidRPr="003E2413">
        <w:t>n</w:t>
      </w:r>
      <w:r w:rsidRPr="003E2413">
        <w:t xml:space="preserve">arcissistic </w:t>
      </w:r>
      <w:r w:rsidR="002F63F9" w:rsidRPr="003E2413">
        <w:t>l</w:t>
      </w:r>
      <w:r w:rsidRPr="003E2413">
        <w:t xml:space="preserve">eader. </w:t>
      </w:r>
      <w:r w:rsidRPr="003E2413">
        <w:rPr>
          <w:i/>
          <w:iCs/>
        </w:rPr>
        <w:t>Personality and Social Psychology Bulletin</w:t>
      </w:r>
      <w:r w:rsidRPr="003E2413">
        <w:t xml:space="preserve">, </w:t>
      </w:r>
      <w:r w:rsidRPr="003E2413">
        <w:rPr>
          <w:i/>
          <w:iCs/>
        </w:rPr>
        <w:t>34</w:t>
      </w:r>
      <w:r w:rsidR="00D51026" w:rsidRPr="003E2413">
        <w:t>(12)</w:t>
      </w:r>
      <w:r w:rsidRPr="003E2413">
        <w:t>, 1663</w:t>
      </w:r>
      <w:r w:rsidR="0041404C" w:rsidRPr="003E2413">
        <w:t>-</w:t>
      </w:r>
      <w:r w:rsidRPr="003E2413">
        <w:t xml:space="preserve">1676. </w:t>
      </w:r>
      <w:hyperlink r:id="rId21" w:history="1">
        <w:r w:rsidR="00BB078B" w:rsidRPr="003E2413">
          <w:rPr>
            <w:rStyle w:val="Hyperlink"/>
            <w:bCs/>
            <w:color w:val="000000" w:themeColor="text1"/>
            <w:u w:val="none"/>
          </w:rPr>
          <w:t>https://doi.org/</w:t>
        </w:r>
        <w:r w:rsidR="00BB078B" w:rsidRPr="003E2413">
          <w:rPr>
            <w:rStyle w:val="Hyperlink"/>
            <w:color w:val="000000" w:themeColor="text1"/>
            <w:u w:val="none"/>
          </w:rPr>
          <w:t>10.1177/0146167208324101</w:t>
        </w:r>
      </w:hyperlink>
      <w:r w:rsidR="00BB078B" w:rsidRPr="003E2413">
        <w:rPr>
          <w:color w:val="000000" w:themeColor="text1"/>
        </w:rPr>
        <w:t xml:space="preserve"> </w:t>
      </w:r>
    </w:p>
    <w:p w14:paraId="3BD5317B" w14:textId="47168615" w:rsidR="00D52804" w:rsidRPr="003E2413" w:rsidRDefault="00D52804" w:rsidP="004C28FB">
      <w:pPr>
        <w:widowControl w:val="0"/>
        <w:autoSpaceDE w:val="0"/>
        <w:autoSpaceDN w:val="0"/>
        <w:adjustRightInd w:val="0"/>
        <w:spacing w:line="480" w:lineRule="auto"/>
        <w:ind w:left="567" w:hanging="567"/>
        <w:contextualSpacing/>
        <w:rPr>
          <w:color w:val="000000" w:themeColor="text1"/>
        </w:rPr>
      </w:pPr>
      <w:r w:rsidRPr="003E2413">
        <w:rPr>
          <w:color w:val="000000" w:themeColor="text1"/>
        </w:rPr>
        <w:t xml:space="preserve">Buss, D. M., &amp; Chiodo, L. M. (1991). Narcissistic acts in everyday life. </w:t>
      </w:r>
      <w:r w:rsidRPr="003E2413">
        <w:rPr>
          <w:i/>
          <w:iCs/>
          <w:color w:val="000000" w:themeColor="text1"/>
        </w:rPr>
        <w:t xml:space="preserve">Journal of </w:t>
      </w:r>
      <w:r w:rsidR="00BB078B" w:rsidRPr="003E2413">
        <w:rPr>
          <w:i/>
          <w:iCs/>
          <w:color w:val="000000" w:themeColor="text1"/>
        </w:rPr>
        <w:lastRenderedPageBreak/>
        <w:t>P</w:t>
      </w:r>
      <w:r w:rsidRPr="003E2413">
        <w:rPr>
          <w:i/>
          <w:iCs/>
          <w:color w:val="000000" w:themeColor="text1"/>
        </w:rPr>
        <w:t>ersonality, 59</w:t>
      </w:r>
      <w:r w:rsidR="00820179" w:rsidRPr="003E2413">
        <w:rPr>
          <w:color w:val="000000" w:themeColor="text1"/>
        </w:rPr>
        <w:t>(2)</w:t>
      </w:r>
      <w:r w:rsidRPr="003E2413">
        <w:rPr>
          <w:i/>
          <w:iCs/>
          <w:color w:val="000000" w:themeColor="text1"/>
        </w:rPr>
        <w:t>,</w:t>
      </w:r>
      <w:r w:rsidRPr="003E2413">
        <w:rPr>
          <w:color w:val="000000" w:themeColor="text1"/>
        </w:rPr>
        <w:t xml:space="preserve"> 179-215. </w:t>
      </w:r>
      <w:hyperlink r:id="rId22" w:history="1">
        <w:r w:rsidR="00BB078B" w:rsidRPr="003E2413">
          <w:rPr>
            <w:rStyle w:val="Hyperlink"/>
            <w:color w:val="000000" w:themeColor="text1"/>
            <w:u w:val="none"/>
          </w:rPr>
          <w:t>https://doi.org/10.1111/j.1467-6494.1991.tb00773.x</w:t>
        </w:r>
      </w:hyperlink>
      <w:r w:rsidR="00C03122" w:rsidRPr="003E2413">
        <w:rPr>
          <w:color w:val="000000" w:themeColor="text1"/>
        </w:rPr>
        <w:t xml:space="preserve"> </w:t>
      </w:r>
    </w:p>
    <w:p w14:paraId="4FE47924" w14:textId="5A3F98D8" w:rsidR="00AD31AC" w:rsidRDefault="00A04B8B" w:rsidP="009B7728">
      <w:pPr>
        <w:widowControl w:val="0"/>
        <w:autoSpaceDE w:val="0"/>
        <w:autoSpaceDN w:val="0"/>
        <w:adjustRightInd w:val="0"/>
        <w:spacing w:line="480" w:lineRule="auto"/>
        <w:ind w:left="567" w:hanging="567"/>
        <w:contextualSpacing/>
        <w:rPr>
          <w:bCs/>
          <w:color w:val="000000"/>
        </w:rPr>
      </w:pPr>
      <w:r w:rsidRPr="003E2413">
        <w:rPr>
          <w:color w:val="000000" w:themeColor="text1"/>
        </w:rPr>
        <w:t xml:space="preserve">Campbell, W. K., Hoffman, B. J., Campbell, S. M., &amp; Marchisio, G. (2011). Narcissism in organizational contexts. </w:t>
      </w:r>
      <w:r w:rsidRPr="003E2413">
        <w:rPr>
          <w:i/>
          <w:iCs/>
          <w:color w:val="000000" w:themeColor="text1"/>
        </w:rPr>
        <w:t>Human Resource Management Review,</w:t>
      </w:r>
      <w:r w:rsidRPr="003E2413">
        <w:rPr>
          <w:color w:val="000000" w:themeColor="text1"/>
        </w:rPr>
        <w:t xml:space="preserve"> </w:t>
      </w:r>
      <w:r w:rsidRPr="003E2413">
        <w:rPr>
          <w:i/>
          <w:iCs/>
          <w:color w:val="000000" w:themeColor="text1"/>
        </w:rPr>
        <w:t>21</w:t>
      </w:r>
      <w:r w:rsidRPr="003E2413">
        <w:rPr>
          <w:color w:val="000000" w:themeColor="text1"/>
        </w:rPr>
        <w:t xml:space="preserve">(4), 268-284. </w:t>
      </w:r>
      <w:hyperlink r:id="rId23" w:history="1">
        <w:r w:rsidRPr="003E2413">
          <w:rPr>
            <w:rStyle w:val="Hyperlink"/>
            <w:color w:val="000000" w:themeColor="text1"/>
            <w:u w:val="none"/>
          </w:rPr>
          <w:t>https://doi.org/10.1016/j.hrmr.2010.10.007</w:t>
        </w:r>
      </w:hyperlink>
      <w:r w:rsidRPr="003E2413">
        <w:rPr>
          <w:color w:val="000000" w:themeColor="text1"/>
        </w:rPr>
        <w:t xml:space="preserve"> </w:t>
      </w:r>
    </w:p>
    <w:p w14:paraId="5E1092A1" w14:textId="7F253C2C" w:rsidR="00AD31AC" w:rsidRDefault="00AD31AC">
      <w:pPr>
        <w:widowControl w:val="0"/>
        <w:autoSpaceDE w:val="0"/>
        <w:autoSpaceDN w:val="0"/>
        <w:adjustRightInd w:val="0"/>
        <w:spacing w:line="480" w:lineRule="auto"/>
        <w:ind w:left="567" w:hanging="567"/>
        <w:contextualSpacing/>
        <w:rPr>
          <w:color w:val="000000" w:themeColor="text1"/>
        </w:rPr>
      </w:pPr>
      <w:r w:rsidRPr="00A26BC2">
        <w:rPr>
          <w:bCs/>
          <w:color w:val="000000"/>
        </w:rPr>
        <w:t xml:space="preserve">Campbell, W. K., Rudich, E., &amp; Sedikides, C. (2002). Narcissism, self-esteem, and the positivity of self-views: Two portraits of self-love. </w:t>
      </w:r>
      <w:r w:rsidRPr="00A26BC2">
        <w:rPr>
          <w:bCs/>
          <w:i/>
          <w:color w:val="000000"/>
        </w:rPr>
        <w:t>Personality and Social Psychology Bulletin, 28</w:t>
      </w:r>
      <w:r>
        <w:rPr>
          <w:bCs/>
          <w:iCs/>
          <w:color w:val="000000"/>
        </w:rPr>
        <w:t>(3)</w:t>
      </w:r>
      <w:r w:rsidRPr="00A26BC2">
        <w:rPr>
          <w:bCs/>
          <w:color w:val="000000"/>
        </w:rPr>
        <w:t>, 358-368.</w:t>
      </w:r>
      <w:r>
        <w:rPr>
          <w:bCs/>
          <w:color w:val="000000"/>
        </w:rPr>
        <w:t xml:space="preserve"> https://doi.org/</w:t>
      </w:r>
      <w:r w:rsidRPr="00A26BC2">
        <w:rPr>
          <w:rStyle w:val="slug-doi"/>
          <w:bCs/>
          <w:color w:val="000000"/>
          <w:lang w:val="en"/>
        </w:rPr>
        <w:t>10.1177/0146167202286007</w:t>
      </w:r>
    </w:p>
    <w:p w14:paraId="2A3AB92A" w14:textId="18C1CE35" w:rsidR="001368CD" w:rsidRDefault="001368CD" w:rsidP="004C28FB">
      <w:pPr>
        <w:widowControl w:val="0"/>
        <w:autoSpaceDE w:val="0"/>
        <w:autoSpaceDN w:val="0"/>
        <w:adjustRightInd w:val="0"/>
        <w:spacing w:line="480" w:lineRule="auto"/>
        <w:ind w:left="567" w:hanging="567"/>
        <w:contextualSpacing/>
        <w:rPr>
          <w:color w:val="000000" w:themeColor="text1"/>
        </w:rPr>
      </w:pPr>
      <w:r w:rsidRPr="003E2413">
        <w:rPr>
          <w:color w:val="000000" w:themeColor="text1"/>
        </w:rPr>
        <w:t xml:space="preserve">Conger, J. A., &amp; Fulmer, R. M. (2003). Developing your leadership pipeline. </w:t>
      </w:r>
      <w:r w:rsidRPr="003E2413">
        <w:rPr>
          <w:i/>
          <w:iCs/>
          <w:color w:val="000000" w:themeColor="text1"/>
        </w:rPr>
        <w:t>Harvard Business Review, 81</w:t>
      </w:r>
      <w:r w:rsidR="00820179" w:rsidRPr="003E2413">
        <w:rPr>
          <w:color w:val="000000" w:themeColor="text1"/>
        </w:rPr>
        <w:t>(12)</w:t>
      </w:r>
      <w:r w:rsidRPr="003E2413">
        <w:rPr>
          <w:i/>
          <w:iCs/>
          <w:color w:val="000000" w:themeColor="text1"/>
        </w:rPr>
        <w:t>,</w:t>
      </w:r>
      <w:r w:rsidRPr="003E2413">
        <w:rPr>
          <w:color w:val="000000" w:themeColor="text1"/>
        </w:rPr>
        <w:t xml:space="preserve"> 76-84. </w:t>
      </w:r>
    </w:p>
    <w:p w14:paraId="36F33958" w14:textId="41AD548C" w:rsidR="00C1481E" w:rsidRPr="00C1481E" w:rsidRDefault="00C1481E" w:rsidP="00C1481E">
      <w:pPr>
        <w:widowControl w:val="0"/>
        <w:autoSpaceDE w:val="0"/>
        <w:autoSpaceDN w:val="0"/>
        <w:adjustRightInd w:val="0"/>
        <w:spacing w:line="480" w:lineRule="auto"/>
        <w:ind w:left="567" w:hanging="567"/>
        <w:contextualSpacing/>
        <w:rPr>
          <w:color w:val="000000" w:themeColor="text1"/>
        </w:rPr>
      </w:pPr>
      <w:r w:rsidRPr="00715C53">
        <w:rPr>
          <w:color w:val="000000" w:themeColor="text1"/>
          <w:lang w:val="de-DE"/>
        </w:rPr>
        <w:t xml:space="preserve">Den Hartog, D. N., De Hoogh, A. H., &amp; Belschak, F. D. (2020). </w:t>
      </w:r>
      <w:r w:rsidRPr="00C1481E">
        <w:rPr>
          <w:color w:val="000000" w:themeColor="text1"/>
        </w:rPr>
        <w:t>Toot your own horn? Leader narcissism and the effectiveness of employee self-promotion. </w:t>
      </w:r>
      <w:r w:rsidRPr="00C1481E">
        <w:rPr>
          <w:i/>
          <w:iCs/>
          <w:color w:val="000000" w:themeColor="text1"/>
        </w:rPr>
        <w:t>Journal of Management</w:t>
      </w:r>
      <w:r w:rsidRPr="00C1481E">
        <w:rPr>
          <w:color w:val="000000" w:themeColor="text1"/>
        </w:rPr>
        <w:t>, </w:t>
      </w:r>
      <w:r w:rsidRPr="00C1481E">
        <w:rPr>
          <w:i/>
          <w:iCs/>
          <w:color w:val="000000" w:themeColor="text1"/>
        </w:rPr>
        <w:t>46</w:t>
      </w:r>
      <w:r w:rsidRPr="00C1481E">
        <w:rPr>
          <w:color w:val="000000" w:themeColor="text1"/>
        </w:rPr>
        <w:t>(2), 261-286.</w:t>
      </w:r>
      <w:r>
        <w:rPr>
          <w:color w:val="000000" w:themeColor="text1"/>
        </w:rPr>
        <w:t xml:space="preserve"> </w:t>
      </w:r>
      <w:r w:rsidRPr="00C1481E">
        <w:rPr>
          <w:color w:val="000000" w:themeColor="text1"/>
        </w:rPr>
        <w:t>https://doi.org/10.1177/0149206318785240</w:t>
      </w:r>
    </w:p>
    <w:p w14:paraId="519D57B3" w14:textId="6A8C02B0" w:rsidR="008D70FE" w:rsidRPr="000C44A8" w:rsidRDefault="00482844" w:rsidP="004C28FB">
      <w:pPr>
        <w:widowControl w:val="0"/>
        <w:autoSpaceDE w:val="0"/>
        <w:autoSpaceDN w:val="0"/>
        <w:adjustRightInd w:val="0"/>
        <w:spacing w:line="480" w:lineRule="auto"/>
        <w:ind w:left="567" w:hanging="567"/>
        <w:contextualSpacing/>
        <w:rPr>
          <w:bCs/>
          <w:color w:val="000000" w:themeColor="text1"/>
          <w:lang w:val="de-DE"/>
        </w:rPr>
      </w:pPr>
      <w:r w:rsidRPr="003E2413">
        <w:t>De Pater, I. E., Van Vianen, A. E. M., Bechtoldt, M. N., &amp; Klehe, U.-C. (2009). Employees</w:t>
      </w:r>
      <w:r w:rsidR="008D70FE" w:rsidRPr="003E2413">
        <w:t>’</w:t>
      </w:r>
      <w:r w:rsidRPr="003E2413">
        <w:t xml:space="preserve"> challenging job experiences and supervisors</w:t>
      </w:r>
      <w:r w:rsidR="00E438AA" w:rsidRPr="003E2413">
        <w:t>’</w:t>
      </w:r>
      <w:r w:rsidRPr="003E2413">
        <w:t xml:space="preserve"> evaluations of promotability. </w:t>
      </w:r>
      <w:r w:rsidRPr="003E2413">
        <w:rPr>
          <w:i/>
        </w:rPr>
        <w:t>Personnel Psychology, 62</w:t>
      </w:r>
      <w:r w:rsidR="00DC7B8C" w:rsidRPr="003E2413">
        <w:rPr>
          <w:iCs/>
        </w:rPr>
        <w:t>(2)</w:t>
      </w:r>
      <w:r w:rsidRPr="003E2413">
        <w:rPr>
          <w:i/>
        </w:rPr>
        <w:t xml:space="preserve">, </w:t>
      </w:r>
      <w:r w:rsidRPr="003E2413">
        <w:t>297-3</w:t>
      </w:r>
      <w:r w:rsidRPr="003E2413">
        <w:rPr>
          <w:color w:val="000000" w:themeColor="text1"/>
        </w:rPr>
        <w:t>25.</w:t>
      </w:r>
      <w:r w:rsidR="008D70FE" w:rsidRPr="003E2413">
        <w:rPr>
          <w:color w:val="000000" w:themeColor="text1"/>
        </w:rPr>
        <w:t xml:space="preserve"> </w:t>
      </w:r>
      <w:hyperlink r:id="rId24" w:history="1">
        <w:r w:rsidR="00BB078B" w:rsidRPr="000C44A8">
          <w:rPr>
            <w:rStyle w:val="Hyperlink"/>
            <w:bCs/>
            <w:color w:val="000000" w:themeColor="text1"/>
            <w:u w:val="none"/>
            <w:lang w:val="de-DE"/>
          </w:rPr>
          <w:t>https://doi.org/10.1111/j.1744-6570.2009.01139.x</w:t>
        </w:r>
      </w:hyperlink>
      <w:r w:rsidR="00BB078B" w:rsidRPr="000C44A8">
        <w:rPr>
          <w:bCs/>
          <w:color w:val="000000" w:themeColor="text1"/>
          <w:lang w:val="de-DE"/>
        </w:rPr>
        <w:t xml:space="preserve"> </w:t>
      </w:r>
    </w:p>
    <w:p w14:paraId="14402152" w14:textId="1F945A75" w:rsidR="00206BB9" w:rsidRPr="003E2413" w:rsidRDefault="00206BB9" w:rsidP="004C28FB">
      <w:pPr>
        <w:widowControl w:val="0"/>
        <w:autoSpaceDE w:val="0"/>
        <w:autoSpaceDN w:val="0"/>
        <w:adjustRightInd w:val="0"/>
        <w:spacing w:line="480" w:lineRule="auto"/>
        <w:ind w:left="567" w:hanging="567"/>
        <w:contextualSpacing/>
        <w:rPr>
          <w:color w:val="000000" w:themeColor="text1"/>
        </w:rPr>
      </w:pPr>
      <w:r w:rsidRPr="000C44A8">
        <w:rPr>
          <w:lang w:val="de-DE"/>
        </w:rPr>
        <w:t xml:space="preserve">DeRue, D. S., &amp; Ashford, S. J. (2010). </w:t>
      </w:r>
      <w:r w:rsidRPr="003E2413">
        <w:t xml:space="preserve">Who will lead and who will follow? A social process of leadership identity construction in organizations. </w:t>
      </w:r>
      <w:r w:rsidRPr="003E2413">
        <w:rPr>
          <w:i/>
          <w:iCs/>
        </w:rPr>
        <w:t>Academy of Management Review, 35</w:t>
      </w:r>
      <w:r w:rsidR="00CC4C27" w:rsidRPr="003E2413">
        <w:t>(4)</w:t>
      </w:r>
      <w:r w:rsidRPr="003E2413">
        <w:rPr>
          <w:i/>
          <w:iCs/>
        </w:rPr>
        <w:t>,</w:t>
      </w:r>
      <w:r w:rsidRPr="003E2413">
        <w:t xml:space="preserve"> 627-647. </w:t>
      </w:r>
      <w:hyperlink r:id="rId25" w:history="1">
        <w:r w:rsidR="00BB078B" w:rsidRPr="003E2413">
          <w:rPr>
            <w:rStyle w:val="Hyperlink"/>
            <w:color w:val="000000" w:themeColor="text1"/>
            <w:u w:val="none"/>
          </w:rPr>
          <w:t>https://doi.org/10.5465/amr.35.4.zok627</w:t>
        </w:r>
      </w:hyperlink>
      <w:r w:rsidR="00BB078B" w:rsidRPr="003E2413">
        <w:rPr>
          <w:color w:val="000000" w:themeColor="text1"/>
        </w:rPr>
        <w:t xml:space="preserve"> </w:t>
      </w:r>
    </w:p>
    <w:p w14:paraId="63EC9CD0" w14:textId="5DE0A204" w:rsidR="008D70FE" w:rsidRPr="003E2413" w:rsidRDefault="00482844" w:rsidP="004C28FB">
      <w:pPr>
        <w:widowControl w:val="0"/>
        <w:autoSpaceDE w:val="0"/>
        <w:autoSpaceDN w:val="0"/>
        <w:adjustRightInd w:val="0"/>
        <w:spacing w:line="480" w:lineRule="auto"/>
        <w:ind w:left="567" w:hanging="567"/>
        <w:contextualSpacing/>
        <w:rPr>
          <w:color w:val="000000" w:themeColor="text1"/>
        </w:rPr>
      </w:pPr>
      <w:r w:rsidRPr="003E2413">
        <w:t xml:space="preserve">Dunlop, P. D., &amp; Lee, K. (2004). Workplace deviance, organizational citizenship </w:t>
      </w:r>
      <w:r w:rsidR="00844AE7" w:rsidRPr="003E2413">
        <w:t>behaviour</w:t>
      </w:r>
      <w:r w:rsidRPr="003E2413">
        <w:t>, and business unit performance: The bad apples do spoil the whole barrel. </w:t>
      </w:r>
      <w:r w:rsidRPr="003E2413">
        <w:rPr>
          <w:i/>
          <w:iCs/>
        </w:rPr>
        <w:t xml:space="preserve">Journal of Organizational </w:t>
      </w:r>
      <w:r w:rsidR="00844AE7" w:rsidRPr="003E2413">
        <w:rPr>
          <w:i/>
          <w:iCs/>
        </w:rPr>
        <w:t>Behaviour</w:t>
      </w:r>
      <w:r w:rsidRPr="003E2413">
        <w:t>, </w:t>
      </w:r>
      <w:r w:rsidRPr="003E2413">
        <w:rPr>
          <w:i/>
          <w:iCs/>
        </w:rPr>
        <w:t>25</w:t>
      </w:r>
      <w:r w:rsidR="004250C0" w:rsidRPr="003E2413">
        <w:t>(1)</w:t>
      </w:r>
      <w:r w:rsidRPr="003E2413">
        <w:t>, 67-80.</w:t>
      </w:r>
      <w:r w:rsidR="008D70FE" w:rsidRPr="003E2413">
        <w:t xml:space="preserve"> </w:t>
      </w:r>
      <w:hyperlink r:id="rId26" w:history="1">
        <w:r w:rsidR="00D63D79" w:rsidRPr="003E2413">
          <w:rPr>
            <w:rStyle w:val="Hyperlink"/>
            <w:color w:val="000000" w:themeColor="text1"/>
            <w:u w:val="none"/>
          </w:rPr>
          <w:t>https://doi.org/10.1002/job.243</w:t>
        </w:r>
      </w:hyperlink>
    </w:p>
    <w:p w14:paraId="0EF039E3" w14:textId="27C512CE" w:rsidR="00D63D79" w:rsidRDefault="00D63D79" w:rsidP="004C28FB">
      <w:pPr>
        <w:widowControl w:val="0"/>
        <w:autoSpaceDE w:val="0"/>
        <w:autoSpaceDN w:val="0"/>
        <w:adjustRightInd w:val="0"/>
        <w:spacing w:line="480" w:lineRule="auto"/>
        <w:ind w:left="567" w:hanging="567"/>
        <w:contextualSpacing/>
        <w:rPr>
          <w:color w:val="000000" w:themeColor="text1"/>
        </w:rPr>
      </w:pPr>
      <w:r w:rsidRPr="003E2413">
        <w:rPr>
          <w:color w:val="000000" w:themeColor="text1"/>
        </w:rPr>
        <w:t xml:space="preserve">Faul, F., Erdfelder, E., Lang, A.-G., &amp; Buchner, A. (2007). G*Power 3: A flexible statistical power analysis program for the social, </w:t>
      </w:r>
      <w:r w:rsidR="00844AE7" w:rsidRPr="003E2413">
        <w:rPr>
          <w:color w:val="000000" w:themeColor="text1"/>
        </w:rPr>
        <w:t>behaviour</w:t>
      </w:r>
      <w:r w:rsidRPr="003E2413">
        <w:rPr>
          <w:color w:val="000000" w:themeColor="text1"/>
        </w:rPr>
        <w:t xml:space="preserve">al, and biomedical sciences. </w:t>
      </w:r>
      <w:r w:rsidR="00844AE7" w:rsidRPr="003E2413">
        <w:rPr>
          <w:i/>
          <w:iCs/>
          <w:color w:val="000000" w:themeColor="text1"/>
        </w:rPr>
        <w:t>Behaviour</w:t>
      </w:r>
      <w:r w:rsidRPr="003E2413">
        <w:rPr>
          <w:i/>
          <w:iCs/>
          <w:color w:val="000000" w:themeColor="text1"/>
        </w:rPr>
        <w:t xml:space="preserve"> Research Methods, Instruments, and Computers, 39</w:t>
      </w:r>
      <w:r w:rsidR="00BB078B" w:rsidRPr="003E2413">
        <w:rPr>
          <w:color w:val="000000" w:themeColor="text1"/>
        </w:rPr>
        <w:t>(2)</w:t>
      </w:r>
      <w:r w:rsidRPr="003E2413">
        <w:rPr>
          <w:i/>
          <w:iCs/>
          <w:color w:val="000000" w:themeColor="text1"/>
        </w:rPr>
        <w:t>,</w:t>
      </w:r>
      <w:r w:rsidRPr="003E2413">
        <w:rPr>
          <w:color w:val="000000" w:themeColor="text1"/>
        </w:rPr>
        <w:t xml:space="preserve"> 175-191. </w:t>
      </w:r>
      <w:hyperlink r:id="rId27" w:history="1">
        <w:r w:rsidR="00BB078B" w:rsidRPr="003E2413">
          <w:rPr>
            <w:rStyle w:val="Hyperlink"/>
            <w:color w:val="000000" w:themeColor="text1"/>
            <w:u w:val="none"/>
          </w:rPr>
          <w:t>https://doi.org/10.3758/BF03193146</w:t>
        </w:r>
      </w:hyperlink>
      <w:r w:rsidR="00BB078B" w:rsidRPr="003E2413">
        <w:rPr>
          <w:color w:val="000000" w:themeColor="text1"/>
        </w:rPr>
        <w:t xml:space="preserve"> </w:t>
      </w:r>
    </w:p>
    <w:p w14:paraId="4E6F3A5B" w14:textId="3874DCB0" w:rsidR="00CF7EC4" w:rsidRPr="003E2413" w:rsidRDefault="00CF7EC4" w:rsidP="004C28FB">
      <w:pPr>
        <w:widowControl w:val="0"/>
        <w:autoSpaceDE w:val="0"/>
        <w:autoSpaceDN w:val="0"/>
        <w:adjustRightInd w:val="0"/>
        <w:spacing w:line="480" w:lineRule="auto"/>
        <w:ind w:left="567" w:hanging="567"/>
        <w:contextualSpacing/>
        <w:rPr>
          <w:color w:val="000000" w:themeColor="text1"/>
        </w:rPr>
      </w:pPr>
      <w:r w:rsidRPr="00CF7EC4">
        <w:rPr>
          <w:color w:val="000000" w:themeColor="text1"/>
        </w:rPr>
        <w:lastRenderedPageBreak/>
        <w:t xml:space="preserve">Foster, J. D., &amp; Campbell, W. K. (2007). Are there such things as “narcissists” in social psychology? A taxometric analysis of the Narcissistic Personality Inventory. </w:t>
      </w:r>
      <w:r w:rsidRPr="00CF7EC4">
        <w:rPr>
          <w:i/>
          <w:iCs/>
          <w:color w:val="000000" w:themeColor="text1"/>
        </w:rPr>
        <w:t>Personality and Individual Differences, 43</w:t>
      </w:r>
      <w:r w:rsidRPr="00CF7EC4">
        <w:rPr>
          <w:color w:val="000000" w:themeColor="text1"/>
        </w:rPr>
        <w:t>(6), 1321-1332.</w:t>
      </w:r>
      <w:r>
        <w:rPr>
          <w:color w:val="000000" w:themeColor="text1"/>
        </w:rPr>
        <w:t xml:space="preserve"> </w:t>
      </w:r>
      <w:r w:rsidRPr="00CF7EC4">
        <w:rPr>
          <w:color w:val="000000" w:themeColor="text1"/>
        </w:rPr>
        <w:t>https://doi.org/10.1016/j.paid.2007.04.003</w:t>
      </w:r>
    </w:p>
    <w:p w14:paraId="6E22618F" w14:textId="72F80434" w:rsidR="008D70FE" w:rsidRPr="003E2413" w:rsidRDefault="00482844" w:rsidP="004C28FB">
      <w:pPr>
        <w:widowControl w:val="0"/>
        <w:autoSpaceDE w:val="0"/>
        <w:autoSpaceDN w:val="0"/>
        <w:adjustRightInd w:val="0"/>
        <w:spacing w:line="480" w:lineRule="auto"/>
        <w:ind w:left="567" w:hanging="567"/>
        <w:contextualSpacing/>
        <w:rPr>
          <w:color w:val="000000" w:themeColor="text1"/>
        </w:rPr>
      </w:pPr>
      <w:r w:rsidRPr="003E2413">
        <w:t>Foster, J. D., Campbell, W. K., &amp; Twenge, J. M. (2003). Individual differences in narcissism: Inflated self-views across the lifespan and around the world. </w:t>
      </w:r>
      <w:r w:rsidRPr="003E2413">
        <w:rPr>
          <w:i/>
          <w:iCs/>
        </w:rPr>
        <w:t>Journal of Research in Personality</w:t>
      </w:r>
      <w:r w:rsidRPr="003E2413">
        <w:t>, </w:t>
      </w:r>
      <w:r w:rsidRPr="003E2413">
        <w:rPr>
          <w:i/>
          <w:iCs/>
        </w:rPr>
        <w:t>37</w:t>
      </w:r>
      <w:r w:rsidR="00612264" w:rsidRPr="003E2413">
        <w:t>(6)</w:t>
      </w:r>
      <w:r w:rsidRPr="003E2413">
        <w:t>, 469-486.</w:t>
      </w:r>
      <w:r w:rsidR="008D70FE" w:rsidRPr="003E2413">
        <w:t xml:space="preserve"> </w:t>
      </w:r>
      <w:hyperlink r:id="rId28" w:history="1">
        <w:r w:rsidR="00E300DE" w:rsidRPr="003E2413">
          <w:rPr>
            <w:rStyle w:val="Hyperlink"/>
            <w:color w:val="000000" w:themeColor="text1"/>
            <w:u w:val="none"/>
          </w:rPr>
          <w:t>https://doi.org/10.1016/S0092-6566(03)00026-6</w:t>
        </w:r>
      </w:hyperlink>
    </w:p>
    <w:p w14:paraId="3D07BBB8" w14:textId="479D58FF" w:rsidR="00E300DE" w:rsidRPr="003E2413" w:rsidRDefault="00E300DE" w:rsidP="004C28FB">
      <w:pPr>
        <w:widowControl w:val="0"/>
        <w:autoSpaceDE w:val="0"/>
        <w:autoSpaceDN w:val="0"/>
        <w:adjustRightInd w:val="0"/>
        <w:spacing w:line="480" w:lineRule="auto"/>
        <w:ind w:left="567" w:hanging="567"/>
        <w:contextualSpacing/>
        <w:rPr>
          <w:lang w:val="it-IT"/>
        </w:rPr>
      </w:pPr>
      <w:r w:rsidRPr="003E2413">
        <w:t>Galinsky</w:t>
      </w:r>
      <w:r w:rsidR="00EA63DF" w:rsidRPr="003E2413">
        <w:t>,</w:t>
      </w:r>
      <w:r w:rsidRPr="003E2413">
        <w:t xml:space="preserve"> A</w:t>
      </w:r>
      <w:r w:rsidR="00EA63DF" w:rsidRPr="003E2413">
        <w:t xml:space="preserve">. </w:t>
      </w:r>
      <w:r w:rsidRPr="003E2413">
        <w:t>D</w:t>
      </w:r>
      <w:r w:rsidR="00EA63DF" w:rsidRPr="003E2413">
        <w:t>.</w:t>
      </w:r>
      <w:r w:rsidRPr="003E2413">
        <w:t>, Rucker</w:t>
      </w:r>
      <w:r w:rsidR="00EA63DF" w:rsidRPr="003E2413">
        <w:t>,</w:t>
      </w:r>
      <w:r w:rsidRPr="003E2413">
        <w:t xml:space="preserve"> D</w:t>
      </w:r>
      <w:r w:rsidR="00EA63DF" w:rsidRPr="003E2413">
        <w:t xml:space="preserve">. </w:t>
      </w:r>
      <w:r w:rsidRPr="003E2413">
        <w:t>D</w:t>
      </w:r>
      <w:r w:rsidR="00EA63DF" w:rsidRPr="003E2413">
        <w:t>.</w:t>
      </w:r>
      <w:r w:rsidRPr="003E2413">
        <w:t>,</w:t>
      </w:r>
      <w:r w:rsidR="00EA63DF" w:rsidRPr="003E2413">
        <w:t xml:space="preserve"> &amp;</w:t>
      </w:r>
      <w:r w:rsidRPr="003E2413">
        <w:t xml:space="preserve"> Magee</w:t>
      </w:r>
      <w:r w:rsidR="00EA63DF" w:rsidRPr="003E2413">
        <w:t xml:space="preserve">, J. </w:t>
      </w:r>
      <w:r w:rsidRPr="003E2413">
        <w:t xml:space="preserve">C. (2015). Power: Past findings, present considerations, and future directions. In </w:t>
      </w:r>
      <w:r w:rsidR="00A627BE" w:rsidRPr="003E2413">
        <w:t xml:space="preserve">M. </w:t>
      </w:r>
      <w:r w:rsidRPr="003E2413">
        <w:t xml:space="preserve">Mikulincer </w:t>
      </w:r>
      <w:r w:rsidR="00A627BE" w:rsidRPr="003E2413">
        <w:t>&amp;</w:t>
      </w:r>
      <w:r w:rsidRPr="003E2413">
        <w:t xml:space="preserve"> </w:t>
      </w:r>
      <w:r w:rsidR="00A627BE" w:rsidRPr="003E2413">
        <w:t xml:space="preserve">P. </w:t>
      </w:r>
      <w:r w:rsidRPr="003E2413">
        <w:t xml:space="preserve">Shaver (Eds.), </w:t>
      </w:r>
      <w:r w:rsidRPr="003E2413">
        <w:rPr>
          <w:i/>
          <w:iCs/>
        </w:rPr>
        <w:t>APA handbook of personality and social psychology, Vol 3: Interpersonal relationships</w:t>
      </w:r>
      <w:r w:rsidR="00A627BE" w:rsidRPr="003E2413">
        <w:rPr>
          <w:i/>
          <w:iCs/>
        </w:rPr>
        <w:t xml:space="preserve"> </w:t>
      </w:r>
      <w:r w:rsidR="00A627BE" w:rsidRPr="003E2413">
        <w:t>(pp. 421-460)</w:t>
      </w:r>
      <w:r w:rsidRPr="003E2413">
        <w:t xml:space="preserve">. </w:t>
      </w:r>
      <w:r w:rsidRPr="003E2413">
        <w:rPr>
          <w:lang w:val="it-IT"/>
        </w:rPr>
        <w:t>American Psychological Association.</w:t>
      </w:r>
    </w:p>
    <w:p w14:paraId="2E1EB007" w14:textId="61E80FA6" w:rsidR="00B14C31" w:rsidRPr="003E2413" w:rsidRDefault="00482844" w:rsidP="004C28FB">
      <w:pPr>
        <w:widowControl w:val="0"/>
        <w:autoSpaceDE w:val="0"/>
        <w:autoSpaceDN w:val="0"/>
        <w:adjustRightInd w:val="0"/>
        <w:spacing w:line="480" w:lineRule="auto"/>
        <w:ind w:left="567" w:hanging="567"/>
        <w:contextualSpacing/>
        <w:rPr>
          <w:color w:val="000000" w:themeColor="text1"/>
        </w:rPr>
      </w:pPr>
      <w:r w:rsidRPr="003E2413">
        <w:rPr>
          <w:lang w:val="it-IT"/>
        </w:rPr>
        <w:t xml:space="preserve">Giacomin, G., Battaglini, A. M., &amp; Rule, N. O. (2018). </w:t>
      </w:r>
      <w:r w:rsidRPr="003E2413">
        <w:t xml:space="preserve">Grandiose narcissists seek status selectively. </w:t>
      </w:r>
      <w:r w:rsidRPr="003E2413">
        <w:rPr>
          <w:i/>
        </w:rPr>
        <w:t>Social Cognition, 36</w:t>
      </w:r>
      <w:r w:rsidR="003863AE" w:rsidRPr="003E2413">
        <w:rPr>
          <w:iCs/>
        </w:rPr>
        <w:t>(1)</w:t>
      </w:r>
      <w:r w:rsidRPr="003E2413">
        <w:rPr>
          <w:i/>
        </w:rPr>
        <w:t xml:space="preserve">, </w:t>
      </w:r>
      <w:r w:rsidRPr="003E2413">
        <w:t>20-42.</w:t>
      </w:r>
      <w:r w:rsidR="00B14C31" w:rsidRPr="003E2413">
        <w:t xml:space="preserve"> </w:t>
      </w:r>
      <w:hyperlink r:id="rId29" w:history="1">
        <w:r w:rsidR="00BB078B" w:rsidRPr="003E2413">
          <w:rPr>
            <w:rStyle w:val="Hyperlink"/>
            <w:bCs/>
            <w:color w:val="000000" w:themeColor="text1"/>
            <w:u w:val="none"/>
          </w:rPr>
          <w:t>https://doi.org/</w:t>
        </w:r>
        <w:r w:rsidR="00BB078B" w:rsidRPr="003E2413">
          <w:rPr>
            <w:rStyle w:val="Hyperlink"/>
            <w:color w:val="000000" w:themeColor="text1"/>
            <w:u w:val="none"/>
          </w:rPr>
          <w:t>10.1521/soco.2018.36.1.20</w:t>
        </w:r>
      </w:hyperlink>
      <w:r w:rsidR="00BB078B" w:rsidRPr="003E2413">
        <w:rPr>
          <w:color w:val="000000" w:themeColor="text1"/>
        </w:rPr>
        <w:t xml:space="preserve"> </w:t>
      </w:r>
    </w:p>
    <w:p w14:paraId="6D396974" w14:textId="7488EBB9" w:rsidR="00A036C4" w:rsidRPr="003E2413" w:rsidRDefault="00A036C4" w:rsidP="004C28FB">
      <w:pPr>
        <w:widowControl w:val="0"/>
        <w:autoSpaceDE w:val="0"/>
        <w:autoSpaceDN w:val="0"/>
        <w:adjustRightInd w:val="0"/>
        <w:spacing w:line="480" w:lineRule="auto"/>
        <w:ind w:left="567" w:hanging="567"/>
        <w:contextualSpacing/>
        <w:rPr>
          <w:color w:val="000000" w:themeColor="text1"/>
          <w:lang w:val="de-DE"/>
        </w:rPr>
      </w:pPr>
      <w:r w:rsidRPr="003E2413">
        <w:rPr>
          <w:color w:val="000000" w:themeColor="text1"/>
        </w:rPr>
        <w:t xml:space="preserve">Goncalo, J. A., Flynn, F. J., &amp; Kim, S. H. (2010). Are two narcissists better than one? The link between narcissism, perceived creativity, and creative performance. </w:t>
      </w:r>
      <w:r w:rsidRPr="003E2413">
        <w:rPr>
          <w:i/>
          <w:iCs/>
          <w:color w:val="000000" w:themeColor="text1"/>
        </w:rPr>
        <w:t>Personality and Social Psychology Bulletin, 36</w:t>
      </w:r>
      <w:r w:rsidR="003863AE" w:rsidRPr="003E2413">
        <w:rPr>
          <w:color w:val="000000" w:themeColor="text1"/>
        </w:rPr>
        <w:t>(11)</w:t>
      </w:r>
      <w:r w:rsidRPr="003E2413">
        <w:rPr>
          <w:i/>
          <w:iCs/>
          <w:color w:val="000000" w:themeColor="text1"/>
        </w:rPr>
        <w:t xml:space="preserve">, </w:t>
      </w:r>
      <w:r w:rsidRPr="003E2413">
        <w:rPr>
          <w:color w:val="000000" w:themeColor="text1"/>
        </w:rPr>
        <w:t>1484-1495.</w:t>
      </w:r>
      <w:r w:rsidR="00971AE3" w:rsidRPr="003E2413">
        <w:rPr>
          <w:color w:val="000000" w:themeColor="text1"/>
        </w:rPr>
        <w:t xml:space="preserve"> </w:t>
      </w:r>
      <w:hyperlink r:id="rId30" w:history="1">
        <w:r w:rsidR="00BB078B" w:rsidRPr="003E2413">
          <w:rPr>
            <w:rStyle w:val="Hyperlink"/>
            <w:color w:val="000000" w:themeColor="text1"/>
            <w:u w:val="none"/>
            <w:lang w:val="de-DE"/>
          </w:rPr>
          <w:t>https://doi.org/10.1177/0146167210385109</w:t>
        </w:r>
      </w:hyperlink>
      <w:r w:rsidR="00BB078B" w:rsidRPr="003E2413">
        <w:rPr>
          <w:color w:val="000000" w:themeColor="text1"/>
          <w:lang w:val="de-DE"/>
        </w:rPr>
        <w:t xml:space="preserve"> </w:t>
      </w:r>
    </w:p>
    <w:p w14:paraId="6258E063" w14:textId="782A8B58" w:rsidR="00573DC8" w:rsidRDefault="00573DC8" w:rsidP="004C28FB">
      <w:pPr>
        <w:widowControl w:val="0"/>
        <w:autoSpaceDE w:val="0"/>
        <w:autoSpaceDN w:val="0"/>
        <w:adjustRightInd w:val="0"/>
        <w:spacing w:line="480" w:lineRule="auto"/>
        <w:ind w:left="567" w:hanging="567"/>
        <w:contextualSpacing/>
        <w:rPr>
          <w:color w:val="000000" w:themeColor="text1"/>
          <w:lang w:val="fr-FR"/>
        </w:rPr>
      </w:pPr>
      <w:r w:rsidRPr="003E2413">
        <w:rPr>
          <w:color w:val="000000" w:themeColor="text1"/>
          <w:lang w:val="de-DE"/>
        </w:rPr>
        <w:t xml:space="preserve">Grapsas, S., Brummelman, E., Back, M. D., &amp; Denissen, J. J. (2020). </w:t>
      </w:r>
      <w:r w:rsidRPr="003E2413">
        <w:rPr>
          <w:color w:val="000000" w:themeColor="text1"/>
        </w:rPr>
        <w:t xml:space="preserve">The “why” and “how” of narcissism: A process model of narcissistic status pursuit. </w:t>
      </w:r>
      <w:r w:rsidRPr="003E2413">
        <w:rPr>
          <w:i/>
          <w:iCs/>
          <w:color w:val="000000" w:themeColor="text1"/>
          <w:lang w:val="fr-FR"/>
        </w:rPr>
        <w:t>Perspectives on Psychological Science, 15</w:t>
      </w:r>
      <w:r w:rsidR="003863AE" w:rsidRPr="003E2413">
        <w:rPr>
          <w:color w:val="000000" w:themeColor="text1"/>
          <w:lang w:val="fr-FR"/>
        </w:rPr>
        <w:t>(1)</w:t>
      </w:r>
      <w:r w:rsidRPr="003E2413">
        <w:rPr>
          <w:color w:val="000000" w:themeColor="text1"/>
          <w:lang w:val="fr-FR"/>
        </w:rPr>
        <w:t xml:space="preserve">, 150-172. </w:t>
      </w:r>
      <w:hyperlink r:id="rId31" w:history="1">
        <w:r w:rsidR="00BB078B" w:rsidRPr="003E2413">
          <w:rPr>
            <w:rStyle w:val="Hyperlink"/>
            <w:color w:val="000000" w:themeColor="text1"/>
            <w:u w:val="none"/>
            <w:lang w:val="fr-FR"/>
          </w:rPr>
          <w:t>https://doi.org/10.1177/1745691619873350</w:t>
        </w:r>
      </w:hyperlink>
      <w:r w:rsidR="00BB078B" w:rsidRPr="003E2413">
        <w:rPr>
          <w:color w:val="000000" w:themeColor="text1"/>
          <w:lang w:val="fr-FR"/>
        </w:rPr>
        <w:t xml:space="preserve"> </w:t>
      </w:r>
    </w:p>
    <w:p w14:paraId="13309BFE" w14:textId="5F31EC48" w:rsidR="003F37D4" w:rsidRPr="003F37D4" w:rsidRDefault="003F37D4" w:rsidP="003F37D4">
      <w:pPr>
        <w:widowControl w:val="0"/>
        <w:autoSpaceDE w:val="0"/>
        <w:autoSpaceDN w:val="0"/>
        <w:adjustRightInd w:val="0"/>
        <w:spacing w:line="480" w:lineRule="auto"/>
        <w:ind w:left="567" w:hanging="567"/>
        <w:contextualSpacing/>
        <w:rPr>
          <w:color w:val="000000" w:themeColor="text1"/>
        </w:rPr>
      </w:pPr>
      <w:r w:rsidRPr="00715C53">
        <w:rPr>
          <w:color w:val="000000" w:themeColor="text1"/>
          <w:lang w:val="fr-FR"/>
        </w:rPr>
        <w:t xml:space="preserve">Grijalva, E., &amp; Harms, P. D. (2014). </w:t>
      </w:r>
      <w:r w:rsidRPr="003F37D4">
        <w:rPr>
          <w:color w:val="000000" w:themeColor="text1"/>
        </w:rPr>
        <w:t>Narcissism: An integrative synthesis and dominance complementarity model. </w:t>
      </w:r>
      <w:r w:rsidRPr="003F37D4">
        <w:rPr>
          <w:i/>
          <w:iCs/>
          <w:color w:val="000000" w:themeColor="text1"/>
        </w:rPr>
        <w:t>Academy of Management Perspectives</w:t>
      </w:r>
      <w:r w:rsidRPr="003F37D4">
        <w:rPr>
          <w:color w:val="000000" w:themeColor="text1"/>
        </w:rPr>
        <w:t>, </w:t>
      </w:r>
      <w:r w:rsidRPr="003F37D4">
        <w:rPr>
          <w:i/>
          <w:iCs/>
          <w:color w:val="000000" w:themeColor="text1"/>
        </w:rPr>
        <w:t>28</w:t>
      </w:r>
      <w:r w:rsidRPr="003F37D4">
        <w:rPr>
          <w:color w:val="000000" w:themeColor="text1"/>
        </w:rPr>
        <w:t>(2), 108-127.</w:t>
      </w:r>
      <w:r>
        <w:rPr>
          <w:color w:val="000000" w:themeColor="text1"/>
        </w:rPr>
        <w:t xml:space="preserve"> </w:t>
      </w:r>
      <w:r w:rsidRPr="003F37D4">
        <w:rPr>
          <w:color w:val="000000" w:themeColor="text1"/>
        </w:rPr>
        <w:t>https://doi.org/10.5465/amp.2012.0048</w:t>
      </w:r>
    </w:p>
    <w:p w14:paraId="4908D287" w14:textId="00ACDB83" w:rsidR="006D0357" w:rsidRPr="003E2413" w:rsidRDefault="006D0357" w:rsidP="004C28FB">
      <w:pPr>
        <w:widowControl w:val="0"/>
        <w:autoSpaceDE w:val="0"/>
        <w:autoSpaceDN w:val="0"/>
        <w:adjustRightInd w:val="0"/>
        <w:spacing w:line="480" w:lineRule="auto"/>
        <w:ind w:left="567" w:hanging="567"/>
        <w:contextualSpacing/>
        <w:rPr>
          <w:color w:val="000000" w:themeColor="text1"/>
        </w:rPr>
      </w:pPr>
      <w:r w:rsidRPr="00715C53">
        <w:rPr>
          <w:color w:val="000000" w:themeColor="text1"/>
          <w:lang w:val="en-GB"/>
        </w:rPr>
        <w:t xml:space="preserve">Grijalva, E., Harms, P. D., Newman, D. A., Gaddis, B. H., &amp; Fraley, R. C. (2015). </w:t>
      </w:r>
      <w:r w:rsidRPr="003E2413">
        <w:rPr>
          <w:color w:val="000000" w:themeColor="text1"/>
        </w:rPr>
        <w:t xml:space="preserve">Narcissism and leadership: A meta‐analytic review of linear and nonlinear </w:t>
      </w:r>
      <w:r w:rsidRPr="003E2413">
        <w:rPr>
          <w:color w:val="000000" w:themeColor="text1"/>
        </w:rPr>
        <w:lastRenderedPageBreak/>
        <w:t>relationships. </w:t>
      </w:r>
      <w:r w:rsidRPr="003E2413">
        <w:rPr>
          <w:i/>
          <w:iCs/>
          <w:color w:val="000000" w:themeColor="text1"/>
        </w:rPr>
        <w:t>Personnel Psychology</w:t>
      </w:r>
      <w:r w:rsidRPr="003E2413">
        <w:rPr>
          <w:color w:val="000000" w:themeColor="text1"/>
        </w:rPr>
        <w:t>, </w:t>
      </w:r>
      <w:r w:rsidRPr="003E2413">
        <w:rPr>
          <w:i/>
          <w:iCs/>
          <w:color w:val="000000" w:themeColor="text1"/>
        </w:rPr>
        <w:t>68</w:t>
      </w:r>
      <w:r w:rsidR="003863AE" w:rsidRPr="003E2413">
        <w:rPr>
          <w:color w:val="000000" w:themeColor="text1"/>
        </w:rPr>
        <w:t>(1)</w:t>
      </w:r>
      <w:r w:rsidRPr="003E2413">
        <w:rPr>
          <w:color w:val="000000" w:themeColor="text1"/>
        </w:rPr>
        <w:t xml:space="preserve">, 1-47. </w:t>
      </w:r>
      <w:hyperlink r:id="rId32" w:history="1">
        <w:r w:rsidR="00BB078B" w:rsidRPr="003E2413">
          <w:rPr>
            <w:rStyle w:val="Hyperlink"/>
            <w:color w:val="000000" w:themeColor="text1"/>
            <w:u w:val="none"/>
          </w:rPr>
          <w:t>https://doi.org/10.1111/peps.12072</w:t>
        </w:r>
      </w:hyperlink>
      <w:r w:rsidR="00BB078B" w:rsidRPr="003E2413">
        <w:rPr>
          <w:color w:val="000000" w:themeColor="text1"/>
        </w:rPr>
        <w:t xml:space="preserve"> </w:t>
      </w:r>
    </w:p>
    <w:p w14:paraId="026DDD53" w14:textId="2DC21191" w:rsidR="009D6E37" w:rsidRPr="003E2413" w:rsidRDefault="009D6E37" w:rsidP="004C28FB">
      <w:pPr>
        <w:widowControl w:val="0"/>
        <w:autoSpaceDE w:val="0"/>
        <w:autoSpaceDN w:val="0"/>
        <w:adjustRightInd w:val="0"/>
        <w:spacing w:line="480" w:lineRule="auto"/>
        <w:ind w:left="567" w:hanging="567"/>
        <w:contextualSpacing/>
        <w:rPr>
          <w:color w:val="000000" w:themeColor="text1"/>
        </w:rPr>
      </w:pPr>
      <w:r w:rsidRPr="003E2413">
        <w:rPr>
          <w:color w:val="000000" w:themeColor="text1"/>
        </w:rPr>
        <w:t xml:space="preserve">Grijalva, E., Newman, D. A., Tay, L., Donnellan, M. B., Harms, P. D., Robins, R. W., &amp; Yan, T. (2015). Gender differences in narcissism: A meta-analytic review. </w:t>
      </w:r>
      <w:r w:rsidRPr="003E2413">
        <w:rPr>
          <w:i/>
          <w:iCs/>
          <w:color w:val="000000" w:themeColor="text1"/>
        </w:rPr>
        <w:t>Psychological Bulletin, 141</w:t>
      </w:r>
      <w:r w:rsidRPr="003E2413">
        <w:rPr>
          <w:color w:val="000000" w:themeColor="text1"/>
        </w:rPr>
        <w:t xml:space="preserve">(2), 261-310. </w:t>
      </w:r>
      <w:hyperlink r:id="rId33" w:history="1">
        <w:r w:rsidRPr="003E2413">
          <w:rPr>
            <w:rStyle w:val="Hyperlink"/>
            <w:color w:val="000000" w:themeColor="text1"/>
            <w:u w:val="none"/>
          </w:rPr>
          <w:t>https://doi.org/10.1037/a0038231</w:t>
        </w:r>
      </w:hyperlink>
      <w:r w:rsidRPr="003E2413">
        <w:rPr>
          <w:color w:val="000000" w:themeColor="text1"/>
        </w:rPr>
        <w:t xml:space="preserve"> </w:t>
      </w:r>
    </w:p>
    <w:p w14:paraId="0928B3E2" w14:textId="2F1281FA" w:rsidR="00101A0D" w:rsidRPr="003E2413" w:rsidRDefault="00101A0D" w:rsidP="004C28FB">
      <w:pPr>
        <w:widowControl w:val="0"/>
        <w:autoSpaceDE w:val="0"/>
        <w:autoSpaceDN w:val="0"/>
        <w:adjustRightInd w:val="0"/>
        <w:spacing w:line="480" w:lineRule="auto"/>
        <w:ind w:left="567" w:hanging="567"/>
        <w:contextualSpacing/>
        <w:rPr>
          <w:color w:val="000000" w:themeColor="text1"/>
        </w:rPr>
      </w:pPr>
      <w:r w:rsidRPr="003E2413">
        <w:rPr>
          <w:color w:val="000000" w:themeColor="text1"/>
        </w:rPr>
        <w:t>Grijalva, E., &amp; Zhang, L. (2016). Narcissism and self-insight: A review and meta-analysis of narcissists’ self-enhancement tendencies. </w:t>
      </w:r>
      <w:r w:rsidRPr="003E2413">
        <w:rPr>
          <w:i/>
          <w:iCs/>
          <w:color w:val="000000" w:themeColor="text1"/>
        </w:rPr>
        <w:t>Personality and Social Psychology Bulletin</w:t>
      </w:r>
      <w:r w:rsidRPr="003E2413">
        <w:rPr>
          <w:color w:val="000000" w:themeColor="text1"/>
        </w:rPr>
        <w:t>, </w:t>
      </w:r>
      <w:r w:rsidRPr="003E2413">
        <w:rPr>
          <w:i/>
          <w:iCs/>
          <w:color w:val="000000" w:themeColor="text1"/>
        </w:rPr>
        <w:t>42</w:t>
      </w:r>
      <w:r w:rsidRPr="003E2413">
        <w:rPr>
          <w:color w:val="000000" w:themeColor="text1"/>
        </w:rPr>
        <w:t xml:space="preserve">(1), 3-24. </w:t>
      </w:r>
      <w:hyperlink r:id="rId34" w:history="1">
        <w:r w:rsidRPr="003E2413">
          <w:rPr>
            <w:rStyle w:val="Hyperlink"/>
            <w:color w:val="000000" w:themeColor="text1"/>
            <w:u w:val="none"/>
          </w:rPr>
          <w:t>https://doi.org/10.1177/0146167215611636</w:t>
        </w:r>
      </w:hyperlink>
      <w:r w:rsidRPr="003E2413">
        <w:rPr>
          <w:color w:val="000000" w:themeColor="text1"/>
        </w:rPr>
        <w:t xml:space="preserve"> </w:t>
      </w:r>
    </w:p>
    <w:p w14:paraId="5D70DC14" w14:textId="52474843" w:rsidR="000F361E" w:rsidRPr="003E2413" w:rsidRDefault="000F361E" w:rsidP="004C28FB">
      <w:pPr>
        <w:widowControl w:val="0"/>
        <w:autoSpaceDE w:val="0"/>
        <w:autoSpaceDN w:val="0"/>
        <w:adjustRightInd w:val="0"/>
        <w:spacing w:line="480" w:lineRule="auto"/>
        <w:ind w:left="567" w:hanging="567"/>
        <w:contextualSpacing/>
        <w:rPr>
          <w:color w:val="000000" w:themeColor="text1"/>
        </w:rPr>
      </w:pPr>
      <w:r w:rsidRPr="003E2413">
        <w:rPr>
          <w:color w:val="000000" w:themeColor="text1"/>
        </w:rPr>
        <w:t xml:space="preserve">Harris, K. J., Kacmar, K. M., Zivnuska, S., &amp; Shaw, J. D. (2007). The impact of political skill on impression management effectiveness. </w:t>
      </w:r>
      <w:r w:rsidRPr="003E2413">
        <w:rPr>
          <w:i/>
          <w:iCs/>
          <w:color w:val="000000" w:themeColor="text1"/>
        </w:rPr>
        <w:t xml:space="preserve">Journal of Applied </w:t>
      </w:r>
      <w:r w:rsidR="003863AE" w:rsidRPr="003E2413">
        <w:rPr>
          <w:i/>
          <w:iCs/>
          <w:color w:val="000000" w:themeColor="text1"/>
        </w:rPr>
        <w:t>P</w:t>
      </w:r>
      <w:r w:rsidRPr="003E2413">
        <w:rPr>
          <w:i/>
          <w:iCs/>
          <w:color w:val="000000" w:themeColor="text1"/>
        </w:rPr>
        <w:t>sychology, 92</w:t>
      </w:r>
      <w:r w:rsidR="003863AE" w:rsidRPr="003E2413">
        <w:rPr>
          <w:color w:val="000000" w:themeColor="text1"/>
        </w:rPr>
        <w:t>(1)</w:t>
      </w:r>
      <w:r w:rsidRPr="003E2413">
        <w:rPr>
          <w:i/>
          <w:iCs/>
          <w:color w:val="000000" w:themeColor="text1"/>
        </w:rPr>
        <w:t>,</w:t>
      </w:r>
      <w:r w:rsidRPr="003E2413">
        <w:rPr>
          <w:color w:val="000000" w:themeColor="text1"/>
        </w:rPr>
        <w:t xml:space="preserve"> 278. </w:t>
      </w:r>
      <w:hyperlink r:id="rId35" w:history="1">
        <w:r w:rsidR="00BB078B" w:rsidRPr="003E2413">
          <w:rPr>
            <w:rStyle w:val="Hyperlink"/>
            <w:color w:val="000000" w:themeColor="text1"/>
            <w:u w:val="none"/>
          </w:rPr>
          <w:t>https://doi.org/10.1037/0021-9010.92.1.278</w:t>
        </w:r>
      </w:hyperlink>
      <w:r w:rsidR="00BB078B" w:rsidRPr="003E2413">
        <w:rPr>
          <w:color w:val="000000" w:themeColor="text1"/>
        </w:rPr>
        <w:t xml:space="preserve"> </w:t>
      </w:r>
    </w:p>
    <w:p w14:paraId="2DBBD786" w14:textId="293FD1DB" w:rsidR="00B14C31" w:rsidRPr="003E2413" w:rsidRDefault="00482844" w:rsidP="004C28FB">
      <w:pPr>
        <w:widowControl w:val="0"/>
        <w:autoSpaceDE w:val="0"/>
        <w:autoSpaceDN w:val="0"/>
        <w:adjustRightInd w:val="0"/>
        <w:spacing w:line="480" w:lineRule="auto"/>
        <w:ind w:left="567" w:hanging="567"/>
        <w:contextualSpacing/>
        <w:rPr>
          <w:color w:val="000000" w:themeColor="text1"/>
        </w:rPr>
      </w:pPr>
      <w:r w:rsidRPr="003E2413">
        <w:rPr>
          <w:bCs/>
        </w:rPr>
        <w:t>Hart, W., Adams, J. M., &amp; Burton, K. A. (2016). Narcissistic for the people: Narcissists and non-narcissists disagree about how to make a good impression. </w:t>
      </w:r>
      <w:r w:rsidRPr="003E2413">
        <w:rPr>
          <w:bCs/>
          <w:i/>
          <w:iCs/>
        </w:rPr>
        <w:t>Personality and Individual Differences</w:t>
      </w:r>
      <w:r w:rsidRPr="003E2413">
        <w:rPr>
          <w:bCs/>
        </w:rPr>
        <w:t>, </w:t>
      </w:r>
      <w:r w:rsidRPr="003E2413">
        <w:rPr>
          <w:bCs/>
          <w:i/>
          <w:iCs/>
        </w:rPr>
        <w:t>91</w:t>
      </w:r>
      <w:r w:rsidR="003863AE" w:rsidRPr="003E2413">
        <w:rPr>
          <w:bCs/>
        </w:rPr>
        <w:t>(3)</w:t>
      </w:r>
      <w:r w:rsidRPr="003E2413">
        <w:rPr>
          <w:bCs/>
        </w:rPr>
        <w:t>, 69-73.</w:t>
      </w:r>
      <w:r w:rsidR="00B14C31" w:rsidRPr="003E2413">
        <w:rPr>
          <w:bCs/>
        </w:rPr>
        <w:t xml:space="preserve"> </w:t>
      </w:r>
      <w:hyperlink r:id="rId36" w:history="1">
        <w:r w:rsidR="00612D54" w:rsidRPr="003E2413">
          <w:rPr>
            <w:rStyle w:val="Hyperlink"/>
            <w:color w:val="000000" w:themeColor="text1"/>
            <w:u w:val="none"/>
          </w:rPr>
          <w:t>https://doi.org/10.1016/j.paid.2015.11.045</w:t>
        </w:r>
      </w:hyperlink>
      <w:r w:rsidR="00C03122" w:rsidRPr="003E2413">
        <w:rPr>
          <w:color w:val="000000" w:themeColor="text1"/>
        </w:rPr>
        <w:t xml:space="preserve"> </w:t>
      </w:r>
    </w:p>
    <w:p w14:paraId="3E2A28C8" w14:textId="63C3F823" w:rsidR="003155BE" w:rsidRPr="003E2413" w:rsidRDefault="00482844" w:rsidP="004C28FB">
      <w:pPr>
        <w:widowControl w:val="0"/>
        <w:autoSpaceDE w:val="0"/>
        <w:autoSpaceDN w:val="0"/>
        <w:adjustRightInd w:val="0"/>
        <w:spacing w:line="480" w:lineRule="auto"/>
        <w:ind w:left="567" w:hanging="567"/>
        <w:contextualSpacing/>
        <w:rPr>
          <w:bCs/>
          <w:color w:val="000000" w:themeColor="text1"/>
        </w:rPr>
      </w:pPr>
      <w:r w:rsidRPr="003E2413">
        <w:rPr>
          <w:bCs/>
        </w:rPr>
        <w:t>Higgins, C. A., Judge, T. A., &amp; Ferris, G. R. (2003). Influence tactics and work outcomes: a meta</w:t>
      </w:r>
      <w:r w:rsidRPr="003E2413">
        <w:rPr>
          <w:rFonts w:ascii="Adobe Arabic" w:hAnsi="Adobe Arabic" w:cs="Adobe Arabic"/>
          <w:bCs/>
        </w:rPr>
        <w:t>‐</w:t>
      </w:r>
      <w:r w:rsidRPr="003E2413">
        <w:rPr>
          <w:bCs/>
        </w:rPr>
        <w:t>analysis. </w:t>
      </w:r>
      <w:r w:rsidRPr="003E2413">
        <w:rPr>
          <w:bCs/>
          <w:i/>
          <w:iCs/>
        </w:rPr>
        <w:t xml:space="preserve">Journal of Organizational </w:t>
      </w:r>
      <w:r w:rsidR="00844AE7" w:rsidRPr="003E2413">
        <w:rPr>
          <w:bCs/>
          <w:i/>
          <w:iCs/>
        </w:rPr>
        <w:t>Behaviour</w:t>
      </w:r>
      <w:r w:rsidRPr="003E2413">
        <w:rPr>
          <w:bCs/>
        </w:rPr>
        <w:t>, </w:t>
      </w:r>
      <w:r w:rsidRPr="003E2413">
        <w:rPr>
          <w:bCs/>
          <w:i/>
          <w:iCs/>
        </w:rPr>
        <w:t>24</w:t>
      </w:r>
      <w:r w:rsidR="003863AE" w:rsidRPr="003E2413">
        <w:rPr>
          <w:bCs/>
        </w:rPr>
        <w:t>(1)</w:t>
      </w:r>
      <w:r w:rsidRPr="003E2413">
        <w:rPr>
          <w:bCs/>
        </w:rPr>
        <w:t>, 89-106.</w:t>
      </w:r>
      <w:r w:rsidR="00B14C31" w:rsidRPr="003E2413">
        <w:rPr>
          <w:bCs/>
        </w:rPr>
        <w:t xml:space="preserve"> </w:t>
      </w:r>
      <w:hyperlink r:id="rId37" w:history="1">
        <w:r w:rsidR="003863AE" w:rsidRPr="003E2413">
          <w:rPr>
            <w:rStyle w:val="Hyperlink"/>
            <w:bCs/>
            <w:color w:val="000000" w:themeColor="text1"/>
            <w:u w:val="none"/>
          </w:rPr>
          <w:t>https://doi.org/</w:t>
        </w:r>
        <w:r w:rsidR="003863AE" w:rsidRPr="003E2413">
          <w:rPr>
            <w:rStyle w:val="Hyperlink"/>
            <w:color w:val="000000" w:themeColor="text1"/>
            <w:u w:val="none"/>
          </w:rPr>
          <w:t>10.1002/</w:t>
        </w:r>
        <w:r w:rsidR="003863AE" w:rsidRPr="003E2413">
          <w:rPr>
            <w:rStyle w:val="Hyperlink"/>
            <w:bCs/>
            <w:color w:val="000000" w:themeColor="text1"/>
            <w:u w:val="none"/>
          </w:rPr>
          <w:t>job</w:t>
        </w:r>
        <w:r w:rsidR="003863AE" w:rsidRPr="003E2413">
          <w:rPr>
            <w:rStyle w:val="Hyperlink"/>
            <w:color w:val="000000" w:themeColor="text1"/>
            <w:u w:val="none"/>
          </w:rPr>
          <w:t>.181</w:t>
        </w:r>
      </w:hyperlink>
      <w:r w:rsidR="003863AE" w:rsidRPr="003E2413">
        <w:rPr>
          <w:color w:val="000000" w:themeColor="text1"/>
        </w:rPr>
        <w:t xml:space="preserve"> </w:t>
      </w:r>
    </w:p>
    <w:p w14:paraId="4127D433" w14:textId="269BD918" w:rsidR="008728EE" w:rsidRPr="003E2413" w:rsidRDefault="008728EE" w:rsidP="004C28FB">
      <w:pPr>
        <w:widowControl w:val="0"/>
        <w:autoSpaceDE w:val="0"/>
        <w:autoSpaceDN w:val="0"/>
        <w:adjustRightInd w:val="0"/>
        <w:spacing w:line="480" w:lineRule="auto"/>
        <w:ind w:left="567" w:hanging="567"/>
        <w:contextualSpacing/>
        <w:rPr>
          <w:bCs/>
          <w:color w:val="000000" w:themeColor="text1"/>
        </w:rPr>
      </w:pPr>
      <w:r w:rsidRPr="003E2413">
        <w:rPr>
          <w:bCs/>
          <w:color w:val="000000"/>
        </w:rPr>
        <w:t xml:space="preserve">Horton, R. S., &amp; Sedikides, C. (2009). Narcissistic responding to ego threat: When the status of the evaluator matters. </w:t>
      </w:r>
      <w:r w:rsidRPr="003E2413">
        <w:rPr>
          <w:bCs/>
          <w:i/>
          <w:color w:val="000000"/>
        </w:rPr>
        <w:t>Journal of Personality, 77</w:t>
      </w:r>
      <w:r w:rsidR="003863AE" w:rsidRPr="003E2413">
        <w:rPr>
          <w:bCs/>
          <w:iCs/>
          <w:color w:val="000000"/>
        </w:rPr>
        <w:t>(5)</w:t>
      </w:r>
      <w:r w:rsidRPr="003E2413">
        <w:rPr>
          <w:bCs/>
          <w:iCs/>
          <w:color w:val="000000"/>
        </w:rPr>
        <w:t xml:space="preserve">, 1493-1525. </w:t>
      </w:r>
      <w:hyperlink r:id="rId38" w:history="1">
        <w:r w:rsidR="003863AE" w:rsidRPr="003E2413">
          <w:rPr>
            <w:rStyle w:val="Hyperlink"/>
            <w:bCs/>
            <w:color w:val="000000" w:themeColor="text1"/>
            <w:u w:val="none"/>
          </w:rPr>
          <w:t>https://doi.org/10.1111/j.1467-6494.2009.00590.x</w:t>
        </w:r>
      </w:hyperlink>
      <w:r w:rsidR="00FD5ADC" w:rsidRPr="003E2413">
        <w:rPr>
          <w:bCs/>
          <w:color w:val="000000" w:themeColor="text1"/>
        </w:rPr>
        <w:t xml:space="preserve"> </w:t>
      </w:r>
    </w:p>
    <w:p w14:paraId="60E33554" w14:textId="41382571" w:rsidR="009F7893" w:rsidRPr="003E2413" w:rsidRDefault="009F7893" w:rsidP="004C28FB">
      <w:pPr>
        <w:widowControl w:val="0"/>
        <w:autoSpaceDE w:val="0"/>
        <w:autoSpaceDN w:val="0"/>
        <w:adjustRightInd w:val="0"/>
        <w:spacing w:line="480" w:lineRule="auto"/>
        <w:ind w:left="567" w:hanging="567"/>
        <w:contextualSpacing/>
        <w:rPr>
          <w:bCs/>
          <w:color w:val="000000" w:themeColor="text1"/>
        </w:rPr>
      </w:pPr>
      <w:r w:rsidRPr="003E2413">
        <w:rPr>
          <w:color w:val="000000" w:themeColor="text1"/>
        </w:rPr>
        <w:t xml:space="preserve">Jones, E. E. (1964). </w:t>
      </w:r>
      <w:r w:rsidRPr="003E2413">
        <w:rPr>
          <w:i/>
          <w:iCs/>
          <w:color w:val="000000" w:themeColor="text1"/>
        </w:rPr>
        <w:t>Ingratiation</w:t>
      </w:r>
      <w:r w:rsidRPr="003E2413">
        <w:rPr>
          <w:color w:val="000000" w:themeColor="text1"/>
        </w:rPr>
        <w:t>. Appleton-Century-Crofts.</w:t>
      </w:r>
    </w:p>
    <w:p w14:paraId="493905CA" w14:textId="590F6F17" w:rsidR="00B14C31" w:rsidRPr="003E2413" w:rsidRDefault="00482844" w:rsidP="004C28FB">
      <w:pPr>
        <w:widowControl w:val="0"/>
        <w:autoSpaceDE w:val="0"/>
        <w:autoSpaceDN w:val="0"/>
        <w:adjustRightInd w:val="0"/>
        <w:spacing w:line="480" w:lineRule="auto"/>
        <w:ind w:left="567" w:hanging="567"/>
        <w:contextualSpacing/>
        <w:rPr>
          <w:color w:val="000000" w:themeColor="text1"/>
        </w:rPr>
      </w:pPr>
      <w:r w:rsidRPr="003E2413">
        <w:t xml:space="preserve">Judge, T. A., Bono, J. E., Ilies, R., &amp; Gerhardt, M. W. (2002). Personality and leadership: A qualitative and quantitative review. </w:t>
      </w:r>
      <w:r w:rsidRPr="003E2413">
        <w:rPr>
          <w:i/>
          <w:iCs/>
        </w:rPr>
        <w:t>Journal of Applied Psychology</w:t>
      </w:r>
      <w:r w:rsidRPr="003E2413">
        <w:t xml:space="preserve">, </w:t>
      </w:r>
      <w:r w:rsidRPr="003E2413">
        <w:rPr>
          <w:i/>
          <w:iCs/>
        </w:rPr>
        <w:t>87</w:t>
      </w:r>
      <w:r w:rsidR="00465E9B" w:rsidRPr="003E2413">
        <w:t>(4)</w:t>
      </w:r>
      <w:r w:rsidRPr="003E2413">
        <w:t xml:space="preserve">, 765–780. </w:t>
      </w:r>
      <w:hyperlink r:id="rId39" w:history="1">
        <w:r w:rsidR="00465E9B" w:rsidRPr="003E2413">
          <w:rPr>
            <w:rStyle w:val="Hyperlink"/>
            <w:bCs/>
            <w:color w:val="000000" w:themeColor="text1"/>
            <w:u w:val="none"/>
          </w:rPr>
          <w:t>https://doi.org/</w:t>
        </w:r>
        <w:r w:rsidR="00465E9B" w:rsidRPr="003E2413">
          <w:rPr>
            <w:rStyle w:val="Hyperlink"/>
            <w:color w:val="000000" w:themeColor="text1"/>
            <w:u w:val="none"/>
          </w:rPr>
          <w:t>10.1037/0021-9010.87.4.765</w:t>
        </w:r>
      </w:hyperlink>
      <w:r w:rsidR="00C03122" w:rsidRPr="003E2413">
        <w:rPr>
          <w:color w:val="000000" w:themeColor="text1"/>
        </w:rPr>
        <w:t xml:space="preserve"> </w:t>
      </w:r>
    </w:p>
    <w:p w14:paraId="4025AB1C" w14:textId="049F8E34" w:rsidR="00101A0D" w:rsidRPr="003E2413" w:rsidRDefault="00101A0D" w:rsidP="004C28FB">
      <w:pPr>
        <w:widowControl w:val="0"/>
        <w:autoSpaceDE w:val="0"/>
        <w:autoSpaceDN w:val="0"/>
        <w:adjustRightInd w:val="0"/>
        <w:spacing w:line="480" w:lineRule="auto"/>
        <w:ind w:left="567" w:hanging="567"/>
        <w:contextualSpacing/>
        <w:rPr>
          <w:color w:val="000000" w:themeColor="text1"/>
        </w:rPr>
      </w:pPr>
      <w:r w:rsidRPr="003E2413">
        <w:rPr>
          <w:rFonts w:asciiTheme="majorBidi" w:hAnsiTheme="majorBidi" w:cstheme="majorBidi"/>
          <w:color w:val="201F1E"/>
          <w:shd w:val="clear" w:color="auto" w:fill="FFFFFF"/>
        </w:rPr>
        <w:t xml:space="preserve">Judge, T. A., LePine, J. A., &amp; Rich, B. L. (2006). Loving yourself abundantly: relationship of the narcissistic personality to self-and other perceptions of workplace deviance, </w:t>
      </w:r>
      <w:r w:rsidRPr="003E2413">
        <w:rPr>
          <w:rFonts w:asciiTheme="majorBidi" w:hAnsiTheme="majorBidi" w:cstheme="majorBidi"/>
          <w:color w:val="201F1E"/>
          <w:shd w:val="clear" w:color="auto" w:fill="FFFFFF"/>
        </w:rPr>
        <w:lastRenderedPageBreak/>
        <w:t xml:space="preserve">leadership, and task and contextual performance. </w:t>
      </w:r>
      <w:r w:rsidRPr="003E2413">
        <w:rPr>
          <w:rFonts w:asciiTheme="majorBidi" w:hAnsiTheme="majorBidi" w:cstheme="majorBidi"/>
          <w:i/>
          <w:iCs/>
          <w:color w:val="201F1E"/>
          <w:shd w:val="clear" w:color="auto" w:fill="FFFFFF"/>
        </w:rPr>
        <w:t>Journal of Applied Psychology, 91</w:t>
      </w:r>
      <w:r w:rsidRPr="003E2413">
        <w:rPr>
          <w:rFonts w:asciiTheme="majorBidi" w:hAnsiTheme="majorBidi" w:cstheme="majorBidi"/>
          <w:color w:val="201F1E"/>
          <w:shd w:val="clear" w:color="auto" w:fill="FFFFFF"/>
        </w:rPr>
        <w:t>(4), 762</w:t>
      </w:r>
      <w:r w:rsidR="00A31428" w:rsidRPr="003E2413">
        <w:t>–776</w:t>
      </w:r>
      <w:r w:rsidRPr="003E2413">
        <w:rPr>
          <w:rFonts w:asciiTheme="majorBidi" w:hAnsiTheme="majorBidi" w:cstheme="majorBidi"/>
          <w:color w:val="201F1E"/>
          <w:shd w:val="clear" w:color="auto" w:fill="FFFFFF"/>
        </w:rPr>
        <w:t xml:space="preserve">. </w:t>
      </w:r>
      <w:hyperlink r:id="rId40" w:history="1">
        <w:r w:rsidRPr="003E2413">
          <w:rPr>
            <w:rStyle w:val="Hyperlink"/>
            <w:rFonts w:asciiTheme="majorBidi" w:hAnsiTheme="majorBidi" w:cstheme="majorBidi"/>
            <w:color w:val="000000" w:themeColor="text1"/>
            <w:u w:val="none"/>
            <w:shd w:val="clear" w:color="auto" w:fill="FFFFFF"/>
          </w:rPr>
          <w:t>https://doi.org/10.1037/0021-9010.91.4.762</w:t>
        </w:r>
      </w:hyperlink>
      <w:r w:rsidRPr="003E2413">
        <w:rPr>
          <w:rFonts w:asciiTheme="majorBidi" w:hAnsiTheme="majorBidi" w:cstheme="majorBidi"/>
          <w:color w:val="000000" w:themeColor="text1"/>
          <w:shd w:val="clear" w:color="auto" w:fill="FFFFFF"/>
        </w:rPr>
        <w:t xml:space="preserve"> </w:t>
      </w:r>
    </w:p>
    <w:p w14:paraId="6B018DF4" w14:textId="23B8C223" w:rsidR="00955E44" w:rsidRPr="003E2413" w:rsidRDefault="00955E44" w:rsidP="004C28FB">
      <w:pPr>
        <w:widowControl w:val="0"/>
        <w:autoSpaceDE w:val="0"/>
        <w:autoSpaceDN w:val="0"/>
        <w:adjustRightInd w:val="0"/>
        <w:spacing w:line="480" w:lineRule="auto"/>
        <w:ind w:left="567" w:hanging="567"/>
        <w:contextualSpacing/>
        <w:rPr>
          <w:color w:val="000000" w:themeColor="text1"/>
        </w:rPr>
      </w:pPr>
      <w:r w:rsidRPr="003E2413">
        <w:rPr>
          <w:color w:val="000000" w:themeColor="text1"/>
        </w:rPr>
        <w:t xml:space="preserve">Jonason, P. K., &amp; Schmitt, D. P. (2012). What have you done for me lately? Friendship-selection in the shadow of the Dark Triad traits. </w:t>
      </w:r>
      <w:r w:rsidRPr="003E2413">
        <w:rPr>
          <w:i/>
          <w:iCs/>
          <w:color w:val="000000" w:themeColor="text1"/>
        </w:rPr>
        <w:t>Evolutionary Psychology, 10,</w:t>
      </w:r>
      <w:r w:rsidRPr="003E2413">
        <w:rPr>
          <w:color w:val="000000" w:themeColor="text1"/>
        </w:rPr>
        <w:t xml:space="preserve"> 400-421. </w:t>
      </w:r>
      <w:hyperlink r:id="rId41" w:history="1">
        <w:r w:rsidR="00465E9B" w:rsidRPr="003E2413">
          <w:rPr>
            <w:rStyle w:val="Hyperlink"/>
            <w:color w:val="000000" w:themeColor="text1"/>
            <w:u w:val="none"/>
          </w:rPr>
          <w:t>https://doi.org/10.1177/147470491201000303</w:t>
        </w:r>
      </w:hyperlink>
      <w:r w:rsidR="00465E9B" w:rsidRPr="003E2413">
        <w:rPr>
          <w:color w:val="000000" w:themeColor="text1"/>
        </w:rPr>
        <w:t xml:space="preserve"> </w:t>
      </w:r>
    </w:p>
    <w:p w14:paraId="6187F162" w14:textId="3A88C865" w:rsidR="0022269F" w:rsidRPr="003E2413" w:rsidRDefault="0022269F" w:rsidP="004C28FB">
      <w:pPr>
        <w:widowControl w:val="0"/>
        <w:autoSpaceDE w:val="0"/>
        <w:autoSpaceDN w:val="0"/>
        <w:adjustRightInd w:val="0"/>
        <w:spacing w:line="480" w:lineRule="auto"/>
        <w:ind w:left="567" w:hanging="567"/>
        <w:contextualSpacing/>
        <w:rPr>
          <w:color w:val="000000" w:themeColor="text1"/>
        </w:rPr>
      </w:pPr>
      <w:r w:rsidRPr="003E2413">
        <w:rPr>
          <w:color w:val="000000" w:themeColor="text1"/>
        </w:rPr>
        <w:t xml:space="preserve">Konrath, S., Ho, M. H., &amp; Zarins, S. (2016). The strategic helper: Narcissism and prosocial motives and </w:t>
      </w:r>
      <w:r w:rsidR="00844AE7" w:rsidRPr="003E2413">
        <w:rPr>
          <w:color w:val="000000" w:themeColor="text1"/>
        </w:rPr>
        <w:t>behaviour</w:t>
      </w:r>
      <w:r w:rsidRPr="003E2413">
        <w:rPr>
          <w:color w:val="000000" w:themeColor="text1"/>
        </w:rPr>
        <w:t xml:space="preserve">s. </w:t>
      </w:r>
      <w:r w:rsidRPr="003E2413">
        <w:rPr>
          <w:i/>
          <w:iCs/>
          <w:color w:val="000000" w:themeColor="text1"/>
        </w:rPr>
        <w:t>Current Psychology, 35</w:t>
      </w:r>
      <w:r w:rsidR="00465E9B" w:rsidRPr="003E2413">
        <w:rPr>
          <w:color w:val="000000" w:themeColor="text1"/>
        </w:rPr>
        <w:t>(2)</w:t>
      </w:r>
      <w:r w:rsidRPr="003E2413">
        <w:rPr>
          <w:i/>
          <w:iCs/>
          <w:color w:val="000000" w:themeColor="text1"/>
        </w:rPr>
        <w:t>,</w:t>
      </w:r>
      <w:r w:rsidRPr="003E2413">
        <w:rPr>
          <w:color w:val="000000" w:themeColor="text1"/>
        </w:rPr>
        <w:t xml:space="preserve"> 1-13. </w:t>
      </w:r>
      <w:hyperlink r:id="rId42" w:history="1">
        <w:r w:rsidR="00465E9B" w:rsidRPr="003E2413">
          <w:rPr>
            <w:rStyle w:val="Hyperlink"/>
            <w:color w:val="000000" w:themeColor="text1"/>
            <w:u w:val="none"/>
          </w:rPr>
          <w:t>https://doi.org/10.1007/s12144-016-9417-3</w:t>
        </w:r>
      </w:hyperlink>
      <w:r w:rsidR="00465E9B" w:rsidRPr="003E2413">
        <w:rPr>
          <w:color w:val="000000" w:themeColor="text1"/>
        </w:rPr>
        <w:t xml:space="preserve"> </w:t>
      </w:r>
    </w:p>
    <w:p w14:paraId="2C7C9027" w14:textId="1E4FB675" w:rsidR="000F45C4" w:rsidRPr="003E2413" w:rsidRDefault="000F45C4" w:rsidP="004C28FB">
      <w:pPr>
        <w:widowControl w:val="0"/>
        <w:autoSpaceDE w:val="0"/>
        <w:autoSpaceDN w:val="0"/>
        <w:adjustRightInd w:val="0"/>
        <w:spacing w:line="480" w:lineRule="auto"/>
        <w:ind w:left="567" w:hanging="567"/>
        <w:contextualSpacing/>
        <w:rPr>
          <w:color w:val="000000" w:themeColor="text1"/>
        </w:rPr>
      </w:pPr>
      <w:r w:rsidRPr="003E2413">
        <w:rPr>
          <w:color w:val="000000" w:themeColor="text1"/>
        </w:rPr>
        <w:t xml:space="preserve">Konrath, S., Meier, B. P., &amp; Bushman, B. J. (2014). Development and validation of the Single Item Narcissism Scale (SINS). </w:t>
      </w:r>
      <w:r w:rsidRPr="003E2413">
        <w:rPr>
          <w:i/>
          <w:iCs/>
          <w:color w:val="000000" w:themeColor="text1"/>
        </w:rPr>
        <w:t>PLoS ONE, 9,</w:t>
      </w:r>
      <w:r w:rsidRPr="003E2413">
        <w:rPr>
          <w:color w:val="000000" w:themeColor="text1"/>
        </w:rPr>
        <w:t xml:space="preserve"> e103469. </w:t>
      </w:r>
      <w:hyperlink r:id="rId43" w:history="1">
        <w:r w:rsidRPr="003E2413">
          <w:rPr>
            <w:rStyle w:val="Hyperlink"/>
            <w:color w:val="000000" w:themeColor="text1"/>
            <w:u w:val="none"/>
          </w:rPr>
          <w:t>https://doi.org/10.1371/journal.pone.0103469</w:t>
        </w:r>
      </w:hyperlink>
      <w:r w:rsidRPr="003E2413">
        <w:rPr>
          <w:color w:val="000000" w:themeColor="text1"/>
        </w:rPr>
        <w:t xml:space="preserve"> </w:t>
      </w:r>
    </w:p>
    <w:p w14:paraId="13785996" w14:textId="38C7D53E" w:rsidR="00482844" w:rsidRPr="003E2413" w:rsidRDefault="00482844" w:rsidP="004C28FB">
      <w:pPr>
        <w:widowControl w:val="0"/>
        <w:autoSpaceDE w:val="0"/>
        <w:autoSpaceDN w:val="0"/>
        <w:adjustRightInd w:val="0"/>
        <w:spacing w:line="480" w:lineRule="auto"/>
        <w:ind w:left="567" w:hanging="567"/>
        <w:contextualSpacing/>
        <w:rPr>
          <w:color w:val="000000" w:themeColor="text1"/>
        </w:rPr>
      </w:pPr>
      <w:r w:rsidRPr="003E2413">
        <w:t xml:space="preserve">Kumar, K., &amp; Beyerlein, M. (1991). Construction and validation of an instrument for measuring ingratiatory </w:t>
      </w:r>
      <w:r w:rsidR="00844AE7" w:rsidRPr="003E2413">
        <w:t>behaviour</w:t>
      </w:r>
      <w:r w:rsidRPr="003E2413">
        <w:t>s in organizational settings. </w:t>
      </w:r>
      <w:r w:rsidRPr="003E2413">
        <w:rPr>
          <w:i/>
          <w:iCs/>
        </w:rPr>
        <w:t>Journal of Applied Psychology</w:t>
      </w:r>
      <w:r w:rsidRPr="003E2413">
        <w:t>, </w:t>
      </w:r>
      <w:r w:rsidRPr="003E2413">
        <w:rPr>
          <w:i/>
          <w:iCs/>
        </w:rPr>
        <w:t>76</w:t>
      </w:r>
      <w:r w:rsidR="00465E9B" w:rsidRPr="003E2413">
        <w:t>(5)</w:t>
      </w:r>
      <w:r w:rsidRPr="003E2413">
        <w:t>, 619-627.</w:t>
      </w:r>
      <w:r w:rsidR="00C54F65" w:rsidRPr="003E2413">
        <w:t xml:space="preserve"> </w:t>
      </w:r>
      <w:hyperlink r:id="rId44" w:history="1">
        <w:r w:rsidR="00465E9B" w:rsidRPr="003E2413">
          <w:rPr>
            <w:rStyle w:val="Hyperlink"/>
            <w:color w:val="000000" w:themeColor="text1"/>
            <w:u w:val="none"/>
          </w:rPr>
          <w:t>https://doi.org/10.1037//0021-9010.76.5.619</w:t>
        </w:r>
      </w:hyperlink>
      <w:r w:rsidR="00FD5ADC" w:rsidRPr="003E2413">
        <w:rPr>
          <w:color w:val="000000" w:themeColor="text1"/>
        </w:rPr>
        <w:t xml:space="preserve"> </w:t>
      </w:r>
    </w:p>
    <w:p w14:paraId="7A65ABF2" w14:textId="3026FC0C" w:rsidR="00893229" w:rsidRPr="003E2413" w:rsidRDefault="00893229" w:rsidP="004C28FB">
      <w:pPr>
        <w:widowControl w:val="0"/>
        <w:autoSpaceDE w:val="0"/>
        <w:autoSpaceDN w:val="0"/>
        <w:adjustRightInd w:val="0"/>
        <w:spacing w:line="480" w:lineRule="auto"/>
        <w:ind w:left="567" w:hanging="567"/>
        <w:contextualSpacing/>
        <w:rPr>
          <w:color w:val="000000" w:themeColor="text1"/>
        </w:rPr>
      </w:pPr>
      <w:r w:rsidRPr="003E2413">
        <w:t xml:space="preserve">Leckelt, M., Küfner, A. C., Nestler, S., &amp; Back, M. D. (2015). </w:t>
      </w:r>
      <w:r w:rsidR="00844AE7" w:rsidRPr="003E2413">
        <w:t>Behaviour</w:t>
      </w:r>
      <w:r w:rsidRPr="003E2413">
        <w:t xml:space="preserve">al processes underlying the decline of narcissists’ popularity over time. </w:t>
      </w:r>
      <w:r w:rsidRPr="003E2413">
        <w:rPr>
          <w:i/>
          <w:iCs/>
        </w:rPr>
        <w:t>Journal of Personality and Social Psychology, 109</w:t>
      </w:r>
      <w:r w:rsidR="00465E9B" w:rsidRPr="003E2413">
        <w:t>(5)</w:t>
      </w:r>
      <w:r w:rsidRPr="003E2413">
        <w:rPr>
          <w:i/>
          <w:iCs/>
        </w:rPr>
        <w:t>,</w:t>
      </w:r>
      <w:r w:rsidRPr="003E2413">
        <w:t xml:space="preserve"> 856-871. </w:t>
      </w:r>
      <w:hyperlink r:id="rId45" w:history="1">
        <w:r w:rsidR="00465E9B" w:rsidRPr="003E2413">
          <w:rPr>
            <w:rStyle w:val="Hyperlink"/>
            <w:color w:val="000000" w:themeColor="text1"/>
            <w:u w:val="none"/>
          </w:rPr>
          <w:t>https://doi.org/10.1037/pspp0000057</w:t>
        </w:r>
      </w:hyperlink>
      <w:r w:rsidR="00465E9B" w:rsidRPr="003E2413">
        <w:rPr>
          <w:color w:val="000000" w:themeColor="text1"/>
        </w:rPr>
        <w:t xml:space="preserve"> </w:t>
      </w:r>
    </w:p>
    <w:p w14:paraId="081389C4" w14:textId="00C2A314" w:rsidR="00B14C31" w:rsidRPr="003E2413" w:rsidRDefault="00482844" w:rsidP="004C28FB">
      <w:pPr>
        <w:widowControl w:val="0"/>
        <w:autoSpaceDE w:val="0"/>
        <w:autoSpaceDN w:val="0"/>
        <w:adjustRightInd w:val="0"/>
        <w:spacing w:line="480" w:lineRule="auto"/>
        <w:ind w:left="567" w:hanging="567"/>
        <w:contextualSpacing/>
        <w:rPr>
          <w:color w:val="000000" w:themeColor="text1"/>
        </w:rPr>
      </w:pPr>
      <w:r w:rsidRPr="003E2413">
        <w:t xml:space="preserve">Liu, H., Chiang, J. T. J., Fehr, R., Xu, M., &amp; Wang, S. (2017). How do leaders react when treated unfairly? Leader narcissism and self-interested </w:t>
      </w:r>
      <w:r w:rsidR="00844AE7" w:rsidRPr="003E2413">
        <w:t>behaviour</w:t>
      </w:r>
      <w:r w:rsidRPr="003E2413">
        <w:t xml:space="preserve"> in response to unfair treatment. </w:t>
      </w:r>
      <w:r w:rsidRPr="003E2413">
        <w:rPr>
          <w:i/>
          <w:iCs/>
        </w:rPr>
        <w:t>Journal of Applied Psychology</w:t>
      </w:r>
      <w:r w:rsidRPr="003E2413">
        <w:t>, </w:t>
      </w:r>
      <w:r w:rsidRPr="003E2413">
        <w:rPr>
          <w:i/>
          <w:iCs/>
        </w:rPr>
        <w:t>102</w:t>
      </w:r>
      <w:r w:rsidR="00670E58" w:rsidRPr="003E2413">
        <w:t>(11)</w:t>
      </w:r>
      <w:r w:rsidRPr="003E2413">
        <w:t>, 1590-1599.</w:t>
      </w:r>
      <w:r w:rsidR="00B14C31" w:rsidRPr="003E2413">
        <w:t xml:space="preserve"> </w:t>
      </w:r>
      <w:hyperlink r:id="rId46" w:history="1">
        <w:r w:rsidR="00233C68" w:rsidRPr="003E2413">
          <w:rPr>
            <w:rStyle w:val="Hyperlink"/>
            <w:bCs/>
            <w:color w:val="000000" w:themeColor="text1"/>
            <w:u w:val="none"/>
          </w:rPr>
          <w:t>https://doi.org/</w:t>
        </w:r>
        <w:r w:rsidR="00233C68" w:rsidRPr="003E2413">
          <w:rPr>
            <w:rStyle w:val="Hyperlink"/>
            <w:color w:val="000000" w:themeColor="text1"/>
            <w:u w:val="none"/>
          </w:rPr>
          <w:t>10.1037/apl0000237</w:t>
        </w:r>
      </w:hyperlink>
    </w:p>
    <w:p w14:paraId="1499A101" w14:textId="27FF19C2" w:rsidR="00233C68" w:rsidRPr="003E2413" w:rsidRDefault="00233C68" w:rsidP="004C28FB">
      <w:pPr>
        <w:widowControl w:val="0"/>
        <w:autoSpaceDE w:val="0"/>
        <w:autoSpaceDN w:val="0"/>
        <w:adjustRightInd w:val="0"/>
        <w:spacing w:line="480" w:lineRule="auto"/>
        <w:ind w:left="567" w:hanging="567"/>
        <w:contextualSpacing/>
        <w:rPr>
          <w:color w:val="000000" w:themeColor="text1"/>
        </w:rPr>
      </w:pPr>
      <w:r w:rsidRPr="003E2413">
        <w:rPr>
          <w:color w:val="000000" w:themeColor="text1"/>
        </w:rPr>
        <w:t xml:space="preserve">Liu, Y., Liu, J., &amp; Wu, L. (2010). Are you willing and able? Roles of motivation, power, and politics in career growth. </w:t>
      </w:r>
      <w:r w:rsidRPr="003E2413">
        <w:rPr>
          <w:i/>
          <w:iCs/>
          <w:color w:val="000000" w:themeColor="text1"/>
        </w:rPr>
        <w:t>Journal of Management,</w:t>
      </w:r>
      <w:r w:rsidRPr="003E2413">
        <w:rPr>
          <w:color w:val="000000" w:themeColor="text1"/>
        </w:rPr>
        <w:t xml:space="preserve"> </w:t>
      </w:r>
      <w:r w:rsidRPr="003E2413">
        <w:rPr>
          <w:i/>
          <w:iCs/>
          <w:color w:val="000000" w:themeColor="text1"/>
        </w:rPr>
        <w:t>36</w:t>
      </w:r>
      <w:r w:rsidR="00670E58" w:rsidRPr="003E2413">
        <w:rPr>
          <w:color w:val="000000" w:themeColor="text1"/>
        </w:rPr>
        <w:t>(6)</w:t>
      </w:r>
      <w:r w:rsidRPr="003E2413">
        <w:rPr>
          <w:i/>
          <w:iCs/>
          <w:color w:val="000000" w:themeColor="text1"/>
        </w:rPr>
        <w:t xml:space="preserve">, </w:t>
      </w:r>
      <w:r w:rsidRPr="003E2413">
        <w:rPr>
          <w:color w:val="000000" w:themeColor="text1"/>
        </w:rPr>
        <w:t xml:space="preserve">1432-1460. </w:t>
      </w:r>
      <w:hyperlink r:id="rId47" w:history="1">
        <w:r w:rsidR="00670E58" w:rsidRPr="003E2413">
          <w:rPr>
            <w:rStyle w:val="Hyperlink"/>
            <w:color w:val="000000" w:themeColor="text1"/>
            <w:u w:val="none"/>
          </w:rPr>
          <w:t>https://doi.org/10.1177/0149206309359810</w:t>
        </w:r>
      </w:hyperlink>
      <w:r w:rsidR="00670E58" w:rsidRPr="003E2413">
        <w:rPr>
          <w:color w:val="000000" w:themeColor="text1"/>
        </w:rPr>
        <w:t xml:space="preserve"> </w:t>
      </w:r>
    </w:p>
    <w:p w14:paraId="05A638DD" w14:textId="77777777" w:rsidR="002333B7" w:rsidRDefault="00482844" w:rsidP="002333B7">
      <w:pPr>
        <w:pStyle w:val="CommentText"/>
        <w:spacing w:line="480" w:lineRule="auto"/>
        <w:ind w:left="720" w:hanging="720"/>
        <w:contextualSpacing/>
        <w:rPr>
          <w:color w:val="000000" w:themeColor="text1"/>
        </w:rPr>
      </w:pPr>
      <w:r w:rsidRPr="003E2413">
        <w:lastRenderedPageBreak/>
        <w:t>Lord, R. G., Foti, R. J., &amp; De Vader, C. L. (1984). A test of leadership categorization theory: Internal structure, information processing, and leadership perceptions. </w:t>
      </w:r>
      <w:r w:rsidRPr="003E2413">
        <w:rPr>
          <w:i/>
          <w:iCs/>
        </w:rPr>
        <w:t xml:space="preserve">Organizational </w:t>
      </w:r>
      <w:r w:rsidR="00844AE7" w:rsidRPr="003E2413">
        <w:rPr>
          <w:i/>
          <w:iCs/>
        </w:rPr>
        <w:t>Behaviour</w:t>
      </w:r>
      <w:r w:rsidRPr="003E2413">
        <w:rPr>
          <w:i/>
          <w:iCs/>
        </w:rPr>
        <w:t xml:space="preserve"> and Human Performance</w:t>
      </w:r>
      <w:r w:rsidRPr="003E2413">
        <w:t>, </w:t>
      </w:r>
      <w:r w:rsidRPr="003E2413">
        <w:rPr>
          <w:i/>
          <w:iCs/>
        </w:rPr>
        <w:t>34</w:t>
      </w:r>
      <w:r w:rsidR="00B7326B" w:rsidRPr="003E2413">
        <w:t>(3)</w:t>
      </w:r>
      <w:r w:rsidRPr="003E2413">
        <w:t>, 343-378.</w:t>
      </w:r>
      <w:r w:rsidR="00C54F65" w:rsidRPr="003E2413">
        <w:t xml:space="preserve"> </w:t>
      </w:r>
      <w:hyperlink r:id="rId48" w:history="1">
        <w:r w:rsidR="00356AC5" w:rsidRPr="003E2413">
          <w:rPr>
            <w:rStyle w:val="Hyperlink"/>
            <w:color w:val="000000" w:themeColor="text1"/>
            <w:u w:val="none"/>
          </w:rPr>
          <w:t>https://doi.org/10.1016/0030-5073(84)90043-6</w:t>
        </w:r>
      </w:hyperlink>
      <w:r w:rsidR="00C03122" w:rsidRPr="003E2413">
        <w:rPr>
          <w:color w:val="000000" w:themeColor="text1"/>
        </w:rPr>
        <w:t xml:space="preserve"> </w:t>
      </w:r>
    </w:p>
    <w:p w14:paraId="39EE54DC" w14:textId="79AD61EB" w:rsidR="00482844" w:rsidRPr="002333B7" w:rsidRDefault="002333B7" w:rsidP="002333B7">
      <w:pPr>
        <w:pStyle w:val="CommentText"/>
        <w:spacing w:line="480" w:lineRule="auto"/>
        <w:ind w:left="720" w:hanging="720"/>
        <w:contextualSpacing/>
      </w:pPr>
      <w:r w:rsidRPr="005D47F9">
        <w:t xml:space="preserve">McNeish, D., Stapleton, L. M., &amp; Silverman, R. D. (2017). On the unnecessary ubiquity of hierarchical linear modeling. </w:t>
      </w:r>
      <w:r w:rsidRPr="005D47F9">
        <w:rPr>
          <w:i/>
          <w:iCs/>
        </w:rPr>
        <w:t>Psychological Methods, 22</w:t>
      </w:r>
      <w:r w:rsidRPr="005D47F9">
        <w:t>(1), 114</w:t>
      </w:r>
      <w:r>
        <w:t>-140</w:t>
      </w:r>
      <w:r w:rsidRPr="005D47F9">
        <w:t>.</w:t>
      </w:r>
      <w:r>
        <w:t xml:space="preserve"> </w:t>
      </w:r>
      <w:r w:rsidRPr="0074441E">
        <w:t>https://doi.org/10.1037/met0000078</w:t>
      </w:r>
    </w:p>
    <w:p w14:paraId="0C204E8D" w14:textId="0B926105" w:rsidR="00A16ADD" w:rsidRDefault="00A16ADD" w:rsidP="004C28FB">
      <w:pPr>
        <w:widowControl w:val="0"/>
        <w:autoSpaceDE w:val="0"/>
        <w:autoSpaceDN w:val="0"/>
        <w:adjustRightInd w:val="0"/>
        <w:spacing w:line="480" w:lineRule="auto"/>
        <w:ind w:left="567" w:hanging="567"/>
        <w:contextualSpacing/>
        <w:rPr>
          <w:color w:val="000000" w:themeColor="text1"/>
        </w:rPr>
      </w:pPr>
      <w:r w:rsidRPr="003E2413">
        <w:t xml:space="preserve">Melchers, K. G., Bill, B., Buehl, A. K., Rybczynski, K., &amp; Kühnel, J. (2020). Identification of the targeted performance dimensions and self-promotion in interviews: investigations of uncharted waters. </w:t>
      </w:r>
      <w:r w:rsidRPr="003E2413">
        <w:rPr>
          <w:i/>
          <w:iCs/>
        </w:rPr>
        <w:t>European Journal of Work and Organizational Psychology,</w:t>
      </w:r>
      <w:r w:rsidRPr="003E2413">
        <w:t xml:space="preserve"> 1-12. </w:t>
      </w:r>
      <w:hyperlink r:id="rId49" w:history="1">
        <w:r w:rsidR="00356AC5" w:rsidRPr="003E2413">
          <w:rPr>
            <w:rStyle w:val="Hyperlink"/>
            <w:color w:val="000000" w:themeColor="text1"/>
            <w:u w:val="none"/>
          </w:rPr>
          <w:t>https://doi.org/10.1080/1359432X.2020.1746828</w:t>
        </w:r>
      </w:hyperlink>
      <w:r w:rsidR="00356AC5" w:rsidRPr="003E2413">
        <w:rPr>
          <w:color w:val="000000" w:themeColor="text1"/>
        </w:rPr>
        <w:t xml:space="preserve"> </w:t>
      </w:r>
    </w:p>
    <w:p w14:paraId="09A0BEFB" w14:textId="54D787FC" w:rsidR="002333B7" w:rsidRPr="002333B7" w:rsidRDefault="002333B7" w:rsidP="004D35C5">
      <w:pPr>
        <w:pStyle w:val="CommentText"/>
        <w:spacing w:line="480" w:lineRule="auto"/>
        <w:ind w:left="720" w:hanging="720"/>
        <w:contextualSpacing/>
      </w:pPr>
      <w:r w:rsidRPr="00715C53">
        <w:rPr>
          <w:lang w:val="fr-FR"/>
        </w:rPr>
        <w:t xml:space="preserve">Muthén, L. K., &amp; Muthén, B. O. (1998–2012). </w:t>
      </w:r>
      <w:r w:rsidRPr="009B7728">
        <w:rPr>
          <w:i/>
          <w:iCs/>
        </w:rPr>
        <w:t>Mplus user’s guide</w:t>
      </w:r>
      <w:r w:rsidRPr="006C5EE6">
        <w:t xml:space="preserve"> (7th ed.). Muthén &amp; Muthén.</w:t>
      </w:r>
    </w:p>
    <w:p w14:paraId="65E1C5CA" w14:textId="34E7D177" w:rsidR="00B14C31" w:rsidRPr="003E2413" w:rsidRDefault="00482844" w:rsidP="004C28FB">
      <w:pPr>
        <w:widowControl w:val="0"/>
        <w:autoSpaceDE w:val="0"/>
        <w:autoSpaceDN w:val="0"/>
        <w:adjustRightInd w:val="0"/>
        <w:spacing w:line="480" w:lineRule="auto"/>
        <w:ind w:left="567" w:hanging="567"/>
        <w:contextualSpacing/>
        <w:rPr>
          <w:color w:val="000000" w:themeColor="text1"/>
        </w:rPr>
      </w:pPr>
      <w:r w:rsidRPr="003E2413">
        <w:t>Nakagawa, S., &amp; Schielzeth, H. (2013). A general and simple method for obtaining </w:t>
      </w:r>
      <w:r w:rsidRPr="003E2413">
        <w:rPr>
          <w:i/>
        </w:rPr>
        <w:t>R</w:t>
      </w:r>
      <w:r w:rsidRPr="003E2413">
        <w:rPr>
          <w:i/>
          <w:vertAlign w:val="superscript"/>
        </w:rPr>
        <w:t>2</w:t>
      </w:r>
      <w:r w:rsidRPr="003E2413">
        <w:t xml:space="preserve"> from generalized linear mixed-effects models. </w:t>
      </w:r>
      <w:r w:rsidRPr="003E2413">
        <w:rPr>
          <w:i/>
        </w:rPr>
        <w:t>Methods in Ecology and Evolution, 4</w:t>
      </w:r>
      <w:r w:rsidR="00B7326B" w:rsidRPr="003E2413">
        <w:rPr>
          <w:iCs/>
        </w:rPr>
        <w:t>(2)</w:t>
      </w:r>
      <w:r w:rsidRPr="003E2413">
        <w:rPr>
          <w:i/>
        </w:rPr>
        <w:t>,</w:t>
      </w:r>
      <w:r w:rsidRPr="003E2413">
        <w:t xml:space="preserve"> 133–142. </w:t>
      </w:r>
      <w:hyperlink r:id="rId50" w:history="1">
        <w:r w:rsidR="00356AC5" w:rsidRPr="003E2413">
          <w:rPr>
            <w:rStyle w:val="Hyperlink"/>
            <w:bCs/>
            <w:color w:val="000000" w:themeColor="text1"/>
            <w:u w:val="none"/>
          </w:rPr>
          <w:t>https://doi.org/</w:t>
        </w:r>
        <w:r w:rsidR="00356AC5" w:rsidRPr="003E2413">
          <w:rPr>
            <w:rStyle w:val="Hyperlink"/>
            <w:color w:val="000000" w:themeColor="text1"/>
            <w:u w:val="none"/>
          </w:rPr>
          <w:t>10.1111/j.2041-210x.2012.00261.x</w:t>
        </w:r>
      </w:hyperlink>
      <w:r w:rsidR="00356AC5" w:rsidRPr="003E2413">
        <w:rPr>
          <w:color w:val="000000" w:themeColor="text1"/>
        </w:rPr>
        <w:t xml:space="preserve"> </w:t>
      </w:r>
    </w:p>
    <w:p w14:paraId="4F4A4CEB" w14:textId="52C9F662" w:rsidR="00D82B47" w:rsidRPr="003E2413" w:rsidRDefault="00482844" w:rsidP="004C28FB">
      <w:pPr>
        <w:widowControl w:val="0"/>
        <w:autoSpaceDE w:val="0"/>
        <w:autoSpaceDN w:val="0"/>
        <w:adjustRightInd w:val="0"/>
        <w:spacing w:line="480" w:lineRule="auto"/>
        <w:ind w:left="567" w:hanging="567"/>
        <w:contextualSpacing/>
        <w:rPr>
          <w:color w:val="000000" w:themeColor="text1"/>
          <w:lang w:val="fr-FR"/>
        </w:rPr>
      </w:pPr>
      <w:r w:rsidRPr="003E2413">
        <w:rPr>
          <w:lang w:val="de-DE"/>
        </w:rPr>
        <w:t xml:space="preserve">Nevicka, B., Ten Velden, F. S., De Hoogh, A. H. B., &amp; Van Vianen, A. E. M. (2011). </w:t>
      </w:r>
      <w:r w:rsidRPr="003E2413">
        <w:t xml:space="preserve">Reality at </w:t>
      </w:r>
      <w:r w:rsidR="0041404C" w:rsidRPr="003E2413">
        <w:t>o</w:t>
      </w:r>
      <w:r w:rsidRPr="003E2413">
        <w:t xml:space="preserve">dds </w:t>
      </w:r>
      <w:r w:rsidR="0041404C" w:rsidRPr="003E2413">
        <w:t>w</w:t>
      </w:r>
      <w:r w:rsidRPr="003E2413">
        <w:t xml:space="preserve">ith </w:t>
      </w:r>
      <w:r w:rsidR="0041404C" w:rsidRPr="003E2413">
        <w:t>p</w:t>
      </w:r>
      <w:r w:rsidRPr="003E2413">
        <w:t xml:space="preserve">erceptions: Narcissistic </w:t>
      </w:r>
      <w:r w:rsidR="0041404C" w:rsidRPr="003E2413">
        <w:t>l</w:t>
      </w:r>
      <w:r w:rsidRPr="003E2413">
        <w:t xml:space="preserve">eaders and </w:t>
      </w:r>
      <w:r w:rsidR="0041404C" w:rsidRPr="003E2413">
        <w:t>g</w:t>
      </w:r>
      <w:r w:rsidRPr="003E2413">
        <w:t xml:space="preserve">roup </w:t>
      </w:r>
      <w:r w:rsidR="0041404C" w:rsidRPr="003E2413">
        <w:t>p</w:t>
      </w:r>
      <w:r w:rsidRPr="003E2413">
        <w:t xml:space="preserve">erformance. </w:t>
      </w:r>
      <w:r w:rsidRPr="003E2413">
        <w:rPr>
          <w:i/>
          <w:iCs/>
          <w:lang w:val="fr-FR"/>
        </w:rPr>
        <w:t>Psychological Science</w:t>
      </w:r>
      <w:r w:rsidRPr="003E2413">
        <w:rPr>
          <w:lang w:val="fr-FR"/>
        </w:rPr>
        <w:t xml:space="preserve">, </w:t>
      </w:r>
      <w:r w:rsidRPr="003E2413">
        <w:rPr>
          <w:i/>
          <w:iCs/>
          <w:lang w:val="fr-FR"/>
        </w:rPr>
        <w:t>22</w:t>
      </w:r>
      <w:r w:rsidR="00A9691F" w:rsidRPr="003E2413">
        <w:rPr>
          <w:lang w:val="fr-FR"/>
        </w:rPr>
        <w:t>(10)</w:t>
      </w:r>
      <w:r w:rsidRPr="003E2413">
        <w:rPr>
          <w:lang w:val="fr-FR"/>
        </w:rPr>
        <w:t xml:space="preserve">, 1259–1264. </w:t>
      </w:r>
      <w:hyperlink r:id="rId51" w:history="1">
        <w:r w:rsidR="00356AC5" w:rsidRPr="003E2413">
          <w:rPr>
            <w:rStyle w:val="Hyperlink"/>
            <w:bCs/>
            <w:color w:val="000000" w:themeColor="text1"/>
            <w:u w:val="none"/>
            <w:lang w:val="fr-FR"/>
          </w:rPr>
          <w:t>https://doi.org/</w:t>
        </w:r>
        <w:r w:rsidR="00356AC5" w:rsidRPr="003E2413">
          <w:rPr>
            <w:rStyle w:val="Hyperlink"/>
            <w:color w:val="000000" w:themeColor="text1"/>
            <w:u w:val="none"/>
            <w:lang w:val="fr-FR"/>
          </w:rPr>
          <w:t>10.1177/0956797611417259</w:t>
        </w:r>
      </w:hyperlink>
      <w:r w:rsidR="00356AC5" w:rsidRPr="003E2413">
        <w:rPr>
          <w:color w:val="000000" w:themeColor="text1"/>
          <w:lang w:val="fr-FR"/>
        </w:rPr>
        <w:t xml:space="preserve"> </w:t>
      </w:r>
    </w:p>
    <w:p w14:paraId="32D3A756" w14:textId="0650D135" w:rsidR="00D82B47" w:rsidRPr="003E2413" w:rsidRDefault="00482844" w:rsidP="004C28FB">
      <w:pPr>
        <w:widowControl w:val="0"/>
        <w:autoSpaceDE w:val="0"/>
        <w:autoSpaceDN w:val="0"/>
        <w:adjustRightInd w:val="0"/>
        <w:spacing w:line="480" w:lineRule="auto"/>
        <w:ind w:left="567" w:hanging="567"/>
        <w:contextualSpacing/>
        <w:rPr>
          <w:rStyle w:val="st1"/>
          <w:color w:val="000000" w:themeColor="text1"/>
        </w:rPr>
      </w:pPr>
      <w:r w:rsidRPr="003E2413">
        <w:rPr>
          <w:lang w:val="fr-FR"/>
        </w:rPr>
        <w:t>Nevicka, B., Van Vianen, A. E., De Hoogh, A. H., &amp; Voorn, B. (2018).</w:t>
      </w:r>
      <w:r w:rsidR="00A80D32" w:rsidRPr="003E2413">
        <w:rPr>
          <w:lang w:val="fr-FR"/>
        </w:rPr>
        <w:t xml:space="preserve"> </w:t>
      </w:r>
      <w:r w:rsidRPr="003E2413">
        <w:t>Narcissistic leaders: An asset or a liability? Leader visibility, follower responses, and group-level absenteeism. </w:t>
      </w:r>
      <w:r w:rsidRPr="003E2413">
        <w:rPr>
          <w:i/>
          <w:iCs/>
        </w:rPr>
        <w:t>Journal of Applied Psychology</w:t>
      </w:r>
      <w:r w:rsidR="003155BE" w:rsidRPr="003E2413">
        <w:rPr>
          <w:i/>
          <w:iCs/>
        </w:rPr>
        <w:t>, 103</w:t>
      </w:r>
      <w:r w:rsidR="00D529C1" w:rsidRPr="003E2413">
        <w:t>(7)</w:t>
      </w:r>
      <w:r w:rsidR="003155BE" w:rsidRPr="003E2413">
        <w:t>, 703-723.</w:t>
      </w:r>
      <w:r w:rsidR="00356AC5" w:rsidRPr="003E2413">
        <w:t xml:space="preserve"> </w:t>
      </w:r>
      <w:hyperlink r:id="rId52" w:history="1">
        <w:r w:rsidR="00356AC5" w:rsidRPr="003E2413">
          <w:rPr>
            <w:rStyle w:val="Hyperlink"/>
            <w:color w:val="000000" w:themeColor="text1"/>
            <w:u w:val="none"/>
          </w:rPr>
          <w:t>https://doi.org/10.1037/apl0000298</w:t>
        </w:r>
      </w:hyperlink>
      <w:r w:rsidR="00FD5ADC" w:rsidRPr="003E2413">
        <w:rPr>
          <w:color w:val="000000" w:themeColor="text1"/>
        </w:rPr>
        <w:t xml:space="preserve"> </w:t>
      </w:r>
    </w:p>
    <w:p w14:paraId="7C6F8B4D" w14:textId="04484C6C" w:rsidR="004D7CF3" w:rsidRPr="003E2413" w:rsidRDefault="00482844" w:rsidP="004C28FB">
      <w:pPr>
        <w:widowControl w:val="0"/>
        <w:autoSpaceDE w:val="0"/>
        <w:autoSpaceDN w:val="0"/>
        <w:adjustRightInd w:val="0"/>
        <w:spacing w:line="480" w:lineRule="auto"/>
        <w:ind w:left="567" w:hanging="567"/>
        <w:contextualSpacing/>
        <w:rPr>
          <w:color w:val="000000" w:themeColor="text1"/>
        </w:rPr>
      </w:pPr>
      <w:r w:rsidRPr="003E2413">
        <w:t xml:space="preserve">Ong, C. W., Roberts, R., Arthur, C. A., Woodman, T., &amp; Akehurst, S. (2016). The </w:t>
      </w:r>
      <w:r w:rsidR="0041404C" w:rsidRPr="003E2413">
        <w:t>l</w:t>
      </w:r>
      <w:r w:rsidRPr="003E2413">
        <w:t xml:space="preserve">eader </w:t>
      </w:r>
      <w:r w:rsidR="0041404C" w:rsidRPr="003E2413">
        <w:t>s</w:t>
      </w:r>
      <w:r w:rsidRPr="003E2413">
        <w:t xml:space="preserve">hip </w:t>
      </w:r>
      <w:r w:rsidR="0041404C" w:rsidRPr="003E2413">
        <w:t>i</w:t>
      </w:r>
      <w:r w:rsidRPr="003E2413">
        <w:t xml:space="preserve">s </w:t>
      </w:r>
      <w:r w:rsidR="0041404C" w:rsidRPr="003E2413">
        <w:t>s</w:t>
      </w:r>
      <w:r w:rsidRPr="003E2413">
        <w:t xml:space="preserve">inking: A </w:t>
      </w:r>
      <w:r w:rsidR="0041404C" w:rsidRPr="003E2413">
        <w:t>t</w:t>
      </w:r>
      <w:r w:rsidRPr="003E2413">
        <w:t xml:space="preserve">emporal </w:t>
      </w:r>
      <w:r w:rsidR="0041404C" w:rsidRPr="003E2413">
        <w:t>i</w:t>
      </w:r>
      <w:r w:rsidRPr="003E2413">
        <w:t xml:space="preserve">nvestigation of </w:t>
      </w:r>
      <w:r w:rsidR="0041404C" w:rsidRPr="003E2413">
        <w:t>n</w:t>
      </w:r>
      <w:r w:rsidRPr="003E2413">
        <w:t xml:space="preserve">arcissistic </w:t>
      </w:r>
      <w:r w:rsidR="0041404C" w:rsidRPr="003E2413">
        <w:t>l</w:t>
      </w:r>
      <w:r w:rsidRPr="003E2413">
        <w:t xml:space="preserve">eadership. </w:t>
      </w:r>
      <w:r w:rsidRPr="003E2413">
        <w:rPr>
          <w:i/>
          <w:iCs/>
        </w:rPr>
        <w:t>Journal of Personality</w:t>
      </w:r>
      <w:r w:rsidRPr="003E2413">
        <w:t xml:space="preserve">, </w:t>
      </w:r>
      <w:r w:rsidRPr="003E2413">
        <w:rPr>
          <w:i/>
          <w:iCs/>
        </w:rPr>
        <w:lastRenderedPageBreak/>
        <w:t>8</w:t>
      </w:r>
      <w:r w:rsidR="009A6937" w:rsidRPr="003E2413">
        <w:t>(2)</w:t>
      </w:r>
      <w:r w:rsidRPr="003E2413">
        <w:t>, 237</w:t>
      </w:r>
      <w:r w:rsidR="003155BE" w:rsidRPr="003E2413">
        <w:t>-2</w:t>
      </w:r>
      <w:r w:rsidRPr="003E2413">
        <w:t xml:space="preserve">47. </w:t>
      </w:r>
      <w:hyperlink r:id="rId53" w:history="1">
        <w:r w:rsidR="00356AC5" w:rsidRPr="003E2413">
          <w:rPr>
            <w:rStyle w:val="Hyperlink"/>
            <w:bCs/>
            <w:color w:val="000000" w:themeColor="text1"/>
            <w:u w:val="none"/>
          </w:rPr>
          <w:t>https://doi.org/</w:t>
        </w:r>
        <w:r w:rsidR="00356AC5" w:rsidRPr="003E2413">
          <w:rPr>
            <w:rStyle w:val="Hyperlink"/>
            <w:color w:val="000000" w:themeColor="text1"/>
            <w:u w:val="none"/>
          </w:rPr>
          <w:t>10.1111/jopy.12155</w:t>
        </w:r>
      </w:hyperlink>
      <w:r w:rsidR="00356AC5" w:rsidRPr="003E2413">
        <w:rPr>
          <w:color w:val="000000" w:themeColor="text1"/>
        </w:rPr>
        <w:t xml:space="preserve"> </w:t>
      </w:r>
    </w:p>
    <w:p w14:paraId="035B93A0" w14:textId="18B2A1DD" w:rsidR="00482844" w:rsidRPr="003E2413" w:rsidRDefault="00482844" w:rsidP="004C28FB">
      <w:pPr>
        <w:widowControl w:val="0"/>
        <w:autoSpaceDE w:val="0"/>
        <w:autoSpaceDN w:val="0"/>
        <w:adjustRightInd w:val="0"/>
        <w:spacing w:line="480" w:lineRule="auto"/>
        <w:ind w:left="567" w:hanging="567"/>
        <w:contextualSpacing/>
        <w:rPr>
          <w:color w:val="000000" w:themeColor="text1"/>
        </w:rPr>
      </w:pPr>
      <w:r w:rsidRPr="003E2413">
        <w:t xml:space="preserve">Paulhus, D. L. (1998). Interpersonal and intrapsychic adaptiveness of trait self-enhancement: A mixed blessing? </w:t>
      </w:r>
      <w:r w:rsidRPr="003E2413">
        <w:rPr>
          <w:i/>
        </w:rPr>
        <w:t>Journal of Personality and Social Psychology, 74</w:t>
      </w:r>
      <w:r w:rsidR="006460F8" w:rsidRPr="003E2413">
        <w:rPr>
          <w:iCs/>
        </w:rPr>
        <w:t>(5)</w:t>
      </w:r>
      <w:r w:rsidRPr="003E2413">
        <w:t>, 1197-1208.</w:t>
      </w:r>
      <w:r w:rsidR="00C54F65" w:rsidRPr="003E2413">
        <w:t xml:space="preserve"> </w:t>
      </w:r>
      <w:hyperlink r:id="rId54" w:history="1">
        <w:r w:rsidR="00356AC5" w:rsidRPr="003E2413">
          <w:rPr>
            <w:rStyle w:val="Hyperlink"/>
            <w:color w:val="000000" w:themeColor="text1"/>
            <w:u w:val="none"/>
          </w:rPr>
          <w:t>https://doi.org/10.1037//0022-3514.74.5.1197</w:t>
        </w:r>
      </w:hyperlink>
      <w:r w:rsidR="00C03122" w:rsidRPr="003E2413">
        <w:rPr>
          <w:color w:val="000000" w:themeColor="text1"/>
        </w:rPr>
        <w:t xml:space="preserve"> </w:t>
      </w:r>
    </w:p>
    <w:p w14:paraId="6E5F1133" w14:textId="4827D8A1" w:rsidR="009D4B42" w:rsidRPr="003E2413" w:rsidRDefault="009D4B42" w:rsidP="004C28FB">
      <w:pPr>
        <w:widowControl w:val="0"/>
        <w:autoSpaceDE w:val="0"/>
        <w:autoSpaceDN w:val="0"/>
        <w:adjustRightInd w:val="0"/>
        <w:spacing w:line="480" w:lineRule="auto"/>
        <w:ind w:left="567" w:hanging="567"/>
        <w:contextualSpacing/>
        <w:rPr>
          <w:color w:val="000000" w:themeColor="text1"/>
        </w:rPr>
      </w:pPr>
      <w:r w:rsidRPr="003E2413">
        <w:t>Paulhus, D. L., Westlake, B. G., Calvez, S. S., &amp; Harms, P. D. (2013). Self-presentation style in job interviews: The role of personality and culture.</w:t>
      </w:r>
      <w:r w:rsidRPr="003E2413">
        <w:rPr>
          <w:i/>
          <w:iCs/>
        </w:rPr>
        <w:t xml:space="preserve"> Journal of Applied Social Psychology, 43</w:t>
      </w:r>
      <w:r w:rsidR="006460F8" w:rsidRPr="003E2413">
        <w:t>(10)</w:t>
      </w:r>
      <w:r w:rsidRPr="003E2413">
        <w:rPr>
          <w:i/>
          <w:iCs/>
        </w:rPr>
        <w:t xml:space="preserve">, </w:t>
      </w:r>
      <w:r w:rsidRPr="003E2413">
        <w:t xml:space="preserve">2042–2059. </w:t>
      </w:r>
      <w:hyperlink r:id="rId55" w:history="1">
        <w:r w:rsidR="00356AC5" w:rsidRPr="003E2413">
          <w:rPr>
            <w:rStyle w:val="Hyperlink"/>
            <w:color w:val="000000" w:themeColor="text1"/>
            <w:u w:val="none"/>
          </w:rPr>
          <w:t>https://doi.org/10.1111/jasp.12157</w:t>
        </w:r>
      </w:hyperlink>
      <w:r w:rsidR="00356AC5" w:rsidRPr="003E2413">
        <w:rPr>
          <w:color w:val="000000" w:themeColor="text1"/>
        </w:rPr>
        <w:t xml:space="preserve"> </w:t>
      </w:r>
    </w:p>
    <w:p w14:paraId="634D386B" w14:textId="37D471BB" w:rsidR="004D7CF3" w:rsidRPr="003E2413" w:rsidRDefault="00482844" w:rsidP="004C28FB">
      <w:pPr>
        <w:widowControl w:val="0"/>
        <w:autoSpaceDE w:val="0"/>
        <w:autoSpaceDN w:val="0"/>
        <w:adjustRightInd w:val="0"/>
        <w:spacing w:line="480" w:lineRule="auto"/>
        <w:ind w:left="567" w:hanging="567"/>
        <w:contextualSpacing/>
        <w:rPr>
          <w:rFonts w:eastAsia="TimesNewRomanPSMT"/>
          <w:color w:val="000000" w:themeColor="text1"/>
        </w:rPr>
      </w:pPr>
      <w:r w:rsidRPr="003E2413">
        <w:t>Paustian-Underdahl, S. C., Halbesleben, J. R., Carlson, D. S., &amp; Kacmar, K. M. (2016). The work–family interface and promotability: Boundary integration as a double-edged sword. </w:t>
      </w:r>
      <w:r w:rsidRPr="003E2413">
        <w:rPr>
          <w:i/>
          <w:iCs/>
        </w:rPr>
        <w:t>Journal of Management</w:t>
      </w:r>
      <w:r w:rsidRPr="003E2413">
        <w:t>, </w:t>
      </w:r>
      <w:r w:rsidRPr="003E2413">
        <w:rPr>
          <w:i/>
          <w:iCs/>
        </w:rPr>
        <w:t>42</w:t>
      </w:r>
      <w:r w:rsidR="007A639F" w:rsidRPr="003E2413">
        <w:t>(4)</w:t>
      </w:r>
      <w:r w:rsidRPr="003E2413">
        <w:t>, 960-981.</w:t>
      </w:r>
      <w:r w:rsidR="004D7CF3" w:rsidRPr="003E2413">
        <w:t xml:space="preserve"> </w:t>
      </w:r>
      <w:hyperlink r:id="rId56" w:history="1">
        <w:r w:rsidR="00356AC5" w:rsidRPr="003E2413">
          <w:rPr>
            <w:rStyle w:val="Hyperlink"/>
            <w:color w:val="000000" w:themeColor="text1"/>
            <w:u w:val="none"/>
          </w:rPr>
          <w:t>https://doi.org/</w:t>
        </w:r>
        <w:r w:rsidR="00356AC5" w:rsidRPr="003E2413">
          <w:rPr>
            <w:rStyle w:val="Hyperlink"/>
            <w:rFonts w:eastAsia="TimesNewRomanPSMT"/>
            <w:color w:val="000000" w:themeColor="text1"/>
            <w:u w:val="none"/>
          </w:rPr>
          <w:t>10.1177/0149206313506464</w:t>
        </w:r>
      </w:hyperlink>
      <w:r w:rsidR="00356AC5" w:rsidRPr="003E2413">
        <w:rPr>
          <w:rFonts w:eastAsia="TimesNewRomanPSMT"/>
          <w:color w:val="000000" w:themeColor="text1"/>
        </w:rPr>
        <w:t xml:space="preserve"> </w:t>
      </w:r>
    </w:p>
    <w:p w14:paraId="652EB5E5" w14:textId="593B7C6F" w:rsidR="00AD01EE" w:rsidRPr="003E2413" w:rsidRDefault="00AD01EE" w:rsidP="004C28FB">
      <w:pPr>
        <w:widowControl w:val="0"/>
        <w:autoSpaceDE w:val="0"/>
        <w:autoSpaceDN w:val="0"/>
        <w:adjustRightInd w:val="0"/>
        <w:spacing w:line="480" w:lineRule="auto"/>
        <w:ind w:left="567" w:hanging="567"/>
        <w:contextualSpacing/>
        <w:rPr>
          <w:color w:val="000000" w:themeColor="text1"/>
          <w:lang w:val="fr-FR"/>
        </w:rPr>
      </w:pPr>
      <w:r w:rsidRPr="003E2413">
        <w:t xml:space="preserve">Platt, J. R. (1964). Strong inference. </w:t>
      </w:r>
      <w:r w:rsidRPr="003E2413">
        <w:rPr>
          <w:i/>
          <w:iCs/>
          <w:lang w:val="fr-FR"/>
        </w:rPr>
        <w:t>Science, 146</w:t>
      </w:r>
      <w:r w:rsidRPr="003E2413">
        <w:rPr>
          <w:lang w:val="fr-FR"/>
        </w:rPr>
        <w:t xml:space="preserve">(3642), 347-353. </w:t>
      </w:r>
      <w:hyperlink r:id="rId57" w:history="1">
        <w:r w:rsidR="00356AC5" w:rsidRPr="003E2413">
          <w:rPr>
            <w:rStyle w:val="Hyperlink"/>
            <w:color w:val="000000" w:themeColor="text1"/>
            <w:u w:val="none"/>
            <w:lang w:val="fr-FR"/>
          </w:rPr>
          <w:t>https://doi.org/10.1126/science.146.3642</w:t>
        </w:r>
      </w:hyperlink>
      <w:r w:rsidR="00356AC5" w:rsidRPr="003E2413">
        <w:rPr>
          <w:color w:val="000000" w:themeColor="text1"/>
          <w:lang w:val="fr-FR"/>
        </w:rPr>
        <w:t xml:space="preserve"> </w:t>
      </w:r>
    </w:p>
    <w:p w14:paraId="5A2185C4" w14:textId="2EEF4786" w:rsidR="00D90834" w:rsidRPr="003E2413" w:rsidRDefault="00D90834" w:rsidP="004C28FB">
      <w:pPr>
        <w:widowControl w:val="0"/>
        <w:autoSpaceDE w:val="0"/>
        <w:autoSpaceDN w:val="0"/>
        <w:adjustRightInd w:val="0"/>
        <w:spacing w:line="480" w:lineRule="auto"/>
        <w:ind w:left="567" w:hanging="567"/>
        <w:contextualSpacing/>
        <w:rPr>
          <w:color w:val="000000" w:themeColor="text1"/>
        </w:rPr>
      </w:pPr>
      <w:r w:rsidRPr="003E2413">
        <w:rPr>
          <w:lang w:val="it-IT"/>
        </w:rPr>
        <w:t xml:space="preserve">Pluchino, A., Rapisarda, A., &amp; Garofalo, C. (2010). </w:t>
      </w:r>
      <w:r w:rsidRPr="003E2413">
        <w:t xml:space="preserve">The Peter principle revisited: A computational study. </w:t>
      </w:r>
      <w:r w:rsidRPr="003E2413">
        <w:rPr>
          <w:i/>
          <w:iCs/>
        </w:rPr>
        <w:t>Physica A: Statistical Mechanics and its Applications, 389</w:t>
      </w:r>
      <w:r w:rsidRPr="003E2413">
        <w:t xml:space="preserve">(3), 467-472. </w:t>
      </w:r>
      <w:hyperlink r:id="rId58" w:history="1">
        <w:r w:rsidRPr="003E2413">
          <w:rPr>
            <w:rStyle w:val="Hyperlink"/>
            <w:color w:val="000000" w:themeColor="text1"/>
            <w:u w:val="none"/>
          </w:rPr>
          <w:t>https://doi.org/10.1016/j.physa.2009.09.045</w:t>
        </w:r>
      </w:hyperlink>
      <w:r w:rsidRPr="003E2413">
        <w:rPr>
          <w:color w:val="000000" w:themeColor="text1"/>
        </w:rPr>
        <w:t xml:space="preserve"> </w:t>
      </w:r>
    </w:p>
    <w:p w14:paraId="539AF4BD" w14:textId="2B402888" w:rsidR="00482844" w:rsidRPr="003E2413" w:rsidRDefault="00482844" w:rsidP="004C28FB">
      <w:pPr>
        <w:widowControl w:val="0"/>
        <w:autoSpaceDE w:val="0"/>
        <w:autoSpaceDN w:val="0"/>
        <w:adjustRightInd w:val="0"/>
        <w:spacing w:line="480" w:lineRule="auto"/>
        <w:ind w:left="567" w:hanging="567"/>
        <w:contextualSpacing/>
        <w:rPr>
          <w:color w:val="000000" w:themeColor="text1"/>
        </w:rPr>
      </w:pPr>
      <w:r w:rsidRPr="003E2413">
        <w:t xml:space="preserve">Raskin, R., &amp; Terry, H. (1988). A principal-components analysis of the Narcissistic Personality Inventory and further evidence of its construct validity. </w:t>
      </w:r>
      <w:r w:rsidRPr="003E2413">
        <w:rPr>
          <w:i/>
          <w:iCs/>
        </w:rPr>
        <w:t>Journal of Personality and Social Psychology</w:t>
      </w:r>
      <w:r w:rsidRPr="003E2413">
        <w:t xml:space="preserve">, </w:t>
      </w:r>
      <w:r w:rsidRPr="003E2413">
        <w:rPr>
          <w:i/>
          <w:iCs/>
        </w:rPr>
        <w:t>54</w:t>
      </w:r>
      <w:r w:rsidR="007A639F" w:rsidRPr="003E2413">
        <w:t>(5)</w:t>
      </w:r>
      <w:r w:rsidRPr="003E2413">
        <w:t xml:space="preserve">, 890–902. </w:t>
      </w:r>
      <w:hyperlink r:id="rId59" w:history="1">
        <w:r w:rsidR="00356AC5" w:rsidRPr="003E2413">
          <w:rPr>
            <w:rStyle w:val="Hyperlink"/>
            <w:color w:val="000000" w:themeColor="text1"/>
            <w:u w:val="none"/>
          </w:rPr>
          <w:t>https://doi.org/10.1037//0022-3514.54.5.890</w:t>
        </w:r>
      </w:hyperlink>
      <w:r w:rsidR="00C03122" w:rsidRPr="003E2413">
        <w:rPr>
          <w:color w:val="000000" w:themeColor="text1"/>
        </w:rPr>
        <w:t xml:space="preserve"> </w:t>
      </w:r>
    </w:p>
    <w:p w14:paraId="0D28CED4" w14:textId="1D3C5FDF" w:rsidR="00C47B5C" w:rsidRPr="003E2413" w:rsidRDefault="00D75321" w:rsidP="004C28FB">
      <w:pPr>
        <w:widowControl w:val="0"/>
        <w:autoSpaceDE w:val="0"/>
        <w:autoSpaceDN w:val="0"/>
        <w:adjustRightInd w:val="0"/>
        <w:spacing w:line="480" w:lineRule="auto"/>
        <w:ind w:left="567" w:hanging="567"/>
        <w:contextualSpacing/>
        <w:rPr>
          <w:color w:val="000000" w:themeColor="text1"/>
        </w:rPr>
      </w:pPr>
      <w:r w:rsidRPr="003E2413">
        <w:t xml:space="preserve">Rauthmann, J. F. (2011). Acquisitive or protective self-presentation of dark personalities? Associations among the Dark Triad and self-monitoring. </w:t>
      </w:r>
      <w:r w:rsidRPr="003E2413">
        <w:rPr>
          <w:i/>
          <w:iCs/>
        </w:rPr>
        <w:t>Personality and Individual Differences, 51</w:t>
      </w:r>
      <w:r w:rsidR="007A639F" w:rsidRPr="003E2413">
        <w:t>(4)</w:t>
      </w:r>
      <w:r w:rsidRPr="003E2413">
        <w:rPr>
          <w:i/>
          <w:iCs/>
        </w:rPr>
        <w:t xml:space="preserve">, </w:t>
      </w:r>
      <w:r w:rsidRPr="003E2413">
        <w:t xml:space="preserve">502-508. </w:t>
      </w:r>
      <w:hyperlink r:id="rId60" w:history="1">
        <w:r w:rsidR="00C47B5C" w:rsidRPr="003E2413">
          <w:rPr>
            <w:rStyle w:val="Hyperlink"/>
            <w:color w:val="000000" w:themeColor="text1"/>
            <w:u w:val="none"/>
          </w:rPr>
          <w:t>https://doi.org/10.1016/j.paid.2011.05.008</w:t>
        </w:r>
      </w:hyperlink>
      <w:r w:rsidR="00C47B5C" w:rsidRPr="003E2413">
        <w:rPr>
          <w:color w:val="000000" w:themeColor="text1"/>
        </w:rPr>
        <w:t xml:space="preserve"> </w:t>
      </w:r>
    </w:p>
    <w:p w14:paraId="75D4CA17" w14:textId="4FE199CE" w:rsidR="00202DD6" w:rsidRPr="003E2413" w:rsidRDefault="00202DD6" w:rsidP="004C28FB">
      <w:pPr>
        <w:widowControl w:val="0"/>
        <w:autoSpaceDE w:val="0"/>
        <w:autoSpaceDN w:val="0"/>
        <w:adjustRightInd w:val="0"/>
        <w:spacing w:line="480" w:lineRule="auto"/>
        <w:ind w:left="567" w:hanging="567"/>
        <w:contextualSpacing/>
      </w:pPr>
      <w:r w:rsidRPr="003E2413">
        <w:t xml:space="preserve">Rockwood, N. J., &amp; Hayes, A. F. (in press). Multilevel mediation analysis. In A. A. O’Connell, D. B. McCoach, &amp; B. Bell (Eds.), </w:t>
      </w:r>
      <w:r w:rsidRPr="003E2413">
        <w:rPr>
          <w:i/>
          <w:iCs/>
        </w:rPr>
        <w:t xml:space="preserve">Multilevel modeling methods with </w:t>
      </w:r>
      <w:r w:rsidRPr="003E2413">
        <w:rPr>
          <w:i/>
          <w:iCs/>
        </w:rPr>
        <w:lastRenderedPageBreak/>
        <w:t xml:space="preserve">introductory and advanced applications. </w:t>
      </w:r>
      <w:r w:rsidRPr="003E2413">
        <w:t>Information Age Publishing.</w:t>
      </w:r>
    </w:p>
    <w:p w14:paraId="46D2CF17" w14:textId="5A5F2CA6" w:rsidR="00D75321" w:rsidRPr="003E2413" w:rsidRDefault="00C47B5C" w:rsidP="004C28FB">
      <w:pPr>
        <w:widowControl w:val="0"/>
        <w:autoSpaceDE w:val="0"/>
        <w:autoSpaceDN w:val="0"/>
        <w:adjustRightInd w:val="0"/>
        <w:spacing w:line="480" w:lineRule="auto"/>
        <w:ind w:left="567" w:hanging="567"/>
        <w:contextualSpacing/>
        <w:rPr>
          <w:color w:val="000000" w:themeColor="text1"/>
        </w:rPr>
      </w:pPr>
      <w:r w:rsidRPr="003E2413">
        <w:t xml:space="preserve">Roth, P. L., Purvis, K. L., &amp; Bobko, P. (2012). A meta-analysis of gender group differences for measures of job performance in field studies. </w:t>
      </w:r>
      <w:r w:rsidRPr="003E2413">
        <w:rPr>
          <w:i/>
          <w:iCs/>
        </w:rPr>
        <w:t>Journal of Management, 38</w:t>
      </w:r>
      <w:r w:rsidRPr="003E2413">
        <w:t>(2), 719-739.</w:t>
      </w:r>
      <w:r w:rsidR="00356AC5" w:rsidRPr="003E2413">
        <w:t xml:space="preserve"> </w:t>
      </w:r>
      <w:hyperlink r:id="rId61" w:history="1">
        <w:r w:rsidRPr="003E2413">
          <w:rPr>
            <w:rStyle w:val="Hyperlink"/>
            <w:color w:val="000000" w:themeColor="text1"/>
            <w:u w:val="none"/>
          </w:rPr>
          <w:t>https://doi.org/10.1177/0149206310374774</w:t>
        </w:r>
      </w:hyperlink>
      <w:r w:rsidRPr="003E2413">
        <w:rPr>
          <w:color w:val="000000" w:themeColor="text1"/>
        </w:rPr>
        <w:t xml:space="preserve"> </w:t>
      </w:r>
    </w:p>
    <w:p w14:paraId="61AFF2DA" w14:textId="6B88AF80" w:rsidR="002E03BB" w:rsidRDefault="00AD6F6D" w:rsidP="009B7728">
      <w:pPr>
        <w:widowControl w:val="0"/>
        <w:autoSpaceDE w:val="0"/>
        <w:autoSpaceDN w:val="0"/>
        <w:adjustRightInd w:val="0"/>
        <w:spacing w:line="480" w:lineRule="auto"/>
        <w:ind w:left="567" w:hanging="567"/>
        <w:contextualSpacing/>
        <w:rPr>
          <w:color w:val="000000"/>
        </w:rPr>
      </w:pPr>
      <w:r w:rsidRPr="003E2413">
        <w:t xml:space="preserve">Rubin, R. S., Dierdorff, E. C., &amp; Brown, M. E. (2010). Do ethical leaders get ahead? Exploring ethical leadership and promotability. </w:t>
      </w:r>
      <w:r w:rsidRPr="003E2413">
        <w:rPr>
          <w:i/>
          <w:iCs/>
        </w:rPr>
        <w:t>Business Ethics Quarterly, 20</w:t>
      </w:r>
      <w:r w:rsidR="007A639F" w:rsidRPr="003E2413">
        <w:t>(2)</w:t>
      </w:r>
      <w:r w:rsidRPr="003E2413">
        <w:rPr>
          <w:i/>
          <w:iCs/>
        </w:rPr>
        <w:t>,</w:t>
      </w:r>
      <w:r w:rsidRPr="003E2413">
        <w:t xml:space="preserve"> 215-236. </w:t>
      </w:r>
      <w:hyperlink r:id="rId62" w:history="1">
        <w:r w:rsidR="00356AC5" w:rsidRPr="003E2413">
          <w:rPr>
            <w:rStyle w:val="Hyperlink"/>
            <w:color w:val="000000" w:themeColor="text1"/>
            <w:u w:val="none"/>
          </w:rPr>
          <w:t>https://doi.org/10.5840/beq201020216</w:t>
        </w:r>
      </w:hyperlink>
      <w:r w:rsidR="00356AC5" w:rsidRPr="003E2413">
        <w:rPr>
          <w:color w:val="000000" w:themeColor="text1"/>
        </w:rPr>
        <w:t xml:space="preserve"> </w:t>
      </w:r>
    </w:p>
    <w:p w14:paraId="0E8744AC" w14:textId="755EEE55" w:rsidR="002E03BB" w:rsidRPr="000C44A8" w:rsidRDefault="002E03BB" w:rsidP="004D35C5">
      <w:pPr>
        <w:widowControl w:val="0"/>
        <w:autoSpaceDE w:val="0"/>
        <w:autoSpaceDN w:val="0"/>
        <w:adjustRightInd w:val="0"/>
        <w:spacing w:line="480" w:lineRule="auto"/>
        <w:ind w:left="567" w:hanging="567"/>
        <w:contextualSpacing/>
        <w:rPr>
          <w:lang w:val="en-GB"/>
        </w:rPr>
      </w:pPr>
      <w:r w:rsidRPr="00894CEC">
        <w:rPr>
          <w:color w:val="000000"/>
        </w:rPr>
        <w:t>Sedikides, C. (</w:t>
      </w:r>
      <w:r>
        <w:rPr>
          <w:color w:val="000000"/>
        </w:rPr>
        <w:t>2021</w:t>
      </w:r>
      <w:r w:rsidRPr="00894CEC">
        <w:rPr>
          <w:color w:val="000000"/>
        </w:rPr>
        <w:t xml:space="preserve">). </w:t>
      </w:r>
      <w:r>
        <w:rPr>
          <w:color w:val="000000"/>
        </w:rPr>
        <w:t xml:space="preserve">In search of narcissus. </w:t>
      </w:r>
      <w:r>
        <w:rPr>
          <w:i/>
          <w:iCs/>
          <w:color w:val="000000"/>
        </w:rPr>
        <w:t>Trends in Cognitive Sciences, 25</w:t>
      </w:r>
      <w:r>
        <w:rPr>
          <w:color w:val="000000"/>
        </w:rPr>
        <w:t xml:space="preserve">(1), 67-80. </w:t>
      </w:r>
      <w:r w:rsidRPr="002464E4">
        <w:rPr>
          <w:lang w:eastAsia="zh-CN"/>
        </w:rPr>
        <w:t>https://doi.org/10.1016/j.tics.2020.10.010</w:t>
      </w:r>
    </w:p>
    <w:p w14:paraId="491FED63" w14:textId="75C1C359" w:rsidR="000121B2" w:rsidRPr="000C44A8" w:rsidRDefault="00482844" w:rsidP="009B7728">
      <w:pPr>
        <w:widowControl w:val="0"/>
        <w:autoSpaceDE w:val="0"/>
        <w:autoSpaceDN w:val="0"/>
        <w:adjustRightInd w:val="0"/>
        <w:spacing w:line="480" w:lineRule="auto"/>
        <w:ind w:left="567" w:hanging="567"/>
        <w:contextualSpacing/>
        <w:rPr>
          <w:bCs/>
          <w:color w:val="000000"/>
          <w:lang w:val="fr-FR"/>
        </w:rPr>
      </w:pPr>
      <w:r w:rsidRPr="000C44A8">
        <w:rPr>
          <w:lang w:val="en-GB"/>
        </w:rPr>
        <w:t xml:space="preserve">Sedikides, C., &amp; Campbell, W. K. (2017). </w:t>
      </w:r>
      <w:r w:rsidRPr="003E2413">
        <w:t xml:space="preserve">Narcissistic force meets systemic resistance: The Energy Clash Model. </w:t>
      </w:r>
      <w:r w:rsidRPr="000C44A8">
        <w:rPr>
          <w:i/>
          <w:lang w:val="fr-FR"/>
        </w:rPr>
        <w:t>Perspectives on Psychological Science, 12</w:t>
      </w:r>
      <w:r w:rsidR="007A639F" w:rsidRPr="000C44A8">
        <w:rPr>
          <w:iCs/>
          <w:lang w:val="fr-FR"/>
        </w:rPr>
        <w:t>(3)</w:t>
      </w:r>
      <w:r w:rsidRPr="000C44A8">
        <w:rPr>
          <w:lang w:val="fr-FR"/>
        </w:rPr>
        <w:t xml:space="preserve">, 400-421. </w:t>
      </w:r>
      <w:hyperlink r:id="rId63" w:history="1">
        <w:r w:rsidR="00356AC5" w:rsidRPr="000C44A8">
          <w:rPr>
            <w:rStyle w:val="Hyperlink"/>
            <w:bCs/>
            <w:color w:val="000000" w:themeColor="text1"/>
            <w:u w:val="none"/>
            <w:lang w:val="fr-FR"/>
          </w:rPr>
          <w:t>https://doi.org/</w:t>
        </w:r>
        <w:r w:rsidR="00356AC5" w:rsidRPr="000C44A8">
          <w:rPr>
            <w:rStyle w:val="Hyperlink"/>
            <w:color w:val="000000" w:themeColor="text1"/>
            <w:u w:val="none"/>
            <w:lang w:val="fr-FR"/>
          </w:rPr>
          <w:t>10.1177/1745691617692105</w:t>
        </w:r>
      </w:hyperlink>
      <w:r w:rsidR="00356AC5" w:rsidRPr="000C44A8">
        <w:rPr>
          <w:color w:val="000000" w:themeColor="text1"/>
          <w:lang w:val="fr-FR"/>
        </w:rPr>
        <w:t xml:space="preserve"> </w:t>
      </w:r>
    </w:p>
    <w:p w14:paraId="05F983E2" w14:textId="381140D0" w:rsidR="000121B2" w:rsidRPr="002C2074" w:rsidRDefault="000121B2" w:rsidP="002C2074">
      <w:pPr>
        <w:widowControl w:val="0"/>
        <w:autoSpaceDE w:val="0"/>
        <w:autoSpaceDN w:val="0"/>
        <w:adjustRightInd w:val="0"/>
        <w:spacing w:line="480" w:lineRule="auto"/>
        <w:ind w:left="567" w:hanging="567"/>
        <w:contextualSpacing/>
      </w:pPr>
      <w:r w:rsidRPr="000C44A8">
        <w:rPr>
          <w:bCs/>
          <w:color w:val="000000"/>
          <w:lang w:val="fr-FR"/>
        </w:rPr>
        <w:t xml:space="preserve">Sedikides, C., Gaertner, L., Luke, M. A., O’Mara, E. M., &amp; Gebauer, J. (2013). </w:t>
      </w:r>
      <w:r w:rsidRPr="00A26BC2">
        <w:rPr>
          <w:bCs/>
          <w:color w:val="000000"/>
        </w:rPr>
        <w:t xml:space="preserve">A three-tier hierarchy of motivational self-potency: Individual self, relational self, collective self. </w:t>
      </w:r>
      <w:r w:rsidRPr="00A26BC2">
        <w:rPr>
          <w:bCs/>
          <w:i/>
          <w:iCs/>
          <w:color w:val="000000"/>
        </w:rPr>
        <w:t>Advances in Experimental Social Psychology, 48</w:t>
      </w:r>
      <w:r w:rsidRPr="00A26BC2">
        <w:rPr>
          <w:bCs/>
          <w:color w:val="000000"/>
        </w:rPr>
        <w:t xml:space="preserve">, 235-295. </w:t>
      </w:r>
      <w:hyperlink r:id="rId64" w:history="1">
        <w:r w:rsidRPr="009B7728">
          <w:rPr>
            <w:rStyle w:val="Hyperlink"/>
            <w:bCs/>
            <w:color w:val="000000"/>
            <w:u w:val="none"/>
          </w:rPr>
          <w:t>https://doi.org/10.1016/B978-0-12-407188-9.00005-3</w:t>
        </w:r>
      </w:hyperlink>
    </w:p>
    <w:p w14:paraId="364D5408" w14:textId="596800F4" w:rsidR="00C00637" w:rsidRPr="003E2413" w:rsidRDefault="00C00637" w:rsidP="004C28FB">
      <w:pPr>
        <w:widowControl w:val="0"/>
        <w:autoSpaceDE w:val="0"/>
        <w:autoSpaceDN w:val="0"/>
        <w:adjustRightInd w:val="0"/>
        <w:spacing w:line="480" w:lineRule="auto"/>
        <w:ind w:left="567" w:hanging="567"/>
        <w:contextualSpacing/>
        <w:rPr>
          <w:color w:val="000000" w:themeColor="text1"/>
        </w:rPr>
      </w:pPr>
      <w:r w:rsidRPr="003E2413">
        <w:t xml:space="preserve">Spence, M. 1973. Job market signaling. </w:t>
      </w:r>
      <w:r w:rsidRPr="003E2413">
        <w:rPr>
          <w:i/>
          <w:iCs/>
        </w:rPr>
        <w:t>Quarterly Journal of Economics, 87</w:t>
      </w:r>
      <w:r w:rsidR="003A245A" w:rsidRPr="003E2413">
        <w:t>(3)</w:t>
      </w:r>
      <w:r w:rsidRPr="003E2413">
        <w:rPr>
          <w:i/>
          <w:iCs/>
        </w:rPr>
        <w:t>,</w:t>
      </w:r>
      <w:r w:rsidRPr="003E2413">
        <w:t xml:space="preserve"> 355–74.</w:t>
      </w:r>
      <w:r w:rsidR="001961E1" w:rsidRPr="003E2413">
        <w:t xml:space="preserve"> </w:t>
      </w:r>
      <w:hyperlink r:id="rId65" w:history="1">
        <w:r w:rsidR="00356AC5" w:rsidRPr="003E2413">
          <w:rPr>
            <w:rStyle w:val="Hyperlink"/>
            <w:color w:val="000000" w:themeColor="text1"/>
            <w:u w:val="none"/>
          </w:rPr>
          <w:t>https://doi.org/10.2307/1882010</w:t>
        </w:r>
      </w:hyperlink>
      <w:r w:rsidR="00356AC5" w:rsidRPr="003E2413">
        <w:rPr>
          <w:color w:val="000000" w:themeColor="text1"/>
        </w:rPr>
        <w:t xml:space="preserve"> </w:t>
      </w:r>
    </w:p>
    <w:p w14:paraId="168B1A77" w14:textId="0DCC0699" w:rsidR="005123E9" w:rsidRPr="003E2413" w:rsidRDefault="005123E9" w:rsidP="004C28FB">
      <w:pPr>
        <w:widowControl w:val="0"/>
        <w:autoSpaceDE w:val="0"/>
        <w:autoSpaceDN w:val="0"/>
        <w:adjustRightInd w:val="0"/>
        <w:spacing w:line="480" w:lineRule="auto"/>
        <w:ind w:left="567" w:hanging="567"/>
        <w:contextualSpacing/>
        <w:rPr>
          <w:color w:val="000000" w:themeColor="text1"/>
        </w:rPr>
      </w:pPr>
      <w:r w:rsidRPr="000C44A8">
        <w:rPr>
          <w:lang w:val="de-DE"/>
        </w:rPr>
        <w:t xml:space="preserve">Spurk, D., Keller, A. C., &amp; Hirschi, A. (2016). </w:t>
      </w:r>
      <w:r w:rsidRPr="003E2413">
        <w:t xml:space="preserve">Do bad guys get ahead or fall behind? Relationships of the Dark Triad of personality with objective and subjective career success. </w:t>
      </w:r>
      <w:r w:rsidRPr="003E2413">
        <w:rPr>
          <w:i/>
          <w:iCs/>
        </w:rPr>
        <w:t>Social Psychological and Personality Science, 7</w:t>
      </w:r>
      <w:r w:rsidR="006B011B" w:rsidRPr="003E2413">
        <w:t>(2)</w:t>
      </w:r>
      <w:r w:rsidRPr="003E2413">
        <w:rPr>
          <w:i/>
          <w:iCs/>
        </w:rPr>
        <w:t>,</w:t>
      </w:r>
      <w:r w:rsidRPr="003E2413">
        <w:t xml:space="preserve"> 113–121. </w:t>
      </w:r>
      <w:hyperlink r:id="rId66" w:history="1">
        <w:r w:rsidRPr="003E2413">
          <w:rPr>
            <w:rStyle w:val="Hyperlink"/>
            <w:color w:val="000000" w:themeColor="text1"/>
            <w:u w:val="none"/>
          </w:rPr>
          <w:t>https://doi.org/10.1177/1948550615609735</w:t>
        </w:r>
      </w:hyperlink>
      <w:r w:rsidRPr="003E2413">
        <w:rPr>
          <w:color w:val="000000" w:themeColor="text1"/>
        </w:rPr>
        <w:t xml:space="preserve"> </w:t>
      </w:r>
    </w:p>
    <w:p w14:paraId="77AED14F" w14:textId="39360794" w:rsidR="004D7CF3" w:rsidRPr="003E2413" w:rsidRDefault="00482844" w:rsidP="004C28FB">
      <w:pPr>
        <w:widowControl w:val="0"/>
        <w:autoSpaceDE w:val="0"/>
        <w:autoSpaceDN w:val="0"/>
        <w:adjustRightInd w:val="0"/>
        <w:spacing w:line="480" w:lineRule="auto"/>
        <w:ind w:left="567" w:hanging="567"/>
        <w:contextualSpacing/>
        <w:rPr>
          <w:color w:val="000000" w:themeColor="text1"/>
        </w:rPr>
      </w:pPr>
      <w:r w:rsidRPr="003E2413">
        <w:t xml:space="preserve">Steinmetz, J., Sezer, O., &amp; Sedikides, C. (2017). Impression mismanagement: People as inept self-presenters. </w:t>
      </w:r>
      <w:r w:rsidRPr="003E2413">
        <w:rPr>
          <w:i/>
        </w:rPr>
        <w:t>Social and Personality Psychology Compass</w:t>
      </w:r>
      <w:r w:rsidRPr="003E2413">
        <w:t xml:space="preserve">, </w:t>
      </w:r>
      <w:r w:rsidRPr="003E2413">
        <w:rPr>
          <w:i/>
          <w:iCs/>
        </w:rPr>
        <w:t>11</w:t>
      </w:r>
      <w:r w:rsidR="00B97FF8" w:rsidRPr="003E2413">
        <w:t>(6</w:t>
      </w:r>
      <w:r w:rsidR="00F71295" w:rsidRPr="003E2413">
        <w:t>)</w:t>
      </w:r>
      <w:r w:rsidRPr="003E2413">
        <w:t xml:space="preserve">. </w:t>
      </w:r>
      <w:hyperlink r:id="rId67" w:history="1">
        <w:r w:rsidR="00356AC5" w:rsidRPr="003E2413">
          <w:rPr>
            <w:rStyle w:val="Hyperlink"/>
            <w:bCs/>
            <w:color w:val="000000" w:themeColor="text1"/>
            <w:u w:val="none"/>
          </w:rPr>
          <w:t>https://doi.org/10.1111/spc3.12321</w:t>
        </w:r>
      </w:hyperlink>
      <w:r w:rsidR="00356AC5" w:rsidRPr="003E2413">
        <w:rPr>
          <w:bCs/>
          <w:color w:val="000000" w:themeColor="text1"/>
        </w:rPr>
        <w:t xml:space="preserve"> </w:t>
      </w:r>
    </w:p>
    <w:p w14:paraId="048E8B73" w14:textId="702426AA" w:rsidR="007C74B6" w:rsidRPr="003E2413" w:rsidRDefault="00482844" w:rsidP="004C28FB">
      <w:pPr>
        <w:widowControl w:val="0"/>
        <w:autoSpaceDE w:val="0"/>
        <w:autoSpaceDN w:val="0"/>
        <w:adjustRightInd w:val="0"/>
        <w:spacing w:line="480" w:lineRule="auto"/>
        <w:ind w:left="567" w:hanging="567"/>
        <w:contextualSpacing/>
        <w:rPr>
          <w:color w:val="000000" w:themeColor="text1"/>
        </w:rPr>
      </w:pPr>
      <w:r w:rsidRPr="003E2413">
        <w:lastRenderedPageBreak/>
        <w:t>Thacker, R. A., &amp; Wayne, S. J. (1995). An examination of the relationship between upward influence tactics and assessments of promotability. </w:t>
      </w:r>
      <w:r w:rsidRPr="003E2413">
        <w:rPr>
          <w:i/>
          <w:iCs/>
        </w:rPr>
        <w:t xml:space="preserve">Journal of </w:t>
      </w:r>
      <w:r w:rsidR="00D451AE" w:rsidRPr="003E2413">
        <w:rPr>
          <w:i/>
          <w:iCs/>
        </w:rPr>
        <w:t>M</w:t>
      </w:r>
      <w:r w:rsidRPr="003E2413">
        <w:rPr>
          <w:i/>
          <w:iCs/>
        </w:rPr>
        <w:t>anagement</w:t>
      </w:r>
      <w:r w:rsidRPr="003E2413">
        <w:t>, </w:t>
      </w:r>
      <w:r w:rsidRPr="003E2413">
        <w:rPr>
          <w:i/>
          <w:iCs/>
        </w:rPr>
        <w:t>21</w:t>
      </w:r>
      <w:r w:rsidR="00B97FF8" w:rsidRPr="003E2413">
        <w:t>(4)</w:t>
      </w:r>
      <w:r w:rsidRPr="003E2413">
        <w:t>, 739-756.</w:t>
      </w:r>
      <w:r w:rsidR="00C54F65" w:rsidRPr="003E2413">
        <w:t xml:space="preserve"> </w:t>
      </w:r>
      <w:hyperlink r:id="rId68" w:history="1">
        <w:r w:rsidR="00356AC5" w:rsidRPr="003E2413">
          <w:rPr>
            <w:rStyle w:val="Hyperlink"/>
            <w:color w:val="000000" w:themeColor="text1"/>
            <w:u w:val="none"/>
          </w:rPr>
          <w:t>https://doi.org/10.1016/0149-2063(95)90008-x</w:t>
        </w:r>
      </w:hyperlink>
      <w:r w:rsidR="00356AC5" w:rsidRPr="003E2413">
        <w:rPr>
          <w:color w:val="000000" w:themeColor="text1"/>
        </w:rPr>
        <w:t xml:space="preserve"> </w:t>
      </w:r>
    </w:p>
    <w:p w14:paraId="264AA6A2" w14:textId="77777777" w:rsidR="00E71596" w:rsidRDefault="00E71596" w:rsidP="004C28FB">
      <w:pPr>
        <w:widowControl w:val="0"/>
        <w:autoSpaceDE w:val="0"/>
        <w:autoSpaceDN w:val="0"/>
        <w:adjustRightInd w:val="0"/>
        <w:spacing w:line="480" w:lineRule="auto"/>
        <w:ind w:left="567" w:hanging="567"/>
        <w:contextualSpacing/>
        <w:rPr>
          <w:rFonts w:asciiTheme="majorBidi" w:hAnsiTheme="majorBidi" w:cstheme="majorBidi"/>
        </w:rPr>
        <w:sectPr w:rsidR="00E71596" w:rsidSect="001F6FC8">
          <w:headerReference w:type="even" r:id="rId69"/>
          <w:headerReference w:type="default" r:id="rId70"/>
          <w:footerReference w:type="even" r:id="rId71"/>
          <w:footerReference w:type="default" r:id="rId72"/>
          <w:pgSz w:w="11900" w:h="16840"/>
          <w:pgMar w:top="1440" w:right="1440" w:bottom="1440" w:left="1440" w:header="708" w:footer="708" w:gutter="0"/>
          <w:cols w:space="708"/>
          <w:docGrid w:linePitch="360"/>
        </w:sectPr>
      </w:pPr>
    </w:p>
    <w:p w14:paraId="0FDA058C" w14:textId="1F6ED380" w:rsidR="007C74B6" w:rsidRDefault="007C74B6" w:rsidP="004C28FB">
      <w:pPr>
        <w:widowControl w:val="0"/>
        <w:autoSpaceDE w:val="0"/>
        <w:autoSpaceDN w:val="0"/>
        <w:adjustRightInd w:val="0"/>
        <w:spacing w:line="480" w:lineRule="auto"/>
        <w:ind w:left="567" w:hanging="567"/>
        <w:contextualSpacing/>
        <w:rPr>
          <w:rFonts w:asciiTheme="majorBidi" w:hAnsiTheme="majorBidi" w:cstheme="majorBidi"/>
        </w:rPr>
      </w:pPr>
      <w:r w:rsidRPr="000C44A8">
        <w:rPr>
          <w:rFonts w:asciiTheme="majorBidi" w:hAnsiTheme="majorBidi" w:cstheme="majorBidi"/>
          <w:lang w:val="en-GB"/>
        </w:rPr>
        <w:t xml:space="preserve">Thomaes, S., Brummelman, E., &amp; Sedikides, C. (2018). </w:t>
      </w:r>
      <w:r w:rsidRPr="003E2413">
        <w:rPr>
          <w:rFonts w:asciiTheme="majorBidi" w:hAnsiTheme="majorBidi" w:cstheme="majorBidi"/>
          <w:lang w:val="pt-PT"/>
        </w:rPr>
        <w:t xml:space="preserve">Narcissism: A social-developmental perspective. </w:t>
      </w:r>
      <w:r w:rsidRPr="003E2413">
        <w:rPr>
          <w:rFonts w:asciiTheme="majorBidi" w:hAnsiTheme="majorBidi" w:cstheme="majorBidi"/>
        </w:rPr>
        <w:t xml:space="preserve">In V. Zeigler-Hill &amp; T. K. Shackelford (Eds.), </w:t>
      </w:r>
      <w:r w:rsidRPr="003E2413">
        <w:rPr>
          <w:rFonts w:asciiTheme="majorBidi" w:hAnsiTheme="majorBidi" w:cstheme="majorBidi"/>
          <w:i/>
        </w:rPr>
        <w:t>The SAGE Handbook of Personality and Individual Differences</w:t>
      </w:r>
      <w:r w:rsidRPr="003E2413">
        <w:rPr>
          <w:rFonts w:asciiTheme="majorBidi" w:hAnsiTheme="majorBidi" w:cstheme="majorBidi"/>
        </w:rPr>
        <w:t xml:space="preserve"> (pp. 377-396). Sage </w:t>
      </w:r>
      <w:r w:rsidRPr="003E2413">
        <w:rPr>
          <w:rFonts w:asciiTheme="majorBidi" w:hAnsiTheme="majorBidi" w:cstheme="majorBidi"/>
          <w:bCs/>
          <w:color w:val="000000"/>
        </w:rPr>
        <w:t>Publications</w:t>
      </w:r>
      <w:r w:rsidRPr="003E2413">
        <w:rPr>
          <w:rFonts w:asciiTheme="majorBidi" w:hAnsiTheme="majorBidi" w:cstheme="majorBidi"/>
        </w:rPr>
        <w:t>.</w:t>
      </w:r>
    </w:p>
    <w:p w14:paraId="79B48D78" w14:textId="1FA5B2F8" w:rsidR="00773DA6" w:rsidRPr="003E2413" w:rsidRDefault="00773DA6" w:rsidP="004C28FB">
      <w:pPr>
        <w:widowControl w:val="0"/>
        <w:autoSpaceDE w:val="0"/>
        <w:autoSpaceDN w:val="0"/>
        <w:adjustRightInd w:val="0"/>
        <w:spacing w:line="480" w:lineRule="auto"/>
        <w:ind w:left="567" w:hanging="567"/>
        <w:contextualSpacing/>
        <w:rPr>
          <w:rFonts w:asciiTheme="majorBidi" w:hAnsiTheme="majorBidi" w:cstheme="majorBidi"/>
        </w:rPr>
      </w:pPr>
      <w:r w:rsidRPr="00773DA6">
        <w:rPr>
          <w:rFonts w:asciiTheme="majorBidi" w:hAnsiTheme="majorBidi" w:cstheme="majorBidi"/>
        </w:rPr>
        <w:t xml:space="preserve">Trope, Y., &amp; Liberman, N. (2010). Construal-level theory of psychological distance. </w:t>
      </w:r>
      <w:r w:rsidRPr="009D32C1">
        <w:rPr>
          <w:rFonts w:asciiTheme="majorBidi" w:hAnsiTheme="majorBidi" w:cstheme="majorBidi"/>
          <w:i/>
          <w:iCs/>
        </w:rPr>
        <w:t>Psychological Review, 117</w:t>
      </w:r>
      <w:r w:rsidRPr="00773DA6">
        <w:rPr>
          <w:rFonts w:asciiTheme="majorBidi" w:hAnsiTheme="majorBidi" w:cstheme="majorBidi"/>
        </w:rPr>
        <w:t>(2), 440</w:t>
      </w:r>
      <w:r>
        <w:rPr>
          <w:rFonts w:asciiTheme="majorBidi" w:hAnsiTheme="majorBidi" w:cstheme="majorBidi"/>
        </w:rPr>
        <w:t>-463</w:t>
      </w:r>
      <w:r w:rsidRPr="00773DA6">
        <w:rPr>
          <w:rFonts w:asciiTheme="majorBidi" w:hAnsiTheme="majorBidi" w:cstheme="majorBidi"/>
        </w:rPr>
        <w:t>.</w:t>
      </w:r>
      <w:r>
        <w:rPr>
          <w:rFonts w:asciiTheme="majorBidi" w:hAnsiTheme="majorBidi" w:cstheme="majorBidi"/>
        </w:rPr>
        <w:t xml:space="preserve"> </w:t>
      </w:r>
      <w:r w:rsidR="009D32C1">
        <w:rPr>
          <w:rFonts w:asciiTheme="majorBidi" w:hAnsiTheme="majorBidi" w:cstheme="majorBidi"/>
        </w:rPr>
        <w:t>https://doi.org/</w:t>
      </w:r>
      <w:r w:rsidR="009D32C1" w:rsidRPr="009D32C1">
        <w:rPr>
          <w:rFonts w:asciiTheme="majorBidi" w:hAnsiTheme="majorBidi" w:cstheme="majorBidi"/>
        </w:rPr>
        <w:t>10.1037/a0018963</w:t>
      </w:r>
    </w:p>
    <w:p w14:paraId="671BFB1E" w14:textId="24636594" w:rsidR="004D7CF3" w:rsidRPr="003E2413" w:rsidRDefault="00482844" w:rsidP="004C28FB">
      <w:pPr>
        <w:widowControl w:val="0"/>
        <w:autoSpaceDE w:val="0"/>
        <w:autoSpaceDN w:val="0"/>
        <w:adjustRightInd w:val="0"/>
        <w:spacing w:line="480" w:lineRule="auto"/>
        <w:ind w:left="567" w:hanging="567"/>
        <w:contextualSpacing/>
        <w:rPr>
          <w:color w:val="000000" w:themeColor="text1"/>
        </w:rPr>
      </w:pPr>
      <w:r w:rsidRPr="003E2413">
        <w:t>Wallace, H. M., &amp; Baumeister, R. F. (2002). The performance of narcissists rises and falls with perceived opportunity for glory. </w:t>
      </w:r>
      <w:r w:rsidRPr="003E2413">
        <w:rPr>
          <w:i/>
          <w:iCs/>
        </w:rPr>
        <w:t>Journal of Personality and Social Psychology</w:t>
      </w:r>
      <w:r w:rsidRPr="003E2413">
        <w:t>, </w:t>
      </w:r>
      <w:r w:rsidRPr="003E2413">
        <w:rPr>
          <w:i/>
          <w:iCs/>
        </w:rPr>
        <w:t>82</w:t>
      </w:r>
      <w:r w:rsidR="00F97E7E" w:rsidRPr="003E2413">
        <w:t>(5)</w:t>
      </w:r>
      <w:r w:rsidRPr="003E2413">
        <w:t xml:space="preserve">, 819-834. </w:t>
      </w:r>
      <w:hyperlink r:id="rId73" w:history="1">
        <w:r w:rsidR="00356AC5" w:rsidRPr="003E2413">
          <w:rPr>
            <w:rStyle w:val="Hyperlink"/>
            <w:color w:val="000000" w:themeColor="text1"/>
            <w:u w:val="none"/>
          </w:rPr>
          <w:t>https://doi.org/10.1037//0022-3514.82.5.819</w:t>
        </w:r>
      </w:hyperlink>
      <w:r w:rsidR="00356AC5" w:rsidRPr="003E2413">
        <w:rPr>
          <w:color w:val="000000" w:themeColor="text1"/>
        </w:rPr>
        <w:t xml:space="preserve"> </w:t>
      </w:r>
    </w:p>
    <w:p w14:paraId="4F181415" w14:textId="2570254B" w:rsidR="004D7CF3" w:rsidRPr="003E2413" w:rsidRDefault="00482844" w:rsidP="004D35C5">
      <w:pPr>
        <w:widowControl w:val="0"/>
        <w:autoSpaceDE w:val="0"/>
        <w:autoSpaceDN w:val="0"/>
        <w:adjustRightInd w:val="0"/>
        <w:spacing w:line="480" w:lineRule="auto"/>
        <w:ind w:left="567" w:hanging="567"/>
        <w:contextualSpacing/>
        <w:rPr>
          <w:color w:val="000000" w:themeColor="text1"/>
        </w:rPr>
      </w:pPr>
      <w:r w:rsidRPr="000C44A8">
        <w:rPr>
          <w:lang w:val="en-GB"/>
        </w:rPr>
        <w:t xml:space="preserve">Watts, A. L., Lilienfeld, S. O., Smith, S. F., Miller, J. D., Campbell, W. K., Waldman, I. D., </w:t>
      </w:r>
      <w:r w:rsidR="00715C53" w:rsidRPr="000C44A8">
        <w:rPr>
          <w:lang w:val="en-GB"/>
        </w:rPr>
        <w:t xml:space="preserve">Rubenzer, S. J., &amp; </w:t>
      </w:r>
      <w:r w:rsidRPr="000C44A8">
        <w:rPr>
          <w:lang w:val="en-GB"/>
        </w:rPr>
        <w:t xml:space="preserve">Faschingbauer, T. J. (2013). </w:t>
      </w:r>
      <w:r w:rsidRPr="003E2413">
        <w:t xml:space="preserve">The </w:t>
      </w:r>
      <w:r w:rsidR="0041404C" w:rsidRPr="003E2413">
        <w:t>d</w:t>
      </w:r>
      <w:r w:rsidRPr="003E2413">
        <w:t>ouble-</w:t>
      </w:r>
      <w:r w:rsidR="0041404C" w:rsidRPr="003E2413">
        <w:t>e</w:t>
      </w:r>
      <w:r w:rsidRPr="003E2413">
        <w:t xml:space="preserve">dged </w:t>
      </w:r>
      <w:r w:rsidR="0041404C" w:rsidRPr="003E2413">
        <w:t>s</w:t>
      </w:r>
      <w:r w:rsidRPr="003E2413">
        <w:t xml:space="preserve">word of </w:t>
      </w:r>
      <w:r w:rsidR="0041404C" w:rsidRPr="003E2413">
        <w:t>g</w:t>
      </w:r>
      <w:r w:rsidRPr="003E2413">
        <w:t xml:space="preserve">randiose </w:t>
      </w:r>
      <w:r w:rsidR="0041404C" w:rsidRPr="003E2413">
        <w:t>n</w:t>
      </w:r>
      <w:r w:rsidRPr="003E2413">
        <w:t xml:space="preserve">arcissism: Implications for </w:t>
      </w:r>
      <w:r w:rsidR="0041404C" w:rsidRPr="003E2413">
        <w:t>s</w:t>
      </w:r>
      <w:r w:rsidRPr="003E2413">
        <w:t xml:space="preserve">uccessful and </w:t>
      </w:r>
      <w:r w:rsidR="0041404C" w:rsidRPr="003E2413">
        <w:t>u</w:t>
      </w:r>
      <w:r w:rsidRPr="003E2413">
        <w:t xml:space="preserve">nsuccessful </w:t>
      </w:r>
      <w:r w:rsidR="0041404C" w:rsidRPr="003E2413">
        <w:t>l</w:t>
      </w:r>
      <w:r w:rsidRPr="003E2413">
        <w:t xml:space="preserve">eadership </w:t>
      </w:r>
      <w:r w:rsidR="0041404C" w:rsidRPr="003E2413">
        <w:t>a</w:t>
      </w:r>
      <w:r w:rsidRPr="003E2413">
        <w:t xml:space="preserve">mong U.S. Presidents. </w:t>
      </w:r>
      <w:r w:rsidRPr="003E2413">
        <w:rPr>
          <w:i/>
          <w:iCs/>
        </w:rPr>
        <w:t>Psychological Science</w:t>
      </w:r>
      <w:r w:rsidRPr="003E2413">
        <w:t xml:space="preserve">, </w:t>
      </w:r>
      <w:r w:rsidRPr="003E2413">
        <w:rPr>
          <w:i/>
          <w:iCs/>
        </w:rPr>
        <w:t>24</w:t>
      </w:r>
      <w:r w:rsidR="00F97E7E" w:rsidRPr="003E2413">
        <w:t>(12)</w:t>
      </w:r>
      <w:r w:rsidRPr="003E2413">
        <w:t>, 2379</w:t>
      </w:r>
      <w:r w:rsidR="00A80D32" w:rsidRPr="003E2413">
        <w:t>-</w:t>
      </w:r>
      <w:r w:rsidRPr="003E2413">
        <w:t>2389.</w:t>
      </w:r>
      <w:r w:rsidR="004D7CF3" w:rsidRPr="003E2413">
        <w:t xml:space="preserve"> </w:t>
      </w:r>
      <w:hyperlink r:id="rId74" w:history="1">
        <w:r w:rsidR="00F97E7E" w:rsidRPr="003E2413">
          <w:rPr>
            <w:rStyle w:val="Hyperlink"/>
            <w:color w:val="000000" w:themeColor="text1"/>
            <w:u w:val="none"/>
          </w:rPr>
          <w:t>https://doi.org/10.1177/0956797613491970</w:t>
        </w:r>
      </w:hyperlink>
      <w:r w:rsidR="00F97E7E" w:rsidRPr="003E2413">
        <w:rPr>
          <w:rStyle w:val="st1"/>
          <w:color w:val="000000" w:themeColor="text1"/>
        </w:rPr>
        <w:t xml:space="preserve"> </w:t>
      </w:r>
    </w:p>
    <w:p w14:paraId="3D292D93" w14:textId="6A7A2E67" w:rsidR="004D7CF3" w:rsidRPr="003E2413" w:rsidRDefault="00482844" w:rsidP="004C28FB">
      <w:pPr>
        <w:widowControl w:val="0"/>
        <w:autoSpaceDE w:val="0"/>
        <w:autoSpaceDN w:val="0"/>
        <w:adjustRightInd w:val="0"/>
        <w:spacing w:line="480" w:lineRule="auto"/>
        <w:ind w:left="567" w:hanging="567"/>
        <w:contextualSpacing/>
        <w:rPr>
          <w:color w:val="000000" w:themeColor="text1"/>
        </w:rPr>
      </w:pPr>
      <w:r w:rsidRPr="003E2413">
        <w:t>Wayne, S. J., Liden, R. C., Graf, I. K., &amp; Ferris, G. R. (1997). The role of upward influence tactics in human resource decisions. </w:t>
      </w:r>
      <w:r w:rsidRPr="003E2413">
        <w:rPr>
          <w:i/>
          <w:iCs/>
        </w:rPr>
        <w:t>Personnel Psychology</w:t>
      </w:r>
      <w:r w:rsidRPr="003E2413">
        <w:t>, </w:t>
      </w:r>
      <w:r w:rsidRPr="003E2413">
        <w:rPr>
          <w:i/>
          <w:iCs/>
        </w:rPr>
        <w:t>50</w:t>
      </w:r>
      <w:r w:rsidR="00F97E7E" w:rsidRPr="003E2413">
        <w:t>(4)</w:t>
      </w:r>
      <w:r w:rsidRPr="003E2413">
        <w:t>, 979-1006.</w:t>
      </w:r>
      <w:r w:rsidR="004D7CF3" w:rsidRPr="003E2413">
        <w:t xml:space="preserve"> </w:t>
      </w:r>
      <w:hyperlink r:id="rId75" w:history="1">
        <w:r w:rsidR="00F97E7E" w:rsidRPr="003E2413">
          <w:rPr>
            <w:rStyle w:val="Hyperlink"/>
            <w:bCs/>
            <w:color w:val="000000" w:themeColor="text1"/>
            <w:u w:val="none"/>
          </w:rPr>
          <w:t>https://doi.org/</w:t>
        </w:r>
        <w:r w:rsidR="00F97E7E" w:rsidRPr="003E2413">
          <w:rPr>
            <w:rStyle w:val="Hyperlink"/>
            <w:color w:val="000000" w:themeColor="text1"/>
            <w:u w:val="none"/>
          </w:rPr>
          <w:t>10.1111/j.1744-6570.1997.tb01491.x</w:t>
        </w:r>
      </w:hyperlink>
      <w:r w:rsidR="00F97E7E" w:rsidRPr="003E2413">
        <w:rPr>
          <w:color w:val="000000" w:themeColor="text1"/>
        </w:rPr>
        <w:t xml:space="preserve"> </w:t>
      </w:r>
    </w:p>
    <w:p w14:paraId="2F5FF724" w14:textId="26839DD4" w:rsidR="004D7CF3" w:rsidRDefault="00482844" w:rsidP="004C28FB">
      <w:pPr>
        <w:widowControl w:val="0"/>
        <w:autoSpaceDE w:val="0"/>
        <w:autoSpaceDN w:val="0"/>
        <w:adjustRightInd w:val="0"/>
        <w:spacing w:line="480" w:lineRule="auto"/>
        <w:ind w:left="567" w:hanging="567"/>
        <w:contextualSpacing/>
        <w:rPr>
          <w:color w:val="000000" w:themeColor="text1"/>
        </w:rPr>
      </w:pPr>
      <w:r w:rsidRPr="003E2413">
        <w:t>Wayne, S. J., Liden, R. C., Kraimer, M. L., &amp; Graf, I. K. (1999). The role of human capital, motivation and supervisor sponsorship in predicting career success. </w:t>
      </w:r>
      <w:r w:rsidRPr="003E2413">
        <w:rPr>
          <w:i/>
          <w:iCs/>
        </w:rPr>
        <w:t xml:space="preserve">Journal of Organizational </w:t>
      </w:r>
      <w:r w:rsidR="00844AE7" w:rsidRPr="003E2413">
        <w:rPr>
          <w:i/>
          <w:iCs/>
        </w:rPr>
        <w:t>Behaviour</w:t>
      </w:r>
      <w:r w:rsidRPr="003E2413">
        <w:rPr>
          <w:i/>
        </w:rPr>
        <w:t>, 20</w:t>
      </w:r>
      <w:r w:rsidR="00F97E7E" w:rsidRPr="003E2413">
        <w:rPr>
          <w:iCs/>
        </w:rPr>
        <w:t>(5)</w:t>
      </w:r>
      <w:r w:rsidRPr="003E2413">
        <w:t>, 577-595.</w:t>
      </w:r>
      <w:r w:rsidR="004D7CF3" w:rsidRPr="003E2413">
        <w:t xml:space="preserve"> </w:t>
      </w:r>
      <w:hyperlink r:id="rId76" w:history="1">
        <w:r w:rsidR="00F97E7E" w:rsidRPr="003E2413">
          <w:rPr>
            <w:rStyle w:val="Hyperlink"/>
            <w:color w:val="000000" w:themeColor="text1"/>
            <w:u w:val="none"/>
          </w:rPr>
          <w:t>https://doi.org/10.1002/(SICI)1099-1379(199909)20:5&lt;577::AID-JOB958&gt;3.0.CO;2-0</w:t>
        </w:r>
      </w:hyperlink>
      <w:r w:rsidR="00F97E7E" w:rsidRPr="003E2413">
        <w:rPr>
          <w:color w:val="000000" w:themeColor="text1"/>
        </w:rPr>
        <w:t xml:space="preserve"> </w:t>
      </w:r>
    </w:p>
    <w:p w14:paraId="224A8431" w14:textId="48B40121" w:rsidR="008B50BE" w:rsidRPr="003E2413" w:rsidRDefault="008B50BE" w:rsidP="004C28FB">
      <w:pPr>
        <w:widowControl w:val="0"/>
        <w:autoSpaceDE w:val="0"/>
        <w:autoSpaceDN w:val="0"/>
        <w:adjustRightInd w:val="0"/>
        <w:spacing w:line="480" w:lineRule="auto"/>
        <w:ind w:left="567" w:hanging="567"/>
        <w:contextualSpacing/>
        <w:rPr>
          <w:color w:val="000000" w:themeColor="text1"/>
        </w:rPr>
      </w:pPr>
      <w:r w:rsidRPr="008B50BE">
        <w:rPr>
          <w:color w:val="000000" w:themeColor="text1"/>
        </w:rPr>
        <w:t xml:space="preserve">Wagenmakers, E. J., &amp; Farrell, S. (2004). AIC model selection using Akaike weights. </w:t>
      </w:r>
      <w:r w:rsidRPr="008B50BE">
        <w:rPr>
          <w:i/>
          <w:iCs/>
          <w:color w:val="000000" w:themeColor="text1"/>
        </w:rPr>
        <w:t xml:space="preserve">Psychonomic </w:t>
      </w:r>
      <w:r w:rsidR="00E01C97">
        <w:rPr>
          <w:i/>
          <w:iCs/>
          <w:color w:val="000000" w:themeColor="text1"/>
        </w:rPr>
        <w:t>B</w:t>
      </w:r>
      <w:r w:rsidRPr="008B50BE">
        <w:rPr>
          <w:i/>
          <w:iCs/>
          <w:color w:val="000000" w:themeColor="text1"/>
        </w:rPr>
        <w:t xml:space="preserve">ulletin &amp; </w:t>
      </w:r>
      <w:r w:rsidR="00E01C97">
        <w:rPr>
          <w:i/>
          <w:iCs/>
          <w:color w:val="000000" w:themeColor="text1"/>
        </w:rPr>
        <w:t>R</w:t>
      </w:r>
      <w:r w:rsidRPr="008B50BE">
        <w:rPr>
          <w:i/>
          <w:iCs/>
          <w:color w:val="000000" w:themeColor="text1"/>
        </w:rPr>
        <w:t>eview, 11</w:t>
      </w:r>
      <w:r w:rsidRPr="008B50BE">
        <w:rPr>
          <w:color w:val="000000" w:themeColor="text1"/>
        </w:rPr>
        <w:t>(1), 192-196.</w:t>
      </w:r>
      <w:r w:rsidRPr="008B50BE">
        <w:t xml:space="preserve"> </w:t>
      </w:r>
      <w:r>
        <w:t>https://doi.org/</w:t>
      </w:r>
      <w:r w:rsidRPr="008B50BE">
        <w:rPr>
          <w:color w:val="000000" w:themeColor="text1"/>
        </w:rPr>
        <w:t>10.3758/BF03206482</w:t>
      </w:r>
    </w:p>
    <w:p w14:paraId="3C005C05" w14:textId="7C1D0D1F" w:rsidR="00106874" w:rsidRPr="003E2413" w:rsidRDefault="00106874" w:rsidP="004C28FB">
      <w:pPr>
        <w:widowControl w:val="0"/>
        <w:autoSpaceDE w:val="0"/>
        <w:autoSpaceDN w:val="0"/>
        <w:adjustRightInd w:val="0"/>
        <w:spacing w:line="480" w:lineRule="auto"/>
        <w:ind w:left="567" w:hanging="567"/>
        <w:contextualSpacing/>
      </w:pPr>
      <w:r w:rsidRPr="003E2413">
        <w:lastRenderedPageBreak/>
        <w:t xml:space="preserve">Woodman, T., Roberts, R., Hardy, L., Callow, N., &amp; Rogers, C. H. (2011). There is an “I” in team: Narcissism and social loafing. </w:t>
      </w:r>
      <w:r w:rsidRPr="003E2413">
        <w:rPr>
          <w:i/>
          <w:iCs/>
        </w:rPr>
        <w:t>Research Quarterly for Exercise and Sport, 82</w:t>
      </w:r>
      <w:r w:rsidR="00F97E7E" w:rsidRPr="003E2413">
        <w:t>(2)</w:t>
      </w:r>
      <w:r w:rsidRPr="003E2413">
        <w:t xml:space="preserve">, 285-290. </w:t>
      </w:r>
      <w:hyperlink r:id="rId77" w:history="1">
        <w:r w:rsidR="00F97E7E" w:rsidRPr="003E2413">
          <w:rPr>
            <w:rStyle w:val="Hyperlink"/>
            <w:color w:val="000000" w:themeColor="text1"/>
            <w:u w:val="none"/>
          </w:rPr>
          <w:t>https://doi.org/10.1080/02701367.2011.10599756</w:t>
        </w:r>
      </w:hyperlink>
      <w:r w:rsidR="00F97E7E" w:rsidRPr="003E2413">
        <w:rPr>
          <w:color w:val="000000" w:themeColor="text1"/>
        </w:rPr>
        <w:t xml:space="preserve"> </w:t>
      </w:r>
    </w:p>
    <w:p w14:paraId="3DA71A85" w14:textId="77777777" w:rsidR="00F54B59" w:rsidRPr="003E2413" w:rsidRDefault="00482844" w:rsidP="004C28FB">
      <w:pPr>
        <w:widowControl w:val="0"/>
        <w:autoSpaceDE w:val="0"/>
        <w:autoSpaceDN w:val="0"/>
        <w:adjustRightInd w:val="0"/>
        <w:spacing w:line="480" w:lineRule="auto"/>
        <w:ind w:left="567" w:hanging="567"/>
        <w:contextualSpacing/>
        <w:rPr>
          <w:color w:val="000000" w:themeColor="text1"/>
        </w:rPr>
      </w:pPr>
      <w:r w:rsidRPr="003E2413">
        <w:t>Zitek, E. M., &amp; Jordan, A. H. (2016). Narcissism predicts support for hierarchy (at least when narcissists think they can rise to the top). </w:t>
      </w:r>
      <w:r w:rsidRPr="003E2413">
        <w:rPr>
          <w:i/>
          <w:iCs/>
        </w:rPr>
        <w:t>Social Psychological and Personality Science</w:t>
      </w:r>
      <w:r w:rsidRPr="003E2413">
        <w:t>, </w:t>
      </w:r>
      <w:r w:rsidRPr="003E2413">
        <w:rPr>
          <w:i/>
          <w:iCs/>
        </w:rPr>
        <w:t>7</w:t>
      </w:r>
      <w:r w:rsidR="00F97E7E" w:rsidRPr="003E2413">
        <w:t>(7)</w:t>
      </w:r>
      <w:r w:rsidRPr="003E2413">
        <w:t>, 707-716.</w:t>
      </w:r>
      <w:r w:rsidR="005A63BF" w:rsidRPr="003E2413">
        <w:t xml:space="preserve"> </w:t>
      </w:r>
      <w:hyperlink r:id="rId78" w:history="1">
        <w:r w:rsidR="00F97E7E" w:rsidRPr="003E2413">
          <w:rPr>
            <w:rStyle w:val="Hyperlink"/>
            <w:color w:val="000000" w:themeColor="text1"/>
            <w:u w:val="none"/>
          </w:rPr>
          <w:t>https://doi.org/10.1177/1948550616649241</w:t>
        </w:r>
      </w:hyperlink>
      <w:r w:rsidR="00F97E7E" w:rsidRPr="003E2413">
        <w:rPr>
          <w:color w:val="000000" w:themeColor="text1"/>
        </w:rPr>
        <w:t xml:space="preserve"> </w:t>
      </w:r>
    </w:p>
    <w:p w14:paraId="75F8837C" w14:textId="11DDDF49" w:rsidR="00A818E9" w:rsidRPr="00D814A4" w:rsidRDefault="00F54B59" w:rsidP="00D814A4">
      <w:pPr>
        <w:widowControl w:val="0"/>
        <w:autoSpaceDE w:val="0"/>
        <w:autoSpaceDN w:val="0"/>
        <w:adjustRightInd w:val="0"/>
        <w:spacing w:line="480" w:lineRule="auto"/>
        <w:ind w:left="567" w:hanging="567"/>
        <w:contextualSpacing/>
        <w:rPr>
          <w:bCs/>
          <w:color w:val="000000" w:themeColor="text1"/>
        </w:rPr>
        <w:sectPr w:rsidR="00A818E9" w:rsidRPr="00D814A4" w:rsidSect="00E71596">
          <w:type w:val="continuous"/>
          <w:pgSz w:w="11900" w:h="16840"/>
          <w:pgMar w:top="1440" w:right="1440" w:bottom="1134" w:left="1440" w:header="709" w:footer="709" w:gutter="0"/>
          <w:cols w:space="708"/>
          <w:docGrid w:linePitch="360"/>
        </w:sectPr>
      </w:pPr>
      <w:r w:rsidRPr="003E2413">
        <w:rPr>
          <w:bCs/>
        </w:rPr>
        <w:t xml:space="preserve">Zhang, Z., Zyphur, M. J., &amp; Preacher, K. J. (2009). Testing multilevel mediation using hierarchical linear models: Problems and solutions. </w:t>
      </w:r>
      <w:r w:rsidRPr="003E2413">
        <w:rPr>
          <w:bCs/>
          <w:i/>
          <w:iCs/>
        </w:rPr>
        <w:t>Organizational Research Methods,</w:t>
      </w:r>
      <w:r w:rsidR="00E71596">
        <w:rPr>
          <w:bCs/>
          <w:i/>
          <w:iCs/>
        </w:rPr>
        <w:t xml:space="preserve"> </w:t>
      </w:r>
      <w:r w:rsidR="00E71596" w:rsidRPr="00E71596">
        <w:rPr>
          <w:bCs/>
          <w:i/>
          <w:iCs/>
        </w:rPr>
        <w:t>12</w:t>
      </w:r>
      <w:r w:rsidR="00E71596" w:rsidRPr="00E71596">
        <w:rPr>
          <w:bCs/>
        </w:rPr>
        <w:t>(4), 695-719. https://doi.org/10.1177/1094428108327450</w:t>
      </w:r>
      <w:r w:rsidR="00C938BD" w:rsidRPr="00CF34C4">
        <w:rPr>
          <w:bCs/>
          <w:color w:val="000000" w:themeColor="text1"/>
        </w:rPr>
        <w:br w:type="page"/>
      </w:r>
    </w:p>
    <w:p w14:paraId="5F6B4375" w14:textId="77777777" w:rsidR="00A818E9" w:rsidRPr="0041230A" w:rsidRDefault="00A818E9" w:rsidP="00A818E9">
      <w:pPr>
        <w:spacing w:line="480" w:lineRule="auto"/>
        <w:outlineLvl w:val="0"/>
        <w:rPr>
          <w:b/>
          <w:bCs/>
        </w:rPr>
      </w:pPr>
      <w:r w:rsidRPr="00D15D0E">
        <w:rPr>
          <w:b/>
          <w:bCs/>
        </w:rPr>
        <w:lastRenderedPageBreak/>
        <w:t>Table 1</w:t>
      </w:r>
    </w:p>
    <w:p w14:paraId="3107CBA0" w14:textId="2281A636" w:rsidR="00A818E9" w:rsidRPr="0041230A" w:rsidRDefault="00A818E9" w:rsidP="00A818E9">
      <w:pPr>
        <w:spacing w:line="480" w:lineRule="auto"/>
        <w:rPr>
          <w:i/>
        </w:rPr>
      </w:pPr>
      <w:r w:rsidRPr="0041230A">
        <w:rPr>
          <w:i/>
        </w:rPr>
        <w:t xml:space="preserve">Means (M), Standard Deviations (SD), and Correlations Among </w:t>
      </w:r>
      <w:r w:rsidR="00637D0C" w:rsidRPr="0041230A">
        <w:rPr>
          <w:i/>
        </w:rPr>
        <w:t xml:space="preserve">Employee </w:t>
      </w:r>
      <w:r w:rsidRPr="0041230A">
        <w:rPr>
          <w:i/>
        </w:rPr>
        <w:t>Level Variables (Study 1</w:t>
      </w:r>
      <w:r w:rsidR="00344D0B">
        <w:rPr>
          <w:i/>
        </w:rPr>
        <w:t xml:space="preserve"> and Study 2</w:t>
      </w:r>
      <w:r w:rsidRPr="0041230A">
        <w:rPr>
          <w:i/>
        </w:rPr>
        <w:t>)</w:t>
      </w:r>
    </w:p>
    <w:p w14:paraId="5DD72EEC" w14:textId="77777777" w:rsidR="00884728" w:rsidRDefault="00884728" w:rsidP="00884728">
      <w:pPr>
        <w:spacing w:line="480" w:lineRule="auto"/>
        <w:rPr>
          <w:i/>
          <w:iCs/>
        </w:rPr>
      </w:pPr>
    </w:p>
    <w:p w14:paraId="1DD089B5" w14:textId="643F9FB9" w:rsidR="00C530F0" w:rsidRPr="0041230A" w:rsidRDefault="00C530F0" w:rsidP="00A818E9">
      <w:pPr>
        <w:spacing w:line="480" w:lineRule="auto"/>
        <w:rPr>
          <w:i/>
        </w:rPr>
      </w:pPr>
    </w:p>
    <w:p w14:paraId="77DF5FAC" w14:textId="77777777" w:rsidR="00C530F0" w:rsidRPr="0041230A" w:rsidRDefault="00C530F0" w:rsidP="00A818E9">
      <w:pPr>
        <w:spacing w:line="480" w:lineRule="auto"/>
        <w:rPr>
          <w:i/>
        </w:rPr>
      </w:pPr>
    </w:p>
    <w:tbl>
      <w:tblPr>
        <w:tblpPr w:leftFromText="180" w:rightFromText="180" w:vertAnchor="page" w:horzAnchor="page" w:tblpX="1303" w:tblpY="2525"/>
        <w:tblW w:w="4823" w:type="pct"/>
        <w:tblLayout w:type="fixed"/>
        <w:tblLook w:val="0000" w:firstRow="0" w:lastRow="0" w:firstColumn="0" w:lastColumn="0" w:noHBand="0" w:noVBand="0"/>
      </w:tblPr>
      <w:tblGrid>
        <w:gridCol w:w="412"/>
        <w:gridCol w:w="1880"/>
        <w:gridCol w:w="972"/>
        <w:gridCol w:w="991"/>
        <w:gridCol w:w="428"/>
        <w:gridCol w:w="1134"/>
        <w:gridCol w:w="1134"/>
        <w:gridCol w:w="1134"/>
        <w:gridCol w:w="1134"/>
        <w:gridCol w:w="1134"/>
        <w:gridCol w:w="1134"/>
        <w:gridCol w:w="991"/>
        <w:gridCol w:w="988"/>
      </w:tblGrid>
      <w:tr w:rsidR="00B91533" w:rsidRPr="0041230A" w14:paraId="1EEDAD6E" w14:textId="180B945E" w:rsidTr="00B91533">
        <w:trPr>
          <w:trHeight w:val="454"/>
        </w:trPr>
        <w:tc>
          <w:tcPr>
            <w:tcW w:w="851" w:type="pct"/>
            <w:gridSpan w:val="2"/>
            <w:tcBorders>
              <w:top w:val="single" w:sz="18" w:space="0" w:color="auto"/>
              <w:left w:val="nil"/>
              <w:bottom w:val="single" w:sz="4" w:space="0" w:color="auto"/>
              <w:right w:val="nil"/>
            </w:tcBorders>
            <w:noWrap/>
            <w:vAlign w:val="center"/>
          </w:tcPr>
          <w:p w14:paraId="131B9717" w14:textId="77777777" w:rsidR="00B91533" w:rsidRPr="0041230A" w:rsidRDefault="00B91533" w:rsidP="00B91533">
            <w:pPr>
              <w:spacing w:line="480" w:lineRule="auto"/>
            </w:pPr>
            <w:r w:rsidRPr="0041230A">
              <w:t>Variables</w:t>
            </w:r>
          </w:p>
        </w:tc>
        <w:tc>
          <w:tcPr>
            <w:tcW w:w="361" w:type="pct"/>
            <w:tcBorders>
              <w:top w:val="single" w:sz="18" w:space="0" w:color="auto"/>
              <w:left w:val="nil"/>
              <w:bottom w:val="single" w:sz="4" w:space="0" w:color="auto"/>
              <w:right w:val="nil"/>
            </w:tcBorders>
            <w:noWrap/>
            <w:vAlign w:val="center"/>
          </w:tcPr>
          <w:p w14:paraId="247FF84B" w14:textId="1DA30AFA" w:rsidR="00B91533" w:rsidRPr="0041230A" w:rsidRDefault="00B91533" w:rsidP="00B91533">
            <w:pPr>
              <w:spacing w:line="480" w:lineRule="auto"/>
              <w:jc w:val="center"/>
              <w:rPr>
                <w:i/>
              </w:rPr>
            </w:pPr>
            <w:r w:rsidRPr="0041230A">
              <w:rPr>
                <w:i/>
              </w:rPr>
              <w:t>M</w:t>
            </w:r>
            <w:r w:rsidRPr="001102B6">
              <w:rPr>
                <w:i/>
                <w:vertAlign w:val="subscript"/>
              </w:rPr>
              <w:t>S</w:t>
            </w:r>
            <w:r>
              <w:rPr>
                <w:i/>
                <w:vertAlign w:val="subscript"/>
              </w:rPr>
              <w:t>1</w:t>
            </w:r>
          </w:p>
        </w:tc>
        <w:tc>
          <w:tcPr>
            <w:tcW w:w="368" w:type="pct"/>
            <w:tcBorders>
              <w:top w:val="single" w:sz="18" w:space="0" w:color="auto"/>
              <w:left w:val="nil"/>
              <w:bottom w:val="single" w:sz="4" w:space="0" w:color="auto"/>
              <w:right w:val="nil"/>
            </w:tcBorders>
            <w:noWrap/>
            <w:vAlign w:val="center"/>
          </w:tcPr>
          <w:p w14:paraId="5C650BCB" w14:textId="71E7AC2D" w:rsidR="00B91533" w:rsidRPr="0041230A" w:rsidRDefault="00B91533" w:rsidP="00B91533">
            <w:pPr>
              <w:spacing w:line="480" w:lineRule="auto"/>
              <w:jc w:val="center"/>
              <w:rPr>
                <w:i/>
              </w:rPr>
            </w:pPr>
            <w:r w:rsidRPr="0041230A">
              <w:rPr>
                <w:i/>
              </w:rPr>
              <w:t>SD</w:t>
            </w:r>
            <w:r w:rsidRPr="001102B6">
              <w:rPr>
                <w:i/>
                <w:vertAlign w:val="subscript"/>
              </w:rPr>
              <w:t>S</w:t>
            </w:r>
            <w:r>
              <w:rPr>
                <w:i/>
                <w:vertAlign w:val="subscript"/>
              </w:rPr>
              <w:t>1</w:t>
            </w:r>
          </w:p>
        </w:tc>
        <w:tc>
          <w:tcPr>
            <w:tcW w:w="159" w:type="pct"/>
            <w:tcBorders>
              <w:top w:val="single" w:sz="18" w:space="0" w:color="auto"/>
              <w:left w:val="nil"/>
              <w:bottom w:val="single" w:sz="4" w:space="0" w:color="auto"/>
              <w:right w:val="nil"/>
            </w:tcBorders>
            <w:vAlign w:val="center"/>
          </w:tcPr>
          <w:p w14:paraId="2B824D94" w14:textId="77777777" w:rsidR="00B91533" w:rsidRPr="0041230A" w:rsidRDefault="00B91533" w:rsidP="00B91533">
            <w:pPr>
              <w:spacing w:line="480" w:lineRule="auto"/>
            </w:pPr>
          </w:p>
        </w:tc>
        <w:tc>
          <w:tcPr>
            <w:tcW w:w="421" w:type="pct"/>
            <w:tcBorders>
              <w:top w:val="single" w:sz="18" w:space="0" w:color="auto"/>
              <w:left w:val="nil"/>
              <w:bottom w:val="single" w:sz="4" w:space="0" w:color="auto"/>
              <w:right w:val="nil"/>
            </w:tcBorders>
            <w:vAlign w:val="center"/>
          </w:tcPr>
          <w:p w14:paraId="40E6F0A5" w14:textId="77777777" w:rsidR="00B91533" w:rsidRPr="0041230A" w:rsidRDefault="00B91533" w:rsidP="00B91533">
            <w:pPr>
              <w:spacing w:line="480" w:lineRule="auto"/>
              <w:jc w:val="center"/>
            </w:pPr>
            <w:r w:rsidRPr="0041230A">
              <w:t>1</w:t>
            </w:r>
          </w:p>
        </w:tc>
        <w:tc>
          <w:tcPr>
            <w:tcW w:w="421" w:type="pct"/>
            <w:tcBorders>
              <w:top w:val="single" w:sz="18" w:space="0" w:color="auto"/>
              <w:left w:val="nil"/>
              <w:bottom w:val="single" w:sz="4" w:space="0" w:color="auto"/>
              <w:right w:val="nil"/>
            </w:tcBorders>
            <w:noWrap/>
            <w:vAlign w:val="center"/>
          </w:tcPr>
          <w:p w14:paraId="76AAC786" w14:textId="77777777" w:rsidR="00B91533" w:rsidRPr="0041230A" w:rsidRDefault="00B91533" w:rsidP="00B91533">
            <w:pPr>
              <w:spacing w:line="480" w:lineRule="auto"/>
              <w:jc w:val="center"/>
            </w:pPr>
            <w:r w:rsidRPr="0041230A">
              <w:t>2</w:t>
            </w:r>
          </w:p>
        </w:tc>
        <w:tc>
          <w:tcPr>
            <w:tcW w:w="421" w:type="pct"/>
            <w:tcBorders>
              <w:top w:val="single" w:sz="18" w:space="0" w:color="auto"/>
              <w:left w:val="nil"/>
              <w:bottom w:val="single" w:sz="4" w:space="0" w:color="auto"/>
              <w:right w:val="nil"/>
            </w:tcBorders>
            <w:noWrap/>
            <w:vAlign w:val="center"/>
          </w:tcPr>
          <w:p w14:paraId="10B55ADD" w14:textId="77777777" w:rsidR="00B91533" w:rsidRPr="0041230A" w:rsidRDefault="00B91533" w:rsidP="00B91533">
            <w:pPr>
              <w:spacing w:line="480" w:lineRule="auto"/>
              <w:jc w:val="center"/>
            </w:pPr>
            <w:r w:rsidRPr="0041230A">
              <w:t>3</w:t>
            </w:r>
          </w:p>
        </w:tc>
        <w:tc>
          <w:tcPr>
            <w:tcW w:w="421" w:type="pct"/>
            <w:tcBorders>
              <w:top w:val="single" w:sz="18" w:space="0" w:color="auto"/>
              <w:left w:val="nil"/>
              <w:bottom w:val="single" w:sz="4" w:space="0" w:color="auto"/>
              <w:right w:val="nil"/>
            </w:tcBorders>
          </w:tcPr>
          <w:p w14:paraId="74D2180D" w14:textId="3A9F93C9" w:rsidR="00B91533" w:rsidRPr="0041230A" w:rsidRDefault="00B91533" w:rsidP="00B91533">
            <w:pPr>
              <w:spacing w:line="480" w:lineRule="auto"/>
              <w:jc w:val="center"/>
            </w:pPr>
            <w:r>
              <w:t>4</w:t>
            </w:r>
          </w:p>
        </w:tc>
        <w:tc>
          <w:tcPr>
            <w:tcW w:w="421" w:type="pct"/>
            <w:tcBorders>
              <w:top w:val="single" w:sz="18" w:space="0" w:color="auto"/>
              <w:left w:val="nil"/>
              <w:bottom w:val="single" w:sz="4" w:space="0" w:color="auto"/>
              <w:right w:val="nil"/>
            </w:tcBorders>
          </w:tcPr>
          <w:p w14:paraId="79944512" w14:textId="16F56C73" w:rsidR="00B91533" w:rsidRPr="0041230A" w:rsidRDefault="00B91533" w:rsidP="00B91533">
            <w:pPr>
              <w:spacing w:line="480" w:lineRule="auto"/>
              <w:jc w:val="center"/>
            </w:pPr>
            <w:r>
              <w:t>5</w:t>
            </w:r>
          </w:p>
        </w:tc>
        <w:tc>
          <w:tcPr>
            <w:tcW w:w="421" w:type="pct"/>
            <w:tcBorders>
              <w:top w:val="single" w:sz="18" w:space="0" w:color="auto"/>
              <w:left w:val="nil"/>
              <w:bottom w:val="single" w:sz="4" w:space="0" w:color="auto"/>
              <w:right w:val="nil"/>
            </w:tcBorders>
          </w:tcPr>
          <w:p w14:paraId="2EC12776" w14:textId="604E36DE" w:rsidR="00B91533" w:rsidRPr="0041230A" w:rsidRDefault="00B91533" w:rsidP="00B91533">
            <w:pPr>
              <w:spacing w:line="480" w:lineRule="auto"/>
              <w:jc w:val="center"/>
            </w:pPr>
            <w:r>
              <w:t>6</w:t>
            </w:r>
          </w:p>
        </w:tc>
        <w:tc>
          <w:tcPr>
            <w:tcW w:w="368" w:type="pct"/>
            <w:tcBorders>
              <w:top w:val="single" w:sz="18" w:space="0" w:color="auto"/>
              <w:left w:val="nil"/>
              <w:bottom w:val="single" w:sz="4" w:space="0" w:color="auto"/>
              <w:right w:val="nil"/>
            </w:tcBorders>
            <w:vAlign w:val="center"/>
          </w:tcPr>
          <w:p w14:paraId="2D10BB91" w14:textId="12E8E2ED" w:rsidR="00B91533" w:rsidRPr="0041230A" w:rsidRDefault="00B91533" w:rsidP="00B91533">
            <w:pPr>
              <w:spacing w:line="480" w:lineRule="auto"/>
              <w:jc w:val="center"/>
            </w:pPr>
            <w:r w:rsidRPr="0041230A">
              <w:rPr>
                <w:i/>
              </w:rPr>
              <w:t>M</w:t>
            </w:r>
            <w:r w:rsidRPr="001102B6">
              <w:rPr>
                <w:i/>
                <w:vertAlign w:val="subscript"/>
              </w:rPr>
              <w:t>S</w:t>
            </w:r>
            <w:r>
              <w:rPr>
                <w:i/>
                <w:vertAlign w:val="subscript"/>
              </w:rPr>
              <w:t>2</w:t>
            </w:r>
          </w:p>
        </w:tc>
        <w:tc>
          <w:tcPr>
            <w:tcW w:w="367" w:type="pct"/>
            <w:tcBorders>
              <w:top w:val="single" w:sz="18" w:space="0" w:color="auto"/>
              <w:left w:val="nil"/>
              <w:bottom w:val="single" w:sz="4" w:space="0" w:color="auto"/>
              <w:right w:val="nil"/>
            </w:tcBorders>
            <w:vAlign w:val="center"/>
          </w:tcPr>
          <w:p w14:paraId="0F479EF0" w14:textId="0D3DE9A5" w:rsidR="00B91533" w:rsidRPr="0041230A" w:rsidRDefault="00B91533" w:rsidP="00B91533">
            <w:pPr>
              <w:spacing w:line="480" w:lineRule="auto"/>
              <w:jc w:val="center"/>
            </w:pPr>
            <w:r w:rsidRPr="0041230A">
              <w:rPr>
                <w:i/>
              </w:rPr>
              <w:t>SD</w:t>
            </w:r>
            <w:r w:rsidRPr="001102B6">
              <w:rPr>
                <w:i/>
                <w:vertAlign w:val="subscript"/>
              </w:rPr>
              <w:t>S</w:t>
            </w:r>
            <w:r>
              <w:rPr>
                <w:i/>
                <w:vertAlign w:val="subscript"/>
              </w:rPr>
              <w:t>2</w:t>
            </w:r>
          </w:p>
        </w:tc>
      </w:tr>
      <w:tr w:rsidR="00A90424" w:rsidRPr="0041230A" w14:paraId="787524F8" w14:textId="49A906EC" w:rsidTr="00AC0038">
        <w:trPr>
          <w:trHeight w:val="454"/>
        </w:trPr>
        <w:tc>
          <w:tcPr>
            <w:tcW w:w="153" w:type="pct"/>
            <w:tcBorders>
              <w:top w:val="nil"/>
              <w:left w:val="nil"/>
              <w:bottom w:val="nil"/>
              <w:right w:val="nil"/>
            </w:tcBorders>
            <w:noWrap/>
            <w:vAlign w:val="center"/>
          </w:tcPr>
          <w:p w14:paraId="3A728D15" w14:textId="0E959824" w:rsidR="00A90424" w:rsidRPr="0041230A" w:rsidRDefault="00A90424" w:rsidP="00A90424">
            <w:pPr>
              <w:spacing w:line="480" w:lineRule="auto"/>
            </w:pPr>
            <w:r w:rsidRPr="0041230A">
              <w:t>1.</w:t>
            </w:r>
          </w:p>
        </w:tc>
        <w:tc>
          <w:tcPr>
            <w:tcW w:w="698" w:type="pct"/>
            <w:tcBorders>
              <w:top w:val="nil"/>
              <w:left w:val="nil"/>
              <w:bottom w:val="nil"/>
              <w:right w:val="nil"/>
            </w:tcBorders>
            <w:noWrap/>
            <w:vAlign w:val="center"/>
          </w:tcPr>
          <w:p w14:paraId="579B2523" w14:textId="77777777" w:rsidR="00A90424" w:rsidRPr="0041230A" w:rsidRDefault="00A90424" w:rsidP="00A90424">
            <w:pPr>
              <w:tabs>
                <w:tab w:val="left" w:pos="11482"/>
              </w:tabs>
              <w:spacing w:line="480" w:lineRule="auto"/>
            </w:pPr>
            <w:r w:rsidRPr="0041230A">
              <w:t>Gender</w:t>
            </w:r>
            <w:r w:rsidRPr="0041230A">
              <w:rPr>
                <w:vertAlign w:val="superscript"/>
              </w:rPr>
              <w:t>a</w:t>
            </w:r>
          </w:p>
        </w:tc>
        <w:tc>
          <w:tcPr>
            <w:tcW w:w="361" w:type="pct"/>
            <w:tcBorders>
              <w:top w:val="nil"/>
              <w:left w:val="nil"/>
              <w:bottom w:val="nil"/>
              <w:right w:val="nil"/>
            </w:tcBorders>
            <w:noWrap/>
            <w:vAlign w:val="center"/>
          </w:tcPr>
          <w:p w14:paraId="75EC86A1" w14:textId="77777777" w:rsidR="00A90424" w:rsidRPr="0041230A" w:rsidRDefault="00A90424" w:rsidP="00A90424">
            <w:pPr>
              <w:tabs>
                <w:tab w:val="left" w:pos="11482"/>
              </w:tabs>
              <w:spacing w:line="480" w:lineRule="auto"/>
              <w:jc w:val="center"/>
            </w:pPr>
            <w:r w:rsidRPr="0041230A">
              <w:t>0.72</w:t>
            </w:r>
          </w:p>
        </w:tc>
        <w:tc>
          <w:tcPr>
            <w:tcW w:w="368" w:type="pct"/>
            <w:tcBorders>
              <w:top w:val="nil"/>
              <w:left w:val="nil"/>
              <w:bottom w:val="nil"/>
              <w:right w:val="nil"/>
            </w:tcBorders>
            <w:noWrap/>
            <w:vAlign w:val="center"/>
          </w:tcPr>
          <w:p w14:paraId="0DF5C34E" w14:textId="77777777" w:rsidR="00A90424" w:rsidRPr="0041230A" w:rsidRDefault="00A90424" w:rsidP="00A90424">
            <w:pPr>
              <w:tabs>
                <w:tab w:val="left" w:pos="11482"/>
              </w:tabs>
              <w:spacing w:line="480" w:lineRule="auto"/>
              <w:jc w:val="center"/>
            </w:pPr>
            <w:r w:rsidRPr="0041230A">
              <w:t>0.45</w:t>
            </w:r>
          </w:p>
        </w:tc>
        <w:tc>
          <w:tcPr>
            <w:tcW w:w="159" w:type="pct"/>
            <w:tcBorders>
              <w:top w:val="nil"/>
              <w:left w:val="nil"/>
              <w:bottom w:val="nil"/>
              <w:right w:val="nil"/>
            </w:tcBorders>
            <w:vAlign w:val="center"/>
          </w:tcPr>
          <w:p w14:paraId="285241B5" w14:textId="77777777" w:rsidR="00A90424" w:rsidRPr="0041230A" w:rsidRDefault="00A90424" w:rsidP="00A90424">
            <w:pPr>
              <w:tabs>
                <w:tab w:val="left" w:pos="11482"/>
              </w:tabs>
              <w:spacing w:line="480" w:lineRule="auto"/>
              <w:jc w:val="center"/>
            </w:pPr>
          </w:p>
        </w:tc>
        <w:tc>
          <w:tcPr>
            <w:tcW w:w="421" w:type="pct"/>
            <w:tcBorders>
              <w:top w:val="nil"/>
              <w:left w:val="nil"/>
              <w:bottom w:val="nil"/>
              <w:right w:val="nil"/>
            </w:tcBorders>
            <w:vAlign w:val="center"/>
          </w:tcPr>
          <w:p w14:paraId="76AF8355" w14:textId="0E8A1A0E" w:rsidR="00A90424" w:rsidRPr="00D15D0E" w:rsidRDefault="00A90424" w:rsidP="00A90424">
            <w:pPr>
              <w:tabs>
                <w:tab w:val="left" w:pos="11482"/>
              </w:tabs>
              <w:spacing w:line="480" w:lineRule="auto"/>
              <w:jc w:val="center"/>
            </w:pPr>
            <w:r w:rsidRPr="00D15D0E">
              <w:sym w:font="Symbol" w:char="F0BE"/>
            </w:r>
          </w:p>
        </w:tc>
        <w:tc>
          <w:tcPr>
            <w:tcW w:w="421" w:type="pct"/>
            <w:tcBorders>
              <w:top w:val="nil"/>
              <w:left w:val="nil"/>
              <w:bottom w:val="nil"/>
              <w:right w:val="nil"/>
            </w:tcBorders>
            <w:noWrap/>
            <w:vAlign w:val="center"/>
          </w:tcPr>
          <w:p w14:paraId="464E5821" w14:textId="3C6E4385" w:rsidR="00A90424" w:rsidRPr="0041230A" w:rsidRDefault="00714969" w:rsidP="00A90424">
            <w:pPr>
              <w:tabs>
                <w:tab w:val="left" w:pos="11482"/>
              </w:tabs>
              <w:spacing w:line="480" w:lineRule="auto"/>
              <w:jc w:val="center"/>
            </w:pPr>
            <w:r w:rsidRPr="003D70B4">
              <w:rPr>
                <w:color w:val="000000"/>
              </w:rPr>
              <w:t>.23**</w:t>
            </w:r>
          </w:p>
        </w:tc>
        <w:tc>
          <w:tcPr>
            <w:tcW w:w="421" w:type="pct"/>
            <w:tcBorders>
              <w:top w:val="nil"/>
              <w:left w:val="nil"/>
              <w:bottom w:val="nil"/>
              <w:right w:val="nil"/>
            </w:tcBorders>
            <w:noWrap/>
            <w:vAlign w:val="center"/>
          </w:tcPr>
          <w:p w14:paraId="4697B464" w14:textId="3C7CAB20" w:rsidR="00A90424" w:rsidRPr="0041230A" w:rsidRDefault="00714969" w:rsidP="00A90424">
            <w:pPr>
              <w:tabs>
                <w:tab w:val="left" w:pos="11482"/>
              </w:tabs>
              <w:spacing w:line="480" w:lineRule="auto"/>
              <w:jc w:val="center"/>
            </w:pPr>
            <w:r w:rsidRPr="003D70B4">
              <w:rPr>
                <w:color w:val="000000"/>
              </w:rPr>
              <w:t>–.22**</w:t>
            </w:r>
          </w:p>
        </w:tc>
        <w:tc>
          <w:tcPr>
            <w:tcW w:w="421" w:type="pct"/>
            <w:tcBorders>
              <w:top w:val="nil"/>
              <w:left w:val="nil"/>
              <w:bottom w:val="nil"/>
              <w:right w:val="nil"/>
            </w:tcBorders>
          </w:tcPr>
          <w:p w14:paraId="61ECB23A" w14:textId="2552A9C1" w:rsidR="00A90424" w:rsidRPr="0041230A" w:rsidRDefault="00714969" w:rsidP="00A90424">
            <w:pPr>
              <w:tabs>
                <w:tab w:val="left" w:pos="11482"/>
              </w:tabs>
              <w:spacing w:line="480" w:lineRule="auto"/>
              <w:jc w:val="center"/>
            </w:pPr>
            <w:r w:rsidRPr="003D70B4">
              <w:rPr>
                <w:color w:val="000000"/>
              </w:rPr>
              <w:t>–.07</w:t>
            </w:r>
          </w:p>
        </w:tc>
        <w:tc>
          <w:tcPr>
            <w:tcW w:w="421" w:type="pct"/>
            <w:tcBorders>
              <w:top w:val="nil"/>
              <w:left w:val="nil"/>
              <w:bottom w:val="nil"/>
              <w:right w:val="nil"/>
            </w:tcBorders>
          </w:tcPr>
          <w:p w14:paraId="2CFD1241" w14:textId="508A04A4" w:rsidR="00A90424" w:rsidRPr="0041230A" w:rsidRDefault="00A90424" w:rsidP="00A90424">
            <w:pPr>
              <w:tabs>
                <w:tab w:val="left" w:pos="11482"/>
              </w:tabs>
              <w:spacing w:line="480" w:lineRule="auto"/>
              <w:jc w:val="center"/>
            </w:pPr>
          </w:p>
        </w:tc>
        <w:tc>
          <w:tcPr>
            <w:tcW w:w="421" w:type="pct"/>
            <w:tcBorders>
              <w:top w:val="nil"/>
              <w:left w:val="nil"/>
              <w:bottom w:val="nil"/>
              <w:right w:val="nil"/>
            </w:tcBorders>
          </w:tcPr>
          <w:p w14:paraId="62FC59CA" w14:textId="23A37346" w:rsidR="00A90424" w:rsidRPr="0041230A" w:rsidRDefault="00A90424" w:rsidP="00A90424">
            <w:pPr>
              <w:tabs>
                <w:tab w:val="left" w:pos="11482"/>
              </w:tabs>
              <w:spacing w:line="480" w:lineRule="auto"/>
              <w:jc w:val="center"/>
            </w:pPr>
          </w:p>
        </w:tc>
        <w:tc>
          <w:tcPr>
            <w:tcW w:w="368" w:type="pct"/>
            <w:tcBorders>
              <w:top w:val="nil"/>
              <w:left w:val="nil"/>
              <w:bottom w:val="nil"/>
              <w:right w:val="nil"/>
            </w:tcBorders>
            <w:vAlign w:val="center"/>
          </w:tcPr>
          <w:p w14:paraId="57D1E808" w14:textId="7D7AC36C" w:rsidR="00A90424" w:rsidRPr="0041230A" w:rsidRDefault="00A90424" w:rsidP="00A90424">
            <w:pPr>
              <w:tabs>
                <w:tab w:val="left" w:pos="11482"/>
              </w:tabs>
              <w:spacing w:line="480" w:lineRule="auto"/>
              <w:jc w:val="center"/>
            </w:pPr>
            <w:r w:rsidRPr="003D70B4">
              <w:t>0.60</w:t>
            </w:r>
          </w:p>
        </w:tc>
        <w:tc>
          <w:tcPr>
            <w:tcW w:w="367" w:type="pct"/>
            <w:tcBorders>
              <w:top w:val="nil"/>
              <w:left w:val="nil"/>
              <w:bottom w:val="nil"/>
              <w:right w:val="nil"/>
            </w:tcBorders>
            <w:vAlign w:val="center"/>
          </w:tcPr>
          <w:p w14:paraId="747B6C3D" w14:textId="69A7FDBE" w:rsidR="00A90424" w:rsidRPr="0041230A" w:rsidRDefault="00A90424" w:rsidP="00A90424">
            <w:pPr>
              <w:tabs>
                <w:tab w:val="left" w:pos="11482"/>
              </w:tabs>
              <w:spacing w:line="480" w:lineRule="auto"/>
              <w:jc w:val="center"/>
            </w:pPr>
            <w:r w:rsidRPr="003D70B4">
              <w:t>0.49</w:t>
            </w:r>
          </w:p>
        </w:tc>
      </w:tr>
      <w:tr w:rsidR="00A90424" w:rsidRPr="003D70B4" w14:paraId="0009AEEB" w14:textId="3DF45E91" w:rsidTr="00AC0038">
        <w:trPr>
          <w:trHeight w:val="454"/>
        </w:trPr>
        <w:tc>
          <w:tcPr>
            <w:tcW w:w="153" w:type="pct"/>
            <w:tcBorders>
              <w:top w:val="nil"/>
              <w:left w:val="nil"/>
              <w:bottom w:val="nil"/>
              <w:right w:val="nil"/>
            </w:tcBorders>
            <w:noWrap/>
            <w:vAlign w:val="center"/>
          </w:tcPr>
          <w:p w14:paraId="320AD417" w14:textId="6AFCFFC2" w:rsidR="00A90424" w:rsidRPr="0041230A" w:rsidRDefault="00A90424" w:rsidP="00A90424">
            <w:pPr>
              <w:spacing w:line="480" w:lineRule="auto"/>
            </w:pPr>
            <w:r w:rsidRPr="0041230A">
              <w:t>2.</w:t>
            </w:r>
          </w:p>
        </w:tc>
        <w:tc>
          <w:tcPr>
            <w:tcW w:w="698" w:type="pct"/>
            <w:tcBorders>
              <w:top w:val="nil"/>
              <w:left w:val="nil"/>
              <w:bottom w:val="nil"/>
              <w:right w:val="nil"/>
            </w:tcBorders>
            <w:noWrap/>
            <w:vAlign w:val="center"/>
          </w:tcPr>
          <w:p w14:paraId="6477567D" w14:textId="77777777" w:rsidR="00A90424" w:rsidRPr="0041230A" w:rsidRDefault="00A90424" w:rsidP="00A90424">
            <w:pPr>
              <w:tabs>
                <w:tab w:val="left" w:pos="11482"/>
              </w:tabs>
              <w:spacing w:line="480" w:lineRule="auto"/>
            </w:pPr>
            <w:r w:rsidRPr="0041230A">
              <w:t>Tenure (years)</w:t>
            </w:r>
          </w:p>
        </w:tc>
        <w:tc>
          <w:tcPr>
            <w:tcW w:w="361" w:type="pct"/>
            <w:tcBorders>
              <w:top w:val="nil"/>
              <w:left w:val="nil"/>
              <w:bottom w:val="nil"/>
              <w:right w:val="nil"/>
            </w:tcBorders>
            <w:noWrap/>
            <w:vAlign w:val="center"/>
          </w:tcPr>
          <w:p w14:paraId="513DD4F9" w14:textId="77777777" w:rsidR="00A90424" w:rsidRPr="0041230A" w:rsidRDefault="00A90424" w:rsidP="00A90424">
            <w:pPr>
              <w:tabs>
                <w:tab w:val="left" w:pos="11482"/>
              </w:tabs>
              <w:spacing w:line="480" w:lineRule="auto"/>
              <w:jc w:val="center"/>
            </w:pPr>
            <w:r w:rsidRPr="0041230A">
              <w:t>6.06</w:t>
            </w:r>
          </w:p>
        </w:tc>
        <w:tc>
          <w:tcPr>
            <w:tcW w:w="368" w:type="pct"/>
            <w:tcBorders>
              <w:top w:val="nil"/>
              <w:left w:val="nil"/>
              <w:bottom w:val="nil"/>
              <w:right w:val="nil"/>
            </w:tcBorders>
            <w:noWrap/>
            <w:vAlign w:val="center"/>
          </w:tcPr>
          <w:p w14:paraId="4C202CF2" w14:textId="77777777" w:rsidR="00A90424" w:rsidRPr="0041230A" w:rsidRDefault="00A90424" w:rsidP="00A90424">
            <w:pPr>
              <w:tabs>
                <w:tab w:val="left" w:pos="11482"/>
              </w:tabs>
              <w:spacing w:line="480" w:lineRule="auto"/>
              <w:jc w:val="center"/>
            </w:pPr>
            <w:r w:rsidRPr="0041230A">
              <w:t>7.16</w:t>
            </w:r>
          </w:p>
        </w:tc>
        <w:tc>
          <w:tcPr>
            <w:tcW w:w="159" w:type="pct"/>
            <w:tcBorders>
              <w:top w:val="nil"/>
              <w:left w:val="nil"/>
              <w:bottom w:val="nil"/>
              <w:right w:val="nil"/>
            </w:tcBorders>
            <w:vAlign w:val="center"/>
          </w:tcPr>
          <w:p w14:paraId="09692D9D" w14:textId="77777777" w:rsidR="00A90424" w:rsidRPr="0041230A" w:rsidRDefault="00A90424" w:rsidP="00A90424">
            <w:pPr>
              <w:tabs>
                <w:tab w:val="left" w:pos="11482"/>
              </w:tabs>
              <w:spacing w:line="480" w:lineRule="auto"/>
              <w:jc w:val="center"/>
            </w:pPr>
          </w:p>
        </w:tc>
        <w:tc>
          <w:tcPr>
            <w:tcW w:w="421" w:type="pct"/>
            <w:tcBorders>
              <w:top w:val="nil"/>
              <w:left w:val="nil"/>
              <w:bottom w:val="nil"/>
              <w:right w:val="nil"/>
            </w:tcBorders>
            <w:vAlign w:val="center"/>
          </w:tcPr>
          <w:p w14:paraId="23079084" w14:textId="62ED3398" w:rsidR="00A90424" w:rsidRPr="003D70B4" w:rsidRDefault="009624B4" w:rsidP="00A90424">
            <w:pPr>
              <w:tabs>
                <w:tab w:val="left" w:pos="11482"/>
              </w:tabs>
              <w:spacing w:line="480" w:lineRule="auto"/>
              <w:jc w:val="center"/>
            </w:pPr>
            <w:r w:rsidRPr="003D70B4">
              <w:rPr>
                <w:color w:val="000000"/>
              </w:rPr>
              <w:t>–</w:t>
            </w:r>
            <w:r w:rsidRPr="003D70B4">
              <w:t>.01</w:t>
            </w:r>
          </w:p>
        </w:tc>
        <w:tc>
          <w:tcPr>
            <w:tcW w:w="421" w:type="pct"/>
            <w:tcBorders>
              <w:top w:val="nil"/>
              <w:left w:val="nil"/>
              <w:bottom w:val="nil"/>
              <w:right w:val="nil"/>
            </w:tcBorders>
            <w:noWrap/>
            <w:vAlign w:val="center"/>
          </w:tcPr>
          <w:p w14:paraId="743FDF6F" w14:textId="632849A0" w:rsidR="00A90424" w:rsidRPr="003D70B4" w:rsidRDefault="00A90424" w:rsidP="00A90424">
            <w:pPr>
              <w:tabs>
                <w:tab w:val="left" w:pos="11482"/>
              </w:tabs>
              <w:spacing w:line="480" w:lineRule="auto"/>
              <w:jc w:val="center"/>
            </w:pPr>
            <w:r w:rsidRPr="00D15D0E">
              <w:sym w:font="Symbol" w:char="F0BE"/>
            </w:r>
          </w:p>
        </w:tc>
        <w:tc>
          <w:tcPr>
            <w:tcW w:w="421" w:type="pct"/>
            <w:tcBorders>
              <w:top w:val="nil"/>
              <w:left w:val="nil"/>
              <w:bottom w:val="nil"/>
              <w:right w:val="nil"/>
            </w:tcBorders>
            <w:noWrap/>
            <w:vAlign w:val="center"/>
          </w:tcPr>
          <w:p w14:paraId="516B8A1A" w14:textId="2D43E75A" w:rsidR="00A90424" w:rsidRPr="003D70B4" w:rsidRDefault="00714969" w:rsidP="00A90424">
            <w:pPr>
              <w:tabs>
                <w:tab w:val="left" w:pos="11482"/>
              </w:tabs>
              <w:spacing w:line="480" w:lineRule="auto"/>
              <w:jc w:val="center"/>
            </w:pPr>
            <w:r w:rsidRPr="003D70B4">
              <w:rPr>
                <w:color w:val="000000"/>
              </w:rPr>
              <w:t>–.24**</w:t>
            </w:r>
          </w:p>
        </w:tc>
        <w:tc>
          <w:tcPr>
            <w:tcW w:w="421" w:type="pct"/>
            <w:tcBorders>
              <w:top w:val="nil"/>
              <w:left w:val="nil"/>
              <w:bottom w:val="nil"/>
              <w:right w:val="nil"/>
            </w:tcBorders>
          </w:tcPr>
          <w:p w14:paraId="153C3AC2" w14:textId="626A8625" w:rsidR="00A90424" w:rsidRPr="003D70B4" w:rsidRDefault="00714969" w:rsidP="00A90424">
            <w:pPr>
              <w:tabs>
                <w:tab w:val="left" w:pos="11482"/>
              </w:tabs>
              <w:spacing w:line="480" w:lineRule="auto"/>
              <w:jc w:val="center"/>
            </w:pPr>
            <w:r w:rsidRPr="003D70B4">
              <w:rPr>
                <w:color w:val="000000"/>
              </w:rPr>
              <w:t>–.21**</w:t>
            </w:r>
          </w:p>
        </w:tc>
        <w:tc>
          <w:tcPr>
            <w:tcW w:w="421" w:type="pct"/>
            <w:tcBorders>
              <w:top w:val="nil"/>
              <w:left w:val="nil"/>
              <w:bottom w:val="nil"/>
              <w:right w:val="nil"/>
            </w:tcBorders>
          </w:tcPr>
          <w:p w14:paraId="5F958088" w14:textId="77777777" w:rsidR="00A90424" w:rsidRPr="003D70B4" w:rsidRDefault="00A90424" w:rsidP="00A90424">
            <w:pPr>
              <w:tabs>
                <w:tab w:val="left" w:pos="11482"/>
              </w:tabs>
              <w:spacing w:line="480" w:lineRule="auto"/>
              <w:jc w:val="center"/>
            </w:pPr>
          </w:p>
        </w:tc>
        <w:tc>
          <w:tcPr>
            <w:tcW w:w="421" w:type="pct"/>
            <w:tcBorders>
              <w:top w:val="nil"/>
              <w:left w:val="nil"/>
              <w:bottom w:val="nil"/>
              <w:right w:val="nil"/>
            </w:tcBorders>
          </w:tcPr>
          <w:p w14:paraId="513B51D2" w14:textId="77777777" w:rsidR="00A90424" w:rsidRPr="003D70B4" w:rsidRDefault="00A90424" w:rsidP="00A90424">
            <w:pPr>
              <w:tabs>
                <w:tab w:val="left" w:pos="11482"/>
              </w:tabs>
              <w:spacing w:line="480" w:lineRule="auto"/>
              <w:jc w:val="center"/>
            </w:pPr>
          </w:p>
        </w:tc>
        <w:tc>
          <w:tcPr>
            <w:tcW w:w="368" w:type="pct"/>
            <w:tcBorders>
              <w:top w:val="nil"/>
              <w:left w:val="nil"/>
              <w:bottom w:val="nil"/>
              <w:right w:val="nil"/>
            </w:tcBorders>
            <w:vAlign w:val="center"/>
          </w:tcPr>
          <w:p w14:paraId="0BA1185A" w14:textId="6CBE576F" w:rsidR="00A90424" w:rsidRPr="003D70B4" w:rsidRDefault="00A90424" w:rsidP="00A90424">
            <w:pPr>
              <w:tabs>
                <w:tab w:val="left" w:pos="11482"/>
              </w:tabs>
              <w:spacing w:line="480" w:lineRule="auto"/>
              <w:jc w:val="center"/>
            </w:pPr>
            <w:r w:rsidRPr="003D70B4">
              <w:t>5.79</w:t>
            </w:r>
          </w:p>
        </w:tc>
        <w:tc>
          <w:tcPr>
            <w:tcW w:w="367" w:type="pct"/>
            <w:tcBorders>
              <w:top w:val="nil"/>
              <w:left w:val="nil"/>
              <w:bottom w:val="nil"/>
              <w:right w:val="nil"/>
            </w:tcBorders>
            <w:vAlign w:val="center"/>
          </w:tcPr>
          <w:p w14:paraId="62DCA4A2" w14:textId="5D2D2F5D" w:rsidR="00A90424" w:rsidRPr="003D70B4" w:rsidRDefault="00A90424" w:rsidP="00A90424">
            <w:pPr>
              <w:tabs>
                <w:tab w:val="left" w:pos="11482"/>
              </w:tabs>
              <w:spacing w:line="480" w:lineRule="auto"/>
              <w:jc w:val="center"/>
            </w:pPr>
            <w:r w:rsidRPr="003D70B4">
              <w:t>7.70</w:t>
            </w:r>
          </w:p>
        </w:tc>
      </w:tr>
      <w:tr w:rsidR="00A90424" w:rsidRPr="003D70B4" w14:paraId="76E8FB91" w14:textId="45A4D163" w:rsidTr="00AC0038">
        <w:trPr>
          <w:trHeight w:val="481"/>
        </w:trPr>
        <w:tc>
          <w:tcPr>
            <w:tcW w:w="153" w:type="pct"/>
            <w:tcBorders>
              <w:top w:val="nil"/>
              <w:left w:val="nil"/>
              <w:right w:val="nil"/>
            </w:tcBorders>
            <w:noWrap/>
            <w:vAlign w:val="center"/>
          </w:tcPr>
          <w:p w14:paraId="0E882A11" w14:textId="402B3B2B" w:rsidR="00A90424" w:rsidRPr="003D70B4" w:rsidRDefault="00A90424" w:rsidP="00A90424">
            <w:pPr>
              <w:spacing w:line="480" w:lineRule="auto"/>
            </w:pPr>
            <w:r w:rsidRPr="003D70B4">
              <w:t>3.</w:t>
            </w:r>
          </w:p>
        </w:tc>
        <w:tc>
          <w:tcPr>
            <w:tcW w:w="698" w:type="pct"/>
            <w:tcBorders>
              <w:top w:val="nil"/>
              <w:left w:val="nil"/>
              <w:right w:val="nil"/>
            </w:tcBorders>
            <w:noWrap/>
            <w:vAlign w:val="center"/>
          </w:tcPr>
          <w:p w14:paraId="18C2869A" w14:textId="77777777" w:rsidR="00A90424" w:rsidRPr="003D70B4" w:rsidRDefault="00A90424" w:rsidP="00A90424">
            <w:pPr>
              <w:tabs>
                <w:tab w:val="left" w:pos="11482"/>
              </w:tabs>
              <w:spacing w:line="480" w:lineRule="auto"/>
            </w:pPr>
            <w:r w:rsidRPr="003D70B4">
              <w:t>Narcissism</w:t>
            </w:r>
          </w:p>
        </w:tc>
        <w:tc>
          <w:tcPr>
            <w:tcW w:w="361" w:type="pct"/>
            <w:tcBorders>
              <w:top w:val="nil"/>
              <w:left w:val="nil"/>
              <w:right w:val="nil"/>
            </w:tcBorders>
            <w:noWrap/>
            <w:vAlign w:val="center"/>
          </w:tcPr>
          <w:p w14:paraId="79B27A75" w14:textId="77777777" w:rsidR="00A90424" w:rsidRPr="003D70B4" w:rsidRDefault="00A90424" w:rsidP="00A90424">
            <w:pPr>
              <w:tabs>
                <w:tab w:val="left" w:pos="11482"/>
              </w:tabs>
              <w:spacing w:line="480" w:lineRule="auto"/>
              <w:jc w:val="center"/>
            </w:pPr>
            <w:r w:rsidRPr="003D70B4">
              <w:t>13.84</w:t>
            </w:r>
          </w:p>
        </w:tc>
        <w:tc>
          <w:tcPr>
            <w:tcW w:w="368" w:type="pct"/>
            <w:tcBorders>
              <w:top w:val="nil"/>
              <w:left w:val="nil"/>
              <w:right w:val="nil"/>
            </w:tcBorders>
            <w:noWrap/>
            <w:vAlign w:val="center"/>
          </w:tcPr>
          <w:p w14:paraId="4F10D135" w14:textId="77777777" w:rsidR="00A90424" w:rsidRPr="003D70B4" w:rsidRDefault="00A90424" w:rsidP="00A90424">
            <w:pPr>
              <w:tabs>
                <w:tab w:val="left" w:pos="11482"/>
              </w:tabs>
              <w:spacing w:line="480" w:lineRule="auto"/>
              <w:jc w:val="center"/>
            </w:pPr>
            <w:r w:rsidRPr="003D70B4">
              <w:t>6.09</w:t>
            </w:r>
          </w:p>
        </w:tc>
        <w:tc>
          <w:tcPr>
            <w:tcW w:w="159" w:type="pct"/>
            <w:tcBorders>
              <w:top w:val="nil"/>
              <w:left w:val="nil"/>
              <w:right w:val="nil"/>
            </w:tcBorders>
            <w:vAlign w:val="center"/>
          </w:tcPr>
          <w:p w14:paraId="5336CBE0" w14:textId="77777777" w:rsidR="00A90424" w:rsidRPr="003D70B4" w:rsidRDefault="00A90424" w:rsidP="00A90424">
            <w:pPr>
              <w:tabs>
                <w:tab w:val="left" w:pos="11482"/>
              </w:tabs>
              <w:spacing w:line="480" w:lineRule="auto"/>
              <w:jc w:val="center"/>
            </w:pPr>
          </w:p>
        </w:tc>
        <w:tc>
          <w:tcPr>
            <w:tcW w:w="421" w:type="pct"/>
            <w:tcBorders>
              <w:top w:val="nil"/>
              <w:left w:val="nil"/>
              <w:right w:val="nil"/>
            </w:tcBorders>
            <w:vAlign w:val="center"/>
          </w:tcPr>
          <w:p w14:paraId="7838203F" w14:textId="748FD336" w:rsidR="00A90424" w:rsidRPr="003D70B4" w:rsidRDefault="009624B4" w:rsidP="00A90424">
            <w:pPr>
              <w:tabs>
                <w:tab w:val="left" w:pos="11482"/>
              </w:tabs>
              <w:spacing w:line="480" w:lineRule="auto"/>
              <w:jc w:val="center"/>
            </w:pPr>
            <w:r w:rsidRPr="003D70B4">
              <w:rPr>
                <w:color w:val="000000"/>
              </w:rPr>
              <w:t>–</w:t>
            </w:r>
            <w:r w:rsidRPr="003D70B4">
              <w:t>.30**</w:t>
            </w:r>
          </w:p>
        </w:tc>
        <w:tc>
          <w:tcPr>
            <w:tcW w:w="421" w:type="pct"/>
            <w:tcBorders>
              <w:top w:val="nil"/>
              <w:left w:val="nil"/>
              <w:right w:val="nil"/>
            </w:tcBorders>
            <w:noWrap/>
            <w:vAlign w:val="center"/>
          </w:tcPr>
          <w:p w14:paraId="1C3A02DB" w14:textId="051E86BC" w:rsidR="00A90424" w:rsidRPr="003D70B4" w:rsidRDefault="00D765CD" w:rsidP="00A90424">
            <w:pPr>
              <w:tabs>
                <w:tab w:val="left" w:pos="11482"/>
              </w:tabs>
              <w:spacing w:line="480" w:lineRule="auto"/>
              <w:jc w:val="center"/>
            </w:pPr>
            <w:r w:rsidRPr="003D70B4">
              <w:rPr>
                <w:color w:val="000000"/>
              </w:rPr>
              <w:t>–</w:t>
            </w:r>
            <w:r w:rsidRPr="003D70B4">
              <w:t>.09</w:t>
            </w:r>
          </w:p>
        </w:tc>
        <w:tc>
          <w:tcPr>
            <w:tcW w:w="421" w:type="pct"/>
            <w:tcBorders>
              <w:top w:val="nil"/>
              <w:left w:val="nil"/>
              <w:right w:val="nil"/>
            </w:tcBorders>
            <w:noWrap/>
            <w:vAlign w:val="center"/>
          </w:tcPr>
          <w:p w14:paraId="788C49AC" w14:textId="1B9D664E" w:rsidR="00A90424" w:rsidRPr="003D70B4" w:rsidRDefault="00A90424" w:rsidP="00A90424">
            <w:pPr>
              <w:tabs>
                <w:tab w:val="left" w:pos="11482"/>
              </w:tabs>
              <w:spacing w:line="480" w:lineRule="auto"/>
              <w:jc w:val="center"/>
            </w:pPr>
            <w:r w:rsidRPr="00D15D0E">
              <w:sym w:font="Symbol" w:char="F0BE"/>
            </w:r>
          </w:p>
        </w:tc>
        <w:tc>
          <w:tcPr>
            <w:tcW w:w="421" w:type="pct"/>
            <w:tcBorders>
              <w:top w:val="nil"/>
              <w:left w:val="nil"/>
              <w:right w:val="nil"/>
            </w:tcBorders>
          </w:tcPr>
          <w:p w14:paraId="17D6C4DF" w14:textId="7FC2209C" w:rsidR="00A90424" w:rsidRPr="003D70B4" w:rsidRDefault="00714969" w:rsidP="00A90424">
            <w:pPr>
              <w:tabs>
                <w:tab w:val="left" w:pos="11482"/>
              </w:tabs>
              <w:spacing w:line="480" w:lineRule="auto"/>
              <w:jc w:val="center"/>
            </w:pPr>
            <w:r w:rsidRPr="003D70B4">
              <w:rPr>
                <w:color w:val="000000"/>
              </w:rPr>
              <w:t>.24*</w:t>
            </w:r>
          </w:p>
        </w:tc>
        <w:tc>
          <w:tcPr>
            <w:tcW w:w="421" w:type="pct"/>
            <w:tcBorders>
              <w:top w:val="nil"/>
              <w:left w:val="nil"/>
              <w:right w:val="nil"/>
            </w:tcBorders>
          </w:tcPr>
          <w:p w14:paraId="5466E80B" w14:textId="77777777" w:rsidR="00A90424" w:rsidRPr="003D70B4" w:rsidRDefault="00A90424" w:rsidP="00A90424">
            <w:pPr>
              <w:tabs>
                <w:tab w:val="left" w:pos="11482"/>
              </w:tabs>
              <w:spacing w:line="480" w:lineRule="auto"/>
              <w:jc w:val="center"/>
            </w:pPr>
          </w:p>
        </w:tc>
        <w:tc>
          <w:tcPr>
            <w:tcW w:w="421" w:type="pct"/>
            <w:tcBorders>
              <w:top w:val="nil"/>
              <w:left w:val="nil"/>
              <w:right w:val="nil"/>
            </w:tcBorders>
          </w:tcPr>
          <w:p w14:paraId="1188D1B6" w14:textId="77777777" w:rsidR="00A90424" w:rsidRPr="003D70B4" w:rsidRDefault="00A90424" w:rsidP="00A90424">
            <w:pPr>
              <w:tabs>
                <w:tab w:val="left" w:pos="11482"/>
              </w:tabs>
              <w:spacing w:line="480" w:lineRule="auto"/>
              <w:jc w:val="center"/>
            </w:pPr>
          </w:p>
        </w:tc>
        <w:tc>
          <w:tcPr>
            <w:tcW w:w="368" w:type="pct"/>
            <w:tcBorders>
              <w:top w:val="nil"/>
              <w:left w:val="nil"/>
              <w:right w:val="nil"/>
            </w:tcBorders>
            <w:vAlign w:val="center"/>
          </w:tcPr>
          <w:p w14:paraId="4FB9A858" w14:textId="297EEE4F" w:rsidR="00A90424" w:rsidRPr="003D70B4" w:rsidRDefault="00A90424" w:rsidP="00A90424">
            <w:pPr>
              <w:tabs>
                <w:tab w:val="left" w:pos="11482"/>
              </w:tabs>
              <w:spacing w:line="480" w:lineRule="auto"/>
              <w:jc w:val="center"/>
            </w:pPr>
            <w:r w:rsidRPr="003D70B4">
              <w:t>4.91</w:t>
            </w:r>
          </w:p>
        </w:tc>
        <w:tc>
          <w:tcPr>
            <w:tcW w:w="367" w:type="pct"/>
            <w:tcBorders>
              <w:top w:val="nil"/>
              <w:left w:val="nil"/>
              <w:right w:val="nil"/>
            </w:tcBorders>
            <w:vAlign w:val="center"/>
          </w:tcPr>
          <w:p w14:paraId="5F01AA70" w14:textId="05891948" w:rsidR="00A90424" w:rsidRPr="003D70B4" w:rsidRDefault="00A90424" w:rsidP="00A90424">
            <w:pPr>
              <w:tabs>
                <w:tab w:val="left" w:pos="11482"/>
              </w:tabs>
              <w:spacing w:line="480" w:lineRule="auto"/>
              <w:jc w:val="center"/>
            </w:pPr>
            <w:r w:rsidRPr="003D70B4">
              <w:t>2.89</w:t>
            </w:r>
          </w:p>
        </w:tc>
      </w:tr>
      <w:tr w:rsidR="00A90424" w:rsidRPr="003D70B4" w14:paraId="497F08FD" w14:textId="5DF484F8" w:rsidTr="00AC0038">
        <w:trPr>
          <w:trHeight w:val="481"/>
        </w:trPr>
        <w:tc>
          <w:tcPr>
            <w:tcW w:w="153" w:type="pct"/>
            <w:tcBorders>
              <w:top w:val="nil"/>
              <w:left w:val="nil"/>
              <w:right w:val="nil"/>
            </w:tcBorders>
            <w:noWrap/>
            <w:vAlign w:val="center"/>
          </w:tcPr>
          <w:p w14:paraId="008F0E4F" w14:textId="2FFE8486" w:rsidR="00A90424" w:rsidRPr="003D70B4" w:rsidRDefault="00A90424" w:rsidP="00A90424">
            <w:pPr>
              <w:spacing w:line="480" w:lineRule="auto"/>
            </w:pPr>
            <w:r w:rsidRPr="003D70B4">
              <w:t>4.</w:t>
            </w:r>
          </w:p>
        </w:tc>
        <w:tc>
          <w:tcPr>
            <w:tcW w:w="698" w:type="pct"/>
            <w:tcBorders>
              <w:top w:val="nil"/>
              <w:left w:val="nil"/>
              <w:right w:val="nil"/>
            </w:tcBorders>
            <w:noWrap/>
            <w:vAlign w:val="center"/>
          </w:tcPr>
          <w:p w14:paraId="0B248F8B" w14:textId="522ED33C" w:rsidR="00A90424" w:rsidRPr="003D70B4" w:rsidRDefault="00A90424" w:rsidP="00A90424">
            <w:pPr>
              <w:tabs>
                <w:tab w:val="left" w:pos="11482"/>
              </w:tabs>
              <w:spacing w:line="480" w:lineRule="auto"/>
            </w:pPr>
            <w:r w:rsidRPr="003D70B4">
              <w:t>Promotability</w:t>
            </w:r>
            <w:r w:rsidRPr="003D70B4">
              <w:rPr>
                <w:vertAlign w:val="superscript"/>
              </w:rPr>
              <w:t>b</w:t>
            </w:r>
          </w:p>
        </w:tc>
        <w:tc>
          <w:tcPr>
            <w:tcW w:w="361" w:type="pct"/>
            <w:tcBorders>
              <w:top w:val="nil"/>
              <w:left w:val="nil"/>
              <w:right w:val="nil"/>
            </w:tcBorders>
            <w:noWrap/>
            <w:vAlign w:val="center"/>
          </w:tcPr>
          <w:p w14:paraId="14A38CBC" w14:textId="696A745E" w:rsidR="00A90424" w:rsidRPr="003D70B4" w:rsidRDefault="00A90424" w:rsidP="00A90424">
            <w:pPr>
              <w:tabs>
                <w:tab w:val="left" w:pos="11482"/>
              </w:tabs>
              <w:spacing w:line="480" w:lineRule="auto"/>
              <w:jc w:val="center"/>
            </w:pPr>
            <w:r w:rsidRPr="003D70B4">
              <w:t>4.61</w:t>
            </w:r>
          </w:p>
        </w:tc>
        <w:tc>
          <w:tcPr>
            <w:tcW w:w="368" w:type="pct"/>
            <w:tcBorders>
              <w:top w:val="nil"/>
              <w:left w:val="nil"/>
              <w:right w:val="nil"/>
            </w:tcBorders>
            <w:noWrap/>
            <w:vAlign w:val="center"/>
          </w:tcPr>
          <w:p w14:paraId="615AC0FA" w14:textId="33FF369B" w:rsidR="00A90424" w:rsidRPr="003D70B4" w:rsidRDefault="00A90424" w:rsidP="00A90424">
            <w:pPr>
              <w:tabs>
                <w:tab w:val="left" w:pos="11482"/>
              </w:tabs>
              <w:spacing w:line="480" w:lineRule="auto"/>
              <w:jc w:val="center"/>
            </w:pPr>
            <w:r w:rsidRPr="003D70B4">
              <w:t>1.50</w:t>
            </w:r>
          </w:p>
        </w:tc>
        <w:tc>
          <w:tcPr>
            <w:tcW w:w="159" w:type="pct"/>
            <w:tcBorders>
              <w:top w:val="nil"/>
              <w:left w:val="nil"/>
              <w:right w:val="nil"/>
            </w:tcBorders>
            <w:vAlign w:val="center"/>
          </w:tcPr>
          <w:p w14:paraId="71AA339C" w14:textId="77777777" w:rsidR="00A90424" w:rsidRPr="003D70B4" w:rsidRDefault="00A90424" w:rsidP="00A90424">
            <w:pPr>
              <w:tabs>
                <w:tab w:val="left" w:pos="11482"/>
              </w:tabs>
              <w:spacing w:line="480" w:lineRule="auto"/>
              <w:jc w:val="center"/>
            </w:pPr>
          </w:p>
        </w:tc>
        <w:tc>
          <w:tcPr>
            <w:tcW w:w="421" w:type="pct"/>
            <w:tcBorders>
              <w:top w:val="nil"/>
              <w:left w:val="nil"/>
              <w:right w:val="nil"/>
            </w:tcBorders>
            <w:vAlign w:val="center"/>
          </w:tcPr>
          <w:p w14:paraId="298AE8B3" w14:textId="4C09B98D" w:rsidR="00A90424" w:rsidRPr="003D70B4" w:rsidRDefault="009624B4" w:rsidP="00A90424">
            <w:pPr>
              <w:tabs>
                <w:tab w:val="left" w:pos="11482"/>
              </w:tabs>
              <w:spacing w:line="480" w:lineRule="auto"/>
              <w:jc w:val="center"/>
              <w:rPr>
                <w:color w:val="000000"/>
              </w:rPr>
            </w:pPr>
            <w:r w:rsidRPr="003D70B4">
              <w:rPr>
                <w:color w:val="000000"/>
              </w:rPr>
              <w:t>–</w:t>
            </w:r>
            <w:r w:rsidRPr="003D70B4">
              <w:t>.04</w:t>
            </w:r>
          </w:p>
        </w:tc>
        <w:tc>
          <w:tcPr>
            <w:tcW w:w="421" w:type="pct"/>
            <w:tcBorders>
              <w:top w:val="nil"/>
              <w:left w:val="nil"/>
              <w:right w:val="nil"/>
            </w:tcBorders>
            <w:noWrap/>
            <w:vAlign w:val="center"/>
          </w:tcPr>
          <w:p w14:paraId="510DECC6" w14:textId="0CD48A48" w:rsidR="00A90424" w:rsidRPr="003D70B4" w:rsidRDefault="009624B4" w:rsidP="00A90424">
            <w:pPr>
              <w:tabs>
                <w:tab w:val="left" w:pos="11482"/>
              </w:tabs>
              <w:spacing w:line="480" w:lineRule="auto"/>
              <w:jc w:val="center"/>
              <w:rPr>
                <w:color w:val="000000"/>
              </w:rPr>
            </w:pPr>
            <w:r w:rsidRPr="003D70B4">
              <w:rPr>
                <w:color w:val="000000"/>
              </w:rPr>
              <w:t>–</w:t>
            </w:r>
            <w:r w:rsidRPr="003D70B4">
              <w:t>.12</w:t>
            </w:r>
          </w:p>
        </w:tc>
        <w:tc>
          <w:tcPr>
            <w:tcW w:w="421" w:type="pct"/>
            <w:tcBorders>
              <w:top w:val="nil"/>
              <w:left w:val="nil"/>
              <w:right w:val="nil"/>
            </w:tcBorders>
            <w:noWrap/>
            <w:vAlign w:val="center"/>
          </w:tcPr>
          <w:p w14:paraId="1E41484A" w14:textId="7C30A36E" w:rsidR="00A90424" w:rsidRPr="003D70B4" w:rsidRDefault="009624B4" w:rsidP="00A90424">
            <w:pPr>
              <w:tabs>
                <w:tab w:val="left" w:pos="11482"/>
              </w:tabs>
              <w:spacing w:line="480" w:lineRule="auto"/>
              <w:jc w:val="center"/>
            </w:pPr>
            <w:r w:rsidRPr="003D70B4">
              <w:t>.20*</w:t>
            </w:r>
          </w:p>
        </w:tc>
        <w:tc>
          <w:tcPr>
            <w:tcW w:w="421" w:type="pct"/>
            <w:tcBorders>
              <w:top w:val="nil"/>
              <w:left w:val="nil"/>
              <w:right w:val="nil"/>
            </w:tcBorders>
          </w:tcPr>
          <w:p w14:paraId="599949B0" w14:textId="006A7663" w:rsidR="00A90424" w:rsidRPr="003D70B4" w:rsidRDefault="00A90424" w:rsidP="00A90424">
            <w:pPr>
              <w:tabs>
                <w:tab w:val="left" w:pos="11482"/>
              </w:tabs>
              <w:spacing w:line="480" w:lineRule="auto"/>
              <w:jc w:val="center"/>
              <w:rPr>
                <w:color w:val="000000"/>
              </w:rPr>
            </w:pPr>
            <w:r w:rsidRPr="00D15D0E">
              <w:sym w:font="Symbol" w:char="F0BE"/>
            </w:r>
          </w:p>
        </w:tc>
        <w:tc>
          <w:tcPr>
            <w:tcW w:w="421" w:type="pct"/>
            <w:tcBorders>
              <w:top w:val="nil"/>
              <w:left w:val="nil"/>
              <w:right w:val="nil"/>
            </w:tcBorders>
          </w:tcPr>
          <w:p w14:paraId="6F47ACEB" w14:textId="77777777" w:rsidR="00A90424" w:rsidRPr="003D70B4" w:rsidRDefault="00A90424" w:rsidP="00A90424">
            <w:pPr>
              <w:tabs>
                <w:tab w:val="left" w:pos="11482"/>
              </w:tabs>
              <w:spacing w:line="480" w:lineRule="auto"/>
              <w:jc w:val="center"/>
              <w:rPr>
                <w:color w:val="000000"/>
              </w:rPr>
            </w:pPr>
          </w:p>
        </w:tc>
        <w:tc>
          <w:tcPr>
            <w:tcW w:w="421" w:type="pct"/>
            <w:tcBorders>
              <w:top w:val="nil"/>
              <w:left w:val="nil"/>
              <w:right w:val="nil"/>
            </w:tcBorders>
          </w:tcPr>
          <w:p w14:paraId="20B68018" w14:textId="77777777" w:rsidR="00A90424" w:rsidRPr="003D70B4" w:rsidRDefault="00A90424" w:rsidP="00A90424">
            <w:pPr>
              <w:tabs>
                <w:tab w:val="left" w:pos="11482"/>
              </w:tabs>
              <w:spacing w:line="480" w:lineRule="auto"/>
              <w:jc w:val="center"/>
              <w:rPr>
                <w:color w:val="000000"/>
              </w:rPr>
            </w:pPr>
          </w:p>
        </w:tc>
        <w:tc>
          <w:tcPr>
            <w:tcW w:w="368" w:type="pct"/>
            <w:tcBorders>
              <w:top w:val="nil"/>
              <w:left w:val="nil"/>
              <w:right w:val="nil"/>
            </w:tcBorders>
            <w:vAlign w:val="center"/>
          </w:tcPr>
          <w:p w14:paraId="5439B30F" w14:textId="16B2136C" w:rsidR="00A90424" w:rsidRPr="003D70B4" w:rsidRDefault="00A90424" w:rsidP="00A90424">
            <w:pPr>
              <w:tabs>
                <w:tab w:val="left" w:pos="11482"/>
              </w:tabs>
              <w:spacing w:line="480" w:lineRule="auto"/>
              <w:jc w:val="center"/>
              <w:rPr>
                <w:color w:val="000000"/>
              </w:rPr>
            </w:pPr>
            <w:r w:rsidRPr="003D70B4">
              <w:t>5.22</w:t>
            </w:r>
          </w:p>
        </w:tc>
        <w:tc>
          <w:tcPr>
            <w:tcW w:w="367" w:type="pct"/>
            <w:tcBorders>
              <w:top w:val="nil"/>
              <w:left w:val="nil"/>
              <w:right w:val="nil"/>
            </w:tcBorders>
            <w:vAlign w:val="center"/>
          </w:tcPr>
          <w:p w14:paraId="089E08B8" w14:textId="3793BF90" w:rsidR="00A90424" w:rsidRPr="003D70B4" w:rsidRDefault="00A90424" w:rsidP="00A90424">
            <w:pPr>
              <w:tabs>
                <w:tab w:val="left" w:pos="11482"/>
              </w:tabs>
              <w:spacing w:line="480" w:lineRule="auto"/>
              <w:jc w:val="center"/>
              <w:rPr>
                <w:color w:val="000000"/>
              </w:rPr>
            </w:pPr>
            <w:r w:rsidRPr="003D70B4">
              <w:t>1.28</w:t>
            </w:r>
          </w:p>
        </w:tc>
      </w:tr>
      <w:tr w:rsidR="009624B4" w:rsidRPr="003D70B4" w14:paraId="2EAA9CE2" w14:textId="31C14087" w:rsidTr="00AC0038">
        <w:trPr>
          <w:trHeight w:val="481"/>
        </w:trPr>
        <w:tc>
          <w:tcPr>
            <w:tcW w:w="153" w:type="pct"/>
            <w:tcBorders>
              <w:top w:val="nil"/>
              <w:left w:val="nil"/>
              <w:right w:val="nil"/>
            </w:tcBorders>
            <w:noWrap/>
            <w:vAlign w:val="center"/>
          </w:tcPr>
          <w:p w14:paraId="7A0D08FB" w14:textId="4EB20114" w:rsidR="009624B4" w:rsidRPr="003D70B4" w:rsidRDefault="009624B4" w:rsidP="009624B4">
            <w:pPr>
              <w:spacing w:line="480" w:lineRule="auto"/>
            </w:pPr>
            <w:r>
              <w:t>5.</w:t>
            </w:r>
          </w:p>
        </w:tc>
        <w:tc>
          <w:tcPr>
            <w:tcW w:w="698" w:type="pct"/>
            <w:tcBorders>
              <w:top w:val="nil"/>
              <w:left w:val="nil"/>
              <w:right w:val="nil"/>
            </w:tcBorders>
            <w:noWrap/>
            <w:vAlign w:val="center"/>
          </w:tcPr>
          <w:p w14:paraId="611E86E2" w14:textId="664862AE" w:rsidR="009624B4" w:rsidRPr="003D70B4" w:rsidRDefault="009624B4" w:rsidP="009624B4">
            <w:pPr>
              <w:tabs>
                <w:tab w:val="left" w:pos="11482"/>
              </w:tabs>
              <w:spacing w:line="480" w:lineRule="auto"/>
            </w:pPr>
            <w:r w:rsidRPr="003D70B4">
              <w:t>Ingratiation</w:t>
            </w:r>
          </w:p>
        </w:tc>
        <w:tc>
          <w:tcPr>
            <w:tcW w:w="361" w:type="pct"/>
            <w:tcBorders>
              <w:top w:val="nil"/>
              <w:left w:val="nil"/>
              <w:right w:val="nil"/>
            </w:tcBorders>
            <w:noWrap/>
            <w:vAlign w:val="center"/>
          </w:tcPr>
          <w:p w14:paraId="6B29761F" w14:textId="77777777" w:rsidR="009624B4" w:rsidRPr="003D70B4" w:rsidRDefault="009624B4" w:rsidP="009624B4">
            <w:pPr>
              <w:tabs>
                <w:tab w:val="left" w:pos="11482"/>
              </w:tabs>
              <w:spacing w:line="480" w:lineRule="auto"/>
              <w:jc w:val="center"/>
            </w:pPr>
          </w:p>
        </w:tc>
        <w:tc>
          <w:tcPr>
            <w:tcW w:w="368" w:type="pct"/>
            <w:tcBorders>
              <w:top w:val="nil"/>
              <w:left w:val="nil"/>
              <w:right w:val="nil"/>
            </w:tcBorders>
            <w:noWrap/>
            <w:vAlign w:val="center"/>
          </w:tcPr>
          <w:p w14:paraId="30A5844A" w14:textId="77777777" w:rsidR="009624B4" w:rsidRPr="003D70B4" w:rsidRDefault="009624B4" w:rsidP="009624B4">
            <w:pPr>
              <w:tabs>
                <w:tab w:val="left" w:pos="11482"/>
              </w:tabs>
              <w:spacing w:line="480" w:lineRule="auto"/>
              <w:jc w:val="center"/>
            </w:pPr>
          </w:p>
        </w:tc>
        <w:tc>
          <w:tcPr>
            <w:tcW w:w="159" w:type="pct"/>
            <w:tcBorders>
              <w:top w:val="nil"/>
              <w:left w:val="nil"/>
              <w:right w:val="nil"/>
            </w:tcBorders>
            <w:vAlign w:val="center"/>
          </w:tcPr>
          <w:p w14:paraId="58D0DCA1" w14:textId="77777777" w:rsidR="009624B4" w:rsidRPr="003D70B4" w:rsidRDefault="009624B4" w:rsidP="009624B4">
            <w:pPr>
              <w:tabs>
                <w:tab w:val="left" w:pos="11482"/>
              </w:tabs>
              <w:spacing w:line="480" w:lineRule="auto"/>
              <w:jc w:val="center"/>
            </w:pPr>
          </w:p>
        </w:tc>
        <w:tc>
          <w:tcPr>
            <w:tcW w:w="421" w:type="pct"/>
            <w:tcBorders>
              <w:top w:val="nil"/>
              <w:left w:val="nil"/>
              <w:right w:val="nil"/>
            </w:tcBorders>
            <w:vAlign w:val="center"/>
          </w:tcPr>
          <w:p w14:paraId="5FACECD8" w14:textId="0CD9DEE1" w:rsidR="009624B4" w:rsidRPr="003D70B4" w:rsidRDefault="009624B4" w:rsidP="009624B4">
            <w:pPr>
              <w:tabs>
                <w:tab w:val="left" w:pos="11482"/>
              </w:tabs>
              <w:spacing w:line="480" w:lineRule="auto"/>
              <w:jc w:val="center"/>
              <w:rPr>
                <w:color w:val="000000"/>
              </w:rPr>
            </w:pPr>
            <w:r w:rsidRPr="003D70B4">
              <w:rPr>
                <w:color w:val="000000"/>
              </w:rPr>
              <w:t>–</w:t>
            </w:r>
            <w:r w:rsidRPr="003D70B4">
              <w:t>.17</w:t>
            </w:r>
            <w:r w:rsidRPr="003D70B4">
              <w:rPr>
                <w:vertAlign w:val="superscript"/>
              </w:rPr>
              <w:t>†</w:t>
            </w:r>
          </w:p>
        </w:tc>
        <w:tc>
          <w:tcPr>
            <w:tcW w:w="421" w:type="pct"/>
            <w:tcBorders>
              <w:top w:val="nil"/>
              <w:left w:val="nil"/>
              <w:right w:val="nil"/>
            </w:tcBorders>
            <w:noWrap/>
            <w:vAlign w:val="center"/>
          </w:tcPr>
          <w:p w14:paraId="08070AF1" w14:textId="1D619911" w:rsidR="009624B4" w:rsidRPr="003D70B4" w:rsidRDefault="009624B4" w:rsidP="009624B4">
            <w:pPr>
              <w:tabs>
                <w:tab w:val="left" w:pos="11482"/>
              </w:tabs>
              <w:spacing w:line="480" w:lineRule="auto"/>
              <w:jc w:val="center"/>
              <w:rPr>
                <w:color w:val="000000"/>
              </w:rPr>
            </w:pPr>
            <w:r w:rsidRPr="003D70B4">
              <w:rPr>
                <w:color w:val="000000"/>
              </w:rPr>
              <w:t>–</w:t>
            </w:r>
            <w:r w:rsidRPr="003D70B4">
              <w:t>.19*</w:t>
            </w:r>
          </w:p>
        </w:tc>
        <w:tc>
          <w:tcPr>
            <w:tcW w:w="421" w:type="pct"/>
            <w:tcBorders>
              <w:top w:val="nil"/>
              <w:left w:val="nil"/>
              <w:right w:val="nil"/>
            </w:tcBorders>
            <w:noWrap/>
            <w:vAlign w:val="center"/>
          </w:tcPr>
          <w:p w14:paraId="113B6551" w14:textId="60C48889" w:rsidR="009624B4" w:rsidRPr="003D70B4" w:rsidRDefault="009624B4" w:rsidP="009624B4">
            <w:pPr>
              <w:tabs>
                <w:tab w:val="left" w:pos="11482"/>
              </w:tabs>
              <w:spacing w:line="480" w:lineRule="auto"/>
              <w:jc w:val="center"/>
            </w:pPr>
            <w:r w:rsidRPr="003D70B4">
              <w:t>.14</w:t>
            </w:r>
          </w:p>
        </w:tc>
        <w:tc>
          <w:tcPr>
            <w:tcW w:w="421" w:type="pct"/>
            <w:tcBorders>
              <w:top w:val="nil"/>
              <w:left w:val="nil"/>
              <w:right w:val="nil"/>
            </w:tcBorders>
          </w:tcPr>
          <w:p w14:paraId="47C07736" w14:textId="4C7DF58C" w:rsidR="009624B4" w:rsidRPr="003D70B4" w:rsidRDefault="009624B4" w:rsidP="009624B4">
            <w:pPr>
              <w:tabs>
                <w:tab w:val="left" w:pos="11482"/>
              </w:tabs>
              <w:spacing w:line="480" w:lineRule="auto"/>
              <w:jc w:val="center"/>
            </w:pPr>
            <w:r w:rsidRPr="003D70B4">
              <w:t>.05</w:t>
            </w:r>
          </w:p>
        </w:tc>
        <w:tc>
          <w:tcPr>
            <w:tcW w:w="421" w:type="pct"/>
            <w:tcBorders>
              <w:top w:val="nil"/>
              <w:left w:val="nil"/>
              <w:right w:val="nil"/>
            </w:tcBorders>
          </w:tcPr>
          <w:p w14:paraId="3C47774C" w14:textId="0F4C6259" w:rsidR="009624B4" w:rsidRPr="003D70B4" w:rsidRDefault="009624B4" w:rsidP="009624B4">
            <w:pPr>
              <w:tabs>
                <w:tab w:val="left" w:pos="11482"/>
              </w:tabs>
              <w:spacing w:line="480" w:lineRule="auto"/>
              <w:jc w:val="center"/>
            </w:pPr>
            <w:r w:rsidRPr="00D15D0E">
              <w:sym w:font="Symbol" w:char="F0BE"/>
            </w:r>
          </w:p>
        </w:tc>
        <w:tc>
          <w:tcPr>
            <w:tcW w:w="421" w:type="pct"/>
            <w:tcBorders>
              <w:top w:val="nil"/>
              <w:left w:val="nil"/>
              <w:right w:val="nil"/>
            </w:tcBorders>
          </w:tcPr>
          <w:p w14:paraId="4B737966" w14:textId="77777777" w:rsidR="009624B4" w:rsidRPr="003D70B4" w:rsidRDefault="009624B4" w:rsidP="009624B4">
            <w:pPr>
              <w:tabs>
                <w:tab w:val="left" w:pos="11482"/>
              </w:tabs>
              <w:spacing w:line="480" w:lineRule="auto"/>
              <w:jc w:val="center"/>
            </w:pPr>
          </w:p>
        </w:tc>
        <w:tc>
          <w:tcPr>
            <w:tcW w:w="368" w:type="pct"/>
            <w:tcBorders>
              <w:top w:val="nil"/>
              <w:left w:val="nil"/>
              <w:right w:val="nil"/>
            </w:tcBorders>
            <w:vAlign w:val="center"/>
          </w:tcPr>
          <w:p w14:paraId="74E10700" w14:textId="3017A578" w:rsidR="009624B4" w:rsidRPr="003D70B4" w:rsidRDefault="009624B4" w:rsidP="009624B4">
            <w:pPr>
              <w:tabs>
                <w:tab w:val="left" w:pos="11482"/>
              </w:tabs>
              <w:spacing w:line="480" w:lineRule="auto"/>
              <w:jc w:val="center"/>
            </w:pPr>
            <w:r w:rsidRPr="003D70B4">
              <w:t>1.95</w:t>
            </w:r>
          </w:p>
        </w:tc>
        <w:tc>
          <w:tcPr>
            <w:tcW w:w="367" w:type="pct"/>
            <w:tcBorders>
              <w:top w:val="nil"/>
              <w:left w:val="nil"/>
              <w:right w:val="nil"/>
            </w:tcBorders>
            <w:vAlign w:val="center"/>
          </w:tcPr>
          <w:p w14:paraId="5DD55209" w14:textId="5770AE9D" w:rsidR="009624B4" w:rsidRPr="003D70B4" w:rsidRDefault="009624B4" w:rsidP="009624B4">
            <w:pPr>
              <w:tabs>
                <w:tab w:val="left" w:pos="11482"/>
              </w:tabs>
              <w:spacing w:line="480" w:lineRule="auto"/>
              <w:jc w:val="center"/>
            </w:pPr>
            <w:r w:rsidRPr="003D70B4">
              <w:t>0.73</w:t>
            </w:r>
          </w:p>
        </w:tc>
      </w:tr>
      <w:tr w:rsidR="009624B4" w:rsidRPr="003D70B4" w14:paraId="3A707ED5" w14:textId="5BB8F8B0" w:rsidTr="00AC0038">
        <w:trPr>
          <w:trHeight w:val="481"/>
        </w:trPr>
        <w:tc>
          <w:tcPr>
            <w:tcW w:w="153" w:type="pct"/>
            <w:tcBorders>
              <w:top w:val="nil"/>
              <w:left w:val="nil"/>
              <w:right w:val="nil"/>
            </w:tcBorders>
            <w:noWrap/>
            <w:vAlign w:val="center"/>
          </w:tcPr>
          <w:p w14:paraId="2DBBCD40" w14:textId="3D186086" w:rsidR="009624B4" w:rsidRPr="003D70B4" w:rsidRDefault="009624B4" w:rsidP="009624B4">
            <w:pPr>
              <w:spacing w:line="480" w:lineRule="auto"/>
            </w:pPr>
            <w:r>
              <w:t>6.</w:t>
            </w:r>
          </w:p>
        </w:tc>
        <w:tc>
          <w:tcPr>
            <w:tcW w:w="698" w:type="pct"/>
            <w:tcBorders>
              <w:top w:val="nil"/>
              <w:left w:val="nil"/>
              <w:right w:val="nil"/>
            </w:tcBorders>
            <w:noWrap/>
            <w:vAlign w:val="center"/>
          </w:tcPr>
          <w:p w14:paraId="18BDE6A5" w14:textId="01FE9FDB" w:rsidR="009624B4" w:rsidRPr="003D70B4" w:rsidRDefault="009624B4" w:rsidP="009624B4">
            <w:pPr>
              <w:tabs>
                <w:tab w:val="left" w:pos="11482"/>
              </w:tabs>
              <w:spacing w:line="480" w:lineRule="auto"/>
            </w:pPr>
            <w:r w:rsidRPr="003D70B4">
              <w:t>Self-promotion</w:t>
            </w:r>
          </w:p>
        </w:tc>
        <w:tc>
          <w:tcPr>
            <w:tcW w:w="361" w:type="pct"/>
            <w:tcBorders>
              <w:top w:val="nil"/>
              <w:left w:val="nil"/>
              <w:right w:val="nil"/>
            </w:tcBorders>
            <w:noWrap/>
            <w:vAlign w:val="center"/>
          </w:tcPr>
          <w:p w14:paraId="48460BFA" w14:textId="77777777" w:rsidR="009624B4" w:rsidRPr="003D70B4" w:rsidRDefault="009624B4" w:rsidP="009624B4">
            <w:pPr>
              <w:tabs>
                <w:tab w:val="left" w:pos="11482"/>
              </w:tabs>
              <w:spacing w:line="480" w:lineRule="auto"/>
              <w:jc w:val="center"/>
            </w:pPr>
          </w:p>
        </w:tc>
        <w:tc>
          <w:tcPr>
            <w:tcW w:w="368" w:type="pct"/>
            <w:tcBorders>
              <w:top w:val="nil"/>
              <w:left w:val="nil"/>
              <w:right w:val="nil"/>
            </w:tcBorders>
            <w:noWrap/>
            <w:vAlign w:val="center"/>
          </w:tcPr>
          <w:p w14:paraId="42464CF6" w14:textId="77777777" w:rsidR="009624B4" w:rsidRPr="003D70B4" w:rsidRDefault="009624B4" w:rsidP="009624B4">
            <w:pPr>
              <w:tabs>
                <w:tab w:val="left" w:pos="11482"/>
              </w:tabs>
              <w:spacing w:line="480" w:lineRule="auto"/>
              <w:jc w:val="center"/>
            </w:pPr>
          </w:p>
        </w:tc>
        <w:tc>
          <w:tcPr>
            <w:tcW w:w="159" w:type="pct"/>
            <w:tcBorders>
              <w:top w:val="nil"/>
              <w:left w:val="nil"/>
              <w:right w:val="nil"/>
            </w:tcBorders>
            <w:vAlign w:val="center"/>
          </w:tcPr>
          <w:p w14:paraId="1E035CB9" w14:textId="77777777" w:rsidR="009624B4" w:rsidRPr="003D70B4" w:rsidRDefault="009624B4" w:rsidP="009624B4">
            <w:pPr>
              <w:tabs>
                <w:tab w:val="left" w:pos="11482"/>
              </w:tabs>
              <w:spacing w:line="480" w:lineRule="auto"/>
              <w:jc w:val="center"/>
            </w:pPr>
          </w:p>
        </w:tc>
        <w:tc>
          <w:tcPr>
            <w:tcW w:w="421" w:type="pct"/>
            <w:tcBorders>
              <w:top w:val="nil"/>
              <w:left w:val="nil"/>
              <w:right w:val="nil"/>
            </w:tcBorders>
            <w:vAlign w:val="center"/>
          </w:tcPr>
          <w:p w14:paraId="0208F981" w14:textId="1A2795B3" w:rsidR="009624B4" w:rsidRPr="003D70B4" w:rsidRDefault="009624B4" w:rsidP="009624B4">
            <w:pPr>
              <w:tabs>
                <w:tab w:val="left" w:pos="11482"/>
              </w:tabs>
              <w:spacing w:line="480" w:lineRule="auto"/>
              <w:jc w:val="center"/>
              <w:rPr>
                <w:color w:val="000000"/>
              </w:rPr>
            </w:pPr>
            <w:r w:rsidRPr="003D70B4">
              <w:rPr>
                <w:color w:val="000000"/>
              </w:rPr>
              <w:t>–</w:t>
            </w:r>
            <w:r w:rsidRPr="003D70B4">
              <w:t>.24**</w:t>
            </w:r>
          </w:p>
        </w:tc>
        <w:tc>
          <w:tcPr>
            <w:tcW w:w="421" w:type="pct"/>
            <w:tcBorders>
              <w:top w:val="nil"/>
              <w:left w:val="nil"/>
              <w:right w:val="nil"/>
            </w:tcBorders>
            <w:noWrap/>
            <w:vAlign w:val="center"/>
          </w:tcPr>
          <w:p w14:paraId="2D588A9A" w14:textId="4439D0E8" w:rsidR="009624B4" w:rsidRPr="003D70B4" w:rsidRDefault="009624B4" w:rsidP="009624B4">
            <w:pPr>
              <w:tabs>
                <w:tab w:val="left" w:pos="11482"/>
              </w:tabs>
              <w:spacing w:line="480" w:lineRule="auto"/>
              <w:jc w:val="center"/>
              <w:rPr>
                <w:color w:val="000000"/>
              </w:rPr>
            </w:pPr>
            <w:r w:rsidRPr="003D70B4">
              <w:rPr>
                <w:color w:val="000000"/>
              </w:rPr>
              <w:t>–</w:t>
            </w:r>
            <w:r w:rsidRPr="003D70B4">
              <w:t>.21*</w:t>
            </w:r>
          </w:p>
        </w:tc>
        <w:tc>
          <w:tcPr>
            <w:tcW w:w="421" w:type="pct"/>
            <w:tcBorders>
              <w:top w:val="nil"/>
              <w:left w:val="nil"/>
              <w:right w:val="nil"/>
            </w:tcBorders>
            <w:noWrap/>
            <w:vAlign w:val="center"/>
          </w:tcPr>
          <w:p w14:paraId="38CA0D64" w14:textId="6EB6EAA6" w:rsidR="009624B4" w:rsidRPr="003D70B4" w:rsidRDefault="009624B4" w:rsidP="009624B4">
            <w:pPr>
              <w:tabs>
                <w:tab w:val="left" w:pos="11482"/>
              </w:tabs>
              <w:spacing w:line="480" w:lineRule="auto"/>
              <w:jc w:val="center"/>
            </w:pPr>
            <w:r w:rsidRPr="003D70B4">
              <w:t>.29**</w:t>
            </w:r>
          </w:p>
        </w:tc>
        <w:tc>
          <w:tcPr>
            <w:tcW w:w="421" w:type="pct"/>
            <w:tcBorders>
              <w:top w:val="nil"/>
              <w:left w:val="nil"/>
              <w:right w:val="nil"/>
            </w:tcBorders>
          </w:tcPr>
          <w:p w14:paraId="46D6DAE3" w14:textId="1EAC5DF9" w:rsidR="009624B4" w:rsidRPr="003D70B4" w:rsidRDefault="009624B4" w:rsidP="009624B4">
            <w:pPr>
              <w:tabs>
                <w:tab w:val="left" w:pos="11482"/>
              </w:tabs>
              <w:spacing w:line="480" w:lineRule="auto"/>
              <w:jc w:val="center"/>
            </w:pPr>
            <w:r w:rsidRPr="003D70B4">
              <w:t>.20*</w:t>
            </w:r>
          </w:p>
        </w:tc>
        <w:tc>
          <w:tcPr>
            <w:tcW w:w="421" w:type="pct"/>
            <w:tcBorders>
              <w:top w:val="nil"/>
              <w:left w:val="nil"/>
              <w:right w:val="nil"/>
            </w:tcBorders>
            <w:vAlign w:val="center"/>
          </w:tcPr>
          <w:p w14:paraId="6B1FCEE3" w14:textId="07878B85" w:rsidR="009624B4" w:rsidRPr="003D70B4" w:rsidRDefault="009624B4" w:rsidP="009624B4">
            <w:pPr>
              <w:tabs>
                <w:tab w:val="left" w:pos="11482"/>
              </w:tabs>
              <w:spacing w:line="480" w:lineRule="auto"/>
              <w:jc w:val="center"/>
            </w:pPr>
            <w:r w:rsidRPr="003D70B4">
              <w:t>.47**</w:t>
            </w:r>
          </w:p>
        </w:tc>
        <w:tc>
          <w:tcPr>
            <w:tcW w:w="421" w:type="pct"/>
            <w:tcBorders>
              <w:top w:val="nil"/>
              <w:left w:val="nil"/>
              <w:right w:val="nil"/>
            </w:tcBorders>
          </w:tcPr>
          <w:p w14:paraId="66FC77A7" w14:textId="0065B486" w:rsidR="009624B4" w:rsidRPr="003D70B4" w:rsidRDefault="009624B4" w:rsidP="009624B4">
            <w:pPr>
              <w:tabs>
                <w:tab w:val="left" w:pos="11482"/>
              </w:tabs>
              <w:spacing w:line="480" w:lineRule="auto"/>
              <w:jc w:val="center"/>
            </w:pPr>
            <w:r w:rsidRPr="00D15D0E">
              <w:sym w:font="Symbol" w:char="F0BE"/>
            </w:r>
          </w:p>
        </w:tc>
        <w:tc>
          <w:tcPr>
            <w:tcW w:w="368" w:type="pct"/>
            <w:tcBorders>
              <w:top w:val="nil"/>
              <w:left w:val="nil"/>
              <w:right w:val="nil"/>
            </w:tcBorders>
            <w:vAlign w:val="center"/>
          </w:tcPr>
          <w:p w14:paraId="7AEC6F8D" w14:textId="07DBBDD1" w:rsidR="009624B4" w:rsidRPr="003D70B4" w:rsidRDefault="009624B4" w:rsidP="009624B4">
            <w:pPr>
              <w:tabs>
                <w:tab w:val="left" w:pos="11482"/>
              </w:tabs>
              <w:spacing w:line="480" w:lineRule="auto"/>
              <w:jc w:val="center"/>
            </w:pPr>
            <w:r w:rsidRPr="003D70B4">
              <w:t>2.19</w:t>
            </w:r>
          </w:p>
        </w:tc>
        <w:tc>
          <w:tcPr>
            <w:tcW w:w="367" w:type="pct"/>
            <w:tcBorders>
              <w:top w:val="nil"/>
              <w:left w:val="nil"/>
              <w:right w:val="nil"/>
            </w:tcBorders>
            <w:vAlign w:val="center"/>
          </w:tcPr>
          <w:p w14:paraId="62295479" w14:textId="6DA6030B" w:rsidR="009624B4" w:rsidRPr="003D70B4" w:rsidRDefault="009624B4" w:rsidP="009624B4">
            <w:pPr>
              <w:tabs>
                <w:tab w:val="left" w:pos="11482"/>
              </w:tabs>
              <w:spacing w:line="480" w:lineRule="auto"/>
              <w:jc w:val="center"/>
            </w:pPr>
            <w:r w:rsidRPr="003D70B4">
              <w:t>0.82</w:t>
            </w:r>
          </w:p>
        </w:tc>
      </w:tr>
      <w:tr w:rsidR="009624B4" w:rsidRPr="003D70B4" w14:paraId="4B0AB813" w14:textId="669A8C4F" w:rsidTr="00AC0038">
        <w:trPr>
          <w:trHeight w:val="454"/>
        </w:trPr>
        <w:tc>
          <w:tcPr>
            <w:tcW w:w="153" w:type="pct"/>
            <w:tcBorders>
              <w:top w:val="nil"/>
              <w:left w:val="nil"/>
              <w:bottom w:val="single" w:sz="18" w:space="0" w:color="auto"/>
              <w:right w:val="nil"/>
            </w:tcBorders>
            <w:noWrap/>
            <w:vAlign w:val="center"/>
          </w:tcPr>
          <w:p w14:paraId="6307DA71" w14:textId="71742A38" w:rsidR="009624B4" w:rsidRPr="003D70B4" w:rsidRDefault="009624B4" w:rsidP="009624B4">
            <w:pPr>
              <w:spacing w:line="480" w:lineRule="auto"/>
            </w:pPr>
            <w:r>
              <w:t>7.</w:t>
            </w:r>
          </w:p>
        </w:tc>
        <w:tc>
          <w:tcPr>
            <w:tcW w:w="698" w:type="pct"/>
            <w:tcBorders>
              <w:top w:val="nil"/>
              <w:left w:val="nil"/>
              <w:bottom w:val="single" w:sz="18" w:space="0" w:color="auto"/>
              <w:right w:val="nil"/>
            </w:tcBorders>
            <w:noWrap/>
            <w:vAlign w:val="center"/>
          </w:tcPr>
          <w:p w14:paraId="3F540920" w14:textId="71781474" w:rsidR="009624B4" w:rsidRPr="003D70B4" w:rsidRDefault="009624B4" w:rsidP="009624B4">
            <w:pPr>
              <w:tabs>
                <w:tab w:val="left" w:pos="11482"/>
              </w:tabs>
              <w:spacing w:line="480" w:lineRule="auto"/>
            </w:pPr>
            <w:r>
              <w:t>Sense of power</w:t>
            </w:r>
          </w:p>
        </w:tc>
        <w:tc>
          <w:tcPr>
            <w:tcW w:w="361" w:type="pct"/>
            <w:tcBorders>
              <w:top w:val="nil"/>
              <w:left w:val="nil"/>
              <w:bottom w:val="single" w:sz="18" w:space="0" w:color="auto"/>
              <w:right w:val="nil"/>
            </w:tcBorders>
            <w:noWrap/>
            <w:vAlign w:val="center"/>
          </w:tcPr>
          <w:p w14:paraId="15EEF5EE" w14:textId="0A2C7EBC" w:rsidR="009624B4" w:rsidRPr="003D70B4" w:rsidRDefault="009624B4" w:rsidP="009624B4">
            <w:pPr>
              <w:tabs>
                <w:tab w:val="left" w:pos="11482"/>
              </w:tabs>
              <w:spacing w:line="480" w:lineRule="auto"/>
              <w:jc w:val="center"/>
            </w:pPr>
          </w:p>
        </w:tc>
        <w:tc>
          <w:tcPr>
            <w:tcW w:w="368" w:type="pct"/>
            <w:tcBorders>
              <w:top w:val="nil"/>
              <w:left w:val="nil"/>
              <w:bottom w:val="single" w:sz="18" w:space="0" w:color="auto"/>
              <w:right w:val="nil"/>
            </w:tcBorders>
            <w:noWrap/>
            <w:vAlign w:val="center"/>
          </w:tcPr>
          <w:p w14:paraId="0B5D751E" w14:textId="7EC5ED45" w:rsidR="009624B4" w:rsidRPr="003D70B4" w:rsidRDefault="009624B4" w:rsidP="009624B4">
            <w:pPr>
              <w:tabs>
                <w:tab w:val="left" w:pos="11482"/>
              </w:tabs>
              <w:spacing w:line="480" w:lineRule="auto"/>
              <w:jc w:val="center"/>
            </w:pPr>
          </w:p>
        </w:tc>
        <w:tc>
          <w:tcPr>
            <w:tcW w:w="159" w:type="pct"/>
            <w:tcBorders>
              <w:top w:val="nil"/>
              <w:left w:val="nil"/>
              <w:bottom w:val="single" w:sz="18" w:space="0" w:color="auto"/>
              <w:right w:val="nil"/>
            </w:tcBorders>
            <w:vAlign w:val="center"/>
          </w:tcPr>
          <w:p w14:paraId="1B62C895" w14:textId="77777777" w:rsidR="009624B4" w:rsidRPr="003D70B4" w:rsidRDefault="009624B4" w:rsidP="009624B4">
            <w:pPr>
              <w:tabs>
                <w:tab w:val="left" w:pos="11482"/>
              </w:tabs>
              <w:spacing w:line="480" w:lineRule="auto"/>
              <w:jc w:val="center"/>
            </w:pPr>
          </w:p>
        </w:tc>
        <w:tc>
          <w:tcPr>
            <w:tcW w:w="421" w:type="pct"/>
            <w:tcBorders>
              <w:top w:val="nil"/>
              <w:left w:val="nil"/>
              <w:bottom w:val="single" w:sz="18" w:space="0" w:color="auto"/>
              <w:right w:val="nil"/>
            </w:tcBorders>
            <w:vAlign w:val="center"/>
          </w:tcPr>
          <w:p w14:paraId="37B5B6F3" w14:textId="131D9539" w:rsidR="009624B4" w:rsidRPr="003D70B4" w:rsidRDefault="009624B4" w:rsidP="009624B4">
            <w:pPr>
              <w:tabs>
                <w:tab w:val="left" w:pos="11482"/>
              </w:tabs>
              <w:spacing w:line="480" w:lineRule="auto"/>
              <w:jc w:val="center"/>
            </w:pPr>
            <w:r w:rsidRPr="003D70B4">
              <w:t>.15</w:t>
            </w:r>
            <w:r w:rsidRPr="003D70B4">
              <w:rPr>
                <w:vertAlign w:val="superscript"/>
              </w:rPr>
              <w:t>†</w:t>
            </w:r>
          </w:p>
        </w:tc>
        <w:tc>
          <w:tcPr>
            <w:tcW w:w="421" w:type="pct"/>
            <w:tcBorders>
              <w:top w:val="nil"/>
              <w:left w:val="nil"/>
              <w:bottom w:val="single" w:sz="18" w:space="0" w:color="auto"/>
              <w:right w:val="nil"/>
            </w:tcBorders>
            <w:noWrap/>
            <w:vAlign w:val="center"/>
          </w:tcPr>
          <w:p w14:paraId="5138524E" w14:textId="791022CE" w:rsidR="009624B4" w:rsidRPr="003D70B4" w:rsidRDefault="009624B4" w:rsidP="009624B4">
            <w:pPr>
              <w:tabs>
                <w:tab w:val="left" w:pos="11482"/>
              </w:tabs>
              <w:spacing w:line="480" w:lineRule="auto"/>
              <w:jc w:val="center"/>
            </w:pPr>
            <w:r w:rsidRPr="003D70B4">
              <w:t>.04</w:t>
            </w:r>
          </w:p>
        </w:tc>
        <w:tc>
          <w:tcPr>
            <w:tcW w:w="421" w:type="pct"/>
            <w:tcBorders>
              <w:top w:val="nil"/>
              <w:left w:val="nil"/>
              <w:bottom w:val="single" w:sz="18" w:space="0" w:color="auto"/>
              <w:right w:val="nil"/>
            </w:tcBorders>
            <w:noWrap/>
            <w:vAlign w:val="center"/>
          </w:tcPr>
          <w:p w14:paraId="78BA65DB" w14:textId="7A54DE4F" w:rsidR="009624B4" w:rsidRPr="003D70B4" w:rsidRDefault="009624B4" w:rsidP="009624B4">
            <w:pPr>
              <w:tabs>
                <w:tab w:val="left" w:pos="11482"/>
              </w:tabs>
              <w:spacing w:line="480" w:lineRule="auto"/>
              <w:jc w:val="center"/>
            </w:pPr>
            <w:r w:rsidRPr="003D70B4">
              <w:t>.27**</w:t>
            </w:r>
          </w:p>
        </w:tc>
        <w:tc>
          <w:tcPr>
            <w:tcW w:w="421" w:type="pct"/>
            <w:tcBorders>
              <w:top w:val="nil"/>
              <w:left w:val="nil"/>
              <w:bottom w:val="single" w:sz="18" w:space="0" w:color="auto"/>
              <w:right w:val="nil"/>
            </w:tcBorders>
          </w:tcPr>
          <w:p w14:paraId="55909CAB" w14:textId="3A0A6536" w:rsidR="009624B4" w:rsidRPr="003D70B4" w:rsidRDefault="009624B4" w:rsidP="009624B4">
            <w:pPr>
              <w:tabs>
                <w:tab w:val="left" w:pos="11482"/>
              </w:tabs>
              <w:spacing w:line="480" w:lineRule="auto"/>
              <w:jc w:val="center"/>
            </w:pPr>
            <w:r w:rsidRPr="003D70B4">
              <w:t>.31**</w:t>
            </w:r>
          </w:p>
        </w:tc>
        <w:tc>
          <w:tcPr>
            <w:tcW w:w="421" w:type="pct"/>
            <w:tcBorders>
              <w:top w:val="nil"/>
              <w:left w:val="nil"/>
              <w:bottom w:val="single" w:sz="18" w:space="0" w:color="auto"/>
              <w:right w:val="nil"/>
            </w:tcBorders>
            <w:vAlign w:val="center"/>
          </w:tcPr>
          <w:p w14:paraId="3DE78F0B" w14:textId="76002BCE" w:rsidR="009624B4" w:rsidRPr="003D70B4" w:rsidRDefault="009624B4" w:rsidP="009624B4">
            <w:pPr>
              <w:tabs>
                <w:tab w:val="left" w:pos="11482"/>
              </w:tabs>
              <w:spacing w:line="480" w:lineRule="auto"/>
              <w:jc w:val="center"/>
            </w:pPr>
            <w:r w:rsidRPr="003D70B4">
              <w:rPr>
                <w:color w:val="000000"/>
              </w:rPr>
              <w:t>–</w:t>
            </w:r>
            <w:r w:rsidRPr="003D70B4">
              <w:t>.17</w:t>
            </w:r>
            <w:r w:rsidRPr="003D70B4">
              <w:rPr>
                <w:vertAlign w:val="superscript"/>
              </w:rPr>
              <w:t>†</w:t>
            </w:r>
          </w:p>
        </w:tc>
        <w:tc>
          <w:tcPr>
            <w:tcW w:w="421" w:type="pct"/>
            <w:tcBorders>
              <w:top w:val="nil"/>
              <w:left w:val="nil"/>
              <w:bottom w:val="single" w:sz="18" w:space="0" w:color="auto"/>
              <w:right w:val="nil"/>
            </w:tcBorders>
          </w:tcPr>
          <w:p w14:paraId="24FFA4CF" w14:textId="5507F943" w:rsidR="009624B4" w:rsidRPr="003D70B4" w:rsidRDefault="009624B4" w:rsidP="009624B4">
            <w:pPr>
              <w:tabs>
                <w:tab w:val="left" w:pos="11482"/>
              </w:tabs>
              <w:spacing w:line="480" w:lineRule="auto"/>
              <w:jc w:val="center"/>
            </w:pPr>
            <w:r w:rsidRPr="003D70B4">
              <w:rPr>
                <w:color w:val="000000"/>
              </w:rPr>
              <w:t>–</w:t>
            </w:r>
            <w:r w:rsidRPr="003D70B4">
              <w:t>.10</w:t>
            </w:r>
          </w:p>
        </w:tc>
        <w:tc>
          <w:tcPr>
            <w:tcW w:w="368" w:type="pct"/>
            <w:tcBorders>
              <w:top w:val="nil"/>
              <w:left w:val="nil"/>
              <w:bottom w:val="single" w:sz="18" w:space="0" w:color="auto"/>
              <w:right w:val="nil"/>
            </w:tcBorders>
            <w:vAlign w:val="center"/>
          </w:tcPr>
          <w:p w14:paraId="685B9E39" w14:textId="7CCBAB0A" w:rsidR="009624B4" w:rsidRPr="003D70B4" w:rsidRDefault="009624B4" w:rsidP="009624B4">
            <w:pPr>
              <w:tabs>
                <w:tab w:val="left" w:pos="11482"/>
              </w:tabs>
              <w:spacing w:line="480" w:lineRule="auto"/>
              <w:jc w:val="center"/>
            </w:pPr>
            <w:r w:rsidRPr="003D70B4">
              <w:t>5.25</w:t>
            </w:r>
          </w:p>
        </w:tc>
        <w:tc>
          <w:tcPr>
            <w:tcW w:w="367" w:type="pct"/>
            <w:tcBorders>
              <w:top w:val="nil"/>
              <w:left w:val="nil"/>
              <w:bottom w:val="single" w:sz="18" w:space="0" w:color="auto"/>
              <w:right w:val="nil"/>
            </w:tcBorders>
            <w:vAlign w:val="center"/>
          </w:tcPr>
          <w:p w14:paraId="5205912F" w14:textId="01069103" w:rsidR="009624B4" w:rsidRPr="003D70B4" w:rsidRDefault="009624B4" w:rsidP="009624B4">
            <w:pPr>
              <w:tabs>
                <w:tab w:val="left" w:pos="11482"/>
              </w:tabs>
              <w:spacing w:line="480" w:lineRule="auto"/>
              <w:jc w:val="center"/>
            </w:pPr>
            <w:r w:rsidRPr="003D70B4">
              <w:t>0.71</w:t>
            </w:r>
          </w:p>
        </w:tc>
      </w:tr>
    </w:tbl>
    <w:p w14:paraId="694A8D2E" w14:textId="77777777" w:rsidR="00A818E9" w:rsidRPr="003D70B4" w:rsidRDefault="00A818E9" w:rsidP="00A818E9">
      <w:pPr>
        <w:spacing w:line="480" w:lineRule="auto"/>
      </w:pPr>
    </w:p>
    <w:p w14:paraId="6C16FF1E" w14:textId="77777777" w:rsidR="00A818E9" w:rsidRPr="003D70B4" w:rsidRDefault="00A818E9" w:rsidP="00A818E9">
      <w:pPr>
        <w:spacing w:line="480" w:lineRule="auto"/>
      </w:pPr>
    </w:p>
    <w:p w14:paraId="494600D5" w14:textId="77777777" w:rsidR="00A818E9" w:rsidRPr="003D70B4" w:rsidRDefault="00A818E9" w:rsidP="00A818E9">
      <w:pPr>
        <w:spacing w:line="480" w:lineRule="auto"/>
      </w:pPr>
    </w:p>
    <w:p w14:paraId="1D9ACA9D" w14:textId="77777777" w:rsidR="00A818E9" w:rsidRPr="003D70B4" w:rsidRDefault="00A818E9" w:rsidP="00A818E9">
      <w:pPr>
        <w:spacing w:line="480" w:lineRule="auto"/>
      </w:pPr>
    </w:p>
    <w:p w14:paraId="565BBDB4" w14:textId="77777777" w:rsidR="00A818E9" w:rsidRPr="003D70B4" w:rsidRDefault="00A818E9" w:rsidP="00A818E9">
      <w:pPr>
        <w:spacing w:line="480" w:lineRule="auto"/>
      </w:pPr>
    </w:p>
    <w:p w14:paraId="188985F9" w14:textId="77777777" w:rsidR="00A818E9" w:rsidRPr="003D70B4" w:rsidRDefault="00A818E9" w:rsidP="00A818E9">
      <w:pPr>
        <w:spacing w:line="480" w:lineRule="auto"/>
      </w:pPr>
    </w:p>
    <w:p w14:paraId="7E36653E" w14:textId="77777777" w:rsidR="00AE1B71" w:rsidRDefault="00AE1B71" w:rsidP="00AE1B71">
      <w:pPr>
        <w:spacing w:line="480" w:lineRule="auto"/>
        <w:rPr>
          <w:vertAlign w:val="superscript"/>
        </w:rPr>
      </w:pPr>
      <w:r w:rsidRPr="003D70B4">
        <w:rPr>
          <w:i/>
          <w:iCs/>
        </w:rPr>
        <w:t>Note.</w:t>
      </w:r>
      <w:r w:rsidRPr="003D70B4">
        <w:t xml:space="preserve"> </w:t>
      </w:r>
      <w:r>
        <w:rPr>
          <w:color w:val="000000" w:themeColor="text1"/>
        </w:rPr>
        <w:t>Study 1 (</w:t>
      </w:r>
      <w:r w:rsidRPr="003D70B4">
        <w:rPr>
          <w:i/>
        </w:rPr>
        <w:t>N</w:t>
      </w:r>
      <w:r w:rsidRPr="003D70B4">
        <w:t xml:space="preserve"> = 157-166</w:t>
      </w:r>
      <w:r>
        <w:rPr>
          <w:color w:val="000000" w:themeColor="text1"/>
        </w:rPr>
        <w:t xml:space="preserve">) correlations are presented above </w:t>
      </w:r>
      <w:r w:rsidRPr="0002773F">
        <w:rPr>
          <w:color w:val="000000" w:themeColor="text1"/>
        </w:rPr>
        <w:t>the diagonal</w:t>
      </w:r>
      <w:r>
        <w:rPr>
          <w:color w:val="000000" w:themeColor="text1"/>
        </w:rPr>
        <w:t xml:space="preserve"> and Study 2 (</w:t>
      </w:r>
      <w:r w:rsidRPr="003D70B4">
        <w:rPr>
          <w:i/>
        </w:rPr>
        <w:t>N</w:t>
      </w:r>
      <w:r w:rsidRPr="003D70B4">
        <w:t xml:space="preserve"> = </w:t>
      </w:r>
      <w:r>
        <w:t xml:space="preserve">128) </w:t>
      </w:r>
      <w:r>
        <w:rPr>
          <w:color w:val="000000" w:themeColor="text1"/>
        </w:rPr>
        <w:t xml:space="preserve">correlations are presented below </w:t>
      </w:r>
      <w:r w:rsidRPr="0002773F">
        <w:rPr>
          <w:color w:val="000000" w:themeColor="text1"/>
        </w:rPr>
        <w:t>the diagonal</w:t>
      </w:r>
      <w:r w:rsidRPr="003D70B4">
        <w:t>;</w:t>
      </w:r>
      <w:r w:rsidRPr="003D70B4">
        <w:rPr>
          <w:vertAlign w:val="superscript"/>
        </w:rPr>
        <w:t xml:space="preserve"> </w:t>
      </w:r>
    </w:p>
    <w:p w14:paraId="796BFFA3" w14:textId="6904F4F6" w:rsidR="00AE1B71" w:rsidRPr="003D70B4" w:rsidRDefault="00AE1B71" w:rsidP="00AE1B71">
      <w:pPr>
        <w:spacing w:line="480" w:lineRule="auto"/>
      </w:pPr>
      <w:r w:rsidRPr="003D70B4">
        <w:rPr>
          <w:vertAlign w:val="superscript"/>
        </w:rPr>
        <w:t>a</w:t>
      </w:r>
      <w:r w:rsidRPr="003D70B4">
        <w:t xml:space="preserve"> 0 = man; 1 = woman;</w:t>
      </w:r>
      <w:r w:rsidRPr="003D70B4">
        <w:rPr>
          <w:vertAlign w:val="superscript"/>
        </w:rPr>
        <w:t xml:space="preserve"> b</w:t>
      </w:r>
      <w:r w:rsidRPr="003D70B4">
        <w:t xml:space="preserve"> rated by the supervisor.</w:t>
      </w:r>
    </w:p>
    <w:p w14:paraId="3F3AFE6F" w14:textId="035A997D" w:rsidR="00AE1B71" w:rsidRPr="0041230A" w:rsidRDefault="00AE1B71" w:rsidP="00AE1B71">
      <w:pPr>
        <w:spacing w:line="480" w:lineRule="auto"/>
        <w:rPr>
          <w:i/>
        </w:rPr>
      </w:pPr>
      <w:r w:rsidRPr="003D70B4">
        <w:rPr>
          <w:vertAlign w:val="superscript"/>
        </w:rPr>
        <w:t>†</w:t>
      </w:r>
      <w:r w:rsidRPr="003D70B4">
        <w:rPr>
          <w:i/>
        </w:rPr>
        <w:t>p</w:t>
      </w:r>
      <w:r w:rsidRPr="003D70B4">
        <w:t xml:space="preserve"> &lt; .10, *</w:t>
      </w:r>
      <w:r w:rsidRPr="003D70B4">
        <w:rPr>
          <w:i/>
        </w:rPr>
        <w:t>p</w:t>
      </w:r>
      <w:r w:rsidRPr="003D70B4">
        <w:t xml:space="preserve"> &lt; .05, **</w:t>
      </w:r>
      <w:r w:rsidRPr="003D70B4">
        <w:rPr>
          <w:i/>
        </w:rPr>
        <w:t>p</w:t>
      </w:r>
      <w:r w:rsidRPr="003D70B4">
        <w:t xml:space="preserve"> &lt; .01.</w:t>
      </w:r>
    </w:p>
    <w:p w14:paraId="2667DBE7" w14:textId="77777777" w:rsidR="00AE1B71" w:rsidRPr="003D70B4" w:rsidRDefault="00AE1B71" w:rsidP="00A818E9">
      <w:pPr>
        <w:spacing w:line="480" w:lineRule="auto"/>
      </w:pPr>
    </w:p>
    <w:p w14:paraId="71456BFB" w14:textId="77777777" w:rsidR="00A818E9" w:rsidRPr="003D70B4" w:rsidRDefault="00A818E9" w:rsidP="00A818E9">
      <w:pPr>
        <w:spacing w:line="480" w:lineRule="auto"/>
      </w:pPr>
    </w:p>
    <w:p w14:paraId="29308F3A" w14:textId="77777777" w:rsidR="00A818E9" w:rsidRPr="003D70B4" w:rsidRDefault="00A818E9" w:rsidP="00A818E9">
      <w:pPr>
        <w:spacing w:line="480" w:lineRule="auto"/>
        <w:sectPr w:rsidR="00A818E9" w:rsidRPr="003D70B4" w:rsidSect="00A818E9">
          <w:headerReference w:type="default" r:id="rId79"/>
          <w:footerReference w:type="even" r:id="rId80"/>
          <w:footerReference w:type="default" r:id="rId81"/>
          <w:headerReference w:type="first" r:id="rId82"/>
          <w:pgSz w:w="16840" w:h="11900" w:orient="landscape"/>
          <w:pgMar w:top="1440" w:right="1440" w:bottom="1440" w:left="1440" w:header="708" w:footer="708" w:gutter="0"/>
          <w:cols w:space="708"/>
          <w:docGrid w:linePitch="360"/>
        </w:sectPr>
      </w:pPr>
    </w:p>
    <w:p w14:paraId="46F3682E" w14:textId="77777777" w:rsidR="00A818E9" w:rsidRPr="0041230A" w:rsidRDefault="00A818E9" w:rsidP="00A818E9">
      <w:pPr>
        <w:spacing w:line="480" w:lineRule="auto"/>
        <w:outlineLvl w:val="0"/>
        <w:rPr>
          <w:b/>
          <w:bCs/>
        </w:rPr>
      </w:pPr>
      <w:r w:rsidRPr="00D15D0E">
        <w:rPr>
          <w:b/>
          <w:bCs/>
        </w:rPr>
        <w:lastRenderedPageBreak/>
        <w:t>Table 2</w:t>
      </w:r>
    </w:p>
    <w:p w14:paraId="610A7985" w14:textId="07EC4AC9" w:rsidR="00A818E9" w:rsidRPr="00076E4A" w:rsidRDefault="00A818E9" w:rsidP="00A818E9">
      <w:pPr>
        <w:spacing w:line="480" w:lineRule="auto"/>
        <w:rPr>
          <w:i/>
        </w:rPr>
      </w:pPr>
      <w:r w:rsidRPr="0041230A">
        <w:rPr>
          <w:i/>
        </w:rPr>
        <w:t xml:space="preserve">Relation Between </w:t>
      </w:r>
      <w:r w:rsidR="00637D0C" w:rsidRPr="0041230A">
        <w:rPr>
          <w:i/>
        </w:rPr>
        <w:t xml:space="preserve">Employee </w:t>
      </w:r>
      <w:r w:rsidRPr="00AD6A74">
        <w:rPr>
          <w:i/>
        </w:rPr>
        <w:t xml:space="preserve">Narcissism and Promotability as Rated by the </w:t>
      </w:r>
      <w:r w:rsidR="00637D0C" w:rsidRPr="00AD6A74">
        <w:rPr>
          <w:i/>
        </w:rPr>
        <w:t xml:space="preserve">Supervisor </w:t>
      </w:r>
      <w:r w:rsidRPr="00AD6A74">
        <w:rPr>
          <w:i/>
        </w:rPr>
        <w:t>(Study 1</w:t>
      </w:r>
      <w:r w:rsidR="004C28FB">
        <w:rPr>
          <w:i/>
        </w:rPr>
        <w:t xml:space="preserve"> and Study 2</w:t>
      </w:r>
      <w:r w:rsidRPr="00AD6A74">
        <w:rPr>
          <w:i/>
        </w:rPr>
        <w:t>)</w:t>
      </w:r>
    </w:p>
    <w:tbl>
      <w:tblPr>
        <w:tblpPr w:leftFromText="180" w:rightFromText="180" w:vertAnchor="page" w:horzAnchor="margin" w:tblpY="2527"/>
        <w:tblW w:w="12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63"/>
        <w:gridCol w:w="1866"/>
        <w:gridCol w:w="1879"/>
        <w:gridCol w:w="523"/>
        <w:gridCol w:w="1984"/>
        <w:gridCol w:w="1985"/>
      </w:tblGrid>
      <w:tr w:rsidR="00F03F4D" w:rsidRPr="003D70B4" w14:paraId="469E2CC6" w14:textId="77777777" w:rsidTr="00884728">
        <w:trPr>
          <w:trHeight w:val="471"/>
        </w:trPr>
        <w:tc>
          <w:tcPr>
            <w:tcW w:w="4663" w:type="dxa"/>
            <w:tcBorders>
              <w:top w:val="single" w:sz="18" w:space="0" w:color="auto"/>
              <w:left w:val="nil"/>
              <w:bottom w:val="nil"/>
              <w:right w:val="nil"/>
            </w:tcBorders>
            <w:vAlign w:val="center"/>
          </w:tcPr>
          <w:p w14:paraId="4386DC58" w14:textId="77777777" w:rsidR="00F03F4D" w:rsidRPr="003D70B4" w:rsidRDefault="00F03F4D" w:rsidP="004E65BC"/>
        </w:tc>
        <w:tc>
          <w:tcPr>
            <w:tcW w:w="3745" w:type="dxa"/>
            <w:gridSpan w:val="2"/>
            <w:tcBorders>
              <w:top w:val="single" w:sz="18" w:space="0" w:color="auto"/>
              <w:left w:val="nil"/>
              <w:bottom w:val="nil"/>
              <w:right w:val="nil"/>
            </w:tcBorders>
            <w:vAlign w:val="center"/>
          </w:tcPr>
          <w:p w14:paraId="08B929B9" w14:textId="36401955" w:rsidR="00F03F4D" w:rsidRPr="003D70B4" w:rsidRDefault="00F03F4D" w:rsidP="004E65BC">
            <w:pPr>
              <w:jc w:val="center"/>
            </w:pPr>
            <w:r>
              <w:t>Study 1</w:t>
            </w:r>
          </w:p>
        </w:tc>
        <w:tc>
          <w:tcPr>
            <w:tcW w:w="523" w:type="dxa"/>
            <w:tcBorders>
              <w:top w:val="single" w:sz="18" w:space="0" w:color="auto"/>
              <w:left w:val="nil"/>
              <w:bottom w:val="nil"/>
              <w:right w:val="nil"/>
            </w:tcBorders>
          </w:tcPr>
          <w:p w14:paraId="4CBC3133" w14:textId="77777777" w:rsidR="00F03F4D" w:rsidRPr="003D70B4" w:rsidRDefault="00F03F4D" w:rsidP="004E65BC">
            <w:pPr>
              <w:jc w:val="center"/>
            </w:pPr>
          </w:p>
        </w:tc>
        <w:tc>
          <w:tcPr>
            <w:tcW w:w="3969" w:type="dxa"/>
            <w:gridSpan w:val="2"/>
            <w:tcBorders>
              <w:top w:val="single" w:sz="18" w:space="0" w:color="auto"/>
              <w:left w:val="nil"/>
              <w:bottom w:val="nil"/>
              <w:right w:val="nil"/>
            </w:tcBorders>
            <w:vAlign w:val="center"/>
          </w:tcPr>
          <w:p w14:paraId="1B7084AA" w14:textId="7AC7978F" w:rsidR="00F03F4D" w:rsidRPr="003D70B4" w:rsidRDefault="00F03F4D" w:rsidP="004E65BC">
            <w:pPr>
              <w:jc w:val="center"/>
            </w:pPr>
            <w:r>
              <w:t>Study 2</w:t>
            </w:r>
          </w:p>
        </w:tc>
      </w:tr>
      <w:tr w:rsidR="00F03F4D" w:rsidRPr="003D70B4" w14:paraId="379203F7" w14:textId="77777777" w:rsidTr="00884728">
        <w:trPr>
          <w:trHeight w:val="471"/>
        </w:trPr>
        <w:tc>
          <w:tcPr>
            <w:tcW w:w="4663" w:type="dxa"/>
            <w:tcBorders>
              <w:top w:val="nil"/>
              <w:left w:val="nil"/>
              <w:bottom w:val="single" w:sz="4" w:space="0" w:color="auto"/>
              <w:right w:val="nil"/>
            </w:tcBorders>
            <w:vAlign w:val="center"/>
          </w:tcPr>
          <w:p w14:paraId="7F8CA25E" w14:textId="77777777" w:rsidR="00F03F4D" w:rsidRPr="003D70B4" w:rsidRDefault="00F03F4D" w:rsidP="004E65BC"/>
        </w:tc>
        <w:tc>
          <w:tcPr>
            <w:tcW w:w="1866" w:type="dxa"/>
            <w:tcBorders>
              <w:top w:val="single" w:sz="4" w:space="0" w:color="auto"/>
              <w:left w:val="nil"/>
              <w:bottom w:val="nil"/>
              <w:right w:val="nil"/>
            </w:tcBorders>
            <w:vAlign w:val="center"/>
          </w:tcPr>
          <w:p w14:paraId="513DFDE9" w14:textId="6ACF8009" w:rsidR="00F03F4D" w:rsidRPr="003D70B4" w:rsidRDefault="00F03F4D" w:rsidP="004E65BC">
            <w:pPr>
              <w:jc w:val="center"/>
            </w:pPr>
            <w:r w:rsidRPr="003D70B4">
              <w:t>Model 1</w:t>
            </w:r>
          </w:p>
        </w:tc>
        <w:tc>
          <w:tcPr>
            <w:tcW w:w="1879" w:type="dxa"/>
            <w:tcBorders>
              <w:top w:val="single" w:sz="4" w:space="0" w:color="auto"/>
              <w:left w:val="nil"/>
              <w:bottom w:val="nil"/>
              <w:right w:val="nil"/>
            </w:tcBorders>
            <w:vAlign w:val="center"/>
          </w:tcPr>
          <w:p w14:paraId="5242C6F5" w14:textId="356FBEB9" w:rsidR="00F03F4D" w:rsidRPr="003D70B4" w:rsidRDefault="00F03F4D" w:rsidP="004E65BC">
            <w:pPr>
              <w:jc w:val="center"/>
            </w:pPr>
            <w:r w:rsidRPr="003D70B4">
              <w:t>Model 2</w:t>
            </w:r>
          </w:p>
        </w:tc>
        <w:tc>
          <w:tcPr>
            <w:tcW w:w="523" w:type="dxa"/>
            <w:tcBorders>
              <w:top w:val="nil"/>
              <w:left w:val="nil"/>
              <w:bottom w:val="single" w:sz="4" w:space="0" w:color="auto"/>
              <w:right w:val="nil"/>
            </w:tcBorders>
          </w:tcPr>
          <w:p w14:paraId="3E99FF81" w14:textId="03F2ECF6" w:rsidR="00F03F4D" w:rsidRPr="003D70B4" w:rsidRDefault="00F03F4D" w:rsidP="004E65BC">
            <w:pPr>
              <w:jc w:val="center"/>
            </w:pPr>
          </w:p>
        </w:tc>
        <w:tc>
          <w:tcPr>
            <w:tcW w:w="1984" w:type="dxa"/>
            <w:tcBorders>
              <w:top w:val="single" w:sz="4" w:space="0" w:color="auto"/>
              <w:left w:val="nil"/>
              <w:bottom w:val="nil"/>
              <w:right w:val="nil"/>
            </w:tcBorders>
            <w:vAlign w:val="center"/>
          </w:tcPr>
          <w:p w14:paraId="66D793BF" w14:textId="6AB86224" w:rsidR="00F03F4D" w:rsidRPr="003D70B4" w:rsidRDefault="00F03F4D" w:rsidP="004E65BC">
            <w:pPr>
              <w:jc w:val="center"/>
            </w:pPr>
            <w:r w:rsidRPr="003D70B4">
              <w:t>Model 1</w:t>
            </w:r>
          </w:p>
        </w:tc>
        <w:tc>
          <w:tcPr>
            <w:tcW w:w="1985" w:type="dxa"/>
            <w:tcBorders>
              <w:top w:val="single" w:sz="4" w:space="0" w:color="auto"/>
              <w:left w:val="nil"/>
              <w:bottom w:val="nil"/>
              <w:right w:val="nil"/>
            </w:tcBorders>
            <w:vAlign w:val="center"/>
          </w:tcPr>
          <w:p w14:paraId="774BF20E" w14:textId="344FB6A7" w:rsidR="00F03F4D" w:rsidRPr="003D70B4" w:rsidRDefault="00F03F4D" w:rsidP="004E65BC">
            <w:pPr>
              <w:jc w:val="center"/>
            </w:pPr>
            <w:r w:rsidRPr="003D70B4">
              <w:t>Model 2</w:t>
            </w:r>
          </w:p>
        </w:tc>
      </w:tr>
      <w:tr w:rsidR="00F03F4D" w:rsidRPr="003D70B4" w14:paraId="60C7D2A9" w14:textId="7FF63942" w:rsidTr="00884728">
        <w:trPr>
          <w:trHeight w:val="471"/>
        </w:trPr>
        <w:tc>
          <w:tcPr>
            <w:tcW w:w="4663" w:type="dxa"/>
            <w:tcBorders>
              <w:top w:val="single" w:sz="4" w:space="0" w:color="auto"/>
              <w:left w:val="nil"/>
              <w:bottom w:val="nil"/>
              <w:right w:val="nil"/>
            </w:tcBorders>
            <w:vAlign w:val="center"/>
          </w:tcPr>
          <w:p w14:paraId="3E98E6B4" w14:textId="77777777" w:rsidR="00F03F4D" w:rsidRPr="003D70B4" w:rsidRDefault="00F03F4D" w:rsidP="004E65BC">
            <w:r w:rsidRPr="003D70B4">
              <w:t xml:space="preserve">Intercept </w:t>
            </w:r>
          </w:p>
        </w:tc>
        <w:tc>
          <w:tcPr>
            <w:tcW w:w="1866" w:type="dxa"/>
            <w:tcBorders>
              <w:top w:val="single" w:sz="4" w:space="0" w:color="auto"/>
              <w:left w:val="nil"/>
              <w:bottom w:val="nil"/>
              <w:right w:val="nil"/>
            </w:tcBorders>
            <w:vAlign w:val="center"/>
          </w:tcPr>
          <w:p w14:paraId="0AD753E5" w14:textId="77777777" w:rsidR="00F03F4D" w:rsidRPr="008D1F3B" w:rsidRDefault="00F03F4D" w:rsidP="004E65BC">
            <w:pPr>
              <w:jc w:val="center"/>
            </w:pPr>
            <w:r w:rsidRPr="008D1F3B">
              <w:t>4.919 (.193)</w:t>
            </w:r>
            <w:r w:rsidRPr="008D1F3B">
              <w:rPr>
                <w:vertAlign w:val="superscript"/>
              </w:rPr>
              <w:t>**</w:t>
            </w:r>
          </w:p>
        </w:tc>
        <w:tc>
          <w:tcPr>
            <w:tcW w:w="1879" w:type="dxa"/>
            <w:tcBorders>
              <w:top w:val="single" w:sz="4" w:space="0" w:color="auto"/>
              <w:left w:val="nil"/>
              <w:bottom w:val="nil"/>
              <w:right w:val="nil"/>
            </w:tcBorders>
            <w:vAlign w:val="center"/>
          </w:tcPr>
          <w:p w14:paraId="01BA3D21" w14:textId="77777777" w:rsidR="00F03F4D" w:rsidRPr="003D70B4" w:rsidRDefault="00F03F4D" w:rsidP="004E65BC">
            <w:pPr>
              <w:jc w:val="center"/>
            </w:pPr>
            <w:r w:rsidRPr="003D70B4">
              <w:t>4.153 (.344)</w:t>
            </w:r>
            <w:r w:rsidRPr="003D70B4">
              <w:rPr>
                <w:vertAlign w:val="superscript"/>
              </w:rPr>
              <w:t>**</w:t>
            </w:r>
          </w:p>
        </w:tc>
        <w:tc>
          <w:tcPr>
            <w:tcW w:w="523" w:type="dxa"/>
            <w:tcBorders>
              <w:top w:val="single" w:sz="4" w:space="0" w:color="auto"/>
              <w:left w:val="nil"/>
              <w:bottom w:val="nil"/>
              <w:right w:val="nil"/>
            </w:tcBorders>
          </w:tcPr>
          <w:p w14:paraId="57C16213" w14:textId="77777777" w:rsidR="00F03F4D" w:rsidRPr="003D70B4" w:rsidRDefault="00F03F4D" w:rsidP="004E65BC">
            <w:pPr>
              <w:jc w:val="center"/>
            </w:pPr>
          </w:p>
        </w:tc>
        <w:tc>
          <w:tcPr>
            <w:tcW w:w="1984" w:type="dxa"/>
            <w:tcBorders>
              <w:top w:val="single" w:sz="4" w:space="0" w:color="auto"/>
              <w:left w:val="nil"/>
              <w:bottom w:val="nil"/>
              <w:right w:val="nil"/>
            </w:tcBorders>
            <w:vAlign w:val="center"/>
          </w:tcPr>
          <w:p w14:paraId="496EA9DE" w14:textId="34EBDE71" w:rsidR="00F03F4D" w:rsidRPr="003D70B4" w:rsidRDefault="00F03F4D" w:rsidP="004E65BC">
            <w:pPr>
              <w:jc w:val="center"/>
            </w:pPr>
            <w:r w:rsidRPr="003D70B4">
              <w:t>5.368 (.172)</w:t>
            </w:r>
            <w:r w:rsidRPr="003D70B4">
              <w:rPr>
                <w:vertAlign w:val="superscript"/>
              </w:rPr>
              <w:t>**</w:t>
            </w:r>
          </w:p>
        </w:tc>
        <w:tc>
          <w:tcPr>
            <w:tcW w:w="1985" w:type="dxa"/>
            <w:tcBorders>
              <w:top w:val="single" w:sz="4" w:space="0" w:color="auto"/>
              <w:left w:val="nil"/>
              <w:bottom w:val="nil"/>
              <w:right w:val="nil"/>
            </w:tcBorders>
            <w:vAlign w:val="center"/>
          </w:tcPr>
          <w:p w14:paraId="23FF961C" w14:textId="29CDD61C" w:rsidR="00F03F4D" w:rsidRPr="003D70B4" w:rsidRDefault="00F03F4D" w:rsidP="004E65BC">
            <w:pPr>
              <w:jc w:val="center"/>
            </w:pPr>
            <w:r w:rsidRPr="003D70B4">
              <w:t>4.885 (.229)</w:t>
            </w:r>
            <w:r w:rsidRPr="003D70B4">
              <w:rPr>
                <w:vertAlign w:val="superscript"/>
              </w:rPr>
              <w:t>**</w:t>
            </w:r>
          </w:p>
        </w:tc>
      </w:tr>
      <w:tr w:rsidR="00F03F4D" w:rsidRPr="003D70B4" w14:paraId="6B85D7F2" w14:textId="1F2E70D6" w:rsidTr="00F03F4D">
        <w:trPr>
          <w:trHeight w:val="495"/>
        </w:trPr>
        <w:tc>
          <w:tcPr>
            <w:tcW w:w="4663" w:type="dxa"/>
            <w:tcBorders>
              <w:top w:val="nil"/>
              <w:left w:val="nil"/>
              <w:bottom w:val="nil"/>
              <w:right w:val="nil"/>
            </w:tcBorders>
            <w:vAlign w:val="center"/>
          </w:tcPr>
          <w:p w14:paraId="6CE975A9" w14:textId="77777777" w:rsidR="00F03F4D" w:rsidRPr="003D70B4" w:rsidRDefault="00F03F4D" w:rsidP="004E65BC">
            <w:r w:rsidRPr="003D70B4">
              <w:t>Controls</w:t>
            </w:r>
          </w:p>
        </w:tc>
        <w:tc>
          <w:tcPr>
            <w:tcW w:w="1866" w:type="dxa"/>
            <w:tcBorders>
              <w:top w:val="nil"/>
              <w:left w:val="nil"/>
              <w:bottom w:val="nil"/>
              <w:right w:val="nil"/>
            </w:tcBorders>
            <w:vAlign w:val="center"/>
          </w:tcPr>
          <w:p w14:paraId="5353C430" w14:textId="77777777" w:rsidR="00F03F4D" w:rsidRPr="008D1F3B" w:rsidRDefault="00F03F4D" w:rsidP="004E65BC"/>
        </w:tc>
        <w:tc>
          <w:tcPr>
            <w:tcW w:w="1879" w:type="dxa"/>
            <w:tcBorders>
              <w:top w:val="nil"/>
              <w:left w:val="nil"/>
              <w:bottom w:val="nil"/>
              <w:right w:val="nil"/>
            </w:tcBorders>
            <w:vAlign w:val="center"/>
          </w:tcPr>
          <w:p w14:paraId="4F9A3F93" w14:textId="77777777" w:rsidR="00F03F4D" w:rsidRPr="003D70B4" w:rsidRDefault="00F03F4D" w:rsidP="004E65BC"/>
        </w:tc>
        <w:tc>
          <w:tcPr>
            <w:tcW w:w="523" w:type="dxa"/>
            <w:tcBorders>
              <w:top w:val="nil"/>
              <w:left w:val="nil"/>
              <w:bottom w:val="nil"/>
              <w:right w:val="nil"/>
            </w:tcBorders>
          </w:tcPr>
          <w:p w14:paraId="12A63697" w14:textId="77777777" w:rsidR="00F03F4D" w:rsidRPr="003D70B4" w:rsidRDefault="00F03F4D" w:rsidP="004E65BC"/>
        </w:tc>
        <w:tc>
          <w:tcPr>
            <w:tcW w:w="1984" w:type="dxa"/>
            <w:tcBorders>
              <w:top w:val="nil"/>
              <w:left w:val="nil"/>
              <w:bottom w:val="nil"/>
              <w:right w:val="nil"/>
            </w:tcBorders>
            <w:vAlign w:val="center"/>
          </w:tcPr>
          <w:p w14:paraId="481B4021" w14:textId="30DC689E" w:rsidR="00F03F4D" w:rsidRPr="003D70B4" w:rsidRDefault="00F03F4D" w:rsidP="004E65BC"/>
        </w:tc>
        <w:tc>
          <w:tcPr>
            <w:tcW w:w="1985" w:type="dxa"/>
            <w:tcBorders>
              <w:top w:val="nil"/>
              <w:left w:val="nil"/>
              <w:bottom w:val="nil"/>
              <w:right w:val="nil"/>
            </w:tcBorders>
            <w:vAlign w:val="center"/>
          </w:tcPr>
          <w:p w14:paraId="53AB9237" w14:textId="77777777" w:rsidR="00F03F4D" w:rsidRPr="003D70B4" w:rsidRDefault="00F03F4D" w:rsidP="004E65BC"/>
        </w:tc>
      </w:tr>
      <w:tr w:rsidR="00F03F4D" w:rsidRPr="003D70B4" w14:paraId="6EC22340" w14:textId="781524F7" w:rsidTr="00F03F4D">
        <w:trPr>
          <w:trHeight w:val="565"/>
        </w:trPr>
        <w:tc>
          <w:tcPr>
            <w:tcW w:w="4663" w:type="dxa"/>
            <w:tcBorders>
              <w:top w:val="nil"/>
              <w:left w:val="nil"/>
              <w:bottom w:val="nil"/>
              <w:right w:val="nil"/>
            </w:tcBorders>
            <w:vAlign w:val="center"/>
          </w:tcPr>
          <w:p w14:paraId="08BA4E30" w14:textId="326771AC" w:rsidR="00F03F4D" w:rsidRPr="003D70B4" w:rsidRDefault="00705E58" w:rsidP="004E65BC">
            <w:r>
              <w:t xml:space="preserve"> </w:t>
            </w:r>
            <w:r w:rsidR="00F03F4D" w:rsidRPr="003D70B4">
              <w:t>Gender</w:t>
            </w:r>
            <w:r w:rsidR="00F03F4D" w:rsidRPr="003D70B4">
              <w:rPr>
                <w:vertAlign w:val="superscript"/>
              </w:rPr>
              <w:t xml:space="preserve"> a</w:t>
            </w:r>
          </w:p>
        </w:tc>
        <w:tc>
          <w:tcPr>
            <w:tcW w:w="1866" w:type="dxa"/>
            <w:tcBorders>
              <w:top w:val="nil"/>
              <w:left w:val="nil"/>
              <w:bottom w:val="nil"/>
              <w:right w:val="nil"/>
            </w:tcBorders>
            <w:vAlign w:val="center"/>
          </w:tcPr>
          <w:p w14:paraId="6E5630DF" w14:textId="7557086D" w:rsidR="00F03F4D" w:rsidRPr="008D1F3B" w:rsidRDefault="00C96374" w:rsidP="004E65BC">
            <w:pPr>
              <w:jc w:val="center"/>
            </w:pPr>
            <w:r w:rsidRPr="008D1F3B">
              <w:t>–</w:t>
            </w:r>
            <w:r w:rsidR="00F03F4D" w:rsidRPr="008D1F3B">
              <w:t>.007</w:t>
            </w:r>
            <w:r w:rsidR="00F03F4D" w:rsidRPr="008D1F3B">
              <w:rPr>
                <w:vertAlign w:val="superscript"/>
              </w:rPr>
              <w:t xml:space="preserve"> </w:t>
            </w:r>
            <w:r w:rsidR="00F03F4D" w:rsidRPr="008D1F3B">
              <w:t>(.268)</w:t>
            </w:r>
          </w:p>
        </w:tc>
        <w:tc>
          <w:tcPr>
            <w:tcW w:w="1879" w:type="dxa"/>
            <w:tcBorders>
              <w:top w:val="nil"/>
              <w:left w:val="nil"/>
              <w:bottom w:val="nil"/>
              <w:right w:val="nil"/>
            </w:tcBorders>
            <w:vAlign w:val="center"/>
          </w:tcPr>
          <w:p w14:paraId="7B9DC602" w14:textId="26EB2F7E" w:rsidR="00F03F4D" w:rsidRPr="003D70B4" w:rsidRDefault="00F03F4D" w:rsidP="004E65BC">
            <w:pPr>
              <w:jc w:val="center"/>
            </w:pPr>
            <w:r w:rsidRPr="003D70B4">
              <w:t>.105</w:t>
            </w:r>
            <w:r w:rsidRPr="003D70B4">
              <w:rPr>
                <w:vertAlign w:val="superscript"/>
              </w:rPr>
              <w:t xml:space="preserve"> </w:t>
            </w:r>
            <w:r w:rsidRPr="003D70B4">
              <w:t>(.266)</w:t>
            </w:r>
          </w:p>
        </w:tc>
        <w:tc>
          <w:tcPr>
            <w:tcW w:w="523" w:type="dxa"/>
            <w:tcBorders>
              <w:top w:val="nil"/>
              <w:left w:val="nil"/>
              <w:bottom w:val="nil"/>
              <w:right w:val="nil"/>
            </w:tcBorders>
          </w:tcPr>
          <w:p w14:paraId="59EDB6BD" w14:textId="77777777" w:rsidR="00F03F4D" w:rsidRPr="003D70B4" w:rsidRDefault="00F03F4D" w:rsidP="004E65BC">
            <w:pPr>
              <w:jc w:val="center"/>
            </w:pPr>
          </w:p>
        </w:tc>
        <w:tc>
          <w:tcPr>
            <w:tcW w:w="1984" w:type="dxa"/>
            <w:tcBorders>
              <w:top w:val="nil"/>
              <w:left w:val="nil"/>
              <w:bottom w:val="nil"/>
              <w:right w:val="nil"/>
            </w:tcBorders>
            <w:vAlign w:val="center"/>
          </w:tcPr>
          <w:p w14:paraId="11228D6A" w14:textId="2789ABD9" w:rsidR="00F03F4D" w:rsidRPr="003D70B4" w:rsidRDefault="00C96374" w:rsidP="004E65BC">
            <w:pPr>
              <w:jc w:val="center"/>
            </w:pPr>
            <w:r w:rsidRPr="00C96374">
              <w:t>–</w:t>
            </w:r>
            <w:r w:rsidR="00F03F4D" w:rsidRPr="00C96374">
              <w:t>.</w:t>
            </w:r>
            <w:r w:rsidR="00F03F4D" w:rsidRPr="003D70B4">
              <w:t>135</w:t>
            </w:r>
            <w:r w:rsidR="00F03F4D" w:rsidRPr="003D70B4">
              <w:rPr>
                <w:vertAlign w:val="superscript"/>
              </w:rPr>
              <w:t xml:space="preserve"> </w:t>
            </w:r>
            <w:r w:rsidR="00F03F4D" w:rsidRPr="003D70B4">
              <w:t>(.207)</w:t>
            </w:r>
          </w:p>
        </w:tc>
        <w:tc>
          <w:tcPr>
            <w:tcW w:w="1985" w:type="dxa"/>
            <w:tcBorders>
              <w:top w:val="nil"/>
              <w:left w:val="nil"/>
              <w:bottom w:val="nil"/>
              <w:right w:val="nil"/>
            </w:tcBorders>
            <w:vAlign w:val="center"/>
          </w:tcPr>
          <w:p w14:paraId="5E380187" w14:textId="67926AB6" w:rsidR="00F03F4D" w:rsidRPr="003D70B4" w:rsidRDefault="00F03F4D" w:rsidP="004E65BC">
            <w:pPr>
              <w:jc w:val="center"/>
            </w:pPr>
            <w:r w:rsidRPr="003D70B4">
              <w:t>.051</w:t>
            </w:r>
            <w:r w:rsidRPr="003D70B4">
              <w:rPr>
                <w:vertAlign w:val="superscript"/>
              </w:rPr>
              <w:t xml:space="preserve"> </w:t>
            </w:r>
            <w:r w:rsidRPr="003D70B4">
              <w:t>(.206)</w:t>
            </w:r>
          </w:p>
        </w:tc>
      </w:tr>
      <w:tr w:rsidR="00F03F4D" w:rsidRPr="003D70B4" w14:paraId="1A650E7F" w14:textId="259F842B" w:rsidTr="00F03F4D">
        <w:trPr>
          <w:trHeight w:val="537"/>
        </w:trPr>
        <w:tc>
          <w:tcPr>
            <w:tcW w:w="4663" w:type="dxa"/>
            <w:tcBorders>
              <w:top w:val="nil"/>
              <w:left w:val="nil"/>
              <w:bottom w:val="nil"/>
              <w:right w:val="nil"/>
            </w:tcBorders>
            <w:vAlign w:val="center"/>
          </w:tcPr>
          <w:p w14:paraId="28CF3714" w14:textId="70B1E6EC" w:rsidR="00F03F4D" w:rsidRPr="003D70B4" w:rsidRDefault="00705E58" w:rsidP="004E65BC">
            <w:r>
              <w:t xml:space="preserve"> </w:t>
            </w:r>
            <w:r w:rsidR="00F03F4D" w:rsidRPr="003D70B4">
              <w:t>Tenure</w:t>
            </w:r>
          </w:p>
        </w:tc>
        <w:tc>
          <w:tcPr>
            <w:tcW w:w="1866" w:type="dxa"/>
            <w:tcBorders>
              <w:top w:val="nil"/>
              <w:left w:val="nil"/>
              <w:bottom w:val="nil"/>
              <w:right w:val="nil"/>
            </w:tcBorders>
            <w:vAlign w:val="center"/>
          </w:tcPr>
          <w:p w14:paraId="3080B23D" w14:textId="77777777" w:rsidR="00F03F4D" w:rsidRPr="008D1F3B" w:rsidRDefault="00F03F4D" w:rsidP="004E65BC">
            <w:pPr>
              <w:jc w:val="center"/>
            </w:pPr>
            <w:r w:rsidRPr="008D1F3B">
              <w:t>–.004 (.001)</w:t>
            </w:r>
            <w:r w:rsidRPr="008D1F3B">
              <w:rPr>
                <w:vertAlign w:val="superscript"/>
              </w:rPr>
              <w:t>*</w:t>
            </w:r>
          </w:p>
        </w:tc>
        <w:tc>
          <w:tcPr>
            <w:tcW w:w="1879" w:type="dxa"/>
            <w:tcBorders>
              <w:top w:val="nil"/>
              <w:left w:val="nil"/>
              <w:bottom w:val="nil"/>
              <w:right w:val="nil"/>
            </w:tcBorders>
            <w:vAlign w:val="center"/>
          </w:tcPr>
          <w:p w14:paraId="54429BEF" w14:textId="77777777" w:rsidR="00F03F4D" w:rsidRPr="003D70B4" w:rsidRDefault="00F03F4D" w:rsidP="004E65BC">
            <w:pPr>
              <w:jc w:val="center"/>
            </w:pPr>
            <w:r w:rsidRPr="003D70B4">
              <w:t>–.003 (.001)</w:t>
            </w:r>
            <w:r w:rsidRPr="003D70B4">
              <w:rPr>
                <w:vertAlign w:val="superscript"/>
              </w:rPr>
              <w:t>†</w:t>
            </w:r>
          </w:p>
        </w:tc>
        <w:tc>
          <w:tcPr>
            <w:tcW w:w="523" w:type="dxa"/>
            <w:tcBorders>
              <w:top w:val="nil"/>
              <w:left w:val="nil"/>
              <w:bottom w:val="nil"/>
              <w:right w:val="nil"/>
            </w:tcBorders>
          </w:tcPr>
          <w:p w14:paraId="7D67C218" w14:textId="77777777" w:rsidR="00F03F4D" w:rsidRPr="003D70B4" w:rsidRDefault="00F03F4D" w:rsidP="004E65BC">
            <w:pPr>
              <w:jc w:val="center"/>
            </w:pPr>
          </w:p>
        </w:tc>
        <w:tc>
          <w:tcPr>
            <w:tcW w:w="1984" w:type="dxa"/>
            <w:tcBorders>
              <w:top w:val="nil"/>
              <w:left w:val="nil"/>
              <w:bottom w:val="nil"/>
              <w:right w:val="nil"/>
            </w:tcBorders>
            <w:vAlign w:val="center"/>
          </w:tcPr>
          <w:p w14:paraId="5C9323B7" w14:textId="0F885D16" w:rsidR="00F03F4D" w:rsidRPr="003D70B4" w:rsidRDefault="00F03F4D" w:rsidP="004E65BC">
            <w:pPr>
              <w:jc w:val="center"/>
            </w:pPr>
            <w:r w:rsidRPr="003D70B4">
              <w:t>–.019</w:t>
            </w:r>
            <w:r w:rsidRPr="003D70B4">
              <w:rPr>
                <w:vertAlign w:val="superscript"/>
              </w:rPr>
              <w:t xml:space="preserve"> </w:t>
            </w:r>
            <w:r w:rsidRPr="003D70B4">
              <w:t>(.014)</w:t>
            </w:r>
          </w:p>
        </w:tc>
        <w:tc>
          <w:tcPr>
            <w:tcW w:w="1985" w:type="dxa"/>
            <w:tcBorders>
              <w:top w:val="nil"/>
              <w:left w:val="nil"/>
              <w:bottom w:val="nil"/>
              <w:right w:val="nil"/>
            </w:tcBorders>
            <w:vAlign w:val="center"/>
          </w:tcPr>
          <w:p w14:paraId="739E1D37" w14:textId="26E12963" w:rsidR="00F03F4D" w:rsidRPr="003D70B4" w:rsidRDefault="00F03F4D" w:rsidP="004E65BC">
            <w:pPr>
              <w:jc w:val="center"/>
            </w:pPr>
            <w:r w:rsidRPr="003D70B4">
              <w:t>–.015</w:t>
            </w:r>
            <w:r w:rsidRPr="003D70B4">
              <w:rPr>
                <w:vertAlign w:val="superscript"/>
              </w:rPr>
              <w:t xml:space="preserve"> </w:t>
            </w:r>
            <w:r w:rsidRPr="003D70B4">
              <w:t>(.013)</w:t>
            </w:r>
          </w:p>
        </w:tc>
      </w:tr>
      <w:tr w:rsidR="00F03F4D" w:rsidRPr="003D70B4" w14:paraId="7A216937" w14:textId="13D3BEA5" w:rsidTr="00F03F4D">
        <w:trPr>
          <w:trHeight w:val="475"/>
        </w:trPr>
        <w:tc>
          <w:tcPr>
            <w:tcW w:w="4663" w:type="dxa"/>
            <w:tcBorders>
              <w:top w:val="nil"/>
              <w:left w:val="nil"/>
              <w:bottom w:val="nil"/>
              <w:right w:val="nil"/>
            </w:tcBorders>
            <w:vAlign w:val="center"/>
          </w:tcPr>
          <w:p w14:paraId="31E9DC7A" w14:textId="77777777" w:rsidR="00F03F4D" w:rsidRPr="003D70B4" w:rsidRDefault="00F03F4D" w:rsidP="004E65BC">
            <w:r w:rsidRPr="003D70B4">
              <w:t>Predictor</w:t>
            </w:r>
          </w:p>
        </w:tc>
        <w:tc>
          <w:tcPr>
            <w:tcW w:w="1866" w:type="dxa"/>
            <w:tcBorders>
              <w:top w:val="nil"/>
              <w:left w:val="nil"/>
              <w:bottom w:val="nil"/>
              <w:right w:val="nil"/>
            </w:tcBorders>
            <w:vAlign w:val="center"/>
          </w:tcPr>
          <w:p w14:paraId="73BC12F4" w14:textId="77777777" w:rsidR="00F03F4D" w:rsidRPr="008D1F3B" w:rsidRDefault="00F03F4D" w:rsidP="004E65BC">
            <w:pPr>
              <w:jc w:val="center"/>
            </w:pPr>
          </w:p>
        </w:tc>
        <w:tc>
          <w:tcPr>
            <w:tcW w:w="1879" w:type="dxa"/>
            <w:tcBorders>
              <w:top w:val="nil"/>
              <w:left w:val="nil"/>
              <w:bottom w:val="nil"/>
              <w:right w:val="nil"/>
            </w:tcBorders>
            <w:vAlign w:val="center"/>
          </w:tcPr>
          <w:p w14:paraId="1130044B" w14:textId="77777777" w:rsidR="00F03F4D" w:rsidRPr="003D70B4" w:rsidRDefault="00F03F4D" w:rsidP="004E65BC">
            <w:pPr>
              <w:jc w:val="center"/>
            </w:pPr>
          </w:p>
        </w:tc>
        <w:tc>
          <w:tcPr>
            <w:tcW w:w="523" w:type="dxa"/>
            <w:tcBorders>
              <w:top w:val="nil"/>
              <w:left w:val="nil"/>
              <w:bottom w:val="nil"/>
              <w:right w:val="nil"/>
            </w:tcBorders>
          </w:tcPr>
          <w:p w14:paraId="37786276" w14:textId="77777777" w:rsidR="00F03F4D" w:rsidRPr="003D70B4" w:rsidRDefault="00F03F4D" w:rsidP="004E65BC">
            <w:pPr>
              <w:jc w:val="center"/>
            </w:pPr>
          </w:p>
        </w:tc>
        <w:tc>
          <w:tcPr>
            <w:tcW w:w="1984" w:type="dxa"/>
            <w:tcBorders>
              <w:top w:val="nil"/>
              <w:left w:val="nil"/>
              <w:bottom w:val="nil"/>
              <w:right w:val="nil"/>
            </w:tcBorders>
            <w:vAlign w:val="center"/>
          </w:tcPr>
          <w:p w14:paraId="64D75248" w14:textId="108E2043" w:rsidR="00F03F4D" w:rsidRPr="003D70B4" w:rsidRDefault="00F03F4D" w:rsidP="004E65BC">
            <w:pPr>
              <w:jc w:val="center"/>
            </w:pPr>
          </w:p>
        </w:tc>
        <w:tc>
          <w:tcPr>
            <w:tcW w:w="1985" w:type="dxa"/>
            <w:tcBorders>
              <w:top w:val="nil"/>
              <w:left w:val="nil"/>
              <w:bottom w:val="nil"/>
              <w:right w:val="nil"/>
            </w:tcBorders>
            <w:vAlign w:val="center"/>
          </w:tcPr>
          <w:p w14:paraId="3D457691" w14:textId="77777777" w:rsidR="00F03F4D" w:rsidRPr="003D70B4" w:rsidRDefault="00F03F4D" w:rsidP="004E65BC">
            <w:pPr>
              <w:jc w:val="center"/>
            </w:pPr>
          </w:p>
        </w:tc>
      </w:tr>
      <w:tr w:rsidR="00F03F4D" w:rsidRPr="003D70B4" w14:paraId="7B002699" w14:textId="2CE25C1D" w:rsidTr="00F03F4D">
        <w:trPr>
          <w:trHeight w:val="565"/>
        </w:trPr>
        <w:tc>
          <w:tcPr>
            <w:tcW w:w="4663" w:type="dxa"/>
            <w:tcBorders>
              <w:top w:val="nil"/>
              <w:left w:val="nil"/>
              <w:bottom w:val="nil"/>
              <w:right w:val="nil"/>
            </w:tcBorders>
            <w:vAlign w:val="center"/>
          </w:tcPr>
          <w:p w14:paraId="6ECE571E" w14:textId="13DBA115" w:rsidR="00F03F4D" w:rsidRPr="003D70B4" w:rsidRDefault="00705E58" w:rsidP="004E65BC">
            <w:r>
              <w:t xml:space="preserve"> </w:t>
            </w:r>
            <w:r w:rsidR="00F03F4D" w:rsidRPr="003D70B4">
              <w:t>Narcissism</w:t>
            </w:r>
          </w:p>
        </w:tc>
        <w:tc>
          <w:tcPr>
            <w:tcW w:w="1866" w:type="dxa"/>
            <w:tcBorders>
              <w:top w:val="nil"/>
              <w:left w:val="nil"/>
              <w:bottom w:val="nil"/>
              <w:right w:val="nil"/>
            </w:tcBorders>
            <w:vAlign w:val="center"/>
          </w:tcPr>
          <w:p w14:paraId="7CF108B7" w14:textId="77777777" w:rsidR="00F03F4D" w:rsidRPr="003D70B4" w:rsidRDefault="00F03F4D" w:rsidP="004E65BC">
            <w:pPr>
              <w:jc w:val="center"/>
            </w:pPr>
          </w:p>
        </w:tc>
        <w:tc>
          <w:tcPr>
            <w:tcW w:w="1879" w:type="dxa"/>
            <w:tcBorders>
              <w:top w:val="nil"/>
              <w:left w:val="nil"/>
              <w:bottom w:val="nil"/>
              <w:right w:val="nil"/>
            </w:tcBorders>
            <w:vAlign w:val="center"/>
          </w:tcPr>
          <w:p w14:paraId="45E84732" w14:textId="77777777" w:rsidR="00F03F4D" w:rsidRPr="003D70B4" w:rsidRDefault="00F03F4D" w:rsidP="004E65BC">
            <w:pPr>
              <w:jc w:val="center"/>
            </w:pPr>
            <w:r w:rsidRPr="003D70B4">
              <w:t xml:space="preserve"> .053 (.020)</w:t>
            </w:r>
            <w:r w:rsidRPr="003D70B4">
              <w:rPr>
                <w:vertAlign w:val="superscript"/>
              </w:rPr>
              <w:t>**</w:t>
            </w:r>
          </w:p>
        </w:tc>
        <w:tc>
          <w:tcPr>
            <w:tcW w:w="523" w:type="dxa"/>
            <w:tcBorders>
              <w:top w:val="nil"/>
              <w:left w:val="nil"/>
              <w:bottom w:val="nil"/>
              <w:right w:val="nil"/>
            </w:tcBorders>
          </w:tcPr>
          <w:p w14:paraId="09962832" w14:textId="77777777" w:rsidR="00F03F4D" w:rsidRPr="003D70B4" w:rsidRDefault="00F03F4D" w:rsidP="004E65BC">
            <w:pPr>
              <w:jc w:val="center"/>
            </w:pPr>
          </w:p>
        </w:tc>
        <w:tc>
          <w:tcPr>
            <w:tcW w:w="1984" w:type="dxa"/>
            <w:tcBorders>
              <w:top w:val="nil"/>
              <w:left w:val="nil"/>
              <w:bottom w:val="nil"/>
              <w:right w:val="nil"/>
            </w:tcBorders>
            <w:vAlign w:val="center"/>
          </w:tcPr>
          <w:p w14:paraId="495ACCE0" w14:textId="20662495" w:rsidR="00F03F4D" w:rsidRPr="003D70B4" w:rsidRDefault="00F03F4D" w:rsidP="004E65BC">
            <w:pPr>
              <w:jc w:val="center"/>
            </w:pPr>
          </w:p>
        </w:tc>
        <w:tc>
          <w:tcPr>
            <w:tcW w:w="1985" w:type="dxa"/>
            <w:tcBorders>
              <w:top w:val="nil"/>
              <w:left w:val="nil"/>
              <w:bottom w:val="nil"/>
              <w:right w:val="nil"/>
            </w:tcBorders>
            <w:vAlign w:val="center"/>
          </w:tcPr>
          <w:p w14:paraId="02F48A4C" w14:textId="26FD74BD" w:rsidR="00F03F4D" w:rsidRPr="003D70B4" w:rsidRDefault="00F03F4D" w:rsidP="004E65BC">
            <w:pPr>
              <w:jc w:val="center"/>
            </w:pPr>
            <w:r w:rsidRPr="003D70B4">
              <w:t>.111 (.035)</w:t>
            </w:r>
            <w:r w:rsidRPr="003D70B4">
              <w:rPr>
                <w:vertAlign w:val="superscript"/>
              </w:rPr>
              <w:t>**</w:t>
            </w:r>
          </w:p>
        </w:tc>
      </w:tr>
      <w:tr w:rsidR="00F03F4D" w:rsidRPr="003D70B4" w14:paraId="2CDB7F02" w14:textId="7A6A3D34" w:rsidTr="00884728">
        <w:trPr>
          <w:trHeight w:val="565"/>
        </w:trPr>
        <w:tc>
          <w:tcPr>
            <w:tcW w:w="4663" w:type="dxa"/>
            <w:tcBorders>
              <w:top w:val="nil"/>
              <w:left w:val="nil"/>
              <w:bottom w:val="nil"/>
              <w:right w:val="nil"/>
            </w:tcBorders>
            <w:vAlign w:val="center"/>
          </w:tcPr>
          <w:p w14:paraId="4FD5A8D4" w14:textId="77777777" w:rsidR="00F03F4D" w:rsidRPr="003D70B4" w:rsidRDefault="00F03F4D" w:rsidP="004E65BC">
            <w:r w:rsidRPr="003D70B4">
              <w:t xml:space="preserve">Conditional </w:t>
            </w:r>
            <w:r w:rsidRPr="003D70B4">
              <w:rPr>
                <w:i/>
              </w:rPr>
              <w:t>R</w:t>
            </w:r>
            <w:r w:rsidRPr="00B34AC6">
              <w:rPr>
                <w:iCs/>
                <w:vertAlign w:val="superscript"/>
              </w:rPr>
              <w:t>2</w:t>
            </w:r>
          </w:p>
        </w:tc>
        <w:tc>
          <w:tcPr>
            <w:tcW w:w="1866" w:type="dxa"/>
            <w:tcBorders>
              <w:top w:val="nil"/>
              <w:left w:val="nil"/>
              <w:bottom w:val="nil"/>
              <w:right w:val="nil"/>
            </w:tcBorders>
            <w:vAlign w:val="center"/>
          </w:tcPr>
          <w:p w14:paraId="52BAA08F" w14:textId="77777777" w:rsidR="00F03F4D" w:rsidRPr="003D70B4" w:rsidRDefault="00F03F4D" w:rsidP="004E65BC">
            <w:pPr>
              <w:jc w:val="center"/>
            </w:pPr>
            <w:r w:rsidRPr="003D70B4">
              <w:t>.178</w:t>
            </w:r>
          </w:p>
        </w:tc>
        <w:tc>
          <w:tcPr>
            <w:tcW w:w="1879" w:type="dxa"/>
            <w:tcBorders>
              <w:top w:val="nil"/>
              <w:left w:val="nil"/>
              <w:bottom w:val="nil"/>
              <w:right w:val="nil"/>
            </w:tcBorders>
            <w:vAlign w:val="center"/>
          </w:tcPr>
          <w:p w14:paraId="5CAE7C18" w14:textId="77777777" w:rsidR="00F03F4D" w:rsidRPr="003D70B4" w:rsidRDefault="00F03F4D" w:rsidP="004E65BC">
            <w:pPr>
              <w:jc w:val="center"/>
            </w:pPr>
            <w:r w:rsidRPr="003D70B4">
              <w:t>.256</w:t>
            </w:r>
          </w:p>
        </w:tc>
        <w:tc>
          <w:tcPr>
            <w:tcW w:w="523" w:type="dxa"/>
            <w:tcBorders>
              <w:top w:val="nil"/>
              <w:left w:val="nil"/>
              <w:bottom w:val="nil"/>
              <w:right w:val="nil"/>
            </w:tcBorders>
          </w:tcPr>
          <w:p w14:paraId="2CEC2635" w14:textId="77777777" w:rsidR="00F03F4D" w:rsidRPr="003D70B4" w:rsidRDefault="00F03F4D" w:rsidP="004E65BC">
            <w:pPr>
              <w:jc w:val="center"/>
            </w:pPr>
          </w:p>
        </w:tc>
        <w:tc>
          <w:tcPr>
            <w:tcW w:w="1984" w:type="dxa"/>
            <w:tcBorders>
              <w:top w:val="nil"/>
              <w:left w:val="nil"/>
              <w:bottom w:val="nil"/>
              <w:right w:val="nil"/>
            </w:tcBorders>
            <w:vAlign w:val="center"/>
          </w:tcPr>
          <w:p w14:paraId="33D1199E" w14:textId="6090C541" w:rsidR="00F03F4D" w:rsidRPr="003D70B4" w:rsidRDefault="00F03F4D" w:rsidP="004E65BC">
            <w:pPr>
              <w:jc w:val="center"/>
            </w:pPr>
            <w:r w:rsidRPr="003D70B4">
              <w:t>.490</w:t>
            </w:r>
          </w:p>
        </w:tc>
        <w:tc>
          <w:tcPr>
            <w:tcW w:w="1985" w:type="dxa"/>
            <w:tcBorders>
              <w:top w:val="nil"/>
              <w:left w:val="nil"/>
              <w:bottom w:val="nil"/>
              <w:right w:val="nil"/>
            </w:tcBorders>
            <w:vAlign w:val="center"/>
          </w:tcPr>
          <w:p w14:paraId="58BAEB8D" w14:textId="57C36F69" w:rsidR="00F03F4D" w:rsidRPr="003D70B4" w:rsidRDefault="00F03F4D" w:rsidP="004E65BC">
            <w:pPr>
              <w:jc w:val="center"/>
            </w:pPr>
            <w:r w:rsidRPr="003D70B4">
              <w:t>.572</w:t>
            </w:r>
          </w:p>
        </w:tc>
      </w:tr>
      <w:tr w:rsidR="00F03F4D" w:rsidRPr="003D70B4" w14:paraId="389A1688" w14:textId="15EB7424" w:rsidTr="009B7728">
        <w:trPr>
          <w:trHeight w:val="565"/>
        </w:trPr>
        <w:tc>
          <w:tcPr>
            <w:tcW w:w="4663" w:type="dxa"/>
            <w:tcBorders>
              <w:top w:val="nil"/>
              <w:left w:val="nil"/>
              <w:bottom w:val="nil"/>
              <w:right w:val="nil"/>
            </w:tcBorders>
            <w:vAlign w:val="center"/>
          </w:tcPr>
          <w:p w14:paraId="7BA444D7" w14:textId="77777777" w:rsidR="00F03F4D" w:rsidRPr="003D70B4" w:rsidRDefault="00F03F4D" w:rsidP="004E65BC">
            <w:r w:rsidRPr="003D70B4">
              <w:t xml:space="preserve">Marginal </w:t>
            </w:r>
            <w:r w:rsidRPr="003D70B4">
              <w:rPr>
                <w:i/>
              </w:rPr>
              <w:t>R</w:t>
            </w:r>
            <w:r w:rsidRPr="00826DD6">
              <w:rPr>
                <w:iCs/>
                <w:vertAlign w:val="superscript"/>
              </w:rPr>
              <w:t>2</w:t>
            </w:r>
          </w:p>
        </w:tc>
        <w:tc>
          <w:tcPr>
            <w:tcW w:w="1866" w:type="dxa"/>
            <w:tcBorders>
              <w:top w:val="nil"/>
              <w:left w:val="nil"/>
              <w:bottom w:val="nil"/>
              <w:right w:val="nil"/>
            </w:tcBorders>
            <w:vAlign w:val="center"/>
          </w:tcPr>
          <w:p w14:paraId="67F1F97E" w14:textId="77777777" w:rsidR="00F03F4D" w:rsidRPr="003D70B4" w:rsidRDefault="00F03F4D" w:rsidP="004E65BC">
            <w:pPr>
              <w:jc w:val="center"/>
            </w:pPr>
            <w:r w:rsidRPr="003D70B4">
              <w:t>.041</w:t>
            </w:r>
          </w:p>
        </w:tc>
        <w:tc>
          <w:tcPr>
            <w:tcW w:w="1879" w:type="dxa"/>
            <w:tcBorders>
              <w:top w:val="nil"/>
              <w:left w:val="nil"/>
              <w:bottom w:val="nil"/>
              <w:right w:val="nil"/>
            </w:tcBorders>
            <w:vAlign w:val="center"/>
          </w:tcPr>
          <w:p w14:paraId="48FD4DAF" w14:textId="77777777" w:rsidR="00F03F4D" w:rsidRPr="003D70B4" w:rsidRDefault="00F03F4D" w:rsidP="004E65BC">
            <w:pPr>
              <w:jc w:val="center"/>
            </w:pPr>
            <w:r w:rsidRPr="003D70B4">
              <w:t>.086</w:t>
            </w:r>
          </w:p>
        </w:tc>
        <w:tc>
          <w:tcPr>
            <w:tcW w:w="523" w:type="dxa"/>
            <w:tcBorders>
              <w:top w:val="nil"/>
              <w:left w:val="nil"/>
              <w:bottom w:val="nil"/>
              <w:right w:val="nil"/>
            </w:tcBorders>
          </w:tcPr>
          <w:p w14:paraId="7B698B3B" w14:textId="77777777" w:rsidR="00F03F4D" w:rsidRPr="003D70B4" w:rsidRDefault="00F03F4D" w:rsidP="004E65BC">
            <w:pPr>
              <w:jc w:val="center"/>
            </w:pPr>
          </w:p>
        </w:tc>
        <w:tc>
          <w:tcPr>
            <w:tcW w:w="1984" w:type="dxa"/>
            <w:tcBorders>
              <w:top w:val="nil"/>
              <w:left w:val="nil"/>
              <w:bottom w:val="nil"/>
              <w:right w:val="nil"/>
            </w:tcBorders>
            <w:vAlign w:val="center"/>
          </w:tcPr>
          <w:p w14:paraId="19C4594D" w14:textId="7A827FB0" w:rsidR="00F03F4D" w:rsidRPr="003D70B4" w:rsidRDefault="00F03F4D" w:rsidP="004E65BC">
            <w:pPr>
              <w:jc w:val="center"/>
            </w:pPr>
            <w:r w:rsidRPr="003D70B4">
              <w:t>.017</w:t>
            </w:r>
          </w:p>
        </w:tc>
        <w:tc>
          <w:tcPr>
            <w:tcW w:w="1985" w:type="dxa"/>
            <w:tcBorders>
              <w:top w:val="nil"/>
              <w:left w:val="nil"/>
              <w:bottom w:val="nil"/>
              <w:right w:val="nil"/>
            </w:tcBorders>
            <w:vAlign w:val="center"/>
          </w:tcPr>
          <w:p w14:paraId="04D33C7C" w14:textId="38119AF3" w:rsidR="00F03F4D" w:rsidRPr="003D70B4" w:rsidRDefault="00F03F4D" w:rsidP="004E65BC">
            <w:pPr>
              <w:jc w:val="center"/>
            </w:pPr>
            <w:r w:rsidRPr="003D70B4">
              <w:t>.072</w:t>
            </w:r>
          </w:p>
        </w:tc>
      </w:tr>
      <w:tr w:rsidR="00F51EFD" w:rsidRPr="003D70B4" w14:paraId="7E1AF323" w14:textId="77777777" w:rsidTr="0060686E">
        <w:trPr>
          <w:trHeight w:val="565"/>
        </w:trPr>
        <w:tc>
          <w:tcPr>
            <w:tcW w:w="4663" w:type="dxa"/>
            <w:tcBorders>
              <w:top w:val="nil"/>
              <w:left w:val="nil"/>
              <w:bottom w:val="nil"/>
              <w:right w:val="nil"/>
            </w:tcBorders>
            <w:vAlign w:val="center"/>
          </w:tcPr>
          <w:p w14:paraId="181C560C" w14:textId="09435CB7" w:rsidR="00F51EFD" w:rsidRPr="003D70B4" w:rsidRDefault="00083ED3" w:rsidP="004E65BC">
            <w:r>
              <w:t>AIC</w:t>
            </w:r>
          </w:p>
        </w:tc>
        <w:tc>
          <w:tcPr>
            <w:tcW w:w="1866" w:type="dxa"/>
            <w:tcBorders>
              <w:top w:val="nil"/>
              <w:left w:val="nil"/>
              <w:bottom w:val="nil"/>
              <w:right w:val="nil"/>
            </w:tcBorders>
            <w:vAlign w:val="center"/>
          </w:tcPr>
          <w:p w14:paraId="121DC508" w14:textId="2FDA83D3" w:rsidR="00F51EFD" w:rsidRPr="003D70B4" w:rsidRDefault="00925B07" w:rsidP="004E65BC">
            <w:pPr>
              <w:jc w:val="center"/>
            </w:pPr>
            <w:r>
              <w:t>5</w:t>
            </w:r>
            <w:r w:rsidR="005638D2">
              <w:t>67.971</w:t>
            </w:r>
          </w:p>
        </w:tc>
        <w:tc>
          <w:tcPr>
            <w:tcW w:w="1879" w:type="dxa"/>
            <w:tcBorders>
              <w:top w:val="nil"/>
              <w:left w:val="nil"/>
              <w:bottom w:val="nil"/>
              <w:right w:val="nil"/>
            </w:tcBorders>
            <w:vAlign w:val="center"/>
          </w:tcPr>
          <w:p w14:paraId="1B1C8000" w14:textId="0253E4C6" w:rsidR="00F51EFD" w:rsidRPr="003D70B4" w:rsidRDefault="005638D2" w:rsidP="004E65BC">
            <w:pPr>
              <w:jc w:val="center"/>
            </w:pPr>
            <w:r>
              <w:t>562.797</w:t>
            </w:r>
          </w:p>
        </w:tc>
        <w:tc>
          <w:tcPr>
            <w:tcW w:w="523" w:type="dxa"/>
            <w:tcBorders>
              <w:top w:val="nil"/>
              <w:left w:val="nil"/>
              <w:bottom w:val="nil"/>
              <w:right w:val="nil"/>
            </w:tcBorders>
          </w:tcPr>
          <w:p w14:paraId="2F674D67" w14:textId="77777777" w:rsidR="00F51EFD" w:rsidRPr="003D70B4" w:rsidRDefault="00F51EFD" w:rsidP="004E65BC">
            <w:pPr>
              <w:jc w:val="center"/>
            </w:pPr>
          </w:p>
        </w:tc>
        <w:tc>
          <w:tcPr>
            <w:tcW w:w="1984" w:type="dxa"/>
            <w:tcBorders>
              <w:top w:val="nil"/>
              <w:left w:val="nil"/>
              <w:bottom w:val="nil"/>
              <w:right w:val="nil"/>
            </w:tcBorders>
            <w:vAlign w:val="center"/>
          </w:tcPr>
          <w:p w14:paraId="2911343F" w14:textId="01A384D8" w:rsidR="00F51EFD" w:rsidRPr="003D70B4" w:rsidRDefault="00AA6828" w:rsidP="004E65BC">
            <w:pPr>
              <w:jc w:val="center"/>
            </w:pPr>
            <w:r>
              <w:t>415.505</w:t>
            </w:r>
          </w:p>
        </w:tc>
        <w:tc>
          <w:tcPr>
            <w:tcW w:w="1985" w:type="dxa"/>
            <w:tcBorders>
              <w:top w:val="nil"/>
              <w:left w:val="nil"/>
              <w:bottom w:val="nil"/>
              <w:right w:val="nil"/>
            </w:tcBorders>
            <w:vAlign w:val="center"/>
          </w:tcPr>
          <w:p w14:paraId="140E27D6" w14:textId="3E7445BF" w:rsidR="00F51EFD" w:rsidRPr="003D70B4" w:rsidRDefault="00AA6828" w:rsidP="004E65BC">
            <w:pPr>
              <w:jc w:val="center"/>
            </w:pPr>
            <w:r>
              <w:t>408</w:t>
            </w:r>
            <w:r w:rsidR="00F666F0">
              <w:t>.</w:t>
            </w:r>
            <w:r>
              <w:t>188</w:t>
            </w:r>
          </w:p>
        </w:tc>
      </w:tr>
      <w:tr w:rsidR="0060686E" w:rsidRPr="003D70B4" w14:paraId="5F87FE22" w14:textId="77777777" w:rsidTr="00884728">
        <w:trPr>
          <w:trHeight w:val="565"/>
        </w:trPr>
        <w:tc>
          <w:tcPr>
            <w:tcW w:w="4663" w:type="dxa"/>
            <w:tcBorders>
              <w:top w:val="nil"/>
              <w:left w:val="nil"/>
              <w:bottom w:val="single" w:sz="18" w:space="0" w:color="auto"/>
              <w:right w:val="nil"/>
            </w:tcBorders>
            <w:vAlign w:val="center"/>
          </w:tcPr>
          <w:p w14:paraId="786BE0F9" w14:textId="60FC911F" w:rsidR="0060686E" w:rsidRDefault="0060686E" w:rsidP="004E65BC">
            <w:r>
              <w:t>w</w:t>
            </w:r>
            <w:r w:rsidRPr="0060686E">
              <w:rPr>
                <w:vertAlign w:val="subscript"/>
              </w:rPr>
              <w:t>i</w:t>
            </w:r>
            <w:r>
              <w:rPr>
                <w:vertAlign w:val="subscript"/>
              </w:rPr>
              <w:t xml:space="preserve"> </w:t>
            </w:r>
            <w:r>
              <w:t>(AIC)</w:t>
            </w:r>
          </w:p>
        </w:tc>
        <w:tc>
          <w:tcPr>
            <w:tcW w:w="1866" w:type="dxa"/>
            <w:tcBorders>
              <w:top w:val="nil"/>
              <w:left w:val="nil"/>
              <w:bottom w:val="single" w:sz="18" w:space="0" w:color="auto"/>
              <w:right w:val="nil"/>
            </w:tcBorders>
            <w:vAlign w:val="center"/>
          </w:tcPr>
          <w:p w14:paraId="5DA2A319" w14:textId="3D234B22" w:rsidR="0060686E" w:rsidRDefault="00504E4C" w:rsidP="004E65BC">
            <w:pPr>
              <w:jc w:val="center"/>
            </w:pPr>
            <w:r>
              <w:t>.070</w:t>
            </w:r>
          </w:p>
        </w:tc>
        <w:tc>
          <w:tcPr>
            <w:tcW w:w="1879" w:type="dxa"/>
            <w:tcBorders>
              <w:top w:val="nil"/>
              <w:left w:val="nil"/>
              <w:bottom w:val="single" w:sz="18" w:space="0" w:color="auto"/>
              <w:right w:val="nil"/>
            </w:tcBorders>
            <w:vAlign w:val="center"/>
          </w:tcPr>
          <w:p w14:paraId="4357CCA0" w14:textId="06468DC8" w:rsidR="0060686E" w:rsidRDefault="00504E4C" w:rsidP="004E65BC">
            <w:pPr>
              <w:jc w:val="center"/>
            </w:pPr>
            <w:r>
              <w:t>.930</w:t>
            </w:r>
          </w:p>
        </w:tc>
        <w:tc>
          <w:tcPr>
            <w:tcW w:w="523" w:type="dxa"/>
            <w:tcBorders>
              <w:top w:val="nil"/>
              <w:left w:val="nil"/>
              <w:bottom w:val="single" w:sz="18" w:space="0" w:color="auto"/>
              <w:right w:val="nil"/>
            </w:tcBorders>
          </w:tcPr>
          <w:p w14:paraId="1A51E819" w14:textId="77777777" w:rsidR="0060686E" w:rsidRPr="003D70B4" w:rsidRDefault="0060686E" w:rsidP="004E65BC">
            <w:pPr>
              <w:jc w:val="center"/>
            </w:pPr>
          </w:p>
        </w:tc>
        <w:tc>
          <w:tcPr>
            <w:tcW w:w="1984" w:type="dxa"/>
            <w:tcBorders>
              <w:top w:val="nil"/>
              <w:left w:val="nil"/>
              <w:bottom w:val="single" w:sz="18" w:space="0" w:color="auto"/>
              <w:right w:val="nil"/>
            </w:tcBorders>
            <w:vAlign w:val="center"/>
          </w:tcPr>
          <w:p w14:paraId="5341D5FB" w14:textId="2FBCCAF6" w:rsidR="0060686E" w:rsidRDefault="00504E4C" w:rsidP="004E65BC">
            <w:pPr>
              <w:jc w:val="center"/>
            </w:pPr>
            <w:r>
              <w:t>.025</w:t>
            </w:r>
          </w:p>
        </w:tc>
        <w:tc>
          <w:tcPr>
            <w:tcW w:w="1985" w:type="dxa"/>
            <w:tcBorders>
              <w:top w:val="nil"/>
              <w:left w:val="nil"/>
              <w:bottom w:val="single" w:sz="18" w:space="0" w:color="auto"/>
              <w:right w:val="nil"/>
            </w:tcBorders>
            <w:vAlign w:val="center"/>
          </w:tcPr>
          <w:p w14:paraId="1FBAE24A" w14:textId="20759DEA" w:rsidR="0060686E" w:rsidRDefault="00504E4C" w:rsidP="004E65BC">
            <w:pPr>
              <w:jc w:val="center"/>
            </w:pPr>
            <w:r>
              <w:t>.975</w:t>
            </w:r>
          </w:p>
        </w:tc>
      </w:tr>
    </w:tbl>
    <w:p w14:paraId="5741E953" w14:textId="77777777" w:rsidR="004C28FB" w:rsidRDefault="004C28FB" w:rsidP="00A818E9">
      <w:pPr>
        <w:spacing w:line="480" w:lineRule="auto"/>
        <w:rPr>
          <w:i/>
        </w:rPr>
      </w:pPr>
    </w:p>
    <w:p w14:paraId="388A0619" w14:textId="77777777" w:rsidR="004C28FB" w:rsidRDefault="004C28FB" w:rsidP="00A818E9">
      <w:pPr>
        <w:spacing w:line="480" w:lineRule="auto"/>
        <w:rPr>
          <w:i/>
        </w:rPr>
      </w:pPr>
    </w:p>
    <w:p w14:paraId="2C85928B" w14:textId="77777777" w:rsidR="004C28FB" w:rsidRDefault="004C28FB" w:rsidP="00A818E9">
      <w:pPr>
        <w:spacing w:line="480" w:lineRule="auto"/>
        <w:rPr>
          <w:i/>
        </w:rPr>
      </w:pPr>
    </w:p>
    <w:p w14:paraId="759FCF3D" w14:textId="77777777" w:rsidR="004C28FB" w:rsidRDefault="004C28FB" w:rsidP="00A818E9">
      <w:pPr>
        <w:spacing w:line="480" w:lineRule="auto"/>
        <w:rPr>
          <w:i/>
        </w:rPr>
      </w:pPr>
    </w:p>
    <w:p w14:paraId="025761B6" w14:textId="77777777" w:rsidR="004C28FB" w:rsidRDefault="004C28FB" w:rsidP="00A818E9">
      <w:pPr>
        <w:spacing w:line="480" w:lineRule="auto"/>
        <w:rPr>
          <w:i/>
        </w:rPr>
      </w:pPr>
    </w:p>
    <w:p w14:paraId="1CC67A34" w14:textId="77777777" w:rsidR="004C28FB" w:rsidRDefault="004C28FB" w:rsidP="00A818E9">
      <w:pPr>
        <w:spacing w:line="480" w:lineRule="auto"/>
        <w:rPr>
          <w:i/>
        </w:rPr>
      </w:pPr>
    </w:p>
    <w:p w14:paraId="21A9FD83" w14:textId="77777777" w:rsidR="004C28FB" w:rsidRDefault="004C28FB" w:rsidP="00A818E9">
      <w:pPr>
        <w:spacing w:line="480" w:lineRule="auto"/>
        <w:rPr>
          <w:i/>
        </w:rPr>
      </w:pPr>
    </w:p>
    <w:p w14:paraId="77C8F483" w14:textId="77777777" w:rsidR="004C28FB" w:rsidRDefault="004C28FB" w:rsidP="00A818E9">
      <w:pPr>
        <w:spacing w:line="480" w:lineRule="auto"/>
        <w:rPr>
          <w:i/>
        </w:rPr>
      </w:pPr>
    </w:p>
    <w:p w14:paraId="40F46438" w14:textId="77777777" w:rsidR="004C28FB" w:rsidRDefault="004C28FB" w:rsidP="00A818E9">
      <w:pPr>
        <w:spacing w:line="480" w:lineRule="auto"/>
        <w:rPr>
          <w:i/>
        </w:rPr>
      </w:pPr>
    </w:p>
    <w:p w14:paraId="23F7D843" w14:textId="77777777" w:rsidR="004C28FB" w:rsidRDefault="004C28FB" w:rsidP="00A818E9">
      <w:pPr>
        <w:spacing w:line="480" w:lineRule="auto"/>
        <w:rPr>
          <w:i/>
        </w:rPr>
      </w:pPr>
    </w:p>
    <w:p w14:paraId="3813A4F8" w14:textId="77777777" w:rsidR="004C28FB" w:rsidRDefault="004C28FB" w:rsidP="00A818E9">
      <w:pPr>
        <w:spacing w:line="480" w:lineRule="auto"/>
        <w:rPr>
          <w:i/>
        </w:rPr>
      </w:pPr>
    </w:p>
    <w:p w14:paraId="414DD23E" w14:textId="77777777" w:rsidR="005A635C" w:rsidRDefault="005A635C" w:rsidP="0060686E">
      <w:pPr>
        <w:spacing w:line="360" w:lineRule="auto"/>
        <w:rPr>
          <w:i/>
        </w:rPr>
      </w:pPr>
    </w:p>
    <w:p w14:paraId="552A63B5" w14:textId="7A09A341" w:rsidR="00F03F4D" w:rsidRDefault="00A818E9" w:rsidP="0060686E">
      <w:pPr>
        <w:spacing w:line="360" w:lineRule="auto"/>
      </w:pPr>
      <w:r w:rsidRPr="003D70B4">
        <w:rPr>
          <w:i/>
        </w:rPr>
        <w:t>Note</w:t>
      </w:r>
      <w:r w:rsidRPr="003D70B4">
        <w:t>. Values can be interpreted as unstandardized regression coefficients with standard errors given in parentheses.</w:t>
      </w:r>
      <w:r w:rsidR="00052A73" w:rsidRPr="003D70B4">
        <w:t xml:space="preserve"> </w:t>
      </w:r>
    </w:p>
    <w:p w14:paraId="11363F1E" w14:textId="6FCA5799" w:rsidR="00BE45A0" w:rsidRDefault="00052A73" w:rsidP="0060686E">
      <w:pPr>
        <w:spacing w:line="360" w:lineRule="auto"/>
      </w:pPr>
      <w:r w:rsidRPr="003D70B4">
        <w:rPr>
          <w:vertAlign w:val="superscript"/>
        </w:rPr>
        <w:t>a</w:t>
      </w:r>
      <w:r w:rsidRPr="003D70B4">
        <w:t xml:space="preserve"> 0 = man; 1 = woman.</w:t>
      </w:r>
      <w:r w:rsidR="004C28FB">
        <w:t xml:space="preserve"> </w:t>
      </w:r>
      <w:r w:rsidR="002B0360" w:rsidRPr="00B60DB5">
        <w:t>Akaike Information Criteria</w:t>
      </w:r>
      <w:r w:rsidR="002B0360">
        <w:t xml:space="preserve"> (AIC) of model fit </w:t>
      </w:r>
      <w:r w:rsidR="005B0B58">
        <w:t>were based on</w:t>
      </w:r>
      <w:r w:rsidR="002B0360">
        <w:t xml:space="preserve"> </w:t>
      </w:r>
      <w:r w:rsidR="002D3732">
        <w:t>ML</w:t>
      </w:r>
      <w:r w:rsidR="002B0360">
        <w:t xml:space="preserve"> estimation.</w:t>
      </w:r>
      <w:r w:rsidR="00504E4C">
        <w:t xml:space="preserve"> w</w:t>
      </w:r>
      <w:r w:rsidR="00504E4C" w:rsidRPr="0060686E">
        <w:rPr>
          <w:vertAlign w:val="subscript"/>
        </w:rPr>
        <w:t>i</w:t>
      </w:r>
      <w:r w:rsidR="00504E4C">
        <w:rPr>
          <w:vertAlign w:val="subscript"/>
        </w:rPr>
        <w:t xml:space="preserve"> </w:t>
      </w:r>
      <w:r w:rsidR="00504E4C">
        <w:t>(AIC) is the AIC weight</w:t>
      </w:r>
      <w:r w:rsidR="007336A1">
        <w:t>.</w:t>
      </w:r>
    </w:p>
    <w:p w14:paraId="39CBFF51" w14:textId="5EC8EEBF" w:rsidR="00A44479" w:rsidRDefault="00504E4C" w:rsidP="0060686E">
      <w:pPr>
        <w:spacing w:line="360" w:lineRule="auto"/>
      </w:pPr>
      <w:r>
        <w:rPr>
          <w:vertAlign w:val="superscript"/>
        </w:rPr>
        <w:t xml:space="preserve"> </w:t>
      </w:r>
      <w:r w:rsidR="00052A73" w:rsidRPr="003D70B4">
        <w:rPr>
          <w:vertAlign w:val="superscript"/>
        </w:rPr>
        <w:t>†</w:t>
      </w:r>
      <w:r w:rsidR="00052A73" w:rsidRPr="003D70B4">
        <w:rPr>
          <w:i/>
        </w:rPr>
        <w:t>p</w:t>
      </w:r>
      <w:r w:rsidR="00052A73" w:rsidRPr="003D70B4">
        <w:t xml:space="preserve"> &lt; .10, </w:t>
      </w:r>
      <w:r w:rsidR="00A818E9" w:rsidRPr="003D70B4">
        <w:rPr>
          <w:vertAlign w:val="superscript"/>
        </w:rPr>
        <w:t>*</w:t>
      </w:r>
      <w:r w:rsidR="00A818E9" w:rsidRPr="003D70B4">
        <w:rPr>
          <w:i/>
        </w:rPr>
        <w:t>p</w:t>
      </w:r>
      <w:r w:rsidR="00A818E9" w:rsidRPr="003D70B4">
        <w:t xml:space="preserve"> &lt; .05</w:t>
      </w:r>
      <w:r w:rsidR="00731A78" w:rsidRPr="003D70B4">
        <w:t>,</w:t>
      </w:r>
      <w:r w:rsidR="00A818E9" w:rsidRPr="003D70B4">
        <w:t xml:space="preserve"> </w:t>
      </w:r>
      <w:r w:rsidR="00A818E9" w:rsidRPr="003D70B4">
        <w:rPr>
          <w:vertAlign w:val="superscript"/>
        </w:rPr>
        <w:t>**</w:t>
      </w:r>
      <w:r w:rsidR="00A818E9" w:rsidRPr="003D70B4">
        <w:rPr>
          <w:i/>
        </w:rPr>
        <w:t>p</w:t>
      </w:r>
      <w:r w:rsidR="00A818E9" w:rsidRPr="003D70B4">
        <w:t xml:space="preserve"> &lt; .01.</w:t>
      </w:r>
    </w:p>
    <w:p w14:paraId="4C230741" w14:textId="1A9A0F12" w:rsidR="00A44479" w:rsidRPr="0041230A" w:rsidRDefault="00A44479" w:rsidP="00A44479">
      <w:pPr>
        <w:spacing w:line="480" w:lineRule="auto"/>
        <w:outlineLvl w:val="0"/>
        <w:rPr>
          <w:b/>
          <w:bCs/>
        </w:rPr>
      </w:pPr>
      <w:r w:rsidRPr="00D15D0E">
        <w:rPr>
          <w:b/>
          <w:bCs/>
        </w:rPr>
        <w:lastRenderedPageBreak/>
        <w:t xml:space="preserve">Table </w:t>
      </w:r>
      <w:r>
        <w:rPr>
          <w:b/>
          <w:bCs/>
        </w:rPr>
        <w:t>3</w:t>
      </w:r>
    </w:p>
    <w:p w14:paraId="76DA1F14" w14:textId="77777777" w:rsidR="00A44479" w:rsidRPr="00076E4A" w:rsidRDefault="00A44479" w:rsidP="00A44479">
      <w:pPr>
        <w:spacing w:line="480" w:lineRule="auto"/>
        <w:rPr>
          <w:i/>
        </w:rPr>
      </w:pPr>
      <w:r w:rsidRPr="0041230A">
        <w:rPr>
          <w:i/>
        </w:rPr>
        <w:t xml:space="preserve">Relation Between Employee </w:t>
      </w:r>
      <w:r w:rsidRPr="00AD6A74">
        <w:rPr>
          <w:i/>
        </w:rPr>
        <w:t>Narcissism</w:t>
      </w:r>
      <w:r>
        <w:rPr>
          <w:i/>
        </w:rPr>
        <w:t xml:space="preserve"> (without Leadership/Authority items)</w:t>
      </w:r>
      <w:r w:rsidRPr="00AD6A74">
        <w:rPr>
          <w:i/>
        </w:rPr>
        <w:t xml:space="preserve"> and Promotability (</w:t>
      </w:r>
      <w:r>
        <w:rPr>
          <w:i/>
        </w:rPr>
        <w:t>Study 1 and Study 2</w:t>
      </w:r>
      <w:r w:rsidRPr="00AD6A74">
        <w:rPr>
          <w:i/>
        </w:rPr>
        <w:t>)</w:t>
      </w:r>
    </w:p>
    <w:tbl>
      <w:tblPr>
        <w:tblpPr w:leftFromText="180" w:rightFromText="180" w:vertAnchor="page" w:horzAnchor="margin" w:tblpY="2527"/>
        <w:tblW w:w="12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63"/>
        <w:gridCol w:w="1866"/>
        <w:gridCol w:w="1879"/>
        <w:gridCol w:w="523"/>
        <w:gridCol w:w="1984"/>
        <w:gridCol w:w="1985"/>
      </w:tblGrid>
      <w:tr w:rsidR="00A44479" w:rsidRPr="003D70B4" w14:paraId="3EC597CF" w14:textId="77777777" w:rsidTr="008E7EE9">
        <w:trPr>
          <w:trHeight w:val="471"/>
        </w:trPr>
        <w:tc>
          <w:tcPr>
            <w:tcW w:w="4663" w:type="dxa"/>
            <w:tcBorders>
              <w:top w:val="single" w:sz="18" w:space="0" w:color="auto"/>
              <w:left w:val="nil"/>
              <w:bottom w:val="nil"/>
              <w:right w:val="nil"/>
            </w:tcBorders>
            <w:vAlign w:val="center"/>
          </w:tcPr>
          <w:p w14:paraId="28E733A2" w14:textId="77777777" w:rsidR="00A44479" w:rsidRPr="003D70B4" w:rsidRDefault="00A44479" w:rsidP="008E7EE9"/>
        </w:tc>
        <w:tc>
          <w:tcPr>
            <w:tcW w:w="3745" w:type="dxa"/>
            <w:gridSpan w:val="2"/>
            <w:tcBorders>
              <w:top w:val="single" w:sz="18" w:space="0" w:color="auto"/>
              <w:left w:val="nil"/>
              <w:bottom w:val="nil"/>
              <w:right w:val="nil"/>
            </w:tcBorders>
            <w:vAlign w:val="center"/>
          </w:tcPr>
          <w:p w14:paraId="48B4A0F2" w14:textId="77777777" w:rsidR="00A44479" w:rsidRPr="003D70B4" w:rsidRDefault="00A44479" w:rsidP="008E7EE9">
            <w:pPr>
              <w:jc w:val="center"/>
            </w:pPr>
            <w:r>
              <w:t>Study 1</w:t>
            </w:r>
          </w:p>
        </w:tc>
        <w:tc>
          <w:tcPr>
            <w:tcW w:w="523" w:type="dxa"/>
            <w:tcBorders>
              <w:top w:val="single" w:sz="18" w:space="0" w:color="auto"/>
              <w:left w:val="nil"/>
              <w:bottom w:val="nil"/>
              <w:right w:val="nil"/>
            </w:tcBorders>
          </w:tcPr>
          <w:p w14:paraId="548F4E9C" w14:textId="77777777" w:rsidR="00A44479" w:rsidRPr="003D70B4" w:rsidRDefault="00A44479" w:rsidP="008E7EE9">
            <w:pPr>
              <w:jc w:val="center"/>
            </w:pPr>
          </w:p>
        </w:tc>
        <w:tc>
          <w:tcPr>
            <w:tcW w:w="3969" w:type="dxa"/>
            <w:gridSpan w:val="2"/>
            <w:tcBorders>
              <w:top w:val="single" w:sz="18" w:space="0" w:color="auto"/>
              <w:left w:val="nil"/>
              <w:bottom w:val="nil"/>
              <w:right w:val="nil"/>
            </w:tcBorders>
            <w:vAlign w:val="center"/>
          </w:tcPr>
          <w:p w14:paraId="18C7A9B1" w14:textId="77777777" w:rsidR="00A44479" w:rsidRPr="003D70B4" w:rsidRDefault="00A44479" w:rsidP="008E7EE9">
            <w:pPr>
              <w:jc w:val="center"/>
            </w:pPr>
            <w:r>
              <w:t>Study 2</w:t>
            </w:r>
          </w:p>
        </w:tc>
      </w:tr>
      <w:tr w:rsidR="00A44479" w:rsidRPr="003D70B4" w14:paraId="56809EA9" w14:textId="77777777" w:rsidTr="008E7EE9">
        <w:trPr>
          <w:trHeight w:val="471"/>
        </w:trPr>
        <w:tc>
          <w:tcPr>
            <w:tcW w:w="4663" w:type="dxa"/>
            <w:tcBorders>
              <w:top w:val="nil"/>
              <w:left w:val="nil"/>
              <w:bottom w:val="single" w:sz="4" w:space="0" w:color="auto"/>
              <w:right w:val="nil"/>
            </w:tcBorders>
            <w:vAlign w:val="center"/>
          </w:tcPr>
          <w:p w14:paraId="3D5DB5FE" w14:textId="77777777" w:rsidR="00A44479" w:rsidRPr="003D70B4" w:rsidRDefault="00A44479" w:rsidP="008E7EE9"/>
        </w:tc>
        <w:tc>
          <w:tcPr>
            <w:tcW w:w="1866" w:type="dxa"/>
            <w:tcBorders>
              <w:top w:val="single" w:sz="4" w:space="0" w:color="auto"/>
              <w:left w:val="nil"/>
              <w:bottom w:val="nil"/>
              <w:right w:val="nil"/>
            </w:tcBorders>
            <w:vAlign w:val="center"/>
          </w:tcPr>
          <w:p w14:paraId="4F1BAA4A" w14:textId="77777777" w:rsidR="00A44479" w:rsidRPr="003D70B4" w:rsidRDefault="00A44479" w:rsidP="008E7EE9">
            <w:pPr>
              <w:jc w:val="center"/>
            </w:pPr>
            <w:r w:rsidRPr="003D70B4">
              <w:t>Model 1</w:t>
            </w:r>
          </w:p>
        </w:tc>
        <w:tc>
          <w:tcPr>
            <w:tcW w:w="1879" w:type="dxa"/>
            <w:tcBorders>
              <w:top w:val="single" w:sz="4" w:space="0" w:color="auto"/>
              <w:left w:val="nil"/>
              <w:bottom w:val="nil"/>
              <w:right w:val="nil"/>
            </w:tcBorders>
            <w:vAlign w:val="center"/>
          </w:tcPr>
          <w:p w14:paraId="7360AAA0" w14:textId="77777777" w:rsidR="00A44479" w:rsidRPr="003D70B4" w:rsidRDefault="00A44479" w:rsidP="008E7EE9">
            <w:pPr>
              <w:jc w:val="center"/>
            </w:pPr>
            <w:r w:rsidRPr="003D70B4">
              <w:t>Model 2</w:t>
            </w:r>
          </w:p>
        </w:tc>
        <w:tc>
          <w:tcPr>
            <w:tcW w:w="523" w:type="dxa"/>
            <w:tcBorders>
              <w:top w:val="nil"/>
              <w:left w:val="nil"/>
              <w:bottom w:val="single" w:sz="4" w:space="0" w:color="auto"/>
              <w:right w:val="nil"/>
            </w:tcBorders>
          </w:tcPr>
          <w:p w14:paraId="5E7EC2D8" w14:textId="77777777" w:rsidR="00A44479" w:rsidRPr="003D70B4" w:rsidRDefault="00A44479" w:rsidP="008E7EE9">
            <w:pPr>
              <w:jc w:val="center"/>
            </w:pPr>
          </w:p>
        </w:tc>
        <w:tc>
          <w:tcPr>
            <w:tcW w:w="1984" w:type="dxa"/>
            <w:tcBorders>
              <w:top w:val="single" w:sz="4" w:space="0" w:color="auto"/>
              <w:left w:val="nil"/>
              <w:bottom w:val="nil"/>
              <w:right w:val="nil"/>
            </w:tcBorders>
            <w:vAlign w:val="center"/>
          </w:tcPr>
          <w:p w14:paraId="4005C916" w14:textId="77777777" w:rsidR="00A44479" w:rsidRPr="003D70B4" w:rsidRDefault="00A44479" w:rsidP="008E7EE9">
            <w:pPr>
              <w:jc w:val="center"/>
            </w:pPr>
            <w:r w:rsidRPr="003D70B4">
              <w:t>Model 1</w:t>
            </w:r>
          </w:p>
        </w:tc>
        <w:tc>
          <w:tcPr>
            <w:tcW w:w="1985" w:type="dxa"/>
            <w:tcBorders>
              <w:top w:val="single" w:sz="4" w:space="0" w:color="auto"/>
              <w:left w:val="nil"/>
              <w:bottom w:val="nil"/>
              <w:right w:val="nil"/>
            </w:tcBorders>
            <w:vAlign w:val="center"/>
          </w:tcPr>
          <w:p w14:paraId="39002B0F" w14:textId="77777777" w:rsidR="00A44479" w:rsidRPr="003D70B4" w:rsidRDefault="00A44479" w:rsidP="008E7EE9">
            <w:pPr>
              <w:jc w:val="center"/>
            </w:pPr>
            <w:r w:rsidRPr="003D70B4">
              <w:t>Model 2</w:t>
            </w:r>
          </w:p>
        </w:tc>
      </w:tr>
      <w:tr w:rsidR="00B921DE" w:rsidRPr="003D70B4" w14:paraId="636D1DC6" w14:textId="77777777" w:rsidTr="008E7EE9">
        <w:trPr>
          <w:trHeight w:val="471"/>
        </w:trPr>
        <w:tc>
          <w:tcPr>
            <w:tcW w:w="4663" w:type="dxa"/>
            <w:tcBorders>
              <w:top w:val="single" w:sz="4" w:space="0" w:color="auto"/>
              <w:left w:val="nil"/>
              <w:bottom w:val="nil"/>
              <w:right w:val="nil"/>
            </w:tcBorders>
            <w:vAlign w:val="center"/>
          </w:tcPr>
          <w:p w14:paraId="1F53ACC9" w14:textId="77777777" w:rsidR="00B921DE" w:rsidRPr="003D70B4" w:rsidRDefault="00B921DE" w:rsidP="00B921DE">
            <w:r w:rsidRPr="003D70B4">
              <w:t xml:space="preserve">Intercept </w:t>
            </w:r>
          </w:p>
        </w:tc>
        <w:tc>
          <w:tcPr>
            <w:tcW w:w="1866" w:type="dxa"/>
            <w:tcBorders>
              <w:top w:val="single" w:sz="4" w:space="0" w:color="auto"/>
              <w:left w:val="nil"/>
              <w:bottom w:val="nil"/>
              <w:right w:val="nil"/>
            </w:tcBorders>
            <w:vAlign w:val="center"/>
          </w:tcPr>
          <w:p w14:paraId="68186A5E" w14:textId="53F67A2C" w:rsidR="00B921DE" w:rsidRPr="003D70B4" w:rsidRDefault="00B921DE" w:rsidP="00B921DE">
            <w:pPr>
              <w:jc w:val="center"/>
            </w:pPr>
            <w:r w:rsidRPr="008D1F3B">
              <w:t>4.919 (.193)</w:t>
            </w:r>
            <w:r w:rsidRPr="008D1F3B">
              <w:rPr>
                <w:vertAlign w:val="superscript"/>
              </w:rPr>
              <w:t>**</w:t>
            </w:r>
          </w:p>
        </w:tc>
        <w:tc>
          <w:tcPr>
            <w:tcW w:w="1879" w:type="dxa"/>
            <w:tcBorders>
              <w:top w:val="single" w:sz="4" w:space="0" w:color="auto"/>
              <w:left w:val="nil"/>
              <w:bottom w:val="nil"/>
              <w:right w:val="nil"/>
            </w:tcBorders>
            <w:vAlign w:val="center"/>
          </w:tcPr>
          <w:p w14:paraId="0BB57FB4" w14:textId="2FC05152" w:rsidR="00B921DE" w:rsidRPr="003D70B4" w:rsidRDefault="00B921DE" w:rsidP="00B921DE">
            <w:pPr>
              <w:jc w:val="center"/>
            </w:pPr>
            <w:r w:rsidRPr="003D70B4">
              <w:t>4.</w:t>
            </w:r>
            <w:r>
              <w:t>293</w:t>
            </w:r>
            <w:r w:rsidRPr="003D70B4">
              <w:t xml:space="preserve"> (.</w:t>
            </w:r>
            <w:r>
              <w:t>316</w:t>
            </w:r>
            <w:r w:rsidRPr="003D70B4">
              <w:t>)</w:t>
            </w:r>
            <w:r w:rsidRPr="003D70B4">
              <w:rPr>
                <w:vertAlign w:val="superscript"/>
              </w:rPr>
              <w:t>**</w:t>
            </w:r>
          </w:p>
        </w:tc>
        <w:tc>
          <w:tcPr>
            <w:tcW w:w="523" w:type="dxa"/>
            <w:tcBorders>
              <w:top w:val="single" w:sz="4" w:space="0" w:color="auto"/>
              <w:left w:val="nil"/>
              <w:bottom w:val="nil"/>
              <w:right w:val="nil"/>
            </w:tcBorders>
          </w:tcPr>
          <w:p w14:paraId="4CF0D0EA" w14:textId="77777777" w:rsidR="00B921DE" w:rsidRPr="003D70B4" w:rsidRDefault="00B921DE" w:rsidP="00B921DE">
            <w:pPr>
              <w:jc w:val="center"/>
            </w:pPr>
          </w:p>
        </w:tc>
        <w:tc>
          <w:tcPr>
            <w:tcW w:w="1984" w:type="dxa"/>
            <w:tcBorders>
              <w:top w:val="single" w:sz="4" w:space="0" w:color="auto"/>
              <w:left w:val="nil"/>
              <w:bottom w:val="nil"/>
              <w:right w:val="nil"/>
            </w:tcBorders>
            <w:vAlign w:val="center"/>
          </w:tcPr>
          <w:p w14:paraId="4D8B8782" w14:textId="7F317AD9" w:rsidR="00B921DE" w:rsidRPr="003D70B4" w:rsidRDefault="00B921DE" w:rsidP="00B921DE">
            <w:pPr>
              <w:jc w:val="center"/>
            </w:pPr>
            <w:r w:rsidRPr="003D70B4">
              <w:t>5.368 (.172)</w:t>
            </w:r>
            <w:r w:rsidRPr="003D70B4">
              <w:rPr>
                <w:vertAlign w:val="superscript"/>
              </w:rPr>
              <w:t>**</w:t>
            </w:r>
          </w:p>
        </w:tc>
        <w:tc>
          <w:tcPr>
            <w:tcW w:w="1985" w:type="dxa"/>
            <w:tcBorders>
              <w:top w:val="single" w:sz="4" w:space="0" w:color="auto"/>
              <w:left w:val="nil"/>
              <w:bottom w:val="nil"/>
              <w:right w:val="nil"/>
            </w:tcBorders>
            <w:vAlign w:val="center"/>
          </w:tcPr>
          <w:p w14:paraId="7CDA72A5" w14:textId="080152D0" w:rsidR="00B921DE" w:rsidRPr="003D70B4" w:rsidRDefault="00B921DE" w:rsidP="00B921DE">
            <w:pPr>
              <w:jc w:val="center"/>
            </w:pPr>
            <w:r>
              <w:t>4.</w:t>
            </w:r>
            <w:r w:rsidR="0063054B">
              <w:t>913</w:t>
            </w:r>
            <w:r w:rsidRPr="003D70B4">
              <w:t xml:space="preserve"> (.</w:t>
            </w:r>
            <w:r w:rsidR="0063054B">
              <w:t>223</w:t>
            </w:r>
            <w:r w:rsidRPr="003D70B4">
              <w:t>)</w:t>
            </w:r>
            <w:r w:rsidRPr="003D70B4">
              <w:rPr>
                <w:vertAlign w:val="superscript"/>
              </w:rPr>
              <w:t>**</w:t>
            </w:r>
          </w:p>
        </w:tc>
      </w:tr>
      <w:tr w:rsidR="00B921DE" w:rsidRPr="003D70B4" w14:paraId="46C25406" w14:textId="77777777" w:rsidTr="008E7EE9">
        <w:trPr>
          <w:trHeight w:val="495"/>
        </w:trPr>
        <w:tc>
          <w:tcPr>
            <w:tcW w:w="4663" w:type="dxa"/>
            <w:tcBorders>
              <w:top w:val="nil"/>
              <w:left w:val="nil"/>
              <w:bottom w:val="nil"/>
              <w:right w:val="nil"/>
            </w:tcBorders>
            <w:vAlign w:val="center"/>
          </w:tcPr>
          <w:p w14:paraId="6C1C1C41" w14:textId="77777777" w:rsidR="00B921DE" w:rsidRPr="003D70B4" w:rsidRDefault="00B921DE" w:rsidP="00B921DE">
            <w:r w:rsidRPr="003D70B4">
              <w:t>Controls</w:t>
            </w:r>
          </w:p>
        </w:tc>
        <w:tc>
          <w:tcPr>
            <w:tcW w:w="1866" w:type="dxa"/>
            <w:tcBorders>
              <w:top w:val="nil"/>
              <w:left w:val="nil"/>
              <w:bottom w:val="nil"/>
              <w:right w:val="nil"/>
            </w:tcBorders>
            <w:vAlign w:val="center"/>
          </w:tcPr>
          <w:p w14:paraId="0D74D5F7" w14:textId="77777777" w:rsidR="00B921DE" w:rsidRPr="003D70B4" w:rsidRDefault="00B921DE" w:rsidP="00B921DE"/>
        </w:tc>
        <w:tc>
          <w:tcPr>
            <w:tcW w:w="1879" w:type="dxa"/>
            <w:tcBorders>
              <w:top w:val="nil"/>
              <w:left w:val="nil"/>
              <w:bottom w:val="nil"/>
              <w:right w:val="nil"/>
            </w:tcBorders>
            <w:vAlign w:val="center"/>
          </w:tcPr>
          <w:p w14:paraId="56410B05" w14:textId="77777777" w:rsidR="00B921DE" w:rsidRPr="003D70B4" w:rsidRDefault="00B921DE" w:rsidP="00B921DE"/>
        </w:tc>
        <w:tc>
          <w:tcPr>
            <w:tcW w:w="523" w:type="dxa"/>
            <w:tcBorders>
              <w:top w:val="nil"/>
              <w:left w:val="nil"/>
              <w:bottom w:val="nil"/>
              <w:right w:val="nil"/>
            </w:tcBorders>
          </w:tcPr>
          <w:p w14:paraId="185091B1" w14:textId="77777777" w:rsidR="00B921DE" w:rsidRPr="003D70B4" w:rsidRDefault="00B921DE" w:rsidP="00B921DE"/>
        </w:tc>
        <w:tc>
          <w:tcPr>
            <w:tcW w:w="1984" w:type="dxa"/>
            <w:tcBorders>
              <w:top w:val="nil"/>
              <w:left w:val="nil"/>
              <w:bottom w:val="nil"/>
              <w:right w:val="nil"/>
            </w:tcBorders>
            <w:vAlign w:val="center"/>
          </w:tcPr>
          <w:p w14:paraId="65F1E2BA" w14:textId="77777777" w:rsidR="00B921DE" w:rsidRPr="003D70B4" w:rsidRDefault="00B921DE" w:rsidP="00B921DE"/>
        </w:tc>
        <w:tc>
          <w:tcPr>
            <w:tcW w:w="1985" w:type="dxa"/>
            <w:tcBorders>
              <w:top w:val="nil"/>
              <w:left w:val="nil"/>
              <w:bottom w:val="nil"/>
              <w:right w:val="nil"/>
            </w:tcBorders>
            <w:vAlign w:val="center"/>
          </w:tcPr>
          <w:p w14:paraId="0B93F8F4" w14:textId="77777777" w:rsidR="00B921DE" w:rsidRPr="003D70B4" w:rsidRDefault="00B921DE" w:rsidP="00B921DE"/>
        </w:tc>
      </w:tr>
      <w:tr w:rsidR="00B921DE" w:rsidRPr="003D70B4" w14:paraId="566B465B" w14:textId="77777777" w:rsidTr="008E7EE9">
        <w:trPr>
          <w:trHeight w:val="565"/>
        </w:trPr>
        <w:tc>
          <w:tcPr>
            <w:tcW w:w="4663" w:type="dxa"/>
            <w:tcBorders>
              <w:top w:val="nil"/>
              <w:left w:val="nil"/>
              <w:bottom w:val="nil"/>
              <w:right w:val="nil"/>
            </w:tcBorders>
            <w:vAlign w:val="center"/>
          </w:tcPr>
          <w:p w14:paraId="281E4A8A" w14:textId="25FB1F9F" w:rsidR="00B921DE" w:rsidRPr="003D70B4" w:rsidRDefault="00705E58" w:rsidP="00B921DE">
            <w:r>
              <w:t xml:space="preserve"> </w:t>
            </w:r>
            <w:r w:rsidR="00B921DE" w:rsidRPr="003D70B4">
              <w:t>Gender</w:t>
            </w:r>
            <w:r w:rsidR="00B921DE" w:rsidRPr="003D70B4">
              <w:rPr>
                <w:vertAlign w:val="superscript"/>
              </w:rPr>
              <w:t xml:space="preserve"> a</w:t>
            </w:r>
          </w:p>
        </w:tc>
        <w:tc>
          <w:tcPr>
            <w:tcW w:w="1866" w:type="dxa"/>
            <w:tcBorders>
              <w:top w:val="nil"/>
              <w:left w:val="nil"/>
              <w:bottom w:val="nil"/>
              <w:right w:val="nil"/>
            </w:tcBorders>
            <w:vAlign w:val="center"/>
          </w:tcPr>
          <w:p w14:paraId="2D1E5A3D" w14:textId="5BDD57A5" w:rsidR="00B921DE" w:rsidRPr="003D70B4" w:rsidRDefault="00B921DE" w:rsidP="00B921DE">
            <w:pPr>
              <w:jc w:val="center"/>
            </w:pPr>
            <w:r w:rsidRPr="008D1F3B">
              <w:t>–.007</w:t>
            </w:r>
            <w:r w:rsidRPr="008D1F3B">
              <w:rPr>
                <w:vertAlign w:val="superscript"/>
              </w:rPr>
              <w:t xml:space="preserve"> </w:t>
            </w:r>
            <w:r w:rsidRPr="008D1F3B">
              <w:t>(.268)</w:t>
            </w:r>
          </w:p>
        </w:tc>
        <w:tc>
          <w:tcPr>
            <w:tcW w:w="1879" w:type="dxa"/>
            <w:tcBorders>
              <w:top w:val="nil"/>
              <w:left w:val="nil"/>
              <w:bottom w:val="nil"/>
              <w:right w:val="nil"/>
            </w:tcBorders>
            <w:vAlign w:val="center"/>
          </w:tcPr>
          <w:p w14:paraId="0078A24B" w14:textId="74882A12" w:rsidR="00B921DE" w:rsidRPr="003D70B4" w:rsidRDefault="00B921DE" w:rsidP="00B921DE">
            <w:pPr>
              <w:jc w:val="center"/>
            </w:pPr>
            <w:r w:rsidRPr="003D70B4">
              <w:t>.</w:t>
            </w:r>
            <w:r>
              <w:t>011</w:t>
            </w:r>
            <w:r w:rsidRPr="003D70B4">
              <w:rPr>
                <w:vertAlign w:val="superscript"/>
              </w:rPr>
              <w:t xml:space="preserve"> </w:t>
            </w:r>
            <w:r w:rsidRPr="003D70B4">
              <w:t>(.2</w:t>
            </w:r>
            <w:r>
              <w:t>63</w:t>
            </w:r>
            <w:r w:rsidRPr="003D70B4">
              <w:t>)</w:t>
            </w:r>
          </w:p>
        </w:tc>
        <w:tc>
          <w:tcPr>
            <w:tcW w:w="523" w:type="dxa"/>
            <w:tcBorders>
              <w:top w:val="nil"/>
              <w:left w:val="nil"/>
              <w:bottom w:val="nil"/>
              <w:right w:val="nil"/>
            </w:tcBorders>
          </w:tcPr>
          <w:p w14:paraId="2EF6B957" w14:textId="77777777" w:rsidR="00B921DE" w:rsidRPr="003D70B4" w:rsidRDefault="00B921DE" w:rsidP="00B921DE">
            <w:pPr>
              <w:jc w:val="center"/>
            </w:pPr>
          </w:p>
        </w:tc>
        <w:tc>
          <w:tcPr>
            <w:tcW w:w="1984" w:type="dxa"/>
            <w:tcBorders>
              <w:top w:val="nil"/>
              <w:left w:val="nil"/>
              <w:bottom w:val="nil"/>
              <w:right w:val="nil"/>
            </w:tcBorders>
            <w:vAlign w:val="center"/>
          </w:tcPr>
          <w:p w14:paraId="4A310AE2" w14:textId="079E394A" w:rsidR="00B921DE" w:rsidRPr="003D70B4" w:rsidRDefault="00B921DE" w:rsidP="00B921DE">
            <w:pPr>
              <w:jc w:val="center"/>
            </w:pPr>
            <w:r w:rsidRPr="00C96374">
              <w:t>–.</w:t>
            </w:r>
            <w:r w:rsidRPr="003D70B4">
              <w:t>135</w:t>
            </w:r>
            <w:r w:rsidRPr="003D70B4">
              <w:rPr>
                <w:vertAlign w:val="superscript"/>
              </w:rPr>
              <w:t xml:space="preserve"> </w:t>
            </w:r>
            <w:r w:rsidRPr="003D70B4">
              <w:t>(.207)</w:t>
            </w:r>
          </w:p>
        </w:tc>
        <w:tc>
          <w:tcPr>
            <w:tcW w:w="1985" w:type="dxa"/>
            <w:tcBorders>
              <w:top w:val="nil"/>
              <w:left w:val="nil"/>
              <w:bottom w:val="nil"/>
              <w:right w:val="nil"/>
            </w:tcBorders>
            <w:vAlign w:val="center"/>
          </w:tcPr>
          <w:p w14:paraId="567B61FF" w14:textId="4139E477" w:rsidR="00B921DE" w:rsidRPr="003D70B4" w:rsidRDefault="00B921DE" w:rsidP="00B921DE">
            <w:pPr>
              <w:jc w:val="center"/>
            </w:pPr>
            <w:r w:rsidRPr="003D70B4">
              <w:t>.0</w:t>
            </w:r>
            <w:r w:rsidR="0063054B">
              <w:t>56</w:t>
            </w:r>
            <w:r w:rsidRPr="003D70B4">
              <w:rPr>
                <w:vertAlign w:val="superscript"/>
              </w:rPr>
              <w:t xml:space="preserve"> </w:t>
            </w:r>
            <w:r w:rsidRPr="003D70B4">
              <w:t>(.20</w:t>
            </w:r>
            <w:r w:rsidR="0063054B">
              <w:t>7</w:t>
            </w:r>
            <w:r w:rsidRPr="003D70B4">
              <w:t>)</w:t>
            </w:r>
          </w:p>
        </w:tc>
      </w:tr>
      <w:tr w:rsidR="00B921DE" w:rsidRPr="003D70B4" w14:paraId="0716B176" w14:textId="77777777" w:rsidTr="008E7EE9">
        <w:trPr>
          <w:trHeight w:val="537"/>
        </w:trPr>
        <w:tc>
          <w:tcPr>
            <w:tcW w:w="4663" w:type="dxa"/>
            <w:tcBorders>
              <w:top w:val="nil"/>
              <w:left w:val="nil"/>
              <w:bottom w:val="nil"/>
              <w:right w:val="nil"/>
            </w:tcBorders>
            <w:vAlign w:val="center"/>
          </w:tcPr>
          <w:p w14:paraId="6C76FF47" w14:textId="3EEBBB61" w:rsidR="00B921DE" w:rsidRPr="003D70B4" w:rsidRDefault="00705E58" w:rsidP="00B921DE">
            <w:r>
              <w:t xml:space="preserve"> </w:t>
            </w:r>
            <w:r w:rsidR="00B921DE" w:rsidRPr="003D70B4">
              <w:t>Tenure</w:t>
            </w:r>
          </w:p>
        </w:tc>
        <w:tc>
          <w:tcPr>
            <w:tcW w:w="1866" w:type="dxa"/>
            <w:tcBorders>
              <w:top w:val="nil"/>
              <w:left w:val="nil"/>
              <w:bottom w:val="nil"/>
              <w:right w:val="nil"/>
            </w:tcBorders>
            <w:vAlign w:val="center"/>
          </w:tcPr>
          <w:p w14:paraId="2C2C280D" w14:textId="250AFECD" w:rsidR="00B921DE" w:rsidRPr="003D70B4" w:rsidRDefault="00B921DE" w:rsidP="00B921DE">
            <w:pPr>
              <w:jc w:val="center"/>
            </w:pPr>
            <w:r w:rsidRPr="008D1F3B">
              <w:t>–.004 (.001)</w:t>
            </w:r>
            <w:r w:rsidRPr="008D1F3B">
              <w:rPr>
                <w:vertAlign w:val="superscript"/>
              </w:rPr>
              <w:t>*</w:t>
            </w:r>
          </w:p>
        </w:tc>
        <w:tc>
          <w:tcPr>
            <w:tcW w:w="1879" w:type="dxa"/>
            <w:tcBorders>
              <w:top w:val="nil"/>
              <w:left w:val="nil"/>
              <w:bottom w:val="nil"/>
              <w:right w:val="nil"/>
            </w:tcBorders>
            <w:vAlign w:val="center"/>
          </w:tcPr>
          <w:p w14:paraId="35094BDF" w14:textId="04DD734A" w:rsidR="00B921DE" w:rsidRPr="003D70B4" w:rsidRDefault="00B921DE" w:rsidP="00B921DE">
            <w:pPr>
              <w:jc w:val="center"/>
            </w:pPr>
            <w:r w:rsidRPr="003D70B4">
              <w:t>–.00</w:t>
            </w:r>
            <w:r>
              <w:t>2</w:t>
            </w:r>
            <w:r w:rsidRPr="003D70B4">
              <w:t xml:space="preserve"> (.00</w:t>
            </w:r>
            <w:r>
              <w:t>1</w:t>
            </w:r>
            <w:r w:rsidRPr="003D70B4">
              <w:t>)</w:t>
            </w:r>
            <w:r w:rsidRPr="003D70B4">
              <w:rPr>
                <w:vertAlign w:val="superscript"/>
              </w:rPr>
              <w:t>*</w:t>
            </w:r>
          </w:p>
        </w:tc>
        <w:tc>
          <w:tcPr>
            <w:tcW w:w="523" w:type="dxa"/>
            <w:tcBorders>
              <w:top w:val="nil"/>
              <w:left w:val="nil"/>
              <w:bottom w:val="nil"/>
              <w:right w:val="nil"/>
            </w:tcBorders>
          </w:tcPr>
          <w:p w14:paraId="40B078FD" w14:textId="77777777" w:rsidR="00B921DE" w:rsidRPr="003D70B4" w:rsidRDefault="00B921DE" w:rsidP="00B921DE">
            <w:pPr>
              <w:jc w:val="center"/>
            </w:pPr>
          </w:p>
        </w:tc>
        <w:tc>
          <w:tcPr>
            <w:tcW w:w="1984" w:type="dxa"/>
            <w:tcBorders>
              <w:top w:val="nil"/>
              <w:left w:val="nil"/>
              <w:bottom w:val="nil"/>
              <w:right w:val="nil"/>
            </w:tcBorders>
            <w:vAlign w:val="center"/>
          </w:tcPr>
          <w:p w14:paraId="4D1E469E" w14:textId="683310A2" w:rsidR="00B921DE" w:rsidRPr="003D70B4" w:rsidRDefault="00B921DE" w:rsidP="00B921DE">
            <w:pPr>
              <w:jc w:val="center"/>
            </w:pPr>
            <w:r w:rsidRPr="003D70B4">
              <w:t>–.019</w:t>
            </w:r>
            <w:r w:rsidRPr="003D70B4">
              <w:rPr>
                <w:vertAlign w:val="superscript"/>
              </w:rPr>
              <w:t xml:space="preserve"> </w:t>
            </w:r>
            <w:r w:rsidRPr="003D70B4">
              <w:t>(.014)</w:t>
            </w:r>
          </w:p>
        </w:tc>
        <w:tc>
          <w:tcPr>
            <w:tcW w:w="1985" w:type="dxa"/>
            <w:tcBorders>
              <w:top w:val="nil"/>
              <w:left w:val="nil"/>
              <w:bottom w:val="nil"/>
              <w:right w:val="nil"/>
            </w:tcBorders>
            <w:vAlign w:val="center"/>
          </w:tcPr>
          <w:p w14:paraId="1D880AE5" w14:textId="338E3DCB" w:rsidR="00B921DE" w:rsidRPr="003D70B4" w:rsidRDefault="00B921DE" w:rsidP="00B921DE">
            <w:pPr>
              <w:jc w:val="center"/>
            </w:pPr>
            <w:r w:rsidRPr="003D70B4">
              <w:t>–.01</w:t>
            </w:r>
            <w:r w:rsidR="0063054B">
              <w:t>3</w:t>
            </w:r>
            <w:r w:rsidRPr="003D70B4">
              <w:rPr>
                <w:vertAlign w:val="superscript"/>
              </w:rPr>
              <w:t xml:space="preserve"> </w:t>
            </w:r>
            <w:r w:rsidRPr="003D70B4">
              <w:t>(.01</w:t>
            </w:r>
            <w:r w:rsidR="0063054B">
              <w:t>4</w:t>
            </w:r>
            <w:r w:rsidRPr="003D70B4">
              <w:t>)</w:t>
            </w:r>
          </w:p>
        </w:tc>
      </w:tr>
      <w:tr w:rsidR="00B921DE" w:rsidRPr="003D70B4" w14:paraId="5D91A32D" w14:textId="77777777" w:rsidTr="008E7EE9">
        <w:trPr>
          <w:trHeight w:val="475"/>
        </w:trPr>
        <w:tc>
          <w:tcPr>
            <w:tcW w:w="4663" w:type="dxa"/>
            <w:tcBorders>
              <w:top w:val="nil"/>
              <w:left w:val="nil"/>
              <w:bottom w:val="nil"/>
              <w:right w:val="nil"/>
            </w:tcBorders>
            <w:vAlign w:val="center"/>
          </w:tcPr>
          <w:p w14:paraId="0CA2AD2C" w14:textId="77777777" w:rsidR="00B921DE" w:rsidRPr="003D70B4" w:rsidRDefault="00B921DE" w:rsidP="00B921DE">
            <w:r w:rsidRPr="003D70B4">
              <w:t>Predictor</w:t>
            </w:r>
          </w:p>
        </w:tc>
        <w:tc>
          <w:tcPr>
            <w:tcW w:w="1866" w:type="dxa"/>
            <w:tcBorders>
              <w:top w:val="nil"/>
              <w:left w:val="nil"/>
              <w:bottom w:val="nil"/>
              <w:right w:val="nil"/>
            </w:tcBorders>
            <w:vAlign w:val="center"/>
          </w:tcPr>
          <w:p w14:paraId="57DA3864" w14:textId="77777777" w:rsidR="00B921DE" w:rsidRPr="003D70B4" w:rsidRDefault="00B921DE" w:rsidP="00B921DE">
            <w:pPr>
              <w:jc w:val="center"/>
            </w:pPr>
          </w:p>
        </w:tc>
        <w:tc>
          <w:tcPr>
            <w:tcW w:w="1879" w:type="dxa"/>
            <w:tcBorders>
              <w:top w:val="nil"/>
              <w:left w:val="nil"/>
              <w:bottom w:val="nil"/>
              <w:right w:val="nil"/>
            </w:tcBorders>
            <w:vAlign w:val="center"/>
          </w:tcPr>
          <w:p w14:paraId="69B23223" w14:textId="77777777" w:rsidR="00B921DE" w:rsidRPr="003D70B4" w:rsidRDefault="00B921DE" w:rsidP="00B921DE">
            <w:pPr>
              <w:jc w:val="center"/>
            </w:pPr>
          </w:p>
        </w:tc>
        <w:tc>
          <w:tcPr>
            <w:tcW w:w="523" w:type="dxa"/>
            <w:tcBorders>
              <w:top w:val="nil"/>
              <w:left w:val="nil"/>
              <w:bottom w:val="nil"/>
              <w:right w:val="nil"/>
            </w:tcBorders>
          </w:tcPr>
          <w:p w14:paraId="743A5270" w14:textId="77777777" w:rsidR="00B921DE" w:rsidRPr="003D70B4" w:rsidRDefault="00B921DE" w:rsidP="00B921DE">
            <w:pPr>
              <w:jc w:val="center"/>
            </w:pPr>
          </w:p>
        </w:tc>
        <w:tc>
          <w:tcPr>
            <w:tcW w:w="1984" w:type="dxa"/>
            <w:tcBorders>
              <w:top w:val="nil"/>
              <w:left w:val="nil"/>
              <w:bottom w:val="nil"/>
              <w:right w:val="nil"/>
            </w:tcBorders>
            <w:vAlign w:val="center"/>
          </w:tcPr>
          <w:p w14:paraId="7C7977D6" w14:textId="77777777" w:rsidR="00B921DE" w:rsidRPr="003D70B4" w:rsidRDefault="00B921DE" w:rsidP="00B921DE">
            <w:pPr>
              <w:jc w:val="center"/>
            </w:pPr>
          </w:p>
        </w:tc>
        <w:tc>
          <w:tcPr>
            <w:tcW w:w="1985" w:type="dxa"/>
            <w:tcBorders>
              <w:top w:val="nil"/>
              <w:left w:val="nil"/>
              <w:bottom w:val="nil"/>
              <w:right w:val="nil"/>
            </w:tcBorders>
            <w:vAlign w:val="center"/>
          </w:tcPr>
          <w:p w14:paraId="5AF75556" w14:textId="77777777" w:rsidR="00B921DE" w:rsidRPr="003D70B4" w:rsidRDefault="00B921DE" w:rsidP="00B921DE">
            <w:pPr>
              <w:jc w:val="center"/>
            </w:pPr>
          </w:p>
        </w:tc>
      </w:tr>
      <w:tr w:rsidR="00B921DE" w:rsidRPr="003D70B4" w14:paraId="4E548EF9" w14:textId="77777777" w:rsidTr="008E7EE9">
        <w:trPr>
          <w:trHeight w:val="565"/>
        </w:trPr>
        <w:tc>
          <w:tcPr>
            <w:tcW w:w="4663" w:type="dxa"/>
            <w:tcBorders>
              <w:top w:val="nil"/>
              <w:left w:val="nil"/>
              <w:bottom w:val="nil"/>
              <w:right w:val="nil"/>
            </w:tcBorders>
            <w:vAlign w:val="center"/>
          </w:tcPr>
          <w:p w14:paraId="372DD482" w14:textId="677C3883" w:rsidR="00B921DE" w:rsidRPr="003D70B4" w:rsidRDefault="00705E58" w:rsidP="00B921DE">
            <w:r>
              <w:t xml:space="preserve"> </w:t>
            </w:r>
            <w:r w:rsidR="00B921DE" w:rsidRPr="003D70B4">
              <w:t>Narcissism</w:t>
            </w:r>
            <w:r w:rsidR="00B921DE" w:rsidRPr="003D70B4">
              <w:rPr>
                <w:vertAlign w:val="superscript"/>
              </w:rPr>
              <w:t xml:space="preserve"> </w:t>
            </w:r>
            <w:r w:rsidR="00B921DE">
              <w:rPr>
                <w:vertAlign w:val="superscript"/>
              </w:rPr>
              <w:t>b</w:t>
            </w:r>
            <w:r>
              <w:t xml:space="preserve">     </w:t>
            </w:r>
            <w:r w:rsidR="00B921DE">
              <w:t xml:space="preserve"> </w:t>
            </w:r>
          </w:p>
        </w:tc>
        <w:tc>
          <w:tcPr>
            <w:tcW w:w="1866" w:type="dxa"/>
            <w:tcBorders>
              <w:top w:val="nil"/>
              <w:left w:val="nil"/>
              <w:bottom w:val="nil"/>
              <w:right w:val="nil"/>
            </w:tcBorders>
            <w:vAlign w:val="center"/>
          </w:tcPr>
          <w:p w14:paraId="743E4CED" w14:textId="77777777" w:rsidR="00B921DE" w:rsidRPr="003D70B4" w:rsidRDefault="00B921DE" w:rsidP="00B921DE">
            <w:pPr>
              <w:jc w:val="center"/>
            </w:pPr>
          </w:p>
        </w:tc>
        <w:tc>
          <w:tcPr>
            <w:tcW w:w="1879" w:type="dxa"/>
            <w:tcBorders>
              <w:top w:val="nil"/>
              <w:left w:val="nil"/>
              <w:bottom w:val="nil"/>
              <w:right w:val="nil"/>
            </w:tcBorders>
            <w:vAlign w:val="center"/>
          </w:tcPr>
          <w:p w14:paraId="151A07CD" w14:textId="7A12BF4C" w:rsidR="00B921DE" w:rsidRPr="003D70B4" w:rsidRDefault="00B921DE" w:rsidP="00B921DE">
            <w:pPr>
              <w:jc w:val="center"/>
            </w:pPr>
            <w:r w:rsidRPr="003D70B4">
              <w:t xml:space="preserve"> </w:t>
            </w:r>
            <w:r>
              <w:t>1.734</w:t>
            </w:r>
            <w:r w:rsidRPr="003D70B4">
              <w:t xml:space="preserve"> (.</w:t>
            </w:r>
            <w:r>
              <w:t>691</w:t>
            </w:r>
            <w:r w:rsidRPr="003D70B4">
              <w:t>)</w:t>
            </w:r>
            <w:r w:rsidRPr="003D70B4">
              <w:rPr>
                <w:vertAlign w:val="superscript"/>
              </w:rPr>
              <w:t>*</w:t>
            </w:r>
          </w:p>
        </w:tc>
        <w:tc>
          <w:tcPr>
            <w:tcW w:w="523" w:type="dxa"/>
            <w:tcBorders>
              <w:top w:val="nil"/>
              <w:left w:val="nil"/>
              <w:bottom w:val="nil"/>
              <w:right w:val="nil"/>
            </w:tcBorders>
          </w:tcPr>
          <w:p w14:paraId="22AA05F0" w14:textId="77777777" w:rsidR="00B921DE" w:rsidRPr="003D70B4" w:rsidRDefault="00B921DE" w:rsidP="00B921DE">
            <w:pPr>
              <w:jc w:val="center"/>
            </w:pPr>
          </w:p>
        </w:tc>
        <w:tc>
          <w:tcPr>
            <w:tcW w:w="1984" w:type="dxa"/>
            <w:tcBorders>
              <w:top w:val="nil"/>
              <w:left w:val="nil"/>
              <w:bottom w:val="nil"/>
              <w:right w:val="nil"/>
            </w:tcBorders>
            <w:vAlign w:val="center"/>
          </w:tcPr>
          <w:p w14:paraId="6FB28015" w14:textId="77777777" w:rsidR="00B921DE" w:rsidRPr="003D70B4" w:rsidRDefault="00B921DE" w:rsidP="00B921DE">
            <w:pPr>
              <w:jc w:val="center"/>
            </w:pPr>
          </w:p>
        </w:tc>
        <w:tc>
          <w:tcPr>
            <w:tcW w:w="1985" w:type="dxa"/>
            <w:tcBorders>
              <w:top w:val="nil"/>
              <w:left w:val="nil"/>
              <w:bottom w:val="nil"/>
              <w:right w:val="nil"/>
            </w:tcBorders>
            <w:vAlign w:val="center"/>
          </w:tcPr>
          <w:p w14:paraId="2DE892CD" w14:textId="53E14429" w:rsidR="00B921DE" w:rsidRPr="003D70B4" w:rsidRDefault="00B921DE" w:rsidP="00B921DE">
            <w:pPr>
              <w:jc w:val="center"/>
            </w:pPr>
            <w:r w:rsidRPr="003D70B4">
              <w:t>.</w:t>
            </w:r>
            <w:r w:rsidR="0063054B">
              <w:t>148</w:t>
            </w:r>
            <w:r w:rsidRPr="003D70B4">
              <w:t xml:space="preserve"> (.0</w:t>
            </w:r>
            <w:r w:rsidR="0063054B">
              <w:t>48</w:t>
            </w:r>
            <w:r w:rsidRPr="003D70B4">
              <w:t>)</w:t>
            </w:r>
            <w:r w:rsidRPr="003D70B4">
              <w:rPr>
                <w:vertAlign w:val="superscript"/>
              </w:rPr>
              <w:t>*</w:t>
            </w:r>
            <w:r w:rsidR="0063054B" w:rsidRPr="003D70B4">
              <w:rPr>
                <w:vertAlign w:val="superscript"/>
              </w:rPr>
              <w:t>*</w:t>
            </w:r>
          </w:p>
        </w:tc>
      </w:tr>
      <w:tr w:rsidR="00B921DE" w:rsidRPr="003D70B4" w14:paraId="2A3773A8" w14:textId="77777777" w:rsidTr="008E7EE9">
        <w:trPr>
          <w:trHeight w:val="565"/>
        </w:trPr>
        <w:tc>
          <w:tcPr>
            <w:tcW w:w="4663" w:type="dxa"/>
            <w:tcBorders>
              <w:top w:val="nil"/>
              <w:left w:val="nil"/>
              <w:bottom w:val="nil"/>
              <w:right w:val="nil"/>
            </w:tcBorders>
            <w:vAlign w:val="center"/>
          </w:tcPr>
          <w:p w14:paraId="1CFDD1C2" w14:textId="5762F3C9" w:rsidR="00B921DE" w:rsidRPr="003D70B4" w:rsidRDefault="00B921DE" w:rsidP="00B921DE">
            <w:r w:rsidRPr="003D70B4">
              <w:t xml:space="preserve">Conditional </w:t>
            </w:r>
            <w:r w:rsidRPr="003D70B4">
              <w:rPr>
                <w:i/>
              </w:rPr>
              <w:t>R</w:t>
            </w:r>
            <w:r w:rsidRPr="00B34AC6">
              <w:rPr>
                <w:iCs/>
                <w:vertAlign w:val="superscript"/>
              </w:rPr>
              <w:t>2</w:t>
            </w:r>
          </w:p>
        </w:tc>
        <w:tc>
          <w:tcPr>
            <w:tcW w:w="1866" w:type="dxa"/>
            <w:tcBorders>
              <w:top w:val="nil"/>
              <w:left w:val="nil"/>
              <w:bottom w:val="nil"/>
              <w:right w:val="nil"/>
            </w:tcBorders>
            <w:vAlign w:val="center"/>
          </w:tcPr>
          <w:p w14:paraId="5064B726" w14:textId="254A978C" w:rsidR="00B921DE" w:rsidRPr="00C56E4D" w:rsidRDefault="00B921DE" w:rsidP="00B921DE">
            <w:pPr>
              <w:jc w:val="center"/>
              <w:rPr>
                <w:highlight w:val="yellow"/>
              </w:rPr>
            </w:pPr>
            <w:r w:rsidRPr="003D70B4">
              <w:t>.178</w:t>
            </w:r>
          </w:p>
        </w:tc>
        <w:tc>
          <w:tcPr>
            <w:tcW w:w="1879" w:type="dxa"/>
            <w:tcBorders>
              <w:top w:val="nil"/>
              <w:left w:val="nil"/>
              <w:bottom w:val="nil"/>
              <w:right w:val="nil"/>
            </w:tcBorders>
            <w:vAlign w:val="center"/>
          </w:tcPr>
          <w:p w14:paraId="42D30512" w14:textId="192FC10E" w:rsidR="00B921DE" w:rsidRPr="007842CF" w:rsidRDefault="00B921DE" w:rsidP="00B921DE">
            <w:pPr>
              <w:jc w:val="center"/>
            </w:pPr>
            <w:r w:rsidRPr="007842CF">
              <w:t>.</w:t>
            </w:r>
            <w:r w:rsidR="002F231F" w:rsidRPr="007842CF">
              <w:t>234</w:t>
            </w:r>
          </w:p>
        </w:tc>
        <w:tc>
          <w:tcPr>
            <w:tcW w:w="523" w:type="dxa"/>
            <w:tcBorders>
              <w:top w:val="nil"/>
              <w:left w:val="nil"/>
              <w:bottom w:val="nil"/>
              <w:right w:val="nil"/>
            </w:tcBorders>
          </w:tcPr>
          <w:p w14:paraId="34765C55" w14:textId="77777777" w:rsidR="00B921DE" w:rsidRPr="003D70B4" w:rsidRDefault="00B921DE" w:rsidP="00B921DE">
            <w:pPr>
              <w:jc w:val="center"/>
            </w:pPr>
          </w:p>
        </w:tc>
        <w:tc>
          <w:tcPr>
            <w:tcW w:w="1984" w:type="dxa"/>
            <w:tcBorders>
              <w:top w:val="nil"/>
              <w:left w:val="nil"/>
              <w:bottom w:val="nil"/>
              <w:right w:val="nil"/>
            </w:tcBorders>
            <w:vAlign w:val="center"/>
          </w:tcPr>
          <w:p w14:paraId="3BC0E5B9" w14:textId="1A59C757" w:rsidR="00B921DE" w:rsidRPr="00C56E4D" w:rsidRDefault="00B921DE" w:rsidP="00B921DE">
            <w:pPr>
              <w:jc w:val="center"/>
              <w:rPr>
                <w:highlight w:val="yellow"/>
              </w:rPr>
            </w:pPr>
            <w:r w:rsidRPr="003D70B4">
              <w:t>.490</w:t>
            </w:r>
          </w:p>
        </w:tc>
        <w:tc>
          <w:tcPr>
            <w:tcW w:w="1985" w:type="dxa"/>
            <w:tcBorders>
              <w:top w:val="nil"/>
              <w:left w:val="nil"/>
              <w:bottom w:val="nil"/>
              <w:right w:val="nil"/>
            </w:tcBorders>
            <w:vAlign w:val="center"/>
          </w:tcPr>
          <w:p w14:paraId="7239B090" w14:textId="1B83CCE2" w:rsidR="00B921DE" w:rsidRPr="006D18D4" w:rsidRDefault="00B921DE" w:rsidP="00B921DE">
            <w:pPr>
              <w:jc w:val="center"/>
            </w:pPr>
            <w:r w:rsidRPr="006D18D4">
              <w:t>.</w:t>
            </w:r>
            <w:r w:rsidR="00394651" w:rsidRPr="006D18D4">
              <w:t>562</w:t>
            </w:r>
          </w:p>
        </w:tc>
      </w:tr>
      <w:tr w:rsidR="00B921DE" w:rsidRPr="003D70B4" w14:paraId="59119D0C" w14:textId="77777777" w:rsidTr="008E7EE9">
        <w:trPr>
          <w:trHeight w:val="565"/>
        </w:trPr>
        <w:tc>
          <w:tcPr>
            <w:tcW w:w="4663" w:type="dxa"/>
            <w:tcBorders>
              <w:top w:val="nil"/>
              <w:left w:val="nil"/>
              <w:bottom w:val="nil"/>
              <w:right w:val="nil"/>
            </w:tcBorders>
            <w:vAlign w:val="center"/>
          </w:tcPr>
          <w:p w14:paraId="2C5CCAE0" w14:textId="5935513D" w:rsidR="00B921DE" w:rsidRPr="003D70B4" w:rsidRDefault="00B921DE" w:rsidP="00B921DE">
            <w:r w:rsidRPr="003D70B4">
              <w:t xml:space="preserve">Marginal </w:t>
            </w:r>
            <w:r w:rsidRPr="003D70B4">
              <w:rPr>
                <w:i/>
              </w:rPr>
              <w:t>R</w:t>
            </w:r>
            <w:r w:rsidRPr="00826DD6">
              <w:rPr>
                <w:iCs/>
                <w:vertAlign w:val="superscript"/>
              </w:rPr>
              <w:t>2</w:t>
            </w:r>
          </w:p>
        </w:tc>
        <w:tc>
          <w:tcPr>
            <w:tcW w:w="1866" w:type="dxa"/>
            <w:tcBorders>
              <w:top w:val="nil"/>
              <w:left w:val="nil"/>
              <w:bottom w:val="nil"/>
              <w:right w:val="nil"/>
            </w:tcBorders>
            <w:vAlign w:val="center"/>
          </w:tcPr>
          <w:p w14:paraId="7EDFBADA" w14:textId="39A4ADE7" w:rsidR="00B921DE" w:rsidRPr="00C56E4D" w:rsidRDefault="00B921DE" w:rsidP="00B921DE">
            <w:pPr>
              <w:jc w:val="center"/>
              <w:rPr>
                <w:highlight w:val="yellow"/>
              </w:rPr>
            </w:pPr>
            <w:r w:rsidRPr="003D70B4">
              <w:t>.041</w:t>
            </w:r>
          </w:p>
        </w:tc>
        <w:tc>
          <w:tcPr>
            <w:tcW w:w="1879" w:type="dxa"/>
            <w:tcBorders>
              <w:top w:val="nil"/>
              <w:left w:val="nil"/>
              <w:bottom w:val="nil"/>
              <w:right w:val="nil"/>
            </w:tcBorders>
            <w:vAlign w:val="center"/>
          </w:tcPr>
          <w:p w14:paraId="68104856" w14:textId="661FBD1C" w:rsidR="00B921DE" w:rsidRPr="007842CF" w:rsidRDefault="00B921DE" w:rsidP="00B921DE">
            <w:pPr>
              <w:jc w:val="center"/>
            </w:pPr>
            <w:r w:rsidRPr="007842CF">
              <w:t>.0</w:t>
            </w:r>
            <w:r w:rsidR="002F231F" w:rsidRPr="007842CF">
              <w:t>80</w:t>
            </w:r>
          </w:p>
        </w:tc>
        <w:tc>
          <w:tcPr>
            <w:tcW w:w="523" w:type="dxa"/>
            <w:tcBorders>
              <w:top w:val="nil"/>
              <w:left w:val="nil"/>
              <w:bottom w:val="nil"/>
              <w:right w:val="nil"/>
            </w:tcBorders>
          </w:tcPr>
          <w:p w14:paraId="53B3F0EB" w14:textId="77777777" w:rsidR="00B921DE" w:rsidRPr="003D70B4" w:rsidRDefault="00B921DE" w:rsidP="00B921DE">
            <w:pPr>
              <w:jc w:val="center"/>
            </w:pPr>
          </w:p>
        </w:tc>
        <w:tc>
          <w:tcPr>
            <w:tcW w:w="1984" w:type="dxa"/>
            <w:tcBorders>
              <w:top w:val="nil"/>
              <w:left w:val="nil"/>
              <w:bottom w:val="nil"/>
              <w:right w:val="nil"/>
            </w:tcBorders>
            <w:vAlign w:val="center"/>
          </w:tcPr>
          <w:p w14:paraId="392E53DE" w14:textId="014101CB" w:rsidR="00B921DE" w:rsidRPr="00C56E4D" w:rsidRDefault="00B921DE" w:rsidP="00B921DE">
            <w:pPr>
              <w:jc w:val="center"/>
              <w:rPr>
                <w:highlight w:val="yellow"/>
              </w:rPr>
            </w:pPr>
            <w:r w:rsidRPr="003D70B4">
              <w:t>.017</w:t>
            </w:r>
          </w:p>
        </w:tc>
        <w:tc>
          <w:tcPr>
            <w:tcW w:w="1985" w:type="dxa"/>
            <w:tcBorders>
              <w:top w:val="nil"/>
              <w:left w:val="nil"/>
              <w:bottom w:val="nil"/>
              <w:right w:val="nil"/>
            </w:tcBorders>
            <w:vAlign w:val="center"/>
          </w:tcPr>
          <w:p w14:paraId="41544616" w14:textId="0C097917" w:rsidR="00B921DE" w:rsidRPr="006D18D4" w:rsidRDefault="00B921DE" w:rsidP="00B921DE">
            <w:pPr>
              <w:jc w:val="center"/>
            </w:pPr>
            <w:r w:rsidRPr="006D18D4">
              <w:t>.0</w:t>
            </w:r>
            <w:r w:rsidR="00394651" w:rsidRPr="006D18D4">
              <w:t>73</w:t>
            </w:r>
          </w:p>
        </w:tc>
      </w:tr>
      <w:tr w:rsidR="00B921DE" w:rsidRPr="003D70B4" w14:paraId="2D0AFE4B" w14:textId="77777777" w:rsidTr="008E7EE9">
        <w:trPr>
          <w:trHeight w:val="565"/>
        </w:trPr>
        <w:tc>
          <w:tcPr>
            <w:tcW w:w="4663" w:type="dxa"/>
            <w:tcBorders>
              <w:top w:val="nil"/>
              <w:left w:val="nil"/>
              <w:bottom w:val="nil"/>
              <w:right w:val="nil"/>
            </w:tcBorders>
            <w:vAlign w:val="center"/>
          </w:tcPr>
          <w:p w14:paraId="13C2B426" w14:textId="77777777" w:rsidR="00B921DE" w:rsidRPr="003D70B4" w:rsidRDefault="00B921DE" w:rsidP="00B921DE">
            <w:r>
              <w:t>AIC</w:t>
            </w:r>
          </w:p>
        </w:tc>
        <w:tc>
          <w:tcPr>
            <w:tcW w:w="1866" w:type="dxa"/>
            <w:tcBorders>
              <w:top w:val="nil"/>
              <w:left w:val="nil"/>
              <w:bottom w:val="nil"/>
              <w:right w:val="nil"/>
            </w:tcBorders>
            <w:vAlign w:val="center"/>
          </w:tcPr>
          <w:p w14:paraId="2F85C0AA" w14:textId="7E09700A" w:rsidR="00B921DE" w:rsidRPr="003D70B4" w:rsidRDefault="00B921DE" w:rsidP="00B921DE">
            <w:pPr>
              <w:jc w:val="center"/>
            </w:pPr>
            <w:r>
              <w:t>567.971</w:t>
            </w:r>
          </w:p>
        </w:tc>
        <w:tc>
          <w:tcPr>
            <w:tcW w:w="1879" w:type="dxa"/>
            <w:tcBorders>
              <w:top w:val="nil"/>
              <w:left w:val="nil"/>
              <w:bottom w:val="nil"/>
              <w:right w:val="nil"/>
            </w:tcBorders>
            <w:vAlign w:val="center"/>
          </w:tcPr>
          <w:p w14:paraId="393D0FB4" w14:textId="1C10ECA1" w:rsidR="00B921DE" w:rsidRPr="003D70B4" w:rsidRDefault="002B5AE3" w:rsidP="00B921DE">
            <w:pPr>
              <w:jc w:val="center"/>
            </w:pPr>
            <w:r>
              <w:t>563.729</w:t>
            </w:r>
          </w:p>
        </w:tc>
        <w:tc>
          <w:tcPr>
            <w:tcW w:w="523" w:type="dxa"/>
            <w:tcBorders>
              <w:top w:val="nil"/>
              <w:left w:val="nil"/>
              <w:bottom w:val="nil"/>
              <w:right w:val="nil"/>
            </w:tcBorders>
          </w:tcPr>
          <w:p w14:paraId="76902CFA" w14:textId="77777777" w:rsidR="00B921DE" w:rsidRPr="003D70B4" w:rsidRDefault="00B921DE" w:rsidP="00B921DE">
            <w:pPr>
              <w:jc w:val="center"/>
            </w:pPr>
          </w:p>
        </w:tc>
        <w:tc>
          <w:tcPr>
            <w:tcW w:w="1984" w:type="dxa"/>
            <w:tcBorders>
              <w:top w:val="nil"/>
              <w:left w:val="nil"/>
              <w:bottom w:val="nil"/>
              <w:right w:val="nil"/>
            </w:tcBorders>
            <w:vAlign w:val="center"/>
          </w:tcPr>
          <w:p w14:paraId="141A62B1" w14:textId="166BA78D" w:rsidR="00B921DE" w:rsidRPr="003D70B4" w:rsidRDefault="00B921DE" w:rsidP="00B921DE">
            <w:pPr>
              <w:jc w:val="center"/>
            </w:pPr>
            <w:r>
              <w:t>415.505</w:t>
            </w:r>
          </w:p>
        </w:tc>
        <w:tc>
          <w:tcPr>
            <w:tcW w:w="1985" w:type="dxa"/>
            <w:tcBorders>
              <w:top w:val="nil"/>
              <w:left w:val="nil"/>
              <w:bottom w:val="nil"/>
              <w:right w:val="nil"/>
            </w:tcBorders>
            <w:vAlign w:val="center"/>
          </w:tcPr>
          <w:p w14:paraId="5348DB1E" w14:textId="1231CC18" w:rsidR="00B921DE" w:rsidRPr="003D70B4" w:rsidRDefault="00AB3BDD" w:rsidP="00B921DE">
            <w:pPr>
              <w:jc w:val="center"/>
            </w:pPr>
            <w:r>
              <w:t>408.153</w:t>
            </w:r>
          </w:p>
        </w:tc>
      </w:tr>
      <w:tr w:rsidR="00B921DE" w:rsidRPr="003D70B4" w14:paraId="03163FC6" w14:textId="77777777" w:rsidTr="008E7EE9">
        <w:trPr>
          <w:trHeight w:val="565"/>
        </w:trPr>
        <w:tc>
          <w:tcPr>
            <w:tcW w:w="4663" w:type="dxa"/>
            <w:tcBorders>
              <w:top w:val="nil"/>
              <w:left w:val="nil"/>
              <w:bottom w:val="single" w:sz="18" w:space="0" w:color="auto"/>
              <w:right w:val="nil"/>
            </w:tcBorders>
            <w:vAlign w:val="center"/>
          </w:tcPr>
          <w:p w14:paraId="19CA4868" w14:textId="77777777" w:rsidR="00B921DE" w:rsidRDefault="00B921DE" w:rsidP="00B921DE">
            <w:r>
              <w:t>w</w:t>
            </w:r>
            <w:r w:rsidRPr="0060686E">
              <w:rPr>
                <w:vertAlign w:val="subscript"/>
              </w:rPr>
              <w:t>i</w:t>
            </w:r>
            <w:r>
              <w:rPr>
                <w:vertAlign w:val="subscript"/>
              </w:rPr>
              <w:t xml:space="preserve"> </w:t>
            </w:r>
            <w:r>
              <w:t>(AIC)</w:t>
            </w:r>
          </w:p>
        </w:tc>
        <w:tc>
          <w:tcPr>
            <w:tcW w:w="1866" w:type="dxa"/>
            <w:tcBorders>
              <w:top w:val="nil"/>
              <w:left w:val="nil"/>
              <w:bottom w:val="single" w:sz="18" w:space="0" w:color="auto"/>
              <w:right w:val="nil"/>
            </w:tcBorders>
            <w:vAlign w:val="center"/>
          </w:tcPr>
          <w:p w14:paraId="00488A5D" w14:textId="577A0E6D" w:rsidR="00B921DE" w:rsidRPr="00E9312F" w:rsidRDefault="00B921DE" w:rsidP="00B921DE">
            <w:pPr>
              <w:jc w:val="center"/>
            </w:pPr>
            <w:r w:rsidRPr="00E9312F">
              <w:t>.</w:t>
            </w:r>
            <w:r w:rsidR="00E9312F">
              <w:t>107</w:t>
            </w:r>
          </w:p>
        </w:tc>
        <w:tc>
          <w:tcPr>
            <w:tcW w:w="1879" w:type="dxa"/>
            <w:tcBorders>
              <w:top w:val="nil"/>
              <w:left w:val="nil"/>
              <w:bottom w:val="single" w:sz="18" w:space="0" w:color="auto"/>
              <w:right w:val="nil"/>
            </w:tcBorders>
            <w:vAlign w:val="center"/>
          </w:tcPr>
          <w:p w14:paraId="79F0B752" w14:textId="10BDEDB4" w:rsidR="00B921DE" w:rsidRPr="00E9312F" w:rsidRDefault="00B921DE" w:rsidP="00B921DE">
            <w:pPr>
              <w:jc w:val="center"/>
            </w:pPr>
            <w:r w:rsidRPr="00E9312F">
              <w:t>.</w:t>
            </w:r>
            <w:r w:rsidR="00E9312F">
              <w:t>893</w:t>
            </w:r>
          </w:p>
        </w:tc>
        <w:tc>
          <w:tcPr>
            <w:tcW w:w="523" w:type="dxa"/>
            <w:tcBorders>
              <w:top w:val="nil"/>
              <w:left w:val="nil"/>
              <w:bottom w:val="single" w:sz="18" w:space="0" w:color="auto"/>
              <w:right w:val="nil"/>
            </w:tcBorders>
          </w:tcPr>
          <w:p w14:paraId="22B5C512" w14:textId="77777777" w:rsidR="00B921DE" w:rsidRPr="00E9312F" w:rsidRDefault="00B921DE" w:rsidP="00B921DE">
            <w:pPr>
              <w:jc w:val="center"/>
            </w:pPr>
          </w:p>
        </w:tc>
        <w:tc>
          <w:tcPr>
            <w:tcW w:w="1984" w:type="dxa"/>
            <w:tcBorders>
              <w:top w:val="nil"/>
              <w:left w:val="nil"/>
              <w:bottom w:val="single" w:sz="18" w:space="0" w:color="auto"/>
              <w:right w:val="nil"/>
            </w:tcBorders>
            <w:vAlign w:val="center"/>
          </w:tcPr>
          <w:p w14:paraId="32560434" w14:textId="2ABD7C10" w:rsidR="00B921DE" w:rsidRPr="00E9312F" w:rsidRDefault="00B921DE" w:rsidP="00B921DE">
            <w:pPr>
              <w:jc w:val="center"/>
            </w:pPr>
            <w:r w:rsidRPr="00E9312F">
              <w:t>.025</w:t>
            </w:r>
          </w:p>
        </w:tc>
        <w:tc>
          <w:tcPr>
            <w:tcW w:w="1985" w:type="dxa"/>
            <w:tcBorders>
              <w:top w:val="nil"/>
              <w:left w:val="nil"/>
              <w:bottom w:val="single" w:sz="18" w:space="0" w:color="auto"/>
              <w:right w:val="nil"/>
            </w:tcBorders>
            <w:vAlign w:val="center"/>
          </w:tcPr>
          <w:p w14:paraId="28EC0F5E" w14:textId="77777777" w:rsidR="00B921DE" w:rsidRPr="00E9312F" w:rsidRDefault="00B921DE" w:rsidP="00B921DE">
            <w:pPr>
              <w:jc w:val="center"/>
            </w:pPr>
            <w:r w:rsidRPr="00E9312F">
              <w:t>.975</w:t>
            </w:r>
          </w:p>
        </w:tc>
      </w:tr>
    </w:tbl>
    <w:p w14:paraId="0799525E" w14:textId="77777777" w:rsidR="00A44479" w:rsidRDefault="00A44479" w:rsidP="00A44479">
      <w:pPr>
        <w:spacing w:line="480" w:lineRule="auto"/>
        <w:rPr>
          <w:i/>
        </w:rPr>
      </w:pPr>
    </w:p>
    <w:p w14:paraId="1FF9A5E9" w14:textId="77777777" w:rsidR="00A44479" w:rsidRDefault="00A44479" w:rsidP="00A44479">
      <w:pPr>
        <w:spacing w:line="480" w:lineRule="auto"/>
        <w:rPr>
          <w:i/>
        </w:rPr>
      </w:pPr>
    </w:p>
    <w:p w14:paraId="475EAA3C" w14:textId="77777777" w:rsidR="00A44479" w:rsidRDefault="00A44479" w:rsidP="00A44479">
      <w:pPr>
        <w:spacing w:line="480" w:lineRule="auto"/>
        <w:rPr>
          <w:i/>
        </w:rPr>
      </w:pPr>
    </w:p>
    <w:p w14:paraId="15B59F25" w14:textId="77777777" w:rsidR="00A44479" w:rsidRDefault="00A44479" w:rsidP="00A44479">
      <w:pPr>
        <w:spacing w:line="480" w:lineRule="auto"/>
        <w:rPr>
          <w:i/>
        </w:rPr>
      </w:pPr>
    </w:p>
    <w:p w14:paraId="73A71A6A" w14:textId="77777777" w:rsidR="00A44479" w:rsidRDefault="00A44479" w:rsidP="00A44479">
      <w:pPr>
        <w:spacing w:line="480" w:lineRule="auto"/>
        <w:rPr>
          <w:i/>
        </w:rPr>
      </w:pPr>
    </w:p>
    <w:p w14:paraId="6CAD5BC0" w14:textId="77777777" w:rsidR="00A44479" w:rsidRDefault="00A44479" w:rsidP="00A44479">
      <w:pPr>
        <w:spacing w:line="480" w:lineRule="auto"/>
        <w:rPr>
          <w:i/>
        </w:rPr>
      </w:pPr>
    </w:p>
    <w:p w14:paraId="51A5CFB5" w14:textId="77777777" w:rsidR="00A44479" w:rsidRDefault="00A44479" w:rsidP="00A44479">
      <w:pPr>
        <w:spacing w:line="480" w:lineRule="auto"/>
        <w:rPr>
          <w:i/>
        </w:rPr>
      </w:pPr>
    </w:p>
    <w:p w14:paraId="611E2F70" w14:textId="77777777" w:rsidR="00A44479" w:rsidRDefault="00A44479" w:rsidP="00A44479">
      <w:pPr>
        <w:spacing w:line="480" w:lineRule="auto"/>
        <w:rPr>
          <w:i/>
        </w:rPr>
      </w:pPr>
    </w:p>
    <w:p w14:paraId="5E0ECFFA" w14:textId="77777777" w:rsidR="00A44479" w:rsidRDefault="00A44479" w:rsidP="00A44479">
      <w:pPr>
        <w:spacing w:line="480" w:lineRule="auto"/>
        <w:rPr>
          <w:i/>
        </w:rPr>
      </w:pPr>
    </w:p>
    <w:p w14:paraId="794D800F" w14:textId="77777777" w:rsidR="00A44479" w:rsidRDefault="00A44479" w:rsidP="00A44479">
      <w:pPr>
        <w:spacing w:line="480" w:lineRule="auto"/>
        <w:rPr>
          <w:i/>
        </w:rPr>
      </w:pPr>
    </w:p>
    <w:p w14:paraId="2D36C247" w14:textId="77777777" w:rsidR="00A44479" w:rsidRDefault="00A44479" w:rsidP="00A44479">
      <w:pPr>
        <w:spacing w:line="480" w:lineRule="auto"/>
        <w:rPr>
          <w:i/>
        </w:rPr>
      </w:pPr>
    </w:p>
    <w:p w14:paraId="28C7D6F7" w14:textId="77777777" w:rsidR="00A44479" w:rsidRDefault="00A44479" w:rsidP="00A44479">
      <w:pPr>
        <w:spacing w:line="360" w:lineRule="auto"/>
        <w:rPr>
          <w:i/>
        </w:rPr>
      </w:pPr>
    </w:p>
    <w:p w14:paraId="158E8BEA" w14:textId="77777777" w:rsidR="00A44479" w:rsidRDefault="00A44479" w:rsidP="00A44479">
      <w:pPr>
        <w:spacing w:line="360" w:lineRule="auto"/>
      </w:pPr>
      <w:r w:rsidRPr="003D70B4">
        <w:rPr>
          <w:i/>
        </w:rPr>
        <w:t>Note</w:t>
      </w:r>
      <w:r w:rsidRPr="003D70B4">
        <w:t xml:space="preserve">. Values can be interpreted as unstandardized regression coefficients with standard errors given in parentheses. </w:t>
      </w:r>
      <w:r w:rsidRPr="003D70B4">
        <w:rPr>
          <w:vertAlign w:val="superscript"/>
        </w:rPr>
        <w:t>a</w:t>
      </w:r>
      <w:r w:rsidRPr="003D70B4">
        <w:t xml:space="preserve"> 0 = man; 1 = woman.</w:t>
      </w:r>
    </w:p>
    <w:p w14:paraId="7019095B" w14:textId="7AF343F5" w:rsidR="00A44479" w:rsidRPr="003D70B4" w:rsidRDefault="00A44479" w:rsidP="00A44479">
      <w:pPr>
        <w:spacing w:line="360" w:lineRule="auto"/>
        <w:sectPr w:rsidR="00A44479" w:rsidRPr="003D70B4" w:rsidSect="004C28FB">
          <w:pgSz w:w="16840" w:h="11900" w:orient="landscape"/>
          <w:pgMar w:top="1440" w:right="1440" w:bottom="1440" w:left="1440" w:header="708" w:footer="708" w:gutter="0"/>
          <w:cols w:space="708"/>
          <w:docGrid w:linePitch="360"/>
        </w:sectPr>
      </w:pPr>
      <w:r>
        <w:rPr>
          <w:vertAlign w:val="superscript"/>
        </w:rPr>
        <w:t>b</w:t>
      </w:r>
      <w:r w:rsidRPr="003D70B4">
        <w:t xml:space="preserve"> </w:t>
      </w:r>
      <w:r>
        <w:t xml:space="preserve">Narcissism </w:t>
      </w:r>
      <w:r w:rsidR="00CA2A18">
        <w:t>includes</w:t>
      </w:r>
      <w:r>
        <w:t xml:space="preserve"> GE and EE components (Study 1), and all except for leadership and authority items (Study 2).</w:t>
      </w:r>
      <w:r w:rsidRPr="00B60DB5">
        <w:t xml:space="preserve"> Akaike Information Criteria</w:t>
      </w:r>
      <w:r>
        <w:t xml:space="preserve"> (AIC) of model fit were based on </w:t>
      </w:r>
      <w:r w:rsidR="008230B8">
        <w:t>ML</w:t>
      </w:r>
      <w:r>
        <w:t xml:space="preserve"> estimation. w</w:t>
      </w:r>
      <w:r w:rsidRPr="0060686E">
        <w:rPr>
          <w:vertAlign w:val="subscript"/>
        </w:rPr>
        <w:t>i</w:t>
      </w:r>
      <w:r>
        <w:rPr>
          <w:vertAlign w:val="subscript"/>
        </w:rPr>
        <w:t xml:space="preserve"> </w:t>
      </w:r>
      <w:r>
        <w:t>(AIC) is the AIC weight.</w:t>
      </w:r>
      <w:r w:rsidR="00286BDF">
        <w:t xml:space="preserve"> </w:t>
      </w:r>
      <w:r w:rsidRPr="003D70B4">
        <w:rPr>
          <w:vertAlign w:val="superscript"/>
        </w:rPr>
        <w:t>†</w:t>
      </w:r>
      <w:r w:rsidRPr="003D70B4">
        <w:rPr>
          <w:i/>
        </w:rPr>
        <w:t>p</w:t>
      </w:r>
      <w:r w:rsidRPr="003D70B4">
        <w:t xml:space="preserve"> &lt; .10, </w:t>
      </w:r>
      <w:r w:rsidRPr="003D70B4">
        <w:rPr>
          <w:vertAlign w:val="superscript"/>
        </w:rPr>
        <w:t>*</w:t>
      </w:r>
      <w:r w:rsidRPr="003D70B4">
        <w:rPr>
          <w:i/>
        </w:rPr>
        <w:t>p</w:t>
      </w:r>
      <w:r w:rsidRPr="003D70B4">
        <w:t xml:space="preserve"> &lt; .05, </w:t>
      </w:r>
      <w:r w:rsidRPr="003D70B4">
        <w:rPr>
          <w:vertAlign w:val="superscript"/>
        </w:rPr>
        <w:t>**</w:t>
      </w:r>
      <w:r w:rsidRPr="003D70B4">
        <w:rPr>
          <w:i/>
        </w:rPr>
        <w:t>p</w:t>
      </w:r>
      <w:r w:rsidRPr="003D70B4">
        <w:t xml:space="preserve"> &lt; .01</w:t>
      </w:r>
    </w:p>
    <w:p w14:paraId="65F5C0A2" w14:textId="77777777" w:rsidR="006D6C4C" w:rsidRPr="0041230A" w:rsidRDefault="006D6C4C" w:rsidP="006D6C4C">
      <w:pPr>
        <w:spacing w:line="480" w:lineRule="auto"/>
      </w:pPr>
      <w:r w:rsidRPr="00D15D0E">
        <w:rPr>
          <w:b/>
          <w:bCs/>
          <w:iCs/>
        </w:rPr>
        <w:lastRenderedPageBreak/>
        <w:t>Figure 1</w:t>
      </w:r>
      <w:r w:rsidRPr="0041230A">
        <w:t xml:space="preserve"> </w:t>
      </w:r>
    </w:p>
    <w:p w14:paraId="2043E618" w14:textId="339EBC0E" w:rsidR="0067410D" w:rsidRDefault="006D6C4C" w:rsidP="0067410D">
      <w:pPr>
        <w:spacing w:line="480" w:lineRule="auto"/>
        <w:rPr>
          <w:b/>
        </w:rPr>
      </w:pPr>
      <w:r w:rsidRPr="00AD6A74">
        <w:rPr>
          <w:i/>
          <w:iCs/>
        </w:rPr>
        <w:t>Effect o</w:t>
      </w:r>
      <w:r w:rsidRPr="00180E78">
        <w:rPr>
          <w:i/>
          <w:iCs/>
        </w:rPr>
        <w:t xml:space="preserve">f </w:t>
      </w:r>
      <w:r w:rsidRPr="00076E4A">
        <w:rPr>
          <w:i/>
          <w:iCs/>
        </w:rPr>
        <w:t>E</w:t>
      </w:r>
      <w:r w:rsidRPr="007E74C2">
        <w:rPr>
          <w:i/>
          <w:iCs/>
        </w:rPr>
        <w:t>mployee N</w:t>
      </w:r>
      <w:r w:rsidRPr="003D57C7">
        <w:rPr>
          <w:i/>
          <w:iCs/>
        </w:rPr>
        <w:t>arcissism on Promotability</w:t>
      </w:r>
      <w:r w:rsidRPr="00495C0B">
        <w:rPr>
          <w:i/>
          <w:iCs/>
        </w:rPr>
        <w:t xml:space="preserve">, as </w:t>
      </w:r>
      <w:r w:rsidRPr="00D2563E">
        <w:rPr>
          <w:i/>
          <w:iCs/>
        </w:rPr>
        <w:t>R</w:t>
      </w:r>
      <w:r w:rsidRPr="005160C6">
        <w:rPr>
          <w:i/>
          <w:iCs/>
        </w:rPr>
        <w:t>ated by the Supervisor,</w:t>
      </w:r>
      <w:r w:rsidRPr="003815FF">
        <w:rPr>
          <w:i/>
          <w:iCs/>
        </w:rPr>
        <w:t xml:space="preserve"> </w:t>
      </w:r>
      <w:r w:rsidR="008B0317">
        <w:rPr>
          <w:i/>
          <w:iCs/>
        </w:rPr>
        <w:t>Accounted for</w:t>
      </w:r>
      <w:r w:rsidR="008B0317" w:rsidRPr="00391742">
        <w:rPr>
          <w:i/>
          <w:iCs/>
        </w:rPr>
        <w:t xml:space="preserve"> </w:t>
      </w:r>
      <w:r w:rsidRPr="00391742">
        <w:rPr>
          <w:i/>
          <w:iCs/>
        </w:rPr>
        <w:t>by E</w:t>
      </w:r>
      <w:r w:rsidRPr="008D7DCB">
        <w:rPr>
          <w:i/>
          <w:iCs/>
        </w:rPr>
        <w:t xml:space="preserve">mployee </w:t>
      </w:r>
      <w:r w:rsidRPr="003D70B4">
        <w:rPr>
          <w:i/>
          <w:iCs/>
        </w:rPr>
        <w:t>Sense of Power and Self-</w:t>
      </w:r>
      <w:r w:rsidR="00C1015E">
        <w:rPr>
          <w:i/>
          <w:iCs/>
        </w:rPr>
        <w:t>P</w:t>
      </w:r>
      <w:r w:rsidRPr="003D70B4">
        <w:rPr>
          <w:i/>
          <w:iCs/>
        </w:rPr>
        <w:t>romotion Toward the Supervisor (Study 2).</w:t>
      </w:r>
    </w:p>
    <w:p w14:paraId="67DEE522" w14:textId="77777777" w:rsidR="0067410D" w:rsidRDefault="0067410D" w:rsidP="0067410D">
      <w:pPr>
        <w:spacing w:line="480" w:lineRule="auto"/>
        <w:rPr>
          <w:b/>
        </w:rPr>
      </w:pPr>
    </w:p>
    <w:p w14:paraId="6D092EF4" w14:textId="19DFFB00" w:rsidR="0067410D" w:rsidRDefault="001C7D6F" w:rsidP="0067410D">
      <w:pPr>
        <w:spacing w:line="480" w:lineRule="auto"/>
        <w:rPr>
          <w:b/>
        </w:rPr>
      </w:pPr>
      <w:bookmarkStart w:id="0" w:name="_GoBack"/>
      <w:r w:rsidRPr="001C7D6F">
        <w:rPr>
          <w:b/>
          <w:noProof/>
          <w:lang w:val="en-GB" w:eastAsia="zh-CN"/>
        </w:rPr>
        <w:drawing>
          <wp:inline distT="0" distB="0" distL="0" distR="0" wp14:anchorId="40ACFB34" wp14:editId="10828677">
            <wp:extent cx="4720657" cy="1922804"/>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3"/>
                    <a:stretch>
                      <a:fillRect/>
                    </a:stretch>
                  </pic:blipFill>
                  <pic:spPr>
                    <a:xfrm>
                      <a:off x="0" y="0"/>
                      <a:ext cx="4768986" cy="1942489"/>
                    </a:xfrm>
                    <a:prstGeom prst="rect">
                      <a:avLst/>
                    </a:prstGeom>
                  </pic:spPr>
                </pic:pic>
              </a:graphicData>
            </a:graphic>
          </wp:inline>
        </w:drawing>
      </w:r>
      <w:bookmarkEnd w:id="0"/>
    </w:p>
    <w:p w14:paraId="145B2C2C" w14:textId="77777777" w:rsidR="0067410D" w:rsidRPr="00407BF0" w:rsidRDefault="0067410D" w:rsidP="0067410D"/>
    <w:p w14:paraId="7DA12A5B" w14:textId="785D1112" w:rsidR="00CE0637" w:rsidRDefault="006D6C4C" w:rsidP="006D6C4C">
      <w:pPr>
        <w:spacing w:line="480" w:lineRule="auto"/>
      </w:pPr>
      <w:r w:rsidRPr="0041230A">
        <w:rPr>
          <w:i/>
          <w:iCs/>
        </w:rPr>
        <w:t>Note</w:t>
      </w:r>
      <w:r w:rsidRPr="0041230A">
        <w:t xml:space="preserve">. </w:t>
      </w:r>
      <w:r w:rsidRPr="0041230A">
        <w:rPr>
          <w:vertAlign w:val="superscript"/>
        </w:rPr>
        <w:t>†</w:t>
      </w:r>
      <w:r w:rsidRPr="00AD6A74">
        <w:rPr>
          <w:i/>
        </w:rPr>
        <w:t>p</w:t>
      </w:r>
      <w:r w:rsidRPr="00AD6A74">
        <w:t xml:space="preserve"> &lt; .10,</w:t>
      </w:r>
      <w:r w:rsidRPr="00180E78">
        <w:t xml:space="preserve"> </w:t>
      </w:r>
      <w:r w:rsidRPr="00076E4A">
        <w:rPr>
          <w:vertAlign w:val="superscript"/>
        </w:rPr>
        <w:t>*</w:t>
      </w:r>
      <w:r w:rsidRPr="007E74C2">
        <w:rPr>
          <w:i/>
        </w:rPr>
        <w:t>p</w:t>
      </w:r>
      <w:r w:rsidRPr="007E74C2">
        <w:t xml:space="preserve"> &lt; .05, </w:t>
      </w:r>
      <w:r w:rsidRPr="003D57C7">
        <w:rPr>
          <w:vertAlign w:val="superscript"/>
        </w:rPr>
        <w:t>**</w:t>
      </w:r>
      <w:r w:rsidRPr="003D57C7">
        <w:rPr>
          <w:i/>
        </w:rPr>
        <w:t>p</w:t>
      </w:r>
      <w:r w:rsidRPr="003D57C7">
        <w:t xml:space="preserve"> &lt; .01.</w:t>
      </w:r>
    </w:p>
    <w:p w14:paraId="2564D747" w14:textId="77777777" w:rsidR="00CE0637" w:rsidRDefault="00CE0637">
      <w:r>
        <w:br w:type="page"/>
      </w:r>
    </w:p>
    <w:p w14:paraId="15C9F549" w14:textId="77777777" w:rsidR="00CE0637" w:rsidRDefault="00CE0637" w:rsidP="00CE0637">
      <w:pPr>
        <w:spacing w:line="480" w:lineRule="auto"/>
        <w:jc w:val="center"/>
        <w:rPr>
          <w:b/>
          <w:bCs/>
        </w:rPr>
      </w:pPr>
      <w:r>
        <w:rPr>
          <w:b/>
          <w:bCs/>
        </w:rPr>
        <w:lastRenderedPageBreak/>
        <w:t>Supplementary Material</w:t>
      </w:r>
    </w:p>
    <w:p w14:paraId="7FD3A930" w14:textId="77777777" w:rsidR="00CE0637" w:rsidRPr="001B7D9C" w:rsidRDefault="00CE0637" w:rsidP="00CE0637">
      <w:pPr>
        <w:spacing w:line="480" w:lineRule="auto"/>
        <w:jc w:val="center"/>
        <w:rPr>
          <w:b/>
          <w:bCs/>
        </w:rPr>
      </w:pPr>
      <w:r w:rsidRPr="001B7D9C">
        <w:rPr>
          <w:b/>
          <w:bCs/>
        </w:rPr>
        <w:t>Study 3 Materials</w:t>
      </w:r>
    </w:p>
    <w:p w14:paraId="760E9510" w14:textId="77777777" w:rsidR="00CE0637" w:rsidRPr="0041230A" w:rsidRDefault="00CE0637" w:rsidP="00CE0637">
      <w:pPr>
        <w:spacing w:line="276" w:lineRule="auto"/>
        <w:rPr>
          <w:b/>
          <w:bCs/>
        </w:rPr>
      </w:pPr>
      <w:r>
        <w:rPr>
          <w:b/>
          <w:bCs/>
        </w:rPr>
        <w:t xml:space="preserve">Narcissistic </w:t>
      </w:r>
      <w:r w:rsidRPr="003815FF">
        <w:rPr>
          <w:b/>
          <w:bCs/>
        </w:rPr>
        <w:t xml:space="preserve">Employee Description </w:t>
      </w:r>
    </w:p>
    <w:p w14:paraId="2879861E" w14:textId="77777777" w:rsidR="00CE0637" w:rsidRPr="0041230A" w:rsidRDefault="00CE0637" w:rsidP="00CE0637">
      <w:pPr>
        <w:spacing w:line="276" w:lineRule="auto"/>
      </w:pPr>
    </w:p>
    <w:p w14:paraId="591AF7C0" w14:textId="77777777" w:rsidR="00CE0637" w:rsidRPr="00AD6A74" w:rsidRDefault="00CE0637" w:rsidP="00CE0637">
      <w:pPr>
        <w:spacing w:line="276" w:lineRule="auto"/>
      </w:pPr>
      <w:r w:rsidRPr="0041230A">
        <w:t xml:space="preserve">This employee, in answer to a question, indicates that he’s always sure of what he is doing, really likes to be in the center of attention, and tends to show off if he gets the </w:t>
      </w:r>
      <w:r w:rsidRPr="00AD6A74">
        <w:t>chance. He thinks of himself as special and expects to become great.</w:t>
      </w:r>
    </w:p>
    <w:p w14:paraId="7A9F6C32" w14:textId="77777777" w:rsidR="00CE0637" w:rsidRPr="00180E78" w:rsidRDefault="00CE0637" w:rsidP="00CE0637">
      <w:pPr>
        <w:spacing w:line="276" w:lineRule="auto"/>
      </w:pPr>
    </w:p>
    <w:p w14:paraId="5106A623" w14:textId="77777777" w:rsidR="00CE0637" w:rsidRPr="003D57C7" w:rsidRDefault="00CE0637" w:rsidP="00CE0637">
      <w:pPr>
        <w:spacing w:line="276" w:lineRule="auto"/>
      </w:pPr>
      <w:r w:rsidRPr="00076E4A">
        <w:t>When talking about work, he says that he expects a lot from others and finds it easy to manipulate them. He also says that colleagues are an open book for him. He insists upon getting th</w:t>
      </w:r>
      <w:r w:rsidRPr="007E74C2">
        <w:t>e respect that he is due, and knows that he is good because everyone keeps telling him so. He believes that he is more capable than others, and feels that people are happy to listen to his stories. He thinks that he is extraordinary and has no problem with being assertive.</w:t>
      </w:r>
    </w:p>
    <w:p w14:paraId="07205CD1" w14:textId="77777777" w:rsidR="00CE0637" w:rsidRPr="003D57C7" w:rsidRDefault="00CE0637" w:rsidP="00CE0637">
      <w:pPr>
        <w:spacing w:line="276" w:lineRule="auto"/>
      </w:pPr>
    </w:p>
    <w:p w14:paraId="7F957811" w14:textId="77777777" w:rsidR="00CE0637" w:rsidRPr="00495C0B" w:rsidRDefault="00CE0637" w:rsidP="00CE0637">
      <w:pPr>
        <w:spacing w:line="276" w:lineRule="auto"/>
        <w:rPr>
          <w:b/>
        </w:rPr>
      </w:pPr>
      <w:r w:rsidRPr="003D57C7">
        <w:rPr>
          <w:b/>
        </w:rPr>
        <w:t xml:space="preserve">High </w:t>
      </w:r>
      <w:r>
        <w:rPr>
          <w:b/>
        </w:rPr>
        <w:t>Sense</w:t>
      </w:r>
      <w:r w:rsidRPr="003D57C7">
        <w:rPr>
          <w:b/>
        </w:rPr>
        <w:t xml:space="preserve"> of </w:t>
      </w:r>
      <w:r>
        <w:rPr>
          <w:b/>
        </w:rPr>
        <w:t>P</w:t>
      </w:r>
      <w:r w:rsidRPr="003D57C7">
        <w:rPr>
          <w:b/>
        </w:rPr>
        <w:t xml:space="preserve">ower </w:t>
      </w:r>
      <w:r>
        <w:rPr>
          <w:b/>
        </w:rPr>
        <w:t>P</w:t>
      </w:r>
      <w:r w:rsidRPr="003D57C7">
        <w:rPr>
          <w:b/>
        </w:rPr>
        <w:t>rofile</w:t>
      </w:r>
    </w:p>
    <w:p w14:paraId="242C2295" w14:textId="77777777" w:rsidR="00CE0637" w:rsidRPr="00D15D0E" w:rsidRDefault="00CE0637" w:rsidP="00CE0637">
      <w:pPr>
        <w:spacing w:line="276" w:lineRule="auto"/>
        <w:rPr>
          <w:b/>
        </w:rPr>
      </w:pPr>
      <w:r w:rsidRPr="00CF34C4">
        <w:rPr>
          <w:b/>
          <w:noProof/>
          <w:lang w:val="en-GB" w:eastAsia="zh-CN"/>
        </w:rPr>
        <w:drawing>
          <wp:inline distT="0" distB="0" distL="0" distR="0" wp14:anchorId="2ED62AFA" wp14:editId="693B7210">
            <wp:extent cx="4642278" cy="2420471"/>
            <wp:effectExtent l="0" t="0" r="0" b="5715"/>
            <wp:docPr id="2" name="Picture 2"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able&#10;&#10;Description automatically generated"/>
                    <pic:cNvPicPr/>
                  </pic:nvPicPr>
                  <pic:blipFill>
                    <a:blip r:embed="rId84"/>
                    <a:stretch>
                      <a:fillRect/>
                    </a:stretch>
                  </pic:blipFill>
                  <pic:spPr>
                    <a:xfrm>
                      <a:off x="0" y="0"/>
                      <a:ext cx="4748345" cy="2475774"/>
                    </a:xfrm>
                    <a:prstGeom prst="rect">
                      <a:avLst/>
                    </a:prstGeom>
                  </pic:spPr>
                </pic:pic>
              </a:graphicData>
            </a:graphic>
          </wp:inline>
        </w:drawing>
      </w:r>
    </w:p>
    <w:p w14:paraId="4C377217" w14:textId="77777777" w:rsidR="00CE0637" w:rsidRPr="0041230A" w:rsidRDefault="00CE0637" w:rsidP="00CE0637">
      <w:pPr>
        <w:spacing w:line="276" w:lineRule="auto"/>
        <w:rPr>
          <w:b/>
        </w:rPr>
      </w:pPr>
    </w:p>
    <w:p w14:paraId="0620AC88" w14:textId="77777777" w:rsidR="00CE0637" w:rsidRPr="00AD6A74" w:rsidRDefault="00CE0637" w:rsidP="00CE0637">
      <w:pPr>
        <w:spacing w:line="276" w:lineRule="auto"/>
        <w:rPr>
          <w:b/>
        </w:rPr>
      </w:pPr>
      <w:r w:rsidRPr="0041230A">
        <w:rPr>
          <w:b/>
        </w:rPr>
        <w:t xml:space="preserve">Low </w:t>
      </w:r>
      <w:r>
        <w:rPr>
          <w:b/>
        </w:rPr>
        <w:t>Sense</w:t>
      </w:r>
      <w:r w:rsidRPr="0041230A">
        <w:rPr>
          <w:b/>
        </w:rPr>
        <w:t xml:space="preserve"> of </w:t>
      </w:r>
      <w:r>
        <w:rPr>
          <w:b/>
        </w:rPr>
        <w:t>P</w:t>
      </w:r>
      <w:r w:rsidRPr="0041230A">
        <w:rPr>
          <w:b/>
        </w:rPr>
        <w:t xml:space="preserve">ower </w:t>
      </w:r>
      <w:r>
        <w:rPr>
          <w:b/>
        </w:rPr>
        <w:t>P</w:t>
      </w:r>
      <w:r w:rsidRPr="0041230A">
        <w:rPr>
          <w:b/>
        </w:rPr>
        <w:t>rofile</w:t>
      </w:r>
    </w:p>
    <w:p w14:paraId="2E879E85" w14:textId="77777777" w:rsidR="00CE0637" w:rsidRDefault="00CE0637" w:rsidP="00CE0637">
      <w:pPr>
        <w:spacing w:line="276" w:lineRule="auto"/>
        <w:rPr>
          <w:b/>
        </w:rPr>
      </w:pPr>
      <w:r w:rsidRPr="00CF34C4">
        <w:rPr>
          <w:b/>
          <w:noProof/>
          <w:lang w:val="en-GB" w:eastAsia="zh-CN"/>
        </w:rPr>
        <w:drawing>
          <wp:inline distT="0" distB="0" distL="0" distR="0" wp14:anchorId="2893C753" wp14:editId="48528A20">
            <wp:extent cx="4646747" cy="2422800"/>
            <wp:effectExtent l="0" t="0" r="1905" b="3175"/>
            <wp:docPr id="3" name="Picture 3"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able&#10;&#10;Description automatically generated"/>
                    <pic:cNvPicPr/>
                  </pic:nvPicPr>
                  <pic:blipFill>
                    <a:blip r:embed="rId85"/>
                    <a:stretch>
                      <a:fillRect/>
                    </a:stretch>
                  </pic:blipFill>
                  <pic:spPr>
                    <a:xfrm>
                      <a:off x="0" y="0"/>
                      <a:ext cx="4646747" cy="2422800"/>
                    </a:xfrm>
                    <a:prstGeom prst="rect">
                      <a:avLst/>
                    </a:prstGeom>
                  </pic:spPr>
                </pic:pic>
              </a:graphicData>
            </a:graphic>
          </wp:inline>
        </w:drawing>
      </w:r>
    </w:p>
    <w:p w14:paraId="23D9283D" w14:textId="77777777" w:rsidR="00CE0637" w:rsidRPr="001B7D9C" w:rsidRDefault="00CE0637" w:rsidP="00CE0637">
      <w:pPr>
        <w:spacing w:line="480" w:lineRule="auto"/>
        <w:jc w:val="center"/>
        <w:rPr>
          <w:b/>
          <w:bCs/>
        </w:rPr>
      </w:pPr>
      <w:r>
        <w:rPr>
          <w:b/>
          <w:bCs/>
        </w:rPr>
        <w:lastRenderedPageBreak/>
        <w:t>Analyses Using Cluster-Robust Standard Errors</w:t>
      </w:r>
    </w:p>
    <w:p w14:paraId="5CE9706B" w14:textId="77777777" w:rsidR="00CE0637" w:rsidRPr="001F55A0" w:rsidRDefault="00CE0637" w:rsidP="00CE0637">
      <w:pPr>
        <w:spacing w:line="480" w:lineRule="auto"/>
        <w:ind w:firstLine="720"/>
        <w:rPr>
          <w:bCs/>
        </w:rPr>
      </w:pPr>
      <w:r>
        <w:t xml:space="preserve">In order to attest to the robustness of the findings, we also tested the main models using regression with cluster-robust standard errors (CR-SEs; </w:t>
      </w:r>
      <w:r w:rsidRPr="00925AF8">
        <w:t>McNeish</w:t>
      </w:r>
      <w:r>
        <w:t xml:space="preserve"> et al., 2017), a method which adjusts the estimates to reflect clustering of observations (in this case employees being clustered under supervisors) without estimating random effects. Such a method of estimation is helpful with smaller cluster sizes, although it is sensitive to cluster size differences, unlike random coefficient modeling which is more robust to unbalanced clusters. Random</w:t>
      </w:r>
      <w:r w:rsidRPr="001F55A0">
        <w:t xml:space="preserve"> coefficient models and CR-SEs tend to provide comparable results (McNeish et al., 2017), which was also the case for the results of Studies 1 and 2.</w:t>
      </w:r>
    </w:p>
    <w:p w14:paraId="028AA4EC" w14:textId="77777777" w:rsidR="00CE0637" w:rsidRDefault="00CE0637" w:rsidP="00CE0637">
      <w:pPr>
        <w:spacing w:line="480" w:lineRule="auto"/>
        <w:outlineLvl w:val="0"/>
        <w:rPr>
          <w:b/>
          <w:bCs/>
        </w:rPr>
      </w:pPr>
      <w:r>
        <w:rPr>
          <w:b/>
          <w:bCs/>
        </w:rPr>
        <w:t>Study 1 Results</w:t>
      </w:r>
    </w:p>
    <w:p w14:paraId="1BE5A25E" w14:textId="77777777" w:rsidR="00CE0637" w:rsidRPr="00EC33F6" w:rsidRDefault="00CE0637" w:rsidP="00CE0637">
      <w:pPr>
        <w:spacing w:line="480" w:lineRule="auto"/>
        <w:outlineLvl w:val="0"/>
      </w:pPr>
      <w:r>
        <w:tab/>
        <w:t xml:space="preserve">The results of the main analyses and sensitivity analyses can be found in Table S1 and Table S2 respectively. </w:t>
      </w:r>
    </w:p>
    <w:p w14:paraId="53929F34" w14:textId="77777777" w:rsidR="00CE0637" w:rsidRDefault="00CE0637" w:rsidP="00CE0637">
      <w:pPr>
        <w:spacing w:line="480" w:lineRule="auto"/>
        <w:outlineLvl w:val="0"/>
        <w:rPr>
          <w:b/>
          <w:bCs/>
        </w:rPr>
      </w:pPr>
      <w:r>
        <w:rPr>
          <w:b/>
          <w:bCs/>
        </w:rPr>
        <w:t>Study 2 Results</w:t>
      </w:r>
    </w:p>
    <w:p w14:paraId="3AF2816E" w14:textId="77777777" w:rsidR="00CE0637" w:rsidRPr="00DA0B61" w:rsidRDefault="00CE0637" w:rsidP="00CE0637">
      <w:pPr>
        <w:spacing w:line="480" w:lineRule="auto"/>
        <w:ind w:firstLine="720"/>
        <w:outlineLvl w:val="0"/>
        <w:rPr>
          <w:b/>
          <w:bCs/>
        </w:rPr>
      </w:pPr>
      <w:r>
        <w:t>The results of the main analyses and sensitivity analyses can be found in Table S1 and Table S2 respectively.</w:t>
      </w:r>
    </w:p>
    <w:p w14:paraId="045C3640" w14:textId="77777777" w:rsidR="00CE0637" w:rsidRDefault="00CE0637" w:rsidP="00CE0637">
      <w:pPr>
        <w:spacing w:line="480" w:lineRule="auto"/>
        <w:rPr>
          <w:bCs/>
        </w:rPr>
      </w:pPr>
      <w:r>
        <w:rPr>
          <w:bCs/>
        </w:rPr>
        <w:tab/>
      </w:r>
    </w:p>
    <w:p w14:paraId="6099EE32" w14:textId="77777777" w:rsidR="00CE0637" w:rsidRPr="00975FA8" w:rsidRDefault="00CE0637" w:rsidP="00CE0637">
      <w:pPr>
        <w:rPr>
          <w:bCs/>
        </w:rPr>
      </w:pPr>
    </w:p>
    <w:p w14:paraId="0C53CFCE" w14:textId="77777777" w:rsidR="00CE0637" w:rsidRDefault="00CE0637" w:rsidP="00CE0637">
      <w:pPr>
        <w:spacing w:line="480" w:lineRule="auto"/>
        <w:ind w:left="720" w:hanging="720"/>
        <w:rPr>
          <w:bCs/>
        </w:rPr>
        <w:sectPr w:rsidR="00CE0637" w:rsidSect="008930B8">
          <w:pgSz w:w="11900" w:h="16840"/>
          <w:pgMar w:top="1440" w:right="1440" w:bottom="1440" w:left="1440" w:header="708" w:footer="708" w:gutter="0"/>
          <w:cols w:space="708"/>
          <w:docGrid w:linePitch="360"/>
        </w:sectPr>
      </w:pPr>
    </w:p>
    <w:p w14:paraId="0657CAEF" w14:textId="77777777" w:rsidR="00CE0637" w:rsidRPr="0041230A" w:rsidRDefault="00CE0637" w:rsidP="00CE0637">
      <w:pPr>
        <w:spacing w:line="480" w:lineRule="auto"/>
        <w:outlineLvl w:val="0"/>
        <w:rPr>
          <w:b/>
          <w:bCs/>
        </w:rPr>
      </w:pPr>
      <w:r w:rsidRPr="00D15D0E">
        <w:rPr>
          <w:b/>
          <w:bCs/>
        </w:rPr>
        <w:lastRenderedPageBreak/>
        <w:t xml:space="preserve">Table </w:t>
      </w:r>
      <w:r>
        <w:rPr>
          <w:b/>
          <w:bCs/>
        </w:rPr>
        <w:t>S1</w:t>
      </w:r>
    </w:p>
    <w:p w14:paraId="7110F608" w14:textId="77777777" w:rsidR="00CE0637" w:rsidRPr="00076E4A" w:rsidRDefault="00CE0637" w:rsidP="00CE0637">
      <w:pPr>
        <w:spacing w:line="480" w:lineRule="auto"/>
        <w:rPr>
          <w:i/>
        </w:rPr>
      </w:pPr>
      <w:r w:rsidRPr="0041230A">
        <w:rPr>
          <w:i/>
        </w:rPr>
        <w:t xml:space="preserve">Relation Between Employee </w:t>
      </w:r>
      <w:r w:rsidRPr="00AD6A74">
        <w:rPr>
          <w:i/>
        </w:rPr>
        <w:t>Narcissism and Promotability as Rated by the Supervisor (Study 1</w:t>
      </w:r>
      <w:r>
        <w:rPr>
          <w:i/>
        </w:rPr>
        <w:t xml:space="preserve"> and Study 2</w:t>
      </w:r>
      <w:r w:rsidRPr="00AD6A74">
        <w:rPr>
          <w:i/>
        </w:rPr>
        <w:t>)</w:t>
      </w:r>
    </w:p>
    <w:tbl>
      <w:tblPr>
        <w:tblpPr w:leftFromText="180" w:rightFromText="180" w:vertAnchor="page" w:horzAnchor="margin" w:tblpY="2527"/>
        <w:tblW w:w="12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63"/>
        <w:gridCol w:w="1866"/>
        <w:gridCol w:w="1879"/>
        <w:gridCol w:w="523"/>
        <w:gridCol w:w="1984"/>
        <w:gridCol w:w="1985"/>
      </w:tblGrid>
      <w:tr w:rsidR="00CE0637" w:rsidRPr="003D70B4" w14:paraId="6C5A98A4" w14:textId="77777777" w:rsidTr="000C57AA">
        <w:trPr>
          <w:trHeight w:val="471"/>
        </w:trPr>
        <w:tc>
          <w:tcPr>
            <w:tcW w:w="4663" w:type="dxa"/>
            <w:tcBorders>
              <w:top w:val="single" w:sz="18" w:space="0" w:color="auto"/>
              <w:left w:val="nil"/>
              <w:bottom w:val="nil"/>
              <w:right w:val="nil"/>
            </w:tcBorders>
            <w:vAlign w:val="center"/>
          </w:tcPr>
          <w:p w14:paraId="32BB8E7D" w14:textId="77777777" w:rsidR="00CE0637" w:rsidRPr="003D70B4" w:rsidRDefault="00CE0637" w:rsidP="000C57AA"/>
        </w:tc>
        <w:tc>
          <w:tcPr>
            <w:tcW w:w="3745" w:type="dxa"/>
            <w:gridSpan w:val="2"/>
            <w:tcBorders>
              <w:top w:val="single" w:sz="18" w:space="0" w:color="auto"/>
              <w:left w:val="nil"/>
              <w:bottom w:val="nil"/>
              <w:right w:val="nil"/>
            </w:tcBorders>
            <w:vAlign w:val="center"/>
          </w:tcPr>
          <w:p w14:paraId="6056155E" w14:textId="77777777" w:rsidR="00CE0637" w:rsidRPr="003D70B4" w:rsidRDefault="00CE0637" w:rsidP="000C57AA">
            <w:pPr>
              <w:jc w:val="center"/>
            </w:pPr>
            <w:r>
              <w:t>Study 1</w:t>
            </w:r>
          </w:p>
        </w:tc>
        <w:tc>
          <w:tcPr>
            <w:tcW w:w="523" w:type="dxa"/>
            <w:tcBorders>
              <w:top w:val="single" w:sz="18" w:space="0" w:color="auto"/>
              <w:left w:val="nil"/>
              <w:bottom w:val="nil"/>
              <w:right w:val="nil"/>
            </w:tcBorders>
          </w:tcPr>
          <w:p w14:paraId="617EADAF" w14:textId="77777777" w:rsidR="00CE0637" w:rsidRPr="003D70B4" w:rsidRDefault="00CE0637" w:rsidP="000C57AA">
            <w:pPr>
              <w:jc w:val="center"/>
            </w:pPr>
          </w:p>
        </w:tc>
        <w:tc>
          <w:tcPr>
            <w:tcW w:w="3969" w:type="dxa"/>
            <w:gridSpan w:val="2"/>
            <w:tcBorders>
              <w:top w:val="single" w:sz="18" w:space="0" w:color="auto"/>
              <w:left w:val="nil"/>
              <w:bottom w:val="nil"/>
              <w:right w:val="nil"/>
            </w:tcBorders>
            <w:vAlign w:val="center"/>
          </w:tcPr>
          <w:p w14:paraId="53D9FA0D" w14:textId="77777777" w:rsidR="00CE0637" w:rsidRPr="003D70B4" w:rsidRDefault="00CE0637" w:rsidP="000C57AA">
            <w:pPr>
              <w:jc w:val="center"/>
            </w:pPr>
            <w:r>
              <w:t>Study 2</w:t>
            </w:r>
          </w:p>
        </w:tc>
      </w:tr>
      <w:tr w:rsidR="00CE0637" w:rsidRPr="003D70B4" w14:paraId="2ADD8534" w14:textId="77777777" w:rsidTr="000C57AA">
        <w:trPr>
          <w:trHeight w:val="471"/>
        </w:trPr>
        <w:tc>
          <w:tcPr>
            <w:tcW w:w="4663" w:type="dxa"/>
            <w:tcBorders>
              <w:top w:val="nil"/>
              <w:left w:val="nil"/>
              <w:bottom w:val="single" w:sz="4" w:space="0" w:color="auto"/>
              <w:right w:val="nil"/>
            </w:tcBorders>
            <w:vAlign w:val="center"/>
          </w:tcPr>
          <w:p w14:paraId="6A9EB633" w14:textId="77777777" w:rsidR="00CE0637" w:rsidRPr="003D70B4" w:rsidRDefault="00CE0637" w:rsidP="000C57AA"/>
        </w:tc>
        <w:tc>
          <w:tcPr>
            <w:tcW w:w="1866" w:type="dxa"/>
            <w:tcBorders>
              <w:top w:val="single" w:sz="4" w:space="0" w:color="auto"/>
              <w:left w:val="nil"/>
              <w:bottom w:val="nil"/>
              <w:right w:val="nil"/>
            </w:tcBorders>
            <w:vAlign w:val="center"/>
          </w:tcPr>
          <w:p w14:paraId="65C0AEA6" w14:textId="77777777" w:rsidR="00CE0637" w:rsidRPr="003D70B4" w:rsidRDefault="00CE0637" w:rsidP="000C57AA">
            <w:pPr>
              <w:jc w:val="center"/>
            </w:pPr>
            <w:r w:rsidRPr="003D70B4">
              <w:t>Model 1</w:t>
            </w:r>
          </w:p>
        </w:tc>
        <w:tc>
          <w:tcPr>
            <w:tcW w:w="1879" w:type="dxa"/>
            <w:tcBorders>
              <w:top w:val="single" w:sz="4" w:space="0" w:color="auto"/>
              <w:left w:val="nil"/>
              <w:bottom w:val="nil"/>
              <w:right w:val="nil"/>
            </w:tcBorders>
            <w:vAlign w:val="center"/>
          </w:tcPr>
          <w:p w14:paraId="2BF8F444" w14:textId="77777777" w:rsidR="00CE0637" w:rsidRPr="003D70B4" w:rsidRDefault="00CE0637" w:rsidP="000C57AA">
            <w:pPr>
              <w:jc w:val="center"/>
            </w:pPr>
            <w:r w:rsidRPr="003D70B4">
              <w:t>Model 2</w:t>
            </w:r>
          </w:p>
        </w:tc>
        <w:tc>
          <w:tcPr>
            <w:tcW w:w="523" w:type="dxa"/>
            <w:tcBorders>
              <w:top w:val="nil"/>
              <w:left w:val="nil"/>
              <w:bottom w:val="single" w:sz="4" w:space="0" w:color="auto"/>
              <w:right w:val="nil"/>
            </w:tcBorders>
          </w:tcPr>
          <w:p w14:paraId="08BFA601" w14:textId="77777777" w:rsidR="00CE0637" w:rsidRPr="003D70B4" w:rsidRDefault="00CE0637" w:rsidP="000C57AA">
            <w:pPr>
              <w:jc w:val="center"/>
            </w:pPr>
          </w:p>
        </w:tc>
        <w:tc>
          <w:tcPr>
            <w:tcW w:w="1984" w:type="dxa"/>
            <w:tcBorders>
              <w:top w:val="single" w:sz="4" w:space="0" w:color="auto"/>
              <w:left w:val="nil"/>
              <w:bottom w:val="nil"/>
              <w:right w:val="nil"/>
            </w:tcBorders>
            <w:vAlign w:val="center"/>
          </w:tcPr>
          <w:p w14:paraId="3B502AE9" w14:textId="77777777" w:rsidR="00CE0637" w:rsidRPr="003D70B4" w:rsidRDefault="00CE0637" w:rsidP="000C57AA">
            <w:pPr>
              <w:jc w:val="center"/>
            </w:pPr>
            <w:r w:rsidRPr="003D70B4">
              <w:t>Model 1</w:t>
            </w:r>
          </w:p>
        </w:tc>
        <w:tc>
          <w:tcPr>
            <w:tcW w:w="1985" w:type="dxa"/>
            <w:tcBorders>
              <w:top w:val="single" w:sz="4" w:space="0" w:color="auto"/>
              <w:left w:val="nil"/>
              <w:bottom w:val="nil"/>
              <w:right w:val="nil"/>
            </w:tcBorders>
            <w:vAlign w:val="center"/>
          </w:tcPr>
          <w:p w14:paraId="0D8B0F7A" w14:textId="77777777" w:rsidR="00CE0637" w:rsidRPr="003D70B4" w:rsidRDefault="00CE0637" w:rsidP="000C57AA">
            <w:pPr>
              <w:jc w:val="center"/>
            </w:pPr>
            <w:r w:rsidRPr="003D70B4">
              <w:t>Model 2</w:t>
            </w:r>
          </w:p>
        </w:tc>
      </w:tr>
      <w:tr w:rsidR="00CE0637" w:rsidRPr="003D70B4" w14:paraId="73E68059" w14:textId="77777777" w:rsidTr="000C57AA">
        <w:trPr>
          <w:trHeight w:val="471"/>
        </w:trPr>
        <w:tc>
          <w:tcPr>
            <w:tcW w:w="4663" w:type="dxa"/>
            <w:tcBorders>
              <w:top w:val="single" w:sz="4" w:space="0" w:color="auto"/>
              <w:left w:val="nil"/>
              <w:bottom w:val="nil"/>
              <w:right w:val="nil"/>
            </w:tcBorders>
            <w:vAlign w:val="center"/>
          </w:tcPr>
          <w:p w14:paraId="0F4BD31E" w14:textId="77777777" w:rsidR="00CE0637" w:rsidRPr="003D70B4" w:rsidRDefault="00CE0637" w:rsidP="000C57AA">
            <w:r w:rsidRPr="003D70B4">
              <w:t xml:space="preserve">Intercept </w:t>
            </w:r>
          </w:p>
        </w:tc>
        <w:tc>
          <w:tcPr>
            <w:tcW w:w="1866" w:type="dxa"/>
            <w:tcBorders>
              <w:top w:val="single" w:sz="4" w:space="0" w:color="auto"/>
              <w:left w:val="nil"/>
              <w:bottom w:val="nil"/>
              <w:right w:val="nil"/>
            </w:tcBorders>
            <w:vAlign w:val="center"/>
          </w:tcPr>
          <w:p w14:paraId="6AEED45A" w14:textId="77777777" w:rsidR="00CE0637" w:rsidRPr="003D70B4" w:rsidRDefault="00CE0637" w:rsidP="000C57AA">
            <w:pPr>
              <w:jc w:val="center"/>
            </w:pPr>
            <w:r>
              <w:t>4.931</w:t>
            </w:r>
            <w:r w:rsidRPr="003D70B4">
              <w:t xml:space="preserve"> (.</w:t>
            </w:r>
            <w:r>
              <w:t>221</w:t>
            </w:r>
            <w:r w:rsidRPr="003D70B4">
              <w:t>)</w:t>
            </w:r>
            <w:r w:rsidRPr="003D70B4">
              <w:rPr>
                <w:vertAlign w:val="superscript"/>
              </w:rPr>
              <w:t>**</w:t>
            </w:r>
          </w:p>
        </w:tc>
        <w:tc>
          <w:tcPr>
            <w:tcW w:w="1879" w:type="dxa"/>
            <w:tcBorders>
              <w:top w:val="single" w:sz="4" w:space="0" w:color="auto"/>
              <w:left w:val="nil"/>
              <w:bottom w:val="nil"/>
              <w:right w:val="nil"/>
            </w:tcBorders>
            <w:vAlign w:val="center"/>
          </w:tcPr>
          <w:p w14:paraId="67557236" w14:textId="77777777" w:rsidR="00CE0637" w:rsidRPr="003D70B4" w:rsidRDefault="00CE0637" w:rsidP="000C57AA">
            <w:pPr>
              <w:jc w:val="center"/>
            </w:pPr>
            <w:r w:rsidRPr="003D70B4">
              <w:t>4.1</w:t>
            </w:r>
            <w:r>
              <w:t>07</w:t>
            </w:r>
            <w:r w:rsidRPr="003D70B4">
              <w:t xml:space="preserve"> (.</w:t>
            </w:r>
            <w:r>
              <w:t>418</w:t>
            </w:r>
            <w:r w:rsidRPr="003D70B4">
              <w:t>)</w:t>
            </w:r>
            <w:r w:rsidRPr="003D70B4">
              <w:rPr>
                <w:vertAlign w:val="superscript"/>
              </w:rPr>
              <w:t>**</w:t>
            </w:r>
          </w:p>
        </w:tc>
        <w:tc>
          <w:tcPr>
            <w:tcW w:w="523" w:type="dxa"/>
            <w:tcBorders>
              <w:top w:val="single" w:sz="4" w:space="0" w:color="auto"/>
              <w:left w:val="nil"/>
              <w:bottom w:val="nil"/>
              <w:right w:val="nil"/>
            </w:tcBorders>
          </w:tcPr>
          <w:p w14:paraId="540B62A6" w14:textId="77777777" w:rsidR="00CE0637" w:rsidRPr="003D70B4" w:rsidRDefault="00CE0637" w:rsidP="000C57AA">
            <w:pPr>
              <w:jc w:val="center"/>
            </w:pPr>
          </w:p>
        </w:tc>
        <w:tc>
          <w:tcPr>
            <w:tcW w:w="1984" w:type="dxa"/>
            <w:tcBorders>
              <w:top w:val="single" w:sz="4" w:space="0" w:color="auto"/>
              <w:left w:val="nil"/>
              <w:bottom w:val="nil"/>
              <w:right w:val="nil"/>
            </w:tcBorders>
            <w:vAlign w:val="center"/>
          </w:tcPr>
          <w:p w14:paraId="53D45CC2" w14:textId="77777777" w:rsidR="00CE0637" w:rsidRPr="003D70B4" w:rsidRDefault="00CE0637" w:rsidP="000C57AA">
            <w:pPr>
              <w:jc w:val="center"/>
            </w:pPr>
            <w:r w:rsidRPr="003D70B4">
              <w:t>5.3</w:t>
            </w:r>
            <w:r>
              <w:t>9</w:t>
            </w:r>
            <w:r w:rsidRPr="003D70B4">
              <w:t>8 (.</w:t>
            </w:r>
            <w:r>
              <w:t>209</w:t>
            </w:r>
            <w:r w:rsidRPr="003D70B4">
              <w:t>)</w:t>
            </w:r>
            <w:r w:rsidRPr="003D70B4">
              <w:rPr>
                <w:vertAlign w:val="superscript"/>
              </w:rPr>
              <w:t>**</w:t>
            </w:r>
          </w:p>
        </w:tc>
        <w:tc>
          <w:tcPr>
            <w:tcW w:w="1985" w:type="dxa"/>
            <w:tcBorders>
              <w:top w:val="single" w:sz="4" w:space="0" w:color="auto"/>
              <w:left w:val="nil"/>
              <w:bottom w:val="nil"/>
              <w:right w:val="nil"/>
            </w:tcBorders>
            <w:vAlign w:val="center"/>
          </w:tcPr>
          <w:p w14:paraId="14F7723E" w14:textId="77777777" w:rsidR="00CE0637" w:rsidRPr="003D70B4" w:rsidRDefault="00CE0637" w:rsidP="000C57AA">
            <w:pPr>
              <w:jc w:val="center"/>
            </w:pPr>
            <w:r>
              <w:t>4.855</w:t>
            </w:r>
            <w:r w:rsidRPr="003D70B4">
              <w:t xml:space="preserve"> (.</w:t>
            </w:r>
            <w:r>
              <w:t>344</w:t>
            </w:r>
            <w:r w:rsidRPr="003D70B4">
              <w:t>)</w:t>
            </w:r>
            <w:r w:rsidRPr="003D70B4">
              <w:rPr>
                <w:vertAlign w:val="superscript"/>
              </w:rPr>
              <w:t>**</w:t>
            </w:r>
          </w:p>
        </w:tc>
      </w:tr>
      <w:tr w:rsidR="00CE0637" w:rsidRPr="003D70B4" w14:paraId="134ECFFD" w14:textId="77777777" w:rsidTr="000C57AA">
        <w:trPr>
          <w:trHeight w:val="495"/>
        </w:trPr>
        <w:tc>
          <w:tcPr>
            <w:tcW w:w="4663" w:type="dxa"/>
            <w:tcBorders>
              <w:top w:val="nil"/>
              <w:left w:val="nil"/>
              <w:bottom w:val="nil"/>
              <w:right w:val="nil"/>
            </w:tcBorders>
            <w:vAlign w:val="center"/>
          </w:tcPr>
          <w:p w14:paraId="6CD6CFA3" w14:textId="77777777" w:rsidR="00CE0637" w:rsidRPr="003D70B4" w:rsidRDefault="00CE0637" w:rsidP="000C57AA">
            <w:r w:rsidRPr="003D70B4">
              <w:t>Controls</w:t>
            </w:r>
          </w:p>
        </w:tc>
        <w:tc>
          <w:tcPr>
            <w:tcW w:w="1866" w:type="dxa"/>
            <w:tcBorders>
              <w:top w:val="nil"/>
              <w:left w:val="nil"/>
              <w:bottom w:val="nil"/>
              <w:right w:val="nil"/>
            </w:tcBorders>
            <w:vAlign w:val="center"/>
          </w:tcPr>
          <w:p w14:paraId="07E8A36B" w14:textId="77777777" w:rsidR="00CE0637" w:rsidRPr="003D70B4" w:rsidRDefault="00CE0637" w:rsidP="000C57AA"/>
        </w:tc>
        <w:tc>
          <w:tcPr>
            <w:tcW w:w="1879" w:type="dxa"/>
            <w:tcBorders>
              <w:top w:val="nil"/>
              <w:left w:val="nil"/>
              <w:bottom w:val="nil"/>
              <w:right w:val="nil"/>
            </w:tcBorders>
            <w:vAlign w:val="center"/>
          </w:tcPr>
          <w:p w14:paraId="02D1F573" w14:textId="77777777" w:rsidR="00CE0637" w:rsidRPr="003D70B4" w:rsidRDefault="00CE0637" w:rsidP="000C57AA"/>
        </w:tc>
        <w:tc>
          <w:tcPr>
            <w:tcW w:w="523" w:type="dxa"/>
            <w:tcBorders>
              <w:top w:val="nil"/>
              <w:left w:val="nil"/>
              <w:bottom w:val="nil"/>
              <w:right w:val="nil"/>
            </w:tcBorders>
          </w:tcPr>
          <w:p w14:paraId="4BC1EB62" w14:textId="77777777" w:rsidR="00CE0637" w:rsidRPr="003D70B4" w:rsidRDefault="00CE0637" w:rsidP="000C57AA"/>
        </w:tc>
        <w:tc>
          <w:tcPr>
            <w:tcW w:w="1984" w:type="dxa"/>
            <w:tcBorders>
              <w:top w:val="nil"/>
              <w:left w:val="nil"/>
              <w:bottom w:val="nil"/>
              <w:right w:val="nil"/>
            </w:tcBorders>
            <w:vAlign w:val="center"/>
          </w:tcPr>
          <w:p w14:paraId="696FE7B1" w14:textId="77777777" w:rsidR="00CE0637" w:rsidRPr="003D70B4" w:rsidRDefault="00CE0637" w:rsidP="000C57AA"/>
        </w:tc>
        <w:tc>
          <w:tcPr>
            <w:tcW w:w="1985" w:type="dxa"/>
            <w:tcBorders>
              <w:top w:val="nil"/>
              <w:left w:val="nil"/>
              <w:bottom w:val="nil"/>
              <w:right w:val="nil"/>
            </w:tcBorders>
            <w:vAlign w:val="center"/>
          </w:tcPr>
          <w:p w14:paraId="05186106" w14:textId="77777777" w:rsidR="00CE0637" w:rsidRPr="003D70B4" w:rsidRDefault="00CE0637" w:rsidP="000C57AA"/>
        </w:tc>
      </w:tr>
      <w:tr w:rsidR="00CE0637" w:rsidRPr="003D70B4" w14:paraId="43BF56D0" w14:textId="77777777" w:rsidTr="000C57AA">
        <w:trPr>
          <w:trHeight w:val="565"/>
        </w:trPr>
        <w:tc>
          <w:tcPr>
            <w:tcW w:w="4663" w:type="dxa"/>
            <w:tcBorders>
              <w:top w:val="nil"/>
              <w:left w:val="nil"/>
              <w:bottom w:val="nil"/>
              <w:right w:val="nil"/>
            </w:tcBorders>
            <w:vAlign w:val="center"/>
          </w:tcPr>
          <w:p w14:paraId="518DE836" w14:textId="77777777" w:rsidR="00CE0637" w:rsidRPr="003D70B4" w:rsidRDefault="00CE0637" w:rsidP="000C57AA">
            <w:r w:rsidRPr="003D70B4">
              <w:t xml:space="preserve"> </w:t>
            </w:r>
            <w:r>
              <w:t xml:space="preserve"> </w:t>
            </w:r>
            <w:r w:rsidRPr="003D70B4">
              <w:t>Gender</w:t>
            </w:r>
            <w:r w:rsidRPr="003D70B4">
              <w:rPr>
                <w:vertAlign w:val="superscript"/>
              </w:rPr>
              <w:t xml:space="preserve"> a</w:t>
            </w:r>
          </w:p>
        </w:tc>
        <w:tc>
          <w:tcPr>
            <w:tcW w:w="1866" w:type="dxa"/>
            <w:tcBorders>
              <w:top w:val="nil"/>
              <w:left w:val="nil"/>
              <w:bottom w:val="nil"/>
              <w:right w:val="nil"/>
            </w:tcBorders>
            <w:vAlign w:val="center"/>
          </w:tcPr>
          <w:p w14:paraId="4C124E83" w14:textId="77777777" w:rsidR="00CE0637" w:rsidRPr="003D70B4" w:rsidRDefault="00CE0637" w:rsidP="000C57AA">
            <w:pPr>
              <w:jc w:val="center"/>
            </w:pPr>
            <w:r w:rsidRPr="003D70B4">
              <w:t>–.0</w:t>
            </w:r>
            <w:r>
              <w:t>52</w:t>
            </w:r>
            <w:r w:rsidRPr="003D70B4">
              <w:rPr>
                <w:vertAlign w:val="superscript"/>
              </w:rPr>
              <w:t xml:space="preserve"> </w:t>
            </w:r>
            <w:r w:rsidRPr="003D70B4">
              <w:t>(.</w:t>
            </w:r>
            <w:r>
              <w:t>238</w:t>
            </w:r>
            <w:r w:rsidRPr="003D70B4">
              <w:t>)</w:t>
            </w:r>
          </w:p>
        </w:tc>
        <w:tc>
          <w:tcPr>
            <w:tcW w:w="1879" w:type="dxa"/>
            <w:tcBorders>
              <w:top w:val="nil"/>
              <w:left w:val="nil"/>
              <w:bottom w:val="nil"/>
              <w:right w:val="nil"/>
            </w:tcBorders>
            <w:vAlign w:val="center"/>
          </w:tcPr>
          <w:p w14:paraId="755ACAD5" w14:textId="77777777" w:rsidR="00CE0637" w:rsidRPr="003D70B4" w:rsidRDefault="00CE0637" w:rsidP="000C57AA">
            <w:pPr>
              <w:jc w:val="center"/>
            </w:pPr>
            <w:r w:rsidRPr="003D70B4">
              <w:t>.</w:t>
            </w:r>
            <w:r>
              <w:t>052</w:t>
            </w:r>
            <w:r w:rsidRPr="003D70B4">
              <w:rPr>
                <w:vertAlign w:val="superscript"/>
              </w:rPr>
              <w:t xml:space="preserve"> </w:t>
            </w:r>
            <w:r w:rsidRPr="003D70B4">
              <w:t>(.2</w:t>
            </w:r>
            <w:r>
              <w:t>39</w:t>
            </w:r>
            <w:r w:rsidRPr="003D70B4">
              <w:t>)</w:t>
            </w:r>
          </w:p>
        </w:tc>
        <w:tc>
          <w:tcPr>
            <w:tcW w:w="523" w:type="dxa"/>
            <w:tcBorders>
              <w:top w:val="nil"/>
              <w:left w:val="nil"/>
              <w:bottom w:val="nil"/>
              <w:right w:val="nil"/>
            </w:tcBorders>
          </w:tcPr>
          <w:p w14:paraId="37244604" w14:textId="77777777" w:rsidR="00CE0637" w:rsidRPr="003D70B4" w:rsidRDefault="00CE0637" w:rsidP="000C57AA">
            <w:pPr>
              <w:jc w:val="center"/>
            </w:pPr>
          </w:p>
        </w:tc>
        <w:tc>
          <w:tcPr>
            <w:tcW w:w="1984" w:type="dxa"/>
            <w:tcBorders>
              <w:top w:val="nil"/>
              <w:left w:val="nil"/>
              <w:bottom w:val="nil"/>
              <w:right w:val="nil"/>
            </w:tcBorders>
            <w:vAlign w:val="center"/>
          </w:tcPr>
          <w:p w14:paraId="059ECC04" w14:textId="77777777" w:rsidR="00CE0637" w:rsidRPr="003D70B4" w:rsidRDefault="00CE0637" w:rsidP="000C57AA">
            <w:pPr>
              <w:jc w:val="center"/>
            </w:pPr>
            <w:r w:rsidRPr="003D70B4">
              <w:t>–.1</w:t>
            </w:r>
            <w:r>
              <w:t>04</w:t>
            </w:r>
            <w:r w:rsidRPr="003D70B4">
              <w:rPr>
                <w:vertAlign w:val="superscript"/>
              </w:rPr>
              <w:t xml:space="preserve"> </w:t>
            </w:r>
            <w:r w:rsidRPr="003D70B4">
              <w:t>(.207)</w:t>
            </w:r>
          </w:p>
        </w:tc>
        <w:tc>
          <w:tcPr>
            <w:tcW w:w="1985" w:type="dxa"/>
            <w:tcBorders>
              <w:top w:val="nil"/>
              <w:left w:val="nil"/>
              <w:bottom w:val="nil"/>
              <w:right w:val="nil"/>
            </w:tcBorders>
            <w:vAlign w:val="center"/>
          </w:tcPr>
          <w:p w14:paraId="380570A6" w14:textId="77777777" w:rsidR="00CE0637" w:rsidRPr="003D70B4" w:rsidRDefault="00CE0637" w:rsidP="000C57AA">
            <w:pPr>
              <w:jc w:val="center"/>
            </w:pPr>
            <w:r w:rsidRPr="003D70B4">
              <w:t>.05</w:t>
            </w:r>
            <w:r>
              <w:t>3</w:t>
            </w:r>
            <w:r w:rsidRPr="003D70B4">
              <w:rPr>
                <w:vertAlign w:val="superscript"/>
              </w:rPr>
              <w:t xml:space="preserve"> </w:t>
            </w:r>
            <w:r w:rsidRPr="003D70B4">
              <w:t>(.20</w:t>
            </w:r>
            <w:r>
              <w:t>5</w:t>
            </w:r>
            <w:r w:rsidRPr="003D70B4">
              <w:t>)</w:t>
            </w:r>
          </w:p>
        </w:tc>
      </w:tr>
      <w:tr w:rsidR="00CE0637" w:rsidRPr="003D70B4" w14:paraId="54190748" w14:textId="77777777" w:rsidTr="000C57AA">
        <w:trPr>
          <w:trHeight w:val="537"/>
        </w:trPr>
        <w:tc>
          <w:tcPr>
            <w:tcW w:w="4663" w:type="dxa"/>
            <w:tcBorders>
              <w:top w:val="nil"/>
              <w:left w:val="nil"/>
              <w:bottom w:val="nil"/>
              <w:right w:val="nil"/>
            </w:tcBorders>
            <w:vAlign w:val="center"/>
          </w:tcPr>
          <w:p w14:paraId="1E72407B" w14:textId="77777777" w:rsidR="00CE0637" w:rsidRPr="003D70B4" w:rsidRDefault="00CE0637" w:rsidP="000C57AA">
            <w:r w:rsidRPr="003D70B4">
              <w:t xml:space="preserve"> </w:t>
            </w:r>
            <w:r>
              <w:t xml:space="preserve"> </w:t>
            </w:r>
            <w:r w:rsidRPr="003D70B4">
              <w:t>Tenure</w:t>
            </w:r>
          </w:p>
        </w:tc>
        <w:tc>
          <w:tcPr>
            <w:tcW w:w="1866" w:type="dxa"/>
            <w:tcBorders>
              <w:top w:val="nil"/>
              <w:left w:val="nil"/>
              <w:bottom w:val="nil"/>
              <w:right w:val="nil"/>
            </w:tcBorders>
            <w:vAlign w:val="center"/>
          </w:tcPr>
          <w:p w14:paraId="20207D23" w14:textId="77777777" w:rsidR="00CE0637" w:rsidRPr="003D70B4" w:rsidRDefault="00CE0637" w:rsidP="000C57AA">
            <w:pPr>
              <w:jc w:val="center"/>
            </w:pPr>
            <w:r w:rsidRPr="003D70B4">
              <w:t>–.</w:t>
            </w:r>
            <w:r>
              <w:t>004</w:t>
            </w:r>
            <w:r w:rsidRPr="003D70B4">
              <w:t xml:space="preserve"> (.0</w:t>
            </w:r>
            <w:r>
              <w:t>02</w:t>
            </w:r>
            <w:r w:rsidRPr="003D70B4">
              <w:t>)</w:t>
            </w:r>
            <w:r w:rsidRPr="003D70B4">
              <w:rPr>
                <w:vertAlign w:val="superscript"/>
              </w:rPr>
              <w:t>*</w:t>
            </w:r>
          </w:p>
        </w:tc>
        <w:tc>
          <w:tcPr>
            <w:tcW w:w="1879" w:type="dxa"/>
            <w:tcBorders>
              <w:top w:val="nil"/>
              <w:left w:val="nil"/>
              <w:bottom w:val="nil"/>
              <w:right w:val="nil"/>
            </w:tcBorders>
            <w:vAlign w:val="center"/>
          </w:tcPr>
          <w:p w14:paraId="196D6203" w14:textId="77777777" w:rsidR="00CE0637" w:rsidRPr="003D70B4" w:rsidRDefault="00CE0637" w:rsidP="000C57AA">
            <w:pPr>
              <w:jc w:val="center"/>
            </w:pPr>
            <w:r w:rsidRPr="003D70B4">
              <w:t>–.003 (.00</w:t>
            </w:r>
            <w:r>
              <w:t>2</w:t>
            </w:r>
            <w:r w:rsidRPr="003D70B4">
              <w:t>)</w:t>
            </w:r>
            <w:r w:rsidRPr="003D70B4">
              <w:rPr>
                <w:vertAlign w:val="superscript"/>
              </w:rPr>
              <w:t>†</w:t>
            </w:r>
          </w:p>
        </w:tc>
        <w:tc>
          <w:tcPr>
            <w:tcW w:w="523" w:type="dxa"/>
            <w:tcBorders>
              <w:top w:val="nil"/>
              <w:left w:val="nil"/>
              <w:bottom w:val="nil"/>
              <w:right w:val="nil"/>
            </w:tcBorders>
          </w:tcPr>
          <w:p w14:paraId="1455CCB5" w14:textId="77777777" w:rsidR="00CE0637" w:rsidRPr="003D70B4" w:rsidRDefault="00CE0637" w:rsidP="000C57AA">
            <w:pPr>
              <w:jc w:val="center"/>
            </w:pPr>
          </w:p>
        </w:tc>
        <w:tc>
          <w:tcPr>
            <w:tcW w:w="1984" w:type="dxa"/>
            <w:tcBorders>
              <w:top w:val="nil"/>
              <w:left w:val="nil"/>
              <w:bottom w:val="nil"/>
              <w:right w:val="nil"/>
            </w:tcBorders>
            <w:vAlign w:val="center"/>
          </w:tcPr>
          <w:p w14:paraId="3A9AF766" w14:textId="77777777" w:rsidR="00CE0637" w:rsidRPr="003D70B4" w:rsidRDefault="00CE0637" w:rsidP="000C57AA">
            <w:pPr>
              <w:jc w:val="center"/>
            </w:pPr>
            <w:r w:rsidRPr="003D70B4">
              <w:t>–.019</w:t>
            </w:r>
            <w:r w:rsidRPr="003D70B4">
              <w:rPr>
                <w:vertAlign w:val="superscript"/>
              </w:rPr>
              <w:t xml:space="preserve"> </w:t>
            </w:r>
            <w:r w:rsidRPr="003D70B4">
              <w:t>(.01</w:t>
            </w:r>
            <w:r>
              <w:t>6</w:t>
            </w:r>
            <w:r w:rsidRPr="003D70B4">
              <w:t>)</w:t>
            </w:r>
          </w:p>
        </w:tc>
        <w:tc>
          <w:tcPr>
            <w:tcW w:w="1985" w:type="dxa"/>
            <w:tcBorders>
              <w:top w:val="nil"/>
              <w:left w:val="nil"/>
              <w:bottom w:val="nil"/>
              <w:right w:val="nil"/>
            </w:tcBorders>
            <w:vAlign w:val="center"/>
          </w:tcPr>
          <w:p w14:paraId="6611CE02" w14:textId="77777777" w:rsidR="00CE0637" w:rsidRPr="003D70B4" w:rsidRDefault="00CE0637" w:rsidP="000C57AA">
            <w:pPr>
              <w:jc w:val="center"/>
            </w:pPr>
            <w:r w:rsidRPr="003D70B4">
              <w:t>–.01</w:t>
            </w:r>
            <w:r>
              <w:t>6</w:t>
            </w:r>
            <w:r w:rsidRPr="003D70B4">
              <w:rPr>
                <w:vertAlign w:val="superscript"/>
              </w:rPr>
              <w:t xml:space="preserve"> </w:t>
            </w:r>
            <w:r w:rsidRPr="003D70B4">
              <w:t>(.01</w:t>
            </w:r>
            <w:r>
              <w:t>7</w:t>
            </w:r>
            <w:r w:rsidRPr="003D70B4">
              <w:t>)</w:t>
            </w:r>
          </w:p>
        </w:tc>
      </w:tr>
      <w:tr w:rsidR="00CE0637" w:rsidRPr="003D70B4" w14:paraId="65321C3F" w14:textId="77777777" w:rsidTr="000C57AA">
        <w:trPr>
          <w:trHeight w:val="475"/>
        </w:trPr>
        <w:tc>
          <w:tcPr>
            <w:tcW w:w="4663" w:type="dxa"/>
            <w:tcBorders>
              <w:top w:val="nil"/>
              <w:left w:val="nil"/>
              <w:bottom w:val="nil"/>
              <w:right w:val="nil"/>
            </w:tcBorders>
            <w:vAlign w:val="center"/>
          </w:tcPr>
          <w:p w14:paraId="5F3925DA" w14:textId="77777777" w:rsidR="00CE0637" w:rsidRPr="003D70B4" w:rsidRDefault="00CE0637" w:rsidP="000C57AA">
            <w:r w:rsidRPr="003D70B4">
              <w:t>Predictor</w:t>
            </w:r>
          </w:p>
        </w:tc>
        <w:tc>
          <w:tcPr>
            <w:tcW w:w="1866" w:type="dxa"/>
            <w:tcBorders>
              <w:top w:val="nil"/>
              <w:left w:val="nil"/>
              <w:bottom w:val="nil"/>
              <w:right w:val="nil"/>
            </w:tcBorders>
            <w:vAlign w:val="center"/>
          </w:tcPr>
          <w:p w14:paraId="2E6E0E16" w14:textId="77777777" w:rsidR="00CE0637" w:rsidRPr="003D70B4" w:rsidRDefault="00CE0637" w:rsidP="000C57AA">
            <w:pPr>
              <w:jc w:val="center"/>
            </w:pPr>
          </w:p>
        </w:tc>
        <w:tc>
          <w:tcPr>
            <w:tcW w:w="1879" w:type="dxa"/>
            <w:tcBorders>
              <w:top w:val="nil"/>
              <w:left w:val="nil"/>
              <w:bottom w:val="nil"/>
              <w:right w:val="nil"/>
            </w:tcBorders>
            <w:vAlign w:val="center"/>
          </w:tcPr>
          <w:p w14:paraId="4F1F3F6D" w14:textId="77777777" w:rsidR="00CE0637" w:rsidRPr="003D70B4" w:rsidRDefault="00CE0637" w:rsidP="000C57AA">
            <w:pPr>
              <w:jc w:val="center"/>
            </w:pPr>
          </w:p>
        </w:tc>
        <w:tc>
          <w:tcPr>
            <w:tcW w:w="523" w:type="dxa"/>
            <w:tcBorders>
              <w:top w:val="nil"/>
              <w:left w:val="nil"/>
              <w:bottom w:val="nil"/>
              <w:right w:val="nil"/>
            </w:tcBorders>
          </w:tcPr>
          <w:p w14:paraId="7CD125D7" w14:textId="77777777" w:rsidR="00CE0637" w:rsidRPr="003D70B4" w:rsidRDefault="00CE0637" w:rsidP="000C57AA">
            <w:pPr>
              <w:jc w:val="center"/>
            </w:pPr>
          </w:p>
        </w:tc>
        <w:tc>
          <w:tcPr>
            <w:tcW w:w="1984" w:type="dxa"/>
            <w:tcBorders>
              <w:top w:val="nil"/>
              <w:left w:val="nil"/>
              <w:bottom w:val="nil"/>
              <w:right w:val="nil"/>
            </w:tcBorders>
            <w:vAlign w:val="center"/>
          </w:tcPr>
          <w:p w14:paraId="7EA5A2DC" w14:textId="77777777" w:rsidR="00CE0637" w:rsidRPr="003D70B4" w:rsidRDefault="00CE0637" w:rsidP="000C57AA">
            <w:pPr>
              <w:jc w:val="center"/>
            </w:pPr>
          </w:p>
        </w:tc>
        <w:tc>
          <w:tcPr>
            <w:tcW w:w="1985" w:type="dxa"/>
            <w:tcBorders>
              <w:top w:val="nil"/>
              <w:left w:val="nil"/>
              <w:bottom w:val="nil"/>
              <w:right w:val="nil"/>
            </w:tcBorders>
            <w:vAlign w:val="center"/>
          </w:tcPr>
          <w:p w14:paraId="3365D892" w14:textId="77777777" w:rsidR="00CE0637" w:rsidRPr="003D70B4" w:rsidRDefault="00CE0637" w:rsidP="000C57AA">
            <w:pPr>
              <w:jc w:val="center"/>
            </w:pPr>
          </w:p>
        </w:tc>
      </w:tr>
      <w:tr w:rsidR="00CE0637" w:rsidRPr="003D70B4" w14:paraId="11C3CA17" w14:textId="77777777" w:rsidTr="000C57AA">
        <w:trPr>
          <w:trHeight w:val="565"/>
        </w:trPr>
        <w:tc>
          <w:tcPr>
            <w:tcW w:w="4663" w:type="dxa"/>
            <w:tcBorders>
              <w:top w:val="nil"/>
              <w:left w:val="nil"/>
              <w:bottom w:val="nil"/>
              <w:right w:val="nil"/>
            </w:tcBorders>
            <w:vAlign w:val="center"/>
          </w:tcPr>
          <w:p w14:paraId="4E729A77" w14:textId="77777777" w:rsidR="00CE0637" w:rsidRPr="003D70B4" w:rsidRDefault="00CE0637" w:rsidP="000C57AA">
            <w:r w:rsidRPr="003D70B4">
              <w:t xml:space="preserve"> </w:t>
            </w:r>
            <w:r>
              <w:t xml:space="preserve"> </w:t>
            </w:r>
            <w:r w:rsidRPr="003D70B4">
              <w:t>Narcissism</w:t>
            </w:r>
          </w:p>
        </w:tc>
        <w:tc>
          <w:tcPr>
            <w:tcW w:w="1866" w:type="dxa"/>
            <w:tcBorders>
              <w:top w:val="nil"/>
              <w:left w:val="nil"/>
              <w:bottom w:val="nil"/>
              <w:right w:val="nil"/>
            </w:tcBorders>
            <w:vAlign w:val="center"/>
          </w:tcPr>
          <w:p w14:paraId="1D9CB18E" w14:textId="77777777" w:rsidR="00CE0637" w:rsidRPr="003D70B4" w:rsidRDefault="00CE0637" w:rsidP="000C57AA">
            <w:pPr>
              <w:jc w:val="center"/>
            </w:pPr>
          </w:p>
        </w:tc>
        <w:tc>
          <w:tcPr>
            <w:tcW w:w="1879" w:type="dxa"/>
            <w:tcBorders>
              <w:top w:val="nil"/>
              <w:left w:val="nil"/>
              <w:bottom w:val="nil"/>
              <w:right w:val="nil"/>
            </w:tcBorders>
            <w:vAlign w:val="center"/>
          </w:tcPr>
          <w:p w14:paraId="1F5464C3" w14:textId="77777777" w:rsidR="00CE0637" w:rsidRPr="003D70B4" w:rsidRDefault="00CE0637" w:rsidP="000C57AA">
            <w:pPr>
              <w:jc w:val="center"/>
            </w:pPr>
            <w:r w:rsidRPr="003D70B4">
              <w:t xml:space="preserve"> .0</w:t>
            </w:r>
            <w:r>
              <w:t>49</w:t>
            </w:r>
            <w:r w:rsidRPr="003D70B4">
              <w:t xml:space="preserve"> (.0</w:t>
            </w:r>
            <w:r>
              <w:t>18</w:t>
            </w:r>
            <w:r w:rsidRPr="003D70B4">
              <w:t>)</w:t>
            </w:r>
            <w:r w:rsidRPr="003D70B4">
              <w:rPr>
                <w:vertAlign w:val="superscript"/>
              </w:rPr>
              <w:t>**</w:t>
            </w:r>
          </w:p>
        </w:tc>
        <w:tc>
          <w:tcPr>
            <w:tcW w:w="523" w:type="dxa"/>
            <w:tcBorders>
              <w:top w:val="nil"/>
              <w:left w:val="nil"/>
              <w:bottom w:val="nil"/>
              <w:right w:val="nil"/>
            </w:tcBorders>
          </w:tcPr>
          <w:p w14:paraId="03AA4DF5" w14:textId="77777777" w:rsidR="00CE0637" w:rsidRPr="003D70B4" w:rsidRDefault="00CE0637" w:rsidP="000C57AA">
            <w:pPr>
              <w:jc w:val="center"/>
            </w:pPr>
          </w:p>
        </w:tc>
        <w:tc>
          <w:tcPr>
            <w:tcW w:w="1984" w:type="dxa"/>
            <w:tcBorders>
              <w:top w:val="nil"/>
              <w:left w:val="nil"/>
              <w:bottom w:val="nil"/>
              <w:right w:val="nil"/>
            </w:tcBorders>
            <w:vAlign w:val="center"/>
          </w:tcPr>
          <w:p w14:paraId="377D5D90" w14:textId="77777777" w:rsidR="00CE0637" w:rsidRPr="003D70B4" w:rsidRDefault="00CE0637" w:rsidP="000C57AA">
            <w:pPr>
              <w:jc w:val="center"/>
            </w:pPr>
          </w:p>
        </w:tc>
        <w:tc>
          <w:tcPr>
            <w:tcW w:w="1985" w:type="dxa"/>
            <w:tcBorders>
              <w:top w:val="nil"/>
              <w:left w:val="nil"/>
              <w:bottom w:val="nil"/>
              <w:right w:val="nil"/>
            </w:tcBorders>
            <w:vAlign w:val="center"/>
          </w:tcPr>
          <w:p w14:paraId="5F7B2192" w14:textId="77777777" w:rsidR="00CE0637" w:rsidRPr="003D70B4" w:rsidRDefault="00CE0637" w:rsidP="000C57AA">
            <w:pPr>
              <w:jc w:val="center"/>
            </w:pPr>
            <w:r w:rsidRPr="003D70B4">
              <w:t>.</w:t>
            </w:r>
            <w:r>
              <w:t>088</w:t>
            </w:r>
            <w:r w:rsidRPr="003D70B4">
              <w:t xml:space="preserve"> (.03</w:t>
            </w:r>
            <w:r>
              <w:t>9</w:t>
            </w:r>
            <w:r w:rsidRPr="003D70B4">
              <w:t>)</w:t>
            </w:r>
            <w:r w:rsidRPr="003D70B4">
              <w:rPr>
                <w:vertAlign w:val="superscript"/>
              </w:rPr>
              <w:t>*</w:t>
            </w:r>
          </w:p>
        </w:tc>
      </w:tr>
      <w:tr w:rsidR="00CE0637" w:rsidRPr="003D70B4" w14:paraId="6E1DD62D" w14:textId="77777777" w:rsidTr="000C57AA">
        <w:trPr>
          <w:trHeight w:val="565"/>
        </w:trPr>
        <w:tc>
          <w:tcPr>
            <w:tcW w:w="4663" w:type="dxa"/>
            <w:tcBorders>
              <w:top w:val="nil"/>
              <w:left w:val="nil"/>
              <w:bottom w:val="nil"/>
              <w:right w:val="nil"/>
            </w:tcBorders>
            <w:vAlign w:val="center"/>
          </w:tcPr>
          <w:p w14:paraId="1F2C84FC" w14:textId="77777777" w:rsidR="00CE0637" w:rsidRPr="003D70B4" w:rsidRDefault="00CE0637" w:rsidP="000C57AA">
            <w:r w:rsidRPr="003D70B4">
              <w:rPr>
                <w:i/>
              </w:rPr>
              <w:t>R</w:t>
            </w:r>
            <w:r w:rsidRPr="000D5B4D">
              <w:rPr>
                <w:iCs/>
                <w:vertAlign w:val="superscript"/>
              </w:rPr>
              <w:t>2</w:t>
            </w:r>
          </w:p>
        </w:tc>
        <w:tc>
          <w:tcPr>
            <w:tcW w:w="1866" w:type="dxa"/>
            <w:tcBorders>
              <w:top w:val="nil"/>
              <w:left w:val="nil"/>
              <w:bottom w:val="nil"/>
              <w:right w:val="nil"/>
            </w:tcBorders>
            <w:vAlign w:val="center"/>
          </w:tcPr>
          <w:p w14:paraId="09F68CF8" w14:textId="77777777" w:rsidR="00CE0637" w:rsidRPr="003D70B4" w:rsidRDefault="00CE0637" w:rsidP="000C57AA">
            <w:pPr>
              <w:jc w:val="center"/>
            </w:pPr>
            <w:r>
              <w:t>.043</w:t>
            </w:r>
          </w:p>
        </w:tc>
        <w:tc>
          <w:tcPr>
            <w:tcW w:w="1879" w:type="dxa"/>
            <w:tcBorders>
              <w:top w:val="nil"/>
              <w:left w:val="nil"/>
              <w:bottom w:val="nil"/>
              <w:right w:val="nil"/>
            </w:tcBorders>
            <w:vAlign w:val="center"/>
          </w:tcPr>
          <w:p w14:paraId="528ABC44" w14:textId="77777777" w:rsidR="00CE0637" w:rsidRPr="003D70B4" w:rsidRDefault="00CE0637" w:rsidP="000C57AA">
            <w:pPr>
              <w:jc w:val="center"/>
            </w:pPr>
            <w:r w:rsidRPr="003D70B4">
              <w:t>.</w:t>
            </w:r>
            <w:r>
              <w:t>081</w:t>
            </w:r>
          </w:p>
        </w:tc>
        <w:tc>
          <w:tcPr>
            <w:tcW w:w="523" w:type="dxa"/>
            <w:tcBorders>
              <w:top w:val="nil"/>
              <w:left w:val="nil"/>
              <w:bottom w:val="nil"/>
              <w:right w:val="nil"/>
            </w:tcBorders>
          </w:tcPr>
          <w:p w14:paraId="2F65630E" w14:textId="77777777" w:rsidR="00CE0637" w:rsidRPr="003D70B4" w:rsidRDefault="00CE0637" w:rsidP="000C57AA">
            <w:pPr>
              <w:jc w:val="center"/>
            </w:pPr>
          </w:p>
        </w:tc>
        <w:tc>
          <w:tcPr>
            <w:tcW w:w="1984" w:type="dxa"/>
            <w:tcBorders>
              <w:top w:val="nil"/>
              <w:left w:val="nil"/>
              <w:bottom w:val="nil"/>
              <w:right w:val="nil"/>
            </w:tcBorders>
            <w:vAlign w:val="center"/>
          </w:tcPr>
          <w:p w14:paraId="5F95EE92" w14:textId="77777777" w:rsidR="00CE0637" w:rsidRPr="003D70B4" w:rsidRDefault="00CE0637" w:rsidP="000C57AA">
            <w:pPr>
              <w:jc w:val="center"/>
            </w:pPr>
            <w:r w:rsidRPr="003D70B4">
              <w:t>.</w:t>
            </w:r>
            <w:r>
              <w:t>015</w:t>
            </w:r>
          </w:p>
        </w:tc>
        <w:tc>
          <w:tcPr>
            <w:tcW w:w="1985" w:type="dxa"/>
            <w:tcBorders>
              <w:top w:val="nil"/>
              <w:left w:val="nil"/>
              <w:bottom w:val="nil"/>
              <w:right w:val="nil"/>
            </w:tcBorders>
            <w:vAlign w:val="center"/>
          </w:tcPr>
          <w:p w14:paraId="15EE32C1" w14:textId="77777777" w:rsidR="00CE0637" w:rsidRPr="003D70B4" w:rsidRDefault="00CE0637" w:rsidP="000C57AA">
            <w:pPr>
              <w:jc w:val="center"/>
            </w:pPr>
            <w:r w:rsidRPr="003D70B4">
              <w:t>.</w:t>
            </w:r>
            <w:r>
              <w:t>050</w:t>
            </w:r>
          </w:p>
        </w:tc>
      </w:tr>
      <w:tr w:rsidR="00CE0637" w:rsidRPr="003D70B4" w14:paraId="1F9E4D1F" w14:textId="77777777" w:rsidTr="000C57AA">
        <w:trPr>
          <w:trHeight w:val="565"/>
        </w:trPr>
        <w:tc>
          <w:tcPr>
            <w:tcW w:w="4663" w:type="dxa"/>
            <w:tcBorders>
              <w:top w:val="nil"/>
              <w:left w:val="nil"/>
              <w:bottom w:val="nil"/>
              <w:right w:val="nil"/>
            </w:tcBorders>
            <w:vAlign w:val="center"/>
          </w:tcPr>
          <w:p w14:paraId="09AE61CE" w14:textId="77777777" w:rsidR="00CE0637" w:rsidRPr="003D70B4" w:rsidRDefault="00CE0637" w:rsidP="000C57AA">
            <w:r w:rsidRPr="004920C9">
              <w:rPr>
                <w:iCs/>
              </w:rPr>
              <w:sym w:font="Symbol" w:char="F044"/>
            </w:r>
            <w:r w:rsidRPr="003D70B4">
              <w:rPr>
                <w:i/>
              </w:rPr>
              <w:t>R</w:t>
            </w:r>
            <w:r w:rsidRPr="004920C9">
              <w:rPr>
                <w:iCs/>
                <w:vertAlign w:val="superscript"/>
              </w:rPr>
              <w:t>2</w:t>
            </w:r>
          </w:p>
        </w:tc>
        <w:tc>
          <w:tcPr>
            <w:tcW w:w="1866" w:type="dxa"/>
            <w:tcBorders>
              <w:top w:val="nil"/>
              <w:left w:val="nil"/>
              <w:bottom w:val="nil"/>
              <w:right w:val="nil"/>
            </w:tcBorders>
            <w:vAlign w:val="center"/>
          </w:tcPr>
          <w:p w14:paraId="01EACD38" w14:textId="77777777" w:rsidR="00CE0637" w:rsidRPr="003D70B4" w:rsidRDefault="00CE0637" w:rsidP="000C57AA">
            <w:pPr>
              <w:jc w:val="center"/>
            </w:pPr>
          </w:p>
        </w:tc>
        <w:tc>
          <w:tcPr>
            <w:tcW w:w="1879" w:type="dxa"/>
            <w:tcBorders>
              <w:top w:val="nil"/>
              <w:left w:val="nil"/>
              <w:bottom w:val="nil"/>
              <w:right w:val="nil"/>
            </w:tcBorders>
            <w:vAlign w:val="center"/>
          </w:tcPr>
          <w:p w14:paraId="27CF855B" w14:textId="77777777" w:rsidR="00CE0637" w:rsidRPr="003D70B4" w:rsidRDefault="00CE0637" w:rsidP="000C57AA">
            <w:pPr>
              <w:jc w:val="center"/>
            </w:pPr>
            <w:r w:rsidRPr="003D70B4">
              <w:t>.0</w:t>
            </w:r>
            <w:r>
              <w:t>38</w:t>
            </w:r>
          </w:p>
        </w:tc>
        <w:tc>
          <w:tcPr>
            <w:tcW w:w="523" w:type="dxa"/>
            <w:tcBorders>
              <w:top w:val="nil"/>
              <w:left w:val="nil"/>
              <w:bottom w:val="nil"/>
              <w:right w:val="nil"/>
            </w:tcBorders>
          </w:tcPr>
          <w:p w14:paraId="5F3BCDC0" w14:textId="77777777" w:rsidR="00CE0637" w:rsidRPr="003D70B4" w:rsidRDefault="00CE0637" w:rsidP="000C57AA">
            <w:pPr>
              <w:jc w:val="center"/>
            </w:pPr>
          </w:p>
        </w:tc>
        <w:tc>
          <w:tcPr>
            <w:tcW w:w="1984" w:type="dxa"/>
            <w:tcBorders>
              <w:top w:val="nil"/>
              <w:left w:val="nil"/>
              <w:bottom w:val="nil"/>
              <w:right w:val="nil"/>
            </w:tcBorders>
            <w:vAlign w:val="center"/>
          </w:tcPr>
          <w:p w14:paraId="1451197E" w14:textId="77777777" w:rsidR="00CE0637" w:rsidRPr="003D70B4" w:rsidRDefault="00CE0637" w:rsidP="000C57AA">
            <w:pPr>
              <w:jc w:val="center"/>
            </w:pPr>
          </w:p>
        </w:tc>
        <w:tc>
          <w:tcPr>
            <w:tcW w:w="1985" w:type="dxa"/>
            <w:tcBorders>
              <w:top w:val="nil"/>
              <w:left w:val="nil"/>
              <w:bottom w:val="nil"/>
              <w:right w:val="nil"/>
            </w:tcBorders>
            <w:vAlign w:val="center"/>
          </w:tcPr>
          <w:p w14:paraId="064BA8FB" w14:textId="77777777" w:rsidR="00CE0637" w:rsidRPr="003D70B4" w:rsidRDefault="00CE0637" w:rsidP="000C57AA">
            <w:pPr>
              <w:jc w:val="center"/>
            </w:pPr>
            <w:r w:rsidRPr="003D70B4">
              <w:t>.0</w:t>
            </w:r>
            <w:r>
              <w:t>35</w:t>
            </w:r>
          </w:p>
        </w:tc>
      </w:tr>
      <w:tr w:rsidR="00CE0637" w:rsidRPr="003D70B4" w14:paraId="0D5B941D" w14:textId="77777777" w:rsidTr="000C57AA">
        <w:trPr>
          <w:trHeight w:val="565"/>
        </w:trPr>
        <w:tc>
          <w:tcPr>
            <w:tcW w:w="4663" w:type="dxa"/>
            <w:tcBorders>
              <w:top w:val="nil"/>
              <w:left w:val="nil"/>
              <w:bottom w:val="nil"/>
              <w:right w:val="nil"/>
            </w:tcBorders>
            <w:vAlign w:val="center"/>
          </w:tcPr>
          <w:p w14:paraId="170170FC" w14:textId="77777777" w:rsidR="00CE0637" w:rsidRPr="003D70B4" w:rsidRDefault="00CE0637" w:rsidP="000C57AA">
            <w:r>
              <w:t>AIC</w:t>
            </w:r>
          </w:p>
        </w:tc>
        <w:tc>
          <w:tcPr>
            <w:tcW w:w="1866" w:type="dxa"/>
            <w:tcBorders>
              <w:top w:val="nil"/>
              <w:left w:val="nil"/>
              <w:bottom w:val="nil"/>
              <w:right w:val="nil"/>
            </w:tcBorders>
            <w:vAlign w:val="center"/>
          </w:tcPr>
          <w:p w14:paraId="2D583B68" w14:textId="77777777" w:rsidR="00CE0637" w:rsidRPr="003D70B4" w:rsidRDefault="00CE0637" w:rsidP="000C57AA">
            <w:pPr>
              <w:jc w:val="center"/>
            </w:pPr>
            <w:r>
              <w:t>567.881</w:t>
            </w:r>
          </w:p>
        </w:tc>
        <w:tc>
          <w:tcPr>
            <w:tcW w:w="1879" w:type="dxa"/>
            <w:tcBorders>
              <w:top w:val="nil"/>
              <w:left w:val="nil"/>
              <w:bottom w:val="nil"/>
              <w:right w:val="nil"/>
            </w:tcBorders>
            <w:vAlign w:val="center"/>
          </w:tcPr>
          <w:p w14:paraId="2CEBBFAD" w14:textId="77777777" w:rsidR="00CE0637" w:rsidRPr="003D70B4" w:rsidRDefault="00CE0637" w:rsidP="000C57AA">
            <w:pPr>
              <w:jc w:val="center"/>
            </w:pPr>
            <w:r>
              <w:t>563.611</w:t>
            </w:r>
          </w:p>
        </w:tc>
        <w:tc>
          <w:tcPr>
            <w:tcW w:w="523" w:type="dxa"/>
            <w:tcBorders>
              <w:top w:val="nil"/>
              <w:left w:val="nil"/>
              <w:bottom w:val="nil"/>
              <w:right w:val="nil"/>
            </w:tcBorders>
          </w:tcPr>
          <w:p w14:paraId="6B2520D8" w14:textId="77777777" w:rsidR="00CE0637" w:rsidRPr="003D70B4" w:rsidRDefault="00CE0637" w:rsidP="000C57AA">
            <w:pPr>
              <w:jc w:val="center"/>
            </w:pPr>
          </w:p>
        </w:tc>
        <w:tc>
          <w:tcPr>
            <w:tcW w:w="1984" w:type="dxa"/>
            <w:tcBorders>
              <w:top w:val="nil"/>
              <w:left w:val="nil"/>
              <w:bottom w:val="nil"/>
              <w:right w:val="nil"/>
            </w:tcBorders>
            <w:vAlign w:val="center"/>
          </w:tcPr>
          <w:p w14:paraId="0A69E5E0" w14:textId="77777777" w:rsidR="00CE0637" w:rsidRPr="003D70B4" w:rsidRDefault="00CE0637" w:rsidP="000C57AA">
            <w:pPr>
              <w:jc w:val="center"/>
            </w:pPr>
            <w:r>
              <w:t>431.693</w:t>
            </w:r>
          </w:p>
        </w:tc>
        <w:tc>
          <w:tcPr>
            <w:tcW w:w="1985" w:type="dxa"/>
            <w:tcBorders>
              <w:top w:val="nil"/>
              <w:left w:val="nil"/>
              <w:bottom w:val="nil"/>
              <w:right w:val="nil"/>
            </w:tcBorders>
            <w:vAlign w:val="center"/>
          </w:tcPr>
          <w:p w14:paraId="1BA468F7" w14:textId="77777777" w:rsidR="00CE0637" w:rsidRPr="003D70B4" w:rsidRDefault="00CE0637" w:rsidP="000C57AA">
            <w:pPr>
              <w:jc w:val="center"/>
            </w:pPr>
            <w:r>
              <w:t>429.021</w:t>
            </w:r>
          </w:p>
        </w:tc>
      </w:tr>
      <w:tr w:rsidR="00CE0637" w:rsidRPr="003D70B4" w14:paraId="194DF9B1" w14:textId="77777777" w:rsidTr="000C57AA">
        <w:trPr>
          <w:trHeight w:val="565"/>
        </w:trPr>
        <w:tc>
          <w:tcPr>
            <w:tcW w:w="4663" w:type="dxa"/>
            <w:tcBorders>
              <w:top w:val="nil"/>
              <w:left w:val="nil"/>
              <w:bottom w:val="single" w:sz="18" w:space="0" w:color="auto"/>
              <w:right w:val="nil"/>
            </w:tcBorders>
            <w:vAlign w:val="center"/>
          </w:tcPr>
          <w:p w14:paraId="0D4DE1D9" w14:textId="77777777" w:rsidR="00CE0637" w:rsidRDefault="00CE0637" w:rsidP="000C57AA">
            <w:r>
              <w:t>w</w:t>
            </w:r>
            <w:r w:rsidRPr="0060686E">
              <w:rPr>
                <w:vertAlign w:val="subscript"/>
              </w:rPr>
              <w:t>i</w:t>
            </w:r>
            <w:r>
              <w:rPr>
                <w:vertAlign w:val="subscript"/>
              </w:rPr>
              <w:t xml:space="preserve"> </w:t>
            </w:r>
            <w:r>
              <w:t>(AIC)</w:t>
            </w:r>
          </w:p>
        </w:tc>
        <w:tc>
          <w:tcPr>
            <w:tcW w:w="1866" w:type="dxa"/>
            <w:tcBorders>
              <w:top w:val="nil"/>
              <w:left w:val="nil"/>
              <w:bottom w:val="single" w:sz="18" w:space="0" w:color="auto"/>
              <w:right w:val="nil"/>
            </w:tcBorders>
            <w:vAlign w:val="center"/>
          </w:tcPr>
          <w:p w14:paraId="7FDDF5FB" w14:textId="77777777" w:rsidR="00CE0637" w:rsidRPr="00944287" w:rsidRDefault="00CE0637" w:rsidP="000C57AA">
            <w:pPr>
              <w:jc w:val="center"/>
            </w:pPr>
            <w:r w:rsidRPr="00944287">
              <w:t>.</w:t>
            </w:r>
            <w:r>
              <w:t>106</w:t>
            </w:r>
          </w:p>
        </w:tc>
        <w:tc>
          <w:tcPr>
            <w:tcW w:w="1879" w:type="dxa"/>
            <w:tcBorders>
              <w:top w:val="nil"/>
              <w:left w:val="nil"/>
              <w:bottom w:val="single" w:sz="18" w:space="0" w:color="auto"/>
              <w:right w:val="nil"/>
            </w:tcBorders>
            <w:vAlign w:val="center"/>
          </w:tcPr>
          <w:p w14:paraId="01328836" w14:textId="77777777" w:rsidR="00CE0637" w:rsidRPr="00944287" w:rsidRDefault="00CE0637" w:rsidP="000C57AA">
            <w:pPr>
              <w:jc w:val="center"/>
            </w:pPr>
            <w:r w:rsidRPr="00944287">
              <w:t>.</w:t>
            </w:r>
            <w:r>
              <w:t>894</w:t>
            </w:r>
          </w:p>
        </w:tc>
        <w:tc>
          <w:tcPr>
            <w:tcW w:w="523" w:type="dxa"/>
            <w:tcBorders>
              <w:top w:val="nil"/>
              <w:left w:val="nil"/>
              <w:bottom w:val="single" w:sz="18" w:space="0" w:color="auto"/>
              <w:right w:val="nil"/>
            </w:tcBorders>
          </w:tcPr>
          <w:p w14:paraId="0AA033FF" w14:textId="77777777" w:rsidR="00CE0637" w:rsidRPr="00944287" w:rsidRDefault="00CE0637" w:rsidP="000C57AA">
            <w:pPr>
              <w:jc w:val="center"/>
            </w:pPr>
          </w:p>
        </w:tc>
        <w:tc>
          <w:tcPr>
            <w:tcW w:w="1984" w:type="dxa"/>
            <w:tcBorders>
              <w:top w:val="nil"/>
              <w:left w:val="nil"/>
              <w:bottom w:val="single" w:sz="18" w:space="0" w:color="auto"/>
              <w:right w:val="nil"/>
            </w:tcBorders>
            <w:vAlign w:val="center"/>
          </w:tcPr>
          <w:p w14:paraId="3EF76FD7" w14:textId="77777777" w:rsidR="00CE0637" w:rsidRPr="00944287" w:rsidRDefault="00CE0637" w:rsidP="000C57AA">
            <w:pPr>
              <w:jc w:val="center"/>
            </w:pPr>
            <w:r w:rsidRPr="00944287">
              <w:t>.</w:t>
            </w:r>
            <w:r>
              <w:t>208</w:t>
            </w:r>
          </w:p>
        </w:tc>
        <w:tc>
          <w:tcPr>
            <w:tcW w:w="1985" w:type="dxa"/>
            <w:tcBorders>
              <w:top w:val="nil"/>
              <w:left w:val="nil"/>
              <w:bottom w:val="single" w:sz="18" w:space="0" w:color="auto"/>
              <w:right w:val="nil"/>
            </w:tcBorders>
            <w:vAlign w:val="center"/>
          </w:tcPr>
          <w:p w14:paraId="358A64E8" w14:textId="77777777" w:rsidR="00CE0637" w:rsidRPr="00944287" w:rsidRDefault="00CE0637" w:rsidP="000C57AA">
            <w:pPr>
              <w:jc w:val="center"/>
            </w:pPr>
            <w:r w:rsidRPr="00944287">
              <w:t>.</w:t>
            </w:r>
            <w:r>
              <w:t>791</w:t>
            </w:r>
          </w:p>
        </w:tc>
      </w:tr>
    </w:tbl>
    <w:p w14:paraId="5F70B3DF" w14:textId="77777777" w:rsidR="00CE0637" w:rsidRDefault="00CE0637" w:rsidP="00CE0637">
      <w:pPr>
        <w:spacing w:line="480" w:lineRule="auto"/>
        <w:rPr>
          <w:i/>
        </w:rPr>
      </w:pPr>
    </w:p>
    <w:p w14:paraId="01B1512D" w14:textId="77777777" w:rsidR="00CE0637" w:rsidRDefault="00CE0637" w:rsidP="00CE0637">
      <w:pPr>
        <w:spacing w:line="480" w:lineRule="auto"/>
        <w:rPr>
          <w:i/>
        </w:rPr>
      </w:pPr>
    </w:p>
    <w:p w14:paraId="0A83D2B0" w14:textId="77777777" w:rsidR="00CE0637" w:rsidRDefault="00CE0637" w:rsidP="00CE0637">
      <w:pPr>
        <w:spacing w:line="480" w:lineRule="auto"/>
        <w:rPr>
          <w:i/>
        </w:rPr>
      </w:pPr>
    </w:p>
    <w:p w14:paraId="7E366B46" w14:textId="77777777" w:rsidR="00CE0637" w:rsidRDefault="00CE0637" w:rsidP="00CE0637">
      <w:pPr>
        <w:spacing w:line="480" w:lineRule="auto"/>
        <w:rPr>
          <w:i/>
        </w:rPr>
      </w:pPr>
    </w:p>
    <w:p w14:paraId="08BE5C40" w14:textId="77777777" w:rsidR="00CE0637" w:rsidRDefault="00CE0637" w:rsidP="00CE0637">
      <w:pPr>
        <w:spacing w:line="480" w:lineRule="auto"/>
        <w:rPr>
          <w:i/>
        </w:rPr>
      </w:pPr>
    </w:p>
    <w:p w14:paraId="09E5C950" w14:textId="77777777" w:rsidR="00CE0637" w:rsidRDefault="00CE0637" w:rsidP="00CE0637">
      <w:pPr>
        <w:spacing w:line="480" w:lineRule="auto"/>
        <w:rPr>
          <w:i/>
        </w:rPr>
      </w:pPr>
    </w:p>
    <w:p w14:paraId="4F68AF2B" w14:textId="77777777" w:rsidR="00CE0637" w:rsidRDefault="00CE0637" w:rsidP="00CE0637">
      <w:pPr>
        <w:spacing w:line="480" w:lineRule="auto"/>
        <w:rPr>
          <w:i/>
        </w:rPr>
      </w:pPr>
    </w:p>
    <w:p w14:paraId="7E14EBCB" w14:textId="77777777" w:rsidR="00CE0637" w:rsidRDefault="00CE0637" w:rsidP="00CE0637">
      <w:pPr>
        <w:spacing w:line="480" w:lineRule="auto"/>
        <w:rPr>
          <w:i/>
        </w:rPr>
      </w:pPr>
    </w:p>
    <w:p w14:paraId="03A6CF86" w14:textId="77777777" w:rsidR="00CE0637" w:rsidRDefault="00CE0637" w:rsidP="00CE0637">
      <w:pPr>
        <w:spacing w:line="480" w:lineRule="auto"/>
        <w:rPr>
          <w:i/>
        </w:rPr>
      </w:pPr>
    </w:p>
    <w:p w14:paraId="3173F610" w14:textId="77777777" w:rsidR="00CE0637" w:rsidRDefault="00CE0637" w:rsidP="00CE0637">
      <w:pPr>
        <w:spacing w:line="480" w:lineRule="auto"/>
        <w:rPr>
          <w:i/>
        </w:rPr>
      </w:pPr>
    </w:p>
    <w:p w14:paraId="48B387FF" w14:textId="77777777" w:rsidR="00CE0637" w:rsidRDefault="00CE0637" w:rsidP="00CE0637">
      <w:pPr>
        <w:spacing w:line="480" w:lineRule="auto"/>
        <w:rPr>
          <w:i/>
        </w:rPr>
      </w:pPr>
    </w:p>
    <w:p w14:paraId="2A7526B7" w14:textId="77777777" w:rsidR="00CE0637" w:rsidRDefault="00CE0637" w:rsidP="00CE0637">
      <w:pPr>
        <w:spacing w:line="360" w:lineRule="auto"/>
        <w:rPr>
          <w:i/>
        </w:rPr>
      </w:pPr>
    </w:p>
    <w:p w14:paraId="6B5B1597" w14:textId="77777777" w:rsidR="00CE0637" w:rsidRDefault="00CE0637" w:rsidP="00CE0637">
      <w:pPr>
        <w:spacing w:line="360" w:lineRule="auto"/>
      </w:pPr>
      <w:r w:rsidRPr="003D70B4">
        <w:rPr>
          <w:i/>
        </w:rPr>
        <w:t>Note</w:t>
      </w:r>
      <w:r w:rsidRPr="003D70B4">
        <w:t xml:space="preserve">. Values from the multilevel models can be interpreted as unstandardized regression coefficients with standard errors given in parentheses. </w:t>
      </w:r>
    </w:p>
    <w:p w14:paraId="20583D44" w14:textId="77777777" w:rsidR="00CE0637" w:rsidRDefault="00CE0637" w:rsidP="00CE0637">
      <w:pPr>
        <w:spacing w:line="360" w:lineRule="auto"/>
      </w:pPr>
      <w:r w:rsidRPr="003D70B4">
        <w:rPr>
          <w:vertAlign w:val="superscript"/>
        </w:rPr>
        <w:t>a</w:t>
      </w:r>
      <w:r w:rsidRPr="003D70B4">
        <w:t xml:space="preserve"> 0 = man; 1 = woman.</w:t>
      </w:r>
      <w:r>
        <w:t xml:space="preserve"> </w:t>
      </w:r>
      <w:r w:rsidRPr="00B60DB5">
        <w:t>Akaike Information Criteria</w:t>
      </w:r>
      <w:r>
        <w:t xml:space="preserve"> (AIC) of model fit were based on MLR estimation. w</w:t>
      </w:r>
      <w:r w:rsidRPr="0060686E">
        <w:rPr>
          <w:vertAlign w:val="subscript"/>
        </w:rPr>
        <w:t>i</w:t>
      </w:r>
      <w:r>
        <w:rPr>
          <w:vertAlign w:val="subscript"/>
        </w:rPr>
        <w:t xml:space="preserve"> </w:t>
      </w:r>
      <w:r>
        <w:t>(AIC) is the AIC weight.</w:t>
      </w:r>
      <w:r>
        <w:rPr>
          <w:vertAlign w:val="superscript"/>
        </w:rPr>
        <w:t xml:space="preserve"> </w:t>
      </w:r>
      <w:r w:rsidRPr="003D70B4">
        <w:rPr>
          <w:vertAlign w:val="superscript"/>
        </w:rPr>
        <w:t>†</w:t>
      </w:r>
      <w:r w:rsidRPr="003D70B4">
        <w:rPr>
          <w:i/>
        </w:rPr>
        <w:t>p</w:t>
      </w:r>
      <w:r w:rsidRPr="003D70B4">
        <w:t xml:space="preserve"> &lt; .10, </w:t>
      </w:r>
      <w:r w:rsidRPr="003D70B4">
        <w:rPr>
          <w:vertAlign w:val="superscript"/>
        </w:rPr>
        <w:t>*</w:t>
      </w:r>
      <w:r w:rsidRPr="003D70B4">
        <w:rPr>
          <w:i/>
        </w:rPr>
        <w:t>p</w:t>
      </w:r>
      <w:r w:rsidRPr="003D70B4">
        <w:t xml:space="preserve"> &lt; .05, </w:t>
      </w:r>
      <w:r w:rsidRPr="003D70B4">
        <w:rPr>
          <w:vertAlign w:val="superscript"/>
        </w:rPr>
        <w:t>**</w:t>
      </w:r>
      <w:r w:rsidRPr="003D70B4">
        <w:rPr>
          <w:i/>
        </w:rPr>
        <w:t>p</w:t>
      </w:r>
      <w:r w:rsidRPr="003D70B4">
        <w:t xml:space="preserve"> &lt; .01.</w:t>
      </w:r>
      <w:r>
        <w:br w:type="page"/>
      </w:r>
    </w:p>
    <w:p w14:paraId="74331378" w14:textId="77777777" w:rsidR="00CE0637" w:rsidRPr="0041230A" w:rsidRDefault="00CE0637" w:rsidP="00CE0637">
      <w:pPr>
        <w:spacing w:line="480" w:lineRule="auto"/>
        <w:outlineLvl w:val="0"/>
        <w:rPr>
          <w:b/>
          <w:bCs/>
        </w:rPr>
      </w:pPr>
      <w:r w:rsidRPr="00D15D0E">
        <w:rPr>
          <w:b/>
          <w:bCs/>
        </w:rPr>
        <w:lastRenderedPageBreak/>
        <w:t xml:space="preserve">Table </w:t>
      </w:r>
      <w:r>
        <w:rPr>
          <w:b/>
          <w:bCs/>
        </w:rPr>
        <w:t>S2</w:t>
      </w:r>
    </w:p>
    <w:p w14:paraId="667EE484" w14:textId="77777777" w:rsidR="00CE0637" w:rsidRPr="00076E4A" w:rsidRDefault="00CE0637" w:rsidP="00CE0637">
      <w:pPr>
        <w:spacing w:line="480" w:lineRule="auto"/>
        <w:rPr>
          <w:i/>
        </w:rPr>
      </w:pPr>
      <w:r w:rsidRPr="0041230A">
        <w:rPr>
          <w:i/>
        </w:rPr>
        <w:t xml:space="preserve">Relation Between Employee </w:t>
      </w:r>
      <w:r w:rsidRPr="00AD6A74">
        <w:rPr>
          <w:i/>
        </w:rPr>
        <w:t>Narcissism</w:t>
      </w:r>
      <w:r>
        <w:rPr>
          <w:i/>
        </w:rPr>
        <w:t xml:space="preserve"> (without Leadership/Authority items)</w:t>
      </w:r>
      <w:r w:rsidRPr="00AD6A74">
        <w:rPr>
          <w:i/>
        </w:rPr>
        <w:t xml:space="preserve"> and Promotability (</w:t>
      </w:r>
      <w:r>
        <w:rPr>
          <w:i/>
        </w:rPr>
        <w:t>Study 1 and Study 2</w:t>
      </w:r>
      <w:r w:rsidRPr="00AD6A74">
        <w:rPr>
          <w:i/>
        </w:rPr>
        <w:t>)</w:t>
      </w:r>
    </w:p>
    <w:tbl>
      <w:tblPr>
        <w:tblpPr w:leftFromText="180" w:rightFromText="180" w:vertAnchor="page" w:horzAnchor="margin" w:tblpY="2527"/>
        <w:tblW w:w="12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63"/>
        <w:gridCol w:w="1866"/>
        <w:gridCol w:w="1879"/>
        <w:gridCol w:w="523"/>
        <w:gridCol w:w="1984"/>
        <w:gridCol w:w="1985"/>
      </w:tblGrid>
      <w:tr w:rsidR="00CE0637" w:rsidRPr="003D70B4" w14:paraId="707B6D73" w14:textId="77777777" w:rsidTr="000C57AA">
        <w:trPr>
          <w:trHeight w:val="471"/>
        </w:trPr>
        <w:tc>
          <w:tcPr>
            <w:tcW w:w="4663" w:type="dxa"/>
            <w:tcBorders>
              <w:top w:val="single" w:sz="18" w:space="0" w:color="auto"/>
              <w:left w:val="nil"/>
              <w:bottom w:val="nil"/>
              <w:right w:val="nil"/>
            </w:tcBorders>
            <w:vAlign w:val="center"/>
          </w:tcPr>
          <w:p w14:paraId="2D119AF5" w14:textId="77777777" w:rsidR="00CE0637" w:rsidRPr="003D70B4" w:rsidRDefault="00CE0637" w:rsidP="000C57AA"/>
        </w:tc>
        <w:tc>
          <w:tcPr>
            <w:tcW w:w="3745" w:type="dxa"/>
            <w:gridSpan w:val="2"/>
            <w:tcBorders>
              <w:top w:val="single" w:sz="18" w:space="0" w:color="auto"/>
              <w:left w:val="nil"/>
              <w:bottom w:val="nil"/>
              <w:right w:val="nil"/>
            </w:tcBorders>
            <w:vAlign w:val="center"/>
          </w:tcPr>
          <w:p w14:paraId="17727E46" w14:textId="77777777" w:rsidR="00CE0637" w:rsidRPr="003D70B4" w:rsidRDefault="00CE0637" w:rsidP="000C57AA">
            <w:pPr>
              <w:jc w:val="center"/>
            </w:pPr>
            <w:r>
              <w:t>Study 1</w:t>
            </w:r>
          </w:p>
        </w:tc>
        <w:tc>
          <w:tcPr>
            <w:tcW w:w="523" w:type="dxa"/>
            <w:tcBorders>
              <w:top w:val="single" w:sz="18" w:space="0" w:color="auto"/>
              <w:left w:val="nil"/>
              <w:bottom w:val="nil"/>
              <w:right w:val="nil"/>
            </w:tcBorders>
          </w:tcPr>
          <w:p w14:paraId="1E631208" w14:textId="77777777" w:rsidR="00CE0637" w:rsidRPr="003D70B4" w:rsidRDefault="00CE0637" w:rsidP="000C57AA">
            <w:pPr>
              <w:jc w:val="center"/>
            </w:pPr>
          </w:p>
        </w:tc>
        <w:tc>
          <w:tcPr>
            <w:tcW w:w="3969" w:type="dxa"/>
            <w:gridSpan w:val="2"/>
            <w:tcBorders>
              <w:top w:val="single" w:sz="18" w:space="0" w:color="auto"/>
              <w:left w:val="nil"/>
              <w:bottom w:val="nil"/>
              <w:right w:val="nil"/>
            </w:tcBorders>
            <w:vAlign w:val="center"/>
          </w:tcPr>
          <w:p w14:paraId="59B78523" w14:textId="77777777" w:rsidR="00CE0637" w:rsidRPr="003D70B4" w:rsidRDefault="00CE0637" w:rsidP="000C57AA">
            <w:pPr>
              <w:jc w:val="center"/>
            </w:pPr>
            <w:r>
              <w:t>Study 2</w:t>
            </w:r>
          </w:p>
        </w:tc>
      </w:tr>
      <w:tr w:rsidR="00CE0637" w:rsidRPr="003D70B4" w14:paraId="7E9E4DDD" w14:textId="77777777" w:rsidTr="000C57AA">
        <w:trPr>
          <w:trHeight w:val="471"/>
        </w:trPr>
        <w:tc>
          <w:tcPr>
            <w:tcW w:w="4663" w:type="dxa"/>
            <w:tcBorders>
              <w:top w:val="nil"/>
              <w:left w:val="nil"/>
              <w:bottom w:val="single" w:sz="4" w:space="0" w:color="auto"/>
              <w:right w:val="nil"/>
            </w:tcBorders>
            <w:vAlign w:val="center"/>
          </w:tcPr>
          <w:p w14:paraId="4A22B788" w14:textId="77777777" w:rsidR="00CE0637" w:rsidRPr="003D70B4" w:rsidRDefault="00CE0637" w:rsidP="000C57AA"/>
        </w:tc>
        <w:tc>
          <w:tcPr>
            <w:tcW w:w="1866" w:type="dxa"/>
            <w:tcBorders>
              <w:top w:val="single" w:sz="4" w:space="0" w:color="auto"/>
              <w:left w:val="nil"/>
              <w:bottom w:val="nil"/>
              <w:right w:val="nil"/>
            </w:tcBorders>
            <w:vAlign w:val="center"/>
          </w:tcPr>
          <w:p w14:paraId="30E7C5D5" w14:textId="77777777" w:rsidR="00CE0637" w:rsidRPr="003D70B4" w:rsidRDefault="00CE0637" w:rsidP="000C57AA">
            <w:pPr>
              <w:jc w:val="center"/>
            </w:pPr>
            <w:r w:rsidRPr="003D70B4">
              <w:t>Model 1</w:t>
            </w:r>
          </w:p>
        </w:tc>
        <w:tc>
          <w:tcPr>
            <w:tcW w:w="1879" w:type="dxa"/>
            <w:tcBorders>
              <w:top w:val="single" w:sz="4" w:space="0" w:color="auto"/>
              <w:left w:val="nil"/>
              <w:bottom w:val="nil"/>
              <w:right w:val="nil"/>
            </w:tcBorders>
            <w:vAlign w:val="center"/>
          </w:tcPr>
          <w:p w14:paraId="469D45A9" w14:textId="77777777" w:rsidR="00CE0637" w:rsidRPr="003D70B4" w:rsidRDefault="00CE0637" w:rsidP="000C57AA">
            <w:pPr>
              <w:jc w:val="center"/>
            </w:pPr>
            <w:r w:rsidRPr="003D70B4">
              <w:t>Model 2</w:t>
            </w:r>
          </w:p>
        </w:tc>
        <w:tc>
          <w:tcPr>
            <w:tcW w:w="523" w:type="dxa"/>
            <w:tcBorders>
              <w:top w:val="nil"/>
              <w:left w:val="nil"/>
              <w:bottom w:val="single" w:sz="4" w:space="0" w:color="auto"/>
              <w:right w:val="nil"/>
            </w:tcBorders>
          </w:tcPr>
          <w:p w14:paraId="1A863099" w14:textId="77777777" w:rsidR="00CE0637" w:rsidRPr="003D70B4" w:rsidRDefault="00CE0637" w:rsidP="000C57AA">
            <w:pPr>
              <w:jc w:val="center"/>
            </w:pPr>
          </w:p>
        </w:tc>
        <w:tc>
          <w:tcPr>
            <w:tcW w:w="1984" w:type="dxa"/>
            <w:tcBorders>
              <w:top w:val="single" w:sz="4" w:space="0" w:color="auto"/>
              <w:left w:val="nil"/>
              <w:bottom w:val="nil"/>
              <w:right w:val="nil"/>
            </w:tcBorders>
            <w:vAlign w:val="center"/>
          </w:tcPr>
          <w:p w14:paraId="29032D02" w14:textId="77777777" w:rsidR="00CE0637" w:rsidRPr="003D70B4" w:rsidRDefault="00CE0637" w:rsidP="000C57AA">
            <w:pPr>
              <w:jc w:val="center"/>
            </w:pPr>
            <w:r w:rsidRPr="003D70B4">
              <w:t>Model 1</w:t>
            </w:r>
          </w:p>
        </w:tc>
        <w:tc>
          <w:tcPr>
            <w:tcW w:w="1985" w:type="dxa"/>
            <w:tcBorders>
              <w:top w:val="single" w:sz="4" w:space="0" w:color="auto"/>
              <w:left w:val="nil"/>
              <w:bottom w:val="nil"/>
              <w:right w:val="nil"/>
            </w:tcBorders>
            <w:vAlign w:val="center"/>
          </w:tcPr>
          <w:p w14:paraId="79E26DE1" w14:textId="77777777" w:rsidR="00CE0637" w:rsidRPr="003D70B4" w:rsidRDefault="00CE0637" w:rsidP="000C57AA">
            <w:pPr>
              <w:jc w:val="center"/>
            </w:pPr>
            <w:r w:rsidRPr="003D70B4">
              <w:t>Model 2</w:t>
            </w:r>
          </w:p>
        </w:tc>
      </w:tr>
      <w:tr w:rsidR="00CE0637" w:rsidRPr="003D70B4" w14:paraId="6274418B" w14:textId="77777777" w:rsidTr="000C57AA">
        <w:trPr>
          <w:trHeight w:val="471"/>
        </w:trPr>
        <w:tc>
          <w:tcPr>
            <w:tcW w:w="4663" w:type="dxa"/>
            <w:tcBorders>
              <w:top w:val="single" w:sz="4" w:space="0" w:color="auto"/>
              <w:left w:val="nil"/>
              <w:bottom w:val="nil"/>
              <w:right w:val="nil"/>
            </w:tcBorders>
            <w:vAlign w:val="center"/>
          </w:tcPr>
          <w:p w14:paraId="1A1E24AD" w14:textId="77777777" w:rsidR="00CE0637" w:rsidRPr="003D70B4" w:rsidRDefault="00CE0637" w:rsidP="000C57AA">
            <w:r w:rsidRPr="003D70B4">
              <w:t xml:space="preserve">Intercept </w:t>
            </w:r>
          </w:p>
        </w:tc>
        <w:tc>
          <w:tcPr>
            <w:tcW w:w="1866" w:type="dxa"/>
            <w:tcBorders>
              <w:top w:val="single" w:sz="4" w:space="0" w:color="auto"/>
              <w:left w:val="nil"/>
              <w:bottom w:val="nil"/>
              <w:right w:val="nil"/>
            </w:tcBorders>
            <w:vAlign w:val="center"/>
          </w:tcPr>
          <w:p w14:paraId="1171D166" w14:textId="77777777" w:rsidR="00CE0637" w:rsidRPr="003D70B4" w:rsidRDefault="00CE0637" w:rsidP="000C57AA">
            <w:pPr>
              <w:jc w:val="center"/>
            </w:pPr>
            <w:r>
              <w:t>4.931</w:t>
            </w:r>
            <w:r w:rsidRPr="003D70B4">
              <w:t xml:space="preserve"> (.</w:t>
            </w:r>
            <w:r>
              <w:t>221</w:t>
            </w:r>
            <w:r w:rsidRPr="003D70B4">
              <w:t>)</w:t>
            </w:r>
            <w:r w:rsidRPr="003D70B4">
              <w:rPr>
                <w:vertAlign w:val="superscript"/>
              </w:rPr>
              <w:t>**</w:t>
            </w:r>
          </w:p>
        </w:tc>
        <w:tc>
          <w:tcPr>
            <w:tcW w:w="1879" w:type="dxa"/>
            <w:tcBorders>
              <w:top w:val="single" w:sz="4" w:space="0" w:color="auto"/>
              <w:left w:val="nil"/>
              <w:bottom w:val="nil"/>
              <w:right w:val="nil"/>
            </w:tcBorders>
            <w:vAlign w:val="center"/>
          </w:tcPr>
          <w:p w14:paraId="567AF3A5" w14:textId="77777777" w:rsidR="00CE0637" w:rsidRPr="003D70B4" w:rsidRDefault="00CE0637" w:rsidP="000C57AA">
            <w:pPr>
              <w:jc w:val="center"/>
            </w:pPr>
            <w:r w:rsidRPr="003D70B4">
              <w:t>4.</w:t>
            </w:r>
            <w:r>
              <w:t>302</w:t>
            </w:r>
            <w:r w:rsidRPr="003D70B4">
              <w:t xml:space="preserve"> (.</w:t>
            </w:r>
            <w:r>
              <w:t>350</w:t>
            </w:r>
            <w:r w:rsidRPr="003D70B4">
              <w:t>)</w:t>
            </w:r>
            <w:r w:rsidRPr="003D70B4">
              <w:rPr>
                <w:vertAlign w:val="superscript"/>
              </w:rPr>
              <w:t>**</w:t>
            </w:r>
          </w:p>
        </w:tc>
        <w:tc>
          <w:tcPr>
            <w:tcW w:w="523" w:type="dxa"/>
            <w:tcBorders>
              <w:top w:val="single" w:sz="4" w:space="0" w:color="auto"/>
              <w:left w:val="nil"/>
              <w:bottom w:val="nil"/>
              <w:right w:val="nil"/>
            </w:tcBorders>
          </w:tcPr>
          <w:p w14:paraId="45E1E69E" w14:textId="77777777" w:rsidR="00CE0637" w:rsidRPr="003D70B4" w:rsidRDefault="00CE0637" w:rsidP="000C57AA">
            <w:pPr>
              <w:jc w:val="center"/>
            </w:pPr>
          </w:p>
        </w:tc>
        <w:tc>
          <w:tcPr>
            <w:tcW w:w="1984" w:type="dxa"/>
            <w:tcBorders>
              <w:top w:val="single" w:sz="4" w:space="0" w:color="auto"/>
              <w:left w:val="nil"/>
              <w:bottom w:val="nil"/>
              <w:right w:val="nil"/>
            </w:tcBorders>
            <w:vAlign w:val="center"/>
          </w:tcPr>
          <w:p w14:paraId="065927E6" w14:textId="77777777" w:rsidR="00CE0637" w:rsidRPr="003D70B4" w:rsidRDefault="00CE0637" w:rsidP="000C57AA">
            <w:pPr>
              <w:jc w:val="center"/>
            </w:pPr>
            <w:r w:rsidRPr="003D70B4">
              <w:t>5.3</w:t>
            </w:r>
            <w:r>
              <w:t>9</w:t>
            </w:r>
            <w:r w:rsidRPr="003D70B4">
              <w:t>8 (.</w:t>
            </w:r>
            <w:r>
              <w:t>209</w:t>
            </w:r>
            <w:r w:rsidRPr="003D70B4">
              <w:t>)</w:t>
            </w:r>
            <w:r w:rsidRPr="003D70B4">
              <w:rPr>
                <w:vertAlign w:val="superscript"/>
              </w:rPr>
              <w:t>**</w:t>
            </w:r>
          </w:p>
        </w:tc>
        <w:tc>
          <w:tcPr>
            <w:tcW w:w="1985" w:type="dxa"/>
            <w:tcBorders>
              <w:top w:val="single" w:sz="4" w:space="0" w:color="auto"/>
              <w:left w:val="nil"/>
              <w:bottom w:val="nil"/>
              <w:right w:val="nil"/>
            </w:tcBorders>
            <w:vAlign w:val="center"/>
          </w:tcPr>
          <w:p w14:paraId="255C56A2" w14:textId="77777777" w:rsidR="00CE0637" w:rsidRPr="003D70B4" w:rsidRDefault="00CE0637" w:rsidP="000C57AA">
            <w:pPr>
              <w:jc w:val="center"/>
            </w:pPr>
            <w:r>
              <w:t>4.825</w:t>
            </w:r>
            <w:r w:rsidRPr="003D70B4">
              <w:t xml:space="preserve"> (.</w:t>
            </w:r>
            <w:r>
              <w:t>350</w:t>
            </w:r>
            <w:r w:rsidRPr="003D70B4">
              <w:t>)</w:t>
            </w:r>
            <w:r w:rsidRPr="003D70B4">
              <w:rPr>
                <w:vertAlign w:val="superscript"/>
              </w:rPr>
              <w:t>**</w:t>
            </w:r>
          </w:p>
        </w:tc>
      </w:tr>
      <w:tr w:rsidR="00CE0637" w:rsidRPr="003D70B4" w14:paraId="7B1C09F2" w14:textId="77777777" w:rsidTr="000C57AA">
        <w:trPr>
          <w:trHeight w:val="495"/>
        </w:trPr>
        <w:tc>
          <w:tcPr>
            <w:tcW w:w="4663" w:type="dxa"/>
            <w:tcBorders>
              <w:top w:val="nil"/>
              <w:left w:val="nil"/>
              <w:bottom w:val="nil"/>
              <w:right w:val="nil"/>
            </w:tcBorders>
            <w:vAlign w:val="center"/>
          </w:tcPr>
          <w:p w14:paraId="21035048" w14:textId="77777777" w:rsidR="00CE0637" w:rsidRPr="003D70B4" w:rsidRDefault="00CE0637" w:rsidP="000C57AA">
            <w:r w:rsidRPr="003D70B4">
              <w:t>Controls</w:t>
            </w:r>
          </w:p>
        </w:tc>
        <w:tc>
          <w:tcPr>
            <w:tcW w:w="1866" w:type="dxa"/>
            <w:tcBorders>
              <w:top w:val="nil"/>
              <w:left w:val="nil"/>
              <w:bottom w:val="nil"/>
              <w:right w:val="nil"/>
            </w:tcBorders>
            <w:vAlign w:val="center"/>
          </w:tcPr>
          <w:p w14:paraId="172BAB62" w14:textId="77777777" w:rsidR="00CE0637" w:rsidRPr="003D70B4" w:rsidRDefault="00CE0637" w:rsidP="000C57AA"/>
        </w:tc>
        <w:tc>
          <w:tcPr>
            <w:tcW w:w="1879" w:type="dxa"/>
            <w:tcBorders>
              <w:top w:val="nil"/>
              <w:left w:val="nil"/>
              <w:bottom w:val="nil"/>
              <w:right w:val="nil"/>
            </w:tcBorders>
            <w:vAlign w:val="center"/>
          </w:tcPr>
          <w:p w14:paraId="015A7E2F" w14:textId="77777777" w:rsidR="00CE0637" w:rsidRPr="003D70B4" w:rsidRDefault="00CE0637" w:rsidP="000C57AA"/>
        </w:tc>
        <w:tc>
          <w:tcPr>
            <w:tcW w:w="523" w:type="dxa"/>
            <w:tcBorders>
              <w:top w:val="nil"/>
              <w:left w:val="nil"/>
              <w:bottom w:val="nil"/>
              <w:right w:val="nil"/>
            </w:tcBorders>
          </w:tcPr>
          <w:p w14:paraId="07A791AB" w14:textId="77777777" w:rsidR="00CE0637" w:rsidRPr="003D70B4" w:rsidRDefault="00CE0637" w:rsidP="000C57AA"/>
        </w:tc>
        <w:tc>
          <w:tcPr>
            <w:tcW w:w="1984" w:type="dxa"/>
            <w:tcBorders>
              <w:top w:val="nil"/>
              <w:left w:val="nil"/>
              <w:bottom w:val="nil"/>
              <w:right w:val="nil"/>
            </w:tcBorders>
            <w:vAlign w:val="center"/>
          </w:tcPr>
          <w:p w14:paraId="428BF044" w14:textId="77777777" w:rsidR="00CE0637" w:rsidRPr="003D70B4" w:rsidRDefault="00CE0637" w:rsidP="000C57AA"/>
        </w:tc>
        <w:tc>
          <w:tcPr>
            <w:tcW w:w="1985" w:type="dxa"/>
            <w:tcBorders>
              <w:top w:val="nil"/>
              <w:left w:val="nil"/>
              <w:bottom w:val="nil"/>
              <w:right w:val="nil"/>
            </w:tcBorders>
            <w:vAlign w:val="center"/>
          </w:tcPr>
          <w:p w14:paraId="0D8D26F4" w14:textId="77777777" w:rsidR="00CE0637" w:rsidRPr="003D70B4" w:rsidRDefault="00CE0637" w:rsidP="000C57AA"/>
        </w:tc>
      </w:tr>
      <w:tr w:rsidR="00CE0637" w:rsidRPr="003D70B4" w14:paraId="532F6586" w14:textId="77777777" w:rsidTr="000C57AA">
        <w:trPr>
          <w:trHeight w:val="565"/>
        </w:trPr>
        <w:tc>
          <w:tcPr>
            <w:tcW w:w="4663" w:type="dxa"/>
            <w:tcBorders>
              <w:top w:val="nil"/>
              <w:left w:val="nil"/>
              <w:bottom w:val="nil"/>
              <w:right w:val="nil"/>
            </w:tcBorders>
            <w:vAlign w:val="center"/>
          </w:tcPr>
          <w:p w14:paraId="7DB688AA" w14:textId="77777777" w:rsidR="00CE0637" w:rsidRPr="003D70B4" w:rsidRDefault="00CE0637" w:rsidP="000C57AA">
            <w:r w:rsidRPr="003D70B4">
              <w:t xml:space="preserve"> </w:t>
            </w:r>
            <w:r>
              <w:t xml:space="preserve"> </w:t>
            </w:r>
            <w:r w:rsidRPr="003D70B4">
              <w:t>Gender</w:t>
            </w:r>
            <w:r w:rsidRPr="003D70B4">
              <w:rPr>
                <w:vertAlign w:val="superscript"/>
              </w:rPr>
              <w:t xml:space="preserve"> a</w:t>
            </w:r>
          </w:p>
        </w:tc>
        <w:tc>
          <w:tcPr>
            <w:tcW w:w="1866" w:type="dxa"/>
            <w:tcBorders>
              <w:top w:val="nil"/>
              <w:left w:val="nil"/>
              <w:bottom w:val="nil"/>
              <w:right w:val="nil"/>
            </w:tcBorders>
            <w:vAlign w:val="center"/>
          </w:tcPr>
          <w:p w14:paraId="5EA5D66B" w14:textId="77777777" w:rsidR="00CE0637" w:rsidRPr="003D70B4" w:rsidRDefault="00CE0637" w:rsidP="000C57AA">
            <w:pPr>
              <w:jc w:val="center"/>
            </w:pPr>
            <w:r w:rsidRPr="003D70B4">
              <w:t>–.0</w:t>
            </w:r>
            <w:r>
              <w:t>52</w:t>
            </w:r>
            <w:r w:rsidRPr="003D70B4">
              <w:rPr>
                <w:vertAlign w:val="superscript"/>
              </w:rPr>
              <w:t xml:space="preserve"> </w:t>
            </w:r>
            <w:r w:rsidRPr="003D70B4">
              <w:t>(.</w:t>
            </w:r>
            <w:r>
              <w:t>238</w:t>
            </w:r>
            <w:r w:rsidRPr="003D70B4">
              <w:t>)</w:t>
            </w:r>
          </w:p>
        </w:tc>
        <w:tc>
          <w:tcPr>
            <w:tcW w:w="1879" w:type="dxa"/>
            <w:tcBorders>
              <w:top w:val="nil"/>
              <w:left w:val="nil"/>
              <w:bottom w:val="nil"/>
              <w:right w:val="nil"/>
            </w:tcBorders>
            <w:vAlign w:val="center"/>
          </w:tcPr>
          <w:p w14:paraId="1B1FC008" w14:textId="77777777" w:rsidR="00CE0637" w:rsidRPr="003D70B4" w:rsidRDefault="00CE0637" w:rsidP="000C57AA">
            <w:pPr>
              <w:jc w:val="center"/>
            </w:pPr>
            <w:r w:rsidRPr="003D70B4">
              <w:t>–.</w:t>
            </w:r>
            <w:r>
              <w:t>037</w:t>
            </w:r>
            <w:r w:rsidRPr="003D70B4">
              <w:rPr>
                <w:vertAlign w:val="superscript"/>
              </w:rPr>
              <w:t xml:space="preserve"> </w:t>
            </w:r>
            <w:r w:rsidRPr="003D70B4">
              <w:t>(.2</w:t>
            </w:r>
            <w:r>
              <w:t>35</w:t>
            </w:r>
            <w:r w:rsidRPr="003D70B4">
              <w:t>)</w:t>
            </w:r>
          </w:p>
        </w:tc>
        <w:tc>
          <w:tcPr>
            <w:tcW w:w="523" w:type="dxa"/>
            <w:tcBorders>
              <w:top w:val="nil"/>
              <w:left w:val="nil"/>
              <w:bottom w:val="nil"/>
              <w:right w:val="nil"/>
            </w:tcBorders>
          </w:tcPr>
          <w:p w14:paraId="2C16C1BB" w14:textId="77777777" w:rsidR="00CE0637" w:rsidRPr="003D70B4" w:rsidRDefault="00CE0637" w:rsidP="000C57AA">
            <w:pPr>
              <w:jc w:val="center"/>
            </w:pPr>
          </w:p>
        </w:tc>
        <w:tc>
          <w:tcPr>
            <w:tcW w:w="1984" w:type="dxa"/>
            <w:tcBorders>
              <w:top w:val="nil"/>
              <w:left w:val="nil"/>
              <w:bottom w:val="nil"/>
              <w:right w:val="nil"/>
            </w:tcBorders>
            <w:vAlign w:val="center"/>
          </w:tcPr>
          <w:p w14:paraId="00130013" w14:textId="77777777" w:rsidR="00CE0637" w:rsidRPr="003D70B4" w:rsidRDefault="00CE0637" w:rsidP="000C57AA">
            <w:pPr>
              <w:jc w:val="center"/>
            </w:pPr>
            <w:r w:rsidRPr="003D70B4">
              <w:t>–.1</w:t>
            </w:r>
            <w:r>
              <w:t>04</w:t>
            </w:r>
            <w:r w:rsidRPr="003D70B4">
              <w:rPr>
                <w:vertAlign w:val="superscript"/>
              </w:rPr>
              <w:t xml:space="preserve"> </w:t>
            </w:r>
            <w:r w:rsidRPr="003D70B4">
              <w:t>(.207)</w:t>
            </w:r>
          </w:p>
        </w:tc>
        <w:tc>
          <w:tcPr>
            <w:tcW w:w="1985" w:type="dxa"/>
            <w:tcBorders>
              <w:top w:val="nil"/>
              <w:left w:val="nil"/>
              <w:bottom w:val="nil"/>
              <w:right w:val="nil"/>
            </w:tcBorders>
            <w:vAlign w:val="center"/>
          </w:tcPr>
          <w:p w14:paraId="73F683E9" w14:textId="77777777" w:rsidR="00CE0637" w:rsidRPr="003D70B4" w:rsidRDefault="00CE0637" w:rsidP="000C57AA">
            <w:pPr>
              <w:jc w:val="center"/>
            </w:pPr>
            <w:r w:rsidRPr="003D70B4">
              <w:t>.0</w:t>
            </w:r>
            <w:r>
              <w:t>77</w:t>
            </w:r>
            <w:r w:rsidRPr="003D70B4">
              <w:rPr>
                <w:vertAlign w:val="superscript"/>
              </w:rPr>
              <w:t xml:space="preserve"> </w:t>
            </w:r>
            <w:r w:rsidRPr="003D70B4">
              <w:t>(.20</w:t>
            </w:r>
            <w:r>
              <w:t>6</w:t>
            </w:r>
            <w:r w:rsidRPr="003D70B4">
              <w:t>)</w:t>
            </w:r>
          </w:p>
        </w:tc>
      </w:tr>
      <w:tr w:rsidR="00CE0637" w:rsidRPr="003D70B4" w14:paraId="2A17D2B1" w14:textId="77777777" w:rsidTr="000C57AA">
        <w:trPr>
          <w:trHeight w:val="537"/>
        </w:trPr>
        <w:tc>
          <w:tcPr>
            <w:tcW w:w="4663" w:type="dxa"/>
            <w:tcBorders>
              <w:top w:val="nil"/>
              <w:left w:val="nil"/>
              <w:bottom w:val="nil"/>
              <w:right w:val="nil"/>
            </w:tcBorders>
            <w:vAlign w:val="center"/>
          </w:tcPr>
          <w:p w14:paraId="5C56B219" w14:textId="77777777" w:rsidR="00CE0637" w:rsidRPr="003D70B4" w:rsidRDefault="00CE0637" w:rsidP="000C57AA">
            <w:r w:rsidRPr="003D70B4">
              <w:t xml:space="preserve"> </w:t>
            </w:r>
            <w:r>
              <w:t xml:space="preserve"> </w:t>
            </w:r>
            <w:r w:rsidRPr="003D70B4">
              <w:t>Tenure</w:t>
            </w:r>
          </w:p>
        </w:tc>
        <w:tc>
          <w:tcPr>
            <w:tcW w:w="1866" w:type="dxa"/>
            <w:tcBorders>
              <w:top w:val="nil"/>
              <w:left w:val="nil"/>
              <w:bottom w:val="nil"/>
              <w:right w:val="nil"/>
            </w:tcBorders>
            <w:vAlign w:val="center"/>
          </w:tcPr>
          <w:p w14:paraId="04FB62EB" w14:textId="77777777" w:rsidR="00CE0637" w:rsidRPr="003D70B4" w:rsidRDefault="00CE0637" w:rsidP="000C57AA">
            <w:pPr>
              <w:jc w:val="center"/>
            </w:pPr>
            <w:r w:rsidRPr="003D70B4">
              <w:t>–.</w:t>
            </w:r>
            <w:r>
              <w:t>004</w:t>
            </w:r>
            <w:r w:rsidRPr="003D70B4">
              <w:t xml:space="preserve"> (.0</w:t>
            </w:r>
            <w:r>
              <w:t>02</w:t>
            </w:r>
            <w:r w:rsidRPr="003D70B4">
              <w:t>)</w:t>
            </w:r>
            <w:r w:rsidRPr="003D70B4">
              <w:rPr>
                <w:vertAlign w:val="superscript"/>
              </w:rPr>
              <w:t>*</w:t>
            </w:r>
          </w:p>
        </w:tc>
        <w:tc>
          <w:tcPr>
            <w:tcW w:w="1879" w:type="dxa"/>
            <w:tcBorders>
              <w:top w:val="nil"/>
              <w:left w:val="nil"/>
              <w:bottom w:val="nil"/>
              <w:right w:val="nil"/>
            </w:tcBorders>
            <w:vAlign w:val="center"/>
          </w:tcPr>
          <w:p w14:paraId="3B0E922F" w14:textId="77777777" w:rsidR="00CE0637" w:rsidRPr="003D70B4" w:rsidRDefault="00CE0637" w:rsidP="000C57AA">
            <w:pPr>
              <w:jc w:val="center"/>
            </w:pPr>
            <w:r w:rsidRPr="003D70B4">
              <w:t>–.003 (.00</w:t>
            </w:r>
            <w:r>
              <w:t>2</w:t>
            </w:r>
            <w:r w:rsidRPr="003D70B4">
              <w:t>)</w:t>
            </w:r>
            <w:r w:rsidRPr="003D70B4">
              <w:rPr>
                <w:vertAlign w:val="superscript"/>
              </w:rPr>
              <w:t>†</w:t>
            </w:r>
          </w:p>
        </w:tc>
        <w:tc>
          <w:tcPr>
            <w:tcW w:w="523" w:type="dxa"/>
            <w:tcBorders>
              <w:top w:val="nil"/>
              <w:left w:val="nil"/>
              <w:bottom w:val="nil"/>
              <w:right w:val="nil"/>
            </w:tcBorders>
          </w:tcPr>
          <w:p w14:paraId="390AF37C" w14:textId="77777777" w:rsidR="00CE0637" w:rsidRPr="003D70B4" w:rsidRDefault="00CE0637" w:rsidP="000C57AA">
            <w:pPr>
              <w:jc w:val="center"/>
            </w:pPr>
          </w:p>
        </w:tc>
        <w:tc>
          <w:tcPr>
            <w:tcW w:w="1984" w:type="dxa"/>
            <w:tcBorders>
              <w:top w:val="nil"/>
              <w:left w:val="nil"/>
              <w:bottom w:val="nil"/>
              <w:right w:val="nil"/>
            </w:tcBorders>
            <w:vAlign w:val="center"/>
          </w:tcPr>
          <w:p w14:paraId="742BB0CA" w14:textId="77777777" w:rsidR="00CE0637" w:rsidRPr="003D70B4" w:rsidRDefault="00CE0637" w:rsidP="000C57AA">
            <w:pPr>
              <w:jc w:val="center"/>
            </w:pPr>
            <w:r w:rsidRPr="003D70B4">
              <w:t>–.019</w:t>
            </w:r>
            <w:r w:rsidRPr="003D70B4">
              <w:rPr>
                <w:vertAlign w:val="superscript"/>
              </w:rPr>
              <w:t xml:space="preserve"> </w:t>
            </w:r>
            <w:r w:rsidRPr="003D70B4">
              <w:t>(.01</w:t>
            </w:r>
            <w:r>
              <w:t>6</w:t>
            </w:r>
            <w:r w:rsidRPr="003D70B4">
              <w:t>)</w:t>
            </w:r>
          </w:p>
        </w:tc>
        <w:tc>
          <w:tcPr>
            <w:tcW w:w="1985" w:type="dxa"/>
            <w:tcBorders>
              <w:top w:val="nil"/>
              <w:left w:val="nil"/>
              <w:bottom w:val="nil"/>
              <w:right w:val="nil"/>
            </w:tcBorders>
            <w:vAlign w:val="center"/>
          </w:tcPr>
          <w:p w14:paraId="4B2A1FEE" w14:textId="77777777" w:rsidR="00CE0637" w:rsidRPr="003D70B4" w:rsidRDefault="00CE0637" w:rsidP="000C57AA">
            <w:pPr>
              <w:jc w:val="center"/>
            </w:pPr>
            <w:r w:rsidRPr="003D70B4">
              <w:t>–.01</w:t>
            </w:r>
            <w:r>
              <w:t>5</w:t>
            </w:r>
            <w:r w:rsidRPr="003D70B4">
              <w:rPr>
                <w:vertAlign w:val="superscript"/>
              </w:rPr>
              <w:t xml:space="preserve"> </w:t>
            </w:r>
            <w:r w:rsidRPr="003D70B4">
              <w:t>(.01</w:t>
            </w:r>
            <w:r>
              <w:t>7</w:t>
            </w:r>
            <w:r w:rsidRPr="003D70B4">
              <w:t>)</w:t>
            </w:r>
          </w:p>
        </w:tc>
      </w:tr>
      <w:tr w:rsidR="00CE0637" w:rsidRPr="003D70B4" w14:paraId="37D3CD67" w14:textId="77777777" w:rsidTr="000C57AA">
        <w:trPr>
          <w:trHeight w:val="475"/>
        </w:trPr>
        <w:tc>
          <w:tcPr>
            <w:tcW w:w="4663" w:type="dxa"/>
            <w:tcBorders>
              <w:top w:val="nil"/>
              <w:left w:val="nil"/>
              <w:bottom w:val="nil"/>
              <w:right w:val="nil"/>
            </w:tcBorders>
            <w:vAlign w:val="center"/>
          </w:tcPr>
          <w:p w14:paraId="6EFA92FC" w14:textId="77777777" w:rsidR="00CE0637" w:rsidRPr="003D70B4" w:rsidRDefault="00CE0637" w:rsidP="000C57AA">
            <w:r w:rsidRPr="003D70B4">
              <w:t>Predictor</w:t>
            </w:r>
          </w:p>
        </w:tc>
        <w:tc>
          <w:tcPr>
            <w:tcW w:w="1866" w:type="dxa"/>
            <w:tcBorders>
              <w:top w:val="nil"/>
              <w:left w:val="nil"/>
              <w:bottom w:val="nil"/>
              <w:right w:val="nil"/>
            </w:tcBorders>
            <w:vAlign w:val="center"/>
          </w:tcPr>
          <w:p w14:paraId="1DE5C0B7" w14:textId="77777777" w:rsidR="00CE0637" w:rsidRPr="003D70B4" w:rsidRDefault="00CE0637" w:rsidP="000C57AA">
            <w:pPr>
              <w:jc w:val="center"/>
            </w:pPr>
          </w:p>
        </w:tc>
        <w:tc>
          <w:tcPr>
            <w:tcW w:w="1879" w:type="dxa"/>
            <w:tcBorders>
              <w:top w:val="nil"/>
              <w:left w:val="nil"/>
              <w:bottom w:val="nil"/>
              <w:right w:val="nil"/>
            </w:tcBorders>
            <w:vAlign w:val="center"/>
          </w:tcPr>
          <w:p w14:paraId="121EE701" w14:textId="77777777" w:rsidR="00CE0637" w:rsidRPr="003D70B4" w:rsidRDefault="00CE0637" w:rsidP="000C57AA">
            <w:pPr>
              <w:jc w:val="center"/>
            </w:pPr>
          </w:p>
        </w:tc>
        <w:tc>
          <w:tcPr>
            <w:tcW w:w="523" w:type="dxa"/>
            <w:tcBorders>
              <w:top w:val="nil"/>
              <w:left w:val="nil"/>
              <w:bottom w:val="nil"/>
              <w:right w:val="nil"/>
            </w:tcBorders>
          </w:tcPr>
          <w:p w14:paraId="4690BF85" w14:textId="77777777" w:rsidR="00CE0637" w:rsidRPr="003D70B4" w:rsidRDefault="00CE0637" w:rsidP="000C57AA">
            <w:pPr>
              <w:jc w:val="center"/>
            </w:pPr>
          </w:p>
        </w:tc>
        <w:tc>
          <w:tcPr>
            <w:tcW w:w="1984" w:type="dxa"/>
            <w:tcBorders>
              <w:top w:val="nil"/>
              <w:left w:val="nil"/>
              <w:bottom w:val="nil"/>
              <w:right w:val="nil"/>
            </w:tcBorders>
            <w:vAlign w:val="center"/>
          </w:tcPr>
          <w:p w14:paraId="3A1026F6" w14:textId="77777777" w:rsidR="00CE0637" w:rsidRPr="003D70B4" w:rsidRDefault="00CE0637" w:rsidP="000C57AA">
            <w:pPr>
              <w:jc w:val="center"/>
            </w:pPr>
          </w:p>
        </w:tc>
        <w:tc>
          <w:tcPr>
            <w:tcW w:w="1985" w:type="dxa"/>
            <w:tcBorders>
              <w:top w:val="nil"/>
              <w:left w:val="nil"/>
              <w:bottom w:val="nil"/>
              <w:right w:val="nil"/>
            </w:tcBorders>
            <w:vAlign w:val="center"/>
          </w:tcPr>
          <w:p w14:paraId="18B37673" w14:textId="77777777" w:rsidR="00CE0637" w:rsidRPr="003D70B4" w:rsidRDefault="00CE0637" w:rsidP="000C57AA">
            <w:pPr>
              <w:jc w:val="center"/>
            </w:pPr>
          </w:p>
        </w:tc>
      </w:tr>
      <w:tr w:rsidR="00CE0637" w:rsidRPr="003D70B4" w14:paraId="6A466C95" w14:textId="77777777" w:rsidTr="000C57AA">
        <w:trPr>
          <w:trHeight w:val="565"/>
        </w:trPr>
        <w:tc>
          <w:tcPr>
            <w:tcW w:w="4663" w:type="dxa"/>
            <w:tcBorders>
              <w:top w:val="nil"/>
              <w:left w:val="nil"/>
              <w:bottom w:val="nil"/>
              <w:right w:val="nil"/>
            </w:tcBorders>
            <w:vAlign w:val="center"/>
          </w:tcPr>
          <w:p w14:paraId="537BC807" w14:textId="77777777" w:rsidR="00CE0637" w:rsidRPr="003D70B4" w:rsidRDefault="00CE0637" w:rsidP="000C57AA">
            <w:r w:rsidRPr="003D70B4">
              <w:t xml:space="preserve"> </w:t>
            </w:r>
            <w:r>
              <w:t xml:space="preserve"> </w:t>
            </w:r>
            <w:r w:rsidRPr="003D70B4">
              <w:t>Narcissism</w:t>
            </w:r>
            <w:r w:rsidRPr="003D70B4">
              <w:rPr>
                <w:vertAlign w:val="superscript"/>
              </w:rPr>
              <w:t xml:space="preserve"> </w:t>
            </w:r>
            <w:r>
              <w:rPr>
                <w:vertAlign w:val="superscript"/>
              </w:rPr>
              <w:t>b</w:t>
            </w:r>
            <w:r>
              <w:t xml:space="preserve">                     </w:t>
            </w:r>
          </w:p>
        </w:tc>
        <w:tc>
          <w:tcPr>
            <w:tcW w:w="1866" w:type="dxa"/>
            <w:tcBorders>
              <w:top w:val="nil"/>
              <w:left w:val="nil"/>
              <w:bottom w:val="nil"/>
              <w:right w:val="nil"/>
            </w:tcBorders>
            <w:vAlign w:val="center"/>
          </w:tcPr>
          <w:p w14:paraId="4EB585B1" w14:textId="77777777" w:rsidR="00CE0637" w:rsidRPr="003D70B4" w:rsidRDefault="00CE0637" w:rsidP="000C57AA">
            <w:pPr>
              <w:jc w:val="center"/>
            </w:pPr>
          </w:p>
        </w:tc>
        <w:tc>
          <w:tcPr>
            <w:tcW w:w="1879" w:type="dxa"/>
            <w:tcBorders>
              <w:top w:val="nil"/>
              <w:left w:val="nil"/>
              <w:bottom w:val="nil"/>
              <w:right w:val="nil"/>
            </w:tcBorders>
            <w:vAlign w:val="center"/>
          </w:tcPr>
          <w:p w14:paraId="24D6A647" w14:textId="77777777" w:rsidR="00CE0637" w:rsidRPr="003D70B4" w:rsidRDefault="00CE0637" w:rsidP="000C57AA">
            <w:pPr>
              <w:jc w:val="center"/>
            </w:pPr>
            <w:r w:rsidRPr="003D70B4">
              <w:t xml:space="preserve"> </w:t>
            </w:r>
            <w:r>
              <w:t>1.677</w:t>
            </w:r>
            <w:r w:rsidRPr="003D70B4">
              <w:t xml:space="preserve"> (.</w:t>
            </w:r>
            <w:r>
              <w:t>661</w:t>
            </w:r>
            <w:r w:rsidRPr="003D70B4">
              <w:t>)</w:t>
            </w:r>
            <w:r w:rsidRPr="003D70B4">
              <w:rPr>
                <w:vertAlign w:val="superscript"/>
              </w:rPr>
              <w:t>*</w:t>
            </w:r>
          </w:p>
        </w:tc>
        <w:tc>
          <w:tcPr>
            <w:tcW w:w="523" w:type="dxa"/>
            <w:tcBorders>
              <w:top w:val="nil"/>
              <w:left w:val="nil"/>
              <w:bottom w:val="nil"/>
              <w:right w:val="nil"/>
            </w:tcBorders>
          </w:tcPr>
          <w:p w14:paraId="59B5B680" w14:textId="77777777" w:rsidR="00CE0637" w:rsidRPr="003D70B4" w:rsidRDefault="00CE0637" w:rsidP="000C57AA">
            <w:pPr>
              <w:jc w:val="center"/>
            </w:pPr>
          </w:p>
        </w:tc>
        <w:tc>
          <w:tcPr>
            <w:tcW w:w="1984" w:type="dxa"/>
            <w:tcBorders>
              <w:top w:val="nil"/>
              <w:left w:val="nil"/>
              <w:bottom w:val="nil"/>
              <w:right w:val="nil"/>
            </w:tcBorders>
            <w:vAlign w:val="center"/>
          </w:tcPr>
          <w:p w14:paraId="2B273BFF" w14:textId="77777777" w:rsidR="00CE0637" w:rsidRPr="003D70B4" w:rsidRDefault="00CE0637" w:rsidP="000C57AA">
            <w:pPr>
              <w:jc w:val="center"/>
            </w:pPr>
          </w:p>
        </w:tc>
        <w:tc>
          <w:tcPr>
            <w:tcW w:w="1985" w:type="dxa"/>
            <w:tcBorders>
              <w:top w:val="nil"/>
              <w:left w:val="nil"/>
              <w:bottom w:val="nil"/>
              <w:right w:val="nil"/>
            </w:tcBorders>
            <w:vAlign w:val="center"/>
          </w:tcPr>
          <w:p w14:paraId="1B3563E8" w14:textId="77777777" w:rsidR="00CE0637" w:rsidRPr="003D70B4" w:rsidRDefault="00CE0637" w:rsidP="000C57AA">
            <w:pPr>
              <w:jc w:val="center"/>
            </w:pPr>
            <w:r w:rsidRPr="003D70B4">
              <w:t>.</w:t>
            </w:r>
            <w:r>
              <w:t>130</w:t>
            </w:r>
            <w:r w:rsidRPr="003D70B4">
              <w:t xml:space="preserve"> (.0</w:t>
            </w:r>
            <w:r>
              <w:t>52</w:t>
            </w:r>
            <w:r w:rsidRPr="003D70B4">
              <w:t>)</w:t>
            </w:r>
            <w:r w:rsidRPr="003D70B4">
              <w:rPr>
                <w:vertAlign w:val="superscript"/>
              </w:rPr>
              <w:t>*</w:t>
            </w:r>
          </w:p>
        </w:tc>
      </w:tr>
      <w:tr w:rsidR="00CE0637" w:rsidRPr="003D70B4" w14:paraId="1CAB5E55" w14:textId="77777777" w:rsidTr="000C57AA">
        <w:trPr>
          <w:trHeight w:val="565"/>
        </w:trPr>
        <w:tc>
          <w:tcPr>
            <w:tcW w:w="4663" w:type="dxa"/>
            <w:tcBorders>
              <w:top w:val="nil"/>
              <w:left w:val="nil"/>
              <w:bottom w:val="nil"/>
              <w:right w:val="nil"/>
            </w:tcBorders>
            <w:vAlign w:val="center"/>
          </w:tcPr>
          <w:p w14:paraId="2AC07DE7" w14:textId="77777777" w:rsidR="00CE0637" w:rsidRPr="003D70B4" w:rsidRDefault="00CE0637" w:rsidP="000C57AA">
            <w:r w:rsidRPr="003D70B4">
              <w:rPr>
                <w:i/>
              </w:rPr>
              <w:t>R</w:t>
            </w:r>
            <w:r w:rsidRPr="000D5B4D">
              <w:rPr>
                <w:iCs/>
                <w:vertAlign w:val="superscript"/>
              </w:rPr>
              <w:t>2</w:t>
            </w:r>
          </w:p>
        </w:tc>
        <w:tc>
          <w:tcPr>
            <w:tcW w:w="1866" w:type="dxa"/>
            <w:tcBorders>
              <w:top w:val="nil"/>
              <w:left w:val="nil"/>
              <w:bottom w:val="nil"/>
              <w:right w:val="nil"/>
            </w:tcBorders>
            <w:vAlign w:val="center"/>
          </w:tcPr>
          <w:p w14:paraId="35AABE5E" w14:textId="77777777" w:rsidR="00CE0637" w:rsidRPr="003D70B4" w:rsidRDefault="00CE0637" w:rsidP="000C57AA">
            <w:pPr>
              <w:jc w:val="center"/>
            </w:pPr>
            <w:r>
              <w:t>.043</w:t>
            </w:r>
          </w:p>
        </w:tc>
        <w:tc>
          <w:tcPr>
            <w:tcW w:w="1879" w:type="dxa"/>
            <w:tcBorders>
              <w:top w:val="nil"/>
              <w:left w:val="nil"/>
              <w:bottom w:val="nil"/>
              <w:right w:val="nil"/>
            </w:tcBorders>
            <w:vAlign w:val="center"/>
          </w:tcPr>
          <w:p w14:paraId="7255DF82" w14:textId="77777777" w:rsidR="00CE0637" w:rsidRPr="003D70B4" w:rsidRDefault="00CE0637" w:rsidP="000C57AA">
            <w:pPr>
              <w:jc w:val="center"/>
            </w:pPr>
            <w:r w:rsidRPr="003D70B4">
              <w:t>.</w:t>
            </w:r>
            <w:r>
              <w:t>078</w:t>
            </w:r>
          </w:p>
        </w:tc>
        <w:tc>
          <w:tcPr>
            <w:tcW w:w="523" w:type="dxa"/>
            <w:tcBorders>
              <w:top w:val="nil"/>
              <w:left w:val="nil"/>
              <w:bottom w:val="nil"/>
              <w:right w:val="nil"/>
            </w:tcBorders>
          </w:tcPr>
          <w:p w14:paraId="636C6361" w14:textId="77777777" w:rsidR="00CE0637" w:rsidRPr="003D70B4" w:rsidRDefault="00CE0637" w:rsidP="000C57AA">
            <w:pPr>
              <w:jc w:val="center"/>
            </w:pPr>
          </w:p>
        </w:tc>
        <w:tc>
          <w:tcPr>
            <w:tcW w:w="1984" w:type="dxa"/>
            <w:tcBorders>
              <w:top w:val="nil"/>
              <w:left w:val="nil"/>
              <w:bottom w:val="nil"/>
              <w:right w:val="nil"/>
            </w:tcBorders>
            <w:vAlign w:val="center"/>
          </w:tcPr>
          <w:p w14:paraId="502D6278" w14:textId="77777777" w:rsidR="00CE0637" w:rsidRPr="003D70B4" w:rsidRDefault="00CE0637" w:rsidP="000C57AA">
            <w:pPr>
              <w:jc w:val="center"/>
            </w:pPr>
            <w:r w:rsidRPr="003D70B4">
              <w:t>.</w:t>
            </w:r>
            <w:r>
              <w:t>015</w:t>
            </w:r>
          </w:p>
        </w:tc>
        <w:tc>
          <w:tcPr>
            <w:tcW w:w="1985" w:type="dxa"/>
            <w:tcBorders>
              <w:top w:val="nil"/>
              <w:left w:val="nil"/>
              <w:bottom w:val="nil"/>
              <w:right w:val="nil"/>
            </w:tcBorders>
            <w:vAlign w:val="center"/>
          </w:tcPr>
          <w:p w14:paraId="78277473" w14:textId="77777777" w:rsidR="00CE0637" w:rsidRPr="003D70B4" w:rsidRDefault="00CE0637" w:rsidP="000C57AA">
            <w:pPr>
              <w:jc w:val="center"/>
            </w:pPr>
            <w:r w:rsidRPr="003D70B4">
              <w:t>.</w:t>
            </w:r>
            <w:r>
              <w:t>059</w:t>
            </w:r>
          </w:p>
        </w:tc>
      </w:tr>
      <w:tr w:rsidR="00CE0637" w:rsidRPr="003D70B4" w14:paraId="4EDC45B6" w14:textId="77777777" w:rsidTr="000C57AA">
        <w:trPr>
          <w:trHeight w:val="565"/>
        </w:trPr>
        <w:tc>
          <w:tcPr>
            <w:tcW w:w="4663" w:type="dxa"/>
            <w:tcBorders>
              <w:top w:val="nil"/>
              <w:left w:val="nil"/>
              <w:bottom w:val="nil"/>
              <w:right w:val="nil"/>
            </w:tcBorders>
            <w:vAlign w:val="center"/>
          </w:tcPr>
          <w:p w14:paraId="754EB4C6" w14:textId="77777777" w:rsidR="00CE0637" w:rsidRPr="003D70B4" w:rsidRDefault="00CE0637" w:rsidP="000C57AA">
            <w:r w:rsidRPr="004920C9">
              <w:rPr>
                <w:iCs/>
              </w:rPr>
              <w:sym w:font="Symbol" w:char="F044"/>
            </w:r>
            <w:r w:rsidRPr="003D70B4">
              <w:rPr>
                <w:i/>
              </w:rPr>
              <w:t>R</w:t>
            </w:r>
            <w:r w:rsidRPr="004920C9">
              <w:rPr>
                <w:iCs/>
                <w:vertAlign w:val="superscript"/>
              </w:rPr>
              <w:t>2</w:t>
            </w:r>
          </w:p>
        </w:tc>
        <w:tc>
          <w:tcPr>
            <w:tcW w:w="1866" w:type="dxa"/>
            <w:tcBorders>
              <w:top w:val="nil"/>
              <w:left w:val="nil"/>
              <w:bottom w:val="nil"/>
              <w:right w:val="nil"/>
            </w:tcBorders>
            <w:vAlign w:val="center"/>
          </w:tcPr>
          <w:p w14:paraId="6779FE39" w14:textId="77777777" w:rsidR="00CE0637" w:rsidRPr="003D70B4" w:rsidRDefault="00CE0637" w:rsidP="000C57AA">
            <w:pPr>
              <w:jc w:val="center"/>
            </w:pPr>
          </w:p>
        </w:tc>
        <w:tc>
          <w:tcPr>
            <w:tcW w:w="1879" w:type="dxa"/>
            <w:tcBorders>
              <w:top w:val="nil"/>
              <w:left w:val="nil"/>
              <w:bottom w:val="nil"/>
              <w:right w:val="nil"/>
            </w:tcBorders>
            <w:vAlign w:val="center"/>
          </w:tcPr>
          <w:p w14:paraId="4E1AB8EF" w14:textId="77777777" w:rsidR="00CE0637" w:rsidRPr="003D70B4" w:rsidRDefault="00CE0637" w:rsidP="000C57AA">
            <w:pPr>
              <w:jc w:val="center"/>
            </w:pPr>
            <w:r w:rsidRPr="00755B04">
              <w:t>.035</w:t>
            </w:r>
          </w:p>
        </w:tc>
        <w:tc>
          <w:tcPr>
            <w:tcW w:w="523" w:type="dxa"/>
            <w:tcBorders>
              <w:top w:val="nil"/>
              <w:left w:val="nil"/>
              <w:bottom w:val="nil"/>
              <w:right w:val="nil"/>
            </w:tcBorders>
          </w:tcPr>
          <w:p w14:paraId="723575B3" w14:textId="77777777" w:rsidR="00CE0637" w:rsidRPr="003D70B4" w:rsidRDefault="00CE0637" w:rsidP="000C57AA">
            <w:pPr>
              <w:jc w:val="center"/>
            </w:pPr>
          </w:p>
        </w:tc>
        <w:tc>
          <w:tcPr>
            <w:tcW w:w="1984" w:type="dxa"/>
            <w:tcBorders>
              <w:top w:val="nil"/>
              <w:left w:val="nil"/>
              <w:bottom w:val="nil"/>
              <w:right w:val="nil"/>
            </w:tcBorders>
            <w:vAlign w:val="center"/>
          </w:tcPr>
          <w:p w14:paraId="07F13BCF" w14:textId="77777777" w:rsidR="00CE0637" w:rsidRPr="003D70B4" w:rsidRDefault="00CE0637" w:rsidP="000C57AA">
            <w:pPr>
              <w:jc w:val="center"/>
            </w:pPr>
          </w:p>
        </w:tc>
        <w:tc>
          <w:tcPr>
            <w:tcW w:w="1985" w:type="dxa"/>
            <w:tcBorders>
              <w:top w:val="nil"/>
              <w:left w:val="nil"/>
              <w:bottom w:val="nil"/>
              <w:right w:val="nil"/>
            </w:tcBorders>
            <w:vAlign w:val="center"/>
          </w:tcPr>
          <w:p w14:paraId="4C901757" w14:textId="77777777" w:rsidR="00CE0637" w:rsidRPr="003D70B4" w:rsidRDefault="00CE0637" w:rsidP="000C57AA">
            <w:pPr>
              <w:jc w:val="center"/>
            </w:pPr>
            <w:r w:rsidRPr="003D70B4">
              <w:t>.0</w:t>
            </w:r>
            <w:r>
              <w:t>44</w:t>
            </w:r>
          </w:p>
        </w:tc>
      </w:tr>
      <w:tr w:rsidR="00CE0637" w:rsidRPr="003D70B4" w14:paraId="477CCB74" w14:textId="77777777" w:rsidTr="000C57AA">
        <w:trPr>
          <w:trHeight w:val="565"/>
        </w:trPr>
        <w:tc>
          <w:tcPr>
            <w:tcW w:w="4663" w:type="dxa"/>
            <w:tcBorders>
              <w:top w:val="nil"/>
              <w:left w:val="nil"/>
              <w:bottom w:val="nil"/>
              <w:right w:val="nil"/>
            </w:tcBorders>
            <w:vAlign w:val="center"/>
          </w:tcPr>
          <w:p w14:paraId="736B408A" w14:textId="77777777" w:rsidR="00CE0637" w:rsidRPr="003D70B4" w:rsidRDefault="00CE0637" w:rsidP="000C57AA">
            <w:r>
              <w:t>AIC</w:t>
            </w:r>
          </w:p>
        </w:tc>
        <w:tc>
          <w:tcPr>
            <w:tcW w:w="1866" w:type="dxa"/>
            <w:tcBorders>
              <w:top w:val="nil"/>
              <w:left w:val="nil"/>
              <w:bottom w:val="nil"/>
              <w:right w:val="nil"/>
            </w:tcBorders>
            <w:vAlign w:val="center"/>
          </w:tcPr>
          <w:p w14:paraId="7497DDC6" w14:textId="77777777" w:rsidR="00CE0637" w:rsidRPr="003D70B4" w:rsidRDefault="00CE0637" w:rsidP="000C57AA">
            <w:pPr>
              <w:jc w:val="center"/>
            </w:pPr>
            <w:r>
              <w:t>567.881</w:t>
            </w:r>
          </w:p>
        </w:tc>
        <w:tc>
          <w:tcPr>
            <w:tcW w:w="1879" w:type="dxa"/>
            <w:tcBorders>
              <w:top w:val="nil"/>
              <w:left w:val="nil"/>
              <w:bottom w:val="nil"/>
              <w:right w:val="nil"/>
            </w:tcBorders>
            <w:vAlign w:val="center"/>
          </w:tcPr>
          <w:p w14:paraId="0123E7A6" w14:textId="77777777" w:rsidR="00CE0637" w:rsidRPr="003D70B4" w:rsidRDefault="00CE0637" w:rsidP="000C57AA">
            <w:pPr>
              <w:jc w:val="center"/>
            </w:pPr>
            <w:r>
              <w:t>564.071</w:t>
            </w:r>
          </w:p>
        </w:tc>
        <w:tc>
          <w:tcPr>
            <w:tcW w:w="523" w:type="dxa"/>
            <w:tcBorders>
              <w:top w:val="nil"/>
              <w:left w:val="nil"/>
              <w:bottom w:val="nil"/>
              <w:right w:val="nil"/>
            </w:tcBorders>
          </w:tcPr>
          <w:p w14:paraId="597A8260" w14:textId="77777777" w:rsidR="00CE0637" w:rsidRPr="003D70B4" w:rsidRDefault="00CE0637" w:rsidP="000C57AA">
            <w:pPr>
              <w:jc w:val="center"/>
            </w:pPr>
          </w:p>
        </w:tc>
        <w:tc>
          <w:tcPr>
            <w:tcW w:w="1984" w:type="dxa"/>
            <w:tcBorders>
              <w:top w:val="nil"/>
              <w:left w:val="nil"/>
              <w:bottom w:val="nil"/>
              <w:right w:val="nil"/>
            </w:tcBorders>
            <w:vAlign w:val="center"/>
          </w:tcPr>
          <w:p w14:paraId="4BE88A1F" w14:textId="77777777" w:rsidR="00CE0637" w:rsidRPr="003D70B4" w:rsidRDefault="00CE0637" w:rsidP="000C57AA">
            <w:pPr>
              <w:jc w:val="center"/>
            </w:pPr>
            <w:r>
              <w:t>431.693</w:t>
            </w:r>
          </w:p>
        </w:tc>
        <w:tc>
          <w:tcPr>
            <w:tcW w:w="1985" w:type="dxa"/>
            <w:tcBorders>
              <w:top w:val="nil"/>
              <w:left w:val="nil"/>
              <w:bottom w:val="nil"/>
              <w:right w:val="nil"/>
            </w:tcBorders>
            <w:vAlign w:val="center"/>
          </w:tcPr>
          <w:p w14:paraId="3307A61F" w14:textId="77777777" w:rsidR="00CE0637" w:rsidRPr="003D70B4" w:rsidRDefault="00CE0637" w:rsidP="000C57AA">
            <w:pPr>
              <w:jc w:val="center"/>
            </w:pPr>
            <w:r>
              <w:t>427.925</w:t>
            </w:r>
          </w:p>
        </w:tc>
      </w:tr>
      <w:tr w:rsidR="00CE0637" w:rsidRPr="003D70B4" w14:paraId="7E1F2A4D" w14:textId="77777777" w:rsidTr="000C57AA">
        <w:trPr>
          <w:trHeight w:val="565"/>
        </w:trPr>
        <w:tc>
          <w:tcPr>
            <w:tcW w:w="4663" w:type="dxa"/>
            <w:tcBorders>
              <w:top w:val="nil"/>
              <w:left w:val="nil"/>
              <w:bottom w:val="single" w:sz="18" w:space="0" w:color="auto"/>
              <w:right w:val="nil"/>
            </w:tcBorders>
            <w:vAlign w:val="center"/>
          </w:tcPr>
          <w:p w14:paraId="1995F2F7" w14:textId="77777777" w:rsidR="00CE0637" w:rsidRPr="00B16FF4" w:rsidRDefault="00CE0637" w:rsidP="000C57AA">
            <w:r w:rsidRPr="00B16FF4">
              <w:t>w</w:t>
            </w:r>
            <w:r w:rsidRPr="00B16FF4">
              <w:rPr>
                <w:vertAlign w:val="subscript"/>
              </w:rPr>
              <w:t xml:space="preserve">i </w:t>
            </w:r>
            <w:r w:rsidRPr="00B16FF4">
              <w:t>(AIC)</w:t>
            </w:r>
          </w:p>
        </w:tc>
        <w:tc>
          <w:tcPr>
            <w:tcW w:w="1866" w:type="dxa"/>
            <w:tcBorders>
              <w:top w:val="nil"/>
              <w:left w:val="nil"/>
              <w:bottom w:val="single" w:sz="18" w:space="0" w:color="auto"/>
              <w:right w:val="nil"/>
            </w:tcBorders>
            <w:vAlign w:val="center"/>
          </w:tcPr>
          <w:p w14:paraId="2896AEB2" w14:textId="77777777" w:rsidR="00CE0637" w:rsidRPr="00B16FF4" w:rsidRDefault="00CE0637" w:rsidP="000C57AA">
            <w:pPr>
              <w:jc w:val="center"/>
            </w:pPr>
            <w:r w:rsidRPr="00B16FF4">
              <w:t>.</w:t>
            </w:r>
            <w:r>
              <w:t>129</w:t>
            </w:r>
          </w:p>
        </w:tc>
        <w:tc>
          <w:tcPr>
            <w:tcW w:w="1879" w:type="dxa"/>
            <w:tcBorders>
              <w:top w:val="nil"/>
              <w:left w:val="nil"/>
              <w:bottom w:val="single" w:sz="18" w:space="0" w:color="auto"/>
              <w:right w:val="nil"/>
            </w:tcBorders>
            <w:vAlign w:val="center"/>
          </w:tcPr>
          <w:p w14:paraId="37B8A8A6" w14:textId="77777777" w:rsidR="00CE0637" w:rsidRPr="00B16FF4" w:rsidRDefault="00CE0637" w:rsidP="000C57AA">
            <w:pPr>
              <w:jc w:val="center"/>
            </w:pPr>
            <w:r w:rsidRPr="00B16FF4">
              <w:t>.</w:t>
            </w:r>
            <w:r>
              <w:t>870</w:t>
            </w:r>
          </w:p>
        </w:tc>
        <w:tc>
          <w:tcPr>
            <w:tcW w:w="523" w:type="dxa"/>
            <w:tcBorders>
              <w:top w:val="nil"/>
              <w:left w:val="nil"/>
              <w:bottom w:val="single" w:sz="18" w:space="0" w:color="auto"/>
              <w:right w:val="nil"/>
            </w:tcBorders>
          </w:tcPr>
          <w:p w14:paraId="422AB4CF" w14:textId="77777777" w:rsidR="00CE0637" w:rsidRPr="00B16FF4" w:rsidRDefault="00CE0637" w:rsidP="000C57AA">
            <w:pPr>
              <w:jc w:val="center"/>
            </w:pPr>
          </w:p>
        </w:tc>
        <w:tc>
          <w:tcPr>
            <w:tcW w:w="1984" w:type="dxa"/>
            <w:tcBorders>
              <w:top w:val="nil"/>
              <w:left w:val="nil"/>
              <w:bottom w:val="single" w:sz="18" w:space="0" w:color="auto"/>
              <w:right w:val="nil"/>
            </w:tcBorders>
            <w:vAlign w:val="center"/>
          </w:tcPr>
          <w:p w14:paraId="7B672E21" w14:textId="77777777" w:rsidR="00CE0637" w:rsidRPr="00B16FF4" w:rsidRDefault="00CE0637" w:rsidP="000C57AA">
            <w:pPr>
              <w:jc w:val="center"/>
            </w:pPr>
            <w:r w:rsidRPr="00B16FF4">
              <w:t>.</w:t>
            </w:r>
            <w:r>
              <w:t>132</w:t>
            </w:r>
          </w:p>
        </w:tc>
        <w:tc>
          <w:tcPr>
            <w:tcW w:w="1985" w:type="dxa"/>
            <w:tcBorders>
              <w:top w:val="nil"/>
              <w:left w:val="nil"/>
              <w:bottom w:val="single" w:sz="18" w:space="0" w:color="auto"/>
              <w:right w:val="nil"/>
            </w:tcBorders>
            <w:vAlign w:val="center"/>
          </w:tcPr>
          <w:p w14:paraId="4061AC63" w14:textId="77777777" w:rsidR="00CE0637" w:rsidRPr="00B16FF4" w:rsidRDefault="00CE0637" w:rsidP="000C57AA">
            <w:pPr>
              <w:jc w:val="center"/>
            </w:pPr>
            <w:r w:rsidRPr="00B16FF4">
              <w:t>.</w:t>
            </w:r>
            <w:r>
              <w:t>868</w:t>
            </w:r>
          </w:p>
        </w:tc>
      </w:tr>
    </w:tbl>
    <w:p w14:paraId="0CA6D219" w14:textId="77777777" w:rsidR="00CE0637" w:rsidRDefault="00CE0637" w:rsidP="00CE0637">
      <w:pPr>
        <w:spacing w:line="480" w:lineRule="auto"/>
        <w:rPr>
          <w:i/>
        </w:rPr>
      </w:pPr>
    </w:p>
    <w:p w14:paraId="76D6C1F3" w14:textId="77777777" w:rsidR="00CE0637" w:rsidRDefault="00CE0637" w:rsidP="00CE0637">
      <w:pPr>
        <w:spacing w:line="480" w:lineRule="auto"/>
        <w:rPr>
          <w:i/>
        </w:rPr>
      </w:pPr>
    </w:p>
    <w:p w14:paraId="27DB8250" w14:textId="77777777" w:rsidR="00CE0637" w:rsidRDefault="00CE0637" w:rsidP="00CE0637">
      <w:pPr>
        <w:spacing w:line="480" w:lineRule="auto"/>
        <w:rPr>
          <w:i/>
        </w:rPr>
      </w:pPr>
    </w:p>
    <w:p w14:paraId="2B22F46E" w14:textId="77777777" w:rsidR="00CE0637" w:rsidRDefault="00CE0637" w:rsidP="00CE0637">
      <w:pPr>
        <w:spacing w:line="480" w:lineRule="auto"/>
        <w:rPr>
          <w:i/>
        </w:rPr>
      </w:pPr>
    </w:p>
    <w:p w14:paraId="7707F0BB" w14:textId="77777777" w:rsidR="00CE0637" w:rsidRDefault="00CE0637" w:rsidP="00CE0637">
      <w:pPr>
        <w:spacing w:line="480" w:lineRule="auto"/>
        <w:rPr>
          <w:i/>
        </w:rPr>
      </w:pPr>
    </w:p>
    <w:p w14:paraId="06AB2ECC" w14:textId="77777777" w:rsidR="00CE0637" w:rsidRDefault="00CE0637" w:rsidP="00CE0637">
      <w:pPr>
        <w:spacing w:line="480" w:lineRule="auto"/>
        <w:rPr>
          <w:i/>
        </w:rPr>
      </w:pPr>
    </w:p>
    <w:p w14:paraId="702EFB22" w14:textId="77777777" w:rsidR="00CE0637" w:rsidRDefault="00CE0637" w:rsidP="00CE0637">
      <w:pPr>
        <w:spacing w:line="480" w:lineRule="auto"/>
        <w:rPr>
          <w:i/>
        </w:rPr>
      </w:pPr>
    </w:p>
    <w:p w14:paraId="55653BF0" w14:textId="77777777" w:rsidR="00CE0637" w:rsidRDefault="00CE0637" w:rsidP="00CE0637">
      <w:pPr>
        <w:spacing w:line="480" w:lineRule="auto"/>
        <w:rPr>
          <w:i/>
        </w:rPr>
      </w:pPr>
    </w:p>
    <w:p w14:paraId="27B9584E" w14:textId="77777777" w:rsidR="00CE0637" w:rsidRDefault="00CE0637" w:rsidP="00CE0637">
      <w:pPr>
        <w:spacing w:line="480" w:lineRule="auto"/>
        <w:rPr>
          <w:i/>
        </w:rPr>
      </w:pPr>
    </w:p>
    <w:p w14:paraId="0C7D7451" w14:textId="77777777" w:rsidR="00CE0637" w:rsidRDefault="00CE0637" w:rsidP="00CE0637">
      <w:pPr>
        <w:spacing w:line="480" w:lineRule="auto"/>
        <w:rPr>
          <w:i/>
        </w:rPr>
      </w:pPr>
    </w:p>
    <w:p w14:paraId="43E401F2" w14:textId="77777777" w:rsidR="00CE0637" w:rsidRDefault="00CE0637" w:rsidP="00CE0637">
      <w:pPr>
        <w:spacing w:line="480" w:lineRule="auto"/>
        <w:rPr>
          <w:i/>
        </w:rPr>
      </w:pPr>
    </w:p>
    <w:p w14:paraId="1D2B7570" w14:textId="77777777" w:rsidR="00CE0637" w:rsidRDefault="00CE0637" w:rsidP="00CE0637">
      <w:pPr>
        <w:spacing w:line="360" w:lineRule="auto"/>
        <w:rPr>
          <w:i/>
        </w:rPr>
      </w:pPr>
    </w:p>
    <w:p w14:paraId="2744F8F8" w14:textId="77777777" w:rsidR="00CE0637" w:rsidRDefault="00CE0637" w:rsidP="00CE0637">
      <w:pPr>
        <w:spacing w:line="360" w:lineRule="auto"/>
      </w:pPr>
      <w:r w:rsidRPr="003D70B4">
        <w:rPr>
          <w:i/>
        </w:rPr>
        <w:t>Note</w:t>
      </w:r>
      <w:r w:rsidRPr="003D70B4">
        <w:t xml:space="preserve">. Values can be interpreted as unstandardized regression coefficients with standard errors given in parentheses. </w:t>
      </w:r>
      <w:r w:rsidRPr="003D70B4">
        <w:rPr>
          <w:vertAlign w:val="superscript"/>
        </w:rPr>
        <w:t>a</w:t>
      </w:r>
      <w:r w:rsidRPr="003D70B4">
        <w:t xml:space="preserve"> 0 = man; 1 = woman.</w:t>
      </w:r>
    </w:p>
    <w:p w14:paraId="1C100D2D" w14:textId="77777777" w:rsidR="00CE0637" w:rsidRDefault="00CE0637" w:rsidP="00CE0637">
      <w:pPr>
        <w:spacing w:line="360" w:lineRule="auto"/>
      </w:pPr>
      <w:r>
        <w:rPr>
          <w:vertAlign w:val="superscript"/>
        </w:rPr>
        <w:t>b</w:t>
      </w:r>
      <w:r w:rsidRPr="003D70B4">
        <w:t xml:space="preserve"> </w:t>
      </w:r>
      <w:r>
        <w:t>Narcissism includes GE and EE components (Study 1), and all except for leadership and authority items (Study 2).</w:t>
      </w:r>
      <w:r w:rsidRPr="00B60DB5">
        <w:t xml:space="preserve"> Akaike Information Criteria</w:t>
      </w:r>
      <w:r>
        <w:t xml:space="preserve"> (AIC) of model fit were based on MLR estimation. w</w:t>
      </w:r>
      <w:r w:rsidRPr="0060686E">
        <w:rPr>
          <w:vertAlign w:val="subscript"/>
        </w:rPr>
        <w:t>i</w:t>
      </w:r>
      <w:r>
        <w:rPr>
          <w:vertAlign w:val="subscript"/>
        </w:rPr>
        <w:t xml:space="preserve"> </w:t>
      </w:r>
      <w:r>
        <w:t xml:space="preserve">(AIC) is the AIC weight. </w:t>
      </w:r>
      <w:r w:rsidRPr="003D70B4">
        <w:rPr>
          <w:vertAlign w:val="superscript"/>
        </w:rPr>
        <w:t>†</w:t>
      </w:r>
      <w:r w:rsidRPr="003D70B4">
        <w:rPr>
          <w:i/>
        </w:rPr>
        <w:t>p</w:t>
      </w:r>
      <w:r w:rsidRPr="003D70B4">
        <w:t xml:space="preserve"> &lt; .10, </w:t>
      </w:r>
      <w:r w:rsidRPr="003D70B4">
        <w:rPr>
          <w:vertAlign w:val="superscript"/>
        </w:rPr>
        <w:t>*</w:t>
      </w:r>
      <w:r w:rsidRPr="003D70B4">
        <w:rPr>
          <w:i/>
        </w:rPr>
        <w:t>p</w:t>
      </w:r>
      <w:r w:rsidRPr="003D70B4">
        <w:t xml:space="preserve"> &lt; .05, </w:t>
      </w:r>
      <w:r w:rsidRPr="003D70B4">
        <w:rPr>
          <w:vertAlign w:val="superscript"/>
        </w:rPr>
        <w:t>**</w:t>
      </w:r>
      <w:r w:rsidRPr="003D70B4">
        <w:rPr>
          <w:i/>
        </w:rPr>
        <w:t>p</w:t>
      </w:r>
      <w:r w:rsidRPr="003D70B4">
        <w:t xml:space="preserve"> &lt; .01</w:t>
      </w:r>
    </w:p>
    <w:p w14:paraId="0087E4B1" w14:textId="77777777" w:rsidR="00F26DAF" w:rsidRPr="00495C0B" w:rsidRDefault="00F26DAF" w:rsidP="006D6C4C">
      <w:pPr>
        <w:spacing w:line="480" w:lineRule="auto"/>
      </w:pPr>
    </w:p>
    <w:p w14:paraId="177612B8" w14:textId="57C220CD" w:rsidR="00496C3F" w:rsidRPr="00DE335F" w:rsidRDefault="00496C3F" w:rsidP="00DE335F"/>
    <w:sectPr w:rsidR="00496C3F" w:rsidRPr="00DE335F" w:rsidSect="008930B8">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434FE9" w14:textId="77777777" w:rsidR="00F34E0E" w:rsidRDefault="00F34E0E" w:rsidP="00E556AB">
      <w:r>
        <w:separator/>
      </w:r>
    </w:p>
  </w:endnote>
  <w:endnote w:type="continuationSeparator" w:id="0">
    <w:p w14:paraId="2984A6D6" w14:textId="77777777" w:rsidR="00F34E0E" w:rsidRDefault="00F34E0E" w:rsidP="00E556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dobe Arabic">
    <w:altName w:val="Times New Roman"/>
    <w:charset w:val="00"/>
    <w:family w:val="auto"/>
    <w:pitch w:val="variable"/>
    <w:sig w:usb0="8000202F" w:usb1="8000A04A" w:usb2="00000008" w:usb3="00000000" w:csb0="00000041" w:csb1="00000000"/>
  </w:font>
  <w:font w:name="Times-Roman">
    <w:altName w:val="Times New Roman"/>
    <w:panose1 w:val="00000000000000000000"/>
    <w:charset w:val="00"/>
    <w:family w:val="roman"/>
    <w:notTrueType/>
    <w:pitch w:val="default"/>
    <w:sig w:usb0="00000003" w:usb1="00000000" w:usb2="00000000" w:usb3="00000000" w:csb0="00000001" w:csb1="00000000"/>
  </w:font>
  <w:font w:name="TimesNewRomanPSMT">
    <w:altName w:val="MS Mincho"/>
    <w:panose1 w:val="00000000000000000000"/>
    <w:charset w:val="80"/>
    <w:family w:val="roman"/>
    <w:notTrueType/>
    <w:pitch w:val="default"/>
    <w:sig w:usb0="00000000" w:usb1="08070000" w:usb2="00000010" w:usb3="00000000" w:csb0="00020000"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62CC09" w14:textId="77777777" w:rsidR="00705E58" w:rsidRDefault="00705E58" w:rsidP="00E77362">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72DD574" w14:textId="77777777" w:rsidR="00705E58" w:rsidRDefault="00705E58" w:rsidP="00E408B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2AC028" w14:textId="77777777" w:rsidR="00705E58" w:rsidRDefault="00705E58" w:rsidP="00E408B9">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51814C" w14:textId="77777777" w:rsidR="00705E58" w:rsidRDefault="00705E58" w:rsidP="00E77362">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4DA0C5C" w14:textId="77777777" w:rsidR="00705E58" w:rsidRDefault="00705E58" w:rsidP="00E408B9">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D7B1B9" w14:textId="77777777" w:rsidR="00705E58" w:rsidRDefault="00705E58" w:rsidP="00E408B9">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8FA829" w14:textId="77777777" w:rsidR="00F34E0E" w:rsidRDefault="00F34E0E" w:rsidP="00E556AB">
      <w:r>
        <w:separator/>
      </w:r>
    </w:p>
  </w:footnote>
  <w:footnote w:type="continuationSeparator" w:id="0">
    <w:p w14:paraId="37BB8A4A" w14:textId="77777777" w:rsidR="00F34E0E" w:rsidRDefault="00F34E0E" w:rsidP="00E556AB">
      <w:r>
        <w:continuationSeparator/>
      </w:r>
    </w:p>
  </w:footnote>
  <w:footnote w:id="1">
    <w:p w14:paraId="081452F7" w14:textId="77777777" w:rsidR="007810EA" w:rsidRPr="00AD6A74" w:rsidRDefault="007810EA" w:rsidP="007810EA">
      <w:pPr>
        <w:pStyle w:val="FootnoteText"/>
        <w:rPr>
          <w:lang w:val="en-US"/>
        </w:rPr>
      </w:pPr>
      <w:r w:rsidRPr="00AD6A74">
        <w:rPr>
          <w:rStyle w:val="FootnoteReference"/>
          <w:sz w:val="22"/>
          <w:szCs w:val="22"/>
        </w:rPr>
        <w:footnoteRef/>
      </w:r>
      <w:r w:rsidRPr="00AD6A74">
        <w:rPr>
          <w:sz w:val="22"/>
          <w:szCs w:val="22"/>
        </w:rPr>
        <w:t xml:space="preserve"> </w:t>
      </w:r>
      <w:r>
        <w:rPr>
          <w:sz w:val="22"/>
          <w:szCs w:val="22"/>
        </w:rPr>
        <w:t xml:space="preserve">We omitted </w:t>
      </w:r>
      <w:r w:rsidRPr="00AD6A74">
        <w:rPr>
          <w:sz w:val="22"/>
          <w:szCs w:val="22"/>
        </w:rPr>
        <w:t>demographic information</w:t>
      </w:r>
      <w:r>
        <w:rPr>
          <w:sz w:val="22"/>
          <w:szCs w:val="22"/>
        </w:rPr>
        <w:t xml:space="preserve"> t</w:t>
      </w:r>
      <w:r w:rsidRPr="00AD6A74">
        <w:rPr>
          <w:sz w:val="22"/>
          <w:szCs w:val="22"/>
        </w:rPr>
        <w:t>o ensure anonymity of participants and prevent inferential identification</w:t>
      </w:r>
      <w:r>
        <w:rPr>
          <w:sz w:val="22"/>
          <w:szCs w:val="22"/>
        </w:rPr>
        <w:t>,</w:t>
      </w:r>
      <w:r w:rsidRPr="00AD6A74">
        <w:rPr>
          <w:sz w:val="22"/>
          <w:szCs w:val="22"/>
        </w:rPr>
        <w:t xml:space="preserve"> in accordance with general data protection regulation</w:t>
      </w:r>
      <w:r>
        <w:rPr>
          <w:sz w:val="22"/>
          <w:szCs w:val="22"/>
        </w:rPr>
        <w:t>s</w:t>
      </w:r>
      <w:r w:rsidRPr="00AD6A74">
        <w:rPr>
          <w:sz w:val="22"/>
          <w:szCs w:val="22"/>
        </w:rPr>
        <w:t>.</w:t>
      </w:r>
    </w:p>
  </w:footnote>
  <w:footnote w:id="2">
    <w:p w14:paraId="2E816A44" w14:textId="67091EAF" w:rsidR="00705E58" w:rsidRPr="00AD6A74" w:rsidRDefault="00705E58" w:rsidP="00F81873">
      <w:pPr>
        <w:pStyle w:val="FootnoteText"/>
        <w:rPr>
          <w:sz w:val="22"/>
          <w:szCs w:val="22"/>
          <w:lang w:val="en-US"/>
        </w:rPr>
      </w:pPr>
      <w:r w:rsidRPr="00AD6A74">
        <w:rPr>
          <w:rStyle w:val="FootnoteReference"/>
          <w:sz w:val="22"/>
          <w:szCs w:val="22"/>
        </w:rPr>
        <w:footnoteRef/>
      </w:r>
      <w:r w:rsidRPr="00AD6A74">
        <w:rPr>
          <w:sz w:val="22"/>
          <w:szCs w:val="22"/>
        </w:rPr>
        <w:t xml:space="preserve"> </w:t>
      </w:r>
      <w:r w:rsidRPr="00AD6A74">
        <w:rPr>
          <w:sz w:val="22"/>
          <w:szCs w:val="22"/>
          <w:lang w:val="en-US"/>
        </w:rPr>
        <w:t>Seven supervisors indicated that they directly supervised only one employee. Controlling for span of control (i.e., number of employees the supervisor supervised) did not alter the findings.</w:t>
      </w:r>
    </w:p>
  </w:footnote>
  <w:footnote w:id="3">
    <w:p w14:paraId="57BCC910" w14:textId="03F895D9" w:rsidR="00705E58" w:rsidRPr="00076E4A" w:rsidRDefault="00705E58" w:rsidP="00F81873">
      <w:pPr>
        <w:pStyle w:val="FootnoteText"/>
        <w:rPr>
          <w:lang w:val="en-US"/>
        </w:rPr>
      </w:pPr>
      <w:r w:rsidRPr="00076E4A">
        <w:rPr>
          <w:rStyle w:val="FootnoteReference"/>
          <w:sz w:val="22"/>
          <w:szCs w:val="22"/>
        </w:rPr>
        <w:footnoteRef/>
      </w:r>
      <w:r w:rsidRPr="00076E4A">
        <w:rPr>
          <w:sz w:val="22"/>
          <w:szCs w:val="22"/>
        </w:rPr>
        <w:t xml:space="preserve"> </w:t>
      </w:r>
      <w:r w:rsidRPr="00076E4A">
        <w:rPr>
          <w:sz w:val="22"/>
          <w:szCs w:val="22"/>
          <w:lang w:val="en-US"/>
        </w:rPr>
        <w:t xml:space="preserve">The correlation between the complete 4-item Blickle et al. (2011) measure and our promotability measure was </w:t>
      </w:r>
      <w:r w:rsidRPr="00076E4A">
        <w:rPr>
          <w:i/>
          <w:iCs/>
          <w:sz w:val="22"/>
          <w:szCs w:val="22"/>
          <w:lang w:val="en-US"/>
        </w:rPr>
        <w:t>r</w:t>
      </w:r>
      <w:r w:rsidRPr="00076E4A">
        <w:rPr>
          <w:sz w:val="22"/>
          <w:szCs w:val="22"/>
          <w:lang w:val="en-US"/>
        </w:rPr>
        <w:t xml:space="preserve"> = .81, </w:t>
      </w:r>
      <w:r w:rsidRPr="00076E4A">
        <w:rPr>
          <w:i/>
          <w:iCs/>
          <w:sz w:val="22"/>
          <w:szCs w:val="22"/>
          <w:lang w:val="en-US"/>
        </w:rPr>
        <w:t>p</w:t>
      </w:r>
      <w:r w:rsidRPr="00076E4A">
        <w:rPr>
          <w:sz w:val="22"/>
          <w:szCs w:val="22"/>
          <w:lang w:val="en-US"/>
        </w:rPr>
        <w:t xml:space="preserve"> &lt; .001.</w:t>
      </w:r>
    </w:p>
  </w:footnote>
  <w:footnote w:id="4">
    <w:p w14:paraId="0060306E" w14:textId="77777777" w:rsidR="00705E58" w:rsidRPr="007E74C2" w:rsidRDefault="00705E58" w:rsidP="003E2413">
      <w:pPr>
        <w:pStyle w:val="FootnoteText"/>
        <w:rPr>
          <w:lang w:val="en-US"/>
        </w:rPr>
      </w:pPr>
      <w:r w:rsidRPr="007E74C2">
        <w:rPr>
          <w:rStyle w:val="FootnoteReference"/>
          <w:sz w:val="22"/>
          <w:szCs w:val="22"/>
        </w:rPr>
        <w:footnoteRef/>
      </w:r>
      <w:r w:rsidRPr="007E74C2">
        <w:rPr>
          <w:sz w:val="22"/>
          <w:szCs w:val="22"/>
        </w:rPr>
        <w:t xml:space="preserve"> </w:t>
      </w:r>
      <w:r w:rsidRPr="007E74C2">
        <w:rPr>
          <w:sz w:val="22"/>
          <w:szCs w:val="22"/>
          <w:lang w:val="en-US"/>
        </w:rPr>
        <w:t xml:space="preserve">Given suggestions that age may also be a (modest) correlate of narcissism (Foster et al., 2003), we conducted the analyses with age as a control variable. Narcissism remained a positive predictor of employee promotability, </w:t>
      </w:r>
      <w:r w:rsidRPr="007E74C2">
        <w:rPr>
          <w:i/>
          <w:iCs/>
          <w:sz w:val="22"/>
          <w:szCs w:val="22"/>
          <w:lang w:val="en-US"/>
        </w:rPr>
        <w:t>B</w:t>
      </w:r>
      <w:r w:rsidRPr="007E74C2">
        <w:rPr>
          <w:sz w:val="22"/>
          <w:szCs w:val="22"/>
          <w:lang w:val="en-US"/>
        </w:rPr>
        <w:t xml:space="preserve"> = 0.04, </w:t>
      </w:r>
      <w:r w:rsidRPr="007E74C2">
        <w:rPr>
          <w:i/>
          <w:iCs/>
          <w:sz w:val="22"/>
          <w:szCs w:val="22"/>
          <w:lang w:val="en-US"/>
        </w:rPr>
        <w:t>t</w:t>
      </w:r>
      <w:r w:rsidRPr="007E74C2">
        <w:rPr>
          <w:sz w:val="22"/>
          <w:szCs w:val="22"/>
          <w:lang w:val="en-US"/>
        </w:rPr>
        <w:t xml:space="preserve">(141.62) = 2.01, </w:t>
      </w:r>
      <w:r w:rsidRPr="007E74C2">
        <w:rPr>
          <w:i/>
          <w:iCs/>
          <w:sz w:val="22"/>
          <w:szCs w:val="22"/>
          <w:lang w:val="en-US"/>
        </w:rPr>
        <w:t>p</w:t>
      </w:r>
      <w:r w:rsidRPr="007E74C2">
        <w:rPr>
          <w:sz w:val="22"/>
          <w:szCs w:val="22"/>
          <w:lang w:val="en-US"/>
        </w:rPr>
        <w:t xml:space="preserve"> = .046, </w:t>
      </w:r>
      <w:r w:rsidRPr="007E74C2">
        <w:rPr>
          <w:i/>
          <w:iCs/>
          <w:sz w:val="22"/>
          <w:szCs w:val="22"/>
          <w:lang w:val="en-US"/>
        </w:rPr>
        <w:t>r</w:t>
      </w:r>
      <w:r w:rsidRPr="007E74C2">
        <w:rPr>
          <w:sz w:val="22"/>
          <w:szCs w:val="22"/>
          <w:lang w:val="en-US"/>
        </w:rPr>
        <w:t xml:space="preserve"> = .17, 95%CI[.001, .083].</w:t>
      </w:r>
    </w:p>
  </w:footnote>
  <w:footnote w:id="5">
    <w:p w14:paraId="40CEA04C" w14:textId="5946B19B" w:rsidR="00705E58" w:rsidRPr="00331570" w:rsidRDefault="00705E58">
      <w:pPr>
        <w:pStyle w:val="FootnoteText"/>
        <w:rPr>
          <w:lang w:val="en-US"/>
        </w:rPr>
      </w:pPr>
      <w:r w:rsidRPr="00331570">
        <w:rPr>
          <w:rStyle w:val="FootnoteReference"/>
          <w:sz w:val="22"/>
          <w:szCs w:val="22"/>
        </w:rPr>
        <w:footnoteRef/>
      </w:r>
      <w:r w:rsidRPr="00331570">
        <w:rPr>
          <w:sz w:val="22"/>
          <w:szCs w:val="22"/>
        </w:rPr>
        <w:t xml:space="preserve"> </w:t>
      </w:r>
      <w:r>
        <w:rPr>
          <w:sz w:val="22"/>
          <w:szCs w:val="22"/>
          <w:lang w:val="en-US"/>
        </w:rPr>
        <w:t xml:space="preserve">We checked for the possible relation between supervisor narcissism (using the same measure as for employee narcissism; </w:t>
      </w:r>
      <w:r w:rsidRPr="00201B04">
        <w:rPr>
          <w:bCs/>
          <w:sz w:val="22"/>
          <w:szCs w:val="22"/>
          <w:lang w:val="en-US"/>
        </w:rPr>
        <w:t>α = .8</w:t>
      </w:r>
      <w:r>
        <w:rPr>
          <w:bCs/>
          <w:sz w:val="22"/>
          <w:szCs w:val="22"/>
          <w:lang w:val="en-US"/>
        </w:rPr>
        <w:t>0</w:t>
      </w:r>
      <w:r>
        <w:rPr>
          <w:sz w:val="22"/>
          <w:szCs w:val="22"/>
          <w:lang w:val="en-US"/>
        </w:rPr>
        <w:t>)</w:t>
      </w:r>
      <w:r w:rsidRPr="00C1481E">
        <w:rPr>
          <w:sz w:val="22"/>
          <w:szCs w:val="22"/>
          <w:lang w:val="en-US"/>
        </w:rPr>
        <w:t xml:space="preserve"> </w:t>
      </w:r>
      <w:r>
        <w:rPr>
          <w:sz w:val="22"/>
          <w:szCs w:val="22"/>
          <w:lang w:val="en-US"/>
        </w:rPr>
        <w:t xml:space="preserve">and employee promotability. Controlling for supervisor narcissism, the </w:t>
      </w:r>
      <w:r w:rsidRPr="00C1481E">
        <w:rPr>
          <w:sz w:val="22"/>
          <w:szCs w:val="22"/>
          <w:lang w:val="en-US"/>
        </w:rPr>
        <w:t xml:space="preserve">positive relation between employee narcissism and promotability remained similar, </w:t>
      </w:r>
      <w:r w:rsidRPr="00C1481E">
        <w:rPr>
          <w:i/>
          <w:sz w:val="22"/>
          <w:szCs w:val="22"/>
          <w:lang w:val="en-US"/>
        </w:rPr>
        <w:t>B</w:t>
      </w:r>
      <w:r w:rsidRPr="00C1481E">
        <w:rPr>
          <w:sz w:val="22"/>
          <w:szCs w:val="22"/>
          <w:lang w:val="en-US"/>
        </w:rPr>
        <w:t xml:space="preserve"> = 0.06, </w:t>
      </w:r>
      <w:r w:rsidRPr="00C1481E">
        <w:rPr>
          <w:i/>
          <w:sz w:val="22"/>
          <w:szCs w:val="22"/>
          <w:lang w:val="en-US"/>
        </w:rPr>
        <w:t>t</w:t>
      </w:r>
      <w:r w:rsidRPr="00C1481E">
        <w:rPr>
          <w:sz w:val="22"/>
          <w:szCs w:val="22"/>
          <w:lang w:val="en-US"/>
        </w:rPr>
        <w:t xml:space="preserve">(148.16) = 2.86, </w:t>
      </w:r>
      <w:r w:rsidRPr="00C1481E">
        <w:rPr>
          <w:i/>
          <w:sz w:val="22"/>
          <w:szCs w:val="22"/>
          <w:lang w:val="en-US"/>
        </w:rPr>
        <w:t>p</w:t>
      </w:r>
      <w:r w:rsidRPr="00C1481E">
        <w:rPr>
          <w:sz w:val="22"/>
          <w:szCs w:val="22"/>
          <w:lang w:val="en-US"/>
        </w:rPr>
        <w:t xml:space="preserve"> = .005, </w:t>
      </w:r>
      <w:r w:rsidRPr="00C1481E">
        <w:rPr>
          <w:i/>
          <w:sz w:val="22"/>
          <w:szCs w:val="22"/>
          <w:lang w:val="en-US"/>
        </w:rPr>
        <w:t>r</w:t>
      </w:r>
      <w:r w:rsidRPr="00C1481E">
        <w:rPr>
          <w:sz w:val="22"/>
          <w:szCs w:val="22"/>
          <w:lang w:val="en-US"/>
        </w:rPr>
        <w:t xml:space="preserve"> = .23, 95%CI[.017, .094], </w:t>
      </w:r>
      <w:r>
        <w:rPr>
          <w:sz w:val="22"/>
          <w:szCs w:val="22"/>
          <w:lang w:val="en-US"/>
        </w:rPr>
        <w:t>whereas supervisor</w:t>
      </w:r>
      <w:r w:rsidRPr="00C1481E">
        <w:rPr>
          <w:sz w:val="22"/>
          <w:szCs w:val="22"/>
          <w:lang w:val="en-US"/>
        </w:rPr>
        <w:t xml:space="preserve"> narcissism negatively predict</w:t>
      </w:r>
      <w:r>
        <w:rPr>
          <w:sz w:val="22"/>
          <w:szCs w:val="22"/>
          <w:lang w:val="en-US"/>
        </w:rPr>
        <w:t>ed</w:t>
      </w:r>
      <w:r w:rsidRPr="00C1481E">
        <w:rPr>
          <w:sz w:val="22"/>
          <w:szCs w:val="22"/>
          <w:lang w:val="en-US"/>
        </w:rPr>
        <w:t xml:space="preserve"> promotability, </w:t>
      </w:r>
      <w:r w:rsidRPr="00C1481E">
        <w:rPr>
          <w:i/>
          <w:sz w:val="22"/>
          <w:szCs w:val="22"/>
          <w:lang w:val="en-US"/>
        </w:rPr>
        <w:t>B</w:t>
      </w:r>
      <w:r w:rsidRPr="00C1481E">
        <w:rPr>
          <w:sz w:val="22"/>
          <w:szCs w:val="22"/>
          <w:lang w:val="en-US"/>
        </w:rPr>
        <w:t xml:space="preserve"> = -0.04, </w:t>
      </w:r>
      <w:r w:rsidRPr="00C1481E">
        <w:rPr>
          <w:i/>
          <w:sz w:val="22"/>
          <w:szCs w:val="22"/>
          <w:lang w:val="en-US"/>
        </w:rPr>
        <w:t>t</w:t>
      </w:r>
      <w:r w:rsidRPr="00C1481E">
        <w:rPr>
          <w:sz w:val="22"/>
          <w:szCs w:val="22"/>
          <w:lang w:val="en-US"/>
        </w:rPr>
        <w:t xml:space="preserve">(95.21) = -2.04, </w:t>
      </w:r>
      <w:r w:rsidRPr="00C1481E">
        <w:rPr>
          <w:i/>
          <w:sz w:val="22"/>
          <w:szCs w:val="22"/>
          <w:lang w:val="en-US"/>
        </w:rPr>
        <w:t>p</w:t>
      </w:r>
      <w:r w:rsidRPr="00C1481E">
        <w:rPr>
          <w:sz w:val="22"/>
          <w:szCs w:val="22"/>
          <w:lang w:val="en-US"/>
        </w:rPr>
        <w:t xml:space="preserve"> = .044, </w:t>
      </w:r>
      <w:r w:rsidRPr="00C1481E">
        <w:rPr>
          <w:i/>
          <w:sz w:val="22"/>
          <w:szCs w:val="22"/>
          <w:lang w:val="en-US"/>
        </w:rPr>
        <w:t>r</w:t>
      </w:r>
      <w:r w:rsidRPr="00C1481E">
        <w:rPr>
          <w:sz w:val="22"/>
          <w:szCs w:val="22"/>
          <w:lang w:val="en-US"/>
        </w:rPr>
        <w:t xml:space="preserve"> = .21, 95%CI[-.086, -.001]. </w:t>
      </w:r>
      <w:r>
        <w:rPr>
          <w:sz w:val="22"/>
          <w:szCs w:val="22"/>
          <w:lang w:val="en-US"/>
        </w:rPr>
        <w:t xml:space="preserve">We </w:t>
      </w:r>
      <w:r w:rsidRPr="00C1481E">
        <w:rPr>
          <w:sz w:val="22"/>
          <w:szCs w:val="22"/>
          <w:lang w:val="en-US"/>
        </w:rPr>
        <w:t>also checked the possibility of a similarity</w:t>
      </w:r>
      <w:r>
        <w:rPr>
          <w:sz w:val="22"/>
          <w:szCs w:val="22"/>
          <w:lang w:val="en-US"/>
        </w:rPr>
        <w:t>-attraction</w:t>
      </w:r>
      <w:r w:rsidRPr="00C1481E">
        <w:rPr>
          <w:sz w:val="22"/>
          <w:szCs w:val="22"/>
          <w:lang w:val="en-US"/>
        </w:rPr>
        <w:t xml:space="preserve"> effect</w:t>
      </w:r>
      <w:r>
        <w:rPr>
          <w:sz w:val="22"/>
          <w:szCs w:val="22"/>
          <w:lang w:val="en-US"/>
        </w:rPr>
        <w:t xml:space="preserve"> (Den Hartog et al., 2020)</w:t>
      </w:r>
      <w:r w:rsidRPr="00C1481E">
        <w:rPr>
          <w:sz w:val="22"/>
          <w:szCs w:val="22"/>
          <w:lang w:val="en-US"/>
        </w:rPr>
        <w:t xml:space="preserve"> by testing the interaction between </w:t>
      </w:r>
      <w:r>
        <w:rPr>
          <w:sz w:val="22"/>
          <w:szCs w:val="22"/>
          <w:lang w:val="en-US"/>
        </w:rPr>
        <w:t>supervisor</w:t>
      </w:r>
      <w:r w:rsidRPr="00C1481E">
        <w:rPr>
          <w:sz w:val="22"/>
          <w:szCs w:val="22"/>
          <w:lang w:val="en-US"/>
        </w:rPr>
        <w:t xml:space="preserve"> and employee narcissism on promotability</w:t>
      </w:r>
      <w:r>
        <w:rPr>
          <w:sz w:val="22"/>
          <w:szCs w:val="22"/>
          <w:lang w:val="en-US"/>
        </w:rPr>
        <w:t>; this effect</w:t>
      </w:r>
      <w:r w:rsidRPr="00C1481E">
        <w:rPr>
          <w:sz w:val="22"/>
          <w:szCs w:val="22"/>
          <w:lang w:val="en-US"/>
        </w:rPr>
        <w:t>, however, was no</w:t>
      </w:r>
      <w:r>
        <w:rPr>
          <w:sz w:val="22"/>
          <w:szCs w:val="22"/>
          <w:lang w:val="en-US"/>
        </w:rPr>
        <w:t xml:space="preserve">t </w:t>
      </w:r>
      <w:r w:rsidRPr="00C1481E">
        <w:rPr>
          <w:sz w:val="22"/>
          <w:szCs w:val="22"/>
          <w:lang w:val="en-US"/>
        </w:rPr>
        <w:t xml:space="preserve">significant, </w:t>
      </w:r>
      <w:r w:rsidRPr="00C1481E">
        <w:rPr>
          <w:i/>
          <w:sz w:val="22"/>
          <w:szCs w:val="22"/>
          <w:lang w:val="en-US"/>
        </w:rPr>
        <w:t>B</w:t>
      </w:r>
      <w:r w:rsidRPr="00C1481E">
        <w:rPr>
          <w:sz w:val="22"/>
          <w:szCs w:val="22"/>
          <w:lang w:val="en-US"/>
        </w:rPr>
        <w:t xml:space="preserve"> = 0.00, </w:t>
      </w:r>
      <w:r w:rsidRPr="00C1481E">
        <w:rPr>
          <w:i/>
          <w:sz w:val="22"/>
          <w:szCs w:val="22"/>
          <w:lang w:val="en-US"/>
        </w:rPr>
        <w:t>t</w:t>
      </w:r>
      <w:r w:rsidRPr="00C1481E">
        <w:rPr>
          <w:sz w:val="22"/>
          <w:szCs w:val="22"/>
          <w:lang w:val="en-US"/>
        </w:rPr>
        <w:t xml:space="preserve">(149.94) = 0.23, </w:t>
      </w:r>
      <w:r w:rsidRPr="00C1481E">
        <w:rPr>
          <w:i/>
          <w:sz w:val="22"/>
          <w:szCs w:val="22"/>
          <w:lang w:val="en-US"/>
        </w:rPr>
        <w:t>p</w:t>
      </w:r>
      <w:r w:rsidRPr="00C1481E">
        <w:rPr>
          <w:sz w:val="22"/>
          <w:szCs w:val="22"/>
          <w:lang w:val="en-US"/>
        </w:rPr>
        <w:t xml:space="preserve"> = .822, </w:t>
      </w:r>
      <w:r w:rsidRPr="00C1481E">
        <w:rPr>
          <w:i/>
          <w:sz w:val="22"/>
          <w:szCs w:val="22"/>
          <w:lang w:val="en-US"/>
        </w:rPr>
        <w:t>r</w:t>
      </w:r>
      <w:r w:rsidRPr="00C1481E">
        <w:rPr>
          <w:sz w:val="22"/>
          <w:szCs w:val="22"/>
          <w:lang w:val="en-US"/>
        </w:rPr>
        <w:t xml:space="preserve"> = .02, 95%CI[-.006, .007].</w:t>
      </w:r>
    </w:p>
  </w:footnote>
  <w:footnote w:id="6">
    <w:p w14:paraId="460B1708" w14:textId="6098ED11" w:rsidR="00705E58" w:rsidRPr="008E3958" w:rsidRDefault="00705E58" w:rsidP="00F81873">
      <w:pPr>
        <w:pStyle w:val="FootnoteText"/>
        <w:rPr>
          <w:lang w:val="en-US"/>
        </w:rPr>
      </w:pPr>
      <w:r w:rsidRPr="008E3958">
        <w:rPr>
          <w:rStyle w:val="FootnoteReference"/>
          <w:sz w:val="22"/>
          <w:szCs w:val="22"/>
        </w:rPr>
        <w:footnoteRef/>
      </w:r>
      <w:r w:rsidRPr="008E3958">
        <w:rPr>
          <w:sz w:val="22"/>
          <w:szCs w:val="22"/>
        </w:rPr>
        <w:t xml:space="preserve"> </w:t>
      </w:r>
      <w:r w:rsidRPr="008E3958">
        <w:rPr>
          <w:sz w:val="22"/>
          <w:szCs w:val="22"/>
          <w:lang w:val="en-US"/>
        </w:rPr>
        <w:t>Seven supervisors indicated that they directly supervised only one employee. Again, controlling for span of control (</w:t>
      </w:r>
      <w:r>
        <w:rPr>
          <w:sz w:val="22"/>
          <w:szCs w:val="22"/>
          <w:lang w:val="en-US"/>
        </w:rPr>
        <w:t xml:space="preserve">i.e., </w:t>
      </w:r>
      <w:r w:rsidRPr="008E3958">
        <w:rPr>
          <w:sz w:val="22"/>
          <w:szCs w:val="22"/>
          <w:lang w:val="en-US"/>
        </w:rPr>
        <w:t>number of employees the supervisor supervised) produced findings similar to the reported ones.</w:t>
      </w:r>
    </w:p>
  </w:footnote>
  <w:footnote w:id="7">
    <w:p w14:paraId="2D3070E2" w14:textId="715C6C27" w:rsidR="00705E58" w:rsidRPr="002619B1" w:rsidRDefault="00705E58">
      <w:pPr>
        <w:pStyle w:val="FootnoteText"/>
        <w:rPr>
          <w:lang w:val="en-US"/>
        </w:rPr>
      </w:pPr>
      <w:r w:rsidRPr="002619B1">
        <w:rPr>
          <w:rStyle w:val="FootnoteReference"/>
          <w:sz w:val="22"/>
          <w:szCs w:val="22"/>
        </w:rPr>
        <w:footnoteRef/>
      </w:r>
      <w:r w:rsidRPr="002619B1">
        <w:rPr>
          <w:sz w:val="22"/>
          <w:szCs w:val="22"/>
        </w:rPr>
        <w:t xml:space="preserve"> </w:t>
      </w:r>
      <w:r w:rsidRPr="002619B1">
        <w:rPr>
          <w:sz w:val="22"/>
          <w:szCs w:val="22"/>
          <w:lang w:val="en-US"/>
        </w:rPr>
        <w:t xml:space="preserve">The excluded original item was: “Try to let </w:t>
      </w:r>
      <w:r>
        <w:rPr>
          <w:sz w:val="22"/>
          <w:szCs w:val="22"/>
          <w:lang w:val="en-US"/>
        </w:rPr>
        <w:t>your supervisor</w:t>
      </w:r>
      <w:r w:rsidRPr="002619B1">
        <w:rPr>
          <w:sz w:val="22"/>
          <w:szCs w:val="22"/>
          <w:lang w:val="en-US"/>
        </w:rPr>
        <w:t xml:space="preserve"> know that you have a reputation for being liked</w:t>
      </w:r>
      <w:r>
        <w:rPr>
          <w:sz w:val="22"/>
          <w:szCs w:val="22"/>
          <w:lang w:val="en-US"/>
        </w:rPr>
        <w:t>.</w:t>
      </w:r>
      <w:r w:rsidRPr="002619B1">
        <w:rPr>
          <w:sz w:val="22"/>
          <w:szCs w:val="22"/>
          <w:lang w:val="en-US"/>
        </w:rPr>
        <w:t>”</w:t>
      </w:r>
    </w:p>
  </w:footnote>
  <w:footnote w:id="8">
    <w:p w14:paraId="05F646F2" w14:textId="2A8A23FB" w:rsidR="00705E58" w:rsidRPr="003D57C7" w:rsidRDefault="00705E58" w:rsidP="00F81873">
      <w:pPr>
        <w:pStyle w:val="FootnoteText"/>
        <w:rPr>
          <w:lang w:val="en-US"/>
        </w:rPr>
      </w:pPr>
      <w:r w:rsidRPr="003D57C7">
        <w:rPr>
          <w:rStyle w:val="FootnoteReference"/>
          <w:sz w:val="22"/>
          <w:szCs w:val="22"/>
        </w:rPr>
        <w:footnoteRef/>
      </w:r>
      <w:r w:rsidRPr="003D57C7">
        <w:rPr>
          <w:sz w:val="22"/>
          <w:szCs w:val="22"/>
        </w:rPr>
        <w:t xml:space="preserve"> </w:t>
      </w:r>
      <w:r w:rsidRPr="003D57C7">
        <w:rPr>
          <w:sz w:val="22"/>
          <w:szCs w:val="22"/>
          <w:lang w:val="en-US"/>
        </w:rPr>
        <w:t xml:space="preserve">As in Study 1, we checked the results with age as a control variable. Narcissism remained a positive predictor of employee promotability, </w:t>
      </w:r>
      <w:r w:rsidRPr="003D57C7">
        <w:rPr>
          <w:i/>
          <w:iCs/>
          <w:sz w:val="22"/>
          <w:szCs w:val="22"/>
          <w:lang w:val="en-US"/>
        </w:rPr>
        <w:t>B</w:t>
      </w:r>
      <w:r w:rsidRPr="003D57C7">
        <w:rPr>
          <w:sz w:val="22"/>
          <w:szCs w:val="22"/>
          <w:lang w:val="en-US"/>
        </w:rPr>
        <w:t xml:space="preserve"> = 0.08, </w:t>
      </w:r>
      <w:r w:rsidRPr="003D57C7">
        <w:rPr>
          <w:i/>
          <w:iCs/>
          <w:sz w:val="22"/>
          <w:szCs w:val="22"/>
          <w:lang w:val="en-US"/>
        </w:rPr>
        <w:t>t</w:t>
      </w:r>
      <w:r w:rsidRPr="003D57C7">
        <w:rPr>
          <w:sz w:val="22"/>
          <w:szCs w:val="22"/>
          <w:lang w:val="en-US"/>
        </w:rPr>
        <w:t xml:space="preserve">(110.55) = 2.11, </w:t>
      </w:r>
      <w:r w:rsidRPr="003D57C7">
        <w:rPr>
          <w:i/>
          <w:iCs/>
          <w:sz w:val="22"/>
          <w:szCs w:val="22"/>
          <w:lang w:val="en-US"/>
        </w:rPr>
        <w:t>p</w:t>
      </w:r>
      <w:r w:rsidRPr="003D57C7">
        <w:rPr>
          <w:sz w:val="22"/>
          <w:szCs w:val="22"/>
          <w:lang w:val="en-US"/>
        </w:rPr>
        <w:t xml:space="preserve"> = .037, </w:t>
      </w:r>
      <w:r w:rsidRPr="003D57C7">
        <w:rPr>
          <w:i/>
          <w:iCs/>
          <w:sz w:val="22"/>
          <w:szCs w:val="22"/>
          <w:lang w:val="en-US"/>
        </w:rPr>
        <w:t>r</w:t>
      </w:r>
      <w:r w:rsidRPr="003D57C7">
        <w:rPr>
          <w:sz w:val="22"/>
          <w:szCs w:val="22"/>
          <w:lang w:val="en-US"/>
        </w:rPr>
        <w:t xml:space="preserve"> = .20, 95%CI[.005, .148], and employee sense of power, </w:t>
      </w:r>
      <w:r w:rsidRPr="003D57C7">
        <w:rPr>
          <w:i/>
          <w:sz w:val="22"/>
          <w:szCs w:val="22"/>
          <w:lang w:val="en-US"/>
        </w:rPr>
        <w:t>B</w:t>
      </w:r>
      <w:r w:rsidRPr="003D57C7">
        <w:rPr>
          <w:sz w:val="22"/>
          <w:szCs w:val="22"/>
          <w:lang w:val="en-US"/>
        </w:rPr>
        <w:t xml:space="preserve"> = 0.09, </w:t>
      </w:r>
      <w:r w:rsidRPr="003D57C7">
        <w:rPr>
          <w:i/>
          <w:sz w:val="22"/>
          <w:szCs w:val="22"/>
          <w:lang w:val="en-US"/>
        </w:rPr>
        <w:t>t</w:t>
      </w:r>
      <w:r w:rsidRPr="003D57C7">
        <w:rPr>
          <w:sz w:val="22"/>
          <w:szCs w:val="22"/>
          <w:lang w:val="en-US"/>
        </w:rPr>
        <w:t xml:space="preserve">(122.71) = 4.17, </w:t>
      </w:r>
      <w:r w:rsidRPr="003D57C7">
        <w:rPr>
          <w:i/>
          <w:sz w:val="22"/>
          <w:szCs w:val="22"/>
          <w:lang w:val="en-US"/>
        </w:rPr>
        <w:t>p</w:t>
      </w:r>
      <w:r w:rsidRPr="003D57C7">
        <w:rPr>
          <w:sz w:val="22"/>
          <w:szCs w:val="22"/>
          <w:lang w:val="en-US"/>
        </w:rPr>
        <w:t xml:space="preserve"> &lt; .001, </w:t>
      </w:r>
      <w:r w:rsidRPr="003D57C7">
        <w:rPr>
          <w:i/>
          <w:sz w:val="22"/>
          <w:szCs w:val="22"/>
          <w:lang w:val="en-US"/>
        </w:rPr>
        <w:t>r</w:t>
      </w:r>
      <w:r w:rsidRPr="003D57C7">
        <w:rPr>
          <w:sz w:val="22"/>
          <w:szCs w:val="22"/>
          <w:lang w:val="en-US"/>
        </w:rPr>
        <w:t xml:space="preserve"> = .35, 95%CI[.048, .135]; its relation to self-promotion was</w:t>
      </w:r>
      <w:r>
        <w:rPr>
          <w:sz w:val="22"/>
          <w:szCs w:val="22"/>
          <w:lang w:val="en-US"/>
        </w:rPr>
        <w:t xml:space="preserve"> not significant</w:t>
      </w:r>
      <w:r w:rsidRPr="003D57C7">
        <w:rPr>
          <w:sz w:val="22"/>
          <w:szCs w:val="22"/>
          <w:lang w:val="en-US"/>
        </w:rPr>
        <w:t xml:space="preserve">, </w:t>
      </w:r>
      <w:r w:rsidRPr="003D57C7">
        <w:rPr>
          <w:i/>
          <w:sz w:val="22"/>
          <w:szCs w:val="22"/>
          <w:lang w:val="en-US"/>
        </w:rPr>
        <w:t>B</w:t>
      </w:r>
      <w:r w:rsidRPr="003D57C7">
        <w:rPr>
          <w:sz w:val="22"/>
          <w:szCs w:val="22"/>
          <w:lang w:val="en-US"/>
        </w:rPr>
        <w:t xml:space="preserve"> = 0.05, </w:t>
      </w:r>
      <w:r w:rsidRPr="003D57C7">
        <w:rPr>
          <w:i/>
          <w:sz w:val="22"/>
          <w:szCs w:val="22"/>
          <w:lang w:val="en-US"/>
        </w:rPr>
        <w:t>t</w:t>
      </w:r>
      <w:r w:rsidRPr="003D57C7">
        <w:rPr>
          <w:sz w:val="22"/>
          <w:szCs w:val="22"/>
          <w:lang w:val="en-US"/>
        </w:rPr>
        <w:t xml:space="preserve">(123.00) = 1.88, </w:t>
      </w:r>
      <w:r w:rsidRPr="003D57C7">
        <w:rPr>
          <w:i/>
          <w:sz w:val="22"/>
          <w:szCs w:val="22"/>
          <w:lang w:val="en-US"/>
        </w:rPr>
        <w:t>p</w:t>
      </w:r>
      <w:r w:rsidRPr="003D57C7">
        <w:rPr>
          <w:sz w:val="22"/>
          <w:szCs w:val="22"/>
          <w:lang w:val="en-US"/>
        </w:rPr>
        <w:t xml:space="preserve"> = .062, </w:t>
      </w:r>
      <w:r w:rsidRPr="003D57C7">
        <w:rPr>
          <w:i/>
          <w:sz w:val="22"/>
          <w:szCs w:val="22"/>
          <w:lang w:val="en-US"/>
        </w:rPr>
        <w:t>r</w:t>
      </w:r>
      <w:r w:rsidRPr="003D57C7">
        <w:rPr>
          <w:sz w:val="22"/>
          <w:szCs w:val="22"/>
          <w:lang w:val="en-US"/>
        </w:rPr>
        <w:t xml:space="preserve"> = .17, 95%CI[-.002, .097].</w:t>
      </w:r>
    </w:p>
  </w:footnote>
  <w:footnote w:id="9">
    <w:p w14:paraId="40B1FD4B" w14:textId="6D3C8913" w:rsidR="00705E58" w:rsidRPr="0085686D" w:rsidRDefault="00705E58">
      <w:pPr>
        <w:pStyle w:val="FootnoteText"/>
        <w:rPr>
          <w:sz w:val="22"/>
          <w:szCs w:val="22"/>
          <w:lang w:val="en-US"/>
        </w:rPr>
      </w:pPr>
      <w:r w:rsidRPr="00063104">
        <w:rPr>
          <w:rStyle w:val="FootnoteReference"/>
          <w:sz w:val="22"/>
          <w:szCs w:val="22"/>
        </w:rPr>
        <w:footnoteRef/>
      </w:r>
      <w:r w:rsidRPr="00063104">
        <w:rPr>
          <w:sz w:val="22"/>
          <w:szCs w:val="22"/>
        </w:rPr>
        <w:t xml:space="preserve"> </w:t>
      </w:r>
      <w:r>
        <w:rPr>
          <w:sz w:val="22"/>
          <w:szCs w:val="22"/>
        </w:rPr>
        <w:t>We again checked</w:t>
      </w:r>
      <w:r w:rsidRPr="00063104">
        <w:rPr>
          <w:sz w:val="22"/>
          <w:szCs w:val="22"/>
        </w:rPr>
        <w:t xml:space="preserve"> for the possible </w:t>
      </w:r>
      <w:r>
        <w:rPr>
          <w:sz w:val="22"/>
          <w:szCs w:val="22"/>
        </w:rPr>
        <w:t>relation between</w:t>
      </w:r>
      <w:r w:rsidRPr="00063104">
        <w:rPr>
          <w:sz w:val="22"/>
          <w:szCs w:val="22"/>
        </w:rPr>
        <w:t xml:space="preserve"> supervisor narcissism (using the same measure as </w:t>
      </w:r>
      <w:r>
        <w:rPr>
          <w:sz w:val="22"/>
          <w:szCs w:val="22"/>
        </w:rPr>
        <w:t xml:space="preserve">for </w:t>
      </w:r>
      <w:r w:rsidRPr="00063104">
        <w:rPr>
          <w:sz w:val="22"/>
          <w:szCs w:val="22"/>
        </w:rPr>
        <w:t xml:space="preserve">employee narcissism; </w:t>
      </w:r>
      <w:r w:rsidRPr="00635AEA">
        <w:rPr>
          <w:sz w:val="22"/>
          <w:szCs w:val="22"/>
        </w:rPr>
        <w:t>α = .</w:t>
      </w:r>
      <w:r>
        <w:rPr>
          <w:sz w:val="22"/>
          <w:szCs w:val="22"/>
        </w:rPr>
        <w:t>57</w:t>
      </w:r>
      <w:r w:rsidRPr="00063104">
        <w:rPr>
          <w:sz w:val="22"/>
          <w:szCs w:val="22"/>
        </w:rPr>
        <w:t xml:space="preserve">) </w:t>
      </w:r>
      <w:r>
        <w:rPr>
          <w:sz w:val="22"/>
          <w:szCs w:val="22"/>
        </w:rPr>
        <w:t>and</w:t>
      </w:r>
      <w:r w:rsidRPr="00063104">
        <w:rPr>
          <w:sz w:val="22"/>
          <w:szCs w:val="22"/>
        </w:rPr>
        <w:t xml:space="preserve"> employee promotability</w:t>
      </w:r>
      <w:r>
        <w:rPr>
          <w:sz w:val="22"/>
          <w:szCs w:val="22"/>
        </w:rPr>
        <w:t xml:space="preserve">. </w:t>
      </w:r>
      <w:r>
        <w:rPr>
          <w:sz w:val="22"/>
          <w:szCs w:val="22"/>
          <w:lang w:val="en-US"/>
        </w:rPr>
        <w:t>When</w:t>
      </w:r>
      <w:r w:rsidRPr="001074CB">
        <w:rPr>
          <w:sz w:val="22"/>
          <w:szCs w:val="22"/>
          <w:lang w:val="en-US"/>
        </w:rPr>
        <w:t xml:space="preserve"> controlling for </w:t>
      </w:r>
      <w:r>
        <w:rPr>
          <w:sz w:val="22"/>
          <w:szCs w:val="22"/>
          <w:lang w:val="en-US"/>
        </w:rPr>
        <w:t>supervisor</w:t>
      </w:r>
      <w:r w:rsidRPr="001074CB">
        <w:rPr>
          <w:sz w:val="22"/>
          <w:szCs w:val="22"/>
          <w:lang w:val="en-US"/>
        </w:rPr>
        <w:t xml:space="preserve"> narcissism, the positive relation between employee narcissism and promotability remained the same, </w:t>
      </w:r>
      <w:r w:rsidRPr="001074CB">
        <w:rPr>
          <w:i/>
          <w:sz w:val="22"/>
          <w:szCs w:val="22"/>
          <w:lang w:val="en-US"/>
        </w:rPr>
        <w:t>B</w:t>
      </w:r>
      <w:r w:rsidRPr="001074CB">
        <w:rPr>
          <w:sz w:val="22"/>
          <w:szCs w:val="22"/>
          <w:lang w:val="en-US"/>
        </w:rPr>
        <w:t xml:space="preserve"> = 0.11, </w:t>
      </w:r>
      <w:r w:rsidRPr="001074CB">
        <w:rPr>
          <w:i/>
          <w:sz w:val="22"/>
          <w:szCs w:val="22"/>
          <w:lang w:val="en-US"/>
        </w:rPr>
        <w:t>t</w:t>
      </w:r>
      <w:r w:rsidRPr="001074CB">
        <w:rPr>
          <w:sz w:val="22"/>
          <w:szCs w:val="22"/>
          <w:lang w:val="en-US"/>
        </w:rPr>
        <w:t xml:space="preserve">(103.50) = 3.13, </w:t>
      </w:r>
      <w:r w:rsidRPr="001074CB">
        <w:rPr>
          <w:i/>
          <w:sz w:val="22"/>
          <w:szCs w:val="22"/>
          <w:lang w:val="en-US"/>
        </w:rPr>
        <w:t>p</w:t>
      </w:r>
      <w:r w:rsidRPr="001074CB">
        <w:rPr>
          <w:sz w:val="22"/>
          <w:szCs w:val="22"/>
          <w:lang w:val="en-US"/>
        </w:rPr>
        <w:t xml:space="preserve"> = .002, </w:t>
      </w:r>
      <w:r w:rsidRPr="001074CB">
        <w:rPr>
          <w:i/>
          <w:sz w:val="22"/>
          <w:szCs w:val="22"/>
          <w:lang w:val="en-US"/>
        </w:rPr>
        <w:t>r</w:t>
      </w:r>
      <w:r w:rsidRPr="001074CB">
        <w:rPr>
          <w:sz w:val="22"/>
          <w:szCs w:val="22"/>
          <w:lang w:val="en-US"/>
        </w:rPr>
        <w:t xml:space="preserve"> = .23, 95%CI[.041, .181], and </w:t>
      </w:r>
      <w:r>
        <w:rPr>
          <w:sz w:val="22"/>
          <w:szCs w:val="22"/>
          <w:lang w:val="en-US"/>
        </w:rPr>
        <w:t>supervisor</w:t>
      </w:r>
      <w:r w:rsidRPr="001074CB">
        <w:rPr>
          <w:sz w:val="22"/>
          <w:szCs w:val="22"/>
          <w:lang w:val="en-US"/>
        </w:rPr>
        <w:t xml:space="preserve"> narcissism </w:t>
      </w:r>
      <w:r>
        <w:rPr>
          <w:sz w:val="22"/>
          <w:szCs w:val="22"/>
          <w:lang w:val="en-US"/>
        </w:rPr>
        <w:t>did not relate to</w:t>
      </w:r>
      <w:r w:rsidRPr="001074CB">
        <w:rPr>
          <w:sz w:val="22"/>
          <w:szCs w:val="22"/>
          <w:lang w:val="en-US"/>
        </w:rPr>
        <w:t xml:space="preserve"> promotability, </w:t>
      </w:r>
      <w:r w:rsidRPr="001074CB">
        <w:rPr>
          <w:i/>
          <w:sz w:val="22"/>
          <w:szCs w:val="22"/>
          <w:lang w:val="en-US"/>
        </w:rPr>
        <w:t>B</w:t>
      </w:r>
      <w:r w:rsidRPr="001074CB">
        <w:rPr>
          <w:sz w:val="22"/>
          <w:szCs w:val="22"/>
          <w:lang w:val="en-US"/>
        </w:rPr>
        <w:t xml:space="preserve"> = 0.02, </w:t>
      </w:r>
      <w:r w:rsidRPr="001074CB">
        <w:rPr>
          <w:i/>
          <w:sz w:val="22"/>
          <w:szCs w:val="22"/>
          <w:lang w:val="en-US"/>
        </w:rPr>
        <w:t>t</w:t>
      </w:r>
      <w:r w:rsidRPr="001074CB">
        <w:rPr>
          <w:sz w:val="22"/>
          <w:szCs w:val="22"/>
          <w:lang w:val="en-US"/>
        </w:rPr>
        <w:t xml:space="preserve">(92.87) = 0.50, </w:t>
      </w:r>
      <w:r w:rsidRPr="001074CB">
        <w:rPr>
          <w:i/>
          <w:sz w:val="22"/>
          <w:szCs w:val="22"/>
          <w:lang w:val="en-US"/>
        </w:rPr>
        <w:t>p</w:t>
      </w:r>
      <w:r w:rsidRPr="001074CB">
        <w:rPr>
          <w:sz w:val="22"/>
          <w:szCs w:val="22"/>
          <w:lang w:val="en-US"/>
        </w:rPr>
        <w:t xml:space="preserve"> = .621, </w:t>
      </w:r>
      <w:r w:rsidRPr="001074CB">
        <w:rPr>
          <w:i/>
          <w:sz w:val="22"/>
          <w:szCs w:val="22"/>
          <w:lang w:val="en-US"/>
        </w:rPr>
        <w:t>r</w:t>
      </w:r>
      <w:r w:rsidRPr="001074CB">
        <w:rPr>
          <w:sz w:val="22"/>
          <w:szCs w:val="22"/>
          <w:lang w:val="en-US"/>
        </w:rPr>
        <w:t xml:space="preserve"> = .05, 95%CI[-.067, .112]. The interaction between </w:t>
      </w:r>
      <w:r>
        <w:rPr>
          <w:sz w:val="22"/>
          <w:szCs w:val="22"/>
          <w:lang w:val="en-US"/>
        </w:rPr>
        <w:t>supervisor</w:t>
      </w:r>
      <w:r w:rsidRPr="001074CB">
        <w:rPr>
          <w:sz w:val="22"/>
          <w:szCs w:val="22"/>
          <w:lang w:val="en-US"/>
        </w:rPr>
        <w:t xml:space="preserve"> and employee narcissism on promotability was no</w:t>
      </w:r>
      <w:r>
        <w:rPr>
          <w:sz w:val="22"/>
          <w:szCs w:val="22"/>
          <w:lang w:val="en-US"/>
        </w:rPr>
        <w:t xml:space="preserve">t </w:t>
      </w:r>
      <w:r w:rsidRPr="001074CB">
        <w:rPr>
          <w:sz w:val="22"/>
          <w:szCs w:val="22"/>
          <w:lang w:val="en-US"/>
        </w:rPr>
        <w:t xml:space="preserve">significant, </w:t>
      </w:r>
      <w:r w:rsidRPr="001074CB">
        <w:rPr>
          <w:i/>
          <w:sz w:val="22"/>
          <w:szCs w:val="22"/>
          <w:lang w:val="en-US"/>
        </w:rPr>
        <w:t>B</w:t>
      </w:r>
      <w:r w:rsidRPr="001074CB">
        <w:rPr>
          <w:sz w:val="22"/>
          <w:szCs w:val="22"/>
          <w:lang w:val="en-US"/>
        </w:rPr>
        <w:t xml:space="preserve"> = </w:t>
      </w:r>
      <w:r>
        <w:rPr>
          <w:sz w:val="22"/>
          <w:szCs w:val="22"/>
          <w:lang w:val="en-US"/>
        </w:rPr>
        <w:t>-</w:t>
      </w:r>
      <w:r w:rsidRPr="001074CB">
        <w:rPr>
          <w:sz w:val="22"/>
          <w:szCs w:val="22"/>
          <w:lang w:val="en-US"/>
        </w:rPr>
        <w:t xml:space="preserve">0.02, </w:t>
      </w:r>
      <w:r w:rsidRPr="001074CB">
        <w:rPr>
          <w:i/>
          <w:sz w:val="22"/>
          <w:szCs w:val="22"/>
          <w:lang w:val="en-US"/>
        </w:rPr>
        <w:t>t</w:t>
      </w:r>
      <w:r w:rsidRPr="001074CB">
        <w:rPr>
          <w:sz w:val="22"/>
          <w:szCs w:val="22"/>
          <w:lang w:val="en-US"/>
        </w:rPr>
        <w:t xml:space="preserve">(112.70) = -1.49, </w:t>
      </w:r>
      <w:r w:rsidRPr="001074CB">
        <w:rPr>
          <w:i/>
          <w:sz w:val="22"/>
          <w:szCs w:val="22"/>
          <w:lang w:val="en-US"/>
        </w:rPr>
        <w:t>p</w:t>
      </w:r>
      <w:r w:rsidRPr="001074CB">
        <w:rPr>
          <w:sz w:val="22"/>
          <w:szCs w:val="22"/>
          <w:lang w:val="en-US"/>
        </w:rPr>
        <w:t xml:space="preserve"> = .139, </w:t>
      </w:r>
      <w:r w:rsidRPr="001074CB">
        <w:rPr>
          <w:i/>
          <w:sz w:val="22"/>
          <w:szCs w:val="22"/>
          <w:lang w:val="en-US"/>
        </w:rPr>
        <w:t>r</w:t>
      </w:r>
      <w:r w:rsidRPr="001074CB">
        <w:rPr>
          <w:sz w:val="22"/>
          <w:szCs w:val="22"/>
          <w:lang w:val="en-US"/>
        </w:rPr>
        <w:t xml:space="preserve"> = .14, 95%CI[-.046, .006].</w:t>
      </w:r>
      <w:r>
        <w:rPr>
          <w:sz w:val="22"/>
          <w:szCs w:val="22"/>
          <w:lang w:val="en-US"/>
        </w:rPr>
        <w:t xml:space="preserve"> One possibility for why narcissistic supervisors did not give higher promotability ratings to narcissistic employees is that, despite the similarity, they may have simultaneously perceived such employees as a potential future threat to their own position, as per the dominance-complementarity theory (Grijalva &amp; Harms, 2014).</w:t>
      </w:r>
    </w:p>
  </w:footnote>
  <w:footnote w:id="10">
    <w:p w14:paraId="5D417ADA" w14:textId="466396E9" w:rsidR="00705E58" w:rsidRPr="003D57C7" w:rsidRDefault="00705E58">
      <w:pPr>
        <w:pStyle w:val="FootnoteText"/>
        <w:rPr>
          <w:lang w:val="en-US"/>
        </w:rPr>
      </w:pPr>
      <w:r w:rsidRPr="003D57C7">
        <w:rPr>
          <w:rStyle w:val="FootnoteReference"/>
          <w:sz w:val="22"/>
          <w:szCs w:val="22"/>
        </w:rPr>
        <w:footnoteRef/>
      </w:r>
      <w:r w:rsidRPr="003D57C7">
        <w:rPr>
          <w:sz w:val="22"/>
          <w:szCs w:val="22"/>
        </w:rPr>
        <w:t xml:space="preserve"> </w:t>
      </w:r>
      <w:r w:rsidRPr="003D57C7">
        <w:rPr>
          <w:sz w:val="22"/>
          <w:szCs w:val="22"/>
          <w:lang w:val="en-US"/>
        </w:rPr>
        <w:t>It is possible that narcissism and impression management tactics show a curvilinear relation with promotability. We found no evidence of quadratic effects across either of</w:t>
      </w:r>
      <w:r>
        <w:rPr>
          <w:sz w:val="22"/>
          <w:szCs w:val="22"/>
          <w:lang w:val="en-US"/>
        </w:rPr>
        <w:t xml:space="preserve"> Study 1 or Study 2</w:t>
      </w:r>
      <w:r w:rsidRPr="003D57C7">
        <w:rPr>
          <w:sz w:val="22"/>
          <w:szCs w:val="22"/>
          <w:lang w:val="en-US"/>
        </w:rPr>
        <w:t>.</w:t>
      </w:r>
    </w:p>
  </w:footnote>
  <w:footnote w:id="11">
    <w:p w14:paraId="5213A3EB" w14:textId="6CA75C0F" w:rsidR="00705E58" w:rsidRPr="00495C0B" w:rsidRDefault="00705E58" w:rsidP="00F81873">
      <w:pPr>
        <w:pStyle w:val="FootnoteText"/>
        <w:rPr>
          <w:lang w:val="en-US"/>
        </w:rPr>
      </w:pPr>
      <w:r w:rsidRPr="00495C0B">
        <w:rPr>
          <w:rStyle w:val="FootnoteReference"/>
          <w:sz w:val="22"/>
          <w:szCs w:val="22"/>
        </w:rPr>
        <w:footnoteRef/>
      </w:r>
      <w:r w:rsidRPr="00495C0B">
        <w:rPr>
          <w:sz w:val="22"/>
          <w:szCs w:val="22"/>
        </w:rPr>
        <w:t xml:space="preserve"> </w:t>
      </w:r>
      <w:r w:rsidRPr="00495C0B">
        <w:rPr>
          <w:sz w:val="22"/>
          <w:szCs w:val="22"/>
          <w:lang w:val="en-US"/>
        </w:rPr>
        <w:t xml:space="preserve">Checking the results with age as a control variable showed that power remained a significant predictor of promotability, </w:t>
      </w:r>
      <w:r w:rsidRPr="00495C0B">
        <w:rPr>
          <w:i/>
          <w:sz w:val="22"/>
          <w:szCs w:val="22"/>
          <w:lang w:val="en-US"/>
        </w:rPr>
        <w:t>F</w:t>
      </w:r>
      <w:r w:rsidRPr="00495C0B">
        <w:rPr>
          <w:iCs/>
          <w:sz w:val="22"/>
          <w:szCs w:val="22"/>
          <w:lang w:val="en-US"/>
        </w:rPr>
        <w:t xml:space="preserve">(1, 178) = 22.54, </w:t>
      </w:r>
      <w:r w:rsidRPr="00495C0B">
        <w:rPr>
          <w:i/>
          <w:sz w:val="22"/>
          <w:szCs w:val="22"/>
          <w:lang w:val="en-US"/>
        </w:rPr>
        <w:t>p</w:t>
      </w:r>
      <w:r w:rsidRPr="00495C0B">
        <w:rPr>
          <w:iCs/>
          <w:sz w:val="22"/>
          <w:szCs w:val="22"/>
          <w:lang w:val="en-US"/>
        </w:rPr>
        <w:t xml:space="preserve"> &lt; .001, </w:t>
      </w:r>
      <w:r w:rsidRPr="00495C0B">
        <w:rPr>
          <w:iCs/>
          <w:sz w:val="22"/>
          <w:szCs w:val="22"/>
          <w:lang w:val="en-US"/>
        </w:rPr>
        <w:sym w:font="Symbol" w:char="F068"/>
      </w:r>
      <w:r w:rsidRPr="00495C0B">
        <w:rPr>
          <w:iCs/>
          <w:sz w:val="22"/>
          <w:szCs w:val="22"/>
          <w:vertAlign w:val="superscript"/>
          <w:lang w:val="en-US"/>
        </w:rPr>
        <w:t>2</w:t>
      </w:r>
      <w:r w:rsidRPr="00495C0B">
        <w:rPr>
          <w:iCs/>
          <w:sz w:val="22"/>
          <w:szCs w:val="22"/>
          <w:vertAlign w:val="subscript"/>
          <w:lang w:val="en-US"/>
        </w:rPr>
        <w:t>p</w:t>
      </w:r>
      <w:r w:rsidRPr="00495C0B">
        <w:rPr>
          <w:iCs/>
          <w:sz w:val="22"/>
          <w:szCs w:val="22"/>
          <w:lang w:val="en-US"/>
        </w:rPr>
        <w:t xml:space="preserve"> = .11.</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363415045"/>
      <w:docPartObj>
        <w:docPartGallery w:val="Page Numbers (Top of Page)"/>
        <w:docPartUnique/>
      </w:docPartObj>
    </w:sdtPr>
    <w:sdtEndPr>
      <w:rPr>
        <w:rStyle w:val="PageNumber"/>
      </w:rPr>
    </w:sdtEndPr>
    <w:sdtContent>
      <w:p w14:paraId="48B9B4D2" w14:textId="0D016D90" w:rsidR="00705E58" w:rsidRDefault="00705E58" w:rsidP="00E5354C">
        <w:pPr>
          <w:pStyle w:val="Header"/>
          <w:framePr w:wrap="none" w:vAnchor="text" w:hAnchor="margin" w:xAlign="inside"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4275EF2" w14:textId="77777777" w:rsidR="00705E58" w:rsidRDefault="00705E58" w:rsidP="00E5354C">
    <w:pPr>
      <w:pStyle w:val="Header"/>
      <w:ind w:right="360" w:firstLine="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1155952050"/>
      <w:docPartObj>
        <w:docPartGallery w:val="Page Numbers (Top of Page)"/>
        <w:docPartUnique/>
      </w:docPartObj>
    </w:sdtPr>
    <w:sdtEndPr>
      <w:rPr>
        <w:rStyle w:val="PageNumber"/>
      </w:rPr>
    </w:sdtEndPr>
    <w:sdtContent>
      <w:p w14:paraId="3B7CE0B1" w14:textId="414637A2" w:rsidR="00705E58" w:rsidRDefault="00705E58" w:rsidP="009D5227">
        <w:pPr>
          <w:pStyle w:val="Header"/>
          <w:framePr w:wrap="none" w:vAnchor="text" w:hAnchor="page" w:x="10090" w:y="-6"/>
          <w:ind w:left="-582"/>
          <w:rPr>
            <w:rStyle w:val="PageNumber"/>
          </w:rPr>
        </w:pPr>
        <w:r w:rsidRPr="009F2D43">
          <w:rPr>
            <w:rStyle w:val="PageNumber"/>
          </w:rPr>
          <w:fldChar w:fldCharType="begin"/>
        </w:r>
        <w:r w:rsidRPr="009D5227">
          <w:rPr>
            <w:rStyle w:val="PageNumber"/>
          </w:rPr>
          <w:instrText xml:space="preserve"> PAGE </w:instrText>
        </w:r>
        <w:r w:rsidRPr="009F2D43">
          <w:rPr>
            <w:rStyle w:val="PageNumber"/>
          </w:rPr>
          <w:fldChar w:fldCharType="separate"/>
        </w:r>
        <w:r w:rsidR="00775125">
          <w:rPr>
            <w:rStyle w:val="PageNumber"/>
            <w:noProof/>
          </w:rPr>
          <w:t>40</w:t>
        </w:r>
        <w:r w:rsidRPr="009F2D43">
          <w:rPr>
            <w:rStyle w:val="PageNumber"/>
          </w:rPr>
          <w:fldChar w:fldCharType="end"/>
        </w:r>
      </w:p>
    </w:sdtContent>
  </w:sdt>
  <w:sdt>
    <w:sdtPr>
      <w:rPr>
        <w:rStyle w:val="PageNumber"/>
      </w:rPr>
      <w:id w:val="-585845124"/>
      <w:docPartObj>
        <w:docPartGallery w:val="Page Numbers (Top of Page)"/>
        <w:docPartUnique/>
      </w:docPartObj>
    </w:sdtPr>
    <w:sdtEndPr>
      <w:rPr>
        <w:rStyle w:val="PageNumber"/>
      </w:rPr>
    </w:sdtEndPr>
    <w:sdtContent>
      <w:p w14:paraId="05AB0511" w14:textId="1720A981" w:rsidR="00705E58" w:rsidRDefault="00705E58" w:rsidP="009D5227">
        <w:pPr>
          <w:pStyle w:val="Header"/>
          <w:framePr w:w="252" w:wrap="none" w:vAnchor="text" w:hAnchor="page" w:x="10081" w:y="6"/>
          <w:rPr>
            <w:rStyle w:val="PageNumber"/>
          </w:rPr>
        </w:pPr>
        <w:r w:rsidRPr="001E1595">
          <w:rPr>
            <w:rStyle w:val="PageNumber"/>
          </w:rPr>
          <w:fldChar w:fldCharType="begin"/>
        </w:r>
        <w:r w:rsidRPr="009D5227">
          <w:rPr>
            <w:rStyle w:val="PageNumber"/>
          </w:rPr>
          <w:instrText xml:space="preserve"> PAGE </w:instrText>
        </w:r>
        <w:r w:rsidRPr="001E1595">
          <w:rPr>
            <w:rStyle w:val="PageNumber"/>
          </w:rPr>
          <w:fldChar w:fldCharType="separate"/>
        </w:r>
        <w:r w:rsidR="00775125">
          <w:rPr>
            <w:rStyle w:val="PageNumber"/>
            <w:noProof/>
          </w:rPr>
          <w:t>40</w:t>
        </w:r>
        <w:r w:rsidRPr="001E1595">
          <w:rPr>
            <w:rStyle w:val="PageNumber"/>
          </w:rPr>
          <w:fldChar w:fldCharType="end"/>
        </w:r>
      </w:p>
    </w:sdtContent>
  </w:sdt>
  <w:p w14:paraId="7E9F6A80" w14:textId="267B3484" w:rsidR="00705E58" w:rsidRPr="001E1595" w:rsidRDefault="00705E58" w:rsidP="00E5354C">
    <w:pPr>
      <w:pStyle w:val="Header"/>
      <w:tabs>
        <w:tab w:val="clear" w:pos="4680"/>
        <w:tab w:val="clear" w:pos="9360"/>
        <w:tab w:val="right" w:pos="9072"/>
      </w:tabs>
      <w:ind w:right="-52"/>
      <w:rPr>
        <w:rFonts w:eastAsia="Calibri"/>
      </w:rPr>
    </w:pPr>
    <w:r>
      <w:rPr>
        <w:rFonts w:eastAsia="Calibri"/>
      </w:rPr>
      <w:t xml:space="preserve">NARCISSISTIC PROMOTABILITY  </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1460530895"/>
      <w:docPartObj>
        <w:docPartGallery w:val="Page Numbers (Top of Page)"/>
        <w:docPartUnique/>
      </w:docPartObj>
    </w:sdtPr>
    <w:sdtEndPr>
      <w:rPr>
        <w:rStyle w:val="PageNumber"/>
      </w:rPr>
    </w:sdtEndPr>
    <w:sdtContent>
      <w:p w14:paraId="6AE0407C" w14:textId="2A9F1843" w:rsidR="00705E58" w:rsidRPr="00417782" w:rsidRDefault="00705E58" w:rsidP="003D2F6D">
        <w:pPr>
          <w:pStyle w:val="Header"/>
          <w:framePr w:wrap="none" w:vAnchor="text" w:hAnchor="margin" w:xAlign="right" w:y="1"/>
          <w:rPr>
            <w:rStyle w:val="PageNumber"/>
          </w:rPr>
        </w:pPr>
        <w:r w:rsidRPr="00417782">
          <w:rPr>
            <w:rStyle w:val="PageNumber"/>
          </w:rPr>
          <w:fldChar w:fldCharType="begin"/>
        </w:r>
        <w:r w:rsidRPr="00417782">
          <w:rPr>
            <w:rStyle w:val="PageNumber"/>
          </w:rPr>
          <w:instrText xml:space="preserve"> PAGE </w:instrText>
        </w:r>
        <w:r w:rsidRPr="00417782">
          <w:rPr>
            <w:rStyle w:val="PageNumber"/>
          </w:rPr>
          <w:fldChar w:fldCharType="separate"/>
        </w:r>
        <w:r w:rsidR="00775125">
          <w:rPr>
            <w:rStyle w:val="PageNumber"/>
            <w:noProof/>
          </w:rPr>
          <w:t>43</w:t>
        </w:r>
        <w:r w:rsidRPr="00417782">
          <w:rPr>
            <w:rStyle w:val="PageNumber"/>
          </w:rPr>
          <w:fldChar w:fldCharType="end"/>
        </w:r>
      </w:p>
    </w:sdtContent>
  </w:sdt>
  <w:p w14:paraId="1F85DACF" w14:textId="734CA21F" w:rsidR="00705E58" w:rsidRDefault="00705E58" w:rsidP="00417782">
    <w:pPr>
      <w:pStyle w:val="Header"/>
      <w:ind w:right="360"/>
    </w:pPr>
    <w:r>
      <w:rPr>
        <w:rFonts w:eastAsia="Calibri"/>
      </w:rPr>
      <w:t>NARCISSISTIC PROMOTABILITY</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73694015"/>
      <w:docPartObj>
        <w:docPartGallery w:val="Page Numbers (Top of Page)"/>
        <w:docPartUnique/>
      </w:docPartObj>
    </w:sdtPr>
    <w:sdtEndPr>
      <w:rPr>
        <w:noProof/>
      </w:rPr>
    </w:sdtEndPr>
    <w:sdtContent>
      <w:p w14:paraId="68C3C322" w14:textId="77777777" w:rsidR="00705E58" w:rsidRPr="00E40BBF" w:rsidRDefault="00705E58" w:rsidP="00E40BBF">
        <w:pPr>
          <w:contextualSpacing/>
        </w:pPr>
        <w:r w:rsidRPr="00E40BBF">
          <w:t xml:space="preserve">WHY </w:t>
        </w:r>
        <w:r w:rsidRPr="001E48E1">
          <w:rPr>
            <w:rFonts w:eastAsia="Calibri"/>
          </w:rPr>
          <w:t>N</w:t>
        </w:r>
        <w:r>
          <w:rPr>
            <w:rFonts w:eastAsia="Calibri"/>
          </w:rPr>
          <w:t>ARCISSISTS RISE THROUGH THE RANKS</w:t>
        </w:r>
        <w:r>
          <w:rPr>
            <w:rFonts w:eastAsia="Calibri"/>
          </w:rPr>
          <w:tab/>
        </w:r>
        <w:r>
          <w:rPr>
            <w:rFonts w:eastAsia="Calibri"/>
          </w:rPr>
          <w:tab/>
        </w:r>
        <w:r>
          <w:rPr>
            <w:rFonts w:eastAsia="Calibri"/>
          </w:rPr>
          <w:tab/>
        </w:r>
        <w:r>
          <w:rPr>
            <w:rFonts w:eastAsia="Calibri"/>
          </w:rPr>
          <w:tab/>
        </w:r>
        <w:r>
          <w:rPr>
            <w:rFonts w:eastAsia="Calibri"/>
          </w:rPr>
          <w:tab/>
        </w:r>
      </w:p>
    </w:sdtContent>
  </w:sdt>
  <w:p w14:paraId="3921D04F" w14:textId="77777777" w:rsidR="00705E58" w:rsidRDefault="00705E5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C70F2"/>
    <w:multiLevelType w:val="multilevel"/>
    <w:tmpl w:val="A95A6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B00F27"/>
    <w:multiLevelType w:val="hybridMultilevel"/>
    <w:tmpl w:val="F38E1FA0"/>
    <w:lvl w:ilvl="0" w:tplc="04090001">
      <w:start w:val="1"/>
      <w:numFmt w:val="bullet"/>
      <w:lvlText w:val=""/>
      <w:lvlJc w:val="left"/>
      <w:pPr>
        <w:ind w:left="3600" w:hanging="360"/>
      </w:pPr>
      <w:rPr>
        <w:rFonts w:ascii="Symbol" w:hAnsi="Symbol" w:hint="default"/>
      </w:rPr>
    </w:lvl>
    <w:lvl w:ilvl="1" w:tplc="04090003">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 w15:restartNumberingAfterBreak="0">
    <w:nsid w:val="7F8D28C4"/>
    <w:multiLevelType w:val="multilevel"/>
    <w:tmpl w:val="27DED1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AU" w:vendorID="64" w:dllVersion="4096" w:nlCheck="1" w:checkStyle="0"/>
  <w:activeWritingStyle w:appName="MSWord" w:lang="en-US" w:vendorID="64" w:dllVersion="4096" w:nlCheck="1" w:checkStyle="0"/>
  <w:activeWritingStyle w:appName="MSWord" w:lang="nl-NL" w:vendorID="64" w:dllVersion="0" w:nlCheck="1" w:checkStyle="0"/>
  <w:activeWritingStyle w:appName="MSWord" w:lang="fr-FR" w:vendorID="64" w:dllVersion="4096" w:nlCheck="1" w:checkStyle="0"/>
  <w:activeWritingStyle w:appName="MSWord" w:lang="en-US" w:vendorID="64" w:dllVersion="6" w:nlCheck="1" w:checkStyle="1"/>
  <w:activeWritingStyle w:appName="MSWord" w:lang="en-AU" w:vendorID="64" w:dllVersion="6" w:nlCheck="1" w:checkStyle="1"/>
  <w:activeWritingStyle w:appName="MSWord" w:lang="fr-FR" w:vendorID="64" w:dllVersion="6" w:nlCheck="1" w:checkStyle="0"/>
  <w:activeWritingStyle w:appName="MSWord" w:lang="nl-NL" w:vendorID="64" w:dllVersion="4096" w:nlCheck="1" w:checkStyle="0"/>
  <w:activeWritingStyle w:appName="MSWord" w:lang="en-GB" w:vendorID="64" w:dllVersion="6" w:nlCheck="1" w:checkStyle="1"/>
  <w:activeWritingStyle w:appName="MSWord" w:lang="en-GB" w:vendorID="64" w:dllVersion="4096" w:nlCheck="1" w:checkStyle="0"/>
  <w:activeWritingStyle w:appName="MSWord" w:lang="es-ES" w:vendorID="64" w:dllVersion="6" w:nlCheck="1" w:checkStyle="0"/>
  <w:activeWritingStyle w:appName="MSWord" w:lang="en-US" w:vendorID="64" w:dllVersion="0" w:nlCheck="1" w:checkStyle="0"/>
  <w:activeWritingStyle w:appName="MSWord" w:lang="fr-FR" w:vendorID="64" w:dllVersion="0" w:nlCheck="1" w:checkStyle="0"/>
  <w:activeWritingStyle w:appName="MSWord" w:lang="en-GB" w:vendorID="64" w:dllVersion="0" w:nlCheck="1" w:checkStyle="0"/>
  <w:activeWritingStyle w:appName="MSWord" w:lang="es-ES" w:vendorID="64" w:dllVersion="0" w:nlCheck="1" w:checkStyle="0"/>
  <w:activeWritingStyle w:appName="MSWord" w:lang="de-DE" w:vendorID="64" w:dllVersion="4096" w:nlCheck="1" w:checkStyle="0"/>
  <w:activeWritingStyle w:appName="MSWord" w:lang="es-ES" w:vendorID="64" w:dllVersion="4096" w:nlCheck="1" w:checkStyle="0"/>
  <w:activeWritingStyle w:appName="MSWord" w:lang="pt-PT" w:vendorID="64" w:dllVersion="4096" w:nlCheck="1" w:checkStyle="0"/>
  <w:activeWritingStyle w:appName="MSWord" w:lang="it-IT" w:vendorID="64" w:dllVersion="4096" w:nlCheck="1" w:checkStyle="0"/>
  <w:activeWritingStyle w:appName="MSWord" w:lang="en-US" w:vendorID="64" w:dllVersion="131078" w:nlCheck="1" w:checkStyle="1"/>
  <w:activeWritingStyle w:appName="MSWord" w:lang="fr-FR" w:vendorID="64" w:dllVersion="131078" w:nlCheck="1" w:checkStyle="0"/>
  <w:activeWritingStyle w:appName="MSWord" w:lang="en-GB" w:vendorID="64" w:dllVersion="131078" w:nlCheck="1" w:checkStyle="1"/>
  <w:activeWritingStyle w:appName="MSWord" w:lang="en-AU" w:vendorID="2" w:dllVersion="6" w:checkStyle="0"/>
  <w:activeWritingStyle w:appName="MSWord" w:lang="nl-NL" w:vendorID="1" w:dllVersion="512" w:checkStyle="1"/>
  <w:defaultTabStop w:val="720"/>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51BC"/>
    <w:rsid w:val="00001088"/>
    <w:rsid w:val="0000108E"/>
    <w:rsid w:val="0000113D"/>
    <w:rsid w:val="00001395"/>
    <w:rsid w:val="0000167F"/>
    <w:rsid w:val="00002AC4"/>
    <w:rsid w:val="00004029"/>
    <w:rsid w:val="0000435A"/>
    <w:rsid w:val="00004A24"/>
    <w:rsid w:val="00006403"/>
    <w:rsid w:val="0000654D"/>
    <w:rsid w:val="000075A8"/>
    <w:rsid w:val="00010308"/>
    <w:rsid w:val="000121B2"/>
    <w:rsid w:val="000121B3"/>
    <w:rsid w:val="00012F99"/>
    <w:rsid w:val="00013AFA"/>
    <w:rsid w:val="0001664A"/>
    <w:rsid w:val="000168F5"/>
    <w:rsid w:val="00020AC8"/>
    <w:rsid w:val="000217D2"/>
    <w:rsid w:val="00021E45"/>
    <w:rsid w:val="000237E6"/>
    <w:rsid w:val="00023D75"/>
    <w:rsid w:val="00023F87"/>
    <w:rsid w:val="0003007E"/>
    <w:rsid w:val="000308C4"/>
    <w:rsid w:val="00030E9A"/>
    <w:rsid w:val="000316CA"/>
    <w:rsid w:val="00033B8A"/>
    <w:rsid w:val="0003620F"/>
    <w:rsid w:val="00036540"/>
    <w:rsid w:val="000375DC"/>
    <w:rsid w:val="000379F9"/>
    <w:rsid w:val="00040E00"/>
    <w:rsid w:val="00041750"/>
    <w:rsid w:val="00042F60"/>
    <w:rsid w:val="00044478"/>
    <w:rsid w:val="00045C78"/>
    <w:rsid w:val="000461C5"/>
    <w:rsid w:val="0004638B"/>
    <w:rsid w:val="00046675"/>
    <w:rsid w:val="000477A4"/>
    <w:rsid w:val="00047EA5"/>
    <w:rsid w:val="0005013F"/>
    <w:rsid w:val="00052337"/>
    <w:rsid w:val="00052A73"/>
    <w:rsid w:val="00052E50"/>
    <w:rsid w:val="00053E34"/>
    <w:rsid w:val="00055C27"/>
    <w:rsid w:val="00055E8B"/>
    <w:rsid w:val="00057AE0"/>
    <w:rsid w:val="00060531"/>
    <w:rsid w:val="00061948"/>
    <w:rsid w:val="00062A6D"/>
    <w:rsid w:val="00062EF2"/>
    <w:rsid w:val="00063104"/>
    <w:rsid w:val="00063701"/>
    <w:rsid w:val="000642B1"/>
    <w:rsid w:val="00064FBB"/>
    <w:rsid w:val="00065197"/>
    <w:rsid w:val="0006783F"/>
    <w:rsid w:val="0007145F"/>
    <w:rsid w:val="0007251D"/>
    <w:rsid w:val="00073359"/>
    <w:rsid w:val="00075713"/>
    <w:rsid w:val="00075EC7"/>
    <w:rsid w:val="00076E4A"/>
    <w:rsid w:val="000770F0"/>
    <w:rsid w:val="000802B6"/>
    <w:rsid w:val="00081256"/>
    <w:rsid w:val="00083E3A"/>
    <w:rsid w:val="00083ED3"/>
    <w:rsid w:val="000851D3"/>
    <w:rsid w:val="0008604F"/>
    <w:rsid w:val="00086070"/>
    <w:rsid w:val="00087FE1"/>
    <w:rsid w:val="000906E3"/>
    <w:rsid w:val="0009257E"/>
    <w:rsid w:val="00092E85"/>
    <w:rsid w:val="000939CF"/>
    <w:rsid w:val="00094270"/>
    <w:rsid w:val="00094A36"/>
    <w:rsid w:val="0009573F"/>
    <w:rsid w:val="00096607"/>
    <w:rsid w:val="000A181F"/>
    <w:rsid w:val="000A2CAC"/>
    <w:rsid w:val="000A4FE1"/>
    <w:rsid w:val="000B00AA"/>
    <w:rsid w:val="000B176F"/>
    <w:rsid w:val="000B2AEE"/>
    <w:rsid w:val="000B5286"/>
    <w:rsid w:val="000B7A4E"/>
    <w:rsid w:val="000B7C0F"/>
    <w:rsid w:val="000B7DCC"/>
    <w:rsid w:val="000B7F0A"/>
    <w:rsid w:val="000C034D"/>
    <w:rsid w:val="000C1513"/>
    <w:rsid w:val="000C21CA"/>
    <w:rsid w:val="000C44A8"/>
    <w:rsid w:val="000C7E87"/>
    <w:rsid w:val="000D107A"/>
    <w:rsid w:val="000D23D2"/>
    <w:rsid w:val="000D279E"/>
    <w:rsid w:val="000E163E"/>
    <w:rsid w:val="000E2AA6"/>
    <w:rsid w:val="000E2F8B"/>
    <w:rsid w:val="000E3F73"/>
    <w:rsid w:val="000E53FA"/>
    <w:rsid w:val="000E5424"/>
    <w:rsid w:val="000E6794"/>
    <w:rsid w:val="000E7AAF"/>
    <w:rsid w:val="000F02AD"/>
    <w:rsid w:val="000F1B5F"/>
    <w:rsid w:val="000F330D"/>
    <w:rsid w:val="000F361E"/>
    <w:rsid w:val="000F362F"/>
    <w:rsid w:val="000F3CFD"/>
    <w:rsid w:val="000F3D81"/>
    <w:rsid w:val="000F400B"/>
    <w:rsid w:val="000F45C4"/>
    <w:rsid w:val="000F4624"/>
    <w:rsid w:val="000F7F39"/>
    <w:rsid w:val="00101A0D"/>
    <w:rsid w:val="001022B9"/>
    <w:rsid w:val="00102380"/>
    <w:rsid w:val="00104D79"/>
    <w:rsid w:val="001059E7"/>
    <w:rsid w:val="00105BED"/>
    <w:rsid w:val="00106874"/>
    <w:rsid w:val="001074CB"/>
    <w:rsid w:val="00107D2B"/>
    <w:rsid w:val="00107E74"/>
    <w:rsid w:val="00110B32"/>
    <w:rsid w:val="00110E65"/>
    <w:rsid w:val="001116DE"/>
    <w:rsid w:val="00112B53"/>
    <w:rsid w:val="001142C9"/>
    <w:rsid w:val="0011492E"/>
    <w:rsid w:val="00116721"/>
    <w:rsid w:val="00116C7D"/>
    <w:rsid w:val="00116D44"/>
    <w:rsid w:val="001175B5"/>
    <w:rsid w:val="001225D6"/>
    <w:rsid w:val="00122C76"/>
    <w:rsid w:val="001243E3"/>
    <w:rsid w:val="001257FA"/>
    <w:rsid w:val="00126781"/>
    <w:rsid w:val="00126A92"/>
    <w:rsid w:val="0012744B"/>
    <w:rsid w:val="00127C6F"/>
    <w:rsid w:val="00130131"/>
    <w:rsid w:val="00130293"/>
    <w:rsid w:val="00130E8F"/>
    <w:rsid w:val="00131329"/>
    <w:rsid w:val="00132A70"/>
    <w:rsid w:val="00132FDF"/>
    <w:rsid w:val="00133009"/>
    <w:rsid w:val="001368CD"/>
    <w:rsid w:val="0014040E"/>
    <w:rsid w:val="001413AB"/>
    <w:rsid w:val="001417E0"/>
    <w:rsid w:val="001418C0"/>
    <w:rsid w:val="00141C77"/>
    <w:rsid w:val="0014224E"/>
    <w:rsid w:val="00147DED"/>
    <w:rsid w:val="00147F08"/>
    <w:rsid w:val="00150DA4"/>
    <w:rsid w:val="001517BE"/>
    <w:rsid w:val="00151945"/>
    <w:rsid w:val="00151C70"/>
    <w:rsid w:val="001528C7"/>
    <w:rsid w:val="00153EF9"/>
    <w:rsid w:val="00154F9F"/>
    <w:rsid w:val="001552B4"/>
    <w:rsid w:val="00155A71"/>
    <w:rsid w:val="00155F0B"/>
    <w:rsid w:val="00157D0C"/>
    <w:rsid w:val="00161365"/>
    <w:rsid w:val="00161562"/>
    <w:rsid w:val="00163A81"/>
    <w:rsid w:val="00164408"/>
    <w:rsid w:val="00164CED"/>
    <w:rsid w:val="00166332"/>
    <w:rsid w:val="00167FF3"/>
    <w:rsid w:val="001702AB"/>
    <w:rsid w:val="0017070F"/>
    <w:rsid w:val="00170777"/>
    <w:rsid w:val="00172108"/>
    <w:rsid w:val="00172916"/>
    <w:rsid w:val="00172CAD"/>
    <w:rsid w:val="00173976"/>
    <w:rsid w:val="001747FE"/>
    <w:rsid w:val="00175205"/>
    <w:rsid w:val="00176FFA"/>
    <w:rsid w:val="0017727B"/>
    <w:rsid w:val="00177E32"/>
    <w:rsid w:val="00180E78"/>
    <w:rsid w:val="0018165B"/>
    <w:rsid w:val="001821E6"/>
    <w:rsid w:val="00183701"/>
    <w:rsid w:val="001842CE"/>
    <w:rsid w:val="00184F02"/>
    <w:rsid w:val="0018666B"/>
    <w:rsid w:val="0018716F"/>
    <w:rsid w:val="00191105"/>
    <w:rsid w:val="00191EFD"/>
    <w:rsid w:val="001921A5"/>
    <w:rsid w:val="00193E89"/>
    <w:rsid w:val="00194AA5"/>
    <w:rsid w:val="00195A81"/>
    <w:rsid w:val="00195BE2"/>
    <w:rsid w:val="001961E1"/>
    <w:rsid w:val="001A0D13"/>
    <w:rsid w:val="001A0FFA"/>
    <w:rsid w:val="001A1393"/>
    <w:rsid w:val="001A15B6"/>
    <w:rsid w:val="001A2DAD"/>
    <w:rsid w:val="001A30E5"/>
    <w:rsid w:val="001A3125"/>
    <w:rsid w:val="001A32A5"/>
    <w:rsid w:val="001A4B5E"/>
    <w:rsid w:val="001A6415"/>
    <w:rsid w:val="001A665E"/>
    <w:rsid w:val="001A731F"/>
    <w:rsid w:val="001B0137"/>
    <w:rsid w:val="001B1D7A"/>
    <w:rsid w:val="001B222C"/>
    <w:rsid w:val="001B3679"/>
    <w:rsid w:val="001B36F7"/>
    <w:rsid w:val="001B3D94"/>
    <w:rsid w:val="001B4719"/>
    <w:rsid w:val="001B478D"/>
    <w:rsid w:val="001B5ED8"/>
    <w:rsid w:val="001B606A"/>
    <w:rsid w:val="001B7D9C"/>
    <w:rsid w:val="001C1905"/>
    <w:rsid w:val="001C2BED"/>
    <w:rsid w:val="001C3239"/>
    <w:rsid w:val="001C37C5"/>
    <w:rsid w:val="001C667D"/>
    <w:rsid w:val="001C6C35"/>
    <w:rsid w:val="001C76AB"/>
    <w:rsid w:val="001C7D6F"/>
    <w:rsid w:val="001D04B4"/>
    <w:rsid w:val="001D10AB"/>
    <w:rsid w:val="001D1B51"/>
    <w:rsid w:val="001D3808"/>
    <w:rsid w:val="001D3A5A"/>
    <w:rsid w:val="001D4206"/>
    <w:rsid w:val="001D4C2C"/>
    <w:rsid w:val="001D53FE"/>
    <w:rsid w:val="001D6917"/>
    <w:rsid w:val="001D6CEC"/>
    <w:rsid w:val="001D7CEF"/>
    <w:rsid w:val="001E0021"/>
    <w:rsid w:val="001E0B01"/>
    <w:rsid w:val="001E10F8"/>
    <w:rsid w:val="001E1595"/>
    <w:rsid w:val="001E21FA"/>
    <w:rsid w:val="001E2BF1"/>
    <w:rsid w:val="001E2EDC"/>
    <w:rsid w:val="001E317D"/>
    <w:rsid w:val="001E43D2"/>
    <w:rsid w:val="001E48E1"/>
    <w:rsid w:val="001E57AA"/>
    <w:rsid w:val="001E5D0F"/>
    <w:rsid w:val="001E68A4"/>
    <w:rsid w:val="001E741C"/>
    <w:rsid w:val="001E754C"/>
    <w:rsid w:val="001E7F37"/>
    <w:rsid w:val="001E7F4A"/>
    <w:rsid w:val="001F205A"/>
    <w:rsid w:val="001F20F1"/>
    <w:rsid w:val="001F2E93"/>
    <w:rsid w:val="001F4196"/>
    <w:rsid w:val="001F5423"/>
    <w:rsid w:val="001F5A9D"/>
    <w:rsid w:val="001F6D0F"/>
    <w:rsid w:val="001F6FC8"/>
    <w:rsid w:val="00201847"/>
    <w:rsid w:val="00201B04"/>
    <w:rsid w:val="00201E05"/>
    <w:rsid w:val="00202DD6"/>
    <w:rsid w:val="0020357C"/>
    <w:rsid w:val="00203625"/>
    <w:rsid w:val="002042E6"/>
    <w:rsid w:val="00204EE4"/>
    <w:rsid w:val="002059A2"/>
    <w:rsid w:val="00205E91"/>
    <w:rsid w:val="0020633D"/>
    <w:rsid w:val="00206BB9"/>
    <w:rsid w:val="00206DE4"/>
    <w:rsid w:val="00207590"/>
    <w:rsid w:val="002105A5"/>
    <w:rsid w:val="00210891"/>
    <w:rsid w:val="00210B29"/>
    <w:rsid w:val="00211A96"/>
    <w:rsid w:val="00211EA3"/>
    <w:rsid w:val="00211FE4"/>
    <w:rsid w:val="00213DBB"/>
    <w:rsid w:val="00213F53"/>
    <w:rsid w:val="00216093"/>
    <w:rsid w:val="00216B72"/>
    <w:rsid w:val="0021797A"/>
    <w:rsid w:val="002179A8"/>
    <w:rsid w:val="00217DB9"/>
    <w:rsid w:val="002221C8"/>
    <w:rsid w:val="0022269F"/>
    <w:rsid w:val="00223942"/>
    <w:rsid w:val="002243A4"/>
    <w:rsid w:val="00225BE7"/>
    <w:rsid w:val="0022609C"/>
    <w:rsid w:val="00227407"/>
    <w:rsid w:val="00230230"/>
    <w:rsid w:val="00230372"/>
    <w:rsid w:val="002305D4"/>
    <w:rsid w:val="002307D2"/>
    <w:rsid w:val="002318D3"/>
    <w:rsid w:val="00231EB8"/>
    <w:rsid w:val="00231F3C"/>
    <w:rsid w:val="00232968"/>
    <w:rsid w:val="00232EA2"/>
    <w:rsid w:val="002333B7"/>
    <w:rsid w:val="00233C68"/>
    <w:rsid w:val="00234008"/>
    <w:rsid w:val="002362F9"/>
    <w:rsid w:val="00236932"/>
    <w:rsid w:val="00237025"/>
    <w:rsid w:val="002374EF"/>
    <w:rsid w:val="00237532"/>
    <w:rsid w:val="00237BF6"/>
    <w:rsid w:val="00240330"/>
    <w:rsid w:val="00241369"/>
    <w:rsid w:val="002428ED"/>
    <w:rsid w:val="00247B95"/>
    <w:rsid w:val="00250E55"/>
    <w:rsid w:val="0025139C"/>
    <w:rsid w:val="00251E44"/>
    <w:rsid w:val="002528EA"/>
    <w:rsid w:val="002530D8"/>
    <w:rsid w:val="002534E1"/>
    <w:rsid w:val="00254631"/>
    <w:rsid w:val="00254AB1"/>
    <w:rsid w:val="00255218"/>
    <w:rsid w:val="0025578F"/>
    <w:rsid w:val="002563CD"/>
    <w:rsid w:val="00257FCE"/>
    <w:rsid w:val="002619B1"/>
    <w:rsid w:val="00261B45"/>
    <w:rsid w:val="00264121"/>
    <w:rsid w:val="00264733"/>
    <w:rsid w:val="00264B96"/>
    <w:rsid w:val="00265AB5"/>
    <w:rsid w:val="00267077"/>
    <w:rsid w:val="002678B4"/>
    <w:rsid w:val="00270406"/>
    <w:rsid w:val="00270515"/>
    <w:rsid w:val="0027102C"/>
    <w:rsid w:val="002723A9"/>
    <w:rsid w:val="0027383B"/>
    <w:rsid w:val="00275CC1"/>
    <w:rsid w:val="00277847"/>
    <w:rsid w:val="00280990"/>
    <w:rsid w:val="002815E4"/>
    <w:rsid w:val="00282636"/>
    <w:rsid w:val="00282A3C"/>
    <w:rsid w:val="0028341E"/>
    <w:rsid w:val="00284945"/>
    <w:rsid w:val="00285622"/>
    <w:rsid w:val="00286BDF"/>
    <w:rsid w:val="00292A16"/>
    <w:rsid w:val="00293915"/>
    <w:rsid w:val="00293C50"/>
    <w:rsid w:val="00294FBD"/>
    <w:rsid w:val="002959A2"/>
    <w:rsid w:val="002966B7"/>
    <w:rsid w:val="0029743D"/>
    <w:rsid w:val="00297C24"/>
    <w:rsid w:val="002A07A4"/>
    <w:rsid w:val="002A0874"/>
    <w:rsid w:val="002A1FFA"/>
    <w:rsid w:val="002A3EB7"/>
    <w:rsid w:val="002A4802"/>
    <w:rsid w:val="002A643A"/>
    <w:rsid w:val="002A6B1A"/>
    <w:rsid w:val="002A6EC9"/>
    <w:rsid w:val="002A7CD7"/>
    <w:rsid w:val="002A7CF2"/>
    <w:rsid w:val="002B0360"/>
    <w:rsid w:val="002B225C"/>
    <w:rsid w:val="002B29D6"/>
    <w:rsid w:val="002B4517"/>
    <w:rsid w:val="002B46CD"/>
    <w:rsid w:val="002B5128"/>
    <w:rsid w:val="002B5AE3"/>
    <w:rsid w:val="002B73C5"/>
    <w:rsid w:val="002B7F12"/>
    <w:rsid w:val="002C0B61"/>
    <w:rsid w:val="002C1A64"/>
    <w:rsid w:val="002C2074"/>
    <w:rsid w:val="002C22BE"/>
    <w:rsid w:val="002C2645"/>
    <w:rsid w:val="002C28E1"/>
    <w:rsid w:val="002C2AE6"/>
    <w:rsid w:val="002C4E7C"/>
    <w:rsid w:val="002C5D07"/>
    <w:rsid w:val="002C751A"/>
    <w:rsid w:val="002D1BA2"/>
    <w:rsid w:val="002D2302"/>
    <w:rsid w:val="002D359C"/>
    <w:rsid w:val="002D3732"/>
    <w:rsid w:val="002E03BB"/>
    <w:rsid w:val="002E0B64"/>
    <w:rsid w:val="002E560D"/>
    <w:rsid w:val="002E66A1"/>
    <w:rsid w:val="002E66EA"/>
    <w:rsid w:val="002F2195"/>
    <w:rsid w:val="002F231F"/>
    <w:rsid w:val="002F240E"/>
    <w:rsid w:val="002F284C"/>
    <w:rsid w:val="002F2A69"/>
    <w:rsid w:val="002F333C"/>
    <w:rsid w:val="002F5F3E"/>
    <w:rsid w:val="002F6046"/>
    <w:rsid w:val="002F63F9"/>
    <w:rsid w:val="002F6425"/>
    <w:rsid w:val="002F71CD"/>
    <w:rsid w:val="002F772B"/>
    <w:rsid w:val="00300124"/>
    <w:rsid w:val="00300342"/>
    <w:rsid w:val="00300E84"/>
    <w:rsid w:val="003019FE"/>
    <w:rsid w:val="00303524"/>
    <w:rsid w:val="00303A31"/>
    <w:rsid w:val="00304027"/>
    <w:rsid w:val="00306787"/>
    <w:rsid w:val="00307F7A"/>
    <w:rsid w:val="00311105"/>
    <w:rsid w:val="003124D1"/>
    <w:rsid w:val="003145FF"/>
    <w:rsid w:val="003155BE"/>
    <w:rsid w:val="00315980"/>
    <w:rsid w:val="00316E26"/>
    <w:rsid w:val="00317A9E"/>
    <w:rsid w:val="003208DE"/>
    <w:rsid w:val="00321872"/>
    <w:rsid w:val="00321C40"/>
    <w:rsid w:val="00324EE8"/>
    <w:rsid w:val="0032545E"/>
    <w:rsid w:val="00326A31"/>
    <w:rsid w:val="00326D02"/>
    <w:rsid w:val="00326DDB"/>
    <w:rsid w:val="003303F0"/>
    <w:rsid w:val="00330507"/>
    <w:rsid w:val="00331570"/>
    <w:rsid w:val="00331FBB"/>
    <w:rsid w:val="00332939"/>
    <w:rsid w:val="00332D6E"/>
    <w:rsid w:val="003333A6"/>
    <w:rsid w:val="003344EA"/>
    <w:rsid w:val="0033483A"/>
    <w:rsid w:val="00334864"/>
    <w:rsid w:val="003351CD"/>
    <w:rsid w:val="00335D1B"/>
    <w:rsid w:val="003363EE"/>
    <w:rsid w:val="003364C0"/>
    <w:rsid w:val="00336991"/>
    <w:rsid w:val="00340175"/>
    <w:rsid w:val="00340828"/>
    <w:rsid w:val="00341EC6"/>
    <w:rsid w:val="00344D0B"/>
    <w:rsid w:val="00345F8F"/>
    <w:rsid w:val="00347A01"/>
    <w:rsid w:val="00350645"/>
    <w:rsid w:val="003522D4"/>
    <w:rsid w:val="003531C8"/>
    <w:rsid w:val="0035349B"/>
    <w:rsid w:val="00355AE6"/>
    <w:rsid w:val="00356AC5"/>
    <w:rsid w:val="0035789C"/>
    <w:rsid w:val="0036011C"/>
    <w:rsid w:val="00361B79"/>
    <w:rsid w:val="00361D24"/>
    <w:rsid w:val="00363BDA"/>
    <w:rsid w:val="00364864"/>
    <w:rsid w:val="003654E5"/>
    <w:rsid w:val="003661F0"/>
    <w:rsid w:val="00371DD8"/>
    <w:rsid w:val="003725CD"/>
    <w:rsid w:val="00372BE7"/>
    <w:rsid w:val="003735CA"/>
    <w:rsid w:val="00375A6A"/>
    <w:rsid w:val="003778AE"/>
    <w:rsid w:val="00377F77"/>
    <w:rsid w:val="00380158"/>
    <w:rsid w:val="003808AF"/>
    <w:rsid w:val="003815FF"/>
    <w:rsid w:val="00381DB5"/>
    <w:rsid w:val="00382BDE"/>
    <w:rsid w:val="0038469A"/>
    <w:rsid w:val="00384ED3"/>
    <w:rsid w:val="003863AE"/>
    <w:rsid w:val="00390B92"/>
    <w:rsid w:val="00391360"/>
    <w:rsid w:val="003915E2"/>
    <w:rsid w:val="00391742"/>
    <w:rsid w:val="0039223C"/>
    <w:rsid w:val="0039233A"/>
    <w:rsid w:val="00392B8F"/>
    <w:rsid w:val="00393C4A"/>
    <w:rsid w:val="00393D8C"/>
    <w:rsid w:val="00394651"/>
    <w:rsid w:val="00395129"/>
    <w:rsid w:val="0039512A"/>
    <w:rsid w:val="00397F98"/>
    <w:rsid w:val="003A245A"/>
    <w:rsid w:val="003A35C0"/>
    <w:rsid w:val="003A384A"/>
    <w:rsid w:val="003A4D5E"/>
    <w:rsid w:val="003B0D93"/>
    <w:rsid w:val="003B1293"/>
    <w:rsid w:val="003B1AAF"/>
    <w:rsid w:val="003B1B96"/>
    <w:rsid w:val="003B2406"/>
    <w:rsid w:val="003B35BE"/>
    <w:rsid w:val="003B3ADB"/>
    <w:rsid w:val="003B48E0"/>
    <w:rsid w:val="003B4EB9"/>
    <w:rsid w:val="003B5D28"/>
    <w:rsid w:val="003B63CC"/>
    <w:rsid w:val="003B758F"/>
    <w:rsid w:val="003C251C"/>
    <w:rsid w:val="003C4AFF"/>
    <w:rsid w:val="003C53B8"/>
    <w:rsid w:val="003C6687"/>
    <w:rsid w:val="003D0002"/>
    <w:rsid w:val="003D27BC"/>
    <w:rsid w:val="003D2F6D"/>
    <w:rsid w:val="003D34E3"/>
    <w:rsid w:val="003D402F"/>
    <w:rsid w:val="003D46FD"/>
    <w:rsid w:val="003D4721"/>
    <w:rsid w:val="003D51A3"/>
    <w:rsid w:val="003D57C7"/>
    <w:rsid w:val="003D6E99"/>
    <w:rsid w:val="003D70B4"/>
    <w:rsid w:val="003D7A5A"/>
    <w:rsid w:val="003E0274"/>
    <w:rsid w:val="003E0B3E"/>
    <w:rsid w:val="003E0C65"/>
    <w:rsid w:val="003E2413"/>
    <w:rsid w:val="003E28F2"/>
    <w:rsid w:val="003E2954"/>
    <w:rsid w:val="003E30A8"/>
    <w:rsid w:val="003E36C3"/>
    <w:rsid w:val="003E5E0F"/>
    <w:rsid w:val="003E719E"/>
    <w:rsid w:val="003E7603"/>
    <w:rsid w:val="003E7950"/>
    <w:rsid w:val="003F027D"/>
    <w:rsid w:val="003F17C6"/>
    <w:rsid w:val="003F17CA"/>
    <w:rsid w:val="003F20E8"/>
    <w:rsid w:val="003F24F3"/>
    <w:rsid w:val="003F31E7"/>
    <w:rsid w:val="003F37D4"/>
    <w:rsid w:val="003F3A04"/>
    <w:rsid w:val="003F6289"/>
    <w:rsid w:val="003F772E"/>
    <w:rsid w:val="003F7D65"/>
    <w:rsid w:val="00402105"/>
    <w:rsid w:val="00402C38"/>
    <w:rsid w:val="004033F2"/>
    <w:rsid w:val="004049E3"/>
    <w:rsid w:val="00404E76"/>
    <w:rsid w:val="0040735D"/>
    <w:rsid w:val="00407A1C"/>
    <w:rsid w:val="00407E66"/>
    <w:rsid w:val="00410244"/>
    <w:rsid w:val="00410817"/>
    <w:rsid w:val="0041230A"/>
    <w:rsid w:val="004126AE"/>
    <w:rsid w:val="0041404C"/>
    <w:rsid w:val="0041426D"/>
    <w:rsid w:val="004163B3"/>
    <w:rsid w:val="00417782"/>
    <w:rsid w:val="004177BF"/>
    <w:rsid w:val="00417A6C"/>
    <w:rsid w:val="00417AFD"/>
    <w:rsid w:val="00420C84"/>
    <w:rsid w:val="00421BCD"/>
    <w:rsid w:val="004223F3"/>
    <w:rsid w:val="00423524"/>
    <w:rsid w:val="00424021"/>
    <w:rsid w:val="00424D58"/>
    <w:rsid w:val="004250C0"/>
    <w:rsid w:val="0042510D"/>
    <w:rsid w:val="00426BF4"/>
    <w:rsid w:val="00426C07"/>
    <w:rsid w:val="00426EED"/>
    <w:rsid w:val="00427A8D"/>
    <w:rsid w:val="004306C5"/>
    <w:rsid w:val="0043281F"/>
    <w:rsid w:val="00432B9C"/>
    <w:rsid w:val="00433467"/>
    <w:rsid w:val="0043494F"/>
    <w:rsid w:val="004356C7"/>
    <w:rsid w:val="00435B01"/>
    <w:rsid w:val="004368D3"/>
    <w:rsid w:val="00437966"/>
    <w:rsid w:val="0044003C"/>
    <w:rsid w:val="0044140E"/>
    <w:rsid w:val="004439F2"/>
    <w:rsid w:val="00444D99"/>
    <w:rsid w:val="00444E47"/>
    <w:rsid w:val="004457D2"/>
    <w:rsid w:val="0045035D"/>
    <w:rsid w:val="00450870"/>
    <w:rsid w:val="00451C86"/>
    <w:rsid w:val="00452B63"/>
    <w:rsid w:val="00453D5E"/>
    <w:rsid w:val="00454056"/>
    <w:rsid w:val="00456C03"/>
    <w:rsid w:val="004610B7"/>
    <w:rsid w:val="0046178E"/>
    <w:rsid w:val="00462587"/>
    <w:rsid w:val="00465E9B"/>
    <w:rsid w:val="00467102"/>
    <w:rsid w:val="0046730A"/>
    <w:rsid w:val="0046792B"/>
    <w:rsid w:val="0047099F"/>
    <w:rsid w:val="0047191B"/>
    <w:rsid w:val="00471D84"/>
    <w:rsid w:val="004726B4"/>
    <w:rsid w:val="00473484"/>
    <w:rsid w:val="00473857"/>
    <w:rsid w:val="00473D85"/>
    <w:rsid w:val="00482844"/>
    <w:rsid w:val="0048374E"/>
    <w:rsid w:val="00483816"/>
    <w:rsid w:val="004844C5"/>
    <w:rsid w:val="00484E0A"/>
    <w:rsid w:val="004851CE"/>
    <w:rsid w:val="00485EC6"/>
    <w:rsid w:val="0048601D"/>
    <w:rsid w:val="004875BA"/>
    <w:rsid w:val="004879EF"/>
    <w:rsid w:val="00487DDF"/>
    <w:rsid w:val="00490019"/>
    <w:rsid w:val="00490519"/>
    <w:rsid w:val="00490944"/>
    <w:rsid w:val="00490EC6"/>
    <w:rsid w:val="00491925"/>
    <w:rsid w:val="00491B66"/>
    <w:rsid w:val="00493843"/>
    <w:rsid w:val="00494581"/>
    <w:rsid w:val="004946AF"/>
    <w:rsid w:val="00494A86"/>
    <w:rsid w:val="00495C0B"/>
    <w:rsid w:val="00495D6D"/>
    <w:rsid w:val="00496C3F"/>
    <w:rsid w:val="004A0803"/>
    <w:rsid w:val="004A1636"/>
    <w:rsid w:val="004A447C"/>
    <w:rsid w:val="004A7EB9"/>
    <w:rsid w:val="004B020E"/>
    <w:rsid w:val="004B0C95"/>
    <w:rsid w:val="004B20DA"/>
    <w:rsid w:val="004B37EB"/>
    <w:rsid w:val="004B37EF"/>
    <w:rsid w:val="004B4062"/>
    <w:rsid w:val="004B5542"/>
    <w:rsid w:val="004B6643"/>
    <w:rsid w:val="004B6BDA"/>
    <w:rsid w:val="004B6E84"/>
    <w:rsid w:val="004C2022"/>
    <w:rsid w:val="004C28FB"/>
    <w:rsid w:val="004C333F"/>
    <w:rsid w:val="004C3C58"/>
    <w:rsid w:val="004C3F6F"/>
    <w:rsid w:val="004C5476"/>
    <w:rsid w:val="004C6D7E"/>
    <w:rsid w:val="004D096E"/>
    <w:rsid w:val="004D227C"/>
    <w:rsid w:val="004D296B"/>
    <w:rsid w:val="004D35C5"/>
    <w:rsid w:val="004D4751"/>
    <w:rsid w:val="004D61AA"/>
    <w:rsid w:val="004D6EBF"/>
    <w:rsid w:val="004D7CF3"/>
    <w:rsid w:val="004E04AF"/>
    <w:rsid w:val="004E0EFC"/>
    <w:rsid w:val="004E1B7B"/>
    <w:rsid w:val="004E3C5C"/>
    <w:rsid w:val="004E3C89"/>
    <w:rsid w:val="004E4525"/>
    <w:rsid w:val="004E5D68"/>
    <w:rsid w:val="004E65BC"/>
    <w:rsid w:val="004E7283"/>
    <w:rsid w:val="004F098A"/>
    <w:rsid w:val="004F0D26"/>
    <w:rsid w:val="004F1718"/>
    <w:rsid w:val="004F647B"/>
    <w:rsid w:val="004F720A"/>
    <w:rsid w:val="00500B20"/>
    <w:rsid w:val="00500FE8"/>
    <w:rsid w:val="0050142E"/>
    <w:rsid w:val="005024B7"/>
    <w:rsid w:val="00502C52"/>
    <w:rsid w:val="005037F5"/>
    <w:rsid w:val="005047DC"/>
    <w:rsid w:val="00504A00"/>
    <w:rsid w:val="00504C75"/>
    <w:rsid w:val="00504E4C"/>
    <w:rsid w:val="0050505B"/>
    <w:rsid w:val="005071D0"/>
    <w:rsid w:val="005101EF"/>
    <w:rsid w:val="005106AD"/>
    <w:rsid w:val="00510EFD"/>
    <w:rsid w:val="00511AA4"/>
    <w:rsid w:val="005123E9"/>
    <w:rsid w:val="0051405C"/>
    <w:rsid w:val="00514D4F"/>
    <w:rsid w:val="005160C6"/>
    <w:rsid w:val="005172BC"/>
    <w:rsid w:val="005204B4"/>
    <w:rsid w:val="005213C5"/>
    <w:rsid w:val="00521629"/>
    <w:rsid w:val="00523C7B"/>
    <w:rsid w:val="00524BF4"/>
    <w:rsid w:val="00526C79"/>
    <w:rsid w:val="0053273E"/>
    <w:rsid w:val="00534069"/>
    <w:rsid w:val="00534138"/>
    <w:rsid w:val="00534201"/>
    <w:rsid w:val="005401CD"/>
    <w:rsid w:val="00541F02"/>
    <w:rsid w:val="005426AE"/>
    <w:rsid w:val="00543B7B"/>
    <w:rsid w:val="005453C7"/>
    <w:rsid w:val="00546216"/>
    <w:rsid w:val="005518B3"/>
    <w:rsid w:val="005537D6"/>
    <w:rsid w:val="005539F6"/>
    <w:rsid w:val="00553F63"/>
    <w:rsid w:val="00555A88"/>
    <w:rsid w:val="0055683F"/>
    <w:rsid w:val="005570B4"/>
    <w:rsid w:val="005629D7"/>
    <w:rsid w:val="005635E7"/>
    <w:rsid w:val="005638D2"/>
    <w:rsid w:val="00563CD4"/>
    <w:rsid w:val="00566BCE"/>
    <w:rsid w:val="00566E0D"/>
    <w:rsid w:val="00567129"/>
    <w:rsid w:val="0056717E"/>
    <w:rsid w:val="00567317"/>
    <w:rsid w:val="00567FCA"/>
    <w:rsid w:val="005711A5"/>
    <w:rsid w:val="00571CC8"/>
    <w:rsid w:val="00573342"/>
    <w:rsid w:val="00573DC8"/>
    <w:rsid w:val="00574746"/>
    <w:rsid w:val="005751AE"/>
    <w:rsid w:val="005779CC"/>
    <w:rsid w:val="0058181B"/>
    <w:rsid w:val="005818CB"/>
    <w:rsid w:val="00583093"/>
    <w:rsid w:val="00583C55"/>
    <w:rsid w:val="00586C77"/>
    <w:rsid w:val="005876F4"/>
    <w:rsid w:val="00587A10"/>
    <w:rsid w:val="0059008C"/>
    <w:rsid w:val="005927A5"/>
    <w:rsid w:val="00596382"/>
    <w:rsid w:val="005969C4"/>
    <w:rsid w:val="00597371"/>
    <w:rsid w:val="0059768B"/>
    <w:rsid w:val="005A01A0"/>
    <w:rsid w:val="005A0870"/>
    <w:rsid w:val="005A0F65"/>
    <w:rsid w:val="005A279D"/>
    <w:rsid w:val="005A4195"/>
    <w:rsid w:val="005A4CA1"/>
    <w:rsid w:val="005A55A0"/>
    <w:rsid w:val="005A613D"/>
    <w:rsid w:val="005A635C"/>
    <w:rsid w:val="005A63BF"/>
    <w:rsid w:val="005A6770"/>
    <w:rsid w:val="005A6C54"/>
    <w:rsid w:val="005A798A"/>
    <w:rsid w:val="005A7A79"/>
    <w:rsid w:val="005B0083"/>
    <w:rsid w:val="005B0B58"/>
    <w:rsid w:val="005B12BE"/>
    <w:rsid w:val="005B3783"/>
    <w:rsid w:val="005B3C6B"/>
    <w:rsid w:val="005B5AB1"/>
    <w:rsid w:val="005B5BBF"/>
    <w:rsid w:val="005B74C4"/>
    <w:rsid w:val="005C01C5"/>
    <w:rsid w:val="005C1E58"/>
    <w:rsid w:val="005C2651"/>
    <w:rsid w:val="005C272C"/>
    <w:rsid w:val="005C28CD"/>
    <w:rsid w:val="005C2EF5"/>
    <w:rsid w:val="005C53B9"/>
    <w:rsid w:val="005C5502"/>
    <w:rsid w:val="005C6A5E"/>
    <w:rsid w:val="005C726A"/>
    <w:rsid w:val="005C73D5"/>
    <w:rsid w:val="005C7EB8"/>
    <w:rsid w:val="005D0A30"/>
    <w:rsid w:val="005D102D"/>
    <w:rsid w:val="005D5A0D"/>
    <w:rsid w:val="005D619E"/>
    <w:rsid w:val="005D7E5F"/>
    <w:rsid w:val="005E01B7"/>
    <w:rsid w:val="005E1802"/>
    <w:rsid w:val="005E36C9"/>
    <w:rsid w:val="005E3D52"/>
    <w:rsid w:val="005E44CE"/>
    <w:rsid w:val="005E4C14"/>
    <w:rsid w:val="005E4EDD"/>
    <w:rsid w:val="005E6C74"/>
    <w:rsid w:val="005F1B5A"/>
    <w:rsid w:val="005F3E08"/>
    <w:rsid w:val="005F4D08"/>
    <w:rsid w:val="005F7973"/>
    <w:rsid w:val="00601BF9"/>
    <w:rsid w:val="00601ECD"/>
    <w:rsid w:val="0060201E"/>
    <w:rsid w:val="00602463"/>
    <w:rsid w:val="00604376"/>
    <w:rsid w:val="0060489E"/>
    <w:rsid w:val="00605E7E"/>
    <w:rsid w:val="00606271"/>
    <w:rsid w:val="0060686E"/>
    <w:rsid w:val="0060732C"/>
    <w:rsid w:val="00607C71"/>
    <w:rsid w:val="00610714"/>
    <w:rsid w:val="00610DDC"/>
    <w:rsid w:val="00611672"/>
    <w:rsid w:val="00611D80"/>
    <w:rsid w:val="00611EF5"/>
    <w:rsid w:val="006120AD"/>
    <w:rsid w:val="00612264"/>
    <w:rsid w:val="0061272A"/>
    <w:rsid w:val="00612D54"/>
    <w:rsid w:val="006145D3"/>
    <w:rsid w:val="00617220"/>
    <w:rsid w:val="00617BF1"/>
    <w:rsid w:val="00620FE8"/>
    <w:rsid w:val="0062105A"/>
    <w:rsid w:val="00622779"/>
    <w:rsid w:val="006230E2"/>
    <w:rsid w:val="006267C9"/>
    <w:rsid w:val="0063054B"/>
    <w:rsid w:val="00630A53"/>
    <w:rsid w:val="00630F37"/>
    <w:rsid w:val="00632C68"/>
    <w:rsid w:val="00633837"/>
    <w:rsid w:val="0063484C"/>
    <w:rsid w:val="00634E10"/>
    <w:rsid w:val="00634E41"/>
    <w:rsid w:val="00635AEA"/>
    <w:rsid w:val="00637D0C"/>
    <w:rsid w:val="00640276"/>
    <w:rsid w:val="00641D3E"/>
    <w:rsid w:val="006423BC"/>
    <w:rsid w:val="00642F15"/>
    <w:rsid w:val="006460F8"/>
    <w:rsid w:val="006469F5"/>
    <w:rsid w:val="00646BF7"/>
    <w:rsid w:val="00646E56"/>
    <w:rsid w:val="00647EF5"/>
    <w:rsid w:val="00651037"/>
    <w:rsid w:val="00654C88"/>
    <w:rsid w:val="00657F5C"/>
    <w:rsid w:val="00660D67"/>
    <w:rsid w:val="00661B73"/>
    <w:rsid w:val="00662655"/>
    <w:rsid w:val="00664028"/>
    <w:rsid w:val="006642F2"/>
    <w:rsid w:val="00665C6D"/>
    <w:rsid w:val="0066625A"/>
    <w:rsid w:val="00666CC2"/>
    <w:rsid w:val="00666DE1"/>
    <w:rsid w:val="00666FDA"/>
    <w:rsid w:val="00670A9A"/>
    <w:rsid w:val="00670E58"/>
    <w:rsid w:val="00671ABE"/>
    <w:rsid w:val="006720D8"/>
    <w:rsid w:val="00673384"/>
    <w:rsid w:val="00673E59"/>
    <w:rsid w:val="0067410D"/>
    <w:rsid w:val="006751F8"/>
    <w:rsid w:val="00675D1F"/>
    <w:rsid w:val="0067766E"/>
    <w:rsid w:val="00677A7F"/>
    <w:rsid w:val="00680601"/>
    <w:rsid w:val="0068081B"/>
    <w:rsid w:val="006809D9"/>
    <w:rsid w:val="00680FDD"/>
    <w:rsid w:val="00681853"/>
    <w:rsid w:val="00681D25"/>
    <w:rsid w:val="0068279F"/>
    <w:rsid w:val="00683FCD"/>
    <w:rsid w:val="00684275"/>
    <w:rsid w:val="006859D6"/>
    <w:rsid w:val="0069046C"/>
    <w:rsid w:val="00691669"/>
    <w:rsid w:val="00691F25"/>
    <w:rsid w:val="00694E35"/>
    <w:rsid w:val="006955E3"/>
    <w:rsid w:val="0069781C"/>
    <w:rsid w:val="006A0393"/>
    <w:rsid w:val="006A1B0F"/>
    <w:rsid w:val="006A2296"/>
    <w:rsid w:val="006A2AC8"/>
    <w:rsid w:val="006A5748"/>
    <w:rsid w:val="006A7A8E"/>
    <w:rsid w:val="006B011B"/>
    <w:rsid w:val="006B1AF0"/>
    <w:rsid w:val="006B1C3B"/>
    <w:rsid w:val="006B24AF"/>
    <w:rsid w:val="006B3403"/>
    <w:rsid w:val="006B355C"/>
    <w:rsid w:val="006B35C3"/>
    <w:rsid w:val="006B3908"/>
    <w:rsid w:val="006B543A"/>
    <w:rsid w:val="006B5E76"/>
    <w:rsid w:val="006C0883"/>
    <w:rsid w:val="006C08D0"/>
    <w:rsid w:val="006C48FB"/>
    <w:rsid w:val="006C4CC1"/>
    <w:rsid w:val="006C62C5"/>
    <w:rsid w:val="006C6F6A"/>
    <w:rsid w:val="006D0357"/>
    <w:rsid w:val="006D18D4"/>
    <w:rsid w:val="006D5BA6"/>
    <w:rsid w:val="006D5C31"/>
    <w:rsid w:val="006D5D27"/>
    <w:rsid w:val="006D6B90"/>
    <w:rsid w:val="006D6C4C"/>
    <w:rsid w:val="006E2E36"/>
    <w:rsid w:val="006E38F0"/>
    <w:rsid w:val="006E3F9B"/>
    <w:rsid w:val="006E4C8D"/>
    <w:rsid w:val="006E7D33"/>
    <w:rsid w:val="006F1F01"/>
    <w:rsid w:val="006F4F2F"/>
    <w:rsid w:val="006F5013"/>
    <w:rsid w:val="006F6CD7"/>
    <w:rsid w:val="00700B48"/>
    <w:rsid w:val="00702400"/>
    <w:rsid w:val="007032B9"/>
    <w:rsid w:val="00704ED0"/>
    <w:rsid w:val="00705E58"/>
    <w:rsid w:val="00706BB0"/>
    <w:rsid w:val="00706EC3"/>
    <w:rsid w:val="0071088B"/>
    <w:rsid w:val="0071481D"/>
    <w:rsid w:val="00714969"/>
    <w:rsid w:val="00714BE6"/>
    <w:rsid w:val="00715C53"/>
    <w:rsid w:val="00720C18"/>
    <w:rsid w:val="0072239A"/>
    <w:rsid w:val="007227D9"/>
    <w:rsid w:val="00723629"/>
    <w:rsid w:val="00724F60"/>
    <w:rsid w:val="007254C7"/>
    <w:rsid w:val="00725952"/>
    <w:rsid w:val="00726349"/>
    <w:rsid w:val="00730083"/>
    <w:rsid w:val="00730621"/>
    <w:rsid w:val="00731603"/>
    <w:rsid w:val="00731A78"/>
    <w:rsid w:val="00732404"/>
    <w:rsid w:val="007336A1"/>
    <w:rsid w:val="00733CF8"/>
    <w:rsid w:val="0073414A"/>
    <w:rsid w:val="00735F4B"/>
    <w:rsid w:val="00737019"/>
    <w:rsid w:val="00737C55"/>
    <w:rsid w:val="0074302E"/>
    <w:rsid w:val="0074405C"/>
    <w:rsid w:val="007444F2"/>
    <w:rsid w:val="00745127"/>
    <w:rsid w:val="0074575D"/>
    <w:rsid w:val="00747993"/>
    <w:rsid w:val="00750CBC"/>
    <w:rsid w:val="00751FDA"/>
    <w:rsid w:val="007576BD"/>
    <w:rsid w:val="007615B0"/>
    <w:rsid w:val="00761929"/>
    <w:rsid w:val="007622A9"/>
    <w:rsid w:val="00762AE7"/>
    <w:rsid w:val="00763A6A"/>
    <w:rsid w:val="007657F6"/>
    <w:rsid w:val="00767A24"/>
    <w:rsid w:val="00770AD5"/>
    <w:rsid w:val="007710BF"/>
    <w:rsid w:val="00771B41"/>
    <w:rsid w:val="007727A5"/>
    <w:rsid w:val="007739F3"/>
    <w:rsid w:val="00773DA6"/>
    <w:rsid w:val="00775125"/>
    <w:rsid w:val="0077614C"/>
    <w:rsid w:val="0077642C"/>
    <w:rsid w:val="007810EA"/>
    <w:rsid w:val="00781800"/>
    <w:rsid w:val="00781BE9"/>
    <w:rsid w:val="00781E56"/>
    <w:rsid w:val="00781FE9"/>
    <w:rsid w:val="007831F4"/>
    <w:rsid w:val="007842CF"/>
    <w:rsid w:val="00784A5E"/>
    <w:rsid w:val="00784E47"/>
    <w:rsid w:val="00785D34"/>
    <w:rsid w:val="00786257"/>
    <w:rsid w:val="00787408"/>
    <w:rsid w:val="007905CA"/>
    <w:rsid w:val="00792EB5"/>
    <w:rsid w:val="00793673"/>
    <w:rsid w:val="007946E9"/>
    <w:rsid w:val="007953BA"/>
    <w:rsid w:val="00796CEB"/>
    <w:rsid w:val="007A0723"/>
    <w:rsid w:val="007A173A"/>
    <w:rsid w:val="007A3484"/>
    <w:rsid w:val="007A526B"/>
    <w:rsid w:val="007A5A6C"/>
    <w:rsid w:val="007A639F"/>
    <w:rsid w:val="007B0632"/>
    <w:rsid w:val="007B2463"/>
    <w:rsid w:val="007B34AE"/>
    <w:rsid w:val="007B35ED"/>
    <w:rsid w:val="007B36A2"/>
    <w:rsid w:val="007B3C91"/>
    <w:rsid w:val="007B467A"/>
    <w:rsid w:val="007B46D7"/>
    <w:rsid w:val="007B4F79"/>
    <w:rsid w:val="007B5C3E"/>
    <w:rsid w:val="007B6131"/>
    <w:rsid w:val="007B7F0D"/>
    <w:rsid w:val="007C0696"/>
    <w:rsid w:val="007C1887"/>
    <w:rsid w:val="007C2C40"/>
    <w:rsid w:val="007C37C5"/>
    <w:rsid w:val="007C4F37"/>
    <w:rsid w:val="007C59F2"/>
    <w:rsid w:val="007C6D2A"/>
    <w:rsid w:val="007C6E91"/>
    <w:rsid w:val="007C74B6"/>
    <w:rsid w:val="007D0316"/>
    <w:rsid w:val="007D155E"/>
    <w:rsid w:val="007D19E0"/>
    <w:rsid w:val="007D2012"/>
    <w:rsid w:val="007D2D9A"/>
    <w:rsid w:val="007D2F77"/>
    <w:rsid w:val="007D4CBC"/>
    <w:rsid w:val="007D54C2"/>
    <w:rsid w:val="007E09AA"/>
    <w:rsid w:val="007E314F"/>
    <w:rsid w:val="007E4376"/>
    <w:rsid w:val="007E61DE"/>
    <w:rsid w:val="007E74C2"/>
    <w:rsid w:val="007F1260"/>
    <w:rsid w:val="007F27B8"/>
    <w:rsid w:val="007F30C0"/>
    <w:rsid w:val="007F38C5"/>
    <w:rsid w:val="007F49A7"/>
    <w:rsid w:val="007F673D"/>
    <w:rsid w:val="007F69F8"/>
    <w:rsid w:val="008001BC"/>
    <w:rsid w:val="00800D8F"/>
    <w:rsid w:val="00801CBE"/>
    <w:rsid w:val="00802054"/>
    <w:rsid w:val="008035A6"/>
    <w:rsid w:val="008045BB"/>
    <w:rsid w:val="00804F3E"/>
    <w:rsid w:val="00806759"/>
    <w:rsid w:val="008073BB"/>
    <w:rsid w:val="00810E66"/>
    <w:rsid w:val="00811767"/>
    <w:rsid w:val="00811C56"/>
    <w:rsid w:val="00813CDD"/>
    <w:rsid w:val="00813D95"/>
    <w:rsid w:val="008147EF"/>
    <w:rsid w:val="00814C49"/>
    <w:rsid w:val="00814CB6"/>
    <w:rsid w:val="0081519F"/>
    <w:rsid w:val="00820179"/>
    <w:rsid w:val="008230B8"/>
    <w:rsid w:val="00826DD6"/>
    <w:rsid w:val="008277D9"/>
    <w:rsid w:val="00830ABF"/>
    <w:rsid w:val="00831618"/>
    <w:rsid w:val="00832FEC"/>
    <w:rsid w:val="00835CB5"/>
    <w:rsid w:val="008373FB"/>
    <w:rsid w:val="0084157A"/>
    <w:rsid w:val="008431D4"/>
    <w:rsid w:val="008446AA"/>
    <w:rsid w:val="00844AE7"/>
    <w:rsid w:val="00845230"/>
    <w:rsid w:val="00845511"/>
    <w:rsid w:val="00845E1A"/>
    <w:rsid w:val="00846BE7"/>
    <w:rsid w:val="00847A0A"/>
    <w:rsid w:val="00850DBB"/>
    <w:rsid w:val="0085116B"/>
    <w:rsid w:val="008533FA"/>
    <w:rsid w:val="00853A2C"/>
    <w:rsid w:val="00853A46"/>
    <w:rsid w:val="008546E5"/>
    <w:rsid w:val="00855FDB"/>
    <w:rsid w:val="008565B9"/>
    <w:rsid w:val="0085686D"/>
    <w:rsid w:val="00861247"/>
    <w:rsid w:val="00861987"/>
    <w:rsid w:val="008625AB"/>
    <w:rsid w:val="0086286C"/>
    <w:rsid w:val="0086310F"/>
    <w:rsid w:val="008645F4"/>
    <w:rsid w:val="00864757"/>
    <w:rsid w:val="00864BCC"/>
    <w:rsid w:val="0086519F"/>
    <w:rsid w:val="0086580A"/>
    <w:rsid w:val="00865D20"/>
    <w:rsid w:val="00870995"/>
    <w:rsid w:val="00871118"/>
    <w:rsid w:val="00871AA5"/>
    <w:rsid w:val="008728EE"/>
    <w:rsid w:val="00874288"/>
    <w:rsid w:val="00874372"/>
    <w:rsid w:val="00874CEF"/>
    <w:rsid w:val="00875A00"/>
    <w:rsid w:val="00880B5F"/>
    <w:rsid w:val="00880DCC"/>
    <w:rsid w:val="00882E46"/>
    <w:rsid w:val="0088308D"/>
    <w:rsid w:val="00883556"/>
    <w:rsid w:val="0088449F"/>
    <w:rsid w:val="00884728"/>
    <w:rsid w:val="00886683"/>
    <w:rsid w:val="00887122"/>
    <w:rsid w:val="008900CB"/>
    <w:rsid w:val="0089039F"/>
    <w:rsid w:val="008916A3"/>
    <w:rsid w:val="00891A34"/>
    <w:rsid w:val="008928E5"/>
    <w:rsid w:val="008930B8"/>
    <w:rsid w:val="00893229"/>
    <w:rsid w:val="008948B6"/>
    <w:rsid w:val="0089700B"/>
    <w:rsid w:val="00897220"/>
    <w:rsid w:val="00897631"/>
    <w:rsid w:val="008A112C"/>
    <w:rsid w:val="008A4993"/>
    <w:rsid w:val="008A569A"/>
    <w:rsid w:val="008A61AB"/>
    <w:rsid w:val="008A657E"/>
    <w:rsid w:val="008A7ACF"/>
    <w:rsid w:val="008A7C52"/>
    <w:rsid w:val="008B0074"/>
    <w:rsid w:val="008B0317"/>
    <w:rsid w:val="008B20A3"/>
    <w:rsid w:val="008B2151"/>
    <w:rsid w:val="008B21B3"/>
    <w:rsid w:val="008B4066"/>
    <w:rsid w:val="008B484F"/>
    <w:rsid w:val="008B50BE"/>
    <w:rsid w:val="008B660C"/>
    <w:rsid w:val="008B7409"/>
    <w:rsid w:val="008B7635"/>
    <w:rsid w:val="008C211F"/>
    <w:rsid w:val="008C24E1"/>
    <w:rsid w:val="008C2F94"/>
    <w:rsid w:val="008C3266"/>
    <w:rsid w:val="008C35E4"/>
    <w:rsid w:val="008C378A"/>
    <w:rsid w:val="008C435F"/>
    <w:rsid w:val="008C5F3D"/>
    <w:rsid w:val="008C669A"/>
    <w:rsid w:val="008C6F9C"/>
    <w:rsid w:val="008D1F3B"/>
    <w:rsid w:val="008D2EA2"/>
    <w:rsid w:val="008D3B6D"/>
    <w:rsid w:val="008D70FE"/>
    <w:rsid w:val="008D77EC"/>
    <w:rsid w:val="008D7DCB"/>
    <w:rsid w:val="008E183B"/>
    <w:rsid w:val="008E1E1E"/>
    <w:rsid w:val="008E357B"/>
    <w:rsid w:val="008E3958"/>
    <w:rsid w:val="008E6081"/>
    <w:rsid w:val="008E7EE9"/>
    <w:rsid w:val="008F1E45"/>
    <w:rsid w:val="008F450B"/>
    <w:rsid w:val="008F56C0"/>
    <w:rsid w:val="008F6986"/>
    <w:rsid w:val="008F7F8A"/>
    <w:rsid w:val="0090036F"/>
    <w:rsid w:val="00900BA7"/>
    <w:rsid w:val="009011D5"/>
    <w:rsid w:val="0090156E"/>
    <w:rsid w:val="00901781"/>
    <w:rsid w:val="00902FEC"/>
    <w:rsid w:val="00903339"/>
    <w:rsid w:val="00903E32"/>
    <w:rsid w:val="00910028"/>
    <w:rsid w:val="009101CB"/>
    <w:rsid w:val="0091330D"/>
    <w:rsid w:val="00913FE8"/>
    <w:rsid w:val="00914102"/>
    <w:rsid w:val="0091638E"/>
    <w:rsid w:val="00916731"/>
    <w:rsid w:val="00916876"/>
    <w:rsid w:val="00917390"/>
    <w:rsid w:val="00920638"/>
    <w:rsid w:val="0092103B"/>
    <w:rsid w:val="0092174D"/>
    <w:rsid w:val="009226CE"/>
    <w:rsid w:val="00922F38"/>
    <w:rsid w:val="00923B18"/>
    <w:rsid w:val="00923E80"/>
    <w:rsid w:val="00924C93"/>
    <w:rsid w:val="00925B07"/>
    <w:rsid w:val="0092653D"/>
    <w:rsid w:val="009276EA"/>
    <w:rsid w:val="00927D5B"/>
    <w:rsid w:val="009300B9"/>
    <w:rsid w:val="009313AC"/>
    <w:rsid w:val="009336A2"/>
    <w:rsid w:val="00934293"/>
    <w:rsid w:val="00934914"/>
    <w:rsid w:val="00934CA4"/>
    <w:rsid w:val="009351BC"/>
    <w:rsid w:val="009352F2"/>
    <w:rsid w:val="009357B9"/>
    <w:rsid w:val="00936550"/>
    <w:rsid w:val="009376B8"/>
    <w:rsid w:val="00937A9B"/>
    <w:rsid w:val="00941B28"/>
    <w:rsid w:val="00943D23"/>
    <w:rsid w:val="00946096"/>
    <w:rsid w:val="009465C8"/>
    <w:rsid w:val="00946AA8"/>
    <w:rsid w:val="00947C50"/>
    <w:rsid w:val="00950849"/>
    <w:rsid w:val="0095193B"/>
    <w:rsid w:val="00951B21"/>
    <w:rsid w:val="009521FF"/>
    <w:rsid w:val="009530A2"/>
    <w:rsid w:val="0095596B"/>
    <w:rsid w:val="00955A6F"/>
    <w:rsid w:val="00955B40"/>
    <w:rsid w:val="00955D8F"/>
    <w:rsid w:val="00955E44"/>
    <w:rsid w:val="009570E7"/>
    <w:rsid w:val="00957299"/>
    <w:rsid w:val="0096090C"/>
    <w:rsid w:val="00960C24"/>
    <w:rsid w:val="0096148A"/>
    <w:rsid w:val="009624B4"/>
    <w:rsid w:val="00963C18"/>
    <w:rsid w:val="00964119"/>
    <w:rsid w:val="009651A5"/>
    <w:rsid w:val="00965212"/>
    <w:rsid w:val="009678A6"/>
    <w:rsid w:val="00970A6C"/>
    <w:rsid w:val="00971AE3"/>
    <w:rsid w:val="0097228C"/>
    <w:rsid w:val="0097296D"/>
    <w:rsid w:val="00972F67"/>
    <w:rsid w:val="00973178"/>
    <w:rsid w:val="009748D4"/>
    <w:rsid w:val="00975B8C"/>
    <w:rsid w:val="009765EE"/>
    <w:rsid w:val="00980F75"/>
    <w:rsid w:val="00981B0C"/>
    <w:rsid w:val="00984120"/>
    <w:rsid w:val="0098497B"/>
    <w:rsid w:val="0098525A"/>
    <w:rsid w:val="009872F5"/>
    <w:rsid w:val="00987795"/>
    <w:rsid w:val="009907C1"/>
    <w:rsid w:val="009908F3"/>
    <w:rsid w:val="00990ABB"/>
    <w:rsid w:val="009919D1"/>
    <w:rsid w:val="009924FB"/>
    <w:rsid w:val="00992C4A"/>
    <w:rsid w:val="0099542D"/>
    <w:rsid w:val="009955B0"/>
    <w:rsid w:val="009958BC"/>
    <w:rsid w:val="0099677C"/>
    <w:rsid w:val="00996DD2"/>
    <w:rsid w:val="00996F6D"/>
    <w:rsid w:val="009975FC"/>
    <w:rsid w:val="00997BE5"/>
    <w:rsid w:val="00997E7C"/>
    <w:rsid w:val="009A0D8C"/>
    <w:rsid w:val="009A0E3E"/>
    <w:rsid w:val="009A110D"/>
    <w:rsid w:val="009A22BC"/>
    <w:rsid w:val="009A2C8C"/>
    <w:rsid w:val="009A2C97"/>
    <w:rsid w:val="009A3730"/>
    <w:rsid w:val="009A55E5"/>
    <w:rsid w:val="009A5876"/>
    <w:rsid w:val="009A6937"/>
    <w:rsid w:val="009A7E10"/>
    <w:rsid w:val="009B0AAC"/>
    <w:rsid w:val="009B0D49"/>
    <w:rsid w:val="009B3D18"/>
    <w:rsid w:val="009B4409"/>
    <w:rsid w:val="009B6ADA"/>
    <w:rsid w:val="009B7728"/>
    <w:rsid w:val="009C1982"/>
    <w:rsid w:val="009C2C5C"/>
    <w:rsid w:val="009C39BE"/>
    <w:rsid w:val="009C566D"/>
    <w:rsid w:val="009C63EF"/>
    <w:rsid w:val="009C7456"/>
    <w:rsid w:val="009C7AEE"/>
    <w:rsid w:val="009C7FEE"/>
    <w:rsid w:val="009D32C1"/>
    <w:rsid w:val="009D4B42"/>
    <w:rsid w:val="009D5174"/>
    <w:rsid w:val="009D5227"/>
    <w:rsid w:val="009D545D"/>
    <w:rsid w:val="009D5EC9"/>
    <w:rsid w:val="009D64B7"/>
    <w:rsid w:val="009D64C3"/>
    <w:rsid w:val="009D6E37"/>
    <w:rsid w:val="009E26BF"/>
    <w:rsid w:val="009E4E28"/>
    <w:rsid w:val="009F0B10"/>
    <w:rsid w:val="009F21AD"/>
    <w:rsid w:val="009F2D43"/>
    <w:rsid w:val="009F3254"/>
    <w:rsid w:val="009F3F44"/>
    <w:rsid w:val="009F57B2"/>
    <w:rsid w:val="009F5A48"/>
    <w:rsid w:val="009F610F"/>
    <w:rsid w:val="009F6D70"/>
    <w:rsid w:val="009F7760"/>
    <w:rsid w:val="009F7893"/>
    <w:rsid w:val="009F7B80"/>
    <w:rsid w:val="00A00CD2"/>
    <w:rsid w:val="00A013F1"/>
    <w:rsid w:val="00A018E7"/>
    <w:rsid w:val="00A036C4"/>
    <w:rsid w:val="00A04B8B"/>
    <w:rsid w:val="00A053BC"/>
    <w:rsid w:val="00A05AFD"/>
    <w:rsid w:val="00A103F4"/>
    <w:rsid w:val="00A11B45"/>
    <w:rsid w:val="00A1233C"/>
    <w:rsid w:val="00A12967"/>
    <w:rsid w:val="00A1417B"/>
    <w:rsid w:val="00A14747"/>
    <w:rsid w:val="00A15D97"/>
    <w:rsid w:val="00A16AAA"/>
    <w:rsid w:val="00A16ADD"/>
    <w:rsid w:val="00A219DF"/>
    <w:rsid w:val="00A21E87"/>
    <w:rsid w:val="00A2236C"/>
    <w:rsid w:val="00A22717"/>
    <w:rsid w:val="00A227B3"/>
    <w:rsid w:val="00A232E5"/>
    <w:rsid w:val="00A23FA9"/>
    <w:rsid w:val="00A263A3"/>
    <w:rsid w:val="00A26AFA"/>
    <w:rsid w:val="00A26C5F"/>
    <w:rsid w:val="00A26ECB"/>
    <w:rsid w:val="00A26F29"/>
    <w:rsid w:val="00A300EE"/>
    <w:rsid w:val="00A31428"/>
    <w:rsid w:val="00A327F3"/>
    <w:rsid w:val="00A330EE"/>
    <w:rsid w:val="00A34359"/>
    <w:rsid w:val="00A34F07"/>
    <w:rsid w:val="00A34F4A"/>
    <w:rsid w:val="00A3579F"/>
    <w:rsid w:val="00A3613D"/>
    <w:rsid w:val="00A3624C"/>
    <w:rsid w:val="00A36E5F"/>
    <w:rsid w:val="00A370B5"/>
    <w:rsid w:val="00A37820"/>
    <w:rsid w:val="00A40FD8"/>
    <w:rsid w:val="00A4116B"/>
    <w:rsid w:val="00A42D86"/>
    <w:rsid w:val="00A44479"/>
    <w:rsid w:val="00A45405"/>
    <w:rsid w:val="00A464D5"/>
    <w:rsid w:val="00A4738C"/>
    <w:rsid w:val="00A477E2"/>
    <w:rsid w:val="00A51C3C"/>
    <w:rsid w:val="00A524A0"/>
    <w:rsid w:val="00A543F4"/>
    <w:rsid w:val="00A54AA5"/>
    <w:rsid w:val="00A55101"/>
    <w:rsid w:val="00A560FC"/>
    <w:rsid w:val="00A5699A"/>
    <w:rsid w:val="00A574F5"/>
    <w:rsid w:val="00A5788C"/>
    <w:rsid w:val="00A6062C"/>
    <w:rsid w:val="00A60E3B"/>
    <w:rsid w:val="00A6209A"/>
    <w:rsid w:val="00A627BE"/>
    <w:rsid w:val="00A629FD"/>
    <w:rsid w:val="00A66000"/>
    <w:rsid w:val="00A6783F"/>
    <w:rsid w:val="00A67A48"/>
    <w:rsid w:val="00A70B38"/>
    <w:rsid w:val="00A71F09"/>
    <w:rsid w:val="00A7489C"/>
    <w:rsid w:val="00A76C08"/>
    <w:rsid w:val="00A80706"/>
    <w:rsid w:val="00A80AE1"/>
    <w:rsid w:val="00A80D32"/>
    <w:rsid w:val="00A818E9"/>
    <w:rsid w:val="00A81D43"/>
    <w:rsid w:val="00A85A87"/>
    <w:rsid w:val="00A85E18"/>
    <w:rsid w:val="00A86799"/>
    <w:rsid w:val="00A874DF"/>
    <w:rsid w:val="00A879DC"/>
    <w:rsid w:val="00A900B5"/>
    <w:rsid w:val="00A90424"/>
    <w:rsid w:val="00A90AF1"/>
    <w:rsid w:val="00A90D43"/>
    <w:rsid w:val="00A9117E"/>
    <w:rsid w:val="00A93D20"/>
    <w:rsid w:val="00A9459C"/>
    <w:rsid w:val="00A956A1"/>
    <w:rsid w:val="00A95BB0"/>
    <w:rsid w:val="00A9624D"/>
    <w:rsid w:val="00A9691F"/>
    <w:rsid w:val="00A96D34"/>
    <w:rsid w:val="00AA15BB"/>
    <w:rsid w:val="00AA1EAC"/>
    <w:rsid w:val="00AA25CC"/>
    <w:rsid w:val="00AA3675"/>
    <w:rsid w:val="00AA402B"/>
    <w:rsid w:val="00AA44BC"/>
    <w:rsid w:val="00AA4E8D"/>
    <w:rsid w:val="00AA56F8"/>
    <w:rsid w:val="00AA64CA"/>
    <w:rsid w:val="00AA6828"/>
    <w:rsid w:val="00AA7EAC"/>
    <w:rsid w:val="00AB0C15"/>
    <w:rsid w:val="00AB170A"/>
    <w:rsid w:val="00AB2631"/>
    <w:rsid w:val="00AB29D2"/>
    <w:rsid w:val="00AB3509"/>
    <w:rsid w:val="00AB3BDD"/>
    <w:rsid w:val="00AB440D"/>
    <w:rsid w:val="00AB68B4"/>
    <w:rsid w:val="00AB729D"/>
    <w:rsid w:val="00AB7EA5"/>
    <w:rsid w:val="00AC0038"/>
    <w:rsid w:val="00AC04EE"/>
    <w:rsid w:val="00AC1F03"/>
    <w:rsid w:val="00AC3B92"/>
    <w:rsid w:val="00AC4215"/>
    <w:rsid w:val="00AC64C7"/>
    <w:rsid w:val="00AC73AB"/>
    <w:rsid w:val="00AC7852"/>
    <w:rsid w:val="00AD01EE"/>
    <w:rsid w:val="00AD1452"/>
    <w:rsid w:val="00AD31AC"/>
    <w:rsid w:val="00AD4C96"/>
    <w:rsid w:val="00AD6A74"/>
    <w:rsid w:val="00AD6BF8"/>
    <w:rsid w:val="00AD6F6D"/>
    <w:rsid w:val="00AD718B"/>
    <w:rsid w:val="00AD7467"/>
    <w:rsid w:val="00AE0256"/>
    <w:rsid w:val="00AE0E2A"/>
    <w:rsid w:val="00AE1A59"/>
    <w:rsid w:val="00AE1B71"/>
    <w:rsid w:val="00AE1FA2"/>
    <w:rsid w:val="00AE3DDC"/>
    <w:rsid w:val="00AE424D"/>
    <w:rsid w:val="00AE4393"/>
    <w:rsid w:val="00AE62EC"/>
    <w:rsid w:val="00AE6BAB"/>
    <w:rsid w:val="00AE7162"/>
    <w:rsid w:val="00AE73EF"/>
    <w:rsid w:val="00AF05B7"/>
    <w:rsid w:val="00AF07D1"/>
    <w:rsid w:val="00AF39E7"/>
    <w:rsid w:val="00AF528B"/>
    <w:rsid w:val="00AF5E2D"/>
    <w:rsid w:val="00AF7A28"/>
    <w:rsid w:val="00B03894"/>
    <w:rsid w:val="00B053FF"/>
    <w:rsid w:val="00B059B1"/>
    <w:rsid w:val="00B05A27"/>
    <w:rsid w:val="00B10965"/>
    <w:rsid w:val="00B12EC9"/>
    <w:rsid w:val="00B14509"/>
    <w:rsid w:val="00B14C31"/>
    <w:rsid w:val="00B17ED4"/>
    <w:rsid w:val="00B219D0"/>
    <w:rsid w:val="00B223FF"/>
    <w:rsid w:val="00B24718"/>
    <w:rsid w:val="00B24B12"/>
    <w:rsid w:val="00B25080"/>
    <w:rsid w:val="00B25DB0"/>
    <w:rsid w:val="00B25E62"/>
    <w:rsid w:val="00B319D3"/>
    <w:rsid w:val="00B32926"/>
    <w:rsid w:val="00B32F0D"/>
    <w:rsid w:val="00B33984"/>
    <w:rsid w:val="00B34292"/>
    <w:rsid w:val="00B342CB"/>
    <w:rsid w:val="00B3461C"/>
    <w:rsid w:val="00B34AC6"/>
    <w:rsid w:val="00B358CB"/>
    <w:rsid w:val="00B41DF3"/>
    <w:rsid w:val="00B41EAD"/>
    <w:rsid w:val="00B435BF"/>
    <w:rsid w:val="00B43C2A"/>
    <w:rsid w:val="00B446BA"/>
    <w:rsid w:val="00B44B6C"/>
    <w:rsid w:val="00B4514D"/>
    <w:rsid w:val="00B4643E"/>
    <w:rsid w:val="00B46787"/>
    <w:rsid w:val="00B46FD1"/>
    <w:rsid w:val="00B47B6C"/>
    <w:rsid w:val="00B5094B"/>
    <w:rsid w:val="00B511C3"/>
    <w:rsid w:val="00B513C0"/>
    <w:rsid w:val="00B520DF"/>
    <w:rsid w:val="00B530F0"/>
    <w:rsid w:val="00B56AB8"/>
    <w:rsid w:val="00B579D2"/>
    <w:rsid w:val="00B57BE6"/>
    <w:rsid w:val="00B6047A"/>
    <w:rsid w:val="00B60DB5"/>
    <w:rsid w:val="00B61344"/>
    <w:rsid w:val="00B61D64"/>
    <w:rsid w:val="00B62FED"/>
    <w:rsid w:val="00B64780"/>
    <w:rsid w:val="00B64889"/>
    <w:rsid w:val="00B6653E"/>
    <w:rsid w:val="00B66CC9"/>
    <w:rsid w:val="00B70473"/>
    <w:rsid w:val="00B713CE"/>
    <w:rsid w:val="00B72B18"/>
    <w:rsid w:val="00B72D21"/>
    <w:rsid w:val="00B7326B"/>
    <w:rsid w:val="00B741C7"/>
    <w:rsid w:val="00B74813"/>
    <w:rsid w:val="00B75390"/>
    <w:rsid w:val="00B7571C"/>
    <w:rsid w:val="00B80608"/>
    <w:rsid w:val="00B81CE1"/>
    <w:rsid w:val="00B8247E"/>
    <w:rsid w:val="00B83134"/>
    <w:rsid w:val="00B83539"/>
    <w:rsid w:val="00B83F7D"/>
    <w:rsid w:val="00B84F59"/>
    <w:rsid w:val="00B8564B"/>
    <w:rsid w:val="00B86277"/>
    <w:rsid w:val="00B863B1"/>
    <w:rsid w:val="00B87862"/>
    <w:rsid w:val="00B90EFA"/>
    <w:rsid w:val="00B91533"/>
    <w:rsid w:val="00B921DE"/>
    <w:rsid w:val="00B925DE"/>
    <w:rsid w:val="00B9286E"/>
    <w:rsid w:val="00B92A85"/>
    <w:rsid w:val="00B92B57"/>
    <w:rsid w:val="00B93482"/>
    <w:rsid w:val="00B93F82"/>
    <w:rsid w:val="00B95E58"/>
    <w:rsid w:val="00B95F50"/>
    <w:rsid w:val="00B9605F"/>
    <w:rsid w:val="00B97DDD"/>
    <w:rsid w:val="00B97FF8"/>
    <w:rsid w:val="00BA0158"/>
    <w:rsid w:val="00BA03BE"/>
    <w:rsid w:val="00BA160D"/>
    <w:rsid w:val="00BA1F41"/>
    <w:rsid w:val="00BA325C"/>
    <w:rsid w:val="00BA390F"/>
    <w:rsid w:val="00BA446A"/>
    <w:rsid w:val="00BA52A2"/>
    <w:rsid w:val="00BA6342"/>
    <w:rsid w:val="00BA6F95"/>
    <w:rsid w:val="00BB00F5"/>
    <w:rsid w:val="00BB078B"/>
    <w:rsid w:val="00BB1853"/>
    <w:rsid w:val="00BB1A80"/>
    <w:rsid w:val="00BB2D8D"/>
    <w:rsid w:val="00BB3138"/>
    <w:rsid w:val="00BB4CDD"/>
    <w:rsid w:val="00BB603E"/>
    <w:rsid w:val="00BB683F"/>
    <w:rsid w:val="00BB7C5B"/>
    <w:rsid w:val="00BB7DB0"/>
    <w:rsid w:val="00BC25D0"/>
    <w:rsid w:val="00BC34AB"/>
    <w:rsid w:val="00BC35BE"/>
    <w:rsid w:val="00BC49DA"/>
    <w:rsid w:val="00BC56EB"/>
    <w:rsid w:val="00BC6F07"/>
    <w:rsid w:val="00BD07AC"/>
    <w:rsid w:val="00BD15B2"/>
    <w:rsid w:val="00BD240A"/>
    <w:rsid w:val="00BD2EF3"/>
    <w:rsid w:val="00BD46B3"/>
    <w:rsid w:val="00BD4E6D"/>
    <w:rsid w:val="00BD596A"/>
    <w:rsid w:val="00BD6250"/>
    <w:rsid w:val="00BD758C"/>
    <w:rsid w:val="00BD787C"/>
    <w:rsid w:val="00BE09BE"/>
    <w:rsid w:val="00BE0A50"/>
    <w:rsid w:val="00BE0EF8"/>
    <w:rsid w:val="00BE1491"/>
    <w:rsid w:val="00BE1BDA"/>
    <w:rsid w:val="00BE1CBD"/>
    <w:rsid w:val="00BE3488"/>
    <w:rsid w:val="00BE45A0"/>
    <w:rsid w:val="00BE5B00"/>
    <w:rsid w:val="00BE6008"/>
    <w:rsid w:val="00BE607C"/>
    <w:rsid w:val="00BE6709"/>
    <w:rsid w:val="00BE72B7"/>
    <w:rsid w:val="00BE74FF"/>
    <w:rsid w:val="00BE774B"/>
    <w:rsid w:val="00BE7DC5"/>
    <w:rsid w:val="00BF0807"/>
    <w:rsid w:val="00BF14CB"/>
    <w:rsid w:val="00BF4733"/>
    <w:rsid w:val="00BF5F9A"/>
    <w:rsid w:val="00BF6F7B"/>
    <w:rsid w:val="00BF76C8"/>
    <w:rsid w:val="00C00637"/>
    <w:rsid w:val="00C03122"/>
    <w:rsid w:val="00C03271"/>
    <w:rsid w:val="00C05B45"/>
    <w:rsid w:val="00C05CD0"/>
    <w:rsid w:val="00C07CB2"/>
    <w:rsid w:val="00C1015E"/>
    <w:rsid w:val="00C10BBA"/>
    <w:rsid w:val="00C111BC"/>
    <w:rsid w:val="00C11682"/>
    <w:rsid w:val="00C117A8"/>
    <w:rsid w:val="00C13BBD"/>
    <w:rsid w:val="00C13FE3"/>
    <w:rsid w:val="00C1481E"/>
    <w:rsid w:val="00C149BA"/>
    <w:rsid w:val="00C15E05"/>
    <w:rsid w:val="00C15E60"/>
    <w:rsid w:val="00C20093"/>
    <w:rsid w:val="00C21306"/>
    <w:rsid w:val="00C23BDF"/>
    <w:rsid w:val="00C24F27"/>
    <w:rsid w:val="00C2517A"/>
    <w:rsid w:val="00C2597B"/>
    <w:rsid w:val="00C265ED"/>
    <w:rsid w:val="00C26E73"/>
    <w:rsid w:val="00C278F5"/>
    <w:rsid w:val="00C27E01"/>
    <w:rsid w:val="00C31063"/>
    <w:rsid w:val="00C322E3"/>
    <w:rsid w:val="00C3361C"/>
    <w:rsid w:val="00C369FC"/>
    <w:rsid w:val="00C4250A"/>
    <w:rsid w:val="00C4317F"/>
    <w:rsid w:val="00C433F5"/>
    <w:rsid w:val="00C437E4"/>
    <w:rsid w:val="00C43802"/>
    <w:rsid w:val="00C4418B"/>
    <w:rsid w:val="00C441A6"/>
    <w:rsid w:val="00C445D4"/>
    <w:rsid w:val="00C45CE7"/>
    <w:rsid w:val="00C46781"/>
    <w:rsid w:val="00C47B5C"/>
    <w:rsid w:val="00C524B1"/>
    <w:rsid w:val="00C530F0"/>
    <w:rsid w:val="00C54F65"/>
    <w:rsid w:val="00C56766"/>
    <w:rsid w:val="00C567E9"/>
    <w:rsid w:val="00C56E4D"/>
    <w:rsid w:val="00C63867"/>
    <w:rsid w:val="00C63B1A"/>
    <w:rsid w:val="00C6536D"/>
    <w:rsid w:val="00C65821"/>
    <w:rsid w:val="00C65B56"/>
    <w:rsid w:val="00C662D5"/>
    <w:rsid w:val="00C665C2"/>
    <w:rsid w:val="00C66CA0"/>
    <w:rsid w:val="00C67B73"/>
    <w:rsid w:val="00C725B1"/>
    <w:rsid w:val="00C7291A"/>
    <w:rsid w:val="00C75AD5"/>
    <w:rsid w:val="00C75B3A"/>
    <w:rsid w:val="00C76E4D"/>
    <w:rsid w:val="00C77376"/>
    <w:rsid w:val="00C80575"/>
    <w:rsid w:val="00C8170A"/>
    <w:rsid w:val="00C819DC"/>
    <w:rsid w:val="00C82D1C"/>
    <w:rsid w:val="00C83339"/>
    <w:rsid w:val="00C83C2C"/>
    <w:rsid w:val="00C8437D"/>
    <w:rsid w:val="00C8579C"/>
    <w:rsid w:val="00C86C5A"/>
    <w:rsid w:val="00C9022F"/>
    <w:rsid w:val="00C93085"/>
    <w:rsid w:val="00C938BD"/>
    <w:rsid w:val="00C93A54"/>
    <w:rsid w:val="00C953CF"/>
    <w:rsid w:val="00C959D0"/>
    <w:rsid w:val="00C95D6E"/>
    <w:rsid w:val="00C96176"/>
    <w:rsid w:val="00C96374"/>
    <w:rsid w:val="00C97E41"/>
    <w:rsid w:val="00CA08AC"/>
    <w:rsid w:val="00CA0EC4"/>
    <w:rsid w:val="00CA1217"/>
    <w:rsid w:val="00CA220A"/>
    <w:rsid w:val="00CA2A18"/>
    <w:rsid w:val="00CA3E63"/>
    <w:rsid w:val="00CA617C"/>
    <w:rsid w:val="00CA7824"/>
    <w:rsid w:val="00CB0993"/>
    <w:rsid w:val="00CB1DEE"/>
    <w:rsid w:val="00CB296D"/>
    <w:rsid w:val="00CB2A78"/>
    <w:rsid w:val="00CB39F3"/>
    <w:rsid w:val="00CB43A2"/>
    <w:rsid w:val="00CB6036"/>
    <w:rsid w:val="00CB68A0"/>
    <w:rsid w:val="00CB703E"/>
    <w:rsid w:val="00CC14A7"/>
    <w:rsid w:val="00CC16D1"/>
    <w:rsid w:val="00CC1A5C"/>
    <w:rsid w:val="00CC2053"/>
    <w:rsid w:val="00CC2104"/>
    <w:rsid w:val="00CC2A1D"/>
    <w:rsid w:val="00CC4C27"/>
    <w:rsid w:val="00CC6220"/>
    <w:rsid w:val="00CC6EB3"/>
    <w:rsid w:val="00CC6ED8"/>
    <w:rsid w:val="00CD23A8"/>
    <w:rsid w:val="00CD297C"/>
    <w:rsid w:val="00CD3D41"/>
    <w:rsid w:val="00CD4F63"/>
    <w:rsid w:val="00CD665A"/>
    <w:rsid w:val="00CE0218"/>
    <w:rsid w:val="00CE0637"/>
    <w:rsid w:val="00CE0E3E"/>
    <w:rsid w:val="00CE3149"/>
    <w:rsid w:val="00CE4964"/>
    <w:rsid w:val="00CE4DA3"/>
    <w:rsid w:val="00CE5BAE"/>
    <w:rsid w:val="00CE6A84"/>
    <w:rsid w:val="00CF0212"/>
    <w:rsid w:val="00CF163F"/>
    <w:rsid w:val="00CF17C2"/>
    <w:rsid w:val="00CF1E96"/>
    <w:rsid w:val="00CF2033"/>
    <w:rsid w:val="00CF2658"/>
    <w:rsid w:val="00CF34C4"/>
    <w:rsid w:val="00CF3C17"/>
    <w:rsid w:val="00CF3DA4"/>
    <w:rsid w:val="00CF4723"/>
    <w:rsid w:val="00CF68A9"/>
    <w:rsid w:val="00CF7DF3"/>
    <w:rsid w:val="00CF7EC4"/>
    <w:rsid w:val="00D03AE4"/>
    <w:rsid w:val="00D046E3"/>
    <w:rsid w:val="00D05FFF"/>
    <w:rsid w:val="00D101CE"/>
    <w:rsid w:val="00D10364"/>
    <w:rsid w:val="00D11CE6"/>
    <w:rsid w:val="00D12944"/>
    <w:rsid w:val="00D130A9"/>
    <w:rsid w:val="00D13913"/>
    <w:rsid w:val="00D14206"/>
    <w:rsid w:val="00D143E1"/>
    <w:rsid w:val="00D1448B"/>
    <w:rsid w:val="00D14ABA"/>
    <w:rsid w:val="00D15D0E"/>
    <w:rsid w:val="00D17308"/>
    <w:rsid w:val="00D17325"/>
    <w:rsid w:val="00D17928"/>
    <w:rsid w:val="00D17EF5"/>
    <w:rsid w:val="00D20E68"/>
    <w:rsid w:val="00D21BA2"/>
    <w:rsid w:val="00D22FEF"/>
    <w:rsid w:val="00D2336A"/>
    <w:rsid w:val="00D2563E"/>
    <w:rsid w:val="00D2574C"/>
    <w:rsid w:val="00D2797A"/>
    <w:rsid w:val="00D27F13"/>
    <w:rsid w:val="00D30023"/>
    <w:rsid w:val="00D30101"/>
    <w:rsid w:val="00D30B33"/>
    <w:rsid w:val="00D317E0"/>
    <w:rsid w:val="00D32377"/>
    <w:rsid w:val="00D3292F"/>
    <w:rsid w:val="00D333BF"/>
    <w:rsid w:val="00D343FE"/>
    <w:rsid w:val="00D3486B"/>
    <w:rsid w:val="00D35AF4"/>
    <w:rsid w:val="00D35B03"/>
    <w:rsid w:val="00D363E4"/>
    <w:rsid w:val="00D3656C"/>
    <w:rsid w:val="00D36C47"/>
    <w:rsid w:val="00D374E6"/>
    <w:rsid w:val="00D40E92"/>
    <w:rsid w:val="00D41090"/>
    <w:rsid w:val="00D4170A"/>
    <w:rsid w:val="00D4321E"/>
    <w:rsid w:val="00D441C7"/>
    <w:rsid w:val="00D449BE"/>
    <w:rsid w:val="00D451AE"/>
    <w:rsid w:val="00D46CF0"/>
    <w:rsid w:val="00D47531"/>
    <w:rsid w:val="00D51026"/>
    <w:rsid w:val="00D51548"/>
    <w:rsid w:val="00D52804"/>
    <w:rsid w:val="00D529C1"/>
    <w:rsid w:val="00D52D7E"/>
    <w:rsid w:val="00D535E3"/>
    <w:rsid w:val="00D536AB"/>
    <w:rsid w:val="00D53EB2"/>
    <w:rsid w:val="00D550C4"/>
    <w:rsid w:val="00D55623"/>
    <w:rsid w:val="00D56228"/>
    <w:rsid w:val="00D57947"/>
    <w:rsid w:val="00D57D4D"/>
    <w:rsid w:val="00D601B3"/>
    <w:rsid w:val="00D62F3F"/>
    <w:rsid w:val="00D631B3"/>
    <w:rsid w:val="00D637B1"/>
    <w:rsid w:val="00D639A1"/>
    <w:rsid w:val="00D63D79"/>
    <w:rsid w:val="00D649E9"/>
    <w:rsid w:val="00D65396"/>
    <w:rsid w:val="00D659D5"/>
    <w:rsid w:val="00D65EA4"/>
    <w:rsid w:val="00D6689E"/>
    <w:rsid w:val="00D671B7"/>
    <w:rsid w:val="00D673B8"/>
    <w:rsid w:val="00D7052C"/>
    <w:rsid w:val="00D72B29"/>
    <w:rsid w:val="00D72C00"/>
    <w:rsid w:val="00D72E72"/>
    <w:rsid w:val="00D737A7"/>
    <w:rsid w:val="00D73D6E"/>
    <w:rsid w:val="00D74C21"/>
    <w:rsid w:val="00D75321"/>
    <w:rsid w:val="00D765CD"/>
    <w:rsid w:val="00D7706A"/>
    <w:rsid w:val="00D80EA2"/>
    <w:rsid w:val="00D814A4"/>
    <w:rsid w:val="00D82820"/>
    <w:rsid w:val="00D82B47"/>
    <w:rsid w:val="00D82FB2"/>
    <w:rsid w:val="00D83BE0"/>
    <w:rsid w:val="00D854E2"/>
    <w:rsid w:val="00D8563B"/>
    <w:rsid w:val="00D85761"/>
    <w:rsid w:val="00D85B2F"/>
    <w:rsid w:val="00D8682F"/>
    <w:rsid w:val="00D878D2"/>
    <w:rsid w:val="00D9013B"/>
    <w:rsid w:val="00D9047B"/>
    <w:rsid w:val="00D90834"/>
    <w:rsid w:val="00D91023"/>
    <w:rsid w:val="00D916F6"/>
    <w:rsid w:val="00D92174"/>
    <w:rsid w:val="00D92F73"/>
    <w:rsid w:val="00D9431D"/>
    <w:rsid w:val="00D9678F"/>
    <w:rsid w:val="00D97373"/>
    <w:rsid w:val="00D97972"/>
    <w:rsid w:val="00D97E2B"/>
    <w:rsid w:val="00DA054D"/>
    <w:rsid w:val="00DA3218"/>
    <w:rsid w:val="00DA3848"/>
    <w:rsid w:val="00DA4094"/>
    <w:rsid w:val="00DA474E"/>
    <w:rsid w:val="00DA5275"/>
    <w:rsid w:val="00DA5642"/>
    <w:rsid w:val="00DA6231"/>
    <w:rsid w:val="00DA6CA4"/>
    <w:rsid w:val="00DB1139"/>
    <w:rsid w:val="00DB14E9"/>
    <w:rsid w:val="00DB3168"/>
    <w:rsid w:val="00DB32C5"/>
    <w:rsid w:val="00DB452B"/>
    <w:rsid w:val="00DB5680"/>
    <w:rsid w:val="00DC20EC"/>
    <w:rsid w:val="00DC4A2A"/>
    <w:rsid w:val="00DC567D"/>
    <w:rsid w:val="00DC634C"/>
    <w:rsid w:val="00DC7B8C"/>
    <w:rsid w:val="00DD1ED0"/>
    <w:rsid w:val="00DD2523"/>
    <w:rsid w:val="00DD45A6"/>
    <w:rsid w:val="00DD4973"/>
    <w:rsid w:val="00DD4B8E"/>
    <w:rsid w:val="00DD59F2"/>
    <w:rsid w:val="00DD6083"/>
    <w:rsid w:val="00DD7296"/>
    <w:rsid w:val="00DE0296"/>
    <w:rsid w:val="00DE0308"/>
    <w:rsid w:val="00DE15DD"/>
    <w:rsid w:val="00DE335F"/>
    <w:rsid w:val="00DE7AEE"/>
    <w:rsid w:val="00DF027B"/>
    <w:rsid w:val="00DF2E4F"/>
    <w:rsid w:val="00DF3193"/>
    <w:rsid w:val="00DF5AEC"/>
    <w:rsid w:val="00DF653A"/>
    <w:rsid w:val="00DF6700"/>
    <w:rsid w:val="00DF771A"/>
    <w:rsid w:val="00DF7F96"/>
    <w:rsid w:val="00E0051E"/>
    <w:rsid w:val="00E01C97"/>
    <w:rsid w:val="00E02128"/>
    <w:rsid w:val="00E03707"/>
    <w:rsid w:val="00E03D82"/>
    <w:rsid w:val="00E04DF1"/>
    <w:rsid w:val="00E06989"/>
    <w:rsid w:val="00E1035B"/>
    <w:rsid w:val="00E109BA"/>
    <w:rsid w:val="00E11EA2"/>
    <w:rsid w:val="00E12A7B"/>
    <w:rsid w:val="00E14D16"/>
    <w:rsid w:val="00E162EB"/>
    <w:rsid w:val="00E164E6"/>
    <w:rsid w:val="00E17939"/>
    <w:rsid w:val="00E20087"/>
    <w:rsid w:val="00E25634"/>
    <w:rsid w:val="00E25FD3"/>
    <w:rsid w:val="00E2667F"/>
    <w:rsid w:val="00E27697"/>
    <w:rsid w:val="00E300DE"/>
    <w:rsid w:val="00E3066B"/>
    <w:rsid w:val="00E30E6A"/>
    <w:rsid w:val="00E3172C"/>
    <w:rsid w:val="00E32419"/>
    <w:rsid w:val="00E334B5"/>
    <w:rsid w:val="00E33DBB"/>
    <w:rsid w:val="00E341B2"/>
    <w:rsid w:val="00E3444F"/>
    <w:rsid w:val="00E34A98"/>
    <w:rsid w:val="00E35A7E"/>
    <w:rsid w:val="00E36E0E"/>
    <w:rsid w:val="00E37BDD"/>
    <w:rsid w:val="00E37DD6"/>
    <w:rsid w:val="00E408B9"/>
    <w:rsid w:val="00E40BBF"/>
    <w:rsid w:val="00E4228F"/>
    <w:rsid w:val="00E429BC"/>
    <w:rsid w:val="00E435C6"/>
    <w:rsid w:val="00E438AA"/>
    <w:rsid w:val="00E43998"/>
    <w:rsid w:val="00E43DD4"/>
    <w:rsid w:val="00E44103"/>
    <w:rsid w:val="00E441C6"/>
    <w:rsid w:val="00E50B73"/>
    <w:rsid w:val="00E531EB"/>
    <w:rsid w:val="00E5354C"/>
    <w:rsid w:val="00E5370F"/>
    <w:rsid w:val="00E53E45"/>
    <w:rsid w:val="00E5513C"/>
    <w:rsid w:val="00E556AB"/>
    <w:rsid w:val="00E571B3"/>
    <w:rsid w:val="00E576D0"/>
    <w:rsid w:val="00E57F67"/>
    <w:rsid w:val="00E60C0A"/>
    <w:rsid w:val="00E62367"/>
    <w:rsid w:val="00E6290A"/>
    <w:rsid w:val="00E62D3B"/>
    <w:rsid w:val="00E641A3"/>
    <w:rsid w:val="00E64673"/>
    <w:rsid w:val="00E64C84"/>
    <w:rsid w:val="00E65034"/>
    <w:rsid w:val="00E67197"/>
    <w:rsid w:val="00E67F4A"/>
    <w:rsid w:val="00E70392"/>
    <w:rsid w:val="00E71596"/>
    <w:rsid w:val="00E71901"/>
    <w:rsid w:val="00E71D44"/>
    <w:rsid w:val="00E73C00"/>
    <w:rsid w:val="00E7548F"/>
    <w:rsid w:val="00E75913"/>
    <w:rsid w:val="00E765DD"/>
    <w:rsid w:val="00E76932"/>
    <w:rsid w:val="00E76A19"/>
    <w:rsid w:val="00E76A2D"/>
    <w:rsid w:val="00E77362"/>
    <w:rsid w:val="00E81F28"/>
    <w:rsid w:val="00E8459D"/>
    <w:rsid w:val="00E85008"/>
    <w:rsid w:val="00E85FFE"/>
    <w:rsid w:val="00E86913"/>
    <w:rsid w:val="00E872E5"/>
    <w:rsid w:val="00E876DB"/>
    <w:rsid w:val="00E87A8C"/>
    <w:rsid w:val="00E87F17"/>
    <w:rsid w:val="00E905D6"/>
    <w:rsid w:val="00E9100E"/>
    <w:rsid w:val="00E91A2C"/>
    <w:rsid w:val="00E91B86"/>
    <w:rsid w:val="00E9312F"/>
    <w:rsid w:val="00E931D7"/>
    <w:rsid w:val="00E936FD"/>
    <w:rsid w:val="00E937B8"/>
    <w:rsid w:val="00EA0DFC"/>
    <w:rsid w:val="00EA2245"/>
    <w:rsid w:val="00EA239E"/>
    <w:rsid w:val="00EA3B84"/>
    <w:rsid w:val="00EA3D4B"/>
    <w:rsid w:val="00EA3D4E"/>
    <w:rsid w:val="00EA3DD7"/>
    <w:rsid w:val="00EA434B"/>
    <w:rsid w:val="00EA57E3"/>
    <w:rsid w:val="00EA63DF"/>
    <w:rsid w:val="00EA66CC"/>
    <w:rsid w:val="00EA7EEA"/>
    <w:rsid w:val="00EB00DB"/>
    <w:rsid w:val="00EB014D"/>
    <w:rsid w:val="00EB1331"/>
    <w:rsid w:val="00EB14FB"/>
    <w:rsid w:val="00EB3B09"/>
    <w:rsid w:val="00EB4092"/>
    <w:rsid w:val="00EB59F0"/>
    <w:rsid w:val="00EB5CAE"/>
    <w:rsid w:val="00EB7BB2"/>
    <w:rsid w:val="00EB7CA5"/>
    <w:rsid w:val="00EC234A"/>
    <w:rsid w:val="00EC5118"/>
    <w:rsid w:val="00EC516E"/>
    <w:rsid w:val="00EC5334"/>
    <w:rsid w:val="00EC6068"/>
    <w:rsid w:val="00EC68D2"/>
    <w:rsid w:val="00EC6A35"/>
    <w:rsid w:val="00EC7308"/>
    <w:rsid w:val="00ED00BA"/>
    <w:rsid w:val="00ED2693"/>
    <w:rsid w:val="00ED2DEC"/>
    <w:rsid w:val="00ED4B93"/>
    <w:rsid w:val="00ED53EF"/>
    <w:rsid w:val="00ED7880"/>
    <w:rsid w:val="00EE04C7"/>
    <w:rsid w:val="00EE145B"/>
    <w:rsid w:val="00EE1B62"/>
    <w:rsid w:val="00EE3F79"/>
    <w:rsid w:val="00EE4F8E"/>
    <w:rsid w:val="00EE5A14"/>
    <w:rsid w:val="00EE71BD"/>
    <w:rsid w:val="00EE749F"/>
    <w:rsid w:val="00EE7FD8"/>
    <w:rsid w:val="00EF0700"/>
    <w:rsid w:val="00EF2571"/>
    <w:rsid w:val="00EF5DF9"/>
    <w:rsid w:val="00EF6819"/>
    <w:rsid w:val="00EF6AB0"/>
    <w:rsid w:val="00EF755A"/>
    <w:rsid w:val="00F02471"/>
    <w:rsid w:val="00F02D1B"/>
    <w:rsid w:val="00F03118"/>
    <w:rsid w:val="00F03F4D"/>
    <w:rsid w:val="00F07826"/>
    <w:rsid w:val="00F07E4C"/>
    <w:rsid w:val="00F10D29"/>
    <w:rsid w:val="00F10FAB"/>
    <w:rsid w:val="00F153F9"/>
    <w:rsid w:val="00F17E58"/>
    <w:rsid w:val="00F21D55"/>
    <w:rsid w:val="00F220C5"/>
    <w:rsid w:val="00F22A80"/>
    <w:rsid w:val="00F22E47"/>
    <w:rsid w:val="00F2685C"/>
    <w:rsid w:val="00F26A13"/>
    <w:rsid w:val="00F26DAF"/>
    <w:rsid w:val="00F26F2B"/>
    <w:rsid w:val="00F27CB9"/>
    <w:rsid w:val="00F3058F"/>
    <w:rsid w:val="00F33257"/>
    <w:rsid w:val="00F33DA1"/>
    <w:rsid w:val="00F34E0E"/>
    <w:rsid w:val="00F35C76"/>
    <w:rsid w:val="00F35DA7"/>
    <w:rsid w:val="00F365C2"/>
    <w:rsid w:val="00F36965"/>
    <w:rsid w:val="00F37CBE"/>
    <w:rsid w:val="00F40712"/>
    <w:rsid w:val="00F40783"/>
    <w:rsid w:val="00F43A67"/>
    <w:rsid w:val="00F44563"/>
    <w:rsid w:val="00F4469C"/>
    <w:rsid w:val="00F450A5"/>
    <w:rsid w:val="00F46730"/>
    <w:rsid w:val="00F46E0C"/>
    <w:rsid w:val="00F512BD"/>
    <w:rsid w:val="00F51752"/>
    <w:rsid w:val="00F51EFD"/>
    <w:rsid w:val="00F52334"/>
    <w:rsid w:val="00F5269D"/>
    <w:rsid w:val="00F52E66"/>
    <w:rsid w:val="00F53318"/>
    <w:rsid w:val="00F540A4"/>
    <w:rsid w:val="00F54B59"/>
    <w:rsid w:val="00F5509D"/>
    <w:rsid w:val="00F56759"/>
    <w:rsid w:val="00F56B1B"/>
    <w:rsid w:val="00F56E76"/>
    <w:rsid w:val="00F570E2"/>
    <w:rsid w:val="00F6095E"/>
    <w:rsid w:val="00F6313C"/>
    <w:rsid w:val="00F63E10"/>
    <w:rsid w:val="00F63F48"/>
    <w:rsid w:val="00F640B2"/>
    <w:rsid w:val="00F64D2B"/>
    <w:rsid w:val="00F666F0"/>
    <w:rsid w:val="00F708BE"/>
    <w:rsid w:val="00F71295"/>
    <w:rsid w:val="00F732C7"/>
    <w:rsid w:val="00F73494"/>
    <w:rsid w:val="00F73558"/>
    <w:rsid w:val="00F736AC"/>
    <w:rsid w:val="00F73C43"/>
    <w:rsid w:val="00F75076"/>
    <w:rsid w:val="00F757D3"/>
    <w:rsid w:val="00F75972"/>
    <w:rsid w:val="00F776A9"/>
    <w:rsid w:val="00F81873"/>
    <w:rsid w:val="00F81E59"/>
    <w:rsid w:val="00F823D2"/>
    <w:rsid w:val="00F85339"/>
    <w:rsid w:val="00F90C2C"/>
    <w:rsid w:val="00F9213B"/>
    <w:rsid w:val="00F92BE2"/>
    <w:rsid w:val="00F94E4D"/>
    <w:rsid w:val="00F95BA1"/>
    <w:rsid w:val="00F96C00"/>
    <w:rsid w:val="00F96C80"/>
    <w:rsid w:val="00F96FB0"/>
    <w:rsid w:val="00F97BDE"/>
    <w:rsid w:val="00F97E7E"/>
    <w:rsid w:val="00FA0A31"/>
    <w:rsid w:val="00FA5FAE"/>
    <w:rsid w:val="00FA7F0C"/>
    <w:rsid w:val="00FB0932"/>
    <w:rsid w:val="00FB0978"/>
    <w:rsid w:val="00FB0A71"/>
    <w:rsid w:val="00FB1851"/>
    <w:rsid w:val="00FB2732"/>
    <w:rsid w:val="00FB331D"/>
    <w:rsid w:val="00FB3C98"/>
    <w:rsid w:val="00FB43FF"/>
    <w:rsid w:val="00FB481F"/>
    <w:rsid w:val="00FB695D"/>
    <w:rsid w:val="00FB7921"/>
    <w:rsid w:val="00FC55F2"/>
    <w:rsid w:val="00FC5EEB"/>
    <w:rsid w:val="00FC6654"/>
    <w:rsid w:val="00FC6957"/>
    <w:rsid w:val="00FD02DD"/>
    <w:rsid w:val="00FD07B4"/>
    <w:rsid w:val="00FD0E4B"/>
    <w:rsid w:val="00FD148B"/>
    <w:rsid w:val="00FD14C0"/>
    <w:rsid w:val="00FD2A1A"/>
    <w:rsid w:val="00FD38D4"/>
    <w:rsid w:val="00FD3D94"/>
    <w:rsid w:val="00FD4B6D"/>
    <w:rsid w:val="00FD5ADC"/>
    <w:rsid w:val="00FD5D1C"/>
    <w:rsid w:val="00FE0470"/>
    <w:rsid w:val="00FE0BFB"/>
    <w:rsid w:val="00FE29E7"/>
    <w:rsid w:val="00FE2C21"/>
    <w:rsid w:val="00FE31B6"/>
    <w:rsid w:val="00FE4384"/>
    <w:rsid w:val="00FE5852"/>
    <w:rsid w:val="00FE5EF8"/>
    <w:rsid w:val="00FE7367"/>
    <w:rsid w:val="00FE772B"/>
    <w:rsid w:val="00FF01AC"/>
    <w:rsid w:val="00FF0270"/>
    <w:rsid w:val="00FF202C"/>
    <w:rsid w:val="00FF270E"/>
    <w:rsid w:val="00FF4533"/>
    <w:rsid w:val="00FF4D14"/>
    <w:rsid w:val="00FF5097"/>
    <w:rsid w:val="00FF7254"/>
    <w:rsid w:val="00FF7B9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0FE1874"/>
  <w15:docId w15:val="{943D7176-5D23-B84B-A52B-25A7AA94CB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1B5A"/>
    <w:rPr>
      <w:rFonts w:ascii="Times New Roman" w:eastAsia="Times New Roman" w:hAnsi="Times New Roman" w:cs="Times New Roman"/>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E556AB"/>
    <w:rPr>
      <w:lang w:val="en-GB"/>
    </w:rPr>
  </w:style>
  <w:style w:type="character" w:customStyle="1" w:styleId="FootnoteTextChar">
    <w:name w:val="Footnote Text Char"/>
    <w:basedOn w:val="DefaultParagraphFont"/>
    <w:link w:val="FootnoteText"/>
    <w:uiPriority w:val="99"/>
    <w:rsid w:val="00E556AB"/>
  </w:style>
  <w:style w:type="character" w:styleId="FootnoteReference">
    <w:name w:val="footnote reference"/>
    <w:basedOn w:val="DefaultParagraphFont"/>
    <w:uiPriority w:val="99"/>
    <w:unhideWhenUsed/>
    <w:rsid w:val="00E556AB"/>
    <w:rPr>
      <w:vertAlign w:val="superscript"/>
    </w:rPr>
  </w:style>
  <w:style w:type="paragraph" w:styleId="BalloonText">
    <w:name w:val="Balloon Text"/>
    <w:basedOn w:val="Normal"/>
    <w:link w:val="BalloonTextChar"/>
    <w:uiPriority w:val="99"/>
    <w:semiHidden/>
    <w:unhideWhenUsed/>
    <w:rsid w:val="00D130A9"/>
    <w:rPr>
      <w:sz w:val="18"/>
      <w:szCs w:val="18"/>
    </w:rPr>
  </w:style>
  <w:style w:type="character" w:customStyle="1" w:styleId="BalloonTextChar">
    <w:name w:val="Balloon Text Char"/>
    <w:basedOn w:val="DefaultParagraphFont"/>
    <w:link w:val="BalloonText"/>
    <w:uiPriority w:val="99"/>
    <w:semiHidden/>
    <w:rsid w:val="00D130A9"/>
    <w:rPr>
      <w:rFonts w:ascii="Times New Roman" w:hAnsi="Times New Roman" w:cs="Times New Roman"/>
      <w:sz w:val="18"/>
      <w:szCs w:val="18"/>
    </w:rPr>
  </w:style>
  <w:style w:type="paragraph" w:styleId="Title">
    <w:name w:val="Title"/>
    <w:basedOn w:val="Normal"/>
    <w:next w:val="Normal"/>
    <w:link w:val="TitleChar"/>
    <w:uiPriority w:val="10"/>
    <w:qFormat/>
    <w:rsid w:val="004C3C58"/>
    <w:pPr>
      <w:contextualSpacing/>
    </w:pPr>
    <w:rPr>
      <w:rFonts w:asciiTheme="majorHAnsi" w:eastAsiaTheme="majorEastAsia" w:hAnsiTheme="majorHAnsi" w:cstheme="majorBidi"/>
      <w:spacing w:val="-10"/>
      <w:kern w:val="28"/>
      <w:sz w:val="56"/>
      <w:szCs w:val="56"/>
      <w:lang w:val="en-GB"/>
    </w:rPr>
  </w:style>
  <w:style w:type="character" w:customStyle="1" w:styleId="TitleChar">
    <w:name w:val="Title Char"/>
    <w:basedOn w:val="DefaultParagraphFont"/>
    <w:link w:val="Title"/>
    <w:uiPriority w:val="10"/>
    <w:rsid w:val="004C3C58"/>
    <w:rPr>
      <w:rFonts w:asciiTheme="majorHAnsi" w:eastAsiaTheme="majorEastAsia" w:hAnsiTheme="majorHAnsi" w:cstheme="majorBidi"/>
      <w:spacing w:val="-10"/>
      <w:kern w:val="28"/>
      <w:sz w:val="56"/>
      <w:szCs w:val="56"/>
    </w:rPr>
  </w:style>
  <w:style w:type="character" w:styleId="CommentReference">
    <w:name w:val="annotation reference"/>
    <w:basedOn w:val="DefaultParagraphFont"/>
    <w:uiPriority w:val="99"/>
    <w:semiHidden/>
    <w:unhideWhenUsed/>
    <w:rsid w:val="0009573F"/>
    <w:rPr>
      <w:sz w:val="18"/>
      <w:szCs w:val="18"/>
    </w:rPr>
  </w:style>
  <w:style w:type="paragraph" w:styleId="CommentText">
    <w:name w:val="annotation text"/>
    <w:basedOn w:val="Normal"/>
    <w:link w:val="CommentTextChar"/>
    <w:uiPriority w:val="99"/>
    <w:unhideWhenUsed/>
    <w:rsid w:val="0009573F"/>
    <w:rPr>
      <w:lang w:val="en-GB"/>
    </w:rPr>
  </w:style>
  <w:style w:type="character" w:customStyle="1" w:styleId="CommentTextChar">
    <w:name w:val="Comment Text Char"/>
    <w:basedOn w:val="DefaultParagraphFont"/>
    <w:link w:val="CommentText"/>
    <w:uiPriority w:val="99"/>
    <w:rsid w:val="0009573F"/>
  </w:style>
  <w:style w:type="paragraph" w:styleId="CommentSubject">
    <w:name w:val="annotation subject"/>
    <w:basedOn w:val="CommentText"/>
    <w:next w:val="CommentText"/>
    <w:link w:val="CommentSubjectChar"/>
    <w:uiPriority w:val="99"/>
    <w:semiHidden/>
    <w:unhideWhenUsed/>
    <w:rsid w:val="0009573F"/>
    <w:rPr>
      <w:b/>
      <w:bCs/>
      <w:sz w:val="20"/>
      <w:szCs w:val="20"/>
    </w:rPr>
  </w:style>
  <w:style w:type="character" w:customStyle="1" w:styleId="CommentSubjectChar">
    <w:name w:val="Comment Subject Char"/>
    <w:basedOn w:val="CommentTextChar"/>
    <w:link w:val="CommentSubject"/>
    <w:uiPriority w:val="99"/>
    <w:semiHidden/>
    <w:rsid w:val="0009573F"/>
    <w:rPr>
      <w:b/>
      <w:bCs/>
      <w:sz w:val="20"/>
      <w:szCs w:val="20"/>
    </w:rPr>
  </w:style>
  <w:style w:type="paragraph" w:styleId="Header">
    <w:name w:val="header"/>
    <w:basedOn w:val="Normal"/>
    <w:link w:val="HeaderChar"/>
    <w:uiPriority w:val="99"/>
    <w:unhideWhenUsed/>
    <w:rsid w:val="00975B8C"/>
    <w:pPr>
      <w:tabs>
        <w:tab w:val="center" w:pos="4680"/>
        <w:tab w:val="right" w:pos="9360"/>
      </w:tabs>
    </w:pPr>
    <w:rPr>
      <w:lang w:val="en-GB"/>
    </w:rPr>
  </w:style>
  <w:style w:type="character" w:customStyle="1" w:styleId="HeaderChar">
    <w:name w:val="Header Char"/>
    <w:basedOn w:val="DefaultParagraphFont"/>
    <w:link w:val="Header"/>
    <w:uiPriority w:val="99"/>
    <w:rsid w:val="00975B8C"/>
  </w:style>
  <w:style w:type="paragraph" w:styleId="Footer">
    <w:name w:val="footer"/>
    <w:basedOn w:val="Normal"/>
    <w:link w:val="FooterChar"/>
    <w:uiPriority w:val="99"/>
    <w:unhideWhenUsed/>
    <w:rsid w:val="00975B8C"/>
    <w:pPr>
      <w:tabs>
        <w:tab w:val="center" w:pos="4680"/>
        <w:tab w:val="right" w:pos="9360"/>
      </w:tabs>
    </w:pPr>
    <w:rPr>
      <w:lang w:val="en-GB"/>
    </w:rPr>
  </w:style>
  <w:style w:type="character" w:customStyle="1" w:styleId="FooterChar">
    <w:name w:val="Footer Char"/>
    <w:basedOn w:val="DefaultParagraphFont"/>
    <w:link w:val="Footer"/>
    <w:uiPriority w:val="99"/>
    <w:rsid w:val="00975B8C"/>
  </w:style>
  <w:style w:type="character" w:styleId="PageNumber">
    <w:name w:val="page number"/>
    <w:basedOn w:val="DefaultParagraphFont"/>
    <w:uiPriority w:val="99"/>
    <w:semiHidden/>
    <w:unhideWhenUsed/>
    <w:rsid w:val="00E408B9"/>
  </w:style>
  <w:style w:type="character" w:styleId="Emphasis">
    <w:name w:val="Emphasis"/>
    <w:basedOn w:val="DefaultParagraphFont"/>
    <w:uiPriority w:val="20"/>
    <w:qFormat/>
    <w:rsid w:val="00C4317F"/>
    <w:rPr>
      <w:i/>
      <w:iCs/>
    </w:rPr>
  </w:style>
  <w:style w:type="paragraph" w:styleId="Revision">
    <w:name w:val="Revision"/>
    <w:hidden/>
    <w:uiPriority w:val="99"/>
    <w:semiHidden/>
    <w:rsid w:val="00EE145B"/>
  </w:style>
  <w:style w:type="character" w:styleId="Hyperlink">
    <w:name w:val="Hyperlink"/>
    <w:uiPriority w:val="99"/>
    <w:rsid w:val="000A2CAC"/>
    <w:rPr>
      <w:color w:val="0000FF"/>
      <w:u w:val="single"/>
    </w:rPr>
  </w:style>
  <w:style w:type="character" w:customStyle="1" w:styleId="doi">
    <w:name w:val="doi"/>
    <w:basedOn w:val="DefaultParagraphFont"/>
    <w:rsid w:val="000A2CAC"/>
  </w:style>
  <w:style w:type="paragraph" w:styleId="ListParagraph">
    <w:name w:val="List Paragraph"/>
    <w:basedOn w:val="Normal"/>
    <w:uiPriority w:val="34"/>
    <w:qFormat/>
    <w:rsid w:val="005047DC"/>
    <w:pPr>
      <w:ind w:left="720"/>
      <w:contextualSpacing/>
    </w:pPr>
    <w:rPr>
      <w:lang w:val="en-GB"/>
    </w:rPr>
  </w:style>
  <w:style w:type="character" w:styleId="Strong">
    <w:name w:val="Strong"/>
    <w:basedOn w:val="DefaultParagraphFont"/>
    <w:uiPriority w:val="22"/>
    <w:qFormat/>
    <w:rsid w:val="00284945"/>
    <w:rPr>
      <w:b/>
      <w:bCs/>
    </w:rPr>
  </w:style>
  <w:style w:type="paragraph" w:styleId="DocumentMap">
    <w:name w:val="Document Map"/>
    <w:basedOn w:val="Normal"/>
    <w:link w:val="DocumentMapChar"/>
    <w:uiPriority w:val="99"/>
    <w:semiHidden/>
    <w:unhideWhenUsed/>
    <w:rsid w:val="00155A71"/>
  </w:style>
  <w:style w:type="character" w:customStyle="1" w:styleId="DocumentMapChar">
    <w:name w:val="Document Map Char"/>
    <w:basedOn w:val="DefaultParagraphFont"/>
    <w:link w:val="DocumentMap"/>
    <w:uiPriority w:val="99"/>
    <w:semiHidden/>
    <w:rsid w:val="00155A71"/>
    <w:rPr>
      <w:rFonts w:ascii="Times New Roman" w:hAnsi="Times New Roman" w:cs="Times New Roman"/>
    </w:rPr>
  </w:style>
  <w:style w:type="character" w:customStyle="1" w:styleId="st1">
    <w:name w:val="st1"/>
    <w:basedOn w:val="DefaultParagraphFont"/>
    <w:rsid w:val="007905CA"/>
  </w:style>
  <w:style w:type="character" w:customStyle="1" w:styleId="UnresolvedMention1">
    <w:name w:val="Unresolved Mention1"/>
    <w:basedOn w:val="DefaultParagraphFont"/>
    <w:uiPriority w:val="99"/>
    <w:semiHidden/>
    <w:unhideWhenUsed/>
    <w:rsid w:val="00EB4092"/>
    <w:rPr>
      <w:color w:val="808080"/>
      <w:shd w:val="clear" w:color="auto" w:fill="E6E6E6"/>
    </w:rPr>
  </w:style>
  <w:style w:type="character" w:styleId="LineNumber">
    <w:name w:val="line number"/>
    <w:basedOn w:val="DefaultParagraphFont"/>
    <w:uiPriority w:val="99"/>
    <w:semiHidden/>
    <w:unhideWhenUsed/>
    <w:rsid w:val="00EB4092"/>
  </w:style>
  <w:style w:type="table" w:styleId="TableGrid">
    <w:name w:val="Table Grid"/>
    <w:basedOn w:val="TableNormal"/>
    <w:uiPriority w:val="39"/>
    <w:rsid w:val="00C567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3155BE"/>
    <w:rPr>
      <w:color w:val="605E5C"/>
      <w:shd w:val="clear" w:color="auto" w:fill="E1DFDD"/>
    </w:rPr>
  </w:style>
  <w:style w:type="character" w:customStyle="1" w:styleId="UnresolvedMention3">
    <w:name w:val="Unresolved Mention3"/>
    <w:basedOn w:val="DefaultParagraphFont"/>
    <w:uiPriority w:val="99"/>
    <w:semiHidden/>
    <w:unhideWhenUsed/>
    <w:rsid w:val="00C00637"/>
    <w:rPr>
      <w:color w:val="605E5C"/>
      <w:shd w:val="clear" w:color="auto" w:fill="E1DFDD"/>
    </w:rPr>
  </w:style>
  <w:style w:type="character" w:styleId="FollowedHyperlink">
    <w:name w:val="FollowedHyperlink"/>
    <w:basedOn w:val="DefaultParagraphFont"/>
    <w:uiPriority w:val="99"/>
    <w:semiHidden/>
    <w:unhideWhenUsed/>
    <w:rsid w:val="00612D54"/>
    <w:rPr>
      <w:color w:val="954F72" w:themeColor="followedHyperlink"/>
      <w:u w:val="single"/>
    </w:rPr>
  </w:style>
  <w:style w:type="paragraph" w:styleId="EndnoteText">
    <w:name w:val="endnote text"/>
    <w:basedOn w:val="Normal"/>
    <w:link w:val="EndnoteTextChar"/>
    <w:uiPriority w:val="99"/>
    <w:semiHidden/>
    <w:unhideWhenUsed/>
    <w:rsid w:val="00B46787"/>
    <w:rPr>
      <w:sz w:val="20"/>
      <w:szCs w:val="20"/>
    </w:rPr>
  </w:style>
  <w:style w:type="character" w:customStyle="1" w:styleId="EndnoteTextChar">
    <w:name w:val="Endnote Text Char"/>
    <w:basedOn w:val="DefaultParagraphFont"/>
    <w:link w:val="EndnoteText"/>
    <w:uiPriority w:val="99"/>
    <w:semiHidden/>
    <w:rsid w:val="00B46787"/>
    <w:rPr>
      <w:rFonts w:ascii="Times New Roman" w:eastAsia="Times New Roman" w:hAnsi="Times New Roman" w:cs="Times New Roman"/>
      <w:sz w:val="20"/>
      <w:szCs w:val="20"/>
      <w:lang w:val="en-GB" w:eastAsia="en-GB"/>
    </w:rPr>
  </w:style>
  <w:style w:type="character" w:styleId="EndnoteReference">
    <w:name w:val="endnote reference"/>
    <w:basedOn w:val="DefaultParagraphFont"/>
    <w:uiPriority w:val="99"/>
    <w:semiHidden/>
    <w:unhideWhenUsed/>
    <w:rsid w:val="00B46787"/>
    <w:rPr>
      <w:vertAlign w:val="superscript"/>
    </w:rPr>
  </w:style>
  <w:style w:type="character" w:customStyle="1" w:styleId="UnresolvedMention4">
    <w:name w:val="Unresolved Mention4"/>
    <w:basedOn w:val="DefaultParagraphFont"/>
    <w:uiPriority w:val="99"/>
    <w:semiHidden/>
    <w:unhideWhenUsed/>
    <w:rsid w:val="00F54B59"/>
    <w:rPr>
      <w:color w:val="605E5C"/>
      <w:shd w:val="clear" w:color="auto" w:fill="E1DFDD"/>
    </w:rPr>
  </w:style>
  <w:style w:type="character" w:styleId="PlaceholderText">
    <w:name w:val="Placeholder Text"/>
    <w:basedOn w:val="DefaultParagraphFont"/>
    <w:uiPriority w:val="99"/>
    <w:semiHidden/>
    <w:rsid w:val="008645F4"/>
    <w:rPr>
      <w:color w:val="808080"/>
    </w:rPr>
  </w:style>
  <w:style w:type="character" w:customStyle="1" w:styleId="UnresolvedMention5">
    <w:name w:val="Unresolved Mention5"/>
    <w:basedOn w:val="DefaultParagraphFont"/>
    <w:uiPriority w:val="99"/>
    <w:semiHidden/>
    <w:unhideWhenUsed/>
    <w:rsid w:val="00175205"/>
    <w:rPr>
      <w:color w:val="605E5C"/>
      <w:shd w:val="clear" w:color="auto" w:fill="E1DFDD"/>
    </w:rPr>
  </w:style>
  <w:style w:type="character" w:customStyle="1" w:styleId="slug-doi">
    <w:name w:val="slug-doi"/>
    <w:rsid w:val="00AD31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176753">
      <w:bodyDiv w:val="1"/>
      <w:marLeft w:val="0"/>
      <w:marRight w:val="0"/>
      <w:marTop w:val="0"/>
      <w:marBottom w:val="0"/>
      <w:divBdr>
        <w:top w:val="none" w:sz="0" w:space="0" w:color="auto"/>
        <w:left w:val="none" w:sz="0" w:space="0" w:color="auto"/>
        <w:bottom w:val="none" w:sz="0" w:space="0" w:color="auto"/>
        <w:right w:val="none" w:sz="0" w:space="0" w:color="auto"/>
      </w:divBdr>
    </w:div>
    <w:div w:id="51001571">
      <w:bodyDiv w:val="1"/>
      <w:marLeft w:val="0"/>
      <w:marRight w:val="0"/>
      <w:marTop w:val="0"/>
      <w:marBottom w:val="0"/>
      <w:divBdr>
        <w:top w:val="none" w:sz="0" w:space="0" w:color="auto"/>
        <w:left w:val="none" w:sz="0" w:space="0" w:color="auto"/>
        <w:bottom w:val="none" w:sz="0" w:space="0" w:color="auto"/>
        <w:right w:val="none" w:sz="0" w:space="0" w:color="auto"/>
      </w:divBdr>
    </w:div>
    <w:div w:id="76557513">
      <w:bodyDiv w:val="1"/>
      <w:marLeft w:val="0"/>
      <w:marRight w:val="0"/>
      <w:marTop w:val="0"/>
      <w:marBottom w:val="0"/>
      <w:divBdr>
        <w:top w:val="none" w:sz="0" w:space="0" w:color="auto"/>
        <w:left w:val="none" w:sz="0" w:space="0" w:color="auto"/>
        <w:bottom w:val="none" w:sz="0" w:space="0" w:color="auto"/>
        <w:right w:val="none" w:sz="0" w:space="0" w:color="auto"/>
      </w:divBdr>
    </w:div>
    <w:div w:id="84769976">
      <w:bodyDiv w:val="1"/>
      <w:marLeft w:val="0"/>
      <w:marRight w:val="0"/>
      <w:marTop w:val="0"/>
      <w:marBottom w:val="0"/>
      <w:divBdr>
        <w:top w:val="none" w:sz="0" w:space="0" w:color="auto"/>
        <w:left w:val="none" w:sz="0" w:space="0" w:color="auto"/>
        <w:bottom w:val="none" w:sz="0" w:space="0" w:color="auto"/>
        <w:right w:val="none" w:sz="0" w:space="0" w:color="auto"/>
      </w:divBdr>
    </w:div>
    <w:div w:id="181286614">
      <w:bodyDiv w:val="1"/>
      <w:marLeft w:val="0"/>
      <w:marRight w:val="0"/>
      <w:marTop w:val="0"/>
      <w:marBottom w:val="0"/>
      <w:divBdr>
        <w:top w:val="none" w:sz="0" w:space="0" w:color="auto"/>
        <w:left w:val="none" w:sz="0" w:space="0" w:color="auto"/>
        <w:bottom w:val="none" w:sz="0" w:space="0" w:color="auto"/>
        <w:right w:val="none" w:sz="0" w:space="0" w:color="auto"/>
      </w:divBdr>
    </w:div>
    <w:div w:id="195850295">
      <w:bodyDiv w:val="1"/>
      <w:marLeft w:val="0"/>
      <w:marRight w:val="0"/>
      <w:marTop w:val="0"/>
      <w:marBottom w:val="0"/>
      <w:divBdr>
        <w:top w:val="none" w:sz="0" w:space="0" w:color="auto"/>
        <w:left w:val="none" w:sz="0" w:space="0" w:color="auto"/>
        <w:bottom w:val="none" w:sz="0" w:space="0" w:color="auto"/>
        <w:right w:val="none" w:sz="0" w:space="0" w:color="auto"/>
      </w:divBdr>
    </w:div>
    <w:div w:id="214001542">
      <w:bodyDiv w:val="1"/>
      <w:marLeft w:val="0"/>
      <w:marRight w:val="0"/>
      <w:marTop w:val="0"/>
      <w:marBottom w:val="0"/>
      <w:divBdr>
        <w:top w:val="none" w:sz="0" w:space="0" w:color="auto"/>
        <w:left w:val="none" w:sz="0" w:space="0" w:color="auto"/>
        <w:bottom w:val="none" w:sz="0" w:space="0" w:color="auto"/>
        <w:right w:val="none" w:sz="0" w:space="0" w:color="auto"/>
      </w:divBdr>
    </w:div>
    <w:div w:id="293756322">
      <w:bodyDiv w:val="1"/>
      <w:marLeft w:val="0"/>
      <w:marRight w:val="0"/>
      <w:marTop w:val="0"/>
      <w:marBottom w:val="0"/>
      <w:divBdr>
        <w:top w:val="none" w:sz="0" w:space="0" w:color="auto"/>
        <w:left w:val="none" w:sz="0" w:space="0" w:color="auto"/>
        <w:bottom w:val="none" w:sz="0" w:space="0" w:color="auto"/>
        <w:right w:val="none" w:sz="0" w:space="0" w:color="auto"/>
      </w:divBdr>
    </w:div>
    <w:div w:id="303966806">
      <w:bodyDiv w:val="1"/>
      <w:marLeft w:val="0"/>
      <w:marRight w:val="0"/>
      <w:marTop w:val="0"/>
      <w:marBottom w:val="0"/>
      <w:divBdr>
        <w:top w:val="none" w:sz="0" w:space="0" w:color="auto"/>
        <w:left w:val="none" w:sz="0" w:space="0" w:color="auto"/>
        <w:bottom w:val="none" w:sz="0" w:space="0" w:color="auto"/>
        <w:right w:val="none" w:sz="0" w:space="0" w:color="auto"/>
      </w:divBdr>
    </w:div>
    <w:div w:id="339547822">
      <w:bodyDiv w:val="1"/>
      <w:marLeft w:val="0"/>
      <w:marRight w:val="0"/>
      <w:marTop w:val="0"/>
      <w:marBottom w:val="0"/>
      <w:divBdr>
        <w:top w:val="none" w:sz="0" w:space="0" w:color="auto"/>
        <w:left w:val="none" w:sz="0" w:space="0" w:color="auto"/>
        <w:bottom w:val="none" w:sz="0" w:space="0" w:color="auto"/>
        <w:right w:val="none" w:sz="0" w:space="0" w:color="auto"/>
      </w:divBdr>
    </w:div>
    <w:div w:id="340355490">
      <w:bodyDiv w:val="1"/>
      <w:marLeft w:val="0"/>
      <w:marRight w:val="0"/>
      <w:marTop w:val="0"/>
      <w:marBottom w:val="0"/>
      <w:divBdr>
        <w:top w:val="none" w:sz="0" w:space="0" w:color="auto"/>
        <w:left w:val="none" w:sz="0" w:space="0" w:color="auto"/>
        <w:bottom w:val="none" w:sz="0" w:space="0" w:color="auto"/>
        <w:right w:val="none" w:sz="0" w:space="0" w:color="auto"/>
      </w:divBdr>
    </w:div>
    <w:div w:id="435515916">
      <w:bodyDiv w:val="1"/>
      <w:marLeft w:val="0"/>
      <w:marRight w:val="0"/>
      <w:marTop w:val="0"/>
      <w:marBottom w:val="0"/>
      <w:divBdr>
        <w:top w:val="none" w:sz="0" w:space="0" w:color="auto"/>
        <w:left w:val="none" w:sz="0" w:space="0" w:color="auto"/>
        <w:bottom w:val="none" w:sz="0" w:space="0" w:color="auto"/>
        <w:right w:val="none" w:sz="0" w:space="0" w:color="auto"/>
      </w:divBdr>
    </w:div>
    <w:div w:id="474876120">
      <w:bodyDiv w:val="1"/>
      <w:marLeft w:val="0"/>
      <w:marRight w:val="0"/>
      <w:marTop w:val="0"/>
      <w:marBottom w:val="0"/>
      <w:divBdr>
        <w:top w:val="none" w:sz="0" w:space="0" w:color="auto"/>
        <w:left w:val="none" w:sz="0" w:space="0" w:color="auto"/>
        <w:bottom w:val="none" w:sz="0" w:space="0" w:color="auto"/>
        <w:right w:val="none" w:sz="0" w:space="0" w:color="auto"/>
      </w:divBdr>
    </w:div>
    <w:div w:id="474877522">
      <w:bodyDiv w:val="1"/>
      <w:marLeft w:val="0"/>
      <w:marRight w:val="0"/>
      <w:marTop w:val="0"/>
      <w:marBottom w:val="0"/>
      <w:divBdr>
        <w:top w:val="none" w:sz="0" w:space="0" w:color="auto"/>
        <w:left w:val="none" w:sz="0" w:space="0" w:color="auto"/>
        <w:bottom w:val="none" w:sz="0" w:space="0" w:color="auto"/>
        <w:right w:val="none" w:sz="0" w:space="0" w:color="auto"/>
      </w:divBdr>
    </w:div>
    <w:div w:id="482240637">
      <w:bodyDiv w:val="1"/>
      <w:marLeft w:val="0"/>
      <w:marRight w:val="0"/>
      <w:marTop w:val="0"/>
      <w:marBottom w:val="0"/>
      <w:divBdr>
        <w:top w:val="none" w:sz="0" w:space="0" w:color="auto"/>
        <w:left w:val="none" w:sz="0" w:space="0" w:color="auto"/>
        <w:bottom w:val="none" w:sz="0" w:space="0" w:color="auto"/>
        <w:right w:val="none" w:sz="0" w:space="0" w:color="auto"/>
      </w:divBdr>
    </w:div>
    <w:div w:id="487214633">
      <w:bodyDiv w:val="1"/>
      <w:marLeft w:val="0"/>
      <w:marRight w:val="0"/>
      <w:marTop w:val="0"/>
      <w:marBottom w:val="0"/>
      <w:divBdr>
        <w:top w:val="none" w:sz="0" w:space="0" w:color="auto"/>
        <w:left w:val="none" w:sz="0" w:space="0" w:color="auto"/>
        <w:bottom w:val="none" w:sz="0" w:space="0" w:color="auto"/>
        <w:right w:val="none" w:sz="0" w:space="0" w:color="auto"/>
      </w:divBdr>
    </w:div>
    <w:div w:id="492333369">
      <w:bodyDiv w:val="1"/>
      <w:marLeft w:val="0"/>
      <w:marRight w:val="0"/>
      <w:marTop w:val="0"/>
      <w:marBottom w:val="0"/>
      <w:divBdr>
        <w:top w:val="none" w:sz="0" w:space="0" w:color="auto"/>
        <w:left w:val="none" w:sz="0" w:space="0" w:color="auto"/>
        <w:bottom w:val="none" w:sz="0" w:space="0" w:color="auto"/>
        <w:right w:val="none" w:sz="0" w:space="0" w:color="auto"/>
      </w:divBdr>
    </w:div>
    <w:div w:id="521822743">
      <w:bodyDiv w:val="1"/>
      <w:marLeft w:val="0"/>
      <w:marRight w:val="0"/>
      <w:marTop w:val="0"/>
      <w:marBottom w:val="0"/>
      <w:divBdr>
        <w:top w:val="none" w:sz="0" w:space="0" w:color="auto"/>
        <w:left w:val="none" w:sz="0" w:space="0" w:color="auto"/>
        <w:bottom w:val="none" w:sz="0" w:space="0" w:color="auto"/>
        <w:right w:val="none" w:sz="0" w:space="0" w:color="auto"/>
      </w:divBdr>
    </w:div>
    <w:div w:id="645816637">
      <w:bodyDiv w:val="1"/>
      <w:marLeft w:val="0"/>
      <w:marRight w:val="0"/>
      <w:marTop w:val="0"/>
      <w:marBottom w:val="0"/>
      <w:divBdr>
        <w:top w:val="none" w:sz="0" w:space="0" w:color="auto"/>
        <w:left w:val="none" w:sz="0" w:space="0" w:color="auto"/>
        <w:bottom w:val="none" w:sz="0" w:space="0" w:color="auto"/>
        <w:right w:val="none" w:sz="0" w:space="0" w:color="auto"/>
      </w:divBdr>
    </w:div>
    <w:div w:id="730271875">
      <w:bodyDiv w:val="1"/>
      <w:marLeft w:val="0"/>
      <w:marRight w:val="0"/>
      <w:marTop w:val="0"/>
      <w:marBottom w:val="0"/>
      <w:divBdr>
        <w:top w:val="none" w:sz="0" w:space="0" w:color="auto"/>
        <w:left w:val="none" w:sz="0" w:space="0" w:color="auto"/>
        <w:bottom w:val="none" w:sz="0" w:space="0" w:color="auto"/>
        <w:right w:val="none" w:sz="0" w:space="0" w:color="auto"/>
      </w:divBdr>
    </w:div>
    <w:div w:id="741757762">
      <w:bodyDiv w:val="1"/>
      <w:marLeft w:val="0"/>
      <w:marRight w:val="0"/>
      <w:marTop w:val="0"/>
      <w:marBottom w:val="0"/>
      <w:divBdr>
        <w:top w:val="none" w:sz="0" w:space="0" w:color="auto"/>
        <w:left w:val="none" w:sz="0" w:space="0" w:color="auto"/>
        <w:bottom w:val="none" w:sz="0" w:space="0" w:color="auto"/>
        <w:right w:val="none" w:sz="0" w:space="0" w:color="auto"/>
      </w:divBdr>
    </w:div>
    <w:div w:id="743794998">
      <w:bodyDiv w:val="1"/>
      <w:marLeft w:val="0"/>
      <w:marRight w:val="0"/>
      <w:marTop w:val="0"/>
      <w:marBottom w:val="0"/>
      <w:divBdr>
        <w:top w:val="none" w:sz="0" w:space="0" w:color="auto"/>
        <w:left w:val="none" w:sz="0" w:space="0" w:color="auto"/>
        <w:bottom w:val="none" w:sz="0" w:space="0" w:color="auto"/>
        <w:right w:val="none" w:sz="0" w:space="0" w:color="auto"/>
      </w:divBdr>
    </w:div>
    <w:div w:id="850533536">
      <w:bodyDiv w:val="1"/>
      <w:marLeft w:val="0"/>
      <w:marRight w:val="0"/>
      <w:marTop w:val="0"/>
      <w:marBottom w:val="0"/>
      <w:divBdr>
        <w:top w:val="none" w:sz="0" w:space="0" w:color="auto"/>
        <w:left w:val="none" w:sz="0" w:space="0" w:color="auto"/>
        <w:bottom w:val="none" w:sz="0" w:space="0" w:color="auto"/>
        <w:right w:val="none" w:sz="0" w:space="0" w:color="auto"/>
      </w:divBdr>
    </w:div>
    <w:div w:id="997611920">
      <w:bodyDiv w:val="1"/>
      <w:marLeft w:val="0"/>
      <w:marRight w:val="0"/>
      <w:marTop w:val="0"/>
      <w:marBottom w:val="0"/>
      <w:divBdr>
        <w:top w:val="none" w:sz="0" w:space="0" w:color="auto"/>
        <w:left w:val="none" w:sz="0" w:space="0" w:color="auto"/>
        <w:bottom w:val="none" w:sz="0" w:space="0" w:color="auto"/>
        <w:right w:val="none" w:sz="0" w:space="0" w:color="auto"/>
      </w:divBdr>
    </w:div>
    <w:div w:id="1008949064">
      <w:bodyDiv w:val="1"/>
      <w:marLeft w:val="0"/>
      <w:marRight w:val="0"/>
      <w:marTop w:val="0"/>
      <w:marBottom w:val="0"/>
      <w:divBdr>
        <w:top w:val="none" w:sz="0" w:space="0" w:color="auto"/>
        <w:left w:val="none" w:sz="0" w:space="0" w:color="auto"/>
        <w:bottom w:val="none" w:sz="0" w:space="0" w:color="auto"/>
        <w:right w:val="none" w:sz="0" w:space="0" w:color="auto"/>
      </w:divBdr>
    </w:div>
    <w:div w:id="1045913450">
      <w:bodyDiv w:val="1"/>
      <w:marLeft w:val="0"/>
      <w:marRight w:val="0"/>
      <w:marTop w:val="0"/>
      <w:marBottom w:val="0"/>
      <w:divBdr>
        <w:top w:val="none" w:sz="0" w:space="0" w:color="auto"/>
        <w:left w:val="none" w:sz="0" w:space="0" w:color="auto"/>
        <w:bottom w:val="none" w:sz="0" w:space="0" w:color="auto"/>
        <w:right w:val="none" w:sz="0" w:space="0" w:color="auto"/>
      </w:divBdr>
    </w:div>
    <w:div w:id="1101101197">
      <w:bodyDiv w:val="1"/>
      <w:marLeft w:val="0"/>
      <w:marRight w:val="0"/>
      <w:marTop w:val="0"/>
      <w:marBottom w:val="0"/>
      <w:divBdr>
        <w:top w:val="none" w:sz="0" w:space="0" w:color="auto"/>
        <w:left w:val="none" w:sz="0" w:space="0" w:color="auto"/>
        <w:bottom w:val="none" w:sz="0" w:space="0" w:color="auto"/>
        <w:right w:val="none" w:sz="0" w:space="0" w:color="auto"/>
      </w:divBdr>
      <w:divsChild>
        <w:div w:id="512230786">
          <w:marLeft w:val="0"/>
          <w:marRight w:val="0"/>
          <w:marTop w:val="0"/>
          <w:marBottom w:val="0"/>
          <w:divBdr>
            <w:top w:val="none" w:sz="0" w:space="0" w:color="auto"/>
            <w:left w:val="none" w:sz="0" w:space="0" w:color="auto"/>
            <w:bottom w:val="none" w:sz="0" w:space="0" w:color="auto"/>
            <w:right w:val="none" w:sz="0" w:space="0" w:color="auto"/>
          </w:divBdr>
        </w:div>
      </w:divsChild>
    </w:div>
    <w:div w:id="1121143689">
      <w:bodyDiv w:val="1"/>
      <w:marLeft w:val="0"/>
      <w:marRight w:val="0"/>
      <w:marTop w:val="0"/>
      <w:marBottom w:val="0"/>
      <w:divBdr>
        <w:top w:val="none" w:sz="0" w:space="0" w:color="auto"/>
        <w:left w:val="none" w:sz="0" w:space="0" w:color="auto"/>
        <w:bottom w:val="none" w:sz="0" w:space="0" w:color="auto"/>
        <w:right w:val="none" w:sz="0" w:space="0" w:color="auto"/>
      </w:divBdr>
    </w:div>
    <w:div w:id="1126241621">
      <w:bodyDiv w:val="1"/>
      <w:marLeft w:val="0"/>
      <w:marRight w:val="0"/>
      <w:marTop w:val="0"/>
      <w:marBottom w:val="0"/>
      <w:divBdr>
        <w:top w:val="none" w:sz="0" w:space="0" w:color="auto"/>
        <w:left w:val="none" w:sz="0" w:space="0" w:color="auto"/>
        <w:bottom w:val="none" w:sz="0" w:space="0" w:color="auto"/>
        <w:right w:val="none" w:sz="0" w:space="0" w:color="auto"/>
      </w:divBdr>
    </w:div>
    <w:div w:id="1139809334">
      <w:bodyDiv w:val="1"/>
      <w:marLeft w:val="0"/>
      <w:marRight w:val="0"/>
      <w:marTop w:val="0"/>
      <w:marBottom w:val="0"/>
      <w:divBdr>
        <w:top w:val="none" w:sz="0" w:space="0" w:color="auto"/>
        <w:left w:val="none" w:sz="0" w:space="0" w:color="auto"/>
        <w:bottom w:val="none" w:sz="0" w:space="0" w:color="auto"/>
        <w:right w:val="none" w:sz="0" w:space="0" w:color="auto"/>
      </w:divBdr>
    </w:div>
    <w:div w:id="1158182570">
      <w:bodyDiv w:val="1"/>
      <w:marLeft w:val="0"/>
      <w:marRight w:val="0"/>
      <w:marTop w:val="0"/>
      <w:marBottom w:val="0"/>
      <w:divBdr>
        <w:top w:val="none" w:sz="0" w:space="0" w:color="auto"/>
        <w:left w:val="none" w:sz="0" w:space="0" w:color="auto"/>
        <w:bottom w:val="none" w:sz="0" w:space="0" w:color="auto"/>
        <w:right w:val="none" w:sz="0" w:space="0" w:color="auto"/>
      </w:divBdr>
    </w:div>
    <w:div w:id="1286890446">
      <w:bodyDiv w:val="1"/>
      <w:marLeft w:val="0"/>
      <w:marRight w:val="0"/>
      <w:marTop w:val="0"/>
      <w:marBottom w:val="0"/>
      <w:divBdr>
        <w:top w:val="none" w:sz="0" w:space="0" w:color="auto"/>
        <w:left w:val="none" w:sz="0" w:space="0" w:color="auto"/>
        <w:bottom w:val="none" w:sz="0" w:space="0" w:color="auto"/>
        <w:right w:val="none" w:sz="0" w:space="0" w:color="auto"/>
      </w:divBdr>
    </w:div>
    <w:div w:id="1299258015">
      <w:bodyDiv w:val="1"/>
      <w:marLeft w:val="0"/>
      <w:marRight w:val="0"/>
      <w:marTop w:val="0"/>
      <w:marBottom w:val="0"/>
      <w:divBdr>
        <w:top w:val="none" w:sz="0" w:space="0" w:color="auto"/>
        <w:left w:val="none" w:sz="0" w:space="0" w:color="auto"/>
        <w:bottom w:val="none" w:sz="0" w:space="0" w:color="auto"/>
        <w:right w:val="none" w:sz="0" w:space="0" w:color="auto"/>
      </w:divBdr>
    </w:div>
    <w:div w:id="1332685042">
      <w:bodyDiv w:val="1"/>
      <w:marLeft w:val="0"/>
      <w:marRight w:val="0"/>
      <w:marTop w:val="0"/>
      <w:marBottom w:val="0"/>
      <w:divBdr>
        <w:top w:val="none" w:sz="0" w:space="0" w:color="auto"/>
        <w:left w:val="none" w:sz="0" w:space="0" w:color="auto"/>
        <w:bottom w:val="none" w:sz="0" w:space="0" w:color="auto"/>
        <w:right w:val="none" w:sz="0" w:space="0" w:color="auto"/>
      </w:divBdr>
    </w:div>
    <w:div w:id="1334409343">
      <w:bodyDiv w:val="1"/>
      <w:marLeft w:val="0"/>
      <w:marRight w:val="0"/>
      <w:marTop w:val="0"/>
      <w:marBottom w:val="0"/>
      <w:divBdr>
        <w:top w:val="none" w:sz="0" w:space="0" w:color="auto"/>
        <w:left w:val="none" w:sz="0" w:space="0" w:color="auto"/>
        <w:bottom w:val="none" w:sz="0" w:space="0" w:color="auto"/>
        <w:right w:val="none" w:sz="0" w:space="0" w:color="auto"/>
      </w:divBdr>
    </w:div>
    <w:div w:id="1359158458">
      <w:bodyDiv w:val="1"/>
      <w:marLeft w:val="0"/>
      <w:marRight w:val="0"/>
      <w:marTop w:val="0"/>
      <w:marBottom w:val="0"/>
      <w:divBdr>
        <w:top w:val="none" w:sz="0" w:space="0" w:color="auto"/>
        <w:left w:val="none" w:sz="0" w:space="0" w:color="auto"/>
        <w:bottom w:val="none" w:sz="0" w:space="0" w:color="auto"/>
        <w:right w:val="none" w:sz="0" w:space="0" w:color="auto"/>
      </w:divBdr>
    </w:div>
    <w:div w:id="1378775426">
      <w:bodyDiv w:val="1"/>
      <w:marLeft w:val="0"/>
      <w:marRight w:val="0"/>
      <w:marTop w:val="0"/>
      <w:marBottom w:val="0"/>
      <w:divBdr>
        <w:top w:val="none" w:sz="0" w:space="0" w:color="auto"/>
        <w:left w:val="none" w:sz="0" w:space="0" w:color="auto"/>
        <w:bottom w:val="none" w:sz="0" w:space="0" w:color="auto"/>
        <w:right w:val="none" w:sz="0" w:space="0" w:color="auto"/>
      </w:divBdr>
    </w:div>
    <w:div w:id="1397166923">
      <w:bodyDiv w:val="1"/>
      <w:marLeft w:val="0"/>
      <w:marRight w:val="0"/>
      <w:marTop w:val="0"/>
      <w:marBottom w:val="0"/>
      <w:divBdr>
        <w:top w:val="none" w:sz="0" w:space="0" w:color="auto"/>
        <w:left w:val="none" w:sz="0" w:space="0" w:color="auto"/>
        <w:bottom w:val="none" w:sz="0" w:space="0" w:color="auto"/>
        <w:right w:val="none" w:sz="0" w:space="0" w:color="auto"/>
      </w:divBdr>
    </w:div>
    <w:div w:id="1407189069">
      <w:bodyDiv w:val="1"/>
      <w:marLeft w:val="0"/>
      <w:marRight w:val="0"/>
      <w:marTop w:val="0"/>
      <w:marBottom w:val="0"/>
      <w:divBdr>
        <w:top w:val="none" w:sz="0" w:space="0" w:color="auto"/>
        <w:left w:val="none" w:sz="0" w:space="0" w:color="auto"/>
        <w:bottom w:val="none" w:sz="0" w:space="0" w:color="auto"/>
        <w:right w:val="none" w:sz="0" w:space="0" w:color="auto"/>
      </w:divBdr>
    </w:div>
    <w:div w:id="1421176069">
      <w:bodyDiv w:val="1"/>
      <w:marLeft w:val="0"/>
      <w:marRight w:val="0"/>
      <w:marTop w:val="0"/>
      <w:marBottom w:val="0"/>
      <w:divBdr>
        <w:top w:val="none" w:sz="0" w:space="0" w:color="auto"/>
        <w:left w:val="none" w:sz="0" w:space="0" w:color="auto"/>
        <w:bottom w:val="none" w:sz="0" w:space="0" w:color="auto"/>
        <w:right w:val="none" w:sz="0" w:space="0" w:color="auto"/>
      </w:divBdr>
    </w:div>
    <w:div w:id="1476069989">
      <w:bodyDiv w:val="1"/>
      <w:marLeft w:val="0"/>
      <w:marRight w:val="0"/>
      <w:marTop w:val="0"/>
      <w:marBottom w:val="0"/>
      <w:divBdr>
        <w:top w:val="none" w:sz="0" w:space="0" w:color="auto"/>
        <w:left w:val="none" w:sz="0" w:space="0" w:color="auto"/>
        <w:bottom w:val="none" w:sz="0" w:space="0" w:color="auto"/>
        <w:right w:val="none" w:sz="0" w:space="0" w:color="auto"/>
      </w:divBdr>
    </w:div>
    <w:div w:id="1485315708">
      <w:bodyDiv w:val="1"/>
      <w:marLeft w:val="0"/>
      <w:marRight w:val="0"/>
      <w:marTop w:val="0"/>
      <w:marBottom w:val="0"/>
      <w:divBdr>
        <w:top w:val="none" w:sz="0" w:space="0" w:color="auto"/>
        <w:left w:val="none" w:sz="0" w:space="0" w:color="auto"/>
        <w:bottom w:val="none" w:sz="0" w:space="0" w:color="auto"/>
        <w:right w:val="none" w:sz="0" w:space="0" w:color="auto"/>
      </w:divBdr>
    </w:div>
    <w:div w:id="1493909645">
      <w:bodyDiv w:val="1"/>
      <w:marLeft w:val="0"/>
      <w:marRight w:val="0"/>
      <w:marTop w:val="0"/>
      <w:marBottom w:val="0"/>
      <w:divBdr>
        <w:top w:val="none" w:sz="0" w:space="0" w:color="auto"/>
        <w:left w:val="none" w:sz="0" w:space="0" w:color="auto"/>
        <w:bottom w:val="none" w:sz="0" w:space="0" w:color="auto"/>
        <w:right w:val="none" w:sz="0" w:space="0" w:color="auto"/>
      </w:divBdr>
    </w:div>
    <w:div w:id="1503428261">
      <w:bodyDiv w:val="1"/>
      <w:marLeft w:val="0"/>
      <w:marRight w:val="0"/>
      <w:marTop w:val="0"/>
      <w:marBottom w:val="0"/>
      <w:divBdr>
        <w:top w:val="none" w:sz="0" w:space="0" w:color="auto"/>
        <w:left w:val="none" w:sz="0" w:space="0" w:color="auto"/>
        <w:bottom w:val="none" w:sz="0" w:space="0" w:color="auto"/>
        <w:right w:val="none" w:sz="0" w:space="0" w:color="auto"/>
      </w:divBdr>
    </w:div>
    <w:div w:id="1538664403">
      <w:bodyDiv w:val="1"/>
      <w:marLeft w:val="0"/>
      <w:marRight w:val="0"/>
      <w:marTop w:val="0"/>
      <w:marBottom w:val="0"/>
      <w:divBdr>
        <w:top w:val="none" w:sz="0" w:space="0" w:color="auto"/>
        <w:left w:val="none" w:sz="0" w:space="0" w:color="auto"/>
        <w:bottom w:val="none" w:sz="0" w:space="0" w:color="auto"/>
        <w:right w:val="none" w:sz="0" w:space="0" w:color="auto"/>
      </w:divBdr>
    </w:div>
    <w:div w:id="1569657259">
      <w:bodyDiv w:val="1"/>
      <w:marLeft w:val="0"/>
      <w:marRight w:val="0"/>
      <w:marTop w:val="0"/>
      <w:marBottom w:val="0"/>
      <w:divBdr>
        <w:top w:val="none" w:sz="0" w:space="0" w:color="auto"/>
        <w:left w:val="none" w:sz="0" w:space="0" w:color="auto"/>
        <w:bottom w:val="none" w:sz="0" w:space="0" w:color="auto"/>
        <w:right w:val="none" w:sz="0" w:space="0" w:color="auto"/>
      </w:divBdr>
    </w:div>
    <w:div w:id="1600407093">
      <w:bodyDiv w:val="1"/>
      <w:marLeft w:val="0"/>
      <w:marRight w:val="0"/>
      <w:marTop w:val="0"/>
      <w:marBottom w:val="0"/>
      <w:divBdr>
        <w:top w:val="none" w:sz="0" w:space="0" w:color="auto"/>
        <w:left w:val="none" w:sz="0" w:space="0" w:color="auto"/>
        <w:bottom w:val="none" w:sz="0" w:space="0" w:color="auto"/>
        <w:right w:val="none" w:sz="0" w:space="0" w:color="auto"/>
      </w:divBdr>
    </w:div>
    <w:div w:id="1636179685">
      <w:bodyDiv w:val="1"/>
      <w:marLeft w:val="0"/>
      <w:marRight w:val="0"/>
      <w:marTop w:val="0"/>
      <w:marBottom w:val="0"/>
      <w:divBdr>
        <w:top w:val="none" w:sz="0" w:space="0" w:color="auto"/>
        <w:left w:val="none" w:sz="0" w:space="0" w:color="auto"/>
        <w:bottom w:val="none" w:sz="0" w:space="0" w:color="auto"/>
        <w:right w:val="none" w:sz="0" w:space="0" w:color="auto"/>
      </w:divBdr>
    </w:div>
    <w:div w:id="1647975955">
      <w:bodyDiv w:val="1"/>
      <w:marLeft w:val="0"/>
      <w:marRight w:val="0"/>
      <w:marTop w:val="0"/>
      <w:marBottom w:val="0"/>
      <w:divBdr>
        <w:top w:val="none" w:sz="0" w:space="0" w:color="auto"/>
        <w:left w:val="none" w:sz="0" w:space="0" w:color="auto"/>
        <w:bottom w:val="none" w:sz="0" w:space="0" w:color="auto"/>
        <w:right w:val="none" w:sz="0" w:space="0" w:color="auto"/>
      </w:divBdr>
    </w:div>
    <w:div w:id="1650355238">
      <w:bodyDiv w:val="1"/>
      <w:marLeft w:val="0"/>
      <w:marRight w:val="0"/>
      <w:marTop w:val="0"/>
      <w:marBottom w:val="0"/>
      <w:divBdr>
        <w:top w:val="none" w:sz="0" w:space="0" w:color="auto"/>
        <w:left w:val="none" w:sz="0" w:space="0" w:color="auto"/>
        <w:bottom w:val="none" w:sz="0" w:space="0" w:color="auto"/>
        <w:right w:val="none" w:sz="0" w:space="0" w:color="auto"/>
      </w:divBdr>
    </w:div>
    <w:div w:id="1654944342">
      <w:bodyDiv w:val="1"/>
      <w:marLeft w:val="0"/>
      <w:marRight w:val="0"/>
      <w:marTop w:val="0"/>
      <w:marBottom w:val="0"/>
      <w:divBdr>
        <w:top w:val="none" w:sz="0" w:space="0" w:color="auto"/>
        <w:left w:val="none" w:sz="0" w:space="0" w:color="auto"/>
        <w:bottom w:val="none" w:sz="0" w:space="0" w:color="auto"/>
        <w:right w:val="none" w:sz="0" w:space="0" w:color="auto"/>
      </w:divBdr>
    </w:div>
    <w:div w:id="1655644503">
      <w:bodyDiv w:val="1"/>
      <w:marLeft w:val="0"/>
      <w:marRight w:val="0"/>
      <w:marTop w:val="0"/>
      <w:marBottom w:val="0"/>
      <w:divBdr>
        <w:top w:val="none" w:sz="0" w:space="0" w:color="auto"/>
        <w:left w:val="none" w:sz="0" w:space="0" w:color="auto"/>
        <w:bottom w:val="none" w:sz="0" w:space="0" w:color="auto"/>
        <w:right w:val="none" w:sz="0" w:space="0" w:color="auto"/>
      </w:divBdr>
    </w:div>
    <w:div w:id="1736203623">
      <w:bodyDiv w:val="1"/>
      <w:marLeft w:val="0"/>
      <w:marRight w:val="0"/>
      <w:marTop w:val="0"/>
      <w:marBottom w:val="0"/>
      <w:divBdr>
        <w:top w:val="none" w:sz="0" w:space="0" w:color="auto"/>
        <w:left w:val="none" w:sz="0" w:space="0" w:color="auto"/>
        <w:bottom w:val="none" w:sz="0" w:space="0" w:color="auto"/>
        <w:right w:val="none" w:sz="0" w:space="0" w:color="auto"/>
      </w:divBdr>
    </w:div>
    <w:div w:id="1794135241">
      <w:bodyDiv w:val="1"/>
      <w:marLeft w:val="0"/>
      <w:marRight w:val="0"/>
      <w:marTop w:val="0"/>
      <w:marBottom w:val="0"/>
      <w:divBdr>
        <w:top w:val="none" w:sz="0" w:space="0" w:color="auto"/>
        <w:left w:val="none" w:sz="0" w:space="0" w:color="auto"/>
        <w:bottom w:val="none" w:sz="0" w:space="0" w:color="auto"/>
        <w:right w:val="none" w:sz="0" w:space="0" w:color="auto"/>
      </w:divBdr>
    </w:div>
    <w:div w:id="1840076806">
      <w:bodyDiv w:val="1"/>
      <w:marLeft w:val="0"/>
      <w:marRight w:val="0"/>
      <w:marTop w:val="0"/>
      <w:marBottom w:val="0"/>
      <w:divBdr>
        <w:top w:val="none" w:sz="0" w:space="0" w:color="auto"/>
        <w:left w:val="none" w:sz="0" w:space="0" w:color="auto"/>
        <w:bottom w:val="none" w:sz="0" w:space="0" w:color="auto"/>
        <w:right w:val="none" w:sz="0" w:space="0" w:color="auto"/>
      </w:divBdr>
    </w:div>
    <w:div w:id="1859926537">
      <w:bodyDiv w:val="1"/>
      <w:marLeft w:val="0"/>
      <w:marRight w:val="0"/>
      <w:marTop w:val="0"/>
      <w:marBottom w:val="0"/>
      <w:divBdr>
        <w:top w:val="none" w:sz="0" w:space="0" w:color="auto"/>
        <w:left w:val="none" w:sz="0" w:space="0" w:color="auto"/>
        <w:bottom w:val="none" w:sz="0" w:space="0" w:color="auto"/>
        <w:right w:val="none" w:sz="0" w:space="0" w:color="auto"/>
      </w:divBdr>
    </w:div>
    <w:div w:id="1861700927">
      <w:bodyDiv w:val="1"/>
      <w:marLeft w:val="0"/>
      <w:marRight w:val="0"/>
      <w:marTop w:val="0"/>
      <w:marBottom w:val="0"/>
      <w:divBdr>
        <w:top w:val="none" w:sz="0" w:space="0" w:color="auto"/>
        <w:left w:val="none" w:sz="0" w:space="0" w:color="auto"/>
        <w:bottom w:val="none" w:sz="0" w:space="0" w:color="auto"/>
        <w:right w:val="none" w:sz="0" w:space="0" w:color="auto"/>
      </w:divBdr>
      <w:divsChild>
        <w:div w:id="377316308">
          <w:marLeft w:val="0"/>
          <w:marRight w:val="0"/>
          <w:marTop w:val="0"/>
          <w:marBottom w:val="0"/>
          <w:divBdr>
            <w:top w:val="none" w:sz="0" w:space="0" w:color="auto"/>
            <w:left w:val="none" w:sz="0" w:space="0" w:color="auto"/>
            <w:bottom w:val="none" w:sz="0" w:space="0" w:color="auto"/>
            <w:right w:val="none" w:sz="0" w:space="0" w:color="auto"/>
          </w:divBdr>
          <w:divsChild>
            <w:div w:id="795442599">
              <w:marLeft w:val="0"/>
              <w:marRight w:val="0"/>
              <w:marTop w:val="0"/>
              <w:marBottom w:val="0"/>
              <w:divBdr>
                <w:top w:val="none" w:sz="0" w:space="0" w:color="auto"/>
                <w:left w:val="none" w:sz="0" w:space="0" w:color="auto"/>
                <w:bottom w:val="none" w:sz="0" w:space="0" w:color="auto"/>
                <w:right w:val="none" w:sz="0" w:space="0" w:color="auto"/>
              </w:divBdr>
              <w:divsChild>
                <w:div w:id="1607229341">
                  <w:marLeft w:val="0"/>
                  <w:marRight w:val="0"/>
                  <w:marTop w:val="0"/>
                  <w:marBottom w:val="0"/>
                  <w:divBdr>
                    <w:top w:val="none" w:sz="0" w:space="0" w:color="auto"/>
                    <w:left w:val="none" w:sz="0" w:space="0" w:color="auto"/>
                    <w:bottom w:val="none" w:sz="0" w:space="0" w:color="auto"/>
                    <w:right w:val="none" w:sz="0" w:space="0" w:color="auto"/>
                  </w:divBdr>
                  <w:divsChild>
                    <w:div w:id="252511828">
                      <w:marLeft w:val="0"/>
                      <w:marRight w:val="0"/>
                      <w:marTop w:val="0"/>
                      <w:marBottom w:val="0"/>
                      <w:divBdr>
                        <w:top w:val="none" w:sz="0" w:space="0" w:color="auto"/>
                        <w:left w:val="none" w:sz="0" w:space="0" w:color="auto"/>
                        <w:bottom w:val="none" w:sz="0" w:space="0" w:color="auto"/>
                        <w:right w:val="none" w:sz="0" w:space="0" w:color="auto"/>
                      </w:divBdr>
                      <w:divsChild>
                        <w:div w:id="623849245">
                          <w:marLeft w:val="0"/>
                          <w:marRight w:val="0"/>
                          <w:marTop w:val="0"/>
                          <w:marBottom w:val="0"/>
                          <w:divBdr>
                            <w:top w:val="none" w:sz="0" w:space="0" w:color="auto"/>
                            <w:left w:val="none" w:sz="0" w:space="0" w:color="auto"/>
                            <w:bottom w:val="none" w:sz="0" w:space="0" w:color="auto"/>
                            <w:right w:val="none" w:sz="0" w:space="0" w:color="auto"/>
                          </w:divBdr>
                          <w:divsChild>
                            <w:div w:id="877357181">
                              <w:marLeft w:val="0"/>
                              <w:marRight w:val="0"/>
                              <w:marTop w:val="0"/>
                              <w:marBottom w:val="0"/>
                              <w:divBdr>
                                <w:top w:val="none" w:sz="0" w:space="0" w:color="auto"/>
                                <w:left w:val="none" w:sz="0" w:space="0" w:color="auto"/>
                                <w:bottom w:val="none" w:sz="0" w:space="0" w:color="auto"/>
                                <w:right w:val="none" w:sz="0" w:space="0" w:color="auto"/>
                              </w:divBdr>
                              <w:divsChild>
                                <w:div w:id="560404643">
                                  <w:marLeft w:val="-225"/>
                                  <w:marRight w:val="-225"/>
                                  <w:marTop w:val="0"/>
                                  <w:marBottom w:val="0"/>
                                  <w:divBdr>
                                    <w:top w:val="none" w:sz="0" w:space="0" w:color="auto"/>
                                    <w:left w:val="none" w:sz="0" w:space="0" w:color="auto"/>
                                    <w:bottom w:val="none" w:sz="0" w:space="0" w:color="auto"/>
                                    <w:right w:val="none" w:sz="0" w:space="0" w:color="auto"/>
                                  </w:divBdr>
                                  <w:divsChild>
                                    <w:div w:id="13072457">
                                      <w:marLeft w:val="0"/>
                                      <w:marRight w:val="0"/>
                                      <w:marTop w:val="0"/>
                                      <w:marBottom w:val="0"/>
                                      <w:divBdr>
                                        <w:top w:val="none" w:sz="0" w:space="0" w:color="auto"/>
                                        <w:left w:val="none" w:sz="0" w:space="0" w:color="auto"/>
                                        <w:bottom w:val="none" w:sz="0" w:space="0" w:color="auto"/>
                                        <w:right w:val="none" w:sz="0" w:space="0" w:color="auto"/>
                                      </w:divBdr>
                                      <w:divsChild>
                                        <w:div w:id="1528444688">
                                          <w:marLeft w:val="0"/>
                                          <w:marRight w:val="0"/>
                                          <w:marTop w:val="0"/>
                                          <w:marBottom w:val="0"/>
                                          <w:divBdr>
                                            <w:top w:val="none" w:sz="0" w:space="0" w:color="auto"/>
                                            <w:left w:val="none" w:sz="0" w:space="0" w:color="auto"/>
                                            <w:bottom w:val="none" w:sz="0" w:space="0" w:color="auto"/>
                                            <w:right w:val="none" w:sz="0" w:space="0" w:color="auto"/>
                                          </w:divBdr>
                                          <w:divsChild>
                                            <w:div w:id="1524057268">
                                              <w:marLeft w:val="-225"/>
                                              <w:marRight w:val="-225"/>
                                              <w:marTop w:val="0"/>
                                              <w:marBottom w:val="0"/>
                                              <w:divBdr>
                                                <w:top w:val="none" w:sz="0" w:space="0" w:color="auto"/>
                                                <w:left w:val="none" w:sz="0" w:space="0" w:color="auto"/>
                                                <w:bottom w:val="none" w:sz="0" w:space="0" w:color="auto"/>
                                                <w:right w:val="none" w:sz="0" w:space="0" w:color="auto"/>
                                              </w:divBdr>
                                              <w:divsChild>
                                                <w:div w:id="1102261427">
                                                  <w:marLeft w:val="0"/>
                                                  <w:marRight w:val="0"/>
                                                  <w:marTop w:val="0"/>
                                                  <w:marBottom w:val="0"/>
                                                  <w:divBdr>
                                                    <w:top w:val="none" w:sz="0" w:space="0" w:color="auto"/>
                                                    <w:left w:val="none" w:sz="0" w:space="0" w:color="auto"/>
                                                    <w:bottom w:val="none" w:sz="0" w:space="0" w:color="auto"/>
                                                    <w:right w:val="none" w:sz="0" w:space="0" w:color="auto"/>
                                                  </w:divBdr>
                                                  <w:divsChild>
                                                    <w:div w:id="281230">
                                                      <w:marLeft w:val="0"/>
                                                      <w:marRight w:val="0"/>
                                                      <w:marTop w:val="0"/>
                                                      <w:marBottom w:val="0"/>
                                                      <w:divBdr>
                                                        <w:top w:val="none" w:sz="0" w:space="0" w:color="auto"/>
                                                        <w:left w:val="none" w:sz="0" w:space="0" w:color="auto"/>
                                                        <w:bottom w:val="none" w:sz="0" w:space="0" w:color="auto"/>
                                                        <w:right w:val="none" w:sz="0" w:space="0" w:color="auto"/>
                                                      </w:divBdr>
                                                      <w:divsChild>
                                                        <w:div w:id="529992127">
                                                          <w:marLeft w:val="0"/>
                                                          <w:marRight w:val="0"/>
                                                          <w:marTop w:val="0"/>
                                                          <w:marBottom w:val="0"/>
                                                          <w:divBdr>
                                                            <w:top w:val="none" w:sz="0" w:space="0" w:color="auto"/>
                                                            <w:left w:val="none" w:sz="0" w:space="0" w:color="auto"/>
                                                            <w:bottom w:val="none" w:sz="0" w:space="0" w:color="auto"/>
                                                            <w:right w:val="none" w:sz="0" w:space="0" w:color="auto"/>
                                                          </w:divBdr>
                                                          <w:divsChild>
                                                            <w:div w:id="1858539952">
                                                              <w:marLeft w:val="0"/>
                                                              <w:marRight w:val="0"/>
                                                              <w:marTop w:val="225"/>
                                                              <w:marBottom w:val="225"/>
                                                              <w:divBdr>
                                                                <w:top w:val="none" w:sz="0" w:space="0" w:color="auto"/>
                                                                <w:left w:val="none" w:sz="0" w:space="0" w:color="auto"/>
                                                                <w:bottom w:val="none" w:sz="0" w:space="0" w:color="auto"/>
                                                                <w:right w:val="none" w:sz="0" w:space="0" w:color="auto"/>
                                                              </w:divBdr>
                                                              <w:divsChild>
                                                                <w:div w:id="972445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865947461">
      <w:bodyDiv w:val="1"/>
      <w:marLeft w:val="0"/>
      <w:marRight w:val="0"/>
      <w:marTop w:val="0"/>
      <w:marBottom w:val="0"/>
      <w:divBdr>
        <w:top w:val="none" w:sz="0" w:space="0" w:color="auto"/>
        <w:left w:val="none" w:sz="0" w:space="0" w:color="auto"/>
        <w:bottom w:val="none" w:sz="0" w:space="0" w:color="auto"/>
        <w:right w:val="none" w:sz="0" w:space="0" w:color="auto"/>
      </w:divBdr>
    </w:div>
    <w:div w:id="1937592618">
      <w:bodyDiv w:val="1"/>
      <w:marLeft w:val="0"/>
      <w:marRight w:val="0"/>
      <w:marTop w:val="0"/>
      <w:marBottom w:val="0"/>
      <w:divBdr>
        <w:top w:val="none" w:sz="0" w:space="0" w:color="auto"/>
        <w:left w:val="none" w:sz="0" w:space="0" w:color="auto"/>
        <w:bottom w:val="none" w:sz="0" w:space="0" w:color="auto"/>
        <w:right w:val="none" w:sz="0" w:space="0" w:color="auto"/>
      </w:divBdr>
    </w:div>
    <w:div w:id="1952515861">
      <w:bodyDiv w:val="1"/>
      <w:marLeft w:val="0"/>
      <w:marRight w:val="0"/>
      <w:marTop w:val="0"/>
      <w:marBottom w:val="0"/>
      <w:divBdr>
        <w:top w:val="none" w:sz="0" w:space="0" w:color="auto"/>
        <w:left w:val="none" w:sz="0" w:space="0" w:color="auto"/>
        <w:bottom w:val="none" w:sz="0" w:space="0" w:color="auto"/>
        <w:right w:val="none" w:sz="0" w:space="0" w:color="auto"/>
      </w:divBdr>
    </w:div>
    <w:div w:id="1952780719">
      <w:bodyDiv w:val="1"/>
      <w:marLeft w:val="0"/>
      <w:marRight w:val="0"/>
      <w:marTop w:val="0"/>
      <w:marBottom w:val="0"/>
      <w:divBdr>
        <w:top w:val="none" w:sz="0" w:space="0" w:color="auto"/>
        <w:left w:val="none" w:sz="0" w:space="0" w:color="auto"/>
        <w:bottom w:val="none" w:sz="0" w:space="0" w:color="auto"/>
        <w:right w:val="none" w:sz="0" w:space="0" w:color="auto"/>
      </w:divBdr>
    </w:div>
    <w:div w:id="2040160202">
      <w:bodyDiv w:val="1"/>
      <w:marLeft w:val="0"/>
      <w:marRight w:val="0"/>
      <w:marTop w:val="0"/>
      <w:marBottom w:val="0"/>
      <w:divBdr>
        <w:top w:val="none" w:sz="0" w:space="0" w:color="auto"/>
        <w:left w:val="none" w:sz="0" w:space="0" w:color="auto"/>
        <w:bottom w:val="none" w:sz="0" w:space="0" w:color="auto"/>
        <w:right w:val="none" w:sz="0" w:space="0" w:color="auto"/>
      </w:divBdr>
    </w:div>
    <w:div w:id="210556709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111/j.1467-8721.2009.01655.x" TargetMode="External"/><Relationship Id="rId18" Type="http://schemas.openxmlformats.org/officeDocument/2006/relationships/hyperlink" Target="https://doi.org/10.1037/a0019918" TargetMode="External"/><Relationship Id="rId26" Type="http://schemas.openxmlformats.org/officeDocument/2006/relationships/hyperlink" Target="https://doi.org/10.1002/job.243" TargetMode="External"/><Relationship Id="rId39" Type="http://schemas.openxmlformats.org/officeDocument/2006/relationships/hyperlink" Target="https://doi.org/10.1037/0021-9010.87.4.765" TargetMode="External"/><Relationship Id="rId21" Type="http://schemas.openxmlformats.org/officeDocument/2006/relationships/hyperlink" Target="https://doi.org/10.1177/0146167208324101" TargetMode="External"/><Relationship Id="rId34" Type="http://schemas.openxmlformats.org/officeDocument/2006/relationships/hyperlink" Target="https://doi.org/10.1177/0146167215611636" TargetMode="External"/><Relationship Id="rId42" Type="http://schemas.openxmlformats.org/officeDocument/2006/relationships/hyperlink" Target="https://doi.org/10.1007/s12144-016-9417-3" TargetMode="External"/><Relationship Id="rId47" Type="http://schemas.openxmlformats.org/officeDocument/2006/relationships/hyperlink" Target="https://doi.org/10.1177/0149206309359810" TargetMode="External"/><Relationship Id="rId50" Type="http://schemas.openxmlformats.org/officeDocument/2006/relationships/hyperlink" Target="https://doi.org/10.1111/j.2041-210x.2012.00261.x" TargetMode="External"/><Relationship Id="rId55" Type="http://schemas.openxmlformats.org/officeDocument/2006/relationships/hyperlink" Target="https://doi.org/10.1111/jasp.12157" TargetMode="External"/><Relationship Id="rId63" Type="http://schemas.openxmlformats.org/officeDocument/2006/relationships/hyperlink" Target="https://doi.org/10.1177/1745691617692105" TargetMode="External"/><Relationship Id="rId68" Type="http://schemas.openxmlformats.org/officeDocument/2006/relationships/hyperlink" Target="https://doi.org/10.1016/0149-2063(95)90008-x" TargetMode="External"/><Relationship Id="rId76" Type="http://schemas.openxmlformats.org/officeDocument/2006/relationships/hyperlink" Target="https://doi.org/10.1002/(SICI)1099-1379(199909)20:5%3c577::AID-JOB958%3e3.0.CO;2-0" TargetMode="External"/><Relationship Id="rId84" Type="http://schemas.openxmlformats.org/officeDocument/2006/relationships/image" Target="media/image2.png"/><Relationship Id="rId7" Type="http://schemas.openxmlformats.org/officeDocument/2006/relationships/endnotes" Target="endnotes.xml"/><Relationship Id="rId71"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doi.org/10.1037/a0016338" TargetMode="External"/><Relationship Id="rId29" Type="http://schemas.openxmlformats.org/officeDocument/2006/relationships/hyperlink" Target="https://doi.org/10.1521/soco.2018.36.1.20" TargetMode="External"/><Relationship Id="rId11" Type="http://schemas.openxmlformats.org/officeDocument/2006/relationships/hyperlink" Target="https://doi.org/10.1002/ejsp.324" TargetMode="External"/><Relationship Id="rId24" Type="http://schemas.openxmlformats.org/officeDocument/2006/relationships/hyperlink" Target="https://doi.org/10.1111/j.1744-6570.2009.01139.x" TargetMode="External"/><Relationship Id="rId32" Type="http://schemas.openxmlformats.org/officeDocument/2006/relationships/hyperlink" Target="https://doi.org/10.1111/peps.12072" TargetMode="External"/><Relationship Id="rId37" Type="http://schemas.openxmlformats.org/officeDocument/2006/relationships/hyperlink" Target="https://doi.org/10.1002/job.181" TargetMode="External"/><Relationship Id="rId40" Type="http://schemas.openxmlformats.org/officeDocument/2006/relationships/hyperlink" Target="https://doi.org/10.1037/0021-9010.91.4.762" TargetMode="External"/><Relationship Id="rId45" Type="http://schemas.openxmlformats.org/officeDocument/2006/relationships/hyperlink" Target="https://doi.org/10.1037/pspp0000057" TargetMode="External"/><Relationship Id="rId53" Type="http://schemas.openxmlformats.org/officeDocument/2006/relationships/hyperlink" Target="https://doi.org/10.1111/jopy.12155" TargetMode="External"/><Relationship Id="rId58" Type="http://schemas.openxmlformats.org/officeDocument/2006/relationships/hyperlink" Target="https://doi.org/10.1016/j.physa.2009.09.045" TargetMode="External"/><Relationship Id="rId66" Type="http://schemas.openxmlformats.org/officeDocument/2006/relationships/hyperlink" Target="https://doi.org/10.1177/1948550615609735" TargetMode="External"/><Relationship Id="rId74" Type="http://schemas.openxmlformats.org/officeDocument/2006/relationships/hyperlink" Target="https://doi.org/10.1177/0956797613491970" TargetMode="External"/><Relationship Id="rId79" Type="http://schemas.openxmlformats.org/officeDocument/2006/relationships/header" Target="header3.xml"/><Relationship Id="rId87"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hyperlink" Target="https://doi.org/10.1177/0149206310374774" TargetMode="External"/><Relationship Id="rId82" Type="http://schemas.openxmlformats.org/officeDocument/2006/relationships/header" Target="header4.xml"/><Relationship Id="rId19" Type="http://schemas.openxmlformats.org/officeDocument/2006/relationships/hyperlink" Target="https://doi.org/10.1016/j.jvb.2010.05.010" TargetMode="External"/><Relationship Id="rId4" Type="http://schemas.openxmlformats.org/officeDocument/2006/relationships/settings" Target="settings.xml"/><Relationship Id="rId9" Type="http://schemas.openxmlformats.org/officeDocument/2006/relationships/hyperlink" Target="https://doi.org/10.1177/1073191110382845" TargetMode="External"/><Relationship Id="rId14" Type="http://schemas.openxmlformats.org/officeDocument/2006/relationships/hyperlink" Target="https://doi.org/10.1177/1948550613476097" TargetMode="External"/><Relationship Id="rId22" Type="http://schemas.openxmlformats.org/officeDocument/2006/relationships/hyperlink" Target="https://doi.org/10.1111/j.1467-6494.1991.tb00773.x" TargetMode="External"/><Relationship Id="rId27" Type="http://schemas.openxmlformats.org/officeDocument/2006/relationships/hyperlink" Target="https://doi.org/10.3758/BF03193146" TargetMode="External"/><Relationship Id="rId30" Type="http://schemas.openxmlformats.org/officeDocument/2006/relationships/hyperlink" Target="https://doi.org/10.1177/0146167210385109" TargetMode="External"/><Relationship Id="rId35" Type="http://schemas.openxmlformats.org/officeDocument/2006/relationships/hyperlink" Target="https://doi.org/10.1037/0021-9010.92.1.278" TargetMode="External"/><Relationship Id="rId43" Type="http://schemas.openxmlformats.org/officeDocument/2006/relationships/hyperlink" Target="https://doi.org/10.1371/journal.pone.0103469" TargetMode="External"/><Relationship Id="rId48" Type="http://schemas.openxmlformats.org/officeDocument/2006/relationships/hyperlink" Target="https://doi.org/10.1016/0030-5073(84)90043-6" TargetMode="External"/><Relationship Id="rId56" Type="http://schemas.openxmlformats.org/officeDocument/2006/relationships/hyperlink" Target="https://doi.org/10.1177/0149206313506464" TargetMode="External"/><Relationship Id="rId64" Type="http://schemas.openxmlformats.org/officeDocument/2006/relationships/hyperlink" Target="http://dx.doi.org/10.1016/B978-0-12-407188-9.00005-3" TargetMode="External"/><Relationship Id="rId69" Type="http://schemas.openxmlformats.org/officeDocument/2006/relationships/header" Target="header1.xml"/><Relationship Id="rId77" Type="http://schemas.openxmlformats.org/officeDocument/2006/relationships/hyperlink" Target="https://doi.org/10.1080/02701367.2011.10599756" TargetMode="External"/><Relationship Id="rId8" Type="http://schemas.openxmlformats.org/officeDocument/2006/relationships/hyperlink" Target="https://osf.io/d9njf/?view_only=cb4aa1b356664c1a80efe920a9ebd585" TargetMode="External"/><Relationship Id="rId51" Type="http://schemas.openxmlformats.org/officeDocument/2006/relationships/hyperlink" Target="https://doi.org/10.1177/0956797611417259" TargetMode="External"/><Relationship Id="rId72" Type="http://schemas.openxmlformats.org/officeDocument/2006/relationships/footer" Target="footer2.xml"/><Relationship Id="rId80" Type="http://schemas.openxmlformats.org/officeDocument/2006/relationships/footer" Target="footer3.xml"/><Relationship Id="rId85" Type="http://schemas.openxmlformats.org/officeDocument/2006/relationships/image" Target="media/image3.png"/><Relationship Id="rId3" Type="http://schemas.openxmlformats.org/officeDocument/2006/relationships/styles" Target="styles.xml"/><Relationship Id="rId12" Type="http://schemas.openxmlformats.org/officeDocument/2006/relationships/hyperlink" Target="https://doi.org/10.1111/j.1467-6494.2011.00734.x" TargetMode="External"/><Relationship Id="rId17" Type="http://schemas.openxmlformats.org/officeDocument/2006/relationships/hyperlink" Target="https://doi.org/10.1037/a0016532" TargetMode="External"/><Relationship Id="rId25" Type="http://schemas.openxmlformats.org/officeDocument/2006/relationships/hyperlink" Target="https://doi.org/10.5465/amr.35.4.zok627" TargetMode="External"/><Relationship Id="rId33" Type="http://schemas.openxmlformats.org/officeDocument/2006/relationships/hyperlink" Target="https://doi.org/10.1037/a0038231" TargetMode="External"/><Relationship Id="rId38" Type="http://schemas.openxmlformats.org/officeDocument/2006/relationships/hyperlink" Target="https://doi.org/10.1111/j.1467-6494.2009.00590.x" TargetMode="External"/><Relationship Id="rId46" Type="http://schemas.openxmlformats.org/officeDocument/2006/relationships/hyperlink" Target="https://doi.org/10.1037/apl0000237" TargetMode="External"/><Relationship Id="rId59" Type="http://schemas.openxmlformats.org/officeDocument/2006/relationships/hyperlink" Target="https://doi.org/10.1037//0022-3514.54.5.890" TargetMode="External"/><Relationship Id="rId67" Type="http://schemas.openxmlformats.org/officeDocument/2006/relationships/hyperlink" Target="https://doi.org/10.1111/spc3.12321" TargetMode="External"/><Relationship Id="rId20" Type="http://schemas.openxmlformats.org/officeDocument/2006/relationships/hyperlink" Target="https://doi.org/10.1108/JMP-10-2012-0290" TargetMode="External"/><Relationship Id="rId41" Type="http://schemas.openxmlformats.org/officeDocument/2006/relationships/hyperlink" Target="https://doi.org/10.1177/147470491201000303" TargetMode="External"/><Relationship Id="rId54" Type="http://schemas.openxmlformats.org/officeDocument/2006/relationships/hyperlink" Target="https://doi.org/10.1037//0022-3514.74.5.1197" TargetMode="External"/><Relationship Id="rId62" Type="http://schemas.openxmlformats.org/officeDocument/2006/relationships/hyperlink" Target="https://doi.org/10.5840/beq201020216" TargetMode="External"/><Relationship Id="rId70" Type="http://schemas.openxmlformats.org/officeDocument/2006/relationships/header" Target="header2.xml"/><Relationship Id="rId75" Type="http://schemas.openxmlformats.org/officeDocument/2006/relationships/hyperlink" Target="https://doi.org/10.1111/j.1744-6570.1997.tb01491.x" TargetMode="External"/><Relationship Id="rId83" Type="http://schemas.openxmlformats.org/officeDocument/2006/relationships/image" Target="media/image1.emf"/><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doi.org/10.1037/a0034431" TargetMode="External"/><Relationship Id="rId23" Type="http://schemas.openxmlformats.org/officeDocument/2006/relationships/hyperlink" Target="https://doi.org/10.1016/j.hrmr.2010.10.007" TargetMode="External"/><Relationship Id="rId28" Type="http://schemas.openxmlformats.org/officeDocument/2006/relationships/hyperlink" Target="https://doi.org/10.1016/S0092-6566(03)00026-6" TargetMode="External"/><Relationship Id="rId36" Type="http://schemas.openxmlformats.org/officeDocument/2006/relationships/hyperlink" Target="https://doi.org/10.1016/j.paid.2015.11.045" TargetMode="External"/><Relationship Id="rId49" Type="http://schemas.openxmlformats.org/officeDocument/2006/relationships/hyperlink" Target="https://doi.org/10.1080/1359432X.2020.1746828" TargetMode="External"/><Relationship Id="rId57" Type="http://schemas.openxmlformats.org/officeDocument/2006/relationships/hyperlink" Target="https://doi.org/10.1126/science.146.3642" TargetMode="External"/><Relationship Id="rId10" Type="http://schemas.openxmlformats.org/officeDocument/2006/relationships/hyperlink" Target="https://doi.org/10.1016/j.jrp.2005.03.002" TargetMode="External"/><Relationship Id="rId31" Type="http://schemas.openxmlformats.org/officeDocument/2006/relationships/hyperlink" Target="https://doi.org/10.1177/1745691619873350" TargetMode="External"/><Relationship Id="rId44" Type="http://schemas.openxmlformats.org/officeDocument/2006/relationships/hyperlink" Target="https://doi.org/10.1037//0021-9010.76.5.619" TargetMode="External"/><Relationship Id="rId52" Type="http://schemas.openxmlformats.org/officeDocument/2006/relationships/hyperlink" Target="https://doi.org/10.1037/apl0000298" TargetMode="External"/><Relationship Id="rId60" Type="http://schemas.openxmlformats.org/officeDocument/2006/relationships/hyperlink" Target="https://doi.org/10.1016/j.paid.2011.05.008" TargetMode="External"/><Relationship Id="rId65" Type="http://schemas.openxmlformats.org/officeDocument/2006/relationships/hyperlink" Target="https://doi.org/10.2307/1882010" TargetMode="External"/><Relationship Id="rId73" Type="http://schemas.openxmlformats.org/officeDocument/2006/relationships/hyperlink" Target="https://doi.org/10.1037//0022-3514.82.5.819" TargetMode="External"/><Relationship Id="rId78" Type="http://schemas.openxmlformats.org/officeDocument/2006/relationships/hyperlink" Target="https://doi.org/10.1177/1948550616649241" TargetMode="External"/><Relationship Id="rId81" Type="http://schemas.openxmlformats.org/officeDocument/2006/relationships/footer" Target="footer4.xml"/><Relationship Id="rId8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70FF9E6A-C1F2-4959-B9FF-1BB3193C15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50</Pages>
  <Words>12695</Words>
  <Characters>72368</Characters>
  <Application>Microsoft Office Word</Application>
  <DocSecurity>0</DocSecurity>
  <Lines>603</Lines>
  <Paragraphs>169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none</Company>
  <LinksUpToDate>false</LinksUpToDate>
  <CharactersWithSpaces>84894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Nevicka</dc:creator>
  <cp:keywords/>
  <dc:description/>
  <cp:lastModifiedBy>Constantine Sedikides</cp:lastModifiedBy>
  <cp:revision>4</cp:revision>
  <cp:lastPrinted>2020-09-30T13:49:00Z</cp:lastPrinted>
  <dcterms:created xsi:type="dcterms:W3CDTF">2021-01-05T17:04:00Z</dcterms:created>
  <dcterms:modified xsi:type="dcterms:W3CDTF">2021-01-24T19:07:00Z</dcterms:modified>
</cp:coreProperties>
</file>