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2C13" w14:textId="7DBFFF09" w:rsidR="00084D40" w:rsidRDefault="00ED1380" w:rsidP="00412AB5">
      <w:pPr>
        <w:jc w:val="both"/>
        <w:rPr>
          <w:b/>
          <w:color w:val="000000" w:themeColor="text1"/>
          <w:sz w:val="24"/>
          <w:szCs w:val="22"/>
        </w:rPr>
      </w:pPr>
      <w:r w:rsidRPr="00ED1380">
        <w:rPr>
          <w:b/>
          <w:color w:val="000000" w:themeColor="text1"/>
          <w:sz w:val="24"/>
          <w:szCs w:val="22"/>
        </w:rPr>
        <w:t xml:space="preserve">Title: </w:t>
      </w:r>
      <w:r w:rsidR="00BF0D19" w:rsidRPr="00ED1380">
        <w:rPr>
          <w:b/>
          <w:color w:val="000000" w:themeColor="text1"/>
          <w:sz w:val="24"/>
          <w:szCs w:val="22"/>
        </w:rPr>
        <w:t xml:space="preserve">A </w:t>
      </w:r>
      <w:r w:rsidR="00FE391E">
        <w:rPr>
          <w:b/>
          <w:color w:val="000000" w:themeColor="text1"/>
          <w:sz w:val="24"/>
          <w:szCs w:val="22"/>
        </w:rPr>
        <w:t xml:space="preserve">protocol for a </w:t>
      </w:r>
      <w:r w:rsidR="00BF0D19" w:rsidRPr="00ED1380">
        <w:rPr>
          <w:b/>
          <w:color w:val="000000" w:themeColor="text1"/>
          <w:sz w:val="24"/>
          <w:szCs w:val="22"/>
        </w:rPr>
        <w:t>cluster randomised controlled trial of the</w:t>
      </w:r>
      <w:r w:rsidR="00084D40" w:rsidRPr="00ED1380">
        <w:rPr>
          <w:b/>
          <w:color w:val="000000" w:themeColor="text1"/>
          <w:sz w:val="24"/>
          <w:szCs w:val="22"/>
        </w:rPr>
        <w:t xml:space="preserve"> DAFNE</w:t>
      </w:r>
      <w:r w:rsidR="00084D40" w:rsidRPr="00ED1380">
        <w:rPr>
          <w:b/>
          <w:i/>
          <w:color w:val="000000" w:themeColor="text1"/>
          <w:sz w:val="24"/>
          <w:szCs w:val="22"/>
        </w:rPr>
        <w:t>plus</w:t>
      </w:r>
      <w:r w:rsidR="00084D40" w:rsidRPr="00ED1380">
        <w:rPr>
          <w:b/>
          <w:color w:val="000000" w:themeColor="text1"/>
          <w:sz w:val="24"/>
          <w:szCs w:val="22"/>
        </w:rPr>
        <w:t xml:space="preserve"> (Dose Adjustment for Normal Eating) intervention</w:t>
      </w:r>
      <w:r w:rsidRPr="00ED1380">
        <w:rPr>
          <w:b/>
          <w:color w:val="000000" w:themeColor="text1"/>
          <w:sz w:val="24"/>
          <w:szCs w:val="22"/>
        </w:rPr>
        <w:t xml:space="preserve"> compared with 5x1 DAFNE</w:t>
      </w:r>
      <w:r w:rsidR="000267B9" w:rsidRPr="00ED1380">
        <w:rPr>
          <w:b/>
          <w:color w:val="000000" w:themeColor="text1"/>
          <w:sz w:val="24"/>
          <w:szCs w:val="22"/>
        </w:rPr>
        <w:t>:</w:t>
      </w:r>
      <w:r w:rsidR="00084D40" w:rsidRPr="00ED1380">
        <w:rPr>
          <w:b/>
          <w:color w:val="000000" w:themeColor="text1"/>
          <w:sz w:val="24"/>
          <w:szCs w:val="22"/>
        </w:rPr>
        <w:t xml:space="preserve"> A lifelong approach to promote effective self-management in adults with type 1 diabetes</w:t>
      </w:r>
    </w:p>
    <w:p w14:paraId="0D822236" w14:textId="41FEB917" w:rsidR="00CE7846" w:rsidRDefault="00CE7846" w:rsidP="00412AB5">
      <w:pPr>
        <w:jc w:val="both"/>
        <w:rPr>
          <w:b/>
          <w:color w:val="000000" w:themeColor="text1"/>
          <w:sz w:val="24"/>
          <w:szCs w:val="22"/>
        </w:rPr>
      </w:pPr>
    </w:p>
    <w:p w14:paraId="1DCB3D85" w14:textId="1B2F294A" w:rsidR="0063788D" w:rsidRDefault="0063788D" w:rsidP="00607431">
      <w:pPr>
        <w:jc w:val="both"/>
        <w:rPr>
          <w:color w:val="000000" w:themeColor="text1"/>
          <w:sz w:val="24"/>
          <w:szCs w:val="22"/>
        </w:rPr>
      </w:pPr>
      <w:r>
        <w:rPr>
          <w:color w:val="000000" w:themeColor="text1"/>
          <w:sz w:val="24"/>
          <w:szCs w:val="22"/>
        </w:rPr>
        <w:t>Authors: The DAFNE</w:t>
      </w:r>
      <w:r w:rsidRPr="00607431">
        <w:rPr>
          <w:i/>
          <w:iCs/>
          <w:color w:val="000000" w:themeColor="text1"/>
          <w:sz w:val="24"/>
          <w:szCs w:val="22"/>
        </w:rPr>
        <w:t>plus</w:t>
      </w:r>
      <w:r>
        <w:rPr>
          <w:color w:val="000000" w:themeColor="text1"/>
          <w:sz w:val="24"/>
          <w:szCs w:val="22"/>
        </w:rPr>
        <w:t xml:space="preserve"> group</w:t>
      </w:r>
      <w:r w:rsidR="00210854">
        <w:rPr>
          <w:color w:val="000000" w:themeColor="text1"/>
          <w:sz w:val="24"/>
          <w:szCs w:val="22"/>
        </w:rPr>
        <w:t xml:space="preserve"> (to be listed as)</w:t>
      </w:r>
    </w:p>
    <w:p w14:paraId="2841D6AE" w14:textId="77777777" w:rsidR="0063788D" w:rsidRPr="00CE7846" w:rsidRDefault="0063788D" w:rsidP="00412AB5">
      <w:pPr>
        <w:jc w:val="both"/>
        <w:rPr>
          <w:color w:val="000000" w:themeColor="text1"/>
          <w:sz w:val="24"/>
          <w:szCs w:val="22"/>
        </w:rPr>
      </w:pPr>
    </w:p>
    <w:tbl>
      <w:tblPr>
        <w:tblStyle w:val="TableGrid"/>
        <w:tblW w:w="8532" w:type="dxa"/>
        <w:tblLook w:val="04A0" w:firstRow="1" w:lastRow="0" w:firstColumn="1" w:lastColumn="0" w:noHBand="0" w:noVBand="1"/>
      </w:tblPr>
      <w:tblGrid>
        <w:gridCol w:w="1806"/>
        <w:gridCol w:w="3449"/>
        <w:gridCol w:w="3277"/>
      </w:tblGrid>
      <w:tr w:rsidR="00210854" w:rsidRPr="00D72E51" w14:paraId="15A4D42D" w14:textId="77777777" w:rsidTr="00FE391E">
        <w:tc>
          <w:tcPr>
            <w:tcW w:w="1806" w:type="dxa"/>
          </w:tcPr>
          <w:p w14:paraId="165FEB64" w14:textId="77777777" w:rsidR="00210854" w:rsidRPr="00D72E51" w:rsidRDefault="00210854" w:rsidP="00FE391E">
            <w:pPr>
              <w:rPr>
                <w:rFonts w:cstheme="minorHAnsi"/>
              </w:rPr>
            </w:pPr>
            <w:r>
              <w:rPr>
                <w:rFonts w:cstheme="minorHAnsi"/>
              </w:rPr>
              <w:t>Elizabeth Coates</w:t>
            </w:r>
          </w:p>
        </w:tc>
        <w:tc>
          <w:tcPr>
            <w:tcW w:w="3449" w:type="dxa"/>
          </w:tcPr>
          <w:p w14:paraId="78D606EF" w14:textId="77777777" w:rsidR="00210854" w:rsidRPr="00D72E51" w:rsidRDefault="00210854" w:rsidP="00FE391E">
            <w:pPr>
              <w:rPr>
                <w:rFonts w:cstheme="minorHAnsi"/>
              </w:rPr>
            </w:pPr>
            <w:r w:rsidRPr="00D72E51">
              <w:rPr>
                <w:rFonts w:cstheme="minorHAnsi"/>
              </w:rPr>
              <w:t>University of Sheffield</w:t>
            </w:r>
          </w:p>
        </w:tc>
        <w:tc>
          <w:tcPr>
            <w:tcW w:w="3277" w:type="dxa"/>
          </w:tcPr>
          <w:p w14:paraId="45D4F416" w14:textId="1D301A03" w:rsidR="00210854" w:rsidRPr="00D72E51" w:rsidRDefault="00680611" w:rsidP="00FE391E">
            <w:pPr>
              <w:rPr>
                <w:rFonts w:cstheme="minorHAnsi"/>
              </w:rPr>
            </w:pPr>
            <w:hyperlink r:id="rId8" w:history="1">
              <w:r w:rsidR="007010C7" w:rsidRPr="00B73CC0">
                <w:rPr>
                  <w:rStyle w:val="Hyperlink"/>
                  <w:rFonts w:cstheme="minorHAnsi"/>
                </w:rPr>
                <w:t>e.coates@sheffield.ac.uk</w:t>
              </w:r>
            </w:hyperlink>
            <w:r w:rsidR="007010C7">
              <w:rPr>
                <w:rFonts w:cstheme="minorHAnsi"/>
              </w:rPr>
              <w:t xml:space="preserve"> </w:t>
            </w:r>
          </w:p>
        </w:tc>
      </w:tr>
      <w:tr w:rsidR="00210854" w:rsidRPr="00D72E51" w14:paraId="48E8C162" w14:textId="77777777" w:rsidTr="00FE391E">
        <w:tc>
          <w:tcPr>
            <w:tcW w:w="1806" w:type="dxa"/>
          </w:tcPr>
          <w:p w14:paraId="6F6C7034" w14:textId="77777777" w:rsidR="00210854" w:rsidRPr="00D72E51" w:rsidRDefault="00210854" w:rsidP="00FE391E">
            <w:pPr>
              <w:rPr>
                <w:rFonts w:cstheme="minorHAnsi"/>
              </w:rPr>
            </w:pPr>
            <w:r w:rsidRPr="00D72E51">
              <w:rPr>
                <w:rFonts w:cstheme="minorHAnsi"/>
              </w:rPr>
              <w:t>Stephanie Amiel</w:t>
            </w:r>
          </w:p>
        </w:tc>
        <w:tc>
          <w:tcPr>
            <w:tcW w:w="3449" w:type="dxa"/>
          </w:tcPr>
          <w:p w14:paraId="2E195B06" w14:textId="51599C63" w:rsidR="00210854" w:rsidRPr="00D72E51" w:rsidRDefault="005C3835" w:rsidP="00FE391E">
            <w:pPr>
              <w:rPr>
                <w:rFonts w:cstheme="minorHAnsi"/>
              </w:rPr>
            </w:pPr>
            <w:r>
              <w:rPr>
                <w:rFonts w:cstheme="minorHAnsi"/>
              </w:rPr>
              <w:t xml:space="preserve">King’s College </w:t>
            </w:r>
            <w:r w:rsidRPr="00B7089D">
              <w:rPr>
                <w:rFonts w:cstheme="minorHAnsi"/>
              </w:rPr>
              <w:t>London</w:t>
            </w:r>
          </w:p>
        </w:tc>
        <w:tc>
          <w:tcPr>
            <w:tcW w:w="3277" w:type="dxa"/>
          </w:tcPr>
          <w:p w14:paraId="1DC5D0D2" w14:textId="774DB59F" w:rsidR="00210854" w:rsidRPr="00D72E51" w:rsidRDefault="00680611" w:rsidP="00FE391E">
            <w:pPr>
              <w:rPr>
                <w:rFonts w:cstheme="minorHAnsi"/>
              </w:rPr>
            </w:pPr>
            <w:hyperlink r:id="rId9" w:history="1">
              <w:r w:rsidR="007010C7" w:rsidRPr="00B73CC0">
                <w:rPr>
                  <w:rStyle w:val="Hyperlink"/>
                  <w:rFonts w:cstheme="minorHAnsi"/>
                </w:rPr>
                <w:t>stephanie.amiel@kcl.ac.uk</w:t>
              </w:r>
            </w:hyperlink>
            <w:r w:rsidR="007010C7">
              <w:rPr>
                <w:rFonts w:cstheme="minorHAnsi"/>
              </w:rPr>
              <w:t xml:space="preserve"> </w:t>
            </w:r>
          </w:p>
        </w:tc>
      </w:tr>
      <w:tr w:rsidR="00210854" w:rsidRPr="00D72E51" w14:paraId="75808E63" w14:textId="77777777" w:rsidTr="00FE391E">
        <w:tc>
          <w:tcPr>
            <w:tcW w:w="1806" w:type="dxa"/>
          </w:tcPr>
          <w:p w14:paraId="244FB62D" w14:textId="77777777" w:rsidR="00210854" w:rsidRPr="00D72E51" w:rsidRDefault="00210854" w:rsidP="00FE391E">
            <w:pPr>
              <w:rPr>
                <w:rFonts w:cstheme="minorHAnsi"/>
                <w:bCs/>
              </w:rPr>
            </w:pPr>
            <w:r w:rsidRPr="00D72E51">
              <w:rPr>
                <w:rFonts w:cstheme="minorHAnsi"/>
                <w:bCs/>
              </w:rPr>
              <w:t>Wendy Baird</w:t>
            </w:r>
          </w:p>
        </w:tc>
        <w:tc>
          <w:tcPr>
            <w:tcW w:w="3449" w:type="dxa"/>
          </w:tcPr>
          <w:p w14:paraId="210CB391" w14:textId="77777777" w:rsidR="00210854" w:rsidRPr="00D72E51" w:rsidRDefault="00210854" w:rsidP="00FE391E">
            <w:pPr>
              <w:rPr>
                <w:rFonts w:cstheme="minorHAnsi"/>
                <w:bCs/>
              </w:rPr>
            </w:pPr>
            <w:r w:rsidRPr="00D72E51">
              <w:rPr>
                <w:rFonts w:cstheme="minorHAnsi"/>
                <w:bCs/>
              </w:rPr>
              <w:t xml:space="preserve">University of Sheffield </w:t>
            </w:r>
          </w:p>
        </w:tc>
        <w:tc>
          <w:tcPr>
            <w:tcW w:w="3277" w:type="dxa"/>
          </w:tcPr>
          <w:p w14:paraId="7F5185A2" w14:textId="7D0D61DE" w:rsidR="00210854" w:rsidRPr="00D72E51" w:rsidRDefault="00680611" w:rsidP="00FE391E">
            <w:pPr>
              <w:rPr>
                <w:rFonts w:cstheme="minorHAnsi"/>
                <w:bCs/>
              </w:rPr>
            </w:pPr>
            <w:hyperlink r:id="rId10" w:history="1">
              <w:r w:rsidR="007010C7" w:rsidRPr="00B73CC0">
                <w:rPr>
                  <w:rStyle w:val="Hyperlink"/>
                  <w:rFonts w:cstheme="minorHAnsi"/>
                  <w:bCs/>
                </w:rPr>
                <w:t>w.o.baird@sheffield.ac.uk</w:t>
              </w:r>
            </w:hyperlink>
          </w:p>
        </w:tc>
      </w:tr>
      <w:tr w:rsidR="00210854" w:rsidRPr="00D72E51" w14:paraId="421097D3" w14:textId="77777777" w:rsidTr="00FE391E">
        <w:tc>
          <w:tcPr>
            <w:tcW w:w="1806" w:type="dxa"/>
          </w:tcPr>
          <w:p w14:paraId="5FE35397" w14:textId="77777777" w:rsidR="00210854" w:rsidRDefault="00210854" w:rsidP="00FE391E">
            <w:pPr>
              <w:rPr>
                <w:rFonts w:cstheme="minorHAnsi"/>
              </w:rPr>
            </w:pPr>
            <w:r w:rsidRPr="00D72E51">
              <w:rPr>
                <w:rFonts w:cstheme="minorHAnsi"/>
                <w:bCs/>
              </w:rPr>
              <w:t>Mohammed Benaissa</w:t>
            </w:r>
          </w:p>
        </w:tc>
        <w:tc>
          <w:tcPr>
            <w:tcW w:w="3449" w:type="dxa"/>
          </w:tcPr>
          <w:p w14:paraId="2F0AA9CA" w14:textId="77777777" w:rsidR="00210854" w:rsidRPr="00D72E51" w:rsidRDefault="00210854" w:rsidP="00FE391E">
            <w:pPr>
              <w:rPr>
                <w:rFonts w:cstheme="minorHAnsi"/>
              </w:rPr>
            </w:pPr>
            <w:r w:rsidRPr="00D72E51">
              <w:rPr>
                <w:rFonts w:cstheme="minorHAnsi"/>
                <w:bCs/>
              </w:rPr>
              <w:t xml:space="preserve">University of Sheffield </w:t>
            </w:r>
          </w:p>
        </w:tc>
        <w:tc>
          <w:tcPr>
            <w:tcW w:w="3277" w:type="dxa"/>
          </w:tcPr>
          <w:p w14:paraId="47206D5E" w14:textId="6389395C" w:rsidR="00210854" w:rsidRPr="00D72E51" w:rsidRDefault="00680611" w:rsidP="00FE391E">
            <w:pPr>
              <w:rPr>
                <w:rFonts w:cstheme="minorHAnsi"/>
                <w:bCs/>
              </w:rPr>
            </w:pPr>
            <w:hyperlink r:id="rId11" w:history="1">
              <w:r w:rsidR="007010C7" w:rsidRPr="00B73CC0">
                <w:rPr>
                  <w:rStyle w:val="Hyperlink"/>
                  <w:rFonts w:cstheme="minorHAnsi"/>
                  <w:bCs/>
                </w:rPr>
                <w:t>m.benaissa@sheffield.ac.uk</w:t>
              </w:r>
            </w:hyperlink>
            <w:r w:rsidR="007010C7">
              <w:rPr>
                <w:rFonts w:cstheme="minorHAnsi"/>
                <w:bCs/>
              </w:rPr>
              <w:t xml:space="preserve"> </w:t>
            </w:r>
          </w:p>
        </w:tc>
      </w:tr>
      <w:tr w:rsidR="00210854" w:rsidRPr="00D72E51" w14:paraId="2D788350" w14:textId="77777777" w:rsidTr="00FE391E">
        <w:tc>
          <w:tcPr>
            <w:tcW w:w="1806" w:type="dxa"/>
          </w:tcPr>
          <w:p w14:paraId="119D49FB" w14:textId="77777777" w:rsidR="00210854" w:rsidRDefault="00210854" w:rsidP="00FE391E">
            <w:pPr>
              <w:rPr>
                <w:rFonts w:cstheme="minorHAnsi"/>
              </w:rPr>
            </w:pPr>
            <w:r w:rsidRPr="00D72E51">
              <w:rPr>
                <w:rFonts w:cstheme="minorHAnsi"/>
                <w:bCs/>
              </w:rPr>
              <w:t>Alan Brennan</w:t>
            </w:r>
          </w:p>
        </w:tc>
        <w:tc>
          <w:tcPr>
            <w:tcW w:w="3449" w:type="dxa"/>
          </w:tcPr>
          <w:p w14:paraId="5A2BCADE" w14:textId="77777777" w:rsidR="00210854" w:rsidRPr="00D72E51" w:rsidRDefault="00210854" w:rsidP="00FE391E">
            <w:pPr>
              <w:rPr>
                <w:rFonts w:cstheme="minorHAnsi"/>
              </w:rPr>
            </w:pPr>
            <w:r w:rsidRPr="00D72E51">
              <w:rPr>
                <w:rFonts w:cstheme="minorHAnsi"/>
                <w:bCs/>
              </w:rPr>
              <w:t xml:space="preserve">University of Sheffield </w:t>
            </w:r>
          </w:p>
        </w:tc>
        <w:tc>
          <w:tcPr>
            <w:tcW w:w="3277" w:type="dxa"/>
          </w:tcPr>
          <w:p w14:paraId="5D1298B0" w14:textId="6E406B31" w:rsidR="00210854" w:rsidRPr="00D72E51" w:rsidRDefault="00680611" w:rsidP="00FE391E">
            <w:pPr>
              <w:rPr>
                <w:rFonts w:cstheme="minorHAnsi"/>
                <w:bCs/>
              </w:rPr>
            </w:pPr>
            <w:hyperlink r:id="rId12" w:history="1">
              <w:r w:rsidR="007010C7" w:rsidRPr="00B73CC0">
                <w:rPr>
                  <w:rStyle w:val="Hyperlink"/>
                  <w:rFonts w:cstheme="minorHAnsi"/>
                  <w:bCs/>
                </w:rPr>
                <w:t>a.brennan@sheffield.ac.uk</w:t>
              </w:r>
            </w:hyperlink>
            <w:r w:rsidR="007010C7">
              <w:rPr>
                <w:rFonts w:cstheme="minorHAnsi"/>
                <w:bCs/>
              </w:rPr>
              <w:t xml:space="preserve"> </w:t>
            </w:r>
          </w:p>
        </w:tc>
      </w:tr>
      <w:tr w:rsidR="00210854" w:rsidRPr="00D72E51" w14:paraId="08D53681" w14:textId="77777777" w:rsidTr="00FE391E">
        <w:tc>
          <w:tcPr>
            <w:tcW w:w="1806" w:type="dxa"/>
          </w:tcPr>
          <w:p w14:paraId="035252B5" w14:textId="4F7AEA80" w:rsidR="00210854" w:rsidRPr="00D72E51" w:rsidRDefault="00303813" w:rsidP="00FE391E">
            <w:pPr>
              <w:rPr>
                <w:rFonts w:cstheme="minorHAnsi"/>
                <w:bCs/>
              </w:rPr>
            </w:pPr>
            <w:r>
              <w:rPr>
                <w:rFonts w:cstheme="minorHAnsi"/>
              </w:rPr>
              <w:t>Michael J</w:t>
            </w:r>
            <w:r w:rsidR="006F6BAC">
              <w:rPr>
                <w:rFonts w:cstheme="minorHAnsi"/>
              </w:rPr>
              <w:t>oseph</w:t>
            </w:r>
            <w:r w:rsidR="00210854">
              <w:rPr>
                <w:rFonts w:cstheme="minorHAnsi"/>
              </w:rPr>
              <w:t xml:space="preserve"> Campbell</w:t>
            </w:r>
          </w:p>
        </w:tc>
        <w:tc>
          <w:tcPr>
            <w:tcW w:w="3449" w:type="dxa"/>
          </w:tcPr>
          <w:p w14:paraId="083B978A" w14:textId="77777777" w:rsidR="00210854" w:rsidRPr="00D72E51" w:rsidRDefault="00210854" w:rsidP="00FE391E">
            <w:pPr>
              <w:rPr>
                <w:rFonts w:cstheme="minorHAnsi"/>
                <w:bCs/>
              </w:rPr>
            </w:pPr>
            <w:r w:rsidRPr="00D72E51">
              <w:rPr>
                <w:rFonts w:cstheme="minorHAnsi"/>
              </w:rPr>
              <w:t>University of Sheffield</w:t>
            </w:r>
          </w:p>
        </w:tc>
        <w:tc>
          <w:tcPr>
            <w:tcW w:w="3277" w:type="dxa"/>
          </w:tcPr>
          <w:p w14:paraId="71313BEF" w14:textId="2E0F4940" w:rsidR="00210854" w:rsidRPr="00D72E51" w:rsidRDefault="00680611" w:rsidP="00FE391E">
            <w:pPr>
              <w:rPr>
                <w:rFonts w:cstheme="minorHAnsi"/>
                <w:bCs/>
              </w:rPr>
            </w:pPr>
            <w:hyperlink r:id="rId13" w:history="1">
              <w:r w:rsidR="007010C7" w:rsidRPr="00B73CC0">
                <w:rPr>
                  <w:rStyle w:val="Hyperlink"/>
                  <w:rFonts w:cstheme="minorHAnsi"/>
                  <w:bCs/>
                </w:rPr>
                <w:t>m.j.campbell@sheffield.ac.uk</w:t>
              </w:r>
            </w:hyperlink>
            <w:r w:rsidR="007010C7">
              <w:rPr>
                <w:rFonts w:cstheme="minorHAnsi"/>
                <w:bCs/>
              </w:rPr>
              <w:t xml:space="preserve"> </w:t>
            </w:r>
          </w:p>
        </w:tc>
      </w:tr>
      <w:tr w:rsidR="00210854" w:rsidRPr="00D72E51" w14:paraId="3A4D74F6" w14:textId="77777777" w:rsidTr="00FE391E">
        <w:tc>
          <w:tcPr>
            <w:tcW w:w="1806" w:type="dxa"/>
          </w:tcPr>
          <w:p w14:paraId="7698B2C6" w14:textId="77777777" w:rsidR="00210854" w:rsidRPr="00D72E51" w:rsidRDefault="00210854" w:rsidP="00FE391E">
            <w:pPr>
              <w:rPr>
                <w:rFonts w:cstheme="minorHAnsi"/>
              </w:rPr>
            </w:pPr>
            <w:r w:rsidRPr="00D72E51">
              <w:rPr>
                <w:rFonts w:cstheme="minorHAnsi"/>
                <w:bCs/>
              </w:rPr>
              <w:t>Paul Chadwick</w:t>
            </w:r>
          </w:p>
        </w:tc>
        <w:tc>
          <w:tcPr>
            <w:tcW w:w="3449" w:type="dxa"/>
          </w:tcPr>
          <w:p w14:paraId="5B0F53CF" w14:textId="77777777" w:rsidR="00210854" w:rsidRPr="00D72E51" w:rsidRDefault="00210854" w:rsidP="00FE391E">
            <w:pPr>
              <w:rPr>
                <w:rFonts w:cstheme="minorHAnsi"/>
              </w:rPr>
            </w:pPr>
            <w:r w:rsidRPr="00D72E51">
              <w:rPr>
                <w:rFonts w:cstheme="minorHAnsi"/>
                <w:bCs/>
              </w:rPr>
              <w:t>University College London</w:t>
            </w:r>
          </w:p>
        </w:tc>
        <w:tc>
          <w:tcPr>
            <w:tcW w:w="3277" w:type="dxa"/>
          </w:tcPr>
          <w:p w14:paraId="760F0C08" w14:textId="0EEB8493" w:rsidR="00210854" w:rsidRPr="00D72E51" w:rsidRDefault="00680611" w:rsidP="00FE391E">
            <w:pPr>
              <w:rPr>
                <w:rFonts w:cstheme="minorHAnsi"/>
                <w:bCs/>
              </w:rPr>
            </w:pPr>
            <w:hyperlink r:id="rId14" w:history="1">
              <w:r w:rsidR="007010C7" w:rsidRPr="00B73CC0">
                <w:rPr>
                  <w:rStyle w:val="Hyperlink"/>
                  <w:rFonts w:cstheme="minorHAnsi"/>
                  <w:bCs/>
                </w:rPr>
                <w:t>p.chadwick@ucl.ac.uk</w:t>
              </w:r>
            </w:hyperlink>
            <w:r w:rsidR="007010C7">
              <w:rPr>
                <w:rFonts w:cstheme="minorHAnsi"/>
                <w:bCs/>
              </w:rPr>
              <w:t xml:space="preserve"> </w:t>
            </w:r>
          </w:p>
        </w:tc>
      </w:tr>
      <w:tr w:rsidR="00210854" w:rsidRPr="00D72E51" w14:paraId="7D0D6D2E" w14:textId="77777777" w:rsidTr="00FE391E">
        <w:tc>
          <w:tcPr>
            <w:tcW w:w="1806" w:type="dxa"/>
          </w:tcPr>
          <w:p w14:paraId="488CC421" w14:textId="77777777" w:rsidR="00210854" w:rsidRPr="00D72E51" w:rsidRDefault="00210854" w:rsidP="00FE391E">
            <w:pPr>
              <w:rPr>
                <w:rFonts w:cstheme="minorHAnsi"/>
                <w:lang w:val="it-IT"/>
              </w:rPr>
            </w:pPr>
            <w:r w:rsidRPr="00D72E51">
              <w:rPr>
                <w:rFonts w:cstheme="minorHAnsi"/>
              </w:rPr>
              <w:t xml:space="preserve">Tim Chater </w:t>
            </w:r>
          </w:p>
        </w:tc>
        <w:tc>
          <w:tcPr>
            <w:tcW w:w="3449" w:type="dxa"/>
          </w:tcPr>
          <w:p w14:paraId="5B4CF9C2" w14:textId="77777777" w:rsidR="00210854" w:rsidRPr="00D72E51" w:rsidRDefault="00210854" w:rsidP="00FE391E">
            <w:pPr>
              <w:rPr>
                <w:rFonts w:cstheme="minorHAnsi"/>
                <w:lang w:val="it-IT"/>
              </w:rPr>
            </w:pPr>
            <w:r w:rsidRPr="00D72E51">
              <w:rPr>
                <w:rFonts w:cstheme="minorHAnsi"/>
              </w:rPr>
              <w:t xml:space="preserve">University of Sheffield </w:t>
            </w:r>
          </w:p>
        </w:tc>
        <w:tc>
          <w:tcPr>
            <w:tcW w:w="3277" w:type="dxa"/>
          </w:tcPr>
          <w:p w14:paraId="3316642A" w14:textId="459D208E" w:rsidR="00210854" w:rsidRPr="00D72E51" w:rsidRDefault="00680611" w:rsidP="00FE391E">
            <w:pPr>
              <w:rPr>
                <w:rFonts w:cstheme="minorHAnsi"/>
                <w:bCs/>
              </w:rPr>
            </w:pPr>
            <w:hyperlink r:id="rId15" w:history="1">
              <w:r w:rsidR="007010C7" w:rsidRPr="00B73CC0">
                <w:rPr>
                  <w:rStyle w:val="Hyperlink"/>
                  <w:rFonts w:cstheme="minorHAnsi"/>
                  <w:bCs/>
                </w:rPr>
                <w:t>t.chater@sheffield.ac.uk</w:t>
              </w:r>
            </w:hyperlink>
            <w:r w:rsidR="007010C7">
              <w:rPr>
                <w:rFonts w:cstheme="minorHAnsi"/>
                <w:bCs/>
              </w:rPr>
              <w:t xml:space="preserve"> </w:t>
            </w:r>
          </w:p>
        </w:tc>
      </w:tr>
      <w:tr w:rsidR="00210854" w:rsidRPr="00D72E51" w14:paraId="7C0DE153" w14:textId="77777777" w:rsidTr="00FE391E">
        <w:tc>
          <w:tcPr>
            <w:tcW w:w="1806" w:type="dxa"/>
          </w:tcPr>
          <w:p w14:paraId="07227A52" w14:textId="77777777" w:rsidR="00210854" w:rsidRPr="00D72E51" w:rsidRDefault="00210854" w:rsidP="00FE391E">
            <w:pPr>
              <w:rPr>
                <w:rFonts w:cstheme="minorHAnsi"/>
                <w:bCs/>
              </w:rPr>
            </w:pPr>
            <w:r w:rsidRPr="00D72E51">
              <w:rPr>
                <w:rFonts w:cstheme="minorHAnsi"/>
                <w:bCs/>
                <w:color w:val="000000" w:themeColor="text1"/>
              </w:rPr>
              <w:t xml:space="preserve">Pratik Choudhary </w:t>
            </w:r>
          </w:p>
        </w:tc>
        <w:tc>
          <w:tcPr>
            <w:tcW w:w="3449" w:type="dxa"/>
          </w:tcPr>
          <w:p w14:paraId="50BB51F6" w14:textId="5DDD406C" w:rsidR="00210854" w:rsidRPr="00D72E51" w:rsidRDefault="00303813" w:rsidP="00FE391E">
            <w:pPr>
              <w:rPr>
                <w:rFonts w:cstheme="minorHAnsi"/>
                <w:bCs/>
              </w:rPr>
            </w:pPr>
            <w:r>
              <w:rPr>
                <w:rFonts w:cstheme="minorHAnsi"/>
                <w:bCs/>
                <w:color w:val="000000" w:themeColor="text1"/>
              </w:rPr>
              <w:t>King’s College London</w:t>
            </w:r>
          </w:p>
        </w:tc>
        <w:tc>
          <w:tcPr>
            <w:tcW w:w="3277" w:type="dxa"/>
          </w:tcPr>
          <w:p w14:paraId="3D4430B8" w14:textId="57FBC43E" w:rsidR="00210854" w:rsidRPr="00D72E51" w:rsidRDefault="00680611" w:rsidP="00FE391E">
            <w:pPr>
              <w:rPr>
                <w:rFonts w:cstheme="minorHAnsi"/>
                <w:bCs/>
              </w:rPr>
            </w:pPr>
            <w:hyperlink r:id="rId16" w:history="1">
              <w:r w:rsidR="007010C7" w:rsidRPr="00B73CC0">
                <w:rPr>
                  <w:rStyle w:val="Hyperlink"/>
                  <w:rFonts w:cstheme="minorHAnsi"/>
                  <w:bCs/>
                </w:rPr>
                <w:t>pratik.choudhary@kcl.ac.uk</w:t>
              </w:r>
            </w:hyperlink>
            <w:r w:rsidR="007010C7">
              <w:rPr>
                <w:rFonts w:cstheme="minorHAnsi"/>
                <w:bCs/>
              </w:rPr>
              <w:t xml:space="preserve"> </w:t>
            </w:r>
          </w:p>
        </w:tc>
      </w:tr>
      <w:tr w:rsidR="00210854" w:rsidRPr="00D72E51" w14:paraId="6BC40B72" w14:textId="77777777" w:rsidTr="00FE391E">
        <w:tc>
          <w:tcPr>
            <w:tcW w:w="1806" w:type="dxa"/>
          </w:tcPr>
          <w:p w14:paraId="3B8A2F3A" w14:textId="77777777" w:rsidR="00210854" w:rsidRPr="00D72E51" w:rsidRDefault="00210854" w:rsidP="00FE391E">
            <w:pPr>
              <w:rPr>
                <w:rFonts w:cstheme="minorHAnsi"/>
                <w:lang w:val="it-IT"/>
              </w:rPr>
            </w:pPr>
            <w:r w:rsidRPr="00D72E51">
              <w:rPr>
                <w:rFonts w:cstheme="minorHAnsi"/>
                <w:bCs/>
              </w:rPr>
              <w:t xml:space="preserve">Debbie Cooke </w:t>
            </w:r>
          </w:p>
        </w:tc>
        <w:tc>
          <w:tcPr>
            <w:tcW w:w="3449" w:type="dxa"/>
          </w:tcPr>
          <w:p w14:paraId="3F42AA7F" w14:textId="77777777" w:rsidR="00210854" w:rsidRPr="00D72E51" w:rsidRDefault="00210854" w:rsidP="00FE391E">
            <w:pPr>
              <w:rPr>
                <w:rFonts w:cstheme="minorHAnsi"/>
                <w:lang w:val="it-IT"/>
              </w:rPr>
            </w:pPr>
            <w:r w:rsidRPr="00D72E51">
              <w:rPr>
                <w:rFonts w:cstheme="minorHAnsi"/>
                <w:bCs/>
              </w:rPr>
              <w:t xml:space="preserve">University of Surrey </w:t>
            </w:r>
          </w:p>
        </w:tc>
        <w:tc>
          <w:tcPr>
            <w:tcW w:w="3277" w:type="dxa"/>
          </w:tcPr>
          <w:p w14:paraId="7B93AF96" w14:textId="14BB7917" w:rsidR="00210854" w:rsidRPr="00D72E51" w:rsidRDefault="00680611" w:rsidP="00FE391E">
            <w:pPr>
              <w:rPr>
                <w:rFonts w:cstheme="minorHAnsi"/>
                <w:bCs/>
              </w:rPr>
            </w:pPr>
            <w:hyperlink r:id="rId17" w:history="1">
              <w:r w:rsidR="007010C7" w:rsidRPr="00B73CC0">
                <w:rPr>
                  <w:rStyle w:val="Hyperlink"/>
                  <w:rFonts w:cstheme="minorHAnsi"/>
                  <w:bCs/>
                </w:rPr>
                <w:t>d.cooke@surrey.ac.uk</w:t>
              </w:r>
            </w:hyperlink>
            <w:r w:rsidR="007010C7">
              <w:rPr>
                <w:rFonts w:cstheme="minorHAnsi"/>
                <w:bCs/>
              </w:rPr>
              <w:t xml:space="preserve"> </w:t>
            </w:r>
          </w:p>
        </w:tc>
      </w:tr>
      <w:tr w:rsidR="00210854" w:rsidRPr="00D72E51" w14:paraId="66DF980A" w14:textId="77777777" w:rsidTr="00FE391E">
        <w:tc>
          <w:tcPr>
            <w:tcW w:w="1806" w:type="dxa"/>
          </w:tcPr>
          <w:p w14:paraId="5AF7FB4A" w14:textId="77777777" w:rsidR="00210854" w:rsidRPr="00D72E51" w:rsidRDefault="00210854" w:rsidP="00FE391E">
            <w:pPr>
              <w:rPr>
                <w:rFonts w:cstheme="minorHAnsi"/>
                <w:bCs/>
              </w:rPr>
            </w:pPr>
            <w:r w:rsidRPr="00D72E51">
              <w:rPr>
                <w:rFonts w:cstheme="minorHAnsi"/>
                <w:lang w:val="it-IT"/>
              </w:rPr>
              <w:t>Cindy Cooper</w:t>
            </w:r>
          </w:p>
        </w:tc>
        <w:tc>
          <w:tcPr>
            <w:tcW w:w="3449" w:type="dxa"/>
          </w:tcPr>
          <w:p w14:paraId="76702EDB" w14:textId="77777777" w:rsidR="00210854" w:rsidRPr="00D72E51" w:rsidRDefault="00210854" w:rsidP="00FE391E">
            <w:pPr>
              <w:rPr>
                <w:rFonts w:cstheme="minorHAnsi"/>
                <w:bCs/>
              </w:rPr>
            </w:pPr>
            <w:r w:rsidRPr="00D72E51">
              <w:rPr>
                <w:rFonts w:cstheme="minorHAnsi"/>
                <w:lang w:val="it-IT"/>
              </w:rPr>
              <w:t xml:space="preserve">University of Sheffield </w:t>
            </w:r>
          </w:p>
        </w:tc>
        <w:tc>
          <w:tcPr>
            <w:tcW w:w="3277" w:type="dxa"/>
          </w:tcPr>
          <w:p w14:paraId="48C273C1" w14:textId="06FC21DE" w:rsidR="00210854" w:rsidRPr="00D72E51" w:rsidRDefault="00680611" w:rsidP="00FE391E">
            <w:pPr>
              <w:rPr>
                <w:rFonts w:cstheme="minorHAnsi"/>
                <w:bCs/>
              </w:rPr>
            </w:pPr>
            <w:hyperlink r:id="rId18" w:history="1">
              <w:r w:rsidR="007010C7" w:rsidRPr="00B73CC0">
                <w:rPr>
                  <w:rStyle w:val="Hyperlink"/>
                  <w:rFonts w:cstheme="minorHAnsi"/>
                  <w:bCs/>
                </w:rPr>
                <w:t>c.l.cooper@sheffield.ac.uk</w:t>
              </w:r>
            </w:hyperlink>
            <w:r w:rsidR="007010C7">
              <w:rPr>
                <w:rFonts w:cstheme="minorHAnsi"/>
                <w:bCs/>
              </w:rPr>
              <w:t xml:space="preserve"> </w:t>
            </w:r>
          </w:p>
        </w:tc>
      </w:tr>
      <w:tr w:rsidR="00210854" w:rsidRPr="00D72E51" w14:paraId="5C091083" w14:textId="77777777" w:rsidTr="00FE391E">
        <w:tc>
          <w:tcPr>
            <w:tcW w:w="1806" w:type="dxa"/>
          </w:tcPr>
          <w:p w14:paraId="2AD8AB2D" w14:textId="77777777" w:rsidR="00210854" w:rsidRPr="00D72E51" w:rsidRDefault="00210854" w:rsidP="00FE391E">
            <w:pPr>
              <w:rPr>
                <w:rFonts w:cstheme="minorHAnsi"/>
                <w:bCs/>
              </w:rPr>
            </w:pPr>
            <w:r>
              <w:rPr>
                <w:rFonts w:cstheme="minorHAnsi"/>
              </w:rPr>
              <w:t>El</w:t>
            </w:r>
            <w:r w:rsidRPr="00D72E51">
              <w:rPr>
                <w:rFonts w:cstheme="minorHAnsi"/>
              </w:rPr>
              <w:t>iz</w:t>
            </w:r>
            <w:r>
              <w:rPr>
                <w:rFonts w:cstheme="minorHAnsi"/>
              </w:rPr>
              <w:t>abeth</w:t>
            </w:r>
            <w:r w:rsidRPr="00D72E51">
              <w:rPr>
                <w:rFonts w:cstheme="minorHAnsi"/>
              </w:rPr>
              <w:t xml:space="preserve"> Cross</w:t>
            </w:r>
          </w:p>
        </w:tc>
        <w:tc>
          <w:tcPr>
            <w:tcW w:w="3449" w:type="dxa"/>
          </w:tcPr>
          <w:p w14:paraId="552B9445" w14:textId="77777777" w:rsidR="00210854" w:rsidRPr="00D72E51" w:rsidRDefault="00210854" w:rsidP="00FE391E">
            <w:pPr>
              <w:rPr>
                <w:rFonts w:cstheme="minorHAnsi"/>
                <w:bCs/>
              </w:rPr>
            </w:pPr>
            <w:r w:rsidRPr="00D72E51">
              <w:rPr>
                <w:rFonts w:cstheme="minorHAnsi"/>
              </w:rPr>
              <w:t xml:space="preserve">University of Sheffield </w:t>
            </w:r>
          </w:p>
        </w:tc>
        <w:tc>
          <w:tcPr>
            <w:tcW w:w="3277" w:type="dxa"/>
          </w:tcPr>
          <w:p w14:paraId="03E3FA61" w14:textId="7805CF74" w:rsidR="00210854" w:rsidRPr="00D72E51" w:rsidRDefault="00680611" w:rsidP="00FE391E">
            <w:pPr>
              <w:rPr>
                <w:rFonts w:cstheme="minorHAnsi"/>
                <w:bCs/>
              </w:rPr>
            </w:pPr>
            <w:hyperlink r:id="rId19" w:history="1">
              <w:r w:rsidR="007010C7" w:rsidRPr="00B73CC0">
                <w:rPr>
                  <w:rStyle w:val="Hyperlink"/>
                  <w:rFonts w:cstheme="minorHAnsi"/>
                  <w:bCs/>
                </w:rPr>
                <w:t>e.a.cross@sheffield.ac.uk</w:t>
              </w:r>
            </w:hyperlink>
            <w:r w:rsidR="007010C7">
              <w:rPr>
                <w:rFonts w:cstheme="minorHAnsi"/>
                <w:bCs/>
              </w:rPr>
              <w:t xml:space="preserve"> </w:t>
            </w:r>
          </w:p>
        </w:tc>
      </w:tr>
      <w:tr w:rsidR="00210854" w:rsidRPr="00D72E51" w14:paraId="621923F4" w14:textId="77777777" w:rsidTr="00FE391E">
        <w:tc>
          <w:tcPr>
            <w:tcW w:w="1806" w:type="dxa"/>
          </w:tcPr>
          <w:p w14:paraId="62CB510C" w14:textId="77777777" w:rsidR="00210854" w:rsidRPr="00D72E51" w:rsidRDefault="00210854" w:rsidP="00FE391E">
            <w:pPr>
              <w:rPr>
                <w:rFonts w:cstheme="minorHAnsi"/>
                <w:bCs/>
              </w:rPr>
            </w:pPr>
            <w:r w:rsidRPr="00D72E51">
              <w:rPr>
                <w:rFonts w:cstheme="minorHAnsi"/>
              </w:rPr>
              <w:t xml:space="preserve">Nicole </w:t>
            </w:r>
            <w:r>
              <w:rPr>
                <w:rFonts w:cstheme="minorHAnsi"/>
              </w:rPr>
              <w:t>D</w:t>
            </w:r>
            <w:r w:rsidRPr="00D72E51">
              <w:rPr>
                <w:rFonts w:cstheme="minorHAnsi"/>
              </w:rPr>
              <w:t>e Zoysa</w:t>
            </w:r>
          </w:p>
        </w:tc>
        <w:tc>
          <w:tcPr>
            <w:tcW w:w="3449" w:type="dxa"/>
          </w:tcPr>
          <w:p w14:paraId="2CF122EF" w14:textId="77777777" w:rsidR="00210854" w:rsidRPr="00D72E51" w:rsidRDefault="00210854" w:rsidP="00FE391E">
            <w:pPr>
              <w:rPr>
                <w:rFonts w:cstheme="minorHAnsi"/>
                <w:bCs/>
              </w:rPr>
            </w:pPr>
            <w:r w:rsidRPr="00D72E51">
              <w:rPr>
                <w:rFonts w:cstheme="minorHAnsi"/>
              </w:rPr>
              <w:t>King’s College Hospital</w:t>
            </w:r>
          </w:p>
        </w:tc>
        <w:tc>
          <w:tcPr>
            <w:tcW w:w="3277" w:type="dxa"/>
          </w:tcPr>
          <w:p w14:paraId="39D6020B" w14:textId="1FFD64DC" w:rsidR="00210854" w:rsidRPr="00D72E51" w:rsidRDefault="00680611" w:rsidP="00FE391E">
            <w:pPr>
              <w:rPr>
                <w:rFonts w:cstheme="minorHAnsi"/>
                <w:bCs/>
              </w:rPr>
            </w:pPr>
            <w:hyperlink r:id="rId20" w:history="1">
              <w:r w:rsidR="007010C7" w:rsidRPr="00B73CC0">
                <w:rPr>
                  <w:rStyle w:val="Hyperlink"/>
                  <w:rFonts w:cstheme="minorHAnsi"/>
                  <w:bCs/>
                </w:rPr>
                <w:t>ndezoysa@nhs.net</w:t>
              </w:r>
            </w:hyperlink>
            <w:r w:rsidR="007010C7">
              <w:rPr>
                <w:rFonts w:cstheme="minorHAnsi"/>
                <w:bCs/>
              </w:rPr>
              <w:t xml:space="preserve"> </w:t>
            </w:r>
          </w:p>
        </w:tc>
      </w:tr>
      <w:tr w:rsidR="00210854" w:rsidRPr="00D72E51" w14:paraId="037ED889" w14:textId="77777777" w:rsidTr="00FE391E">
        <w:tc>
          <w:tcPr>
            <w:tcW w:w="1806" w:type="dxa"/>
          </w:tcPr>
          <w:p w14:paraId="79853E2D" w14:textId="77777777" w:rsidR="00210854" w:rsidRPr="00D72E51" w:rsidRDefault="00210854" w:rsidP="00FE391E">
            <w:pPr>
              <w:rPr>
                <w:rFonts w:cstheme="minorHAnsi"/>
                <w:bCs/>
              </w:rPr>
            </w:pPr>
            <w:r w:rsidRPr="00D72E51">
              <w:rPr>
                <w:rFonts w:cstheme="minorHAnsi"/>
              </w:rPr>
              <w:t>Mohammad Eissa</w:t>
            </w:r>
          </w:p>
        </w:tc>
        <w:tc>
          <w:tcPr>
            <w:tcW w:w="3449" w:type="dxa"/>
          </w:tcPr>
          <w:p w14:paraId="07AF2BD4" w14:textId="77777777" w:rsidR="00210854" w:rsidRPr="00D72E51" w:rsidRDefault="00210854" w:rsidP="00FE391E">
            <w:pPr>
              <w:rPr>
                <w:rFonts w:cstheme="minorHAnsi"/>
                <w:bCs/>
              </w:rPr>
            </w:pPr>
            <w:r w:rsidRPr="00D72E51">
              <w:rPr>
                <w:rFonts w:cstheme="minorHAnsi"/>
              </w:rPr>
              <w:t xml:space="preserve">University of Sheffield </w:t>
            </w:r>
          </w:p>
        </w:tc>
        <w:tc>
          <w:tcPr>
            <w:tcW w:w="3277" w:type="dxa"/>
          </w:tcPr>
          <w:p w14:paraId="663111A5" w14:textId="59BDD5A4" w:rsidR="00210854" w:rsidRPr="00D72E51" w:rsidRDefault="00680611" w:rsidP="00FE391E">
            <w:pPr>
              <w:rPr>
                <w:rFonts w:cstheme="minorHAnsi"/>
                <w:bCs/>
              </w:rPr>
            </w:pPr>
            <w:hyperlink r:id="rId21" w:history="1">
              <w:r w:rsidR="007010C7" w:rsidRPr="00B73CC0">
                <w:rPr>
                  <w:rStyle w:val="Hyperlink"/>
                  <w:rFonts w:cstheme="minorHAnsi"/>
                  <w:bCs/>
                </w:rPr>
                <w:t>m.eissa@sheffield.ac.uk</w:t>
              </w:r>
            </w:hyperlink>
            <w:r w:rsidR="007010C7">
              <w:rPr>
                <w:rFonts w:cstheme="minorHAnsi"/>
                <w:bCs/>
              </w:rPr>
              <w:t xml:space="preserve"> </w:t>
            </w:r>
          </w:p>
        </w:tc>
      </w:tr>
      <w:tr w:rsidR="00210854" w:rsidRPr="00D72E51" w14:paraId="6C8ADA06" w14:textId="77777777" w:rsidTr="00FE391E">
        <w:tc>
          <w:tcPr>
            <w:tcW w:w="1806" w:type="dxa"/>
          </w:tcPr>
          <w:p w14:paraId="3445C155" w14:textId="77777777" w:rsidR="00210854" w:rsidRPr="00D72E51" w:rsidRDefault="00210854" w:rsidP="00FE391E">
            <w:pPr>
              <w:rPr>
                <w:rFonts w:cstheme="minorHAnsi"/>
              </w:rPr>
            </w:pPr>
            <w:r w:rsidRPr="00D72E51">
              <w:rPr>
                <w:rFonts w:cstheme="minorHAnsi"/>
                <w:bCs/>
              </w:rPr>
              <w:t>Jackie Elliott</w:t>
            </w:r>
          </w:p>
        </w:tc>
        <w:tc>
          <w:tcPr>
            <w:tcW w:w="3449" w:type="dxa"/>
          </w:tcPr>
          <w:p w14:paraId="7316B13E" w14:textId="77777777" w:rsidR="00210854" w:rsidRPr="00D72E51" w:rsidRDefault="00210854" w:rsidP="00FE391E">
            <w:pPr>
              <w:rPr>
                <w:rFonts w:cstheme="minorHAnsi"/>
              </w:rPr>
            </w:pPr>
            <w:r w:rsidRPr="00D72E51">
              <w:rPr>
                <w:rFonts w:cstheme="minorHAnsi"/>
                <w:bCs/>
              </w:rPr>
              <w:t>Sheffield Teaching Hospital</w:t>
            </w:r>
            <w:r>
              <w:rPr>
                <w:rFonts w:cstheme="minorHAnsi"/>
                <w:bCs/>
              </w:rPr>
              <w:t>s NHS Foundation Trust</w:t>
            </w:r>
          </w:p>
        </w:tc>
        <w:tc>
          <w:tcPr>
            <w:tcW w:w="3277" w:type="dxa"/>
          </w:tcPr>
          <w:p w14:paraId="489A8FC8" w14:textId="0616D64C" w:rsidR="00210854" w:rsidRPr="00D72E51" w:rsidRDefault="00680611" w:rsidP="00FE391E">
            <w:pPr>
              <w:rPr>
                <w:rFonts w:cstheme="minorHAnsi"/>
                <w:bCs/>
              </w:rPr>
            </w:pPr>
            <w:hyperlink r:id="rId22" w:history="1">
              <w:r w:rsidR="007010C7" w:rsidRPr="00B73CC0">
                <w:rPr>
                  <w:rStyle w:val="Hyperlink"/>
                  <w:rFonts w:cstheme="minorHAnsi"/>
                  <w:bCs/>
                </w:rPr>
                <w:t>j.elliott@sheffield.ac.uk</w:t>
              </w:r>
            </w:hyperlink>
            <w:r w:rsidR="007010C7">
              <w:rPr>
                <w:rFonts w:cstheme="minorHAnsi"/>
                <w:bCs/>
              </w:rPr>
              <w:t xml:space="preserve"> </w:t>
            </w:r>
          </w:p>
        </w:tc>
      </w:tr>
      <w:tr w:rsidR="00210854" w:rsidRPr="00D72E51" w14:paraId="029C277E" w14:textId="77777777" w:rsidTr="00FE391E">
        <w:tc>
          <w:tcPr>
            <w:tcW w:w="1806" w:type="dxa"/>
          </w:tcPr>
          <w:p w14:paraId="25DB0760" w14:textId="77777777" w:rsidR="00210854" w:rsidRPr="00D72E51" w:rsidRDefault="00210854" w:rsidP="00FE391E">
            <w:pPr>
              <w:rPr>
                <w:rFonts w:cstheme="minorHAnsi"/>
              </w:rPr>
            </w:pPr>
            <w:r w:rsidRPr="00D72E51">
              <w:rPr>
                <w:rFonts w:cstheme="minorHAnsi"/>
                <w:bCs/>
              </w:rPr>
              <w:t>Carla Gianfrancesco</w:t>
            </w:r>
          </w:p>
        </w:tc>
        <w:tc>
          <w:tcPr>
            <w:tcW w:w="3449" w:type="dxa"/>
          </w:tcPr>
          <w:p w14:paraId="5EB6B6A1" w14:textId="77777777" w:rsidR="00210854" w:rsidRPr="00D72E51" w:rsidRDefault="00210854" w:rsidP="00FE391E">
            <w:pPr>
              <w:rPr>
                <w:rFonts w:cstheme="minorHAnsi"/>
              </w:rPr>
            </w:pPr>
            <w:r>
              <w:rPr>
                <w:rFonts w:cstheme="minorHAnsi"/>
                <w:bCs/>
              </w:rPr>
              <w:t>Sheffield Teaching Hospitals NHS Foundation Trust</w:t>
            </w:r>
          </w:p>
        </w:tc>
        <w:tc>
          <w:tcPr>
            <w:tcW w:w="3277" w:type="dxa"/>
          </w:tcPr>
          <w:p w14:paraId="228926A4" w14:textId="52128427" w:rsidR="00210854" w:rsidRPr="00D72E51" w:rsidRDefault="00680611" w:rsidP="00FE391E">
            <w:pPr>
              <w:rPr>
                <w:rFonts w:cstheme="minorHAnsi"/>
              </w:rPr>
            </w:pPr>
            <w:hyperlink r:id="rId23" w:history="1">
              <w:r w:rsidR="007010C7" w:rsidRPr="00B73CC0">
                <w:rPr>
                  <w:rStyle w:val="Hyperlink"/>
                  <w:rFonts w:cstheme="minorHAnsi"/>
                </w:rPr>
                <w:t>carla.gianfrancesco@nhs.net</w:t>
              </w:r>
            </w:hyperlink>
            <w:r w:rsidR="007010C7">
              <w:rPr>
                <w:rFonts w:cstheme="minorHAnsi"/>
              </w:rPr>
              <w:t xml:space="preserve"> </w:t>
            </w:r>
          </w:p>
        </w:tc>
      </w:tr>
      <w:tr w:rsidR="00210854" w:rsidRPr="00D72E51" w14:paraId="68FB8E32" w14:textId="77777777" w:rsidTr="00FE391E">
        <w:tc>
          <w:tcPr>
            <w:tcW w:w="1806" w:type="dxa"/>
          </w:tcPr>
          <w:p w14:paraId="3BA3ABF2" w14:textId="77777777" w:rsidR="00210854" w:rsidRPr="00D72E51" w:rsidRDefault="00210854" w:rsidP="00FE391E">
            <w:pPr>
              <w:rPr>
                <w:rFonts w:cstheme="minorHAnsi"/>
              </w:rPr>
            </w:pPr>
            <w:r w:rsidRPr="00D72E51">
              <w:rPr>
                <w:rFonts w:cstheme="minorHAnsi"/>
                <w:bCs/>
              </w:rPr>
              <w:t xml:space="preserve">Tim Good </w:t>
            </w:r>
          </w:p>
        </w:tc>
        <w:tc>
          <w:tcPr>
            <w:tcW w:w="3449" w:type="dxa"/>
          </w:tcPr>
          <w:p w14:paraId="11082BFA" w14:textId="77777777" w:rsidR="00210854" w:rsidRPr="00D72E51" w:rsidRDefault="00210854" w:rsidP="00FE391E">
            <w:pPr>
              <w:rPr>
                <w:rFonts w:cstheme="minorHAnsi"/>
              </w:rPr>
            </w:pPr>
            <w:r w:rsidRPr="00D72E51">
              <w:rPr>
                <w:rFonts w:cstheme="minorHAnsi"/>
                <w:bCs/>
              </w:rPr>
              <w:t xml:space="preserve">University of Sheffield </w:t>
            </w:r>
          </w:p>
        </w:tc>
        <w:tc>
          <w:tcPr>
            <w:tcW w:w="3277" w:type="dxa"/>
          </w:tcPr>
          <w:p w14:paraId="018BBDC3" w14:textId="6ED30074" w:rsidR="00210854" w:rsidRPr="00D72E51" w:rsidRDefault="00680611" w:rsidP="00FE391E">
            <w:pPr>
              <w:rPr>
                <w:rFonts w:cstheme="minorHAnsi"/>
              </w:rPr>
            </w:pPr>
            <w:hyperlink r:id="rId24" w:history="1">
              <w:r w:rsidR="007010C7" w:rsidRPr="00B73CC0">
                <w:rPr>
                  <w:rStyle w:val="Hyperlink"/>
                  <w:rFonts w:cstheme="minorHAnsi"/>
                </w:rPr>
                <w:t>tim.good@sheffield.ac.uk</w:t>
              </w:r>
            </w:hyperlink>
            <w:r w:rsidR="007010C7">
              <w:rPr>
                <w:rFonts w:cstheme="minorHAnsi"/>
              </w:rPr>
              <w:t xml:space="preserve"> </w:t>
            </w:r>
          </w:p>
        </w:tc>
      </w:tr>
      <w:tr w:rsidR="00210854" w:rsidRPr="00D72E51" w14:paraId="6BD22A0B" w14:textId="77777777" w:rsidTr="00FE391E">
        <w:tc>
          <w:tcPr>
            <w:tcW w:w="1806" w:type="dxa"/>
          </w:tcPr>
          <w:p w14:paraId="158B0263" w14:textId="77777777" w:rsidR="00210854" w:rsidRPr="00D72E51" w:rsidRDefault="00210854" w:rsidP="00FE391E">
            <w:pPr>
              <w:rPr>
                <w:rFonts w:cstheme="minorHAnsi"/>
              </w:rPr>
            </w:pPr>
            <w:r w:rsidRPr="00D72E51">
              <w:rPr>
                <w:rFonts w:cstheme="minorHAnsi"/>
                <w:bCs/>
              </w:rPr>
              <w:t xml:space="preserve">David Hopkins </w:t>
            </w:r>
          </w:p>
        </w:tc>
        <w:tc>
          <w:tcPr>
            <w:tcW w:w="3449" w:type="dxa"/>
          </w:tcPr>
          <w:p w14:paraId="10E75653" w14:textId="77777777" w:rsidR="00210854" w:rsidRPr="00D72E51" w:rsidRDefault="00210854" w:rsidP="00FE391E">
            <w:pPr>
              <w:rPr>
                <w:rFonts w:cstheme="minorHAnsi"/>
              </w:rPr>
            </w:pPr>
            <w:r w:rsidRPr="00D72E51">
              <w:rPr>
                <w:rFonts w:cstheme="minorHAnsi"/>
                <w:bCs/>
              </w:rPr>
              <w:t xml:space="preserve">King’s College Hospital </w:t>
            </w:r>
          </w:p>
        </w:tc>
        <w:tc>
          <w:tcPr>
            <w:tcW w:w="3277" w:type="dxa"/>
          </w:tcPr>
          <w:p w14:paraId="15E77723" w14:textId="7AD273DA" w:rsidR="00210854" w:rsidRPr="00D72E51" w:rsidRDefault="00680611" w:rsidP="00FE391E">
            <w:pPr>
              <w:rPr>
                <w:rFonts w:cstheme="minorHAnsi"/>
              </w:rPr>
            </w:pPr>
            <w:hyperlink r:id="rId25" w:history="1">
              <w:r w:rsidR="007010C7" w:rsidRPr="00B73CC0">
                <w:rPr>
                  <w:rStyle w:val="Hyperlink"/>
                  <w:rFonts w:cstheme="minorHAnsi"/>
                </w:rPr>
                <w:t>dhopkins3@nhs.net</w:t>
              </w:r>
            </w:hyperlink>
            <w:r w:rsidR="007010C7">
              <w:rPr>
                <w:rFonts w:cstheme="minorHAnsi"/>
              </w:rPr>
              <w:t xml:space="preserve"> </w:t>
            </w:r>
          </w:p>
        </w:tc>
      </w:tr>
      <w:tr w:rsidR="00210854" w:rsidRPr="00D72E51" w14:paraId="77597512" w14:textId="77777777" w:rsidTr="00FE391E">
        <w:tc>
          <w:tcPr>
            <w:tcW w:w="1806" w:type="dxa"/>
          </w:tcPr>
          <w:p w14:paraId="78A3C7E7" w14:textId="77777777" w:rsidR="00210854" w:rsidRPr="00D72E51" w:rsidRDefault="00210854" w:rsidP="00FE391E">
            <w:pPr>
              <w:rPr>
                <w:rFonts w:cstheme="minorHAnsi"/>
              </w:rPr>
            </w:pPr>
            <w:r>
              <w:rPr>
                <w:rFonts w:cs="Arial"/>
                <w:color w:val="222222"/>
                <w:shd w:val="clear" w:color="auto" w:fill="FFFFFF"/>
              </w:rPr>
              <w:t>Zheng Hui</w:t>
            </w:r>
          </w:p>
        </w:tc>
        <w:tc>
          <w:tcPr>
            <w:tcW w:w="3449" w:type="dxa"/>
          </w:tcPr>
          <w:p w14:paraId="3E38D5F0" w14:textId="77777777" w:rsidR="00210854" w:rsidRPr="00D72E51" w:rsidRDefault="00210854" w:rsidP="00FE391E">
            <w:pPr>
              <w:rPr>
                <w:rFonts w:cstheme="minorHAnsi"/>
              </w:rPr>
            </w:pPr>
            <w:r w:rsidRPr="00D72E51">
              <w:rPr>
                <w:rFonts w:cstheme="minorHAnsi"/>
              </w:rPr>
              <w:t>University of Sheffield</w:t>
            </w:r>
          </w:p>
        </w:tc>
        <w:tc>
          <w:tcPr>
            <w:tcW w:w="3277" w:type="dxa"/>
          </w:tcPr>
          <w:p w14:paraId="25743D1E" w14:textId="47D0C19A" w:rsidR="00210854" w:rsidRPr="00D72E51" w:rsidRDefault="00680611" w:rsidP="00FE391E">
            <w:pPr>
              <w:rPr>
                <w:rFonts w:cstheme="minorHAnsi"/>
              </w:rPr>
            </w:pPr>
            <w:hyperlink r:id="rId26" w:history="1">
              <w:r w:rsidR="007010C7" w:rsidRPr="00B73CC0">
                <w:rPr>
                  <w:rStyle w:val="Hyperlink"/>
                  <w:rFonts w:cstheme="minorHAnsi"/>
                </w:rPr>
                <w:t>zhui2@sheffield.ac.uk</w:t>
              </w:r>
            </w:hyperlink>
            <w:r w:rsidR="007010C7">
              <w:rPr>
                <w:rFonts w:cstheme="minorHAnsi"/>
              </w:rPr>
              <w:t xml:space="preserve"> </w:t>
            </w:r>
          </w:p>
        </w:tc>
      </w:tr>
      <w:tr w:rsidR="00210854" w:rsidRPr="00D72E51" w14:paraId="6FD28187" w14:textId="77777777" w:rsidTr="00FE391E">
        <w:tc>
          <w:tcPr>
            <w:tcW w:w="1806" w:type="dxa"/>
          </w:tcPr>
          <w:p w14:paraId="3DED3730" w14:textId="77777777" w:rsidR="00210854" w:rsidRPr="00D72E51" w:rsidRDefault="00210854" w:rsidP="00FE391E">
            <w:pPr>
              <w:rPr>
                <w:rFonts w:cstheme="minorHAnsi"/>
              </w:rPr>
            </w:pPr>
            <w:r w:rsidRPr="00D72E51">
              <w:rPr>
                <w:rFonts w:cstheme="minorHAnsi"/>
              </w:rPr>
              <w:t xml:space="preserve">Julia Lawton </w:t>
            </w:r>
          </w:p>
        </w:tc>
        <w:tc>
          <w:tcPr>
            <w:tcW w:w="3449" w:type="dxa"/>
          </w:tcPr>
          <w:p w14:paraId="506B0BD2" w14:textId="77777777" w:rsidR="00210854" w:rsidRPr="00D72E51" w:rsidRDefault="00210854" w:rsidP="00FE391E">
            <w:pPr>
              <w:rPr>
                <w:rFonts w:cstheme="minorHAnsi"/>
              </w:rPr>
            </w:pPr>
            <w:r w:rsidRPr="00D72E51">
              <w:rPr>
                <w:rFonts w:cstheme="minorHAnsi"/>
              </w:rPr>
              <w:t xml:space="preserve">University of Edinburgh </w:t>
            </w:r>
          </w:p>
        </w:tc>
        <w:tc>
          <w:tcPr>
            <w:tcW w:w="3277" w:type="dxa"/>
          </w:tcPr>
          <w:p w14:paraId="35B159E5" w14:textId="45BCE069" w:rsidR="00210854" w:rsidRPr="00D72E51" w:rsidRDefault="00680611" w:rsidP="00FE391E">
            <w:pPr>
              <w:rPr>
                <w:rFonts w:cstheme="minorHAnsi"/>
              </w:rPr>
            </w:pPr>
            <w:hyperlink r:id="rId27" w:history="1">
              <w:r w:rsidR="007010C7" w:rsidRPr="00B73CC0">
                <w:rPr>
                  <w:rStyle w:val="Hyperlink"/>
                  <w:rFonts w:cstheme="minorHAnsi"/>
                </w:rPr>
                <w:t>j.lawton@ed.ac.uk</w:t>
              </w:r>
            </w:hyperlink>
            <w:r w:rsidR="007010C7">
              <w:rPr>
                <w:rFonts w:cstheme="minorHAnsi"/>
              </w:rPr>
              <w:t xml:space="preserve"> </w:t>
            </w:r>
          </w:p>
        </w:tc>
      </w:tr>
      <w:tr w:rsidR="00210854" w:rsidRPr="00D72E51" w14:paraId="42D29443" w14:textId="77777777" w:rsidTr="00FE391E">
        <w:tc>
          <w:tcPr>
            <w:tcW w:w="1806" w:type="dxa"/>
          </w:tcPr>
          <w:p w14:paraId="79C001FD" w14:textId="2A6E840D" w:rsidR="00210854" w:rsidRPr="00D72E51" w:rsidRDefault="00210854" w:rsidP="00FE391E">
            <w:pPr>
              <w:rPr>
                <w:rFonts w:cstheme="minorHAnsi"/>
              </w:rPr>
            </w:pPr>
            <w:r w:rsidRPr="00D72E51">
              <w:rPr>
                <w:rFonts w:cstheme="minorHAnsi"/>
                <w:bCs/>
                <w:lang w:val="it-IT"/>
              </w:rPr>
              <w:t>Fabi</w:t>
            </w:r>
            <w:r w:rsidR="00303813">
              <w:rPr>
                <w:rFonts w:cstheme="minorHAnsi"/>
                <w:bCs/>
                <w:lang w:val="it-IT"/>
              </w:rPr>
              <w:t>ana</w:t>
            </w:r>
            <w:r w:rsidRPr="00D72E51">
              <w:rPr>
                <w:rFonts w:cstheme="minorHAnsi"/>
                <w:bCs/>
                <w:lang w:val="it-IT"/>
              </w:rPr>
              <w:t xml:space="preserve"> Lorencatto</w:t>
            </w:r>
          </w:p>
        </w:tc>
        <w:tc>
          <w:tcPr>
            <w:tcW w:w="3449" w:type="dxa"/>
          </w:tcPr>
          <w:p w14:paraId="5619411E" w14:textId="77777777" w:rsidR="00210854" w:rsidRPr="00D72E51" w:rsidRDefault="00210854" w:rsidP="00FE391E">
            <w:pPr>
              <w:rPr>
                <w:rFonts w:cstheme="minorHAnsi"/>
              </w:rPr>
            </w:pPr>
            <w:r w:rsidRPr="00D72E51">
              <w:rPr>
                <w:rFonts w:cstheme="minorHAnsi"/>
                <w:bCs/>
                <w:lang w:val="it-IT"/>
              </w:rPr>
              <w:t>University College London</w:t>
            </w:r>
          </w:p>
        </w:tc>
        <w:tc>
          <w:tcPr>
            <w:tcW w:w="3277" w:type="dxa"/>
          </w:tcPr>
          <w:p w14:paraId="21E3FFA1" w14:textId="47226F4E" w:rsidR="00210854" w:rsidRPr="00D72E51" w:rsidRDefault="00680611" w:rsidP="00FE391E">
            <w:pPr>
              <w:rPr>
                <w:rFonts w:cstheme="minorHAnsi"/>
              </w:rPr>
            </w:pPr>
            <w:hyperlink r:id="rId28" w:history="1">
              <w:r w:rsidR="007010C7" w:rsidRPr="00B73CC0">
                <w:rPr>
                  <w:rStyle w:val="Hyperlink"/>
                  <w:rFonts w:cstheme="minorHAnsi"/>
                </w:rPr>
                <w:t>f.lorencatto@ucl.ac.uk</w:t>
              </w:r>
            </w:hyperlink>
            <w:r w:rsidR="007010C7">
              <w:rPr>
                <w:rFonts w:cstheme="minorHAnsi"/>
              </w:rPr>
              <w:t xml:space="preserve"> </w:t>
            </w:r>
          </w:p>
        </w:tc>
      </w:tr>
      <w:tr w:rsidR="00210854" w:rsidRPr="00D72E51" w14:paraId="7E0DC0A0" w14:textId="77777777" w:rsidTr="00FE391E">
        <w:tc>
          <w:tcPr>
            <w:tcW w:w="1806" w:type="dxa"/>
          </w:tcPr>
          <w:p w14:paraId="238EA0D7" w14:textId="77777777" w:rsidR="00210854" w:rsidRPr="00D72E51" w:rsidRDefault="00210854" w:rsidP="00FE391E">
            <w:pPr>
              <w:rPr>
                <w:rFonts w:cstheme="minorHAnsi"/>
              </w:rPr>
            </w:pPr>
            <w:r w:rsidRPr="00D72E51">
              <w:rPr>
                <w:rFonts w:cstheme="minorHAnsi"/>
                <w:bCs/>
              </w:rPr>
              <w:t xml:space="preserve">Susan Michie </w:t>
            </w:r>
          </w:p>
        </w:tc>
        <w:tc>
          <w:tcPr>
            <w:tcW w:w="3449" w:type="dxa"/>
          </w:tcPr>
          <w:p w14:paraId="31BD0B0F" w14:textId="77777777" w:rsidR="00210854" w:rsidRPr="00D72E51" w:rsidRDefault="00210854" w:rsidP="00FE391E">
            <w:pPr>
              <w:rPr>
                <w:rFonts w:cstheme="minorHAnsi"/>
              </w:rPr>
            </w:pPr>
            <w:r w:rsidRPr="00D72E51">
              <w:rPr>
                <w:rFonts w:cstheme="minorHAnsi"/>
                <w:bCs/>
              </w:rPr>
              <w:t>University College London</w:t>
            </w:r>
          </w:p>
        </w:tc>
        <w:tc>
          <w:tcPr>
            <w:tcW w:w="3277" w:type="dxa"/>
          </w:tcPr>
          <w:p w14:paraId="3C5E05B5" w14:textId="22D68ED7" w:rsidR="00210854" w:rsidRPr="00D72E51" w:rsidRDefault="00680611" w:rsidP="00FE391E">
            <w:pPr>
              <w:rPr>
                <w:rFonts w:cstheme="minorHAnsi"/>
              </w:rPr>
            </w:pPr>
            <w:hyperlink r:id="rId29" w:history="1">
              <w:r w:rsidR="007010C7" w:rsidRPr="00B73CC0">
                <w:rPr>
                  <w:rStyle w:val="Hyperlink"/>
                  <w:rFonts w:cstheme="minorHAnsi"/>
                </w:rPr>
                <w:t>s.michie@ucl.ac.uk</w:t>
              </w:r>
            </w:hyperlink>
            <w:r w:rsidR="007010C7">
              <w:rPr>
                <w:rFonts w:cstheme="minorHAnsi"/>
              </w:rPr>
              <w:t xml:space="preserve"> </w:t>
            </w:r>
          </w:p>
        </w:tc>
      </w:tr>
      <w:tr w:rsidR="00210854" w:rsidRPr="00D72E51" w14:paraId="71D34279" w14:textId="77777777" w:rsidTr="00FE391E">
        <w:tc>
          <w:tcPr>
            <w:tcW w:w="1806" w:type="dxa"/>
          </w:tcPr>
          <w:p w14:paraId="70A3AC17" w14:textId="3FD646C3" w:rsidR="00210854" w:rsidRPr="00D72E51" w:rsidRDefault="00210854" w:rsidP="00FE391E">
            <w:pPr>
              <w:rPr>
                <w:rFonts w:cstheme="minorHAnsi"/>
              </w:rPr>
            </w:pPr>
            <w:r w:rsidRPr="00D72E51">
              <w:rPr>
                <w:rFonts w:cstheme="minorHAnsi"/>
              </w:rPr>
              <w:t>Dan</w:t>
            </w:r>
            <w:r>
              <w:rPr>
                <w:rFonts w:cstheme="minorHAnsi"/>
              </w:rPr>
              <w:t>iel</w:t>
            </w:r>
            <w:r w:rsidRPr="00D72E51">
              <w:rPr>
                <w:rFonts w:cstheme="minorHAnsi"/>
              </w:rPr>
              <w:t xml:space="preserve"> </w:t>
            </w:r>
            <w:r w:rsidR="00303813">
              <w:rPr>
                <w:rFonts w:cstheme="minorHAnsi"/>
              </w:rPr>
              <w:t>J</w:t>
            </w:r>
            <w:r w:rsidR="006F6BAC">
              <w:rPr>
                <w:rFonts w:cstheme="minorHAnsi"/>
              </w:rPr>
              <w:t>ohn</w:t>
            </w:r>
            <w:r w:rsidR="00303813">
              <w:rPr>
                <w:rFonts w:cstheme="minorHAnsi"/>
              </w:rPr>
              <w:t xml:space="preserve"> </w:t>
            </w:r>
            <w:r w:rsidRPr="00D72E51">
              <w:rPr>
                <w:rFonts w:cstheme="minorHAnsi"/>
              </w:rPr>
              <w:t xml:space="preserve">Pollard </w:t>
            </w:r>
          </w:p>
        </w:tc>
        <w:tc>
          <w:tcPr>
            <w:tcW w:w="3449" w:type="dxa"/>
          </w:tcPr>
          <w:p w14:paraId="520DD2D5" w14:textId="77777777" w:rsidR="00210854" w:rsidRPr="00D72E51" w:rsidRDefault="00210854" w:rsidP="00FE391E">
            <w:pPr>
              <w:rPr>
                <w:rFonts w:cstheme="minorHAnsi"/>
              </w:rPr>
            </w:pPr>
            <w:r w:rsidRPr="00D72E51">
              <w:rPr>
                <w:rFonts w:cstheme="minorHAnsi"/>
              </w:rPr>
              <w:t xml:space="preserve">University of Sheffield </w:t>
            </w:r>
          </w:p>
        </w:tc>
        <w:tc>
          <w:tcPr>
            <w:tcW w:w="3277" w:type="dxa"/>
          </w:tcPr>
          <w:p w14:paraId="775E258B" w14:textId="5D29E093" w:rsidR="00210854" w:rsidRPr="00D72E51" w:rsidRDefault="00680611" w:rsidP="00FE391E">
            <w:pPr>
              <w:rPr>
                <w:rFonts w:cstheme="minorHAnsi"/>
              </w:rPr>
            </w:pPr>
            <w:hyperlink r:id="rId30" w:history="1">
              <w:r w:rsidR="007010C7" w:rsidRPr="00B73CC0">
                <w:rPr>
                  <w:rStyle w:val="Hyperlink"/>
                  <w:rFonts w:cstheme="minorHAnsi"/>
                </w:rPr>
                <w:t>d.j.pollard@sheffield.ac.uk</w:t>
              </w:r>
            </w:hyperlink>
            <w:r w:rsidR="007010C7">
              <w:rPr>
                <w:rFonts w:cstheme="minorHAnsi"/>
              </w:rPr>
              <w:t xml:space="preserve"> </w:t>
            </w:r>
          </w:p>
        </w:tc>
      </w:tr>
      <w:tr w:rsidR="00DF61E3" w:rsidRPr="00D72E51" w14:paraId="09F591DD" w14:textId="77777777" w:rsidTr="00FE391E">
        <w:tc>
          <w:tcPr>
            <w:tcW w:w="1806" w:type="dxa"/>
          </w:tcPr>
          <w:p w14:paraId="0CEC5203" w14:textId="50014592" w:rsidR="00DF61E3" w:rsidRPr="00D72E51" w:rsidRDefault="00DF61E3" w:rsidP="00FE391E">
            <w:pPr>
              <w:rPr>
                <w:rFonts w:cstheme="minorHAnsi"/>
              </w:rPr>
            </w:pPr>
            <w:r>
              <w:rPr>
                <w:rFonts w:cstheme="minorHAnsi"/>
              </w:rPr>
              <w:t>David Rankin</w:t>
            </w:r>
          </w:p>
        </w:tc>
        <w:tc>
          <w:tcPr>
            <w:tcW w:w="3449" w:type="dxa"/>
          </w:tcPr>
          <w:p w14:paraId="6112E83F" w14:textId="11805D44" w:rsidR="00DF61E3" w:rsidRPr="00D72E51" w:rsidRDefault="00DF61E3" w:rsidP="00FE391E">
            <w:pPr>
              <w:rPr>
                <w:rFonts w:cstheme="minorHAnsi"/>
              </w:rPr>
            </w:pPr>
            <w:r>
              <w:rPr>
                <w:rFonts w:cstheme="minorHAnsi"/>
              </w:rPr>
              <w:t>University of Edinburgh</w:t>
            </w:r>
          </w:p>
        </w:tc>
        <w:tc>
          <w:tcPr>
            <w:tcW w:w="3277" w:type="dxa"/>
          </w:tcPr>
          <w:p w14:paraId="2D64AAB4" w14:textId="2B772313" w:rsidR="00DF61E3" w:rsidRDefault="00680611" w:rsidP="00FE391E">
            <w:hyperlink r:id="rId31" w:history="1">
              <w:r w:rsidR="00DF61E3" w:rsidRPr="00EA356C">
                <w:rPr>
                  <w:rStyle w:val="Hyperlink"/>
                </w:rPr>
                <w:t>a.d.rankin@ed.ac.uk</w:t>
              </w:r>
            </w:hyperlink>
            <w:r w:rsidR="00DF61E3">
              <w:t xml:space="preserve"> </w:t>
            </w:r>
          </w:p>
        </w:tc>
      </w:tr>
      <w:tr w:rsidR="00210854" w:rsidRPr="00D72E51" w14:paraId="37FD77DC" w14:textId="77777777" w:rsidTr="00FE391E">
        <w:tc>
          <w:tcPr>
            <w:tcW w:w="1806" w:type="dxa"/>
          </w:tcPr>
          <w:p w14:paraId="50AA1B42" w14:textId="77777777" w:rsidR="00210854" w:rsidRPr="00D72E51" w:rsidRDefault="00210854" w:rsidP="00FE391E">
            <w:pPr>
              <w:rPr>
                <w:rFonts w:cstheme="minorHAnsi"/>
              </w:rPr>
            </w:pPr>
            <w:r w:rsidRPr="00D72E51">
              <w:rPr>
                <w:rFonts w:cstheme="minorHAnsi"/>
              </w:rPr>
              <w:t xml:space="preserve">Jose Schutter </w:t>
            </w:r>
          </w:p>
        </w:tc>
        <w:tc>
          <w:tcPr>
            <w:tcW w:w="3449" w:type="dxa"/>
          </w:tcPr>
          <w:p w14:paraId="28E4A432" w14:textId="77777777" w:rsidR="00210854" w:rsidRPr="00D72E51" w:rsidRDefault="00210854" w:rsidP="00FE391E">
            <w:pPr>
              <w:rPr>
                <w:rFonts w:cstheme="minorHAnsi"/>
              </w:rPr>
            </w:pPr>
            <w:r w:rsidRPr="00D72E51">
              <w:rPr>
                <w:rFonts w:cstheme="minorHAnsi"/>
              </w:rPr>
              <w:t xml:space="preserve">University of Sheffield </w:t>
            </w:r>
          </w:p>
        </w:tc>
        <w:tc>
          <w:tcPr>
            <w:tcW w:w="3277" w:type="dxa"/>
          </w:tcPr>
          <w:p w14:paraId="667BD73F" w14:textId="14FBCED8" w:rsidR="00210854" w:rsidRPr="00D72E51" w:rsidRDefault="00680611" w:rsidP="00FE391E">
            <w:pPr>
              <w:rPr>
                <w:rFonts w:cstheme="minorHAnsi"/>
                <w:lang w:val="it-IT"/>
              </w:rPr>
            </w:pPr>
            <w:hyperlink r:id="rId32" w:history="1">
              <w:r w:rsidR="007010C7" w:rsidRPr="00B73CC0">
                <w:rPr>
                  <w:rStyle w:val="Hyperlink"/>
                  <w:rFonts w:cstheme="minorHAnsi"/>
                  <w:lang w:val="it-IT"/>
                </w:rPr>
                <w:t>j.schutter@sheffield.ac.uk</w:t>
              </w:r>
            </w:hyperlink>
            <w:r w:rsidR="007010C7">
              <w:rPr>
                <w:rFonts w:cstheme="minorHAnsi"/>
                <w:lang w:val="it-IT"/>
              </w:rPr>
              <w:t xml:space="preserve"> </w:t>
            </w:r>
          </w:p>
        </w:tc>
      </w:tr>
      <w:tr w:rsidR="00210854" w:rsidRPr="00D72E51" w14:paraId="126DC8D9" w14:textId="77777777" w:rsidTr="00FE391E">
        <w:tc>
          <w:tcPr>
            <w:tcW w:w="1806" w:type="dxa"/>
          </w:tcPr>
          <w:p w14:paraId="11EC02F3" w14:textId="77777777" w:rsidR="00210854" w:rsidRPr="00D72E51" w:rsidRDefault="00210854" w:rsidP="00FE391E">
            <w:pPr>
              <w:rPr>
                <w:rFonts w:cstheme="minorHAnsi"/>
              </w:rPr>
            </w:pPr>
            <w:r w:rsidRPr="00D72E51">
              <w:rPr>
                <w:rFonts w:cstheme="minorHAnsi"/>
              </w:rPr>
              <w:t>Elaine Scott</w:t>
            </w:r>
          </w:p>
        </w:tc>
        <w:tc>
          <w:tcPr>
            <w:tcW w:w="3449" w:type="dxa"/>
          </w:tcPr>
          <w:p w14:paraId="2639D775" w14:textId="77777777" w:rsidR="00210854" w:rsidRPr="00D72E51" w:rsidRDefault="00210854" w:rsidP="00FE391E">
            <w:pPr>
              <w:rPr>
                <w:rFonts w:cstheme="minorHAnsi"/>
              </w:rPr>
            </w:pPr>
            <w:r w:rsidRPr="00D72E51">
              <w:rPr>
                <w:rFonts w:cstheme="minorHAnsi"/>
              </w:rPr>
              <w:t xml:space="preserve">University of Sheffield </w:t>
            </w:r>
          </w:p>
        </w:tc>
        <w:tc>
          <w:tcPr>
            <w:tcW w:w="3277" w:type="dxa"/>
          </w:tcPr>
          <w:p w14:paraId="140B594E" w14:textId="335CD331" w:rsidR="00210854" w:rsidRPr="00D72E51" w:rsidRDefault="00680611" w:rsidP="00FE391E">
            <w:pPr>
              <w:rPr>
                <w:rFonts w:cstheme="minorHAnsi"/>
              </w:rPr>
            </w:pPr>
            <w:hyperlink r:id="rId33" w:history="1">
              <w:r w:rsidR="007010C7" w:rsidRPr="00B73CC0">
                <w:rPr>
                  <w:rStyle w:val="Hyperlink"/>
                  <w:rFonts w:cstheme="minorHAnsi"/>
                </w:rPr>
                <w:t>elaine.scott@sheffield.ac.uk</w:t>
              </w:r>
            </w:hyperlink>
            <w:r w:rsidR="007010C7">
              <w:rPr>
                <w:rFonts w:cstheme="minorHAnsi"/>
              </w:rPr>
              <w:t xml:space="preserve"> </w:t>
            </w:r>
          </w:p>
        </w:tc>
      </w:tr>
      <w:tr w:rsidR="00210854" w:rsidRPr="00D72E51" w14:paraId="5DB7E9A0" w14:textId="77777777" w:rsidTr="00FE391E">
        <w:tc>
          <w:tcPr>
            <w:tcW w:w="1806" w:type="dxa"/>
          </w:tcPr>
          <w:p w14:paraId="18BEF990" w14:textId="77777777" w:rsidR="00210854" w:rsidRPr="00D72E51" w:rsidRDefault="00210854" w:rsidP="00FE391E">
            <w:pPr>
              <w:rPr>
                <w:rFonts w:cstheme="minorHAnsi"/>
              </w:rPr>
            </w:pPr>
            <w:r w:rsidRPr="00D72E51">
              <w:rPr>
                <w:rFonts w:cstheme="minorHAnsi"/>
              </w:rPr>
              <w:t>Jane Speight</w:t>
            </w:r>
          </w:p>
        </w:tc>
        <w:tc>
          <w:tcPr>
            <w:tcW w:w="3449" w:type="dxa"/>
          </w:tcPr>
          <w:p w14:paraId="7178BCC9" w14:textId="77777777" w:rsidR="00210854" w:rsidRPr="00D72E51" w:rsidRDefault="00210854" w:rsidP="00FE391E">
            <w:pPr>
              <w:rPr>
                <w:rFonts w:cstheme="minorHAnsi"/>
              </w:rPr>
            </w:pPr>
            <w:r w:rsidRPr="00D72E51">
              <w:rPr>
                <w:rFonts w:cstheme="minorHAnsi"/>
              </w:rPr>
              <w:t>The Australian Centre for B</w:t>
            </w:r>
            <w:r>
              <w:rPr>
                <w:rFonts w:cstheme="minorHAnsi"/>
              </w:rPr>
              <w:t>ehavioural Research in Diabetes: Deakin University &amp; Diabetes Victoria</w:t>
            </w:r>
          </w:p>
        </w:tc>
        <w:tc>
          <w:tcPr>
            <w:tcW w:w="3277" w:type="dxa"/>
          </w:tcPr>
          <w:p w14:paraId="3FEF630E" w14:textId="1BEB857A" w:rsidR="00210854" w:rsidRPr="00D72E51" w:rsidRDefault="00680611" w:rsidP="00FE391E">
            <w:pPr>
              <w:rPr>
                <w:rFonts w:cstheme="minorHAnsi"/>
              </w:rPr>
            </w:pPr>
            <w:hyperlink r:id="rId34" w:history="1">
              <w:r w:rsidR="007010C7" w:rsidRPr="00B73CC0">
                <w:rPr>
                  <w:rStyle w:val="Hyperlink"/>
                  <w:rFonts w:cstheme="minorHAnsi"/>
                </w:rPr>
                <w:t>jspeight@acbrd.org.au</w:t>
              </w:r>
            </w:hyperlink>
            <w:r w:rsidR="007010C7">
              <w:rPr>
                <w:rFonts w:cstheme="minorHAnsi"/>
              </w:rPr>
              <w:t xml:space="preserve"> </w:t>
            </w:r>
          </w:p>
        </w:tc>
      </w:tr>
      <w:tr w:rsidR="00210854" w:rsidRPr="00D72E51" w14:paraId="74382694" w14:textId="77777777" w:rsidTr="00FE391E">
        <w:tc>
          <w:tcPr>
            <w:tcW w:w="1806" w:type="dxa"/>
          </w:tcPr>
          <w:p w14:paraId="738A7B49" w14:textId="77777777" w:rsidR="00210854" w:rsidRPr="00D72E51" w:rsidRDefault="00210854" w:rsidP="00FE391E">
            <w:pPr>
              <w:rPr>
                <w:rFonts w:cstheme="minorHAnsi"/>
              </w:rPr>
            </w:pPr>
            <w:r w:rsidRPr="00D72E51">
              <w:rPr>
                <w:rFonts w:cstheme="minorHAnsi"/>
              </w:rPr>
              <w:t>Stephanie Stanton-Fay</w:t>
            </w:r>
          </w:p>
        </w:tc>
        <w:tc>
          <w:tcPr>
            <w:tcW w:w="3449" w:type="dxa"/>
          </w:tcPr>
          <w:p w14:paraId="22A88965" w14:textId="77777777" w:rsidR="00210854" w:rsidRPr="00D72E51" w:rsidRDefault="00210854" w:rsidP="00FE391E">
            <w:pPr>
              <w:rPr>
                <w:rFonts w:cstheme="minorHAnsi"/>
              </w:rPr>
            </w:pPr>
            <w:r w:rsidRPr="00D72E51">
              <w:rPr>
                <w:rFonts w:cstheme="minorHAnsi"/>
              </w:rPr>
              <w:t>University College London</w:t>
            </w:r>
          </w:p>
        </w:tc>
        <w:tc>
          <w:tcPr>
            <w:tcW w:w="3277" w:type="dxa"/>
          </w:tcPr>
          <w:p w14:paraId="36ABB47E" w14:textId="61C6F762" w:rsidR="00210854" w:rsidRPr="00D72E51" w:rsidRDefault="00680611" w:rsidP="00FE391E">
            <w:pPr>
              <w:rPr>
                <w:rFonts w:cstheme="minorHAnsi"/>
                <w:bCs/>
              </w:rPr>
            </w:pPr>
            <w:hyperlink r:id="rId35" w:history="1">
              <w:r w:rsidR="007010C7" w:rsidRPr="00B73CC0">
                <w:rPr>
                  <w:rStyle w:val="Hyperlink"/>
                  <w:rFonts w:cstheme="minorHAnsi"/>
                  <w:bCs/>
                </w:rPr>
                <w:t>stephanie.stanton-fay@ucl.ac.uk</w:t>
              </w:r>
            </w:hyperlink>
            <w:r w:rsidR="007010C7">
              <w:rPr>
                <w:rFonts w:cstheme="minorHAnsi"/>
                <w:bCs/>
              </w:rPr>
              <w:t xml:space="preserve"> </w:t>
            </w:r>
          </w:p>
        </w:tc>
      </w:tr>
      <w:tr w:rsidR="00210854" w:rsidRPr="00D72E51" w14:paraId="67B2F014" w14:textId="77777777" w:rsidTr="00FE391E">
        <w:tc>
          <w:tcPr>
            <w:tcW w:w="1806" w:type="dxa"/>
          </w:tcPr>
          <w:p w14:paraId="292CEFAE" w14:textId="77777777" w:rsidR="00210854" w:rsidRPr="00D72E51" w:rsidRDefault="00210854" w:rsidP="00FE391E">
            <w:pPr>
              <w:rPr>
                <w:rFonts w:cstheme="minorHAnsi"/>
              </w:rPr>
            </w:pPr>
            <w:r w:rsidRPr="00D72E51">
              <w:rPr>
                <w:rFonts w:cstheme="minorHAnsi"/>
                <w:bCs/>
              </w:rPr>
              <w:t>Carolin Taylor</w:t>
            </w:r>
          </w:p>
        </w:tc>
        <w:tc>
          <w:tcPr>
            <w:tcW w:w="3449" w:type="dxa"/>
          </w:tcPr>
          <w:p w14:paraId="3BF3C00D" w14:textId="77777777" w:rsidR="00210854" w:rsidRPr="00D72E51" w:rsidRDefault="00210854" w:rsidP="00FE391E">
            <w:pPr>
              <w:rPr>
                <w:rFonts w:cstheme="minorHAnsi"/>
              </w:rPr>
            </w:pPr>
            <w:r w:rsidRPr="00D72E51">
              <w:rPr>
                <w:rFonts w:cstheme="minorHAnsi"/>
                <w:bCs/>
              </w:rPr>
              <w:t>Sheffield Teaching Hospital</w:t>
            </w:r>
            <w:r>
              <w:rPr>
                <w:rFonts w:cstheme="minorHAnsi"/>
                <w:bCs/>
              </w:rPr>
              <w:t>s NHS Foundation Trust</w:t>
            </w:r>
          </w:p>
        </w:tc>
        <w:tc>
          <w:tcPr>
            <w:tcW w:w="3277" w:type="dxa"/>
          </w:tcPr>
          <w:p w14:paraId="111B8466" w14:textId="22E2A9E6" w:rsidR="00210854" w:rsidRPr="00D72E51" w:rsidRDefault="00680611" w:rsidP="00FE391E">
            <w:pPr>
              <w:rPr>
                <w:rFonts w:cstheme="minorHAnsi"/>
              </w:rPr>
            </w:pPr>
            <w:hyperlink r:id="rId36" w:history="1">
              <w:r w:rsidR="007010C7" w:rsidRPr="00B73CC0">
                <w:rPr>
                  <w:rStyle w:val="Hyperlink"/>
                  <w:rFonts w:cstheme="minorHAnsi"/>
                </w:rPr>
                <w:t>carolin.taylor@nhs.net</w:t>
              </w:r>
            </w:hyperlink>
            <w:r w:rsidR="007010C7">
              <w:rPr>
                <w:rFonts w:cstheme="minorHAnsi"/>
              </w:rPr>
              <w:t xml:space="preserve"> </w:t>
            </w:r>
          </w:p>
        </w:tc>
      </w:tr>
      <w:tr w:rsidR="00210854" w:rsidRPr="00D72E51" w14:paraId="356C5984" w14:textId="77777777" w:rsidTr="00FE391E">
        <w:tc>
          <w:tcPr>
            <w:tcW w:w="1806" w:type="dxa"/>
          </w:tcPr>
          <w:p w14:paraId="56B123DA" w14:textId="77777777" w:rsidR="00210854" w:rsidRPr="00D72E51" w:rsidRDefault="00210854" w:rsidP="00FE391E">
            <w:pPr>
              <w:rPr>
                <w:rFonts w:cstheme="minorHAnsi"/>
                <w:bCs/>
              </w:rPr>
            </w:pPr>
            <w:r w:rsidRPr="00D72E51">
              <w:rPr>
                <w:rFonts w:cstheme="minorHAnsi"/>
                <w:bCs/>
              </w:rPr>
              <w:t xml:space="preserve">Gillian Thompson </w:t>
            </w:r>
          </w:p>
        </w:tc>
        <w:tc>
          <w:tcPr>
            <w:tcW w:w="3449" w:type="dxa"/>
          </w:tcPr>
          <w:p w14:paraId="64B9544F" w14:textId="77777777" w:rsidR="00210854" w:rsidRPr="00D72E51" w:rsidRDefault="00210854" w:rsidP="00FE391E">
            <w:pPr>
              <w:rPr>
                <w:rFonts w:cstheme="minorHAnsi"/>
                <w:bCs/>
              </w:rPr>
            </w:pPr>
            <w:r w:rsidRPr="00D72E51">
              <w:rPr>
                <w:rFonts w:cstheme="minorHAnsi"/>
                <w:bCs/>
              </w:rPr>
              <w:t>Northumbria Healthcare NHS</w:t>
            </w:r>
          </w:p>
        </w:tc>
        <w:tc>
          <w:tcPr>
            <w:tcW w:w="3277" w:type="dxa"/>
          </w:tcPr>
          <w:p w14:paraId="34E44D0A" w14:textId="7692D13C" w:rsidR="00210854" w:rsidRPr="00D72E51" w:rsidRDefault="00680611" w:rsidP="00FE391E">
            <w:pPr>
              <w:rPr>
                <w:rFonts w:cstheme="minorHAnsi"/>
              </w:rPr>
            </w:pPr>
            <w:hyperlink r:id="rId37" w:history="1">
              <w:r w:rsidR="007010C7" w:rsidRPr="00B73CC0">
                <w:rPr>
                  <w:rStyle w:val="Hyperlink"/>
                  <w:rFonts w:cstheme="minorHAnsi"/>
                </w:rPr>
                <w:t>gillian.thompson@northumbria-healthcare.nhs.uk</w:t>
              </w:r>
            </w:hyperlink>
            <w:r w:rsidR="007010C7">
              <w:rPr>
                <w:rFonts w:cstheme="minorHAnsi"/>
              </w:rPr>
              <w:t xml:space="preserve"> </w:t>
            </w:r>
          </w:p>
        </w:tc>
      </w:tr>
      <w:tr w:rsidR="00210854" w:rsidRPr="00775445" w14:paraId="25A1672C" w14:textId="77777777" w:rsidTr="00FE391E">
        <w:tc>
          <w:tcPr>
            <w:tcW w:w="1806" w:type="dxa"/>
          </w:tcPr>
          <w:p w14:paraId="18B2F17A" w14:textId="77777777" w:rsidR="00210854" w:rsidRPr="00775445" w:rsidRDefault="00210854" w:rsidP="00FE391E">
            <w:pPr>
              <w:rPr>
                <w:rFonts w:cstheme="minorHAnsi"/>
              </w:rPr>
            </w:pPr>
            <w:r w:rsidRPr="00D72E51">
              <w:rPr>
                <w:rFonts w:cstheme="minorHAnsi"/>
              </w:rPr>
              <w:lastRenderedPageBreak/>
              <w:t>Nikki Totton</w:t>
            </w:r>
          </w:p>
        </w:tc>
        <w:tc>
          <w:tcPr>
            <w:tcW w:w="3449" w:type="dxa"/>
          </w:tcPr>
          <w:p w14:paraId="23E6849A" w14:textId="77777777" w:rsidR="00210854" w:rsidRPr="00775445" w:rsidRDefault="00210854" w:rsidP="00FE391E">
            <w:pPr>
              <w:rPr>
                <w:rFonts w:cstheme="minorHAnsi"/>
              </w:rPr>
            </w:pPr>
            <w:r w:rsidRPr="00D72E51">
              <w:rPr>
                <w:rFonts w:cstheme="minorHAnsi"/>
              </w:rPr>
              <w:t xml:space="preserve">University of Sheffield </w:t>
            </w:r>
          </w:p>
        </w:tc>
        <w:tc>
          <w:tcPr>
            <w:tcW w:w="3277" w:type="dxa"/>
          </w:tcPr>
          <w:p w14:paraId="5D79D306" w14:textId="36077542" w:rsidR="00210854" w:rsidRDefault="00680611" w:rsidP="00FE391E">
            <w:pPr>
              <w:rPr>
                <w:rFonts w:cstheme="minorHAnsi"/>
                <w:bCs/>
              </w:rPr>
            </w:pPr>
            <w:hyperlink r:id="rId38" w:history="1">
              <w:r w:rsidR="007010C7" w:rsidRPr="00B73CC0">
                <w:rPr>
                  <w:rStyle w:val="Hyperlink"/>
                  <w:rFonts w:cstheme="minorHAnsi"/>
                  <w:bCs/>
                </w:rPr>
                <w:t>n.v.totton@sheffield.ac.uk</w:t>
              </w:r>
            </w:hyperlink>
            <w:r w:rsidR="007010C7">
              <w:rPr>
                <w:rFonts w:cstheme="minorHAnsi"/>
                <w:bCs/>
              </w:rPr>
              <w:t xml:space="preserve"> </w:t>
            </w:r>
          </w:p>
        </w:tc>
      </w:tr>
      <w:tr w:rsidR="00210854" w:rsidRPr="00C56E82" w14:paraId="31EE1B85" w14:textId="77777777" w:rsidTr="00FE391E">
        <w:tc>
          <w:tcPr>
            <w:tcW w:w="1806" w:type="dxa"/>
          </w:tcPr>
          <w:p w14:paraId="3BFFBC3B" w14:textId="77777777" w:rsidR="00210854" w:rsidRPr="00C56E82" w:rsidRDefault="00210854" w:rsidP="00FE391E">
            <w:pPr>
              <w:rPr>
                <w:rFonts w:cstheme="minorHAnsi"/>
                <w:bCs/>
              </w:rPr>
            </w:pPr>
            <w:r w:rsidRPr="00DA494E">
              <w:rPr>
                <w:rFonts w:cstheme="minorHAnsi"/>
                <w:bCs/>
              </w:rPr>
              <w:t>Lucy Yardley</w:t>
            </w:r>
          </w:p>
        </w:tc>
        <w:tc>
          <w:tcPr>
            <w:tcW w:w="3449" w:type="dxa"/>
          </w:tcPr>
          <w:p w14:paraId="5CE4F494" w14:textId="77777777" w:rsidR="00210854" w:rsidRPr="00C56E82" w:rsidRDefault="00210854" w:rsidP="00FE391E">
            <w:pPr>
              <w:rPr>
                <w:rFonts w:cstheme="minorHAnsi"/>
                <w:bCs/>
              </w:rPr>
            </w:pPr>
            <w:r w:rsidRPr="00DA494E">
              <w:rPr>
                <w:rFonts w:cstheme="minorHAnsi"/>
              </w:rPr>
              <w:t>University of Southampton</w:t>
            </w:r>
          </w:p>
        </w:tc>
        <w:tc>
          <w:tcPr>
            <w:tcW w:w="3277" w:type="dxa"/>
          </w:tcPr>
          <w:p w14:paraId="5687C71A" w14:textId="63756468" w:rsidR="00210854" w:rsidRPr="00D72E51" w:rsidRDefault="00680611" w:rsidP="00FE391E">
            <w:pPr>
              <w:rPr>
                <w:rFonts w:cstheme="minorHAnsi"/>
                <w:bCs/>
                <w:lang w:val="it-IT"/>
              </w:rPr>
            </w:pPr>
            <w:hyperlink r:id="rId39" w:history="1">
              <w:r w:rsidR="007010C7" w:rsidRPr="00B73CC0">
                <w:rPr>
                  <w:rStyle w:val="Hyperlink"/>
                  <w:rFonts w:cstheme="minorHAnsi"/>
                  <w:bCs/>
                  <w:lang w:val="it-IT"/>
                </w:rPr>
                <w:t>l.yardley@soton.ac.uk</w:t>
              </w:r>
            </w:hyperlink>
            <w:r w:rsidR="007010C7">
              <w:rPr>
                <w:rFonts w:cstheme="minorHAnsi"/>
                <w:bCs/>
                <w:lang w:val="it-IT"/>
              </w:rPr>
              <w:t xml:space="preserve"> </w:t>
            </w:r>
          </w:p>
        </w:tc>
      </w:tr>
      <w:tr w:rsidR="00210854" w:rsidRPr="00C56E82" w14:paraId="63EF9250" w14:textId="77777777" w:rsidTr="00FE391E">
        <w:tc>
          <w:tcPr>
            <w:tcW w:w="1806" w:type="dxa"/>
          </w:tcPr>
          <w:p w14:paraId="16A28673" w14:textId="6317A379" w:rsidR="00210854" w:rsidRPr="00C56E82" w:rsidRDefault="00210854" w:rsidP="00FE391E">
            <w:pPr>
              <w:rPr>
                <w:rFonts w:cstheme="minorHAnsi"/>
                <w:bCs/>
              </w:rPr>
            </w:pPr>
            <w:r>
              <w:rPr>
                <w:rFonts w:cstheme="minorHAnsi"/>
                <w:bCs/>
              </w:rPr>
              <w:t>Alex</w:t>
            </w:r>
            <w:r w:rsidR="0032563C">
              <w:rPr>
                <w:rFonts w:cstheme="minorHAnsi"/>
                <w:bCs/>
              </w:rPr>
              <w:t>s</w:t>
            </w:r>
            <w:r>
              <w:rPr>
                <w:rFonts w:cstheme="minorHAnsi"/>
                <w:bCs/>
              </w:rPr>
              <w:t>and</w:t>
            </w:r>
            <w:r w:rsidRPr="00DA494E">
              <w:rPr>
                <w:rFonts w:cstheme="minorHAnsi"/>
                <w:bCs/>
              </w:rPr>
              <w:t>r Za</w:t>
            </w:r>
            <w:r>
              <w:rPr>
                <w:rFonts w:cstheme="minorHAnsi"/>
                <w:bCs/>
              </w:rPr>
              <w:t>itcev</w:t>
            </w:r>
          </w:p>
        </w:tc>
        <w:tc>
          <w:tcPr>
            <w:tcW w:w="3449" w:type="dxa"/>
          </w:tcPr>
          <w:p w14:paraId="740CA80A" w14:textId="77777777" w:rsidR="00210854" w:rsidRPr="00C56E82" w:rsidRDefault="00210854" w:rsidP="00FE391E">
            <w:pPr>
              <w:rPr>
                <w:rFonts w:cstheme="minorHAnsi"/>
                <w:bCs/>
              </w:rPr>
            </w:pPr>
            <w:r w:rsidRPr="00D72E51">
              <w:rPr>
                <w:rFonts w:cstheme="minorHAnsi"/>
              </w:rPr>
              <w:t>University of Sheffield</w:t>
            </w:r>
          </w:p>
        </w:tc>
        <w:tc>
          <w:tcPr>
            <w:tcW w:w="3277" w:type="dxa"/>
          </w:tcPr>
          <w:p w14:paraId="249785AA" w14:textId="542F37E7" w:rsidR="00210854" w:rsidRPr="00D72E51" w:rsidRDefault="00680611" w:rsidP="00FE391E">
            <w:pPr>
              <w:rPr>
                <w:rFonts w:cstheme="minorHAnsi"/>
              </w:rPr>
            </w:pPr>
            <w:hyperlink r:id="rId40" w:history="1">
              <w:r w:rsidR="007010C7" w:rsidRPr="00B73CC0">
                <w:rPr>
                  <w:rStyle w:val="Hyperlink"/>
                  <w:rFonts w:cstheme="minorHAnsi"/>
                </w:rPr>
                <w:t>a.zaitcev@sheffield.ac.uk</w:t>
              </w:r>
            </w:hyperlink>
            <w:r w:rsidR="007010C7">
              <w:rPr>
                <w:rFonts w:cstheme="minorHAnsi"/>
              </w:rPr>
              <w:t xml:space="preserve"> </w:t>
            </w:r>
          </w:p>
        </w:tc>
      </w:tr>
      <w:tr w:rsidR="00210854" w:rsidRPr="00DA494E" w14:paraId="0888D873" w14:textId="77777777" w:rsidTr="00FE391E">
        <w:tc>
          <w:tcPr>
            <w:tcW w:w="1806" w:type="dxa"/>
          </w:tcPr>
          <w:p w14:paraId="78CCF2CE" w14:textId="77777777" w:rsidR="00210854" w:rsidRPr="00DA494E" w:rsidRDefault="00210854" w:rsidP="00FE391E">
            <w:pPr>
              <w:rPr>
                <w:rFonts w:cstheme="minorHAnsi"/>
                <w:bCs/>
              </w:rPr>
            </w:pPr>
            <w:r w:rsidRPr="00D72E51">
              <w:rPr>
                <w:rFonts w:cstheme="minorHAnsi"/>
              </w:rPr>
              <w:t>Simon Heller</w:t>
            </w:r>
            <w:r>
              <w:rPr>
                <w:rFonts w:cstheme="minorHAnsi"/>
              </w:rPr>
              <w:t>*</w:t>
            </w:r>
            <w:r w:rsidRPr="00D72E51">
              <w:rPr>
                <w:rFonts w:cstheme="minorHAnsi"/>
              </w:rPr>
              <w:t xml:space="preserve"> </w:t>
            </w:r>
          </w:p>
        </w:tc>
        <w:tc>
          <w:tcPr>
            <w:tcW w:w="3449" w:type="dxa"/>
          </w:tcPr>
          <w:p w14:paraId="698BD0AE" w14:textId="1B846D0E" w:rsidR="00210854" w:rsidRPr="00DA494E" w:rsidRDefault="00227EEB" w:rsidP="00227EEB">
            <w:pPr>
              <w:rPr>
                <w:rFonts w:cstheme="minorHAnsi"/>
              </w:rPr>
            </w:pPr>
            <w:r>
              <w:rPr>
                <w:rFonts w:cstheme="minorHAnsi"/>
              </w:rPr>
              <w:t xml:space="preserve">University of </w:t>
            </w:r>
            <w:r w:rsidR="00210854" w:rsidRPr="00D72E51">
              <w:rPr>
                <w:rFonts w:cstheme="minorHAnsi"/>
              </w:rPr>
              <w:t>Sheffield</w:t>
            </w:r>
          </w:p>
        </w:tc>
        <w:tc>
          <w:tcPr>
            <w:tcW w:w="3277" w:type="dxa"/>
          </w:tcPr>
          <w:p w14:paraId="33D18930" w14:textId="660B263F" w:rsidR="00210854" w:rsidRPr="00D72E51" w:rsidRDefault="00680611" w:rsidP="00FE391E">
            <w:pPr>
              <w:rPr>
                <w:rFonts w:cstheme="minorHAnsi"/>
              </w:rPr>
            </w:pPr>
            <w:hyperlink r:id="rId41" w:history="1">
              <w:r w:rsidR="007010C7" w:rsidRPr="00B73CC0">
                <w:rPr>
                  <w:rStyle w:val="Hyperlink"/>
                  <w:rFonts w:cstheme="minorHAnsi"/>
                </w:rPr>
                <w:t>s.heller@sheffield.ac.uk</w:t>
              </w:r>
            </w:hyperlink>
          </w:p>
        </w:tc>
      </w:tr>
    </w:tbl>
    <w:p w14:paraId="3CA51B79" w14:textId="77777777" w:rsidR="00210854" w:rsidRDefault="00210854">
      <w:pPr>
        <w:rPr>
          <w:rFonts w:cs="Arial"/>
          <w:color w:val="000000" w:themeColor="text1"/>
          <w:sz w:val="24"/>
        </w:rPr>
      </w:pPr>
    </w:p>
    <w:p w14:paraId="33826556" w14:textId="77777777" w:rsidR="00210854" w:rsidRDefault="00210854">
      <w:pPr>
        <w:rPr>
          <w:rFonts w:cs="Arial"/>
          <w:color w:val="000000" w:themeColor="text1"/>
          <w:sz w:val="24"/>
        </w:rPr>
      </w:pPr>
      <w:r w:rsidRPr="00210854">
        <w:rPr>
          <w:rFonts w:cs="Arial"/>
          <w:color w:val="000000" w:themeColor="text1"/>
          <w:sz w:val="24"/>
        </w:rPr>
        <w:t xml:space="preserve">* Corresponding author: </w:t>
      </w:r>
    </w:p>
    <w:p w14:paraId="578F201C" w14:textId="1324D656" w:rsidR="00210854" w:rsidRDefault="00210854">
      <w:pPr>
        <w:rPr>
          <w:rFonts w:cs="Arial"/>
          <w:sz w:val="24"/>
        </w:rPr>
      </w:pPr>
      <w:r w:rsidRPr="00210854">
        <w:rPr>
          <w:rFonts w:cs="Arial"/>
          <w:sz w:val="24"/>
        </w:rPr>
        <w:t>Professor Simon Heller, Professor of Clinical Diabetes, Department of</w:t>
      </w:r>
      <w:r w:rsidR="00955970">
        <w:rPr>
          <w:rFonts w:cs="Arial"/>
          <w:sz w:val="24"/>
        </w:rPr>
        <w:t xml:space="preserve"> Oncology and</w:t>
      </w:r>
      <w:r w:rsidRPr="00210854">
        <w:rPr>
          <w:rFonts w:cs="Arial"/>
          <w:sz w:val="24"/>
        </w:rPr>
        <w:t xml:space="preserve"> Metabolism, </w:t>
      </w:r>
      <w:r w:rsidR="00227EEB">
        <w:rPr>
          <w:rFonts w:cs="Arial"/>
          <w:sz w:val="24"/>
        </w:rPr>
        <w:t xml:space="preserve">University of </w:t>
      </w:r>
      <w:r w:rsidRPr="00210854">
        <w:rPr>
          <w:rFonts w:cs="Arial"/>
          <w:sz w:val="24"/>
        </w:rPr>
        <w:t xml:space="preserve">Sheffield, Beech Hill Road, Sheffield S10 2RX, Tel: 0114 215 9009, </w:t>
      </w:r>
      <w:hyperlink r:id="rId42" w:history="1">
        <w:r w:rsidRPr="00210854">
          <w:rPr>
            <w:rStyle w:val="Hyperlink"/>
            <w:rFonts w:cs="Arial"/>
            <w:sz w:val="24"/>
          </w:rPr>
          <w:t>s.heller@sheffield.ac.uk</w:t>
        </w:r>
      </w:hyperlink>
      <w:r w:rsidRPr="00210854">
        <w:rPr>
          <w:rFonts w:cs="Arial"/>
          <w:sz w:val="24"/>
        </w:rPr>
        <w:t xml:space="preserve"> </w:t>
      </w:r>
    </w:p>
    <w:p w14:paraId="4234BEB1" w14:textId="77777777" w:rsidR="00210854" w:rsidRDefault="00210854">
      <w:pPr>
        <w:rPr>
          <w:rFonts w:cs="Arial"/>
          <w:sz w:val="24"/>
        </w:rPr>
      </w:pPr>
    </w:p>
    <w:p w14:paraId="6D563766" w14:textId="2E1C06DC" w:rsidR="00607431" w:rsidRDefault="00607431" w:rsidP="00BD75A3">
      <w:pPr>
        <w:jc w:val="both"/>
        <w:rPr>
          <w:color w:val="000000" w:themeColor="text1"/>
          <w:sz w:val="24"/>
          <w:szCs w:val="22"/>
        </w:rPr>
      </w:pPr>
      <w:r w:rsidRPr="00083498">
        <w:rPr>
          <w:color w:val="000000" w:themeColor="text1"/>
          <w:sz w:val="24"/>
          <w:szCs w:val="22"/>
        </w:rPr>
        <w:t>Version 6.0, 0</w:t>
      </w:r>
      <w:r w:rsidR="00BD75A3" w:rsidRPr="00083498">
        <w:rPr>
          <w:color w:val="000000" w:themeColor="text1"/>
          <w:sz w:val="24"/>
          <w:szCs w:val="22"/>
        </w:rPr>
        <w:t>9</w:t>
      </w:r>
      <w:r w:rsidRPr="00083498">
        <w:rPr>
          <w:color w:val="000000" w:themeColor="text1"/>
          <w:sz w:val="24"/>
          <w:szCs w:val="22"/>
        </w:rPr>
        <w:t>.09.2019</w:t>
      </w:r>
    </w:p>
    <w:p w14:paraId="043FE398" w14:textId="220ADE24" w:rsidR="003B7AB6" w:rsidRDefault="003B7AB6" w:rsidP="00BD75A3">
      <w:pPr>
        <w:jc w:val="both"/>
        <w:rPr>
          <w:color w:val="000000" w:themeColor="text1"/>
          <w:sz w:val="24"/>
          <w:szCs w:val="22"/>
        </w:rPr>
      </w:pPr>
    </w:p>
    <w:p w14:paraId="15F8CD18" w14:textId="4A80BBA5" w:rsidR="003B7AB6" w:rsidRDefault="003B7AB6" w:rsidP="00BD75A3">
      <w:pPr>
        <w:jc w:val="both"/>
        <w:rPr>
          <w:color w:val="000000" w:themeColor="text1"/>
          <w:sz w:val="24"/>
          <w:szCs w:val="22"/>
        </w:rPr>
      </w:pPr>
      <w:r w:rsidRPr="0003135F">
        <w:rPr>
          <w:color w:val="000000" w:themeColor="text1"/>
          <w:sz w:val="24"/>
          <w:szCs w:val="22"/>
        </w:rPr>
        <w:t xml:space="preserve">Word count: </w:t>
      </w:r>
      <w:r w:rsidR="00DA22E3" w:rsidRPr="0003135F">
        <w:rPr>
          <w:color w:val="000000" w:themeColor="text1"/>
          <w:sz w:val="24"/>
          <w:szCs w:val="22"/>
        </w:rPr>
        <w:t>4</w:t>
      </w:r>
      <w:r w:rsidR="00413A78">
        <w:rPr>
          <w:color w:val="000000" w:themeColor="text1"/>
          <w:sz w:val="24"/>
          <w:szCs w:val="22"/>
        </w:rPr>
        <w:t>804</w:t>
      </w:r>
    </w:p>
    <w:p w14:paraId="350BB6F8" w14:textId="4D6420D6" w:rsidR="00607431" w:rsidRDefault="00607431" w:rsidP="00607431">
      <w:pPr>
        <w:jc w:val="both"/>
        <w:rPr>
          <w:color w:val="000000" w:themeColor="text1"/>
          <w:sz w:val="24"/>
          <w:szCs w:val="22"/>
        </w:rPr>
      </w:pPr>
    </w:p>
    <w:p w14:paraId="2E1F28DD" w14:textId="77777777" w:rsidR="00093BAE" w:rsidRDefault="00093BAE">
      <w:pPr>
        <w:rPr>
          <w:color w:val="000000" w:themeColor="text1"/>
          <w:sz w:val="24"/>
          <w:szCs w:val="22"/>
        </w:rPr>
      </w:pPr>
      <w:r>
        <w:rPr>
          <w:color w:val="000000" w:themeColor="text1"/>
          <w:sz w:val="24"/>
          <w:szCs w:val="22"/>
        </w:rPr>
        <w:br w:type="page"/>
      </w:r>
    </w:p>
    <w:p w14:paraId="6567858F" w14:textId="00137B1B" w:rsidR="00093BAE" w:rsidRPr="00A976B9" w:rsidRDefault="00093BAE" w:rsidP="00093BAE">
      <w:pPr>
        <w:rPr>
          <w:rFonts w:cs="Arial"/>
          <w:b/>
          <w:sz w:val="24"/>
        </w:rPr>
      </w:pPr>
      <w:r w:rsidRPr="00A976B9">
        <w:rPr>
          <w:rFonts w:cs="Arial"/>
          <w:b/>
          <w:sz w:val="24"/>
        </w:rPr>
        <w:lastRenderedPageBreak/>
        <w:t>Abstract</w:t>
      </w:r>
    </w:p>
    <w:p w14:paraId="53ACCE89" w14:textId="77777777" w:rsidR="00093BAE" w:rsidRDefault="00093BAE" w:rsidP="00093BAE">
      <w:pPr>
        <w:rPr>
          <w:rFonts w:cs="Arial"/>
          <w:sz w:val="24"/>
        </w:rPr>
      </w:pPr>
    </w:p>
    <w:p w14:paraId="0E46C8AA" w14:textId="4F7B9916" w:rsidR="00093BAE" w:rsidRDefault="00093BAE" w:rsidP="00093BAE">
      <w:pPr>
        <w:rPr>
          <w:rFonts w:cs="Arial"/>
          <w:sz w:val="24"/>
        </w:rPr>
      </w:pPr>
      <w:r>
        <w:rPr>
          <w:rFonts w:cs="Arial"/>
          <w:sz w:val="24"/>
        </w:rPr>
        <w:t>Introduction: The successful treatment of type 1 diabetes (T1D) requires those affected to employ insulin therapy to maintain their blood glucose levels as close to normal to avoid complications in the long-term. The Dose Adjustment for Normal Eating (DAFNE) intervention is a group education course designed to help adults with T1D develop and sustain the complex self-management skills needed to adjust insulin in everyday life. It leads to improved glucose levels in the short-term (manifest by falls in HbA1c), reduced rates of hypoglycaemia and sustained improvements in quality of life but overall glucose levels remain well above national targets.  The DAFNE</w:t>
      </w:r>
      <w:r w:rsidRPr="00595DDF">
        <w:rPr>
          <w:rFonts w:cs="Arial"/>
          <w:i/>
          <w:sz w:val="24"/>
        </w:rPr>
        <w:t>plus</w:t>
      </w:r>
      <w:r>
        <w:rPr>
          <w:rFonts w:cs="Arial"/>
          <w:sz w:val="24"/>
        </w:rPr>
        <w:t xml:space="preserve"> intervention is a development of DAFNE designed to incorporate behaviour change techniques, technology and longer-term structured support from healthcare professionals.</w:t>
      </w:r>
    </w:p>
    <w:p w14:paraId="4C8CDB27" w14:textId="77777777" w:rsidR="00093BAE" w:rsidRDefault="00093BAE" w:rsidP="00093BAE">
      <w:pPr>
        <w:rPr>
          <w:rFonts w:cs="Arial"/>
          <w:sz w:val="24"/>
        </w:rPr>
      </w:pPr>
    </w:p>
    <w:p w14:paraId="52C04640" w14:textId="77777777" w:rsidR="00093BAE" w:rsidRDefault="00093BAE" w:rsidP="00093BAE">
      <w:pPr>
        <w:rPr>
          <w:i/>
          <w:color w:val="000000"/>
          <w:sz w:val="24"/>
        </w:rPr>
      </w:pPr>
      <w:r>
        <w:rPr>
          <w:rFonts w:cs="Arial"/>
          <w:sz w:val="24"/>
        </w:rPr>
        <w:t xml:space="preserve">Methods and analysis: </w:t>
      </w:r>
      <w:r>
        <w:rPr>
          <w:color w:val="000000"/>
          <w:sz w:val="24"/>
        </w:rPr>
        <w:t>A</w:t>
      </w:r>
      <w:r w:rsidRPr="00321AD6">
        <w:rPr>
          <w:color w:val="000000"/>
          <w:sz w:val="24"/>
        </w:rPr>
        <w:t xml:space="preserve"> pragmatic cluster randomised controlled trial </w:t>
      </w:r>
      <w:r>
        <w:rPr>
          <w:color w:val="000000"/>
          <w:sz w:val="24"/>
        </w:rPr>
        <w:t>in adults with T1D, delivered in diabetes centres in NHS secondary care hospitals in the United Kingdom. Centres will be randomised on a 1:1 basis to standard DAFNE or DAFNE</w:t>
      </w:r>
      <w:r w:rsidRPr="00321AD6">
        <w:rPr>
          <w:i/>
          <w:color w:val="000000"/>
          <w:sz w:val="24"/>
        </w:rPr>
        <w:t>plus</w:t>
      </w:r>
      <w:r>
        <w:rPr>
          <w:i/>
          <w:color w:val="000000"/>
          <w:sz w:val="24"/>
        </w:rPr>
        <w:t xml:space="preserve">. </w:t>
      </w:r>
    </w:p>
    <w:p w14:paraId="3553F259" w14:textId="77777777" w:rsidR="00093BAE" w:rsidRDefault="00093BAE" w:rsidP="00093BAE">
      <w:pPr>
        <w:rPr>
          <w:i/>
          <w:color w:val="000000"/>
          <w:sz w:val="24"/>
        </w:rPr>
      </w:pPr>
    </w:p>
    <w:p w14:paraId="708505CA" w14:textId="77777777" w:rsidR="00093BAE" w:rsidRPr="00E82719" w:rsidRDefault="00093BAE" w:rsidP="00093BAE">
      <w:pPr>
        <w:rPr>
          <w:rFonts w:cs="Arial"/>
          <w:sz w:val="24"/>
        </w:rPr>
      </w:pPr>
      <w:r>
        <w:rPr>
          <w:color w:val="000000"/>
          <w:sz w:val="24"/>
        </w:rPr>
        <w:t xml:space="preserve">Primary clinical outcome is the change in HbA1c (glycated haemoglobin) and </w:t>
      </w:r>
      <w:r>
        <w:rPr>
          <w:rFonts w:cs="Arial"/>
          <w:color w:val="000000"/>
          <w:sz w:val="24"/>
        </w:rPr>
        <w:t>t</w:t>
      </w:r>
      <w:r w:rsidRPr="00E82719">
        <w:rPr>
          <w:rFonts w:cs="Arial"/>
          <w:color w:val="000000"/>
          <w:sz w:val="24"/>
        </w:rPr>
        <w:t>he primary endpoint is HbA1c at 12 months, in those entering the trial with HbA1c &gt;7.5% (58 mmol/mol), and HbA1c at 6 months is the secondary endpoint.</w:t>
      </w:r>
      <w:r>
        <w:rPr>
          <w:rFonts w:cs="Arial"/>
          <w:sz w:val="24"/>
        </w:rPr>
        <w:t xml:space="preserve"> </w:t>
      </w:r>
      <w:r>
        <w:rPr>
          <w:color w:val="000000"/>
          <w:sz w:val="24"/>
        </w:rPr>
        <w:t>Sample size is 662 participants (approximately 47 per centre); 92% power to detect a 0.5% difference in the primary outcome of HbA1c between treatment groups. The trial also measures rates of hypoglycaemia, psychological outcomes, an economic evaluation and process evaluation.</w:t>
      </w:r>
    </w:p>
    <w:p w14:paraId="3A3BFED5" w14:textId="77777777" w:rsidR="00093BAE" w:rsidRDefault="00093BAE" w:rsidP="00093BAE">
      <w:pPr>
        <w:rPr>
          <w:rFonts w:cs="Arial"/>
          <w:sz w:val="24"/>
        </w:rPr>
      </w:pPr>
    </w:p>
    <w:p w14:paraId="2AAC1350" w14:textId="77777777" w:rsidR="00093BAE" w:rsidRDefault="00093BAE" w:rsidP="00093BAE">
      <w:pPr>
        <w:rPr>
          <w:rFonts w:cs="Arial"/>
          <w:sz w:val="24"/>
        </w:rPr>
      </w:pPr>
      <w:r w:rsidRPr="007D5B52">
        <w:rPr>
          <w:rFonts w:cs="Arial"/>
          <w:sz w:val="24"/>
        </w:rPr>
        <w:t>Ethics and dissemination: Ethics approval was granted by South West – Exeter Research Ethics Committee (REC ref: 18/SW/0100) on 14</w:t>
      </w:r>
      <w:r w:rsidRPr="007D5B52">
        <w:rPr>
          <w:rFonts w:cs="Arial"/>
          <w:sz w:val="24"/>
          <w:vertAlign w:val="superscript"/>
        </w:rPr>
        <w:t>th</w:t>
      </w:r>
      <w:r w:rsidRPr="007D5B52">
        <w:rPr>
          <w:rFonts w:cs="Arial"/>
          <w:sz w:val="24"/>
        </w:rPr>
        <w:t xml:space="preserve"> May 2018. The results of the trial will be published in a National Institute for Health Research monograph and relevant high-impact journals.</w:t>
      </w:r>
    </w:p>
    <w:p w14:paraId="266DA70D" w14:textId="77777777" w:rsidR="00093BAE" w:rsidRPr="007D5B52" w:rsidRDefault="00093BAE" w:rsidP="00093BAE">
      <w:pPr>
        <w:rPr>
          <w:rFonts w:cs="Arial"/>
          <w:sz w:val="24"/>
        </w:rPr>
      </w:pPr>
    </w:p>
    <w:p w14:paraId="57AE6008" w14:textId="77777777" w:rsidR="00093BAE" w:rsidRDefault="00093BAE" w:rsidP="00093BAE">
      <w:pPr>
        <w:rPr>
          <w:rFonts w:cs="Arial"/>
          <w:color w:val="000000" w:themeColor="text1"/>
          <w:sz w:val="24"/>
        </w:rPr>
      </w:pPr>
      <w:r w:rsidRPr="007D5B52">
        <w:rPr>
          <w:rFonts w:cs="Arial"/>
          <w:sz w:val="24"/>
        </w:rPr>
        <w:t xml:space="preserve">Trial registration: </w:t>
      </w:r>
      <w:r w:rsidRPr="007D5B52">
        <w:rPr>
          <w:rFonts w:cs="Arial"/>
          <w:color w:val="000000" w:themeColor="text1"/>
          <w:sz w:val="24"/>
        </w:rPr>
        <w:t>ISRCTN42908016 – registered on 17</w:t>
      </w:r>
      <w:r w:rsidRPr="007D5B52">
        <w:rPr>
          <w:rFonts w:cs="Arial"/>
          <w:color w:val="000000" w:themeColor="text1"/>
          <w:sz w:val="24"/>
          <w:vertAlign w:val="superscript"/>
        </w:rPr>
        <w:t>th</w:t>
      </w:r>
      <w:r w:rsidRPr="007D5B52">
        <w:rPr>
          <w:rFonts w:cs="Arial"/>
          <w:color w:val="000000" w:themeColor="text1"/>
          <w:sz w:val="24"/>
        </w:rPr>
        <w:t xml:space="preserve"> May 2018</w:t>
      </w:r>
    </w:p>
    <w:p w14:paraId="3E27DB45" w14:textId="77777777" w:rsidR="00093BAE" w:rsidRDefault="00093BAE" w:rsidP="00093BAE">
      <w:pPr>
        <w:rPr>
          <w:rFonts w:cs="Arial"/>
          <w:sz w:val="24"/>
        </w:rPr>
      </w:pPr>
    </w:p>
    <w:p w14:paraId="72EF0EC3" w14:textId="77777777" w:rsidR="00DD1E9C" w:rsidRDefault="00DD1E9C" w:rsidP="00093BAE">
      <w:pPr>
        <w:rPr>
          <w:rFonts w:cs="Arial"/>
          <w:b/>
          <w:sz w:val="24"/>
          <w:szCs w:val="22"/>
        </w:rPr>
      </w:pPr>
      <w:r>
        <w:rPr>
          <w:rFonts w:cs="Arial"/>
          <w:b/>
          <w:sz w:val="24"/>
          <w:szCs w:val="22"/>
        </w:rPr>
        <w:t>Article summary</w:t>
      </w:r>
    </w:p>
    <w:p w14:paraId="1A13B1BF" w14:textId="7897F9AA" w:rsidR="00093BAE" w:rsidRPr="00595DDF" w:rsidRDefault="00093BAE" w:rsidP="00093BAE">
      <w:pPr>
        <w:rPr>
          <w:rFonts w:cs="Arial"/>
          <w:sz w:val="24"/>
          <w:szCs w:val="22"/>
        </w:rPr>
      </w:pPr>
      <w:r w:rsidRPr="00595DDF">
        <w:rPr>
          <w:rFonts w:cs="Arial"/>
          <w:b/>
          <w:sz w:val="24"/>
          <w:szCs w:val="22"/>
        </w:rPr>
        <w:t>Strengths and limitations</w:t>
      </w:r>
      <w:r w:rsidR="007010C7">
        <w:rPr>
          <w:rFonts w:cs="Arial"/>
          <w:b/>
          <w:sz w:val="24"/>
          <w:szCs w:val="22"/>
        </w:rPr>
        <w:t xml:space="preserve"> of this study</w:t>
      </w:r>
    </w:p>
    <w:p w14:paraId="302054B2" w14:textId="6C470BF1" w:rsidR="00093BAE" w:rsidRPr="00595DDF" w:rsidRDefault="00093BAE" w:rsidP="00093BAE">
      <w:pPr>
        <w:pStyle w:val="ListParagraph"/>
        <w:numPr>
          <w:ilvl w:val="0"/>
          <w:numId w:val="52"/>
        </w:numPr>
        <w:shd w:val="clear" w:color="auto" w:fill="FFFFFF"/>
        <w:rPr>
          <w:rFonts w:ascii="Arial" w:hAnsi="Arial" w:cs="Arial"/>
          <w:color w:val="000000"/>
          <w:szCs w:val="22"/>
          <w:lang w:eastAsia="en-GB"/>
        </w:rPr>
      </w:pPr>
      <w:r w:rsidRPr="00595DDF">
        <w:rPr>
          <w:rFonts w:ascii="Arial" w:hAnsi="Arial" w:cs="Arial"/>
          <w:color w:val="000000"/>
          <w:szCs w:val="22"/>
          <w:lang w:eastAsia="en-GB"/>
        </w:rPr>
        <w:t>Comparison of group therapy against another group therapy will standardise the treatment comparison</w:t>
      </w:r>
      <w:r w:rsidR="00DD1E9C">
        <w:rPr>
          <w:rFonts w:ascii="Arial" w:hAnsi="Arial" w:cs="Arial"/>
          <w:color w:val="000000"/>
          <w:szCs w:val="22"/>
          <w:lang w:eastAsia="en-GB"/>
        </w:rPr>
        <w:t>.</w:t>
      </w:r>
    </w:p>
    <w:p w14:paraId="635E04CF" w14:textId="7CA21089" w:rsidR="00093BAE" w:rsidRPr="00595DDF" w:rsidRDefault="00093BAE" w:rsidP="00093BAE">
      <w:pPr>
        <w:pStyle w:val="ListParagraph"/>
        <w:numPr>
          <w:ilvl w:val="0"/>
          <w:numId w:val="52"/>
        </w:numPr>
        <w:spacing w:line="259" w:lineRule="auto"/>
        <w:rPr>
          <w:rFonts w:ascii="Arial" w:hAnsi="Arial" w:cs="Arial"/>
          <w:color w:val="000000"/>
          <w:szCs w:val="22"/>
          <w:lang w:eastAsia="en-GB"/>
        </w:rPr>
      </w:pPr>
      <w:r w:rsidRPr="00595DDF">
        <w:rPr>
          <w:rFonts w:ascii="Arial" w:hAnsi="Arial" w:cs="Arial"/>
          <w:color w:val="000000"/>
          <w:szCs w:val="22"/>
          <w:lang w:eastAsia="en-GB"/>
        </w:rPr>
        <w:t>Cluster randomisation to avoid contamination of the intervention material</w:t>
      </w:r>
      <w:r w:rsidR="00DD1E9C">
        <w:rPr>
          <w:rFonts w:ascii="Arial" w:hAnsi="Arial" w:cs="Arial"/>
          <w:color w:val="000000"/>
          <w:szCs w:val="22"/>
          <w:lang w:eastAsia="en-GB"/>
        </w:rPr>
        <w:t>.</w:t>
      </w:r>
    </w:p>
    <w:p w14:paraId="687CD594" w14:textId="59D5706E" w:rsidR="00093BAE" w:rsidRPr="00DD1E9C" w:rsidRDefault="00093BAE" w:rsidP="00093BAE">
      <w:pPr>
        <w:pStyle w:val="ListParagraph"/>
        <w:numPr>
          <w:ilvl w:val="0"/>
          <w:numId w:val="52"/>
        </w:numPr>
        <w:spacing w:line="259" w:lineRule="auto"/>
        <w:rPr>
          <w:rFonts w:ascii="Arial" w:hAnsi="Arial" w:cs="Arial"/>
          <w:color w:val="000000"/>
          <w:szCs w:val="22"/>
          <w:lang w:eastAsia="en-GB"/>
        </w:rPr>
      </w:pPr>
      <w:r w:rsidRPr="00595DDF">
        <w:rPr>
          <w:rFonts w:ascii="Arial" w:hAnsi="Arial" w:cs="Arial"/>
          <w:color w:val="000000"/>
          <w:szCs w:val="22"/>
          <w:lang w:eastAsia="en-GB"/>
        </w:rPr>
        <w:t>Number of sites in both England and Scotland representing a wide range of NHS Trusts</w:t>
      </w:r>
      <w:r w:rsidR="00DD1E9C">
        <w:rPr>
          <w:rFonts w:ascii="Arial" w:hAnsi="Arial" w:cs="Arial"/>
          <w:color w:val="000000"/>
          <w:szCs w:val="22"/>
          <w:lang w:eastAsia="en-GB"/>
        </w:rPr>
        <w:t>.</w:t>
      </w:r>
    </w:p>
    <w:p w14:paraId="1CFC4927" w14:textId="70615EDD" w:rsidR="00093BAE" w:rsidRPr="00A976B9" w:rsidRDefault="00093BAE" w:rsidP="00A976B9">
      <w:pPr>
        <w:pStyle w:val="ListParagraph"/>
        <w:numPr>
          <w:ilvl w:val="0"/>
          <w:numId w:val="51"/>
        </w:numPr>
        <w:shd w:val="clear" w:color="auto" w:fill="FFFFFF"/>
        <w:rPr>
          <w:rFonts w:cs="Arial"/>
          <w:color w:val="000000" w:themeColor="text1"/>
        </w:rPr>
      </w:pPr>
      <w:r w:rsidRPr="00093BAE">
        <w:rPr>
          <w:rFonts w:ascii="Arial" w:hAnsi="Arial" w:cs="Arial"/>
          <w:color w:val="000000"/>
          <w:szCs w:val="22"/>
          <w:lang w:eastAsia="en-GB"/>
        </w:rPr>
        <w:t>Use of a covariate constrained methodology to randomise means that sites are matched which can create issues if sites drop out</w:t>
      </w:r>
      <w:r w:rsidR="00DD1E9C">
        <w:rPr>
          <w:rFonts w:ascii="Arial" w:hAnsi="Arial" w:cs="Arial"/>
          <w:color w:val="000000"/>
          <w:szCs w:val="22"/>
          <w:lang w:eastAsia="en-GB"/>
        </w:rPr>
        <w:t>.</w:t>
      </w:r>
    </w:p>
    <w:p w14:paraId="6455962F" w14:textId="77777777" w:rsidR="004D60BE" w:rsidRPr="004D60BE" w:rsidRDefault="00093BAE" w:rsidP="00A976B9">
      <w:pPr>
        <w:pStyle w:val="ListParagraph"/>
        <w:numPr>
          <w:ilvl w:val="0"/>
          <w:numId w:val="51"/>
        </w:numPr>
        <w:shd w:val="clear" w:color="auto" w:fill="FFFFFF"/>
        <w:rPr>
          <w:rFonts w:cs="Arial"/>
          <w:color w:val="000000" w:themeColor="text1"/>
        </w:rPr>
      </w:pPr>
      <w:r w:rsidRPr="00093BAE">
        <w:rPr>
          <w:rFonts w:ascii="Arial" w:hAnsi="Arial" w:cs="Arial"/>
          <w:color w:val="000000"/>
          <w:szCs w:val="22"/>
          <w:lang w:eastAsia="en-GB"/>
        </w:rPr>
        <w:t>Blinding not possible in trial due to the intervention and design</w:t>
      </w:r>
      <w:r w:rsidR="00DD1E9C">
        <w:rPr>
          <w:rFonts w:ascii="Arial" w:hAnsi="Arial" w:cs="Arial"/>
          <w:color w:val="000000"/>
          <w:szCs w:val="22"/>
          <w:lang w:eastAsia="en-GB"/>
        </w:rPr>
        <w:t>.</w:t>
      </w:r>
    </w:p>
    <w:p w14:paraId="225E5834" w14:textId="77777777" w:rsidR="004D60BE" w:rsidRPr="00210854" w:rsidRDefault="004D60BE" w:rsidP="004D60BE">
      <w:pPr>
        <w:shd w:val="clear" w:color="auto" w:fill="FFFFFF"/>
        <w:rPr>
          <w:rFonts w:cs="Arial"/>
          <w:color w:val="000000" w:themeColor="text1"/>
          <w:sz w:val="24"/>
        </w:rPr>
      </w:pPr>
    </w:p>
    <w:p w14:paraId="0BDEBBE6" w14:textId="77777777" w:rsidR="00210854" w:rsidRPr="00210854" w:rsidRDefault="004D60BE" w:rsidP="004D60BE">
      <w:pPr>
        <w:shd w:val="clear" w:color="auto" w:fill="FFFFFF"/>
        <w:rPr>
          <w:rFonts w:cs="Arial"/>
          <w:b/>
          <w:color w:val="000000" w:themeColor="text1"/>
          <w:sz w:val="24"/>
        </w:rPr>
      </w:pPr>
      <w:r w:rsidRPr="00210854">
        <w:rPr>
          <w:rFonts w:cs="Arial"/>
          <w:b/>
          <w:color w:val="000000" w:themeColor="text1"/>
          <w:sz w:val="24"/>
        </w:rPr>
        <w:t>Keywords</w:t>
      </w:r>
    </w:p>
    <w:p w14:paraId="553FD9D6" w14:textId="11BB1B74" w:rsidR="00093BAE" w:rsidRPr="00210854" w:rsidRDefault="0003135F" w:rsidP="004D60BE">
      <w:pPr>
        <w:shd w:val="clear" w:color="auto" w:fill="FFFFFF"/>
        <w:rPr>
          <w:rFonts w:cs="Arial"/>
          <w:color w:val="000000" w:themeColor="text1"/>
          <w:sz w:val="24"/>
        </w:rPr>
      </w:pPr>
      <w:r>
        <w:rPr>
          <w:rFonts w:cs="Arial"/>
          <w:color w:val="000000" w:themeColor="text1"/>
          <w:sz w:val="24"/>
        </w:rPr>
        <w:t xml:space="preserve">Diabetes mellitus, Type 1; Self </w:t>
      </w:r>
      <w:r w:rsidR="00210854">
        <w:rPr>
          <w:rFonts w:cs="Arial"/>
          <w:color w:val="000000" w:themeColor="text1"/>
          <w:sz w:val="24"/>
        </w:rPr>
        <w:t xml:space="preserve">management; Patient education; Randomised </w:t>
      </w:r>
      <w:r>
        <w:rPr>
          <w:rFonts w:cs="Arial"/>
          <w:color w:val="000000" w:themeColor="text1"/>
          <w:sz w:val="24"/>
        </w:rPr>
        <w:t xml:space="preserve">controlled trial; </w:t>
      </w:r>
      <w:r w:rsidR="00093BAE" w:rsidRPr="00210854">
        <w:rPr>
          <w:rFonts w:cs="Arial"/>
          <w:color w:val="000000" w:themeColor="text1"/>
          <w:sz w:val="24"/>
        </w:rPr>
        <w:br w:type="page"/>
      </w:r>
    </w:p>
    <w:p w14:paraId="46FF69F7" w14:textId="6F99B994" w:rsidR="00955BB7" w:rsidRPr="00E03C03" w:rsidRDefault="00955BB7" w:rsidP="00412AB5">
      <w:pPr>
        <w:jc w:val="both"/>
        <w:rPr>
          <w:rFonts w:cs="Arial"/>
          <w:color w:val="000000" w:themeColor="text1"/>
          <w:sz w:val="24"/>
        </w:rPr>
      </w:pPr>
      <w:r w:rsidRPr="00E03C03">
        <w:rPr>
          <w:rFonts w:cs="Arial"/>
          <w:b/>
          <w:color w:val="000000" w:themeColor="text1"/>
          <w:sz w:val="24"/>
        </w:rPr>
        <w:lastRenderedPageBreak/>
        <w:t>Sponsor:</w:t>
      </w:r>
      <w:r w:rsidR="00E03C03">
        <w:rPr>
          <w:rFonts w:cs="Arial"/>
          <w:color w:val="000000" w:themeColor="text1"/>
          <w:sz w:val="24"/>
        </w:rPr>
        <w:tab/>
      </w:r>
      <w:r w:rsidR="00E03C03">
        <w:rPr>
          <w:rFonts w:cs="Arial"/>
          <w:color w:val="000000" w:themeColor="text1"/>
          <w:sz w:val="24"/>
        </w:rPr>
        <w:tab/>
      </w:r>
      <w:r w:rsidRPr="00E03C03">
        <w:rPr>
          <w:rFonts w:cs="Arial"/>
          <w:color w:val="000000" w:themeColor="text1"/>
          <w:sz w:val="24"/>
        </w:rPr>
        <w:t>Sheffield Teaching Hospitals NHS Foundation Trust</w:t>
      </w:r>
    </w:p>
    <w:p w14:paraId="070B8483" w14:textId="48A0EECC" w:rsidR="00955BB7" w:rsidRPr="00E03C03" w:rsidRDefault="00E03C03" w:rsidP="00031883">
      <w:pPr>
        <w:jc w:val="both"/>
        <w:rPr>
          <w:rFonts w:cs="Arial"/>
          <w:color w:val="000000" w:themeColor="text1"/>
          <w:sz w:val="24"/>
        </w:rPr>
      </w:pPr>
      <w:r>
        <w:rPr>
          <w:rFonts w:cs="Arial"/>
          <w:color w:val="000000" w:themeColor="text1"/>
          <w:sz w:val="24"/>
        </w:rPr>
        <w:t>Contact Name</w:t>
      </w:r>
      <w:r>
        <w:rPr>
          <w:rFonts w:cs="Arial"/>
          <w:color w:val="000000" w:themeColor="text1"/>
          <w:sz w:val="24"/>
        </w:rPr>
        <w:tab/>
      </w:r>
      <w:r w:rsidR="00302A10">
        <w:rPr>
          <w:rFonts w:cs="Arial"/>
          <w:color w:val="000000" w:themeColor="text1"/>
          <w:sz w:val="24"/>
        </w:rPr>
        <w:t>Dr Erica Wallis</w:t>
      </w:r>
    </w:p>
    <w:p w14:paraId="5FE73F9F" w14:textId="5F1DC599" w:rsidR="00955BB7" w:rsidRPr="00E03C03" w:rsidRDefault="00E03C03" w:rsidP="00412AB5">
      <w:pPr>
        <w:jc w:val="both"/>
        <w:rPr>
          <w:rFonts w:cs="Arial"/>
          <w:color w:val="000000" w:themeColor="text1"/>
          <w:sz w:val="24"/>
        </w:rPr>
      </w:pPr>
      <w:r>
        <w:rPr>
          <w:rFonts w:cs="Arial"/>
          <w:color w:val="000000" w:themeColor="text1"/>
          <w:sz w:val="24"/>
        </w:rPr>
        <w:tab/>
      </w:r>
      <w:r>
        <w:rPr>
          <w:rFonts w:cs="Arial"/>
          <w:color w:val="000000" w:themeColor="text1"/>
          <w:sz w:val="24"/>
        </w:rPr>
        <w:tab/>
      </w:r>
      <w:r w:rsidR="00955BB7" w:rsidRPr="00E03C03">
        <w:rPr>
          <w:rFonts w:cs="Arial"/>
          <w:color w:val="000000" w:themeColor="text1"/>
          <w:sz w:val="24"/>
        </w:rPr>
        <w:tab/>
        <w:t>Clinical Research Office</w:t>
      </w:r>
    </w:p>
    <w:p w14:paraId="4580B325" w14:textId="6B00F2B2" w:rsidR="00955BB7" w:rsidRPr="00177305" w:rsidRDefault="00E03C03" w:rsidP="00412AB5">
      <w:pPr>
        <w:jc w:val="both"/>
        <w:rPr>
          <w:rFonts w:cs="Arial"/>
          <w:color w:val="000000" w:themeColor="text1"/>
          <w:sz w:val="24"/>
        </w:rPr>
      </w:pPr>
      <w:r>
        <w:rPr>
          <w:rFonts w:cs="Arial"/>
          <w:color w:val="000000" w:themeColor="text1"/>
          <w:sz w:val="24"/>
        </w:rPr>
        <w:tab/>
      </w:r>
      <w:r w:rsidR="00955BB7" w:rsidRPr="00E03C03">
        <w:rPr>
          <w:rFonts w:cs="Arial"/>
          <w:color w:val="000000" w:themeColor="text1"/>
          <w:sz w:val="24"/>
        </w:rPr>
        <w:tab/>
      </w:r>
      <w:r w:rsidR="00955BB7" w:rsidRPr="00E03C03">
        <w:rPr>
          <w:rFonts w:cs="Arial"/>
          <w:color w:val="000000" w:themeColor="text1"/>
          <w:sz w:val="24"/>
        </w:rPr>
        <w:tab/>
      </w:r>
      <w:r w:rsidR="00955BB7" w:rsidRPr="00177305">
        <w:rPr>
          <w:rFonts w:cs="Arial"/>
          <w:color w:val="000000" w:themeColor="text1"/>
          <w:sz w:val="24"/>
        </w:rPr>
        <w:t>Sheffield Teaching Hospitals NHS Foundation Trust</w:t>
      </w:r>
    </w:p>
    <w:p w14:paraId="00AD3475" w14:textId="77777777" w:rsidR="00E03C03" w:rsidRPr="00177305" w:rsidRDefault="00955BB7" w:rsidP="00412AB5">
      <w:pPr>
        <w:jc w:val="both"/>
        <w:rPr>
          <w:rFonts w:cs="Arial"/>
          <w:color w:val="000000" w:themeColor="text1"/>
          <w:sz w:val="24"/>
        </w:rPr>
      </w:pPr>
      <w:r w:rsidRPr="00177305">
        <w:rPr>
          <w:rFonts w:cs="Arial"/>
          <w:color w:val="000000" w:themeColor="text1"/>
          <w:sz w:val="24"/>
        </w:rPr>
        <w:tab/>
      </w:r>
      <w:r w:rsidRPr="00177305">
        <w:rPr>
          <w:rFonts w:cs="Arial"/>
          <w:color w:val="000000" w:themeColor="text1"/>
          <w:sz w:val="24"/>
        </w:rPr>
        <w:tab/>
      </w:r>
      <w:r w:rsidRPr="00177305">
        <w:rPr>
          <w:rFonts w:cs="Arial"/>
          <w:color w:val="000000" w:themeColor="text1"/>
          <w:sz w:val="24"/>
        </w:rPr>
        <w:tab/>
        <w:t>Glossop Road</w:t>
      </w:r>
      <w:r w:rsidRPr="00177305">
        <w:rPr>
          <w:rFonts w:cs="Arial"/>
          <w:color w:val="000000" w:themeColor="text1"/>
          <w:sz w:val="24"/>
        </w:rPr>
        <w:tab/>
      </w:r>
      <w:r w:rsidRPr="00177305">
        <w:rPr>
          <w:rFonts w:cs="Arial"/>
          <w:color w:val="000000" w:themeColor="text1"/>
          <w:sz w:val="24"/>
        </w:rPr>
        <w:tab/>
      </w:r>
      <w:r w:rsidRPr="00177305">
        <w:rPr>
          <w:rFonts w:cs="Arial"/>
          <w:color w:val="000000" w:themeColor="text1"/>
          <w:sz w:val="24"/>
        </w:rPr>
        <w:tab/>
      </w:r>
      <w:r w:rsidRPr="00177305">
        <w:rPr>
          <w:rFonts w:cs="Arial"/>
          <w:color w:val="000000" w:themeColor="text1"/>
          <w:sz w:val="24"/>
        </w:rPr>
        <w:tab/>
      </w:r>
    </w:p>
    <w:p w14:paraId="4C3A7762" w14:textId="0FC21664" w:rsidR="00955BB7" w:rsidRPr="00177305" w:rsidRDefault="00955BB7" w:rsidP="00E03C03">
      <w:pPr>
        <w:ind w:left="1440" w:firstLine="720"/>
        <w:jc w:val="both"/>
        <w:rPr>
          <w:rFonts w:cs="Arial"/>
          <w:color w:val="000000" w:themeColor="text1"/>
          <w:sz w:val="24"/>
        </w:rPr>
      </w:pPr>
      <w:r w:rsidRPr="00177305">
        <w:rPr>
          <w:rFonts w:cs="Arial"/>
          <w:color w:val="000000" w:themeColor="text1"/>
          <w:sz w:val="24"/>
        </w:rPr>
        <w:t>Sheffield S10 2JF</w:t>
      </w:r>
    </w:p>
    <w:p w14:paraId="7A02CC14" w14:textId="7EF6562A" w:rsidR="00955BB7" w:rsidRPr="00177305" w:rsidRDefault="00E03C03" w:rsidP="00A106A3">
      <w:pPr>
        <w:jc w:val="both"/>
        <w:rPr>
          <w:rFonts w:cs="Arial"/>
          <w:color w:val="000000" w:themeColor="text1"/>
          <w:sz w:val="24"/>
        </w:rPr>
      </w:pPr>
      <w:r w:rsidRPr="00177305">
        <w:rPr>
          <w:rFonts w:cs="Arial"/>
          <w:color w:val="000000" w:themeColor="text1"/>
          <w:sz w:val="24"/>
        </w:rPr>
        <w:tab/>
      </w:r>
      <w:r w:rsidRPr="00177305">
        <w:rPr>
          <w:rFonts w:cs="Arial"/>
          <w:color w:val="000000" w:themeColor="text1"/>
          <w:sz w:val="24"/>
        </w:rPr>
        <w:tab/>
      </w:r>
      <w:r w:rsidRPr="00177305">
        <w:rPr>
          <w:rFonts w:cs="Arial"/>
          <w:color w:val="000000" w:themeColor="text1"/>
          <w:sz w:val="24"/>
        </w:rPr>
        <w:tab/>
      </w:r>
      <w:r w:rsidR="00955BB7" w:rsidRPr="00177305">
        <w:rPr>
          <w:rFonts w:cs="Arial"/>
          <w:color w:val="000000" w:themeColor="text1"/>
          <w:sz w:val="24"/>
        </w:rPr>
        <w:t xml:space="preserve">Phone: </w:t>
      </w:r>
      <w:r w:rsidR="00A106A3" w:rsidRPr="00A106A3">
        <w:rPr>
          <w:rFonts w:cs="Arial"/>
          <w:color w:val="000000" w:themeColor="text1"/>
          <w:sz w:val="24"/>
        </w:rPr>
        <w:t>0114 2265931</w:t>
      </w:r>
    </w:p>
    <w:p w14:paraId="585C2788" w14:textId="09144D94" w:rsidR="00955BB7" w:rsidRPr="00944484" w:rsidRDefault="00E03C03" w:rsidP="000739B5">
      <w:pPr>
        <w:jc w:val="both"/>
        <w:rPr>
          <w:rFonts w:cs="Arial"/>
          <w:color w:val="000000" w:themeColor="text1"/>
          <w:sz w:val="24"/>
        </w:rPr>
      </w:pPr>
      <w:r w:rsidRPr="00177305">
        <w:rPr>
          <w:rFonts w:cs="Arial"/>
          <w:color w:val="000000" w:themeColor="text1"/>
          <w:sz w:val="24"/>
        </w:rPr>
        <w:tab/>
      </w:r>
      <w:r w:rsidRPr="00177305">
        <w:rPr>
          <w:rFonts w:cs="Arial"/>
          <w:color w:val="000000" w:themeColor="text1"/>
          <w:sz w:val="24"/>
        </w:rPr>
        <w:tab/>
      </w:r>
      <w:r w:rsidRPr="00177305">
        <w:rPr>
          <w:rFonts w:cs="Arial"/>
          <w:color w:val="000000" w:themeColor="text1"/>
          <w:sz w:val="24"/>
        </w:rPr>
        <w:tab/>
      </w:r>
      <w:r w:rsidR="00401778">
        <w:rPr>
          <w:rFonts w:cs="Arial"/>
          <w:color w:val="000000" w:themeColor="text1"/>
          <w:sz w:val="24"/>
        </w:rPr>
        <w:t>Email</w:t>
      </w:r>
      <w:r w:rsidR="00132835" w:rsidRPr="00944484">
        <w:rPr>
          <w:rFonts w:cs="Arial"/>
          <w:color w:val="000000" w:themeColor="text1"/>
          <w:sz w:val="24"/>
        </w:rPr>
        <w:t>:</w:t>
      </w:r>
      <w:r w:rsidR="00955BB7" w:rsidRPr="00944484">
        <w:rPr>
          <w:rFonts w:cs="Arial"/>
          <w:color w:val="000000" w:themeColor="text1"/>
          <w:sz w:val="24"/>
        </w:rPr>
        <w:t xml:space="preserve"> </w:t>
      </w:r>
      <w:r w:rsidR="000739B5" w:rsidRPr="00944484">
        <w:rPr>
          <w:sz w:val="24"/>
        </w:rPr>
        <w:t>e</w:t>
      </w:r>
      <w:r w:rsidR="00A106A3" w:rsidRPr="00944484">
        <w:rPr>
          <w:sz w:val="24"/>
        </w:rPr>
        <w:t>rica.wallis</w:t>
      </w:r>
      <w:r w:rsidR="000739B5" w:rsidRPr="00944484">
        <w:rPr>
          <w:sz w:val="24"/>
        </w:rPr>
        <w:t>1</w:t>
      </w:r>
      <w:r w:rsidR="00A106A3" w:rsidRPr="00944484">
        <w:rPr>
          <w:sz w:val="24"/>
        </w:rPr>
        <w:t>@nhs.</w:t>
      </w:r>
      <w:r w:rsidR="000739B5" w:rsidRPr="00944484">
        <w:rPr>
          <w:sz w:val="24"/>
        </w:rPr>
        <w:t>net</w:t>
      </w:r>
    </w:p>
    <w:p w14:paraId="76D4DEEE" w14:textId="1322AD7B" w:rsidR="00084D40" w:rsidRPr="00944484" w:rsidRDefault="00084D40" w:rsidP="00412AB5">
      <w:pPr>
        <w:jc w:val="both"/>
        <w:rPr>
          <w:color w:val="000000" w:themeColor="text1"/>
          <w:sz w:val="24"/>
        </w:rPr>
      </w:pPr>
      <w:r w:rsidRPr="00944484">
        <w:rPr>
          <w:color w:val="000000" w:themeColor="text1"/>
          <w:sz w:val="24"/>
        </w:rPr>
        <w:t xml:space="preserve"> </w:t>
      </w:r>
    </w:p>
    <w:p w14:paraId="6D0597B3" w14:textId="77777777" w:rsidR="000267B9" w:rsidRPr="00E03C03" w:rsidRDefault="000267B9" w:rsidP="00412AB5">
      <w:pPr>
        <w:jc w:val="both"/>
        <w:rPr>
          <w:rFonts w:cs="Arial"/>
          <w:color w:val="000000" w:themeColor="text1"/>
          <w:sz w:val="24"/>
        </w:rPr>
      </w:pPr>
      <w:r w:rsidRPr="00E03C03">
        <w:rPr>
          <w:rFonts w:cs="Arial"/>
          <w:b/>
          <w:color w:val="000000" w:themeColor="text1"/>
          <w:sz w:val="24"/>
        </w:rPr>
        <w:t>Role of study sponsor and funder</w:t>
      </w:r>
    </w:p>
    <w:p w14:paraId="73C9D2D9" w14:textId="74B1C7A7" w:rsidR="000267B9" w:rsidRPr="00E03C03" w:rsidRDefault="000267B9" w:rsidP="00412AB5">
      <w:pPr>
        <w:jc w:val="both"/>
        <w:rPr>
          <w:rFonts w:cs="Arial"/>
          <w:color w:val="000000" w:themeColor="text1"/>
          <w:sz w:val="24"/>
        </w:rPr>
      </w:pPr>
      <w:r w:rsidRPr="00E03C03">
        <w:rPr>
          <w:rFonts w:cs="Arial"/>
          <w:color w:val="000000" w:themeColor="text1"/>
          <w:sz w:val="24"/>
        </w:rPr>
        <w:t>Neither the funder nor the sponsor</w:t>
      </w:r>
      <w:r w:rsidR="00DE0D2E">
        <w:rPr>
          <w:rFonts w:cs="Arial"/>
          <w:color w:val="000000" w:themeColor="text1"/>
          <w:sz w:val="24"/>
        </w:rPr>
        <w:t xml:space="preserve"> has</w:t>
      </w:r>
      <w:r w:rsidRPr="00E03C03">
        <w:rPr>
          <w:rFonts w:cs="Arial"/>
          <w:color w:val="000000" w:themeColor="text1"/>
          <w:sz w:val="24"/>
        </w:rPr>
        <w:t xml:space="preserve"> had any role in study design, data collection or analysis, decision to publish, or preparation of manuscripts.</w:t>
      </w:r>
    </w:p>
    <w:p w14:paraId="26C20018" w14:textId="35E6D6C3" w:rsidR="00955BB7" w:rsidRPr="00E03C03" w:rsidRDefault="000267B9" w:rsidP="00412AB5">
      <w:pPr>
        <w:jc w:val="both"/>
        <w:rPr>
          <w:i/>
          <w:color w:val="000000" w:themeColor="text1"/>
          <w:sz w:val="24"/>
        </w:rPr>
      </w:pPr>
      <w:r w:rsidRPr="00E03C03" w:rsidDel="000267B9">
        <w:rPr>
          <w:color w:val="000000" w:themeColor="text1"/>
          <w:sz w:val="24"/>
        </w:rPr>
        <w:t xml:space="preserve"> </w:t>
      </w:r>
    </w:p>
    <w:p w14:paraId="605CB3C6" w14:textId="77777777" w:rsidR="00C45CFE" w:rsidRDefault="00C45CFE">
      <w:pPr>
        <w:rPr>
          <w:rFonts w:cs="Arial"/>
          <w:color w:val="000000" w:themeColor="text1"/>
          <w:sz w:val="24"/>
        </w:rPr>
      </w:pPr>
      <w:r>
        <w:rPr>
          <w:rFonts w:cs="Arial"/>
          <w:color w:val="000000" w:themeColor="text1"/>
          <w:sz w:val="24"/>
        </w:rPr>
        <w:br w:type="page"/>
      </w:r>
    </w:p>
    <w:p w14:paraId="2216F8A1" w14:textId="7C4FA899" w:rsidR="0068341D" w:rsidRDefault="0068341D" w:rsidP="00501FD3">
      <w:pPr>
        <w:rPr>
          <w:rFonts w:cs="Arial"/>
          <w:b/>
          <w:color w:val="000000" w:themeColor="text1"/>
          <w:sz w:val="24"/>
        </w:rPr>
      </w:pPr>
      <w:r>
        <w:rPr>
          <w:rFonts w:cs="Arial"/>
          <w:b/>
          <w:color w:val="000000" w:themeColor="text1"/>
          <w:sz w:val="24"/>
        </w:rPr>
        <w:lastRenderedPageBreak/>
        <w:t>Chief Investigator: Professor Simon Heller, Professor of Clinical Diabetes, Sheffield Teaching Hospitals NHS Foundation Trust</w:t>
      </w:r>
    </w:p>
    <w:p w14:paraId="15E0C4D0" w14:textId="5E2EB62D" w:rsidR="0068341D" w:rsidRDefault="0068341D" w:rsidP="0068341D">
      <w:pPr>
        <w:jc w:val="both"/>
        <w:rPr>
          <w:rFonts w:cs="Arial"/>
          <w:b/>
          <w:color w:val="000000" w:themeColor="text1"/>
          <w:sz w:val="24"/>
        </w:rPr>
      </w:pPr>
    </w:p>
    <w:p w14:paraId="410FBBE2" w14:textId="5B0A1D89" w:rsidR="0068341D" w:rsidRDefault="0068341D" w:rsidP="0068341D">
      <w:pPr>
        <w:jc w:val="both"/>
        <w:rPr>
          <w:rFonts w:cs="Arial"/>
          <w:b/>
          <w:color w:val="000000" w:themeColor="text1"/>
          <w:sz w:val="24"/>
        </w:rPr>
      </w:pPr>
      <w:r>
        <w:rPr>
          <w:rFonts w:cs="Arial"/>
          <w:b/>
          <w:color w:val="000000" w:themeColor="text1"/>
          <w:sz w:val="24"/>
        </w:rPr>
        <w:t>Trial Co-ordinating Centre</w:t>
      </w:r>
      <w:r w:rsidR="00B60FE1">
        <w:rPr>
          <w:rFonts w:cs="Arial"/>
          <w:b/>
          <w:color w:val="000000" w:themeColor="text1"/>
          <w:sz w:val="24"/>
        </w:rPr>
        <w:t>: Sheffield C</w:t>
      </w:r>
      <w:r w:rsidR="003B7AB6">
        <w:rPr>
          <w:rFonts w:cs="Arial"/>
          <w:b/>
          <w:color w:val="000000" w:themeColor="text1"/>
          <w:sz w:val="24"/>
        </w:rPr>
        <w:t>TRU</w:t>
      </w:r>
      <w:r w:rsidR="00944484">
        <w:rPr>
          <w:rFonts w:cs="Arial"/>
          <w:b/>
          <w:color w:val="000000" w:themeColor="text1"/>
          <w:sz w:val="24"/>
        </w:rPr>
        <w:t>, University of Sheffield</w:t>
      </w:r>
    </w:p>
    <w:p w14:paraId="2B880D76" w14:textId="04F5D313" w:rsidR="00B60FE1" w:rsidRPr="00944484" w:rsidRDefault="00B60FE1" w:rsidP="0068341D">
      <w:pPr>
        <w:jc w:val="both"/>
        <w:rPr>
          <w:rFonts w:cs="Arial"/>
          <w:bCs/>
          <w:color w:val="000000" w:themeColor="text1"/>
          <w:sz w:val="24"/>
        </w:rPr>
      </w:pPr>
      <w:r w:rsidRPr="00944484">
        <w:rPr>
          <w:rFonts w:cs="Arial"/>
          <w:bCs/>
          <w:color w:val="000000" w:themeColor="text1"/>
          <w:sz w:val="24"/>
        </w:rPr>
        <w:t>Mrs Elaine Scott, Trial Manager</w:t>
      </w:r>
    </w:p>
    <w:p w14:paraId="65AF260A" w14:textId="55927E7D" w:rsidR="00B60FE1" w:rsidRPr="00944484" w:rsidRDefault="00B60FE1" w:rsidP="0068341D">
      <w:pPr>
        <w:jc w:val="both"/>
        <w:rPr>
          <w:rFonts w:cs="Arial"/>
          <w:bCs/>
          <w:color w:val="000000" w:themeColor="text1"/>
          <w:sz w:val="24"/>
        </w:rPr>
      </w:pPr>
      <w:r w:rsidRPr="00944484">
        <w:rPr>
          <w:rFonts w:cs="Arial"/>
          <w:bCs/>
          <w:color w:val="000000" w:themeColor="text1"/>
          <w:sz w:val="24"/>
        </w:rPr>
        <w:t>Mrs Liz Cross, Senior Trial Manager</w:t>
      </w:r>
    </w:p>
    <w:p w14:paraId="7C80567C" w14:textId="1F1D403B" w:rsidR="00B60FE1" w:rsidRPr="00944484" w:rsidRDefault="00B60FE1" w:rsidP="0068341D">
      <w:pPr>
        <w:jc w:val="both"/>
        <w:rPr>
          <w:rFonts w:cs="Arial"/>
          <w:bCs/>
          <w:color w:val="000000" w:themeColor="text1"/>
          <w:sz w:val="24"/>
        </w:rPr>
      </w:pPr>
      <w:r w:rsidRPr="00944484">
        <w:rPr>
          <w:rFonts w:cs="Arial"/>
          <w:bCs/>
          <w:color w:val="000000" w:themeColor="text1"/>
          <w:sz w:val="24"/>
        </w:rPr>
        <w:t>Miss Jose Schutter, Research Assistant</w:t>
      </w:r>
    </w:p>
    <w:p w14:paraId="4035EB34" w14:textId="5979566A" w:rsidR="00B60FE1" w:rsidRPr="00944484" w:rsidRDefault="00B60FE1" w:rsidP="0068341D">
      <w:pPr>
        <w:jc w:val="both"/>
        <w:rPr>
          <w:rFonts w:cs="Arial"/>
          <w:bCs/>
          <w:color w:val="000000" w:themeColor="text1"/>
          <w:sz w:val="24"/>
        </w:rPr>
      </w:pPr>
      <w:r w:rsidRPr="00944484">
        <w:rPr>
          <w:rFonts w:cs="Arial"/>
          <w:bCs/>
          <w:color w:val="000000" w:themeColor="text1"/>
          <w:sz w:val="24"/>
        </w:rPr>
        <w:t>Mr Tim Chater, Data Manager</w:t>
      </w:r>
    </w:p>
    <w:p w14:paraId="1EF4FDA5" w14:textId="21D8C828" w:rsidR="00B60FE1" w:rsidRDefault="00B60FE1" w:rsidP="0068341D">
      <w:pPr>
        <w:jc w:val="both"/>
        <w:rPr>
          <w:rFonts w:cs="Arial"/>
          <w:bCs/>
          <w:color w:val="000000" w:themeColor="text1"/>
          <w:sz w:val="24"/>
        </w:rPr>
      </w:pPr>
      <w:r w:rsidRPr="00944484">
        <w:rPr>
          <w:rFonts w:cs="Arial"/>
          <w:bCs/>
          <w:color w:val="000000" w:themeColor="text1"/>
          <w:sz w:val="24"/>
        </w:rPr>
        <w:t>Miss Becky Brown, Trials Support Officer</w:t>
      </w:r>
    </w:p>
    <w:p w14:paraId="14837330" w14:textId="037A1854" w:rsidR="00B60FE1" w:rsidRPr="00944484" w:rsidRDefault="00B60FE1" w:rsidP="0068341D">
      <w:pPr>
        <w:jc w:val="both"/>
        <w:rPr>
          <w:rFonts w:cs="Arial"/>
          <w:bCs/>
          <w:color w:val="000000" w:themeColor="text1"/>
          <w:sz w:val="24"/>
        </w:rPr>
      </w:pPr>
      <w:r>
        <w:rPr>
          <w:rFonts w:cs="Arial"/>
          <w:bCs/>
          <w:color w:val="000000" w:themeColor="text1"/>
          <w:sz w:val="24"/>
        </w:rPr>
        <w:t>Professor Cindy Cooper, Trials Oversight</w:t>
      </w:r>
    </w:p>
    <w:p w14:paraId="60F8340F" w14:textId="46E4F7C6" w:rsidR="00B60FE1" w:rsidRDefault="00B60FE1" w:rsidP="0068341D">
      <w:pPr>
        <w:jc w:val="both"/>
        <w:rPr>
          <w:rFonts w:cs="Arial"/>
          <w:b/>
          <w:color w:val="000000" w:themeColor="text1"/>
          <w:sz w:val="24"/>
        </w:rPr>
      </w:pPr>
    </w:p>
    <w:p w14:paraId="59025260" w14:textId="4D47BCF4" w:rsidR="00AE4B3E" w:rsidRDefault="00AE4B3E" w:rsidP="0068341D">
      <w:pPr>
        <w:jc w:val="both"/>
        <w:rPr>
          <w:rFonts w:cs="Arial"/>
          <w:b/>
          <w:color w:val="000000" w:themeColor="text1"/>
          <w:sz w:val="24"/>
        </w:rPr>
      </w:pPr>
      <w:r>
        <w:rPr>
          <w:rFonts w:cs="Arial"/>
          <w:b/>
          <w:color w:val="000000" w:themeColor="text1"/>
          <w:sz w:val="24"/>
        </w:rPr>
        <w:t>Trial Management Group:</w:t>
      </w:r>
    </w:p>
    <w:p w14:paraId="727E8819"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Stephanie Amiel, King’s College London</w:t>
      </w:r>
    </w:p>
    <w:p w14:paraId="7B380CC2"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Wendy Baird, University of Sheffield</w:t>
      </w:r>
    </w:p>
    <w:p w14:paraId="304E5B0D"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Mohammed Benaissa, University of Sheffield</w:t>
      </w:r>
    </w:p>
    <w:p w14:paraId="48E46A02"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Alan Brennan, University of Sheffield</w:t>
      </w:r>
    </w:p>
    <w:p w14:paraId="7DC3A9C3"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Miss Becky Brown, University of Sheffield</w:t>
      </w:r>
    </w:p>
    <w:p w14:paraId="56549247"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Paul Chadwick, University College London</w:t>
      </w:r>
    </w:p>
    <w:p w14:paraId="057C9220"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Mr Tim Chater, University of Sheffield</w:t>
      </w:r>
    </w:p>
    <w:p w14:paraId="16FE916C"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Pratik Choudhary, King’s College London</w:t>
      </w:r>
    </w:p>
    <w:p w14:paraId="3F1D8DC3"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Debbie Cooke, University of Surrey</w:t>
      </w:r>
    </w:p>
    <w:p w14:paraId="6BD44E26" w14:textId="5345F872" w:rsidR="00AE4B3E" w:rsidRDefault="00AE4B3E" w:rsidP="00AE4B3E">
      <w:pPr>
        <w:jc w:val="both"/>
        <w:rPr>
          <w:rFonts w:cs="Arial"/>
          <w:bCs/>
          <w:color w:val="000000" w:themeColor="text1"/>
          <w:sz w:val="24"/>
        </w:rPr>
      </w:pPr>
      <w:r w:rsidRPr="00AE4B3E">
        <w:rPr>
          <w:rFonts w:cs="Arial"/>
          <w:bCs/>
          <w:color w:val="000000" w:themeColor="text1"/>
          <w:sz w:val="24"/>
        </w:rPr>
        <w:t>Professor Cindy Cooper, University of Sheffield</w:t>
      </w:r>
    </w:p>
    <w:p w14:paraId="3E591052" w14:textId="0F2097E4" w:rsidR="00C45CFE" w:rsidRPr="00AE4B3E" w:rsidRDefault="00C45CFE" w:rsidP="00AE4B3E">
      <w:pPr>
        <w:jc w:val="both"/>
        <w:rPr>
          <w:rFonts w:cs="Arial"/>
          <w:bCs/>
          <w:color w:val="000000" w:themeColor="text1"/>
          <w:sz w:val="24"/>
        </w:rPr>
      </w:pPr>
      <w:r>
        <w:rPr>
          <w:rFonts w:cs="Arial"/>
          <w:bCs/>
          <w:color w:val="000000" w:themeColor="text1"/>
          <w:sz w:val="24"/>
        </w:rPr>
        <w:t>Dr Mohammad Eissa, University of Sheffield</w:t>
      </w:r>
    </w:p>
    <w:p w14:paraId="4AC6FF9D"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Tim Good, University of Sheffield</w:t>
      </w:r>
    </w:p>
    <w:p w14:paraId="4F4914F5"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Ms Carla Gianfrancesco, Sheffield Teaching Hospitals NHS Foundation Trust</w:t>
      </w:r>
    </w:p>
    <w:p w14:paraId="41B5DC90" w14:textId="073F6D13" w:rsidR="00AE4B3E" w:rsidRDefault="00AE4B3E" w:rsidP="00AE4B3E">
      <w:pPr>
        <w:jc w:val="both"/>
        <w:rPr>
          <w:rFonts w:cs="Arial"/>
          <w:bCs/>
          <w:color w:val="000000" w:themeColor="text1"/>
          <w:sz w:val="24"/>
        </w:rPr>
      </w:pPr>
      <w:r w:rsidRPr="00AE4B3E">
        <w:rPr>
          <w:rFonts w:cs="Arial"/>
          <w:bCs/>
          <w:color w:val="000000" w:themeColor="text1"/>
          <w:sz w:val="24"/>
        </w:rPr>
        <w:t>Dr Jackie Elliott, University of Sheffield</w:t>
      </w:r>
    </w:p>
    <w:p w14:paraId="78DB46D1"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David Hopkins, King’s College Hospital NHS Foundation Trust</w:t>
      </w:r>
    </w:p>
    <w:p w14:paraId="0F38BD36"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Julia Lawton, University of Edinburgh</w:t>
      </w:r>
    </w:p>
    <w:p w14:paraId="0EBF68B5" w14:textId="77777777" w:rsidR="00AE4B3E" w:rsidRPr="00AE4B3E" w:rsidRDefault="00AE4B3E" w:rsidP="00AE4B3E">
      <w:pPr>
        <w:jc w:val="both"/>
        <w:rPr>
          <w:rFonts w:cs="Arial"/>
          <w:bCs/>
          <w:color w:val="000000" w:themeColor="text1"/>
          <w:sz w:val="24"/>
          <w:lang w:val="it-IT"/>
        </w:rPr>
      </w:pPr>
      <w:r w:rsidRPr="00AE4B3E">
        <w:rPr>
          <w:rFonts w:cs="Arial"/>
          <w:bCs/>
          <w:color w:val="000000" w:themeColor="text1"/>
          <w:sz w:val="24"/>
          <w:lang w:val="it-IT"/>
        </w:rPr>
        <w:t>Dr Fabiana Lorencatto, University College London</w:t>
      </w:r>
    </w:p>
    <w:p w14:paraId="6020A20C"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Susan Michie, University College London</w:t>
      </w:r>
    </w:p>
    <w:p w14:paraId="21745572"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Mr Dan Pollard, University of Sheffield</w:t>
      </w:r>
    </w:p>
    <w:p w14:paraId="06FEC71E"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David Rankin, University of Edinburgh</w:t>
      </w:r>
    </w:p>
    <w:p w14:paraId="1222D8E7" w14:textId="5DE7DDC6" w:rsidR="00472DE6" w:rsidRDefault="00472DE6" w:rsidP="00AE4B3E">
      <w:pPr>
        <w:jc w:val="both"/>
        <w:rPr>
          <w:rFonts w:cs="Arial"/>
          <w:bCs/>
          <w:color w:val="000000" w:themeColor="text1"/>
          <w:sz w:val="24"/>
        </w:rPr>
      </w:pPr>
      <w:r w:rsidRPr="00AE4B3E">
        <w:rPr>
          <w:rFonts w:cs="Arial"/>
          <w:bCs/>
          <w:color w:val="000000" w:themeColor="text1"/>
          <w:sz w:val="24"/>
        </w:rPr>
        <w:t>Miss Jose Schutter, University of Sheffield</w:t>
      </w:r>
    </w:p>
    <w:p w14:paraId="238AE29D" w14:textId="77777777" w:rsidR="00472DE6" w:rsidRPr="00AE4B3E" w:rsidRDefault="00472DE6" w:rsidP="00472DE6">
      <w:pPr>
        <w:jc w:val="both"/>
        <w:rPr>
          <w:rFonts w:cs="Arial"/>
          <w:bCs/>
          <w:color w:val="000000" w:themeColor="text1"/>
          <w:sz w:val="24"/>
        </w:rPr>
      </w:pPr>
      <w:r w:rsidRPr="00AE4B3E">
        <w:rPr>
          <w:rFonts w:cs="Arial"/>
          <w:bCs/>
          <w:color w:val="000000" w:themeColor="text1"/>
          <w:sz w:val="24"/>
        </w:rPr>
        <w:t>Mrs Elaine Scott, University of Sheffield</w:t>
      </w:r>
    </w:p>
    <w:p w14:paraId="77296F0F" w14:textId="7924AA22" w:rsidR="00AE4B3E" w:rsidRPr="00AE4B3E" w:rsidRDefault="00AE4B3E" w:rsidP="00AE4B3E">
      <w:pPr>
        <w:jc w:val="both"/>
        <w:rPr>
          <w:rFonts w:cs="Arial"/>
          <w:bCs/>
          <w:color w:val="000000" w:themeColor="text1"/>
          <w:sz w:val="24"/>
        </w:rPr>
      </w:pPr>
      <w:r w:rsidRPr="00AE4B3E">
        <w:rPr>
          <w:rFonts w:cs="Arial"/>
          <w:bCs/>
          <w:color w:val="000000" w:themeColor="text1"/>
          <w:sz w:val="24"/>
        </w:rPr>
        <w:t>Professor Jane Speight, Deakin University, Australia</w:t>
      </w:r>
    </w:p>
    <w:p w14:paraId="0B969640"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Dr Stephanie Stanton-Fay, University College London</w:t>
      </w:r>
    </w:p>
    <w:p w14:paraId="2B0EDC35"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Mrs Carolin Taylor, Sheffield Teaching Hospitals NHS Foundation Trust</w:t>
      </w:r>
    </w:p>
    <w:p w14:paraId="7422B79D" w14:textId="77777777" w:rsidR="00AE4B3E" w:rsidRPr="00AE4B3E" w:rsidRDefault="00AE4B3E" w:rsidP="00AE4B3E">
      <w:pPr>
        <w:jc w:val="both"/>
        <w:rPr>
          <w:rFonts w:cs="Arial"/>
          <w:bCs/>
          <w:color w:val="000000" w:themeColor="text1"/>
          <w:sz w:val="24"/>
        </w:rPr>
      </w:pPr>
      <w:r w:rsidRPr="00AE4B3E">
        <w:rPr>
          <w:rFonts w:cs="Arial"/>
          <w:bCs/>
          <w:color w:val="000000" w:themeColor="text1"/>
          <w:sz w:val="24"/>
        </w:rPr>
        <w:t>Mrs Gill Thompson, Northumbria Healthcare NHS Foundation Trust</w:t>
      </w:r>
    </w:p>
    <w:p w14:paraId="72EB047C" w14:textId="1404DCC5" w:rsidR="00AE4B3E" w:rsidRDefault="00AE4B3E" w:rsidP="00AE4B3E">
      <w:pPr>
        <w:jc w:val="both"/>
        <w:rPr>
          <w:rFonts w:cs="Arial"/>
          <w:bCs/>
          <w:color w:val="000000" w:themeColor="text1"/>
          <w:sz w:val="24"/>
        </w:rPr>
      </w:pPr>
      <w:r w:rsidRPr="00AE4B3E">
        <w:rPr>
          <w:rFonts w:cs="Arial"/>
          <w:bCs/>
          <w:color w:val="000000" w:themeColor="text1"/>
          <w:sz w:val="24"/>
        </w:rPr>
        <w:t>Ms Nikki Totton, University of Sheffield</w:t>
      </w:r>
    </w:p>
    <w:p w14:paraId="19963A53" w14:textId="68BBF18E" w:rsidR="004D2B5D" w:rsidRPr="00AE4B3E" w:rsidRDefault="004D2B5D" w:rsidP="00AE4B3E">
      <w:pPr>
        <w:jc w:val="both"/>
        <w:rPr>
          <w:rFonts w:cs="Arial"/>
          <w:bCs/>
          <w:color w:val="000000" w:themeColor="text1"/>
          <w:sz w:val="24"/>
        </w:rPr>
      </w:pPr>
      <w:r>
        <w:rPr>
          <w:rFonts w:cs="Arial"/>
          <w:bCs/>
          <w:color w:val="000000" w:themeColor="text1"/>
          <w:sz w:val="24"/>
        </w:rPr>
        <w:t>Mr Chris Turtle, University of Sheffield</w:t>
      </w:r>
    </w:p>
    <w:p w14:paraId="2C71E21B" w14:textId="3D17EC07" w:rsidR="00AE4B3E" w:rsidRDefault="00AE4B3E" w:rsidP="00AE4B3E">
      <w:pPr>
        <w:jc w:val="both"/>
        <w:rPr>
          <w:rFonts w:cs="Arial"/>
          <w:b/>
          <w:color w:val="000000" w:themeColor="text1"/>
          <w:sz w:val="24"/>
        </w:rPr>
      </w:pPr>
      <w:r w:rsidRPr="00AE4B3E">
        <w:rPr>
          <w:rFonts w:cs="Arial"/>
          <w:bCs/>
          <w:color w:val="000000" w:themeColor="text1"/>
          <w:sz w:val="24"/>
        </w:rPr>
        <w:t>Dr Nicole de Zoysa, King’s College Hospital NHS Foundation Trust</w:t>
      </w:r>
    </w:p>
    <w:p w14:paraId="136FBFD8" w14:textId="77777777" w:rsidR="00562D24" w:rsidRPr="00E03C03" w:rsidRDefault="00562D24" w:rsidP="00412AB5">
      <w:pPr>
        <w:jc w:val="both"/>
        <w:rPr>
          <w:color w:val="000000" w:themeColor="text1"/>
        </w:rPr>
      </w:pPr>
    </w:p>
    <w:p w14:paraId="644057A8" w14:textId="7D5508B5" w:rsidR="00562D24" w:rsidRDefault="00562D24" w:rsidP="00D96B1E">
      <w:pPr>
        <w:rPr>
          <w:b/>
          <w:color w:val="000000" w:themeColor="text1"/>
          <w:sz w:val="24"/>
        </w:rPr>
      </w:pPr>
      <w:r w:rsidRPr="00D96B1E">
        <w:rPr>
          <w:b/>
          <w:color w:val="000000" w:themeColor="text1"/>
          <w:sz w:val="24"/>
        </w:rPr>
        <w:t>Trial Steering Committee</w:t>
      </w:r>
      <w:r w:rsidR="00D96B1E" w:rsidRPr="00D96B1E">
        <w:rPr>
          <w:b/>
          <w:color w:val="000000" w:themeColor="text1"/>
          <w:sz w:val="24"/>
        </w:rPr>
        <w:t xml:space="preserve"> membership</w:t>
      </w:r>
      <w:r w:rsidR="00D96B1E">
        <w:rPr>
          <w:b/>
          <w:color w:val="000000" w:themeColor="text1"/>
          <w:sz w:val="24"/>
        </w:rPr>
        <w:t xml:space="preserve">: </w:t>
      </w:r>
    </w:p>
    <w:p w14:paraId="3F9651EE" w14:textId="77777777" w:rsidR="00D96B1E" w:rsidRDefault="00D96B1E" w:rsidP="00D96B1E">
      <w:pPr>
        <w:rPr>
          <w:rFonts w:cs="Arial"/>
          <w:color w:val="000000" w:themeColor="text1"/>
          <w:sz w:val="24"/>
        </w:rPr>
      </w:pPr>
      <w:r>
        <w:rPr>
          <w:rFonts w:cs="Arial"/>
          <w:color w:val="000000" w:themeColor="text1"/>
          <w:sz w:val="24"/>
        </w:rPr>
        <w:t xml:space="preserve">Chair: </w:t>
      </w:r>
      <w:r w:rsidRPr="00BD72F0">
        <w:rPr>
          <w:rFonts w:cs="Arial"/>
          <w:color w:val="000000" w:themeColor="text1"/>
          <w:sz w:val="24"/>
        </w:rPr>
        <w:t>Professor Simon Griffin, University of Cambridge</w:t>
      </w:r>
      <w:r>
        <w:rPr>
          <w:rFonts w:cs="Arial"/>
          <w:color w:val="000000" w:themeColor="text1"/>
          <w:sz w:val="24"/>
        </w:rPr>
        <w:t xml:space="preserve">; </w:t>
      </w:r>
    </w:p>
    <w:p w14:paraId="423BEFE8" w14:textId="1FDFA4A0" w:rsidR="00D96B1E" w:rsidRDefault="00D96B1E" w:rsidP="00D96B1E">
      <w:pPr>
        <w:rPr>
          <w:rFonts w:cs="Arial"/>
          <w:color w:val="000000" w:themeColor="text1"/>
          <w:sz w:val="24"/>
        </w:rPr>
      </w:pPr>
      <w:r>
        <w:rPr>
          <w:rFonts w:cs="Arial"/>
          <w:color w:val="000000" w:themeColor="text1"/>
          <w:sz w:val="24"/>
        </w:rPr>
        <w:t xml:space="preserve">Independent Statistician: </w:t>
      </w:r>
      <w:r w:rsidRPr="00BD72F0">
        <w:rPr>
          <w:rFonts w:cs="Arial"/>
          <w:color w:val="000000" w:themeColor="text1"/>
          <w:sz w:val="24"/>
        </w:rPr>
        <w:t>Professor Catherine Hewitt, University of York</w:t>
      </w:r>
      <w:r>
        <w:rPr>
          <w:rFonts w:cs="Arial"/>
          <w:color w:val="000000" w:themeColor="text1"/>
          <w:sz w:val="24"/>
        </w:rPr>
        <w:t xml:space="preserve">; </w:t>
      </w:r>
    </w:p>
    <w:p w14:paraId="61BB49B1" w14:textId="46C78F4B" w:rsidR="00D96B1E" w:rsidRDefault="00D96B1E" w:rsidP="00D96B1E">
      <w:pPr>
        <w:rPr>
          <w:rFonts w:cs="Arial"/>
          <w:color w:val="000000" w:themeColor="text1"/>
          <w:sz w:val="24"/>
        </w:rPr>
      </w:pPr>
      <w:r>
        <w:rPr>
          <w:rFonts w:cs="Arial"/>
          <w:color w:val="000000" w:themeColor="text1"/>
          <w:sz w:val="24"/>
        </w:rPr>
        <w:t xml:space="preserve">Independent Clinical Expert: </w:t>
      </w:r>
      <w:r w:rsidRPr="00BD72F0">
        <w:rPr>
          <w:rFonts w:cs="Arial"/>
          <w:color w:val="000000" w:themeColor="text1"/>
          <w:sz w:val="24"/>
        </w:rPr>
        <w:t>Professor James Shaw, University of Newcastle</w:t>
      </w:r>
    </w:p>
    <w:p w14:paraId="02015C33" w14:textId="7BEDD797" w:rsidR="00D96B1E" w:rsidRDefault="00D96B1E" w:rsidP="00D96B1E">
      <w:pPr>
        <w:rPr>
          <w:rFonts w:cs="Arial"/>
          <w:color w:val="000000" w:themeColor="text1"/>
          <w:sz w:val="24"/>
        </w:rPr>
      </w:pPr>
      <w:r>
        <w:rPr>
          <w:rFonts w:cs="Arial"/>
          <w:color w:val="000000" w:themeColor="text1"/>
          <w:sz w:val="24"/>
        </w:rPr>
        <w:t xml:space="preserve">Patient Representative: </w:t>
      </w:r>
      <w:r w:rsidRPr="00BD72F0">
        <w:rPr>
          <w:rFonts w:cs="Arial"/>
          <w:color w:val="000000" w:themeColor="text1"/>
          <w:sz w:val="24"/>
        </w:rPr>
        <w:t>Mr Arthur Durrant,</w:t>
      </w:r>
      <w:r w:rsidR="00036F79">
        <w:rPr>
          <w:rFonts w:cs="Arial"/>
          <w:color w:val="000000" w:themeColor="text1"/>
          <w:sz w:val="24"/>
        </w:rPr>
        <w:t xml:space="preserve"> Ms</w:t>
      </w:r>
      <w:r w:rsidR="00232C9C">
        <w:rPr>
          <w:rFonts w:cs="Arial"/>
          <w:color w:val="000000" w:themeColor="text1"/>
          <w:sz w:val="24"/>
        </w:rPr>
        <w:t xml:space="preserve"> Lynne Dawson</w:t>
      </w:r>
    </w:p>
    <w:p w14:paraId="0A8F6191" w14:textId="01A6F02C" w:rsidR="00D96B1E" w:rsidRDefault="00D96B1E" w:rsidP="00D96B1E">
      <w:pPr>
        <w:rPr>
          <w:rFonts w:cs="Arial"/>
          <w:color w:val="000000" w:themeColor="text1"/>
          <w:sz w:val="24"/>
        </w:rPr>
      </w:pPr>
      <w:r>
        <w:rPr>
          <w:rFonts w:cs="Arial"/>
          <w:color w:val="000000" w:themeColor="text1"/>
          <w:sz w:val="24"/>
        </w:rPr>
        <w:t xml:space="preserve">Sponsor’s Representative: </w:t>
      </w:r>
      <w:r w:rsidRPr="00BD72F0">
        <w:rPr>
          <w:rFonts w:cs="Arial"/>
          <w:color w:val="000000" w:themeColor="text1"/>
          <w:sz w:val="24"/>
        </w:rPr>
        <w:t>Dr Erica Wallis, Sheffield Teaching Hospitals NHS Foundation Trust</w:t>
      </w:r>
    </w:p>
    <w:p w14:paraId="70D1116D" w14:textId="18806DE0" w:rsidR="00D96B1E" w:rsidRPr="00D96B1E" w:rsidRDefault="00D96B1E" w:rsidP="00D96B1E">
      <w:pPr>
        <w:rPr>
          <w:b/>
          <w:color w:val="000000" w:themeColor="text1"/>
          <w:sz w:val="24"/>
        </w:rPr>
      </w:pPr>
      <w:r>
        <w:rPr>
          <w:rFonts w:cs="Arial"/>
          <w:color w:val="000000" w:themeColor="text1"/>
          <w:sz w:val="24"/>
        </w:rPr>
        <w:t xml:space="preserve">Funder’s Representative: </w:t>
      </w:r>
      <w:r w:rsidRPr="00BD72F0">
        <w:rPr>
          <w:rFonts w:cs="Arial"/>
          <w:color w:val="000000" w:themeColor="text1"/>
          <w:sz w:val="24"/>
        </w:rPr>
        <w:t xml:space="preserve">Mr </w:t>
      </w:r>
      <w:r>
        <w:rPr>
          <w:rFonts w:cs="Arial"/>
          <w:color w:val="000000" w:themeColor="text1"/>
          <w:sz w:val="24"/>
        </w:rPr>
        <w:t>Ramnath Elaswarapu, National Institute for Health Research</w:t>
      </w:r>
      <w:r>
        <w:rPr>
          <w:rFonts w:cs="Arial"/>
          <w:color w:val="000000" w:themeColor="text1"/>
          <w:sz w:val="24"/>
        </w:rPr>
        <w:tab/>
      </w:r>
    </w:p>
    <w:p w14:paraId="242B4F9E" w14:textId="60F236C8" w:rsidR="00084D40" w:rsidRPr="00F91E6D" w:rsidRDefault="00084D40" w:rsidP="00D6588A">
      <w:pPr>
        <w:rPr>
          <w:b/>
          <w:sz w:val="28"/>
        </w:rPr>
      </w:pPr>
      <w:r w:rsidRPr="00E954DA">
        <w:rPr>
          <w:b/>
          <w:bCs/>
          <w:color w:val="000000" w:themeColor="text1"/>
          <w:szCs w:val="22"/>
        </w:rPr>
        <w:br w:type="page"/>
      </w:r>
      <w:bookmarkStart w:id="0" w:name="_Toc167000983"/>
      <w:bookmarkStart w:id="1" w:name="_Toc175731210"/>
      <w:bookmarkStart w:id="2" w:name="_Toc519501939"/>
      <w:r w:rsidRPr="00F91E6D">
        <w:rPr>
          <w:b/>
          <w:sz w:val="28"/>
        </w:rPr>
        <w:lastRenderedPageBreak/>
        <w:t>Introduction</w:t>
      </w:r>
      <w:bookmarkEnd w:id="0"/>
      <w:bookmarkEnd w:id="1"/>
      <w:bookmarkEnd w:id="2"/>
    </w:p>
    <w:p w14:paraId="2B165B08" w14:textId="77777777" w:rsidR="00BD72F0" w:rsidRPr="00F91E6D" w:rsidRDefault="00BD72F0" w:rsidP="003F0D98">
      <w:pPr>
        <w:rPr>
          <w:b/>
          <w:sz w:val="28"/>
        </w:rPr>
      </w:pPr>
    </w:p>
    <w:p w14:paraId="2C9A2AF5" w14:textId="542503F4" w:rsidR="00084D40" w:rsidRPr="00967A14" w:rsidRDefault="00084D40" w:rsidP="003F0D98">
      <w:r w:rsidRPr="00F91E6D">
        <w:rPr>
          <w:b/>
          <w:sz w:val="28"/>
        </w:rPr>
        <w:t>Background and Rationale</w:t>
      </w:r>
    </w:p>
    <w:p w14:paraId="316EB938" w14:textId="77777777" w:rsidR="00084D40" w:rsidRPr="00E03C03" w:rsidRDefault="00084D40" w:rsidP="00BD72F0">
      <w:pPr>
        <w:jc w:val="both"/>
        <w:rPr>
          <w:color w:val="000000" w:themeColor="text1"/>
        </w:rPr>
      </w:pPr>
    </w:p>
    <w:p w14:paraId="6782582B" w14:textId="759C7E95" w:rsidR="002B65AF" w:rsidRPr="00967A14" w:rsidRDefault="000D066C" w:rsidP="00AE0CAF">
      <w:pPr>
        <w:autoSpaceDE w:val="0"/>
        <w:autoSpaceDN w:val="0"/>
        <w:adjustRightInd w:val="0"/>
        <w:jc w:val="both"/>
        <w:rPr>
          <w:rFonts w:cs="Arial"/>
          <w:sz w:val="24"/>
        </w:rPr>
      </w:pPr>
      <w:r>
        <w:rPr>
          <w:rFonts w:cs="Arial"/>
          <w:sz w:val="24"/>
        </w:rPr>
        <w:t>Type 1 diabetes (T1D) is characterised by absolute insulin deficiency, requiring insulin to be injected subcutaneously several times a day. S</w:t>
      </w:r>
      <w:r w:rsidR="002B65AF" w:rsidRPr="00967A14">
        <w:rPr>
          <w:rFonts w:cs="Arial"/>
          <w:sz w:val="24"/>
        </w:rPr>
        <w:t xml:space="preserve">uccessful management </w:t>
      </w:r>
      <w:r w:rsidR="001D7F40">
        <w:rPr>
          <w:rFonts w:cs="Arial"/>
          <w:sz w:val="24"/>
        </w:rPr>
        <w:t>requires those affected (&gt;300</w:t>
      </w:r>
      <w:r w:rsidR="002B65AF" w:rsidRPr="00967A14">
        <w:rPr>
          <w:rFonts w:cs="Arial"/>
          <w:sz w:val="24"/>
        </w:rPr>
        <w:t xml:space="preserve">,000 </w:t>
      </w:r>
      <w:r w:rsidR="001D7F40">
        <w:rPr>
          <w:rFonts w:cs="Arial"/>
          <w:sz w:val="24"/>
        </w:rPr>
        <w:t xml:space="preserve">adults </w:t>
      </w:r>
      <w:r w:rsidR="002B65AF" w:rsidRPr="00967A14">
        <w:rPr>
          <w:rFonts w:cs="Arial"/>
          <w:sz w:val="24"/>
        </w:rPr>
        <w:t>in the UK)</w:t>
      </w:r>
      <w:r w:rsidR="001E4FC0">
        <w:rPr>
          <w:rFonts w:cs="Arial"/>
          <w:sz w:val="24"/>
        </w:rPr>
        <w:fldChar w:fldCharType="begin" w:fldLock="1"/>
      </w:r>
      <w:r w:rsidR="001E4FC0">
        <w:rPr>
          <w:rFonts w:cs="Arial"/>
          <w:sz w:val="24"/>
        </w:rPr>
        <w:instrText>ADDIN CSL_CITATION {"citationItems":[{"id":"ITEM-1","itemData":{"author":[{"dropping-particle":"","family":"Diabetes UK","given":"","non-dropping-particle":"","parse-names":false,"suffix":""}],"id":"ITEM-1","issued":{"date-parts":[["2016"]]},"title":"Diabetes UK: Facts and Stats, October 2016","type":"webpage"},"uris":["http://www.mendeley.com/documents/?uuid=64184ea5-f185-4352-a05a-97099d11b5be"]}],"mendeley":{"formattedCitation":"[1]","plainTextFormattedCitation":"[1]","previouslyFormattedCitation":"[1]"},"properties":{"noteIndex":0},"schema":"https://github.com/citation-style-language/schema/raw/master/csl-citation.json"}</w:instrText>
      </w:r>
      <w:r w:rsidR="001E4FC0">
        <w:rPr>
          <w:rFonts w:cs="Arial"/>
          <w:sz w:val="24"/>
        </w:rPr>
        <w:fldChar w:fldCharType="separate"/>
      </w:r>
      <w:r w:rsidR="001E4FC0" w:rsidRPr="001E4FC0">
        <w:rPr>
          <w:rFonts w:cs="Arial"/>
          <w:noProof/>
          <w:sz w:val="24"/>
        </w:rPr>
        <w:t>[1]</w:t>
      </w:r>
      <w:r w:rsidR="001E4FC0">
        <w:rPr>
          <w:rFonts w:cs="Arial"/>
          <w:sz w:val="24"/>
        </w:rPr>
        <w:fldChar w:fldCharType="end"/>
      </w:r>
      <w:r w:rsidR="002B65AF" w:rsidRPr="00967A14">
        <w:rPr>
          <w:rFonts w:cs="Arial"/>
          <w:sz w:val="24"/>
        </w:rPr>
        <w:t xml:space="preserve"> to keep their </w:t>
      </w:r>
      <w:r w:rsidR="00046F0D">
        <w:rPr>
          <w:rFonts w:cs="Arial"/>
          <w:sz w:val="24"/>
        </w:rPr>
        <w:t xml:space="preserve">blood </w:t>
      </w:r>
      <w:r w:rsidR="002B65AF" w:rsidRPr="00967A14">
        <w:rPr>
          <w:rFonts w:cs="Arial"/>
          <w:sz w:val="24"/>
        </w:rPr>
        <w:t xml:space="preserve">glucose levels sufficiently close to </w:t>
      </w:r>
      <w:r>
        <w:rPr>
          <w:rFonts w:cs="Arial"/>
          <w:sz w:val="24"/>
        </w:rPr>
        <w:t>recommended targets</w:t>
      </w:r>
      <w:r w:rsidR="002B65AF" w:rsidRPr="00967A14">
        <w:rPr>
          <w:rFonts w:cs="Arial"/>
          <w:sz w:val="24"/>
        </w:rPr>
        <w:t xml:space="preserve"> to avoid long-term complications including blindness, renal failure, amputations and premature death</w:t>
      </w:r>
      <w:r w:rsidR="001E4FC0">
        <w:rPr>
          <w:rFonts w:cs="Arial"/>
          <w:sz w:val="24"/>
        </w:rPr>
        <w:fldChar w:fldCharType="begin" w:fldLock="1"/>
      </w:r>
      <w:r w:rsidR="001E4FC0">
        <w:rPr>
          <w:rFonts w:cs="Arial"/>
          <w:sz w:val="24"/>
        </w:rPr>
        <w:instrText>ADDIN CSL_CITATION {"citationItems":[{"id":"ITEM-1","itemData":{"DOI":"10.1056/NEJM199309303291401","ISSN":"0028-4793","abstract":"Background Long-term microvascular and neurologic complications cause major morbidity and mortality in patients with insulin-dependent diabetes mellitus (IDDM). We examined whether intensive treatment with the goal of maintaining blood glucose concentrations close to the normal range could decrease the frequency and severity of these complications. Methods A total of 1441 patients with IDDM -- 726 with no retinopathy at base line (the primary-prevention cohort) and 715 with mild retinopathy (the secondary-intervention cohort) were randomly assigned to intensive therapy administered either with an external insulin pump or by three or more daily insulin injections and guided by frequent blood glucose monitoring or to conventional therapy with one or two daily insulin injections. The patients were followed for a mean of 6.5 years, and the appearance and progression of retinopathy and other complications were assessed regularly. Results In the primary-prevention cohort, intensive therapy reduced the adjusted ...","author":[{"dropping-particle":"","family":"Group","given":"The Diabetes Control and Complications Trial Research","non-dropping-particle":"","parse-names":false,"suffix":""}],"container-title":"New England Journal of Medicine","id":"ITEM-1","issue":"14","issued":{"date-parts":[["1993","9","30"]]},"page":"977-986","publisher":"Massachusetts Medical Society","title":"The Effect of Intensive Treatment of Diabetes on the Development and Progression of Long-Term Complications in Insulin-Dependent Diabetes Mellitus","type":"article-journal","volume":"329"},"uris":["http://www.mendeley.com/documents/?uuid=7a09bb48-7065-3ce7-ac91-745b17ffd134"]}],"mendeley":{"formattedCitation":"[2]","plainTextFormattedCitation":"[2]","previouslyFormattedCitation":"[2]"},"properties":{"noteIndex":0},"schema":"https://github.com/citation-style-language/schema/raw/master/csl-citation.json"}</w:instrText>
      </w:r>
      <w:r w:rsidR="001E4FC0">
        <w:rPr>
          <w:rFonts w:cs="Arial"/>
          <w:sz w:val="24"/>
        </w:rPr>
        <w:fldChar w:fldCharType="separate"/>
      </w:r>
      <w:r w:rsidR="001E4FC0" w:rsidRPr="001E4FC0">
        <w:rPr>
          <w:rFonts w:cs="Arial"/>
          <w:noProof/>
          <w:sz w:val="24"/>
        </w:rPr>
        <w:t>[2]</w:t>
      </w:r>
      <w:r w:rsidR="001E4FC0">
        <w:rPr>
          <w:rFonts w:cs="Arial"/>
          <w:sz w:val="24"/>
        </w:rPr>
        <w:fldChar w:fldCharType="end"/>
      </w:r>
      <w:r w:rsidR="002B65AF" w:rsidRPr="00967A14">
        <w:rPr>
          <w:rFonts w:cs="Arial"/>
          <w:sz w:val="24"/>
        </w:rPr>
        <w:t xml:space="preserve">. In </w:t>
      </w:r>
      <w:r>
        <w:rPr>
          <w:rFonts w:cs="Arial"/>
          <w:sz w:val="24"/>
        </w:rPr>
        <w:t>addition, exogenous</w:t>
      </w:r>
      <w:r w:rsidR="002B65AF" w:rsidRPr="00967A14">
        <w:rPr>
          <w:rFonts w:cs="Arial"/>
          <w:sz w:val="24"/>
        </w:rPr>
        <w:t xml:space="preserve"> insulin </w:t>
      </w:r>
      <w:r>
        <w:rPr>
          <w:rFonts w:cs="Arial"/>
          <w:sz w:val="24"/>
        </w:rPr>
        <w:t>therapy</w:t>
      </w:r>
      <w:r w:rsidR="002B65AF" w:rsidRPr="00967A14">
        <w:rPr>
          <w:rFonts w:cs="Arial"/>
          <w:sz w:val="24"/>
        </w:rPr>
        <w:t xml:space="preserve"> can prevent high blood glucose and acute, life threatening emergencies such as diabetic ketoacidosis, as well as </w:t>
      </w:r>
      <w:r w:rsidR="00F3448E">
        <w:rPr>
          <w:rFonts w:cs="Arial"/>
          <w:sz w:val="24"/>
        </w:rPr>
        <w:t>being a tool to prevent</w:t>
      </w:r>
      <w:r w:rsidR="002B65AF" w:rsidRPr="00967A14">
        <w:rPr>
          <w:rFonts w:cs="Arial"/>
          <w:sz w:val="24"/>
        </w:rPr>
        <w:t xml:space="preserve"> long-term complications. </w:t>
      </w:r>
    </w:p>
    <w:p w14:paraId="0E7D6B07" w14:textId="77777777" w:rsidR="002B65AF" w:rsidRPr="00967A14" w:rsidRDefault="002B65AF" w:rsidP="00BD72F0">
      <w:pPr>
        <w:autoSpaceDE w:val="0"/>
        <w:autoSpaceDN w:val="0"/>
        <w:adjustRightInd w:val="0"/>
        <w:jc w:val="both"/>
        <w:rPr>
          <w:rFonts w:cs="Arial"/>
          <w:sz w:val="24"/>
        </w:rPr>
      </w:pPr>
    </w:p>
    <w:p w14:paraId="7C7F9340" w14:textId="740EB153" w:rsidR="002B65AF" w:rsidRPr="00967A14" w:rsidRDefault="00F3448E" w:rsidP="00AE0CAF">
      <w:pPr>
        <w:jc w:val="both"/>
        <w:rPr>
          <w:rFonts w:cs="Arial"/>
          <w:sz w:val="24"/>
        </w:rPr>
      </w:pPr>
      <w:r>
        <w:rPr>
          <w:rFonts w:cs="Arial"/>
          <w:sz w:val="24"/>
        </w:rPr>
        <w:t>Achieving the blood glucose control to help p</w:t>
      </w:r>
      <w:r w:rsidR="002B65AF" w:rsidRPr="00967A14">
        <w:rPr>
          <w:rFonts w:cs="Arial"/>
          <w:sz w:val="24"/>
        </w:rPr>
        <w:t>revent complications depends upon an individual’s ability to self-manage their condition, calculating precise insulin doses based on accurate estimations of food intake before every meal</w:t>
      </w:r>
      <w:r w:rsidR="00401778">
        <w:rPr>
          <w:rFonts w:cs="Arial"/>
          <w:sz w:val="24"/>
        </w:rPr>
        <w:t>,</w:t>
      </w:r>
      <w:r w:rsidR="002B65AF" w:rsidRPr="00967A14">
        <w:rPr>
          <w:rFonts w:cs="Arial"/>
          <w:sz w:val="24"/>
        </w:rPr>
        <w:t xml:space="preserve"> frequent blood glucose measurements, and account </w:t>
      </w:r>
      <w:r w:rsidR="004D2B5D">
        <w:rPr>
          <w:rFonts w:cs="Arial"/>
          <w:sz w:val="24"/>
        </w:rPr>
        <w:t>for</w:t>
      </w:r>
      <w:r w:rsidR="002B65AF" w:rsidRPr="00967A14">
        <w:rPr>
          <w:rFonts w:cs="Arial"/>
          <w:sz w:val="24"/>
        </w:rPr>
        <w:t xml:space="preserve"> fluctuations in physical activity, illness and hormones. If people with T1D are unable or unwilling to calculate and administer their insulin doses correctly, their blood glucose either runs high, increasing </w:t>
      </w:r>
      <w:r w:rsidR="005B31C4">
        <w:rPr>
          <w:rFonts w:cs="Arial"/>
          <w:sz w:val="24"/>
        </w:rPr>
        <w:t xml:space="preserve">the </w:t>
      </w:r>
      <w:r w:rsidR="002B65AF" w:rsidRPr="00967A14">
        <w:rPr>
          <w:rFonts w:cs="Arial"/>
          <w:sz w:val="24"/>
        </w:rPr>
        <w:t>risks of complications, or else falls too low leading to hypoglycaemia. Hypoglycaemia, if severe, can result in acute cognitive impairment, confusion, collapse and injury, coma or even death</w:t>
      </w:r>
      <w:r w:rsidR="001E4FC0">
        <w:rPr>
          <w:rFonts w:cs="Arial"/>
          <w:sz w:val="24"/>
        </w:rPr>
        <w:fldChar w:fldCharType="begin" w:fldLock="1"/>
      </w:r>
      <w:r w:rsidR="001E4FC0">
        <w:rPr>
          <w:rFonts w:cs="Arial"/>
          <w:sz w:val="24"/>
        </w:rPr>
        <w:instrText>ADDIN CSL_CITATION {"citationItems":[{"id":"ITEM-1","itemData":{"author":[{"dropping-particle":"","family":"Heller","given":"SR","non-dropping-particle":"","parse-names":false,"suffix":""}],"container-title":"Textbook of Diabetes","editor":[{"dropping-particle":"","family":"Pickup, J, WIlliams","given":"G","non-dropping-particle":"","parse-names":false,"suffix":""}],"id":"ITEM-1","issued":{"date-parts":[["2003"]]},"page":"33.1-33.19","publisher":"Blackwell Science","publisher-place":"Oxford","title":"Hypoglycaemia and diabetes","type":"chapter"},"uris":["http://www.mendeley.com/documents/?uuid=9d06abed-bbff-4849-bed3-9057a53e4459"]}],"mendeley":{"formattedCitation":"[3]","plainTextFormattedCitation":"[3]","previouslyFormattedCitation":"[3]"},"properties":{"noteIndex":0},"schema":"https://github.com/citation-style-language/schema/raw/master/csl-citation.json"}</w:instrText>
      </w:r>
      <w:r w:rsidR="001E4FC0">
        <w:rPr>
          <w:rFonts w:cs="Arial"/>
          <w:sz w:val="24"/>
        </w:rPr>
        <w:fldChar w:fldCharType="separate"/>
      </w:r>
      <w:r w:rsidR="001E4FC0" w:rsidRPr="001E4FC0">
        <w:rPr>
          <w:rFonts w:cs="Arial"/>
          <w:noProof/>
          <w:sz w:val="24"/>
        </w:rPr>
        <w:t>[3]</w:t>
      </w:r>
      <w:r w:rsidR="001E4FC0">
        <w:rPr>
          <w:rFonts w:cs="Arial"/>
          <w:sz w:val="24"/>
        </w:rPr>
        <w:fldChar w:fldCharType="end"/>
      </w:r>
      <w:r w:rsidR="002B65AF" w:rsidRPr="00967A14">
        <w:rPr>
          <w:rFonts w:cs="Arial"/>
          <w:sz w:val="24"/>
        </w:rPr>
        <w:t xml:space="preserve">. Thus, people with T1D must acquire complex self-management knowledge and skills, and have the motivation and ability to apply them effectively every day. The responsibility of diabetes healthcare professionals (HCPs) is to ensure that all people with T1D have the opportunity to acquire these skills and are supported in applying them successfully in </w:t>
      </w:r>
      <w:r w:rsidR="00303A16">
        <w:rPr>
          <w:rFonts w:cs="Arial"/>
          <w:sz w:val="24"/>
        </w:rPr>
        <w:t>everyday</w:t>
      </w:r>
      <w:r w:rsidR="002B65AF" w:rsidRPr="00967A14">
        <w:rPr>
          <w:rFonts w:cs="Arial"/>
          <w:sz w:val="24"/>
        </w:rPr>
        <w:t xml:space="preserve"> life.</w:t>
      </w:r>
    </w:p>
    <w:p w14:paraId="454108CB" w14:textId="77777777" w:rsidR="002B65AF" w:rsidRPr="00967A14" w:rsidRDefault="002B65AF" w:rsidP="00BD72F0">
      <w:pPr>
        <w:rPr>
          <w:rFonts w:cs="Arial"/>
          <w:sz w:val="24"/>
        </w:rPr>
      </w:pPr>
    </w:p>
    <w:p w14:paraId="0D9D43C9" w14:textId="7BFC7538" w:rsidR="00967A14" w:rsidRDefault="00303A16" w:rsidP="00AE0CAF">
      <w:pPr>
        <w:jc w:val="both"/>
        <w:rPr>
          <w:rFonts w:cs="Arial"/>
          <w:sz w:val="24"/>
        </w:rPr>
      </w:pPr>
      <w:r>
        <w:rPr>
          <w:rFonts w:cs="Arial"/>
          <w:sz w:val="24"/>
        </w:rPr>
        <w:t>‘</w:t>
      </w:r>
      <w:r w:rsidR="002B65AF" w:rsidRPr="00967A14">
        <w:rPr>
          <w:rFonts w:cs="Arial"/>
          <w:sz w:val="24"/>
        </w:rPr>
        <w:t xml:space="preserve">Dose Adjustment </w:t>
      </w:r>
      <w:r w:rsidR="00263F53">
        <w:rPr>
          <w:rFonts w:cs="Arial"/>
          <w:sz w:val="24"/>
        </w:rPr>
        <w:t>f</w:t>
      </w:r>
      <w:r w:rsidR="002B65AF" w:rsidRPr="00967A14">
        <w:rPr>
          <w:rFonts w:cs="Arial"/>
          <w:sz w:val="24"/>
        </w:rPr>
        <w:t>or Normal Eating</w:t>
      </w:r>
      <w:r>
        <w:rPr>
          <w:rFonts w:cs="Arial"/>
          <w:sz w:val="24"/>
        </w:rPr>
        <w:t>’</w:t>
      </w:r>
      <w:r w:rsidR="002B65AF" w:rsidRPr="00967A14">
        <w:rPr>
          <w:rFonts w:cs="Arial"/>
          <w:sz w:val="24"/>
        </w:rPr>
        <w:t xml:space="preserve"> (DAFNE) is a </w:t>
      </w:r>
      <w:r w:rsidR="00401778">
        <w:rPr>
          <w:rFonts w:cs="Arial"/>
          <w:sz w:val="24"/>
        </w:rPr>
        <w:t>structured</w:t>
      </w:r>
      <w:r w:rsidR="002B65AF" w:rsidRPr="00967A14">
        <w:rPr>
          <w:rFonts w:cs="Arial"/>
          <w:sz w:val="24"/>
        </w:rPr>
        <w:t xml:space="preserve"> education programme run within the National Health Service (NHS), designed to </w:t>
      </w:r>
      <w:r>
        <w:rPr>
          <w:rFonts w:cs="Arial"/>
          <w:sz w:val="24"/>
        </w:rPr>
        <w:t>enable adults with T1D to learn or enhance their</w:t>
      </w:r>
      <w:r w:rsidR="002B65AF" w:rsidRPr="00967A14">
        <w:rPr>
          <w:rFonts w:cs="Arial"/>
          <w:sz w:val="24"/>
        </w:rPr>
        <w:t xml:space="preserve"> self-management skills in </w:t>
      </w:r>
      <w:r w:rsidR="002B65AF" w:rsidRPr="00AA4592">
        <w:rPr>
          <w:rFonts w:cs="Arial"/>
          <w:iCs/>
          <w:sz w:val="24"/>
        </w:rPr>
        <w:t>flexible</w:t>
      </w:r>
      <w:r w:rsidR="002B65AF" w:rsidRPr="00967A14">
        <w:rPr>
          <w:rFonts w:cs="Arial"/>
          <w:sz w:val="24"/>
        </w:rPr>
        <w:t xml:space="preserve"> intensive insulin therapy to improve both glucose control and quality of life</w:t>
      </w:r>
      <w:r w:rsidR="002B65AF" w:rsidRPr="00967A14">
        <w:rPr>
          <w:color w:val="000000" w:themeColor="text1"/>
          <w:sz w:val="24"/>
        </w:rPr>
        <w:t xml:space="preserve">. It is a </w:t>
      </w:r>
      <w:r w:rsidR="00F3448E">
        <w:rPr>
          <w:color w:val="000000" w:themeColor="text1"/>
          <w:sz w:val="24"/>
        </w:rPr>
        <w:t>five</w:t>
      </w:r>
      <w:r w:rsidR="002B65AF" w:rsidRPr="00967A14">
        <w:rPr>
          <w:color w:val="000000" w:themeColor="text1"/>
          <w:sz w:val="24"/>
        </w:rPr>
        <w:t xml:space="preserve">-day training course, delivered in small groups. DAFNE has been delivered to over </w:t>
      </w:r>
      <w:r w:rsidR="00FB5B18">
        <w:rPr>
          <w:color w:val="000000" w:themeColor="text1"/>
          <w:sz w:val="24"/>
        </w:rPr>
        <w:t>51</w:t>
      </w:r>
      <w:r w:rsidR="002B65AF" w:rsidRPr="00967A14">
        <w:rPr>
          <w:color w:val="000000" w:themeColor="text1"/>
          <w:sz w:val="24"/>
        </w:rPr>
        <w:t>,000 adults in the UK</w:t>
      </w:r>
      <w:r w:rsidR="001E4FC0">
        <w:rPr>
          <w:color w:val="000000" w:themeColor="text1"/>
          <w:sz w:val="24"/>
        </w:rPr>
        <w:fldChar w:fldCharType="begin" w:fldLock="1"/>
      </w:r>
      <w:r w:rsidR="001E4FC0">
        <w:rPr>
          <w:color w:val="000000" w:themeColor="text1"/>
          <w:sz w:val="24"/>
        </w:rPr>
        <w:instrText>ADDIN CSL_CITATION {"citationItems":[{"id":"ITEM-1","itemData":{"URL":"http://www.dafne.uk.com/","accessed":{"date-parts":[["2020","2","26"]]},"author":[{"dropping-particle":"","family":"DAFNE","given":"","non-dropping-particle":"","parse-names":false,"suffix":""}],"id":"ITEM-1","issued":{"date-parts":[["0"]]},"title":"DAFNE Home","type":"webpage"},"uris":["http://www.mendeley.com/documents/?uuid=42b43621-be7c-3b1e-8104-deddae185dfd"]}],"mendeley":{"formattedCitation":"[4]","plainTextFormattedCitation":"[4]","previouslyFormattedCitation":"[4]"},"properties":{"noteIndex":0},"schema":"https://github.com/citation-style-language/schema/raw/master/csl-citation.json"}</w:instrText>
      </w:r>
      <w:r w:rsidR="001E4FC0">
        <w:rPr>
          <w:color w:val="000000" w:themeColor="text1"/>
          <w:sz w:val="24"/>
        </w:rPr>
        <w:fldChar w:fldCharType="separate"/>
      </w:r>
      <w:r w:rsidR="001E4FC0" w:rsidRPr="001E4FC0">
        <w:rPr>
          <w:noProof/>
          <w:color w:val="000000" w:themeColor="text1"/>
          <w:sz w:val="24"/>
        </w:rPr>
        <w:t>[4]</w:t>
      </w:r>
      <w:r w:rsidR="001E4FC0">
        <w:rPr>
          <w:color w:val="000000" w:themeColor="text1"/>
          <w:sz w:val="24"/>
        </w:rPr>
        <w:fldChar w:fldCharType="end"/>
      </w:r>
      <w:r w:rsidR="002B65AF" w:rsidRPr="00967A14">
        <w:rPr>
          <w:color w:val="000000" w:themeColor="text1"/>
          <w:sz w:val="24"/>
        </w:rPr>
        <w:t xml:space="preserve">. </w:t>
      </w:r>
      <w:r w:rsidR="002B65AF" w:rsidRPr="00967A14">
        <w:rPr>
          <w:rFonts w:cs="Arial"/>
          <w:sz w:val="24"/>
        </w:rPr>
        <w:t xml:space="preserve">The publication of the </w:t>
      </w:r>
      <w:r w:rsidR="00CD13B9">
        <w:rPr>
          <w:rFonts w:cs="Arial"/>
          <w:sz w:val="24"/>
        </w:rPr>
        <w:t xml:space="preserve">UK </w:t>
      </w:r>
      <w:r w:rsidR="002B65AF" w:rsidRPr="00967A14">
        <w:rPr>
          <w:rFonts w:cs="Arial"/>
          <w:sz w:val="24"/>
        </w:rPr>
        <w:t xml:space="preserve">DAFNE </w:t>
      </w:r>
      <w:r w:rsidR="00472DE6">
        <w:rPr>
          <w:rFonts w:cs="Arial"/>
          <w:sz w:val="24"/>
        </w:rPr>
        <w:t>randomised controlled trial (</w:t>
      </w:r>
      <w:r w:rsidR="002B65AF" w:rsidRPr="00967A14">
        <w:rPr>
          <w:rFonts w:cs="Arial"/>
          <w:sz w:val="24"/>
        </w:rPr>
        <w:t>RCT</w:t>
      </w:r>
      <w:r w:rsidR="00472DE6">
        <w:rPr>
          <w:rFonts w:cs="Arial"/>
          <w:sz w:val="24"/>
        </w:rPr>
        <w:t>)</w:t>
      </w:r>
      <w:r w:rsidR="002B65AF" w:rsidRPr="00967A14">
        <w:rPr>
          <w:rFonts w:cs="Arial"/>
          <w:sz w:val="24"/>
        </w:rPr>
        <w:t xml:space="preserve"> in 2002</w:t>
      </w:r>
      <w:r w:rsidR="001E4FC0">
        <w:rPr>
          <w:rFonts w:cs="Arial"/>
          <w:sz w:val="24"/>
        </w:rPr>
        <w:fldChar w:fldCharType="begin" w:fldLock="1"/>
      </w:r>
      <w:r w:rsidR="001E4FC0">
        <w:rPr>
          <w:rFonts w:cs="Arial"/>
          <w:sz w:val="24"/>
        </w:rPr>
        <w:instrText>ADDIN CSL_CITATION {"citationItems":[{"id":"ITEM-1","itemData":{"ISSN":"1756-1833","PMID":"12364302","abstract":"OBJECTIVES To evaluate whether a course teaching flexible intensive insulin treatment combining dietary freedom and insulin adjustment can improve both glycaemic control and quality of life in type 1 diabetes. DESIGN Randomised design with participants either attending training immediately (immediate DAFNE) or acting as waiting list controls and attending \"delayed DAFNE\" training 6 months later. SETTING Secondary care diabetes clinics in three English health districts. PARTICIPANTS 169 adults with type 1 diabetes and moderate or poor glycaemic control. MAIN OUTCOME MEASURES Glycated haemoglobin (HbA(1c)), severe hypoglycaemia, impact of diabetes on quality of life (ADDQoL). RESULTS At 6 months, HbA(1c) was significantly better in immediate DAFNE patients (mean 8.4%) than in delayed DAFNE patients (9.4%) (t=6.1, P&lt;0.0001). The impact of diabetes on dietary freedom was significantly improved in immediate DAFNE patients compared with delayed DAFNE patients (t=-5.4, P&lt;0.0001), as was the impact of diabetes on overall quality of life (t=2.9, P&lt;0.01). General wellbeing and treatment satisfaction were also significantly improved, but severe hypoglycaemia, weight, and lipids remained unchanged. Improvements in \"present quality of life\" did not reach significance at 6 months but were significant by 1 year. CONCLUSION Skills training promoting dietary freedom improved quality of life and glycaemic control in people with type 1 diabetes without worsening severe hypoglycaemia or cardiovascular risk. This approach has the potential to enable more people to adopt intensive insulin treatment and is worthy of further investigation.","author":[{"dropping-particle":"","family":"DAFNE Study Group","given":"DAFNE Study","non-dropping-particle":"","parse-names":false,"suffix":""}],"container-title":"BMJ (Clinical research ed.)","id":"ITEM-1","issue":"7367","issued":{"date-parts":[["2002","10","5"]]},"page":"746","publisher":"BMJ Publishing Group","title":"Training in flexible, intensive insulin management to enable dietary freedom in people with type 1 diabetes: dose adjustment for normal eating (DAFNE) randomised controlled trial.","type":"article-journal","volume":"325"},"uris":["http://www.mendeley.com/documents/?uuid=9e828887-227f-33ab-a2ba-c32cf86df3ea"]}],"mendeley":{"formattedCitation":"[5]","plainTextFormattedCitation":"[5]","previouslyFormattedCitation":"[5]"},"properties":{"noteIndex":0},"schema":"https://github.com/citation-style-language/schema/raw/master/csl-citation.json"}</w:instrText>
      </w:r>
      <w:r w:rsidR="001E4FC0">
        <w:rPr>
          <w:rFonts w:cs="Arial"/>
          <w:sz w:val="24"/>
        </w:rPr>
        <w:fldChar w:fldCharType="separate"/>
      </w:r>
      <w:r w:rsidR="001E4FC0" w:rsidRPr="001E4FC0">
        <w:rPr>
          <w:rFonts w:cs="Arial"/>
          <w:noProof/>
          <w:sz w:val="24"/>
        </w:rPr>
        <w:t>[5]</w:t>
      </w:r>
      <w:r w:rsidR="001E4FC0">
        <w:rPr>
          <w:rFonts w:cs="Arial"/>
          <w:sz w:val="24"/>
        </w:rPr>
        <w:fldChar w:fldCharType="end"/>
      </w:r>
      <w:r w:rsidR="002B65AF" w:rsidRPr="00967A14">
        <w:rPr>
          <w:rFonts w:cs="Arial"/>
          <w:sz w:val="24"/>
        </w:rPr>
        <w:t xml:space="preserve"> established the </w:t>
      </w:r>
      <w:r w:rsidR="00F3448E">
        <w:rPr>
          <w:rFonts w:cs="Arial"/>
          <w:sz w:val="24"/>
        </w:rPr>
        <w:t>ability</w:t>
      </w:r>
      <w:r w:rsidR="002B65AF" w:rsidRPr="00967A14">
        <w:rPr>
          <w:rFonts w:cs="Arial"/>
          <w:sz w:val="24"/>
        </w:rPr>
        <w:t xml:space="preserve"> of structured education courses to enable people with diabetes to </w:t>
      </w:r>
      <w:r w:rsidR="00CD13B9">
        <w:rPr>
          <w:rFonts w:cs="Arial"/>
          <w:sz w:val="24"/>
        </w:rPr>
        <w:t xml:space="preserve">acquire the knowledge and skills to </w:t>
      </w:r>
      <w:r w:rsidR="002B65AF" w:rsidRPr="00967A14">
        <w:rPr>
          <w:rFonts w:cs="Arial"/>
          <w:sz w:val="24"/>
        </w:rPr>
        <w:t xml:space="preserve">live successfully with this lifelong condition. The subsequent rollout of DAFNE across the UK has enabled many individuals to meet these demands and achieve their goals, but over half </w:t>
      </w:r>
      <w:r w:rsidR="00472DE6">
        <w:rPr>
          <w:rFonts w:cs="Arial"/>
          <w:sz w:val="24"/>
        </w:rPr>
        <w:t xml:space="preserve">of DAFNE graduates </w:t>
      </w:r>
      <w:r w:rsidR="002B65AF" w:rsidRPr="00967A14">
        <w:rPr>
          <w:rFonts w:cs="Arial"/>
          <w:sz w:val="24"/>
        </w:rPr>
        <w:t xml:space="preserve">still struggle to </w:t>
      </w:r>
      <w:r w:rsidR="00F3448E">
        <w:rPr>
          <w:rFonts w:cs="Arial"/>
          <w:sz w:val="24"/>
        </w:rPr>
        <w:t>manage</w:t>
      </w:r>
      <w:r w:rsidR="002B65AF" w:rsidRPr="00967A14">
        <w:rPr>
          <w:rFonts w:cs="Arial"/>
          <w:sz w:val="24"/>
        </w:rPr>
        <w:t xml:space="preserve"> glucose levels consistently. </w:t>
      </w:r>
      <w:r w:rsidR="00F3448E">
        <w:rPr>
          <w:color w:val="000000" w:themeColor="text1"/>
          <w:sz w:val="24"/>
        </w:rPr>
        <w:t>A</w:t>
      </w:r>
      <w:r w:rsidR="00967A14" w:rsidRPr="00967A14">
        <w:rPr>
          <w:color w:val="000000" w:themeColor="text1"/>
          <w:sz w:val="24"/>
        </w:rPr>
        <w:t xml:space="preserve">fter attending a DAFNE course, people have better quality of life, better </w:t>
      </w:r>
      <w:r w:rsidR="00046F0D">
        <w:rPr>
          <w:color w:val="000000" w:themeColor="text1"/>
          <w:sz w:val="24"/>
        </w:rPr>
        <w:t xml:space="preserve">control of blood </w:t>
      </w:r>
      <w:r w:rsidR="00967A14" w:rsidRPr="00967A14">
        <w:rPr>
          <w:color w:val="000000" w:themeColor="text1"/>
          <w:sz w:val="24"/>
        </w:rPr>
        <w:t>glucose levels and are admitted to hospital less often for diabetes emergencies</w:t>
      </w:r>
      <w:r w:rsidR="001E4FC0">
        <w:rPr>
          <w:color w:val="000000" w:themeColor="text1"/>
          <w:sz w:val="24"/>
        </w:rPr>
        <w:fldChar w:fldCharType="begin" w:fldLock="1"/>
      </w:r>
      <w:r w:rsidR="001E4FC0">
        <w:rPr>
          <w:color w:val="000000" w:themeColor="text1"/>
          <w:sz w:val="24"/>
        </w:rPr>
        <w:instrText>ADDIN CSL_CITATION {"citationItems":[{"id":"ITEM-1","itemData":{"DOI":"10.3310/pgfar02050","ISSN":"2050-4322","author":[{"dropping-particle":"","family":"Heller","given":"Simon","non-dropping-particle":"","parse-names":false,"suffix":""},{"dropping-particle":"","family":"Lawton","given":"Julia","non-dropping-particle":"","parse-names":false,"suffix":""},{"dropping-particle":"","family":"Amiel","given":"Stephanie","non-dropping-particle":"","parse-names":false,"suffix":""},{"dropping-particle":"","family":"Cooke","given":"Debbie","non-dropping-particle":"","parse-names":false,"suffix":""},{"dropping-particle":"","family":"Mansell","given":"Peter","non-dropping-particle":"","parse-names":false,"suffix":""},{"dropping-particle":"","family":"Brennan","given":"Alan","non-dropping-particle":"","parse-names":false,"suffix":""},{"dropping-particle":"","family":"Elliott","given":"Jackie","non-dropping-particle":"","parse-names":false,"suffix":""},{"dropping-particle":"","family":"Boote","given":"Jonathan","non-dropping-particle":"","parse-names":false,"suffix":""},{"dropping-particle":"","family":"Emery","given":"Celia","non-dropping-particle":"","parse-names":false,"suffix":""},{"dropping-particle":"","family":"Baird","given":"Wendy","non-dropping-particle":"","parse-names":false,"suffix":""},{"dropping-particle":"","family":"Basarir","given":"Hasan","non-dropping-particle":"","parse-names":false,"suffix":""},{"dropping-particle":"","family":"Beveridge","given":"Susan","non-dropping-particle":"","parse-names":false,"suffix":""},{"dropping-particle":"","family":"Bond","given":"Rod","non-dropping-particle":"","parse-names":false,"suffix":""},{"dropping-particle":"","family":"Campbell","given":"Mike","non-dropping-particle":"","parse-names":false,"suffix":""},{"dropping-particle":"","family":"Chater","given":"Timothy","non-dropping-particle":"","parse-names":false,"suffix":""},{"dropping-particle":"","family":"Choudhary","given":"Pratik","non-dropping-particle":"","parse-names":false,"suffix":""},{"dropping-particle":"","family":"Clark","given":"Marie","non-dropping-particle":"","parse-names":false,"suffix":""},{"dropping-particle":"","family":"Zoysa","given":"Nicole","non-dropping-particle":"de","parse-names":false,"suffix":""},{"dropping-particle":"","family":"Dixon","given":"Simon","non-dropping-particle":"","parse-names":false,"suffix":""},{"dropping-particle":"","family":"Gianfrancesco","given":"Carla","non-dropping-particle":"","parse-names":false,"suffix":""},{"dropping-particle":"","family":"Hopkins","given":"David","non-dropping-particle":"","parse-names":false,"suffix":""},{"dropping-particle":"","family":"Jacques","given":"Richard","non-dropping-particle":"","parse-names":false,"suffix":""},{"dropping-particle":"","family":"Kruger","given":"Jen","non-dropping-particle":"","parse-names":false,"suffix":""},{"dropping-particle":"","family":"Moore","given":"Susan","non-dropping-particle":"","parse-names":false,"suffix":""},{"dropping-particle":"","family":"Oliver","given":"Lindsay","non-dropping-particle":"","parse-names":false,"suffix":""},{"dropping-particle":"","family":"Peasgood","given":"Tessa","non-dropping-particle":"","parse-names":false,"suffix":""},{"dropping-particle":"","family":"Rankin","given":"David","non-dropping-particle":"","parse-names":false,"suffix":""},{"dropping-particle":"","family":"Roberts","given":"Sue","non-dropping-particle":"","parse-names":false,"suffix":""},{"dropping-particle":"","family":"Rogers","given":"Helen","non-dropping-particle":"","parse-names":false,"suffix":""},{"dropping-particle":"","family":"Taylor","given":"Carolin","non-dropping-particle":"","parse-names":false,"suffix":""},{"dropping-particle":"","family":"Thokala","given":"Praveen","non-dropping-particle":"","parse-names":false,"suffix":""},{"dropping-particle":"","family":"Thompson","given":"Gill","non-dropping-particle":"","parse-names":false,"suffix":""},{"dropping-particle":"","family":"Ward","given":"Candice","non-dropping-particle":"","parse-names":false,"suffix":""}],"container-title":"Programme Grants for Applied Research","id":"ITEM-1","issue":"5","issued":{"date-parts":[["2014","12"]]},"page":"1-188","title":"Improving management of type 1 diabetes in the UK: the Dose Adjustment For Normal Eating (DAFNE) programme as a research test-bed. A mixed-method analysis of the barriers to and facilitators of successful diabetes self-management, a health economic analysis, a cluster randomised controlled trial of different models of delivery of an educational intervention and the potential of insulin pumps and additional educator input to improve outcomes","type":"article-journal","volume":"2"},"uris":["http://www.mendeley.com/documents/?uuid=942fc0f4-5731-32fa-bfad-b0deff3619e8"]}],"mendeley":{"formattedCitation":"[6]","plainTextFormattedCitation":"[6]","previouslyFormattedCitation":"[6]"},"properties":{"noteIndex":0},"schema":"https://github.com/citation-style-language/schema/raw/master/csl-citation.json"}</w:instrText>
      </w:r>
      <w:r w:rsidR="001E4FC0">
        <w:rPr>
          <w:color w:val="000000" w:themeColor="text1"/>
          <w:sz w:val="24"/>
        </w:rPr>
        <w:fldChar w:fldCharType="separate"/>
      </w:r>
      <w:r w:rsidR="001E4FC0" w:rsidRPr="001E4FC0">
        <w:rPr>
          <w:noProof/>
          <w:color w:val="000000" w:themeColor="text1"/>
          <w:sz w:val="24"/>
        </w:rPr>
        <w:t>[6]</w:t>
      </w:r>
      <w:r w:rsidR="001E4FC0">
        <w:rPr>
          <w:color w:val="000000" w:themeColor="text1"/>
          <w:sz w:val="24"/>
        </w:rPr>
        <w:fldChar w:fldCharType="end"/>
      </w:r>
      <w:r w:rsidR="00967A14" w:rsidRPr="00967A14">
        <w:rPr>
          <w:color w:val="000000" w:themeColor="text1"/>
          <w:sz w:val="24"/>
        </w:rPr>
        <w:t>.</w:t>
      </w:r>
      <w:r w:rsidR="00131E4E">
        <w:rPr>
          <w:rFonts w:cs="Arial"/>
          <w:sz w:val="24"/>
        </w:rPr>
        <w:t xml:space="preserve"> </w:t>
      </w:r>
      <w:r w:rsidR="00131E4E">
        <w:rPr>
          <w:color w:val="000000" w:themeColor="text1"/>
          <w:sz w:val="24"/>
        </w:rPr>
        <w:t>Many</w:t>
      </w:r>
      <w:r w:rsidR="00131E4E">
        <w:rPr>
          <w:rFonts w:cs="Arial"/>
          <w:sz w:val="24"/>
        </w:rPr>
        <w:t xml:space="preserve"> </w:t>
      </w:r>
      <w:r w:rsidR="002B65AF" w:rsidRPr="00967A14" w:rsidDel="00467B0F">
        <w:rPr>
          <w:rFonts w:cs="Arial"/>
          <w:sz w:val="24"/>
        </w:rPr>
        <w:t>DAFNE graduates find the course helpful</w:t>
      </w:r>
      <w:r w:rsidR="00131E4E">
        <w:rPr>
          <w:rFonts w:cs="Arial"/>
          <w:sz w:val="24"/>
        </w:rPr>
        <w:t xml:space="preserve">; quality of life improves and rates of severe hypoglycaemia fall.  However although HbA1c </w:t>
      </w:r>
      <w:r w:rsidR="00D87DC4">
        <w:rPr>
          <w:rFonts w:cs="Arial"/>
          <w:sz w:val="24"/>
        </w:rPr>
        <w:t xml:space="preserve">(glycated haemoglobin) </w:t>
      </w:r>
      <w:r w:rsidR="00131E4E">
        <w:rPr>
          <w:rFonts w:cs="Arial"/>
          <w:sz w:val="24"/>
        </w:rPr>
        <w:t>falls and in one trial, this improvement was sustained for 2 years, average HbA1c, the intermediate measure of glucose control that best predicts risk of diabetes complications, remains well above recommended UK targets</w:t>
      </w:r>
      <w:r w:rsidR="00131E4E">
        <w:rPr>
          <w:rFonts w:cs="Arial"/>
          <w:sz w:val="24"/>
        </w:rPr>
        <w:fldChar w:fldCharType="begin" w:fldLock="1"/>
      </w:r>
      <w:r w:rsidR="005D7FBE">
        <w:rPr>
          <w:rFonts w:cs="Arial"/>
          <w:sz w:val="24"/>
        </w:rPr>
        <w:instrText>ADDIN CSL_CITATION {"citationItems":[{"id":"ITEM-1","itemData":{"author":[{"dropping-particle":"","family":"National Institute for Health and Care Excellence","given":"","non-dropping-particle":"","parse-names":false,"suffix":""}],"id":"ITEM-1","issued":{"date-parts":[["0"]]},"publisher":"NICE","title":"Type 1 diabetes in adults: diagnosis and management | Guidance and guidelines | NICE","type":"report"},"uris":["http://www.mendeley.com/documents/?uuid=856304a7-2f09-339e-8019-5b29d5e3db3b"]},{"id":"ITEM-2","itemData":{"DOI":"10.1111/dme.12676","ISSN":"07423071","PMID":"25510978","abstract":"AIMS Improving glycaemic control in people with Type 1 diabetes is known to reduce complications. Our aim was to compare glycaemic control among people with Type 1 diabetes using data gathered in regional or national registries. METHODS Data were obtained for children and/or adults with Type 1 diabetes from the following countries (or regions): Western Australia, Austria, Denmark, England, Champagne-Ardenne (France), Germany, Epirus, Thessaly and Thessaloniki (Greece), Galway (Ireland), several Italian regions, Latvia, Rotterdam (The Netherlands), Otago (New Zealand), Norway, Northern Ireland, Scotland, Sweden, Volyn (Ukraine), USA and Wales) from population or clinic-based registries. The sample size with available data varied from 355 to 173 880. Proportions with HbA1c &lt; 58 mmol/mol (&lt; 7.5%) and ≥ 75 mmol/mol (≥ 9.0%) were compared by age and sex. RESULTS Data were available for 324 501 people. The proportions with HbA1c 58 mmol/mol (&lt; 7.5%) varied from 15.7% to 46.4% among 44 058 people aged &lt; 15 years, from 8.9% to 49.5% among 50 766 people aged 15-24 years and from 20.5% to 53.6% among 229 677 people aged ≥ 25 years. Sex differences in glycaemic control were small. Proportions of people using insulin pumps varied between the 12 sources with data available. CONCLUSION These results suggest that there are substantial variations in glycaemic control among people with Type 1 diabetes between the data sources and that there is room for improvement in all populations, especially in young adults.","author":[{"dropping-particle":"","family":"McKnight","given":"J. A.","non-dropping-particle":"","parse-names":false,"suffix":""},{"dropping-particle":"","family":"Wild","given":"S. H.","non-dropping-particle":"","parse-names":false,"suffix":""},{"dropping-particle":"","family":"Lamb","given":"M. J. E.","non-dropping-particle":"","parse-names":false,"suffix":""},{"dropping-particle":"","family":"Cooper","given":"M. N.","non-dropping-particle":"","parse-names":false,"suffix":""},{"dropping-particle":"","family":"Jones","given":"T. W.","non-dropping-particle":"","parse-names":false,"suffix":""},{"dropping-particle":"","family":"Davis","given":"E. A.","non-dropping-particle":"","parse-names":false,"suffix":""},{"dropping-particle":"","family":"Hofer","given":"S.","non-dropping-particle":"","parse-names":false,"suffix":""},{"dropping-particle":"","family":"Fritsch","given":"M.","non-dropping-particle":"","parse-names":false,"suffix":""},{"dropping-particle":"","family":"Schober","given":"E.","non-dropping-particle":"","parse-names":false,"suffix":""},{"dropping-particle":"","family":"Svensson","given":"J.","non-dropping-particle":"","parse-names":false,"suffix":""},{"dropping-particle":"","family":"Almdal","given":"T.","non-dropping-particle":"","parse-names":false,"suffix":""},{"dropping-particle":"","family":"Young","given":"R.","non-dropping-particle":"","parse-names":false,"suffix":""},{"dropping-particle":"","family":"Warner","given":"J. T.","non-dropping-particle":"","parse-names":false,"suffix":""},{"dropping-particle":"","family":"Delemer","given":"B.","non-dropping-particle":"","parse-names":false,"suffix":""},{"dropping-particle":"","family":"Souchon","given":"P. F.","non-dropping-particle":"","parse-names":false,"suffix":""},{"dropping-particle":"","family":"Holl","given":"R. W.","non-dropping-particle":"","parse-names":false,"suffix":""},{"dropping-particle":"","family":"Karges","given":"W.","non-dropping-particle":"","parse-names":false,"suffix":""},{"dropping-particle":"","family":"Kieninger","given":"D. M.","non-dropping-particle":"","parse-names":false,"suffix":""},{"dropping-particle":"","family":"Tigas","given":"S.","non-dropping-particle":"","parse-names":false,"suffix":""},{"dropping-particle":"","family":"Bargiota","given":"A.","non-dropping-particle":"","parse-names":false,"suffix":""},{"dropping-particle":"","family":"Sampanis","given":"C.","non-dropping-particle":"","parse-names":false,"suffix":""},{"dropping-particle":"","family":"Cherubini","given":"V.","non-dropping-particle":"","parse-names":false,"suffix":""},{"dropping-particle":"","family":"Gesuita","given":"R.","non-dropping-particle":"","parse-names":false,"suffix":""},{"dropping-particle":"","family":"Strele","given":"I.","non-dropping-particle":"","parse-names":false,"suffix":""},{"dropping-particle":"","family":"Pildava","given":"S.","non-dropping-particle":"","parse-names":false,"suffix":""},{"dropping-particle":"","family":"Coppell","given":"K. J.","non-dropping-particle":"","parse-names":false,"suffix":""},{"dropping-particle":"","family":"Magee","given":"G.","non-dropping-particle":"","parse-names":false,"suffix":""},{"dropping-particle":"","family":"Cooper","given":"J. G.","non-dropping-particle":"","parse-names":false,"suffix":""},{"dropping-particle":"","family":"Dinneen","given":"S. F.","non-dropping-particle":"","parse-names":false,"suffix":""},{"dropping-particle":"","family":"Eeg-Olofsson","given":"K.","non-dropping-particle":"","parse-names":false,"suffix":""},{"dropping-particle":"","family":"Svensson","given":"A.-M.","non-dropping-particle":"","parse-names":false,"suffix":""},{"dropping-particle":"","family":"Gudbjornsdottir","given":"S.","non-dropping-particle":"","parse-names":false,"suffix":""},{"dropping-particle":"","family":"Veeze","given":"H.","non-dropping-particle":"","parse-names":false,"suffix":""},{"dropping-particle":"","family":"Aanstoot","given":"H.-J.","non-dropping-particle":"","parse-names":false,"suffix":""},{"dropping-particle":"","family":"Khalangot","given":"M.","non-dropping-particle":"","parse-names":false,"suffix":""},{"dropping-particle":"V.","family":"Tamborlane","given":"W.","non-dropping-particle":"","parse-names":false,"suffix":""},{"dropping-particle":"","family":"Miller","given":"K. M.","non-dropping-particle":"","parse-names":false,"suffix":""}],"container-title":"Diabetic Medicine","id":"ITEM-2","issue":"8","issued":{"date-parts":[["2015","8"]]},"page":"1036-1050","title":"Glycaemic control of Type 1 diabetes in clinical practice early in the 21st century: an international comparison","type":"article-journal","volume":"32"},"uris":["http://www.mendeley.com/documents/?uuid=3ab36641-65a9-3090-91a4-824dbf68feac"]}],"mendeley":{"formattedCitation":"[7,8]","plainTextFormattedCitation":"[7,8]","previouslyFormattedCitation":"[14,15]"},"properties":{"noteIndex":0},"schema":"https://github.com/citation-style-language/schema/raw/master/csl-citation.json"}</w:instrText>
      </w:r>
      <w:r w:rsidR="00131E4E">
        <w:rPr>
          <w:rFonts w:cs="Arial"/>
          <w:sz w:val="24"/>
        </w:rPr>
        <w:fldChar w:fldCharType="separate"/>
      </w:r>
      <w:r w:rsidR="005D7FBE" w:rsidRPr="005D7FBE">
        <w:rPr>
          <w:rFonts w:cs="Arial"/>
          <w:noProof/>
          <w:sz w:val="24"/>
        </w:rPr>
        <w:t>[7,8]</w:t>
      </w:r>
      <w:r w:rsidR="00131E4E">
        <w:rPr>
          <w:rFonts w:cs="Arial"/>
          <w:sz w:val="24"/>
        </w:rPr>
        <w:fldChar w:fldCharType="end"/>
      </w:r>
      <w:r w:rsidR="00131E4E">
        <w:rPr>
          <w:rFonts w:cs="Arial"/>
          <w:sz w:val="24"/>
        </w:rPr>
        <w:t>.  Many</w:t>
      </w:r>
      <w:r w:rsidR="00623896">
        <w:rPr>
          <w:rFonts w:cs="Arial"/>
          <w:sz w:val="24"/>
        </w:rPr>
        <w:t>,</w:t>
      </w:r>
      <w:r w:rsidR="00131E4E" w:rsidRPr="00967A14" w:rsidDel="00467B0F">
        <w:rPr>
          <w:rFonts w:cs="Arial"/>
          <w:sz w:val="24"/>
        </w:rPr>
        <w:t xml:space="preserve"> </w:t>
      </w:r>
      <w:r w:rsidR="002B65AF" w:rsidRPr="00967A14" w:rsidDel="00467B0F">
        <w:rPr>
          <w:rFonts w:cs="Arial"/>
          <w:sz w:val="24"/>
        </w:rPr>
        <w:t xml:space="preserve">find it difficult to </w:t>
      </w:r>
      <w:r w:rsidR="002B65AF" w:rsidRPr="00967A14">
        <w:rPr>
          <w:rFonts w:cs="Arial"/>
          <w:sz w:val="24"/>
        </w:rPr>
        <w:t>implement and sustain</w:t>
      </w:r>
      <w:r w:rsidR="002B65AF" w:rsidRPr="00967A14" w:rsidDel="00467B0F">
        <w:rPr>
          <w:rFonts w:cs="Arial"/>
          <w:sz w:val="24"/>
        </w:rPr>
        <w:t xml:space="preserve"> the skills needed to </w:t>
      </w:r>
      <w:r w:rsidR="002B65AF" w:rsidRPr="00967A14">
        <w:rPr>
          <w:rFonts w:cs="Arial"/>
          <w:sz w:val="24"/>
        </w:rPr>
        <w:t xml:space="preserve">maintain </w:t>
      </w:r>
      <w:r w:rsidR="00046F0D">
        <w:rPr>
          <w:rFonts w:cs="Arial"/>
          <w:sz w:val="24"/>
        </w:rPr>
        <w:t xml:space="preserve">blood </w:t>
      </w:r>
      <w:r w:rsidR="002B65AF" w:rsidRPr="00967A14" w:rsidDel="00467B0F">
        <w:rPr>
          <w:rFonts w:cs="Arial"/>
          <w:sz w:val="24"/>
        </w:rPr>
        <w:t xml:space="preserve">glucose levels and </w:t>
      </w:r>
      <w:r w:rsidR="00131E4E">
        <w:rPr>
          <w:rFonts w:cs="Arial"/>
          <w:sz w:val="24"/>
        </w:rPr>
        <w:t>often struggle</w:t>
      </w:r>
      <w:r w:rsidR="002B65AF" w:rsidRPr="00967A14" w:rsidDel="00467B0F">
        <w:rPr>
          <w:rFonts w:cs="Arial"/>
          <w:sz w:val="24"/>
        </w:rPr>
        <w:t xml:space="preserve"> to </w:t>
      </w:r>
      <w:r w:rsidR="00131E4E">
        <w:rPr>
          <w:rFonts w:cs="Arial"/>
          <w:sz w:val="24"/>
        </w:rPr>
        <w:t>obtain</w:t>
      </w:r>
      <w:r w:rsidR="00131E4E" w:rsidRPr="00967A14" w:rsidDel="00467B0F">
        <w:rPr>
          <w:rFonts w:cs="Arial"/>
          <w:sz w:val="24"/>
        </w:rPr>
        <w:t xml:space="preserve"> </w:t>
      </w:r>
      <w:r w:rsidR="002B65AF" w:rsidRPr="00967A14" w:rsidDel="00467B0F">
        <w:rPr>
          <w:rFonts w:cs="Arial"/>
          <w:sz w:val="24"/>
        </w:rPr>
        <w:t>suitable support from HCPs</w:t>
      </w:r>
      <w:r w:rsidR="001E4FC0">
        <w:rPr>
          <w:rFonts w:cs="Arial"/>
          <w:sz w:val="24"/>
        </w:rPr>
        <w:fldChar w:fldCharType="begin" w:fldLock="1"/>
      </w:r>
      <w:r w:rsidR="005D7FBE">
        <w:rPr>
          <w:rFonts w:cs="Arial"/>
          <w:sz w:val="24"/>
        </w:rPr>
        <w:instrText>ADDIN CSL_CITATION {"citationItems":[{"id":"ITEM-1","itemData":{"DOI":"10.3310/pgfar02050","ISSN":"2050-4322","author":[{"dropping-particle":"","family":"Heller","given":"Simon","non-dropping-particle":"","parse-names":false,"suffix":""},{"dropping-particle":"","family":"Lawton","given":"Julia","non-dropping-particle":"","parse-names":false,"suffix":""},{"dropping-particle":"","family":"Amiel","given":"Stephanie","non-dropping-particle":"","parse-names":false,"suffix":""},{"dropping-particle":"","family":"Cooke","given":"Debbie","non-dropping-particle":"","parse-names":false,"suffix":""},{"dropping-particle":"","family":"Mansell","given":"Peter","non-dropping-particle":"","parse-names":false,"suffix":""},{"dropping-particle":"","family":"Brennan","given":"Alan","non-dropping-particle":"","parse-names":false,"suffix":""},{"dropping-particle":"","family":"Elliott","given":"Jackie","non-dropping-particle":"","parse-names":false,"suffix":""},{"dropping-particle":"","family":"Boote","given":"Jonathan","non-dropping-particle":"","parse-names":false,"suffix":""},{"dropping-particle":"","family":"Emery","given":"Celia","non-dropping-particle":"","parse-names":false,"suffix":""},{"dropping-particle":"","family":"Baird","given":"Wendy","non-dropping-particle":"","parse-names":false,"suffix":""},{"dropping-particle":"","family":"Basarir","given":"Hasan","non-dropping-particle":"","parse-names":false,"suffix":""},{"dropping-particle":"","family":"Beveridge","given":"Susan","non-dropping-particle":"","parse-names":false,"suffix":""},{"dropping-particle":"","family":"Bond","given":"Rod","non-dropping-particle":"","parse-names":false,"suffix":""},{"dropping-particle":"","family":"Campbell","given":"Mike","non-dropping-particle":"","parse-names":false,"suffix":""},{"dropping-particle":"","family":"Chater","given":"Timothy","non-dropping-particle":"","parse-names":false,"suffix":""},{"dropping-particle":"","family":"Choudhary","given":"Pratik","non-dropping-particle":"","parse-names":false,"suffix":""},{"dropping-particle":"","family":"Clark","given":"Marie","non-dropping-particle":"","parse-names":false,"suffix":""},{"dropping-particle":"","family":"Zoysa","given":"Nicole","non-dropping-particle":"de","parse-names":false,"suffix":""},{"dropping-particle":"","family":"Dixon","given":"Simon","non-dropping-particle":"","parse-names":false,"suffix":""},{"dropping-particle":"","family":"Gianfrancesco","given":"Carla","non-dropping-particle":"","parse-names":false,"suffix":""},{"dropping-particle":"","family":"Hopkins","given":"David","non-dropping-particle":"","parse-names":false,"suffix":""},{"dropping-particle":"","family":"Jacques","given":"Richard","non-dropping-particle":"","parse-names":false,"suffix":""},{"dropping-particle":"","family":"Kruger","given":"Jen","non-dropping-particle":"","parse-names":false,"suffix":""},{"dropping-particle":"","family":"Moore","given":"Susan","non-dropping-particle":"","parse-names":false,"suffix":""},{"dropping-particle":"","family":"Oliver","given":"Lindsay","non-dropping-particle":"","parse-names":false,"suffix":""},{"dropping-particle":"","family":"Peasgood","given":"Tessa","non-dropping-particle":"","parse-names":false,"suffix":""},{"dropping-particle":"","family":"Rankin","given":"David","non-dropping-particle":"","parse-names":false,"suffix":""},{"dropping-particle":"","family":"Roberts","given":"Sue","non-dropping-particle":"","parse-names":false,"suffix":""},{"dropping-particle":"","family":"Rogers","given":"Helen","non-dropping-particle":"","parse-names":false,"suffix":""},{"dropping-particle":"","family":"Taylor","given":"Carolin","non-dropping-particle":"","parse-names":false,"suffix":""},{"dropping-particle":"","family":"Thokala","given":"Praveen","non-dropping-particle":"","parse-names":false,"suffix":""},{"dropping-particle":"","family":"Thompson","given":"Gill","non-dropping-particle":"","parse-names":false,"suffix":""},{"dropping-particle":"","family":"Ward","given":"Candice","non-dropping-particle":"","parse-names":false,"suffix":""}],"container-title":"Programme Grants for Applied Research","id":"ITEM-1","issue":"5","issued":{"date-parts":[["2014","12"]]},"page":"1-188","title":"Improving management of type 1 diabetes in the UK: the Dose Adjustment For Normal Eating (DAFNE) programme as a research test-bed. A mixed-method analysis of the barriers to and facilitators of successful diabetes self-management, a health economic analysis, a cluster randomised controlled trial of different models of delivery of an educational intervention and the potential of insulin pumps and additional educator input to improve outcomes","type":"article-journal","volume":"2"},"uris":["http://www.mendeley.com/documents/?uuid=942fc0f4-5731-32fa-bfad-b0deff3619e8"]},{"id":"ITEM-2","itemData":{"DOI":"10.1111/jocn.12539","ISSN":"13652702","abstract":"Aims and objectives: To explore patients' experiences of, views about and need for, social support after attending a structured education programme for type 1 diabetes. Background: Patients who attend structured education programmes attain short-term improvements in biomedical and quality-of-life measures but require support to sustain self-management principles over the longer term. Social support can influence patients' self-management practices; however, little is known about how programme graduates use other people's help. Design: This study was informed by the principles of grounded theory and involved concurrent data collection and analysis. Data were analysed using an inductive, thematic approach. Methods: In-depth interviews were undertaken postcourse, six and 12 months later, with 30 adult patients with type 1 diabetes recruited from Dose Adjustment for Normal Eating courses in the United Kingdom. Results: Patients' preferences for social support from other people ranged from wanting minimal involvement, to benefiting from auxiliary forms of assistance, to regular monitoring and policing. New self-management skills learnt on their courses prompted and facilitated patients to seek and obtain more social support. Support received/expected from parents varied according to when patients were diagnosed, but parents' use of outdated knowledge could act as a barrier to effective support. Support sought from others, including friends/colleagues, was informed by patients' domestic/employment circumstances. Conclusion: This study responds to calls for deeper understanding of the social context in which chronic illness self-management occurs. It highlights how patients can solicit and receive more social support from family members and friends after implementing self-care practices taught on education programmes. Relevance to clinical practice: Health professionals including diabetes specialist nurses and dietitians should explore: patients' access to and preferences for social support; how patients might be encouraged to capitalise on social support postcourse; and new ways to inform/educate people within patients' social networks.","author":[{"dropping-particle":"","family":"Rankin","given":"David","non-dropping-particle":"","parse-names":false,"suffix":""},{"dropping-particle":"","family":"Barnard","given":"Kath","non-dropping-particle":"","parse-names":false,"suffix":""},{"dropping-particle":"","family":"Elliott","given":"Jackie","non-dropping-particle":"","parse-names":false,"suffix":""},{"dropping-particle":"","family":"Cooke","given":"Debbie","non-dropping-particle":"","parse-names":false,"suffix":""},{"dropping-particle":"","family":"Heller","given":"Simon","non-dropping-particle":"","parse-names":false,"suffix":""},{"dropping-particle":"","family":"Gianfrancesco","given":"Carla","non-dropping-particle":"","parse-names":false,"suffix":""},{"dropping-particle":"","family":"Taylor","given":"Carolin","non-dropping-particle":"","parse-names":false,"suffix":""},{"dropping-particle":"","family":"Lawton","given":"Julia","non-dropping-particle":"","parse-names":false,"suffix":""}],"container-title":"Journal of Clinical Nursing","id":"ITEM-2","issue":"19-20","issued":{"date-parts":[["2014","10","1"]]},"page":"2919-2927","publisher":"Blackwell Publishing Ltd","title":"Type 1 diabetes patients' experiences of, and need for, social support after attending a structured education programme: A qualitative longitudinal investigation","type":"article-journal","volume":"23"},"uris":["http://www.mendeley.com/documents/?uuid=24152299-2bdf-3079-9bad-bec1b6f4d167"]},{"id":"ITEM-3","itemData":{"DOI":"10.1111/dme.12007","ISSN":"07423071","abstract":"Aims Despite improvements in insulin therapy, hypoglycaemia remains an inevitable part of life for many people with Type1 diabetes. Little attention has been paid to how individuals self-treat hypoglycaemia and their likes and dislikes of clinically recommended treatments. We explored participants' experiences of self-treating hypoglycaemia after attending a structured education programme for people with Type1 diabetes. Our aims were: to identify treatments that are acceptable to people with Type1 diabetes; and to provide recommendations for promoting self-treatment in line with clinical guidelines. Methods Thirty adults with Type1 diabetes were recruited from the Dose Adjustment for Normal Eating (DAFNE) programme in the UK. Study participants were interviewed post-course and 6 and 12months later, enabling their experiences to be explored over time. Results Study participants described a poor knowledge of how to self-treat hypoglycaemia correctly pre-course. Post-course, individuals often struggled to adhere to clinically recommended guidelines because of: panic, disorientation, hunger sensations and consequent difficulties ingesting fixed quantities of fast-acting carbohydrate; use of sweets to manage hypoglycaemia; reversion to habituated practices when cognitive impairment as a result of hypoglycaemia supervened; difficulties ingesting dextrose tablets; and other people's anxieties about under-treatment. Conclusions Historical experiences of hypoglycaemia and habituated practices can influence present self-treatment approaches. Professionals need to be aware of the range of difficulties individuals may experience restricting themselves to fixed quantities of fast-acting carbohydrate to manage hypoglycaemia. There may be merit in developing a more acceptable range of treatments tailored to people's own preferences, circumstances and needs. © 2012 The Authors. Diabetic Medicine © 2012 Diabetes UK.","author":[{"dropping-particle":"","family":"Lawton","given":"J.","non-dropping-particle":"","parse-names":false,"suffix":""},{"dropping-particle":"","family":"Rankin","given":"D.","non-dropping-particle":"","parse-names":false,"suffix":""},{"dropping-particle":"","family":"Cooke","given":"D. D.","non-dropping-particle":"","parse-names":false,"suffix":""},{"dropping-particle":"","family":"Elliott","given":"J.","non-dropping-particle":"","parse-names":false,"suffix":""},{"dropping-particle":"","family":"Amiel","given":"S.","non-dropping-particle":"","parse-names":false,"suffix":""},{"dropping-particle":"","family":"Heller","given":"S.","non-dropping-particle":"","parse-names":false,"suffix":""}],"container-title":"Diabetic Medicine","id":"ITEM-3","issue":"2","issued":{"date-parts":[["2013","2","1"]]},"page":"209-215","publisher":"John Wiley &amp; Sons, Ltd","title":"Self-treating hypoglycaemia: A longitudinal qualitative investigation of the experiences and views of people with Type 1 diabetes","type":"article-journal","volume":"30"},"uris":["http://www.mendeley.com/documents/?uuid=c3c0622b-63dd-386d-ad59-d695616dea94"]},{"id":"ITEM-4","itemData":{"DOI":"10.1016/j.diabres.2012.09.024","ISSN":"01688227","abstract":"Aim: To explore patients' experiences of using flexible intensive insulin therapy, a regimen requiring them to determine and adjust quick-acting and background/basal insulin doses and mealtime ratios. Methods: Repeat, in-depth interviews with 30 type 1 diabetes patients converted to flexible intensive insulin therapy recruited from Dose Adjustment for Normal Eating (DAFNE) courses in the UK. Results: While patients found determination of quick acting insulin doses relatively straightforward, many struggled, over time, to determine the correct mealtime ratios and adjust basal insulin doses independently. Reasons included: lack of confidence and poor analytical skills; deferential attitudes to health professionals; worries about hypoglycaemia; and, lack of record/diary keeping resulting in fixation on current readings and failure to spot patterns and problems. When health professional support was not sought and/or record keeping neglected, patients gradually developed over-reliance on corrective doses to attain blood glucose readings within target ranges. Conclusion: While patients are motivated to use flexible intensive insulin therapy, they expressed a need for on-going health professional input, particularly to support adjustment of background insulin doses and mealtime ratios. The need to sustain diary/record keeping should be emphasised to patients and provision of a dedicated glycaemic support service is recommended. © 2012 Elsevier Ireland Ltd.","author":[{"dropping-particle":"","family":"Lawton","given":"J.","non-dropping-particle":"","parse-names":false,"suffix":""},{"dropping-particle":"","family":"Rankin","given":"D.","non-dropping-particle":"","parse-names":false,"suffix":""},{"dropping-particle":"","family":"Cooke","given":"D.","non-dropping-particle":"","parse-names":false,"suffix":""},{"dropping-particle":"","family":"Elliott","given":"J.","non-dropping-particle":"","parse-names":false,"suffix":""},{"dropping-particle":"","family":"Amiel","given":"S.","non-dropping-particle":"","parse-names":false,"suffix":""},{"dropping-particle":"","family":"Heller","given":"S.","non-dropping-particle":"","parse-names":false,"suffix":""}],"container-title":"Diabetes Research and Clinical Practice","id":"ITEM-4","issue":"2","issued":{"date-parts":[["2012","11"]]},"page":"236-242","title":"Patients' experiences of adjusting insulin doses when implementing flexible intensive insulin therapy: A longitudinal, qualitative investigation","type":"article-journal","volume":"98"},"uris":["http://www.mendeley.com/documents/?uuid=16f13c8d-b9b2-3e17-9099-7fb9393ed41d"]},{"id":"ITEM-5","itemData":{"DOI":"10.1186/1471-2458-12-652","ISSN":"14712458","abstract":"Background: Structured education programmes for patients with diabetes and other chronic conditions are being widely adopted. However, follow-up studies suggest that course graduates may struggle to sustain the self-care practices taught on their courses over time. This study explored the support needs of patients with type 1 diabetes after attending a structured education programme promoting an empowerment approach and training in use of flexible intensive insulin therapy, a regimen now widely advocated and used to manage this condition. The objective was to inform future support offered to course graduates. Methods. Repeat, in-depth interviews with 30 type 1 diabetes patients after attending Dose Adjustment for Normal Eating (DAFNE) courses in the UK, and six and 12months later. Data were analysed using an inductive, thematic approach. Results: While the flexible intensive insulin treatment approach taught on DAFNE courses was seen as a logical and effective way of managing ones diabetes, it was also considered more technically complex than other insulin regimens. To sustain effective disease self-management using flexible intensive insulin treatment over time, patients often expected, and needed, on-going input and support from health care professionals trained in the approach. This included: help determining insulin dose adjustments; reassurance; and, opportunities to trouble-shoot issues of concern. While some benefits were identified to receiving follow-up support in a group setting, most patients stated a preference or need for tailored and individualised support from appropriately-trained clinicians, accessible on an as and when needed basis. Conclusions: Our findings highlight potential limitations to group-based forms of follow-up support for sustaining diabetes self-management. To maintain the clinical benefits of structured education for patients with type 1 diabetes over time, course graduates may benefit from and prefer ongoing, one-to-one support from health care professionals trained in the programmes practices and principles. This support should be tailored and personalised to reflect patients specific and unique experiences of applying their education and training in the context of their everyday lives, and could be the subject of future research. © 2012 Rankin et al.; licensee BioMed Central Ltd.","author":[{"dropping-particle":"","family":"Rankin","given":"David","non-dropping-particle":"","parse-names":false,"suffix":""},{"dropping-particle":"","family":"Cooke","given":"Debbie D.","non-dropping-particle":"","parse-names":false,"suffix":""},{"dropping-particle":"","family":"Elliott","given":"Jackie","non-dropping-particle":"","parse-names":false,"suffix":""},{"dropping-particle":"","family":"Heller","given":"Simon R.","non-dropping-particle":"","parse-names":false,"suffix":""},{"dropping-particle":"","family":"Lawton","given":"Julia","non-dropping-particle":"","parse-names":false,"suffix":""}],"container-title":"BMC Public Health","id":"ITEM-5","issue":"1","issued":{"date-parts":[["2012","12","14"]]},"page":"652","publisher":"BioMed Central","title":"Supporting self-management after attending a structured education programme: A qualitative longitudinal investigation of type 1 diabetes patients experiences and views","type":"article-journal","volume":"12"},"uris":["http://www.mendeley.com/documents/?uuid=9b6d9666-cc21-331e-a84e-2ef9e8364de4"]},{"id":"ITEM-6","itemData":{"DOI":"10.1111/j.1464-5491.2012.03670.x","ISSN":"07423071","abstract":"Aims Use of blood glucose targets is considered essential to help patients with Type1 diabetes achieve tight glycaemic control following structured education. To foster effective use of blood glucose targets, we explored patients' experiences and views of implementing clinically recommended blood glucose targets after attending a structured education programme promoting intensive insulin treatment. Methods Repeat, in-depth interviews with 30 patients with Type1 diabetes recruited from Dose Adjustment for Normal Eating (DAFNE) courses in the UK. Data were analysed using an inductive, thematic approach. Results Patients found use of blood glucose targets motivational. Targets enabled patients to identify problems with blood glucose control and prompted them to make insulin dose adjustments independently, or with assistance. However, patients tended to adapt or simplify targets over time to: make them more attainable and easy to remember; reduce risk of hypoglycaemia; and, mitigate feelings of failure when attempts to attain clinically defined targets were unsuccessful. Some patients were advised to use elevated targets to counter hypoglycaemia unawareness and required help from health professionals to determine when/if these should be reduced. Conclusions Although blood glucose targets are an important component of diabetes self-management, patients may adapt and personalize them over time, sometimes inadvertently, with a potentially detrimental impact on long-term glycaemic control. Blood glucose targets should be regularly revisited during clinical reviews and revised/new targets agreed to accommodate patients' concerns and difficulties. Other interventions may need to be considered to promote effective use of blood glucose targets. © 2012 The Authors. Diabetic Medicine © 2012 Diabetes UK.","author":[{"dropping-particle":"","family":"Rankin","given":"D.","non-dropping-particle":"","parse-names":false,"suffix":""},{"dropping-particle":"","family":"Cooke","given":"D. D.","non-dropping-particle":"","parse-names":false,"suffix":""},{"dropping-particle":"","family":"Heller","given":"S.","non-dropping-particle":"","parse-names":false,"suffix":""},{"dropping-particle":"","family":"Elliott","given":"J.","non-dropping-particle":"","parse-names":false,"suffix":""},{"dropping-particle":"","family":"Amiel","given":"S.","non-dropping-particle":"","parse-names":false,"suffix":""},{"dropping-particle":"","family":"Lawton","given":"J.","non-dropping-particle":"","parse-names":false,"suffix":""}],"container-title":"Diabetic Medicine","id":"ITEM-6","issue":"8","issued":{"date-parts":[["2012","8"]]},"page":"1079-1084","title":"Experiences of using blood glucose targets when following an intensive insulin regimen: A qualitative longitudinal investigation involving patients with Type1 diabetes","type":"article-journal","volume":"29"},"uris":["http://www.mendeley.com/documents/?uuid=5f08fa4e-5eac-3ce1-a8d8-222f10ce218f"]},{"id":"ITEM-7","itemData":{"DOI":"10.1016/j.diabres.2010.11.007","ISSN":"01688227","abstract":"Aim: To explore whether, and why, patients change their food and eating practices following conversion to flexible intensive insulin therapy (FIIT), a regimen which requires quick acting insulin doses to be matched to the carbohydrate content of meals/snacks consumed. Methods: Repeat, in-depth interviews with 30 type 1 diabetes patients converted to FIIT recruited from Dose Adjustment for Normal Eating (DAFNE) courses in the UK. Data were analysed using an inductive, thematic approach. Results: Despite the potential of FIIT to enable greater dietary flexibility and freedom, most patients reported food and eating practices which were remarkably resistant to change. In some cases, FIIT adoption resulted in greater dietary rigidity over time. The opportunities FIIT presented for greater dietary freedom were counterbalanced by new challenges and burdens (e.g. having to simplify food choices to make carbohydrate estimation easier). Due to the emphasis FIIT places on carbohydrate counting, and patients' fears of hypos, low/no carbohydrate foodstuffs sometimes came to be seen as the healthiest or safest options. Conclusion: Concerns that FIIT may result in more excessive or unhealthy eating appear largely unfounded; however, consideration needs to be paid to the ways in which patients' conceptualisations of, and relationship with, food may change following FIIT conversion. © 2010 Elsevier Ireland Ltd.","author":[{"dropping-particle":"","family":"Lawton","given":"J.","non-dropping-particle":"","parse-names":false,"suffix":""},{"dropping-particle":"","family":"Rankin","given":"D.","non-dropping-particle":"","parse-names":false,"suffix":""},{"dropping-particle":"","family":"Cooke","given":"D. D.","non-dropping-particle":"","parse-names":false,"suffix":""},{"dropping-particle":"","family":"Clark","given":"M.","non-dropping-particle":"","parse-names":false,"suffix":""},{"dropping-particle":"","family":"Elliot","given":"J.","non-dropping-particle":"","parse-names":false,"suffix":""},{"dropping-particle":"","family":"Heller","given":"S.","non-dropping-particle":"","parse-names":false,"suffix":""}],"container-title":"Diabetes Research and Clinical Practice","id":"ITEM-7","issue":"1","issued":{"date-parts":[["2011","1"]]},"page":"87-93","title":"Dose Adjustment for Normal Eating: A qualitative longitudinal exploration of the food and eating practices of type 1 diabetes patients converted to flexible intensive insulin therapy in the UK","type":"article-journal","volume":"91"},"uris":["http://www.mendeley.com/documents/?uuid=049062a1-d487-37ac-93b3-40cb2dd00f02"]},{"id":"ITEM-8","itemData":{"DOI":"10.1111/j.1464-5491.2011.03243.x","ISSN":"07423071","abstract":"Background Conventional insulin therapy requires patients with Type1 diabetes to adhere to rigid dietary and insulin injection practices. Recent trends towards flexible intensive insulin therapy enable patients to match insulin to dietary intake and lifestyle; however, little work has examined patients' experiences of incorporating these practices into real-life contexts. This qualitative longitudinal study explored patients' experiences of using flexible intensive insulin therapy to help inform the development of effective long-term support. Methods Semi-structured interviews were conducted with 30 adult patients with Type1 diabetes following participation in a structured education programme on using flexible intensive insulin therapy, and 6 and 12months post-course. Longitudinal data analysis used an inductive, thematic approach. Results Patients consistently reported feeling committed to and wanting to sustain flexible intensive insulin therapy. This regimen was seen as a logical and effective method of self-management, as patients experienced improved blood glucose readings and/or reported feeling better. Implementing and sustaining flexible intensive insulin therapy was enhanced when patients had stable routines, with more challenges reported by those working irregular hours and during weekends/holidays. Some patients re-crafted their lives to make this approach work for them; for instance, by creating dietary routines or adjusting dietary choices. Conclusions Clinical data have shown that flexible intensive insulin therapy can lead to improvement in glycaemic control. This study, drawing on patients' perspectives, provides further endorsement for flexible intensive insulin therapy by demonstrating patients' liking of, and their motivation to sustain, this approach over time. To help patients implement and sustain flexible intensive insulin therapy, follow-up support should encourage them to identify routines to better integrate this regimen into their lives. © 2011 The Authors. Diabetic Medicine © 2011 Diabetes UK.","author":[{"dropping-particle":"","family":"Rankin","given":"D.","non-dropping-particle":"","parse-names":false,"suffix":""},{"dropping-particle":"","family":"Cooke","given":"D. D.","non-dropping-particle":"","parse-names":false,"suffix":""},{"dropping-particle":"","family":"Clark","given":"M.","non-dropping-particle":"","parse-names":false,"suffix":""},{"dropping-particle":"","family":"Heller","given":"S.","non-dropping-particle":"","parse-names":false,"suffix":""},{"dropping-particle":"","family":"Elliott","given":"J.","non-dropping-particle":"","parse-names":false,"suffix":""},{"dropping-particle":"","family":"Lawton","given":"J.","non-dropping-particle":"","parse-names":false,"suffix":""}],"container-title":"Diabetic Medicine","id":"ITEM-8","issue":"5","issued":{"date-parts":[["2011","5"]]},"page":"532-538","title":"How and why do patients with Type1 diabetes sustain their use of flexible intensive insulin therapy? A qualitative longitudinal investigation of patients' self-management practices following attendance at a Dose Adjustment for Normal Eating (DAFNE) course","type":"article-journal","volume":"28"},"uris":["http://www.mendeley.com/documents/?uuid=64f6b54b-c711-3e33-90b4-2a2b98292b1f"]}],"mendeley":{"formattedCitation":"[6,9–15]","plainTextFormattedCitation":"[6,9–15]","previouslyFormattedCitation":"[6–13]"},"properties":{"noteIndex":0},"schema":"https://github.com/citation-style-language/schema/raw/master/csl-citation.json"}</w:instrText>
      </w:r>
      <w:r w:rsidR="001E4FC0">
        <w:rPr>
          <w:rFonts w:cs="Arial"/>
          <w:sz w:val="24"/>
        </w:rPr>
        <w:fldChar w:fldCharType="separate"/>
      </w:r>
      <w:r w:rsidR="005D7FBE" w:rsidRPr="005D7FBE">
        <w:rPr>
          <w:rFonts w:cs="Arial"/>
          <w:noProof/>
          <w:sz w:val="24"/>
        </w:rPr>
        <w:t>[6,9–15]</w:t>
      </w:r>
      <w:r w:rsidR="001E4FC0">
        <w:rPr>
          <w:rFonts w:cs="Arial"/>
          <w:sz w:val="24"/>
        </w:rPr>
        <w:fldChar w:fldCharType="end"/>
      </w:r>
      <w:r w:rsidR="002B65AF" w:rsidRPr="00967A14" w:rsidDel="00467B0F">
        <w:rPr>
          <w:rFonts w:cs="Arial"/>
          <w:sz w:val="24"/>
        </w:rPr>
        <w:t xml:space="preserve">. </w:t>
      </w:r>
    </w:p>
    <w:p w14:paraId="0E7F9086" w14:textId="77777777" w:rsidR="00F93E23" w:rsidRPr="00967A14" w:rsidRDefault="00F93E23" w:rsidP="00BD72F0">
      <w:pPr>
        <w:jc w:val="both"/>
        <w:rPr>
          <w:rFonts w:cs="Arial"/>
          <w:sz w:val="24"/>
        </w:rPr>
      </w:pPr>
    </w:p>
    <w:p w14:paraId="3806E251" w14:textId="432F8B22" w:rsidR="00084D40" w:rsidRDefault="002844E8" w:rsidP="006E29AB">
      <w:pPr>
        <w:jc w:val="both"/>
        <w:rPr>
          <w:color w:val="000000" w:themeColor="text1"/>
          <w:sz w:val="24"/>
        </w:rPr>
      </w:pPr>
      <w:r w:rsidRPr="00967A14">
        <w:rPr>
          <w:color w:val="000000" w:themeColor="text1"/>
          <w:sz w:val="24"/>
        </w:rPr>
        <w:lastRenderedPageBreak/>
        <w:t>The DAFNE</w:t>
      </w:r>
      <w:r w:rsidRPr="00967A14">
        <w:rPr>
          <w:i/>
          <w:color w:val="000000" w:themeColor="text1"/>
          <w:sz w:val="24"/>
        </w:rPr>
        <w:t>plus</w:t>
      </w:r>
      <w:r w:rsidRPr="00967A14">
        <w:rPr>
          <w:color w:val="000000" w:themeColor="text1"/>
          <w:sz w:val="24"/>
        </w:rPr>
        <w:t xml:space="preserve"> </w:t>
      </w:r>
      <w:r w:rsidR="00D6588A">
        <w:rPr>
          <w:color w:val="000000" w:themeColor="text1"/>
          <w:sz w:val="24"/>
        </w:rPr>
        <w:t xml:space="preserve">intervention has been developed through </w:t>
      </w:r>
      <w:r w:rsidRPr="00967A14">
        <w:rPr>
          <w:color w:val="000000" w:themeColor="text1"/>
          <w:sz w:val="24"/>
        </w:rPr>
        <w:t>modify</w:t>
      </w:r>
      <w:r w:rsidR="00D6588A">
        <w:rPr>
          <w:color w:val="000000" w:themeColor="text1"/>
          <w:sz w:val="24"/>
        </w:rPr>
        <w:t>ing</w:t>
      </w:r>
      <w:r w:rsidRPr="00967A14">
        <w:rPr>
          <w:color w:val="000000" w:themeColor="text1"/>
          <w:sz w:val="24"/>
        </w:rPr>
        <w:t xml:space="preserve"> the existing DAFNE </w:t>
      </w:r>
      <w:r w:rsidR="006E29AB">
        <w:rPr>
          <w:color w:val="000000" w:themeColor="text1"/>
          <w:sz w:val="24"/>
        </w:rPr>
        <w:t>programme</w:t>
      </w:r>
      <w:r w:rsidRPr="00967A14">
        <w:rPr>
          <w:color w:val="000000" w:themeColor="text1"/>
          <w:sz w:val="24"/>
        </w:rPr>
        <w:t xml:space="preserve"> </w:t>
      </w:r>
      <w:r w:rsidR="00D6588A">
        <w:rPr>
          <w:color w:val="000000" w:themeColor="text1"/>
          <w:sz w:val="24"/>
        </w:rPr>
        <w:t xml:space="preserve">by </w:t>
      </w:r>
      <w:r w:rsidRPr="00967A14">
        <w:rPr>
          <w:color w:val="000000" w:themeColor="text1"/>
          <w:sz w:val="24"/>
        </w:rPr>
        <w:t>incorporat</w:t>
      </w:r>
      <w:r w:rsidR="00D6588A">
        <w:rPr>
          <w:color w:val="000000" w:themeColor="text1"/>
          <w:sz w:val="24"/>
        </w:rPr>
        <w:t>ing</w:t>
      </w:r>
      <w:r w:rsidRPr="00967A14">
        <w:rPr>
          <w:color w:val="000000" w:themeColor="text1"/>
          <w:sz w:val="24"/>
        </w:rPr>
        <w:t xml:space="preserve"> techniques for initiating and sustaining behaviour change, </w:t>
      </w:r>
      <w:r w:rsidR="00D6588A">
        <w:rPr>
          <w:color w:val="000000" w:themeColor="text1"/>
          <w:sz w:val="24"/>
        </w:rPr>
        <w:t>and supplementing this with</w:t>
      </w:r>
      <w:r w:rsidRPr="00967A14">
        <w:rPr>
          <w:color w:val="000000" w:themeColor="text1"/>
          <w:sz w:val="24"/>
        </w:rPr>
        <w:t xml:space="preserve"> structured follow-up support and </w:t>
      </w:r>
      <w:r w:rsidR="000F6934">
        <w:rPr>
          <w:color w:val="000000" w:themeColor="text1"/>
          <w:sz w:val="24"/>
        </w:rPr>
        <w:t>enhanced</w:t>
      </w:r>
      <w:r w:rsidRPr="00967A14">
        <w:rPr>
          <w:color w:val="000000" w:themeColor="text1"/>
          <w:sz w:val="24"/>
        </w:rPr>
        <w:t xml:space="preserve"> information technology. The aim of th</w:t>
      </w:r>
      <w:r w:rsidR="00D6588A">
        <w:rPr>
          <w:color w:val="000000" w:themeColor="text1"/>
          <w:sz w:val="24"/>
        </w:rPr>
        <w:t xml:space="preserve">is trial </w:t>
      </w:r>
      <w:r w:rsidRPr="00967A14">
        <w:rPr>
          <w:color w:val="000000" w:themeColor="text1"/>
          <w:sz w:val="24"/>
        </w:rPr>
        <w:t>is to investigate whether the DAFNE</w:t>
      </w:r>
      <w:r w:rsidRPr="00967A14">
        <w:rPr>
          <w:i/>
          <w:color w:val="000000" w:themeColor="text1"/>
          <w:sz w:val="24"/>
        </w:rPr>
        <w:t>plus</w:t>
      </w:r>
      <w:r w:rsidRPr="00967A14">
        <w:rPr>
          <w:color w:val="000000" w:themeColor="text1"/>
          <w:sz w:val="24"/>
        </w:rPr>
        <w:t xml:space="preserve"> programme will produce improved and sustainable diabetes self-management behaviour and better glucose </w:t>
      </w:r>
      <w:r w:rsidR="0042216C">
        <w:rPr>
          <w:color w:val="000000" w:themeColor="text1"/>
          <w:sz w:val="24"/>
        </w:rPr>
        <w:t>outcomes</w:t>
      </w:r>
      <w:r w:rsidRPr="00967A14">
        <w:rPr>
          <w:color w:val="000000" w:themeColor="text1"/>
          <w:sz w:val="24"/>
        </w:rPr>
        <w:t xml:space="preserve"> than currently achieved</w:t>
      </w:r>
      <w:r w:rsidR="00D6588A">
        <w:rPr>
          <w:color w:val="000000" w:themeColor="text1"/>
          <w:sz w:val="24"/>
        </w:rPr>
        <w:t xml:space="preserve"> with standard DAFNE</w:t>
      </w:r>
      <w:r w:rsidRPr="00967A14">
        <w:rPr>
          <w:color w:val="000000" w:themeColor="text1"/>
          <w:sz w:val="24"/>
        </w:rPr>
        <w:t>, without compromising quality of life</w:t>
      </w:r>
      <w:r w:rsidR="00495BDD">
        <w:rPr>
          <w:color w:val="000000" w:themeColor="text1"/>
          <w:sz w:val="24"/>
        </w:rPr>
        <w:t xml:space="preserve"> in the longer term</w:t>
      </w:r>
      <w:r w:rsidRPr="00967A14">
        <w:rPr>
          <w:color w:val="000000" w:themeColor="text1"/>
          <w:sz w:val="24"/>
        </w:rPr>
        <w:t>.</w:t>
      </w:r>
      <w:r w:rsidR="00A77A36" w:rsidRPr="00967A14">
        <w:rPr>
          <w:color w:val="000000" w:themeColor="text1"/>
          <w:sz w:val="24"/>
        </w:rPr>
        <w:t xml:space="preserve"> </w:t>
      </w:r>
    </w:p>
    <w:p w14:paraId="41378383" w14:textId="77777777" w:rsidR="00967A14" w:rsidRPr="00967A14" w:rsidRDefault="00967A14" w:rsidP="00BD72F0">
      <w:pPr>
        <w:jc w:val="both"/>
        <w:rPr>
          <w:color w:val="000000" w:themeColor="text1"/>
          <w:sz w:val="24"/>
        </w:rPr>
      </w:pPr>
    </w:p>
    <w:p w14:paraId="7B251DB5" w14:textId="0F14E603" w:rsidR="00084D40" w:rsidRPr="00F91E6D" w:rsidRDefault="00084D40" w:rsidP="00F91E6D">
      <w:pPr>
        <w:rPr>
          <w:b/>
        </w:rPr>
      </w:pPr>
      <w:bookmarkStart w:id="3" w:name="_Toc519501940"/>
      <w:r w:rsidRPr="00F91E6D">
        <w:rPr>
          <w:b/>
          <w:sz w:val="28"/>
        </w:rPr>
        <w:t>Aims and objectives</w:t>
      </w:r>
      <w:bookmarkEnd w:id="3"/>
    </w:p>
    <w:p w14:paraId="59F19240" w14:textId="77777777" w:rsidR="00084D40" w:rsidRPr="00E03C03" w:rsidRDefault="00084D40" w:rsidP="00BD72F0">
      <w:pPr>
        <w:jc w:val="both"/>
        <w:rPr>
          <w:color w:val="000000" w:themeColor="text1"/>
        </w:rPr>
      </w:pPr>
    </w:p>
    <w:p w14:paraId="643E6DD4" w14:textId="664E5388" w:rsidR="00A77A36" w:rsidRPr="00967A14" w:rsidRDefault="00A77A36" w:rsidP="00472DE6">
      <w:pPr>
        <w:jc w:val="both"/>
        <w:rPr>
          <w:rFonts w:eastAsiaTheme="minorEastAsia" w:cs="Arial"/>
          <w:color w:val="000000" w:themeColor="text1"/>
          <w:sz w:val="24"/>
          <w:lang w:eastAsia="en-US"/>
        </w:rPr>
      </w:pPr>
      <w:r w:rsidRPr="00967A14">
        <w:rPr>
          <w:color w:val="000000" w:themeColor="text1"/>
          <w:sz w:val="24"/>
        </w:rPr>
        <w:t>The primary aim of this study is to conduct a cluster RCT comparing the new DAFNE</w:t>
      </w:r>
      <w:r w:rsidRPr="00967A14">
        <w:rPr>
          <w:i/>
          <w:color w:val="000000" w:themeColor="text1"/>
          <w:sz w:val="24"/>
        </w:rPr>
        <w:t>plus</w:t>
      </w:r>
      <w:r w:rsidRPr="00967A14">
        <w:rPr>
          <w:color w:val="000000" w:themeColor="text1"/>
          <w:sz w:val="24"/>
        </w:rPr>
        <w:t xml:space="preserve"> intervention to the existing DAFNE programme </w:t>
      </w:r>
      <w:r w:rsidRPr="00967A14">
        <w:rPr>
          <w:rFonts w:cs="Arial"/>
          <w:color w:val="000000" w:themeColor="text1"/>
          <w:sz w:val="24"/>
        </w:rPr>
        <w:t xml:space="preserve">to </w:t>
      </w:r>
      <w:r w:rsidRPr="00967A14">
        <w:rPr>
          <w:rFonts w:eastAsiaTheme="minorEastAsia" w:cs="Arial"/>
          <w:color w:val="000000" w:themeColor="text1"/>
          <w:sz w:val="24"/>
          <w:lang w:eastAsia="en-US"/>
        </w:rPr>
        <w:t>answer the following question:</w:t>
      </w:r>
    </w:p>
    <w:p w14:paraId="052C7820" w14:textId="77777777" w:rsidR="00412AB5" w:rsidRPr="00967A14" w:rsidRDefault="00412AB5" w:rsidP="00BD72F0">
      <w:pPr>
        <w:jc w:val="both"/>
        <w:rPr>
          <w:rFonts w:eastAsiaTheme="minorEastAsia" w:cs="Arial"/>
          <w:color w:val="000000" w:themeColor="text1"/>
          <w:sz w:val="24"/>
          <w:lang w:eastAsia="en-US"/>
        </w:rPr>
      </w:pPr>
    </w:p>
    <w:p w14:paraId="4EE2717E" w14:textId="65E77580" w:rsidR="00A77A36" w:rsidRPr="00967A14" w:rsidRDefault="00A77A36" w:rsidP="00A57C84">
      <w:pPr>
        <w:autoSpaceDE w:val="0"/>
        <w:autoSpaceDN w:val="0"/>
        <w:adjustRightInd w:val="0"/>
        <w:jc w:val="both"/>
        <w:rPr>
          <w:rFonts w:eastAsiaTheme="minorEastAsia" w:cs="Arial"/>
          <w:color w:val="000000" w:themeColor="text1"/>
          <w:sz w:val="24"/>
          <w:lang w:eastAsia="en-US"/>
        </w:rPr>
      </w:pPr>
      <w:r w:rsidRPr="00967A14">
        <w:rPr>
          <w:rFonts w:eastAsiaTheme="minorEastAsia" w:cs="Arial"/>
          <w:color w:val="000000" w:themeColor="text1"/>
          <w:sz w:val="24"/>
          <w:lang w:eastAsia="en-US"/>
        </w:rPr>
        <w:t xml:space="preserve">In adults with T1D, will modifying the existing DAFNE </w:t>
      </w:r>
      <w:r w:rsidR="00A57C84">
        <w:rPr>
          <w:rFonts w:eastAsiaTheme="minorEastAsia" w:cs="Arial"/>
          <w:color w:val="000000" w:themeColor="text1"/>
          <w:sz w:val="24"/>
          <w:lang w:eastAsia="en-US"/>
        </w:rPr>
        <w:t>programme</w:t>
      </w:r>
      <w:r w:rsidRPr="00967A14">
        <w:rPr>
          <w:rFonts w:eastAsiaTheme="minorEastAsia" w:cs="Arial"/>
          <w:color w:val="000000" w:themeColor="text1"/>
          <w:sz w:val="24"/>
          <w:lang w:eastAsia="en-US"/>
        </w:rPr>
        <w:t xml:space="preserve"> and developing structured professional input, using learning from our recent research, behaviour change theory and new forms of technological support, produce</w:t>
      </w:r>
      <w:r w:rsidR="00355831" w:rsidRPr="00967A14">
        <w:rPr>
          <w:rFonts w:eastAsiaTheme="minorEastAsia" w:cs="Arial"/>
          <w:color w:val="000000" w:themeColor="text1"/>
          <w:sz w:val="24"/>
          <w:lang w:eastAsia="en-US"/>
        </w:rPr>
        <w:t xml:space="preserve"> </w:t>
      </w:r>
      <w:r w:rsidR="000F7B79">
        <w:rPr>
          <w:rFonts w:eastAsiaTheme="minorEastAsia" w:cs="Arial"/>
          <w:color w:val="000000" w:themeColor="text1"/>
          <w:sz w:val="24"/>
          <w:lang w:eastAsia="en-US"/>
        </w:rPr>
        <w:t xml:space="preserve">improved and sustained diabetes self-management behaviours, leading to </w:t>
      </w:r>
      <w:r w:rsidR="00355831" w:rsidRPr="00967A14">
        <w:rPr>
          <w:rFonts w:eastAsiaTheme="minorEastAsia" w:cs="Arial"/>
          <w:color w:val="000000" w:themeColor="text1"/>
          <w:sz w:val="24"/>
          <w:lang w:eastAsia="en-US"/>
        </w:rPr>
        <w:t>better glucose control than currently achieved</w:t>
      </w:r>
      <w:r w:rsidR="001D3CF2">
        <w:rPr>
          <w:rFonts w:eastAsiaTheme="minorEastAsia" w:cs="Arial"/>
          <w:color w:val="000000" w:themeColor="text1"/>
          <w:sz w:val="24"/>
          <w:lang w:eastAsia="en-US"/>
        </w:rPr>
        <w:t xml:space="preserve">, using the existing DAFNE intervention, </w:t>
      </w:r>
      <w:r w:rsidR="00355831" w:rsidRPr="00967A14">
        <w:rPr>
          <w:rFonts w:eastAsiaTheme="minorEastAsia" w:cs="Arial"/>
          <w:color w:val="000000" w:themeColor="text1"/>
          <w:sz w:val="24"/>
          <w:lang w:eastAsia="en-US"/>
        </w:rPr>
        <w:t>without compromising quality of life</w:t>
      </w:r>
      <w:r w:rsidR="008B3024" w:rsidRPr="00967A14">
        <w:rPr>
          <w:rFonts w:eastAsiaTheme="minorEastAsia" w:cs="Arial"/>
          <w:color w:val="000000" w:themeColor="text1"/>
          <w:sz w:val="24"/>
          <w:lang w:eastAsia="en-US"/>
        </w:rPr>
        <w:t>?</w:t>
      </w:r>
    </w:p>
    <w:p w14:paraId="2EFFDEDE" w14:textId="77777777" w:rsidR="00BF2578" w:rsidRPr="00967A14" w:rsidRDefault="00BF2578" w:rsidP="00BD72F0">
      <w:pPr>
        <w:jc w:val="both"/>
        <w:rPr>
          <w:rFonts w:eastAsiaTheme="minorEastAsia" w:cs="Arial"/>
          <w:color w:val="000000" w:themeColor="text1"/>
          <w:sz w:val="24"/>
          <w:lang w:eastAsia="en-US"/>
        </w:rPr>
      </w:pPr>
    </w:p>
    <w:p w14:paraId="13F21D4F" w14:textId="4439EA54" w:rsidR="00412AB5" w:rsidRDefault="00BF2578" w:rsidP="00BD72F0">
      <w:pPr>
        <w:jc w:val="both"/>
        <w:rPr>
          <w:color w:val="000000" w:themeColor="text1"/>
          <w:sz w:val="28"/>
        </w:rPr>
      </w:pPr>
      <w:r w:rsidRPr="00967A14">
        <w:rPr>
          <w:rFonts w:cs="Arial"/>
          <w:color w:val="000000" w:themeColor="text1"/>
          <w:sz w:val="24"/>
        </w:rPr>
        <w:t>The primary objective is</w:t>
      </w:r>
      <w:r w:rsidR="00F91E6D">
        <w:rPr>
          <w:rFonts w:cs="Arial"/>
          <w:color w:val="000000" w:themeColor="text1"/>
          <w:sz w:val="24"/>
        </w:rPr>
        <w:t xml:space="preserve"> t</w:t>
      </w:r>
      <w:r w:rsidRPr="00F91E6D">
        <w:rPr>
          <w:rFonts w:cs="Arial"/>
          <w:color w:val="000000" w:themeColor="text1"/>
          <w:sz w:val="24"/>
        </w:rPr>
        <w:t xml:space="preserve">o assess the </w:t>
      </w:r>
      <w:r w:rsidR="001F2F31" w:rsidRPr="00F91E6D">
        <w:rPr>
          <w:rFonts w:cs="Arial"/>
          <w:color w:val="000000" w:themeColor="text1"/>
          <w:sz w:val="24"/>
        </w:rPr>
        <w:t>effect</w:t>
      </w:r>
      <w:r w:rsidR="000F7B79" w:rsidRPr="00F91E6D">
        <w:rPr>
          <w:rFonts w:cs="Arial"/>
          <w:color w:val="000000" w:themeColor="text1"/>
          <w:sz w:val="24"/>
        </w:rPr>
        <w:t>s</w:t>
      </w:r>
      <w:r w:rsidR="001F2F31" w:rsidRPr="00F91E6D">
        <w:rPr>
          <w:rFonts w:cs="Arial"/>
          <w:color w:val="000000" w:themeColor="text1"/>
          <w:sz w:val="24"/>
        </w:rPr>
        <w:t xml:space="preserve"> of the intervention on </w:t>
      </w:r>
      <w:r w:rsidRPr="00F91E6D">
        <w:rPr>
          <w:rFonts w:cs="Arial"/>
          <w:color w:val="000000" w:themeColor="text1"/>
          <w:sz w:val="24"/>
        </w:rPr>
        <w:t>glycaemic control, as measured by HbA1c</w:t>
      </w:r>
      <w:r w:rsidR="001F2F31" w:rsidRPr="00F91E6D">
        <w:rPr>
          <w:rFonts w:cs="Arial"/>
          <w:color w:val="000000" w:themeColor="text1"/>
          <w:sz w:val="24"/>
        </w:rPr>
        <w:t xml:space="preserve"> at 12 months</w:t>
      </w:r>
      <w:r w:rsidR="0027737D" w:rsidRPr="00F91E6D">
        <w:rPr>
          <w:color w:val="000000" w:themeColor="text1"/>
          <w:sz w:val="28"/>
        </w:rPr>
        <w:t>.</w:t>
      </w:r>
    </w:p>
    <w:p w14:paraId="7FE619F7" w14:textId="77777777" w:rsidR="00F91E6D" w:rsidRPr="00967A14" w:rsidRDefault="00F91E6D" w:rsidP="00BD72F0">
      <w:pPr>
        <w:jc w:val="both"/>
        <w:rPr>
          <w:color w:val="000000" w:themeColor="text1"/>
          <w:sz w:val="24"/>
        </w:rPr>
      </w:pPr>
    </w:p>
    <w:p w14:paraId="427E2D0D" w14:textId="71ABE3F5" w:rsidR="00B425ED" w:rsidRDefault="009736D5" w:rsidP="00BD72F0">
      <w:pPr>
        <w:jc w:val="both"/>
        <w:rPr>
          <w:color w:val="000000" w:themeColor="text1"/>
          <w:sz w:val="24"/>
        </w:rPr>
      </w:pPr>
      <w:r w:rsidRPr="00967A14">
        <w:rPr>
          <w:color w:val="000000" w:themeColor="text1"/>
          <w:sz w:val="24"/>
        </w:rPr>
        <w:t>The secondary objectives of this trial are:</w:t>
      </w:r>
    </w:p>
    <w:p w14:paraId="3B02E09A" w14:textId="77777777" w:rsidR="00BD72F0" w:rsidRPr="00967A14" w:rsidRDefault="00BD72F0" w:rsidP="00BD72F0">
      <w:pPr>
        <w:jc w:val="both"/>
        <w:rPr>
          <w:color w:val="000000" w:themeColor="text1"/>
          <w:sz w:val="24"/>
        </w:rPr>
      </w:pPr>
    </w:p>
    <w:p w14:paraId="60023BB2" w14:textId="68BA813D" w:rsidR="00055465" w:rsidRDefault="00BF2578" w:rsidP="00406716">
      <w:pPr>
        <w:pStyle w:val="ListParagraph"/>
        <w:numPr>
          <w:ilvl w:val="0"/>
          <w:numId w:val="50"/>
        </w:numPr>
        <w:jc w:val="both"/>
        <w:rPr>
          <w:rFonts w:ascii="Arial" w:hAnsi="Arial" w:cs="Arial"/>
          <w:color w:val="000000" w:themeColor="text1"/>
        </w:rPr>
      </w:pPr>
      <w:r w:rsidRPr="00967A14">
        <w:rPr>
          <w:rFonts w:ascii="Arial" w:hAnsi="Arial" w:cs="Arial"/>
          <w:color w:val="000000" w:themeColor="text1"/>
        </w:rPr>
        <w:t xml:space="preserve">To </w:t>
      </w:r>
      <w:r w:rsidR="00B049A2">
        <w:rPr>
          <w:rFonts w:ascii="Arial" w:hAnsi="Arial" w:cs="Arial"/>
          <w:color w:val="000000" w:themeColor="text1"/>
        </w:rPr>
        <w:t xml:space="preserve">compare </w:t>
      </w:r>
      <w:r w:rsidRPr="00967A14">
        <w:rPr>
          <w:rFonts w:ascii="Arial" w:hAnsi="Arial" w:cs="Arial"/>
          <w:color w:val="000000" w:themeColor="text1"/>
        </w:rPr>
        <w:t>the effects of the intervention</w:t>
      </w:r>
      <w:r w:rsidR="00FC1A43">
        <w:rPr>
          <w:rFonts w:ascii="Arial" w:hAnsi="Arial" w:cs="Arial"/>
          <w:color w:val="000000" w:themeColor="text1"/>
        </w:rPr>
        <w:t xml:space="preserve"> (DAFNE</w:t>
      </w:r>
      <w:r w:rsidR="00FC1A43" w:rsidRPr="0087603F">
        <w:rPr>
          <w:rFonts w:ascii="Arial" w:hAnsi="Arial" w:cs="Arial"/>
          <w:i/>
          <w:iCs/>
          <w:color w:val="000000" w:themeColor="text1"/>
        </w:rPr>
        <w:t>plus</w:t>
      </w:r>
      <w:r w:rsidR="00FC1A43">
        <w:rPr>
          <w:rFonts w:ascii="Arial" w:hAnsi="Arial" w:cs="Arial"/>
          <w:color w:val="000000" w:themeColor="text1"/>
        </w:rPr>
        <w:t>) to standard DAFNE</w:t>
      </w:r>
      <w:r w:rsidRPr="00967A14">
        <w:rPr>
          <w:rFonts w:ascii="Arial" w:hAnsi="Arial" w:cs="Arial"/>
          <w:color w:val="000000" w:themeColor="text1"/>
        </w:rPr>
        <w:t xml:space="preserve"> on </w:t>
      </w:r>
      <w:r w:rsidR="00D27F4D">
        <w:rPr>
          <w:rFonts w:ascii="Arial" w:hAnsi="Arial" w:cs="Arial"/>
          <w:color w:val="000000" w:themeColor="text1"/>
        </w:rPr>
        <w:t xml:space="preserve">diabetes-specific </w:t>
      </w:r>
      <w:r w:rsidRPr="00967A14">
        <w:rPr>
          <w:rFonts w:ascii="Arial" w:hAnsi="Arial" w:cs="Arial"/>
          <w:color w:val="000000" w:themeColor="text1"/>
        </w:rPr>
        <w:t>quality of life</w:t>
      </w:r>
      <w:r w:rsidR="00055465">
        <w:rPr>
          <w:rFonts w:ascii="Arial" w:hAnsi="Arial" w:cs="Arial"/>
          <w:color w:val="000000" w:themeColor="text1"/>
        </w:rPr>
        <w:t>.</w:t>
      </w:r>
    </w:p>
    <w:p w14:paraId="1D0A17D3" w14:textId="55FCE317" w:rsidR="0002074B" w:rsidRDefault="0002074B" w:rsidP="00406716">
      <w:pPr>
        <w:pStyle w:val="ListParagraph"/>
        <w:numPr>
          <w:ilvl w:val="0"/>
          <w:numId w:val="50"/>
        </w:numPr>
        <w:jc w:val="both"/>
        <w:rPr>
          <w:rFonts w:ascii="Arial" w:hAnsi="Arial" w:cs="Arial"/>
          <w:color w:val="000000" w:themeColor="text1"/>
        </w:rPr>
      </w:pPr>
      <w:r w:rsidRPr="0002074B">
        <w:rPr>
          <w:rFonts w:ascii="Arial" w:hAnsi="Arial" w:cs="Arial"/>
          <w:color w:val="000000" w:themeColor="text1"/>
        </w:rPr>
        <w:t xml:space="preserve">To </w:t>
      </w:r>
      <w:r w:rsidR="00FC1A43">
        <w:rPr>
          <w:rFonts w:ascii="Arial" w:hAnsi="Arial" w:cs="Arial"/>
          <w:color w:val="000000" w:themeColor="text1"/>
        </w:rPr>
        <w:t>compare</w:t>
      </w:r>
      <w:r w:rsidRPr="0002074B">
        <w:rPr>
          <w:rFonts w:ascii="Arial" w:hAnsi="Arial" w:cs="Arial"/>
          <w:color w:val="000000" w:themeColor="text1"/>
        </w:rPr>
        <w:t xml:space="preserve"> the medium term effect of the intervention </w:t>
      </w:r>
      <w:r w:rsidR="00FC1A43">
        <w:rPr>
          <w:rFonts w:ascii="Arial" w:hAnsi="Arial" w:cs="Arial"/>
          <w:color w:val="000000" w:themeColor="text1"/>
        </w:rPr>
        <w:t>(DAFNE</w:t>
      </w:r>
      <w:r w:rsidR="00FC1A43" w:rsidRPr="0087603F">
        <w:rPr>
          <w:rFonts w:ascii="Arial" w:hAnsi="Arial" w:cs="Arial"/>
          <w:i/>
          <w:iCs/>
          <w:color w:val="000000" w:themeColor="text1"/>
        </w:rPr>
        <w:t>plus</w:t>
      </w:r>
      <w:r w:rsidR="00FC1A43">
        <w:rPr>
          <w:rFonts w:ascii="Arial" w:hAnsi="Arial" w:cs="Arial"/>
          <w:color w:val="000000" w:themeColor="text1"/>
        </w:rPr>
        <w:t xml:space="preserve">) to standard DANFE </w:t>
      </w:r>
      <w:r w:rsidRPr="0002074B">
        <w:rPr>
          <w:rFonts w:ascii="Arial" w:hAnsi="Arial" w:cs="Arial"/>
          <w:color w:val="000000" w:themeColor="text1"/>
        </w:rPr>
        <w:t>on glycaemic control as measured by HbA1c using data at 6 months</w:t>
      </w:r>
      <w:r w:rsidR="00844D06">
        <w:rPr>
          <w:rFonts w:ascii="Arial" w:hAnsi="Arial" w:cs="Arial"/>
          <w:color w:val="000000" w:themeColor="text1"/>
        </w:rPr>
        <w:t>.</w:t>
      </w:r>
    </w:p>
    <w:p w14:paraId="2031E6D4" w14:textId="29E904CC" w:rsidR="00FC1A43" w:rsidRDefault="00FC1A43" w:rsidP="00406716">
      <w:pPr>
        <w:pStyle w:val="ListParagraph"/>
        <w:numPr>
          <w:ilvl w:val="0"/>
          <w:numId w:val="50"/>
        </w:numPr>
        <w:jc w:val="both"/>
        <w:rPr>
          <w:rFonts w:ascii="Arial" w:hAnsi="Arial" w:cs="Arial"/>
          <w:color w:val="000000" w:themeColor="text1"/>
        </w:rPr>
      </w:pPr>
      <w:r>
        <w:rPr>
          <w:rFonts w:ascii="Arial" w:hAnsi="Arial" w:cs="Arial"/>
          <w:color w:val="000000" w:themeColor="text1"/>
        </w:rPr>
        <w:t>To compare the effects of the intervention (DAFNE</w:t>
      </w:r>
      <w:r w:rsidRPr="0087603F">
        <w:rPr>
          <w:rFonts w:ascii="Arial" w:hAnsi="Arial" w:cs="Arial"/>
          <w:i/>
          <w:iCs/>
          <w:color w:val="000000" w:themeColor="text1"/>
        </w:rPr>
        <w:t>plus</w:t>
      </w:r>
      <w:r>
        <w:rPr>
          <w:rFonts w:ascii="Arial" w:hAnsi="Arial" w:cs="Arial"/>
          <w:color w:val="000000" w:themeColor="text1"/>
        </w:rPr>
        <w:t>) to standard DAFNE on other biomedical outcomes.</w:t>
      </w:r>
    </w:p>
    <w:p w14:paraId="68A1D1B3" w14:textId="3BBAF58D" w:rsidR="00473B1D" w:rsidRPr="002F72F5" w:rsidRDefault="00055465" w:rsidP="00406716">
      <w:pPr>
        <w:pStyle w:val="ListParagraph"/>
        <w:numPr>
          <w:ilvl w:val="0"/>
          <w:numId w:val="50"/>
        </w:numPr>
        <w:jc w:val="both"/>
        <w:rPr>
          <w:rFonts w:ascii="Arial" w:hAnsi="Arial" w:cs="Arial"/>
          <w:color w:val="000000" w:themeColor="text1"/>
        </w:rPr>
      </w:pPr>
      <w:r>
        <w:rPr>
          <w:rFonts w:ascii="Arial" w:hAnsi="Arial" w:cs="Arial"/>
          <w:color w:val="000000" w:themeColor="text1"/>
        </w:rPr>
        <w:t xml:space="preserve">To </w:t>
      </w:r>
      <w:r w:rsidR="00FC1A43">
        <w:rPr>
          <w:rFonts w:ascii="Arial" w:hAnsi="Arial" w:cs="Arial"/>
          <w:color w:val="000000" w:themeColor="text1"/>
        </w:rPr>
        <w:t xml:space="preserve">compare </w:t>
      </w:r>
      <w:r>
        <w:rPr>
          <w:rFonts w:ascii="Arial" w:hAnsi="Arial" w:cs="Arial"/>
          <w:color w:val="000000" w:themeColor="text1"/>
        </w:rPr>
        <w:t xml:space="preserve">the effects of the intervention </w:t>
      </w:r>
      <w:r w:rsidR="00FC1A43">
        <w:rPr>
          <w:rFonts w:ascii="Arial" w:hAnsi="Arial" w:cs="Arial"/>
          <w:color w:val="000000" w:themeColor="text1"/>
        </w:rPr>
        <w:t>(DAFNE</w:t>
      </w:r>
      <w:r w:rsidR="00FC1A43" w:rsidRPr="0087603F">
        <w:rPr>
          <w:rFonts w:ascii="Arial" w:hAnsi="Arial" w:cs="Arial"/>
          <w:i/>
          <w:iCs/>
          <w:color w:val="000000" w:themeColor="text1"/>
        </w:rPr>
        <w:t>plus</w:t>
      </w:r>
      <w:r w:rsidR="00FC1A43">
        <w:rPr>
          <w:rFonts w:ascii="Arial" w:hAnsi="Arial" w:cs="Arial"/>
          <w:color w:val="000000" w:themeColor="text1"/>
        </w:rPr>
        <w:t>) to standard DAFNE on psychological</w:t>
      </w:r>
      <w:r w:rsidR="00D27F4D">
        <w:rPr>
          <w:rFonts w:ascii="Arial" w:hAnsi="Arial" w:cs="Arial"/>
          <w:color w:val="000000" w:themeColor="text1"/>
        </w:rPr>
        <w:t xml:space="preserve"> outcomes</w:t>
      </w:r>
      <w:r w:rsidR="00BF2578" w:rsidRPr="00967A14">
        <w:rPr>
          <w:rFonts w:ascii="Arial" w:hAnsi="Arial" w:cs="Arial"/>
          <w:color w:val="000000" w:themeColor="text1"/>
        </w:rPr>
        <w:t>.</w:t>
      </w:r>
    </w:p>
    <w:p w14:paraId="1D57A541" w14:textId="6D4B4CE3" w:rsidR="009736D5" w:rsidRDefault="009736D5" w:rsidP="00406716">
      <w:pPr>
        <w:pStyle w:val="ListParagraph"/>
        <w:numPr>
          <w:ilvl w:val="0"/>
          <w:numId w:val="50"/>
        </w:numPr>
        <w:jc w:val="both"/>
        <w:rPr>
          <w:rFonts w:ascii="Arial" w:hAnsi="Arial" w:cs="Arial"/>
          <w:color w:val="000000" w:themeColor="text1"/>
        </w:rPr>
      </w:pPr>
      <w:r w:rsidRPr="00967A14">
        <w:rPr>
          <w:rFonts w:ascii="Arial" w:hAnsi="Arial" w:cs="Arial"/>
          <w:color w:val="000000" w:themeColor="text1"/>
        </w:rPr>
        <w:t xml:space="preserve">To undertake a mixed methods process evaluation to aid understanding of the RCT findings, and to inform </w:t>
      </w:r>
      <w:r w:rsidR="001E72A8">
        <w:rPr>
          <w:rFonts w:ascii="Arial" w:hAnsi="Arial" w:cs="Arial"/>
          <w:color w:val="000000" w:themeColor="text1"/>
        </w:rPr>
        <w:t>decision making about the implementation of</w:t>
      </w:r>
      <w:r w:rsidRPr="00967A14">
        <w:rPr>
          <w:rFonts w:ascii="Arial" w:hAnsi="Arial" w:cs="Arial"/>
          <w:color w:val="000000" w:themeColor="text1"/>
        </w:rPr>
        <w:t xml:space="preserve"> DAFNE</w:t>
      </w:r>
      <w:r w:rsidRPr="00967A14">
        <w:rPr>
          <w:rFonts w:ascii="Arial" w:hAnsi="Arial" w:cs="Arial"/>
          <w:i/>
          <w:color w:val="000000" w:themeColor="text1"/>
        </w:rPr>
        <w:t>plus</w:t>
      </w:r>
      <w:r w:rsidRPr="00967A14">
        <w:rPr>
          <w:rFonts w:ascii="Arial" w:hAnsi="Arial" w:cs="Arial"/>
          <w:color w:val="000000" w:themeColor="text1"/>
        </w:rPr>
        <w:t xml:space="preserve"> </w:t>
      </w:r>
      <w:r w:rsidR="001E72A8">
        <w:rPr>
          <w:rFonts w:ascii="Arial" w:hAnsi="Arial" w:cs="Arial"/>
          <w:color w:val="000000" w:themeColor="text1"/>
        </w:rPr>
        <w:t>in clinical care post-trial</w:t>
      </w:r>
      <w:r w:rsidRPr="00967A14">
        <w:rPr>
          <w:rFonts w:ascii="Arial" w:hAnsi="Arial" w:cs="Arial"/>
          <w:color w:val="000000" w:themeColor="text1"/>
        </w:rPr>
        <w:t>.</w:t>
      </w:r>
    </w:p>
    <w:p w14:paraId="7CD19187" w14:textId="01E2B0F4" w:rsidR="001F6DEB" w:rsidRPr="00967A14" w:rsidRDefault="001F6DEB" w:rsidP="00406716">
      <w:pPr>
        <w:pStyle w:val="ListParagraph"/>
        <w:numPr>
          <w:ilvl w:val="0"/>
          <w:numId w:val="50"/>
        </w:numPr>
        <w:jc w:val="both"/>
        <w:rPr>
          <w:rFonts w:ascii="Arial" w:hAnsi="Arial" w:cs="Arial"/>
          <w:color w:val="000000" w:themeColor="text1"/>
        </w:rPr>
      </w:pPr>
      <w:r w:rsidRPr="001F6DEB">
        <w:rPr>
          <w:rFonts w:ascii="Arial" w:hAnsi="Arial" w:cs="Arial"/>
          <w:color w:val="000000" w:themeColor="text1"/>
        </w:rPr>
        <w:t>To assess fidelity of delivery of the DAFNE</w:t>
      </w:r>
      <w:r w:rsidRPr="00944484">
        <w:rPr>
          <w:rFonts w:ascii="Arial" w:hAnsi="Arial" w:cs="Arial"/>
          <w:i/>
          <w:iCs/>
          <w:color w:val="000000" w:themeColor="text1"/>
        </w:rPr>
        <w:t>plus</w:t>
      </w:r>
      <w:r w:rsidRPr="001F6DEB">
        <w:rPr>
          <w:rFonts w:ascii="Arial" w:hAnsi="Arial" w:cs="Arial"/>
          <w:color w:val="000000" w:themeColor="text1"/>
        </w:rPr>
        <w:t xml:space="preserve"> intervention.</w:t>
      </w:r>
    </w:p>
    <w:p w14:paraId="6C984D69" w14:textId="58F3B19A" w:rsidR="009736D5" w:rsidRPr="00967A14" w:rsidRDefault="00C63ABE" w:rsidP="00406716">
      <w:pPr>
        <w:pStyle w:val="ListParagraph"/>
        <w:numPr>
          <w:ilvl w:val="0"/>
          <w:numId w:val="50"/>
        </w:numPr>
        <w:jc w:val="both"/>
        <w:rPr>
          <w:rFonts w:ascii="Arial" w:hAnsi="Arial" w:cs="Arial"/>
          <w:color w:val="000000" w:themeColor="text1"/>
        </w:rPr>
      </w:pPr>
      <w:r w:rsidRPr="00967A14">
        <w:rPr>
          <w:rFonts w:ascii="Arial" w:hAnsi="Arial" w:cs="Arial"/>
          <w:color w:val="000000" w:themeColor="text1"/>
        </w:rPr>
        <w:t>To undertake a health economic analysis to determine the cost-effectiveness of DAFNE</w:t>
      </w:r>
      <w:r w:rsidRPr="00967A14">
        <w:rPr>
          <w:rFonts w:ascii="Arial" w:hAnsi="Arial" w:cs="Arial"/>
          <w:i/>
          <w:color w:val="000000" w:themeColor="text1"/>
        </w:rPr>
        <w:t>plus</w:t>
      </w:r>
      <w:r w:rsidRPr="00967A14">
        <w:rPr>
          <w:rFonts w:ascii="Arial" w:hAnsi="Arial" w:cs="Arial"/>
          <w:color w:val="000000" w:themeColor="text1"/>
        </w:rPr>
        <w:t xml:space="preserve"> versus standard DAFNE.</w:t>
      </w:r>
    </w:p>
    <w:p w14:paraId="5D299468" w14:textId="77777777" w:rsidR="00C86574" w:rsidRPr="00E03C03" w:rsidRDefault="00C86574" w:rsidP="00BD72F0">
      <w:pPr>
        <w:jc w:val="both"/>
        <w:rPr>
          <w:color w:val="000000" w:themeColor="text1"/>
        </w:rPr>
      </w:pPr>
    </w:p>
    <w:p w14:paraId="634BF7D4" w14:textId="302BFEA1" w:rsidR="00DA22E3" w:rsidRDefault="00DA22E3" w:rsidP="00F91E6D">
      <w:pPr>
        <w:rPr>
          <w:b/>
          <w:sz w:val="28"/>
        </w:rPr>
      </w:pPr>
      <w:bookmarkStart w:id="4" w:name="_Toc167000985"/>
      <w:bookmarkStart w:id="5" w:name="_Toc175731212"/>
      <w:bookmarkStart w:id="6" w:name="_Toc519501941"/>
      <w:r>
        <w:rPr>
          <w:b/>
          <w:sz w:val="28"/>
        </w:rPr>
        <w:t>Methods and analysis</w:t>
      </w:r>
    </w:p>
    <w:p w14:paraId="73DBDE6B" w14:textId="77777777" w:rsidR="00DA22E3" w:rsidRDefault="00DA22E3" w:rsidP="00F91E6D">
      <w:pPr>
        <w:rPr>
          <w:b/>
          <w:sz w:val="28"/>
        </w:rPr>
      </w:pPr>
    </w:p>
    <w:p w14:paraId="5846AE94" w14:textId="746F7B58" w:rsidR="00084D40" w:rsidRPr="00F91E6D" w:rsidRDefault="00084D40" w:rsidP="00F91E6D">
      <w:pPr>
        <w:rPr>
          <w:b/>
        </w:rPr>
      </w:pPr>
      <w:r w:rsidRPr="00F91E6D">
        <w:rPr>
          <w:b/>
          <w:sz w:val="28"/>
        </w:rPr>
        <w:t>Trial Design</w:t>
      </w:r>
      <w:bookmarkEnd w:id="4"/>
      <w:bookmarkEnd w:id="5"/>
      <w:bookmarkEnd w:id="6"/>
    </w:p>
    <w:p w14:paraId="2AA44BFE" w14:textId="77777777" w:rsidR="00084D40" w:rsidRPr="00E03C03" w:rsidRDefault="00084D40" w:rsidP="00BD72F0">
      <w:pPr>
        <w:jc w:val="both"/>
        <w:rPr>
          <w:i/>
          <w:color w:val="000000" w:themeColor="text1"/>
        </w:rPr>
      </w:pPr>
    </w:p>
    <w:p w14:paraId="2B2D902F" w14:textId="34734EA3" w:rsidR="00160A0E" w:rsidRDefault="00084D40" w:rsidP="00AE0CAF">
      <w:pPr>
        <w:jc w:val="both"/>
        <w:rPr>
          <w:color w:val="000000" w:themeColor="text1"/>
          <w:sz w:val="24"/>
        </w:rPr>
      </w:pPr>
      <w:r w:rsidRPr="003418E1">
        <w:rPr>
          <w:color w:val="000000" w:themeColor="text1"/>
          <w:sz w:val="24"/>
        </w:rPr>
        <w:t xml:space="preserve">The study will use a pragmatic cluster randomised controlled trial design. </w:t>
      </w:r>
      <w:r w:rsidR="0087603F">
        <w:rPr>
          <w:color w:val="000000" w:themeColor="text1"/>
          <w:sz w:val="24"/>
        </w:rPr>
        <w:t xml:space="preserve">This </w:t>
      </w:r>
      <w:r w:rsidR="0087603F" w:rsidRPr="003418E1">
        <w:rPr>
          <w:color w:val="000000" w:themeColor="text1"/>
          <w:sz w:val="24"/>
        </w:rPr>
        <w:t>is</w:t>
      </w:r>
      <w:r w:rsidRPr="003418E1">
        <w:rPr>
          <w:color w:val="000000" w:themeColor="text1"/>
          <w:sz w:val="24"/>
        </w:rPr>
        <w:t xml:space="preserve"> required since </w:t>
      </w:r>
      <w:r w:rsidR="005A61A5">
        <w:rPr>
          <w:color w:val="000000" w:themeColor="text1"/>
          <w:sz w:val="24"/>
        </w:rPr>
        <w:t xml:space="preserve">‘contamination’ of the control arm may occur if </w:t>
      </w:r>
      <w:r w:rsidRPr="003418E1">
        <w:rPr>
          <w:color w:val="000000" w:themeColor="text1"/>
          <w:sz w:val="24"/>
        </w:rPr>
        <w:t xml:space="preserve">DAFNE </w:t>
      </w:r>
      <w:r w:rsidR="00A43934">
        <w:rPr>
          <w:color w:val="000000" w:themeColor="text1"/>
          <w:sz w:val="24"/>
        </w:rPr>
        <w:t>healthcare professionals</w:t>
      </w:r>
      <w:r w:rsidRPr="003418E1">
        <w:rPr>
          <w:color w:val="000000" w:themeColor="text1"/>
          <w:sz w:val="24"/>
        </w:rPr>
        <w:t xml:space="preserve">, trained in the new programme </w:t>
      </w:r>
      <w:r w:rsidR="00B86873">
        <w:rPr>
          <w:color w:val="000000" w:themeColor="text1"/>
          <w:sz w:val="24"/>
        </w:rPr>
        <w:t xml:space="preserve">were to </w:t>
      </w:r>
      <w:r w:rsidRPr="003418E1">
        <w:rPr>
          <w:color w:val="000000" w:themeColor="text1"/>
          <w:sz w:val="24"/>
        </w:rPr>
        <w:t xml:space="preserve">deliver </w:t>
      </w:r>
      <w:r w:rsidR="003418E1" w:rsidRPr="003418E1">
        <w:rPr>
          <w:color w:val="000000" w:themeColor="text1"/>
          <w:sz w:val="24"/>
        </w:rPr>
        <w:t>standard</w:t>
      </w:r>
      <w:r w:rsidRPr="003418E1">
        <w:rPr>
          <w:color w:val="000000" w:themeColor="text1"/>
          <w:sz w:val="24"/>
        </w:rPr>
        <w:t xml:space="preserve"> DAFNE</w:t>
      </w:r>
      <w:r w:rsidR="00077E8B">
        <w:rPr>
          <w:color w:val="000000" w:themeColor="text1"/>
          <w:sz w:val="24"/>
        </w:rPr>
        <w:t>. H</w:t>
      </w:r>
      <w:r w:rsidRPr="003418E1">
        <w:rPr>
          <w:color w:val="000000" w:themeColor="text1"/>
          <w:sz w:val="24"/>
        </w:rPr>
        <w:t>ence</w:t>
      </w:r>
      <w:r w:rsidR="00077E8B">
        <w:rPr>
          <w:color w:val="000000" w:themeColor="text1"/>
          <w:sz w:val="24"/>
        </w:rPr>
        <w:t xml:space="preserve"> the</w:t>
      </w:r>
      <w:r w:rsidRPr="003418E1">
        <w:rPr>
          <w:color w:val="000000" w:themeColor="text1"/>
          <w:sz w:val="24"/>
        </w:rPr>
        <w:t xml:space="preserve"> randomisation of </w:t>
      </w:r>
      <w:r w:rsidR="003418E1" w:rsidRPr="003418E1">
        <w:rPr>
          <w:color w:val="000000" w:themeColor="text1"/>
          <w:sz w:val="24"/>
        </w:rPr>
        <w:t xml:space="preserve">DAFNE </w:t>
      </w:r>
      <w:r w:rsidRPr="003418E1">
        <w:rPr>
          <w:color w:val="000000" w:themeColor="text1"/>
          <w:sz w:val="24"/>
        </w:rPr>
        <w:t xml:space="preserve">centres rather than </w:t>
      </w:r>
      <w:r w:rsidRPr="003418E1">
        <w:rPr>
          <w:color w:val="000000" w:themeColor="text1"/>
          <w:sz w:val="24"/>
        </w:rPr>
        <w:lastRenderedPageBreak/>
        <w:t>individuals</w:t>
      </w:r>
      <w:r w:rsidR="00667A25">
        <w:rPr>
          <w:color w:val="000000" w:themeColor="text1"/>
          <w:sz w:val="24"/>
        </w:rPr>
        <w:fldChar w:fldCharType="begin" w:fldLock="1"/>
      </w:r>
      <w:r w:rsidR="00667A25">
        <w:rPr>
          <w:color w:val="000000" w:themeColor="text1"/>
          <w:sz w:val="24"/>
        </w:rPr>
        <w:instrText>ADDIN CSL_CITATION {"citationItems":[{"id":"ITEM-1","itemData":{"DOI":"10.1002/9781118763452","ISBN":"9781118763452","author":[{"dropping-particle":"","family":"Campbell","given":"Michael J.","non-dropping-particle":"","parse-names":false,"suffix":""},{"dropping-particle":"","family":"Walters","given":"Stephen J.","non-dropping-particle":"","parse-names":false,"suffix":""}],"id":"ITEM-1","issued":{"date-parts":[["2014","4","25"]]},"publisher":"John Wiley &amp; Sons, Ltd","publisher-place":"Chichester, UK","title":"How to Design, Analyse and Report Cluster Randomised Trials in Medicine and Health Related Research","type":"book"},"uris":["http://www.mendeley.com/documents/?uuid=a7b64ae4-5de2-3a90-b2f0-6c26b9d1b239"]}],"mendeley":{"formattedCitation":"[16]","plainTextFormattedCitation":"[16]","previouslyFormattedCitation":"[16]"},"properties":{"noteIndex":0},"schema":"https://github.com/citation-style-language/schema/raw/master/csl-citation.json"}</w:instrText>
      </w:r>
      <w:r w:rsidR="00667A25">
        <w:rPr>
          <w:color w:val="000000" w:themeColor="text1"/>
          <w:sz w:val="24"/>
        </w:rPr>
        <w:fldChar w:fldCharType="separate"/>
      </w:r>
      <w:r w:rsidR="00667A25" w:rsidRPr="00667A25">
        <w:rPr>
          <w:noProof/>
          <w:color w:val="000000" w:themeColor="text1"/>
          <w:sz w:val="24"/>
        </w:rPr>
        <w:t>[16]</w:t>
      </w:r>
      <w:r w:rsidR="00667A25">
        <w:rPr>
          <w:color w:val="000000" w:themeColor="text1"/>
          <w:sz w:val="24"/>
        </w:rPr>
        <w:fldChar w:fldCharType="end"/>
      </w:r>
      <w:r w:rsidRPr="003418E1">
        <w:rPr>
          <w:color w:val="000000" w:themeColor="text1"/>
          <w:sz w:val="24"/>
        </w:rPr>
        <w:t>.</w:t>
      </w:r>
      <w:r w:rsidR="005128DE">
        <w:rPr>
          <w:color w:val="000000" w:themeColor="text1"/>
          <w:sz w:val="24"/>
        </w:rPr>
        <w:t xml:space="preserve"> </w:t>
      </w:r>
      <w:r w:rsidR="005128DE" w:rsidRPr="003418E1">
        <w:rPr>
          <w:color w:val="000000" w:themeColor="text1"/>
          <w:sz w:val="24"/>
        </w:rPr>
        <w:t>Figure 1 shows the flow of participants through the trial</w:t>
      </w:r>
      <w:r w:rsidR="00A764DD">
        <w:rPr>
          <w:color w:val="000000" w:themeColor="text1"/>
          <w:sz w:val="24"/>
        </w:rPr>
        <w:t xml:space="preserve"> (</w:t>
      </w:r>
      <w:r w:rsidR="00A764DD">
        <w:rPr>
          <w:rFonts w:cs="Arial"/>
          <w:b/>
          <w:color w:val="000000" w:themeColor="text1"/>
          <w:sz w:val="24"/>
        </w:rPr>
        <w:t>s</w:t>
      </w:r>
      <w:r w:rsidR="00A764DD">
        <w:rPr>
          <w:rFonts w:cs="Arial"/>
          <w:color w:val="000000" w:themeColor="text1"/>
          <w:sz w:val="24"/>
        </w:rPr>
        <w:t>ee supplementary material 1 for WHO Trial Registration Data Set)</w:t>
      </w:r>
      <w:r w:rsidR="005A61A5">
        <w:rPr>
          <w:color w:val="000000" w:themeColor="text1"/>
          <w:sz w:val="24"/>
        </w:rPr>
        <w:t xml:space="preserve">. </w:t>
      </w:r>
    </w:p>
    <w:p w14:paraId="5E271463" w14:textId="77777777" w:rsidR="00160A0E" w:rsidRDefault="00160A0E" w:rsidP="00AE0CAF">
      <w:pPr>
        <w:jc w:val="both"/>
        <w:rPr>
          <w:color w:val="000000" w:themeColor="text1"/>
          <w:sz w:val="24"/>
        </w:rPr>
      </w:pPr>
    </w:p>
    <w:p w14:paraId="2F3E99CF" w14:textId="77777777" w:rsidR="00160A0E" w:rsidRDefault="00160A0E" w:rsidP="00160A0E">
      <w:pPr>
        <w:jc w:val="both"/>
        <w:rPr>
          <w:b/>
          <w:color w:val="000000" w:themeColor="text1"/>
          <w:sz w:val="28"/>
          <w:szCs w:val="28"/>
        </w:rPr>
      </w:pPr>
      <w:r>
        <w:rPr>
          <w:color w:val="000000" w:themeColor="text1"/>
          <w:sz w:val="24"/>
        </w:rPr>
        <w:t xml:space="preserve">[Insert Figure 1 here] </w:t>
      </w:r>
      <w:bookmarkStart w:id="7" w:name="_Toc167000987"/>
      <w:bookmarkStart w:id="8" w:name="_Toc175731214"/>
      <w:bookmarkStart w:id="9" w:name="_Toc519501942"/>
    </w:p>
    <w:p w14:paraId="6F6AC0E3" w14:textId="77777777" w:rsidR="00160A0E" w:rsidRDefault="00160A0E" w:rsidP="00160A0E">
      <w:pPr>
        <w:jc w:val="both"/>
        <w:rPr>
          <w:b/>
          <w:color w:val="000000" w:themeColor="text1"/>
          <w:sz w:val="28"/>
          <w:szCs w:val="28"/>
        </w:rPr>
      </w:pPr>
    </w:p>
    <w:p w14:paraId="0D1B054C" w14:textId="0F9F5ACA" w:rsidR="00AA73CC" w:rsidRPr="00AA73CC" w:rsidRDefault="00AA73CC" w:rsidP="00160A0E">
      <w:pPr>
        <w:jc w:val="both"/>
        <w:rPr>
          <w:b/>
        </w:rPr>
      </w:pPr>
      <w:r w:rsidRPr="00AA73CC">
        <w:rPr>
          <w:b/>
          <w:sz w:val="28"/>
        </w:rPr>
        <w:t>Study setting</w:t>
      </w:r>
    </w:p>
    <w:p w14:paraId="636F4AEC" w14:textId="77777777" w:rsidR="00AA73CC" w:rsidRDefault="00AA73CC" w:rsidP="00AA73CC">
      <w:pPr>
        <w:jc w:val="both"/>
        <w:rPr>
          <w:sz w:val="24"/>
        </w:rPr>
      </w:pPr>
    </w:p>
    <w:p w14:paraId="2BCCE2FD" w14:textId="58183883" w:rsidR="00AA73CC" w:rsidRDefault="00AA73CC" w:rsidP="00A05105">
      <w:pPr>
        <w:jc w:val="both"/>
        <w:rPr>
          <w:color w:val="000000" w:themeColor="text1"/>
          <w:sz w:val="24"/>
        </w:rPr>
      </w:pPr>
      <w:r w:rsidRPr="00AA73CC">
        <w:rPr>
          <w:sz w:val="24"/>
        </w:rPr>
        <w:t xml:space="preserve">The trial will be delivered in </w:t>
      </w:r>
      <w:r>
        <w:rPr>
          <w:sz w:val="24"/>
        </w:rPr>
        <w:t xml:space="preserve">adult </w:t>
      </w:r>
      <w:r w:rsidRPr="00AA73CC">
        <w:rPr>
          <w:sz w:val="24"/>
        </w:rPr>
        <w:t xml:space="preserve">diabetes centres in secondary care NHS hospitals in the UK. </w:t>
      </w:r>
      <w:r>
        <w:rPr>
          <w:color w:val="000000" w:themeColor="text1"/>
          <w:sz w:val="24"/>
        </w:rPr>
        <w:t xml:space="preserve">The eligibility criteria for study centres </w:t>
      </w:r>
      <w:r w:rsidR="0042216C">
        <w:rPr>
          <w:color w:val="000000" w:themeColor="text1"/>
          <w:sz w:val="24"/>
        </w:rPr>
        <w:t>are</w:t>
      </w:r>
      <w:r>
        <w:rPr>
          <w:color w:val="000000" w:themeColor="text1"/>
          <w:sz w:val="24"/>
        </w:rPr>
        <w:t>:</w:t>
      </w:r>
    </w:p>
    <w:p w14:paraId="6E2CD01C" w14:textId="77777777" w:rsidR="00AA73CC" w:rsidRPr="000C0468" w:rsidRDefault="00AA73CC" w:rsidP="00AA73CC">
      <w:pPr>
        <w:jc w:val="both"/>
        <w:rPr>
          <w:rFonts w:cs="Arial"/>
          <w:color w:val="000000" w:themeColor="text1"/>
          <w:sz w:val="24"/>
        </w:rPr>
      </w:pPr>
    </w:p>
    <w:p w14:paraId="4838B7F5" w14:textId="343CD920" w:rsidR="00AA73CC" w:rsidRPr="003112A5" w:rsidRDefault="00A05105" w:rsidP="00AA73CC">
      <w:pPr>
        <w:pStyle w:val="ListParagraph"/>
        <w:numPr>
          <w:ilvl w:val="0"/>
          <w:numId w:val="27"/>
        </w:numPr>
        <w:jc w:val="both"/>
        <w:rPr>
          <w:rFonts w:ascii="Arial" w:hAnsi="Arial" w:cs="Arial"/>
          <w:color w:val="000000" w:themeColor="text1"/>
        </w:rPr>
      </w:pPr>
      <w:r>
        <w:rPr>
          <w:rFonts w:ascii="Arial" w:hAnsi="Arial" w:cs="Arial"/>
          <w:color w:val="000000" w:themeColor="text1"/>
        </w:rPr>
        <w:t>D</w:t>
      </w:r>
      <w:r w:rsidR="00AA73CC" w:rsidRPr="00DD2E9C">
        <w:rPr>
          <w:rFonts w:ascii="Arial" w:hAnsi="Arial" w:cs="Arial"/>
          <w:color w:val="000000" w:themeColor="text1"/>
        </w:rPr>
        <w:t>iabetes centre delivering DAFNE</w:t>
      </w:r>
      <w:r>
        <w:rPr>
          <w:rFonts w:ascii="Arial" w:hAnsi="Arial" w:cs="Arial"/>
          <w:color w:val="000000" w:themeColor="text1"/>
        </w:rPr>
        <w:t xml:space="preserve"> to adults with T1D</w:t>
      </w:r>
      <w:r w:rsidR="00AA73CC" w:rsidRPr="00DD2E9C">
        <w:rPr>
          <w:rFonts w:ascii="Arial" w:hAnsi="Arial" w:cs="Arial"/>
          <w:color w:val="000000" w:themeColor="text1"/>
        </w:rPr>
        <w:t xml:space="preserve">; </w:t>
      </w:r>
    </w:p>
    <w:p w14:paraId="42F62086" w14:textId="77777777" w:rsidR="00AA73CC" w:rsidRPr="003112A5" w:rsidRDefault="00AA73CC" w:rsidP="00AA73CC">
      <w:pPr>
        <w:pStyle w:val="ListParagraph"/>
        <w:numPr>
          <w:ilvl w:val="0"/>
          <w:numId w:val="27"/>
        </w:numPr>
        <w:jc w:val="both"/>
        <w:rPr>
          <w:rFonts w:ascii="Arial" w:hAnsi="Arial" w:cs="Arial"/>
          <w:color w:val="000000" w:themeColor="text1"/>
        </w:rPr>
      </w:pPr>
      <w:r w:rsidRPr="000C0468">
        <w:rPr>
          <w:rFonts w:ascii="Arial" w:hAnsi="Arial" w:cs="Arial"/>
          <w:color w:val="000000" w:themeColor="text1"/>
        </w:rPr>
        <w:t xml:space="preserve">At least three DAFNE educators trained in delivering the 5-week model of </w:t>
      </w:r>
      <w:r w:rsidRPr="00DD2E9C">
        <w:rPr>
          <w:rFonts w:ascii="Arial" w:hAnsi="Arial" w:cs="Arial"/>
          <w:color w:val="000000" w:themeColor="text1"/>
        </w:rPr>
        <w:t>DAFNE;</w:t>
      </w:r>
    </w:p>
    <w:p w14:paraId="774A8B72" w14:textId="77777777" w:rsidR="00AA73CC" w:rsidRPr="003112A5" w:rsidRDefault="00AA73CC" w:rsidP="00AA73CC">
      <w:pPr>
        <w:pStyle w:val="ListParagraph"/>
        <w:numPr>
          <w:ilvl w:val="0"/>
          <w:numId w:val="27"/>
        </w:numPr>
        <w:jc w:val="both"/>
        <w:rPr>
          <w:rFonts w:ascii="Arial" w:hAnsi="Arial" w:cs="Arial"/>
          <w:color w:val="000000" w:themeColor="text1"/>
        </w:rPr>
      </w:pPr>
      <w:r w:rsidRPr="000C0468">
        <w:rPr>
          <w:rFonts w:ascii="Arial" w:hAnsi="Arial" w:cs="Arial"/>
          <w:color w:val="000000" w:themeColor="text1"/>
        </w:rPr>
        <w:t>Delivery of sufficient DAFNE courses per year to recruit study sample.</w:t>
      </w:r>
    </w:p>
    <w:p w14:paraId="01D47B4B" w14:textId="77777777" w:rsidR="00AA73CC" w:rsidRPr="003112A5" w:rsidRDefault="00AA73CC" w:rsidP="00AA73CC">
      <w:pPr>
        <w:pStyle w:val="ListParagraph"/>
        <w:jc w:val="both"/>
        <w:rPr>
          <w:rFonts w:ascii="Arial" w:hAnsi="Arial"/>
          <w:color w:val="000000" w:themeColor="text1"/>
        </w:rPr>
      </w:pPr>
    </w:p>
    <w:p w14:paraId="3792F736" w14:textId="1D626ACE" w:rsidR="00AA73CC" w:rsidRPr="00AA73CC" w:rsidRDefault="00A05105" w:rsidP="00AA73CC">
      <w:r>
        <w:rPr>
          <w:color w:val="000000" w:themeColor="text1"/>
          <w:sz w:val="24"/>
        </w:rPr>
        <w:t>Adults with T1D</w:t>
      </w:r>
      <w:r w:rsidRPr="0044159C">
        <w:rPr>
          <w:color w:val="000000" w:themeColor="text1"/>
          <w:sz w:val="24"/>
        </w:rPr>
        <w:t xml:space="preserve"> </w:t>
      </w:r>
      <w:r w:rsidR="00AA73CC" w:rsidRPr="0044159C">
        <w:rPr>
          <w:color w:val="000000" w:themeColor="text1"/>
          <w:sz w:val="24"/>
        </w:rPr>
        <w:t>eligible for or referred to DAFNE courses at participating centres as part of usual care will be eligible to be invited to participate in the RCT</w:t>
      </w:r>
      <w:r w:rsidR="00AA73CC">
        <w:rPr>
          <w:color w:val="000000" w:themeColor="text1"/>
          <w:sz w:val="24"/>
        </w:rPr>
        <w:t>, and standard criteria for referral to DAFNE will be utilised</w:t>
      </w:r>
      <w:r w:rsidR="00AA73CC" w:rsidRPr="0044159C">
        <w:rPr>
          <w:color w:val="000000" w:themeColor="text1"/>
          <w:sz w:val="24"/>
        </w:rPr>
        <w:t>.</w:t>
      </w:r>
    </w:p>
    <w:p w14:paraId="65B5789B" w14:textId="67F228F9" w:rsidR="00AA73CC" w:rsidRDefault="00AA73CC" w:rsidP="00AA73CC"/>
    <w:p w14:paraId="501AD0DE" w14:textId="69B40FA1" w:rsidR="00AA73CC" w:rsidRPr="00AA73CC" w:rsidRDefault="00AA73CC" w:rsidP="00AA73CC">
      <w:pPr>
        <w:rPr>
          <w:b/>
        </w:rPr>
      </w:pPr>
      <w:r w:rsidRPr="00AA73CC">
        <w:rPr>
          <w:b/>
          <w:sz w:val="28"/>
        </w:rPr>
        <w:t>Eligibility criteria</w:t>
      </w:r>
    </w:p>
    <w:p w14:paraId="3BC884C8" w14:textId="77777777" w:rsidR="00AA73CC" w:rsidRDefault="00AA73CC" w:rsidP="00AA73CC"/>
    <w:p w14:paraId="6CD09FCA" w14:textId="77777777" w:rsidR="00AA73CC" w:rsidRPr="0044159C" w:rsidRDefault="00AA73CC" w:rsidP="00AA73CC">
      <w:pPr>
        <w:jc w:val="both"/>
        <w:rPr>
          <w:i/>
          <w:color w:val="000000" w:themeColor="text1"/>
          <w:sz w:val="24"/>
        </w:rPr>
      </w:pPr>
      <w:r w:rsidRPr="0044159C">
        <w:rPr>
          <w:i/>
          <w:color w:val="000000" w:themeColor="text1"/>
          <w:sz w:val="24"/>
        </w:rPr>
        <w:t xml:space="preserve">Inclusion criteria: </w:t>
      </w:r>
    </w:p>
    <w:p w14:paraId="1A8F0CDC" w14:textId="77777777" w:rsidR="00AA73CC" w:rsidRDefault="00AA73CC" w:rsidP="00AA73CC">
      <w:pPr>
        <w:numPr>
          <w:ilvl w:val="0"/>
          <w:numId w:val="1"/>
        </w:numPr>
        <w:jc w:val="both"/>
        <w:rPr>
          <w:color w:val="000000" w:themeColor="text1"/>
          <w:sz w:val="24"/>
        </w:rPr>
      </w:pPr>
      <w:r w:rsidRPr="0044159C">
        <w:rPr>
          <w:color w:val="000000" w:themeColor="text1"/>
          <w:sz w:val="24"/>
        </w:rPr>
        <w:t>Adults (</w:t>
      </w:r>
      <w:r w:rsidRPr="0044159C">
        <w:rPr>
          <w:rFonts w:cs="Arial"/>
          <w:color w:val="000000" w:themeColor="text1"/>
          <w:sz w:val="24"/>
        </w:rPr>
        <w:t>≥</w:t>
      </w:r>
      <w:r w:rsidRPr="0044159C">
        <w:rPr>
          <w:color w:val="000000" w:themeColor="text1"/>
          <w:sz w:val="24"/>
        </w:rPr>
        <w:t>18 years)</w:t>
      </w:r>
      <w:r>
        <w:rPr>
          <w:color w:val="000000" w:themeColor="text1"/>
          <w:sz w:val="24"/>
        </w:rPr>
        <w:t>;</w:t>
      </w:r>
      <w:r w:rsidRPr="0044159C">
        <w:rPr>
          <w:color w:val="000000" w:themeColor="text1"/>
          <w:sz w:val="24"/>
        </w:rPr>
        <w:t xml:space="preserve"> </w:t>
      </w:r>
    </w:p>
    <w:p w14:paraId="7CED0CCA" w14:textId="3A2857A3" w:rsidR="00AA73CC" w:rsidRPr="0044159C" w:rsidRDefault="00AA73CC" w:rsidP="00AA73CC">
      <w:pPr>
        <w:numPr>
          <w:ilvl w:val="0"/>
          <w:numId w:val="1"/>
        </w:numPr>
        <w:jc w:val="both"/>
        <w:rPr>
          <w:color w:val="000000" w:themeColor="text1"/>
          <w:sz w:val="24"/>
        </w:rPr>
      </w:pPr>
      <w:r>
        <w:rPr>
          <w:color w:val="000000" w:themeColor="text1"/>
          <w:sz w:val="24"/>
        </w:rPr>
        <w:t>Diagnosis of</w:t>
      </w:r>
      <w:r w:rsidRPr="0044159C">
        <w:rPr>
          <w:color w:val="000000" w:themeColor="text1"/>
          <w:sz w:val="24"/>
        </w:rPr>
        <w:t xml:space="preserve"> type 1 diabetes for at least 6 months, or post-honeymoon</w:t>
      </w:r>
      <w:r w:rsidR="00F55B20">
        <w:rPr>
          <w:rStyle w:val="FootnoteReference"/>
          <w:color w:val="000000" w:themeColor="text1"/>
          <w:sz w:val="24"/>
        </w:rPr>
        <w:footnoteReference w:id="1"/>
      </w:r>
      <w:r w:rsidRPr="0044159C">
        <w:rPr>
          <w:color w:val="000000" w:themeColor="text1"/>
          <w:sz w:val="24"/>
        </w:rPr>
        <w:t>;</w:t>
      </w:r>
    </w:p>
    <w:p w14:paraId="2D109C6B" w14:textId="77777777" w:rsidR="00AA73CC" w:rsidRDefault="00AA73CC" w:rsidP="00AA73CC">
      <w:pPr>
        <w:numPr>
          <w:ilvl w:val="0"/>
          <w:numId w:val="1"/>
        </w:numPr>
        <w:jc w:val="both"/>
        <w:rPr>
          <w:color w:val="000000" w:themeColor="text1"/>
          <w:sz w:val="24"/>
        </w:rPr>
      </w:pPr>
      <w:r w:rsidRPr="0044159C">
        <w:rPr>
          <w:color w:val="000000" w:themeColor="text1"/>
          <w:sz w:val="24"/>
        </w:rPr>
        <w:t>Prepared to undertake multiple daily injection (MDI) therapy</w:t>
      </w:r>
      <w:r>
        <w:rPr>
          <w:color w:val="000000" w:themeColor="text1"/>
          <w:sz w:val="24"/>
        </w:rPr>
        <w:t>;</w:t>
      </w:r>
      <w:r w:rsidRPr="0044159C">
        <w:rPr>
          <w:color w:val="000000" w:themeColor="text1"/>
          <w:sz w:val="24"/>
        </w:rPr>
        <w:t xml:space="preserve"> </w:t>
      </w:r>
    </w:p>
    <w:p w14:paraId="714D723C" w14:textId="77777777" w:rsidR="00AA73CC" w:rsidRPr="0044159C" w:rsidRDefault="00AA73CC" w:rsidP="00AA73CC">
      <w:pPr>
        <w:numPr>
          <w:ilvl w:val="0"/>
          <w:numId w:val="1"/>
        </w:numPr>
        <w:jc w:val="both"/>
        <w:rPr>
          <w:color w:val="000000" w:themeColor="text1"/>
          <w:sz w:val="24"/>
        </w:rPr>
      </w:pPr>
      <w:r>
        <w:rPr>
          <w:color w:val="000000" w:themeColor="text1"/>
          <w:sz w:val="24"/>
        </w:rPr>
        <w:t xml:space="preserve">Prepared to undertake </w:t>
      </w:r>
      <w:r w:rsidRPr="0094376A">
        <w:rPr>
          <w:color w:val="000000" w:themeColor="text1"/>
          <w:sz w:val="24"/>
        </w:rPr>
        <w:t>frequent self-monitoring of blood glucose;</w:t>
      </w:r>
    </w:p>
    <w:p w14:paraId="43245EEF" w14:textId="77777777" w:rsidR="00AA73CC" w:rsidRPr="0044159C" w:rsidRDefault="00AA73CC" w:rsidP="00AA73CC">
      <w:pPr>
        <w:numPr>
          <w:ilvl w:val="0"/>
          <w:numId w:val="1"/>
        </w:numPr>
        <w:jc w:val="both"/>
        <w:rPr>
          <w:color w:val="000000" w:themeColor="text1"/>
          <w:sz w:val="24"/>
        </w:rPr>
      </w:pPr>
      <w:r>
        <w:rPr>
          <w:color w:val="000000" w:themeColor="text1"/>
          <w:sz w:val="24"/>
        </w:rPr>
        <w:t>Confirms availability</w:t>
      </w:r>
      <w:r w:rsidRPr="0044159C">
        <w:rPr>
          <w:color w:val="000000" w:themeColor="text1"/>
          <w:sz w:val="24"/>
        </w:rPr>
        <w:t xml:space="preserve"> to attend all sessions as part of the intervention;</w:t>
      </w:r>
    </w:p>
    <w:p w14:paraId="655AC978" w14:textId="120ADD9F" w:rsidR="00AA73CC" w:rsidRDefault="00AA73CC" w:rsidP="00A05105">
      <w:pPr>
        <w:numPr>
          <w:ilvl w:val="0"/>
          <w:numId w:val="1"/>
        </w:numPr>
        <w:jc w:val="both"/>
        <w:rPr>
          <w:color w:val="000000" w:themeColor="text1"/>
          <w:sz w:val="24"/>
        </w:rPr>
      </w:pPr>
      <w:r w:rsidRPr="0044159C">
        <w:rPr>
          <w:color w:val="000000" w:themeColor="text1"/>
          <w:sz w:val="24"/>
        </w:rPr>
        <w:t>Investigator has confidence that the patient is capable of adhering to all the trial protocol requirements</w:t>
      </w:r>
      <w:r>
        <w:rPr>
          <w:color w:val="000000" w:themeColor="text1"/>
          <w:sz w:val="24"/>
        </w:rPr>
        <w:t>.</w:t>
      </w:r>
    </w:p>
    <w:p w14:paraId="66EFE7D8" w14:textId="77777777" w:rsidR="00AA73CC" w:rsidRPr="0044159C" w:rsidRDefault="00AA73CC" w:rsidP="00AA73CC">
      <w:pPr>
        <w:ind w:left="720"/>
        <w:jc w:val="both"/>
        <w:rPr>
          <w:color w:val="000000" w:themeColor="text1"/>
          <w:sz w:val="24"/>
        </w:rPr>
      </w:pPr>
    </w:p>
    <w:p w14:paraId="1C9E2ED9" w14:textId="77777777" w:rsidR="00AA73CC" w:rsidRPr="0044159C" w:rsidRDefault="00AA73CC" w:rsidP="00AA73CC">
      <w:pPr>
        <w:jc w:val="both"/>
        <w:rPr>
          <w:i/>
          <w:color w:val="000000" w:themeColor="text1"/>
          <w:sz w:val="24"/>
        </w:rPr>
      </w:pPr>
      <w:r w:rsidRPr="0044159C">
        <w:rPr>
          <w:i/>
          <w:color w:val="000000" w:themeColor="text1"/>
          <w:sz w:val="24"/>
        </w:rPr>
        <w:t xml:space="preserve">Exclusion </w:t>
      </w:r>
      <w:r>
        <w:rPr>
          <w:i/>
          <w:color w:val="000000" w:themeColor="text1"/>
          <w:sz w:val="24"/>
        </w:rPr>
        <w:t>c</w:t>
      </w:r>
      <w:r w:rsidRPr="0044159C">
        <w:rPr>
          <w:i/>
          <w:color w:val="000000" w:themeColor="text1"/>
          <w:sz w:val="24"/>
        </w:rPr>
        <w:t xml:space="preserve">riteria: </w:t>
      </w:r>
    </w:p>
    <w:p w14:paraId="7B780B74" w14:textId="45E4D422" w:rsidR="00AA73CC" w:rsidRPr="00FA10F2" w:rsidRDefault="00AA73CC" w:rsidP="00AA73CC">
      <w:pPr>
        <w:numPr>
          <w:ilvl w:val="0"/>
          <w:numId w:val="2"/>
        </w:numPr>
        <w:jc w:val="both"/>
        <w:rPr>
          <w:rFonts w:cs="Arial"/>
          <w:color w:val="000000" w:themeColor="text1"/>
          <w:sz w:val="24"/>
        </w:rPr>
      </w:pPr>
      <w:r w:rsidRPr="00FA10F2">
        <w:rPr>
          <w:rFonts w:cs="Arial"/>
          <w:color w:val="000000" w:themeColor="text1"/>
          <w:sz w:val="24"/>
        </w:rPr>
        <w:t>Current use of continuous subcutaneous insulin infusion (CSII) pump therapy</w:t>
      </w:r>
      <w:r w:rsidR="00A05105">
        <w:rPr>
          <w:rFonts w:cs="Arial"/>
          <w:color w:val="000000" w:themeColor="text1"/>
          <w:sz w:val="24"/>
        </w:rPr>
        <w:t>;</w:t>
      </w:r>
    </w:p>
    <w:p w14:paraId="475C4C10" w14:textId="6E8E653C" w:rsidR="00AA73CC" w:rsidRPr="00FA10F2" w:rsidRDefault="00AA73CC" w:rsidP="00AA73CC">
      <w:pPr>
        <w:pStyle w:val="ListParagraph"/>
        <w:numPr>
          <w:ilvl w:val="0"/>
          <w:numId w:val="2"/>
        </w:numPr>
        <w:jc w:val="both"/>
        <w:rPr>
          <w:rFonts w:asciiTheme="minorBidi" w:hAnsiTheme="minorBidi" w:cstheme="minorBidi"/>
          <w:color w:val="000000" w:themeColor="text1"/>
        </w:rPr>
      </w:pPr>
      <w:r w:rsidRPr="00FA10F2">
        <w:rPr>
          <w:rFonts w:asciiTheme="minorBidi" w:hAnsiTheme="minorBidi" w:cstheme="minorBidi"/>
          <w:color w:val="000000" w:themeColor="text1"/>
        </w:rPr>
        <w:t>HbA1c &gt; 12%</w:t>
      </w:r>
      <w:r w:rsidR="00904B97">
        <w:rPr>
          <w:rFonts w:asciiTheme="minorBidi" w:hAnsiTheme="minorBidi" w:cstheme="minorBidi"/>
          <w:color w:val="000000" w:themeColor="text1"/>
        </w:rPr>
        <w:t xml:space="preserve"> (108mmol/mol)</w:t>
      </w:r>
      <w:r w:rsidRPr="00FA10F2">
        <w:rPr>
          <w:rFonts w:asciiTheme="minorBidi" w:hAnsiTheme="minorBidi" w:cstheme="minorBidi"/>
          <w:color w:val="000000" w:themeColor="text1"/>
        </w:rPr>
        <w:t xml:space="preserve"> (Investigators can use their judgement, informed by standard DAFNE guidelines</w:t>
      </w:r>
      <w:r>
        <w:rPr>
          <w:rFonts w:asciiTheme="minorBidi" w:hAnsiTheme="minorBidi" w:cstheme="minorBidi"/>
          <w:color w:val="000000" w:themeColor="text1"/>
        </w:rPr>
        <w:t xml:space="preserve"> and in agreement with the trial team</w:t>
      </w:r>
      <w:r w:rsidRPr="00FA10F2">
        <w:rPr>
          <w:rFonts w:asciiTheme="minorBidi" w:hAnsiTheme="minorBidi" w:cstheme="minorBidi"/>
          <w:color w:val="000000" w:themeColor="text1"/>
        </w:rPr>
        <w:t xml:space="preserve">, to include participants with HbA1c </w:t>
      </w:r>
      <w:r w:rsidRPr="00135A58">
        <w:rPr>
          <w:rFonts w:asciiTheme="minorBidi" w:hAnsiTheme="minorBidi" w:cstheme="minorBidi"/>
          <w:color w:val="000000" w:themeColor="text1"/>
        </w:rPr>
        <w:t>&gt;12%</w:t>
      </w:r>
      <w:r w:rsidRPr="00FA10F2">
        <w:rPr>
          <w:rFonts w:asciiTheme="minorBidi" w:hAnsiTheme="minorBidi" w:cstheme="minorBidi"/>
          <w:color w:val="000000" w:themeColor="text1"/>
        </w:rPr>
        <w:t>)</w:t>
      </w:r>
      <w:r w:rsidR="00A05105">
        <w:rPr>
          <w:rFonts w:asciiTheme="minorBidi" w:hAnsiTheme="minorBidi" w:cstheme="minorBidi"/>
          <w:color w:val="000000" w:themeColor="text1"/>
        </w:rPr>
        <w:t>;</w:t>
      </w:r>
    </w:p>
    <w:p w14:paraId="3ADEE372" w14:textId="46DD1C29" w:rsidR="00AA73CC" w:rsidRPr="00FA10F2" w:rsidRDefault="00AA73CC" w:rsidP="00AA73CC">
      <w:pPr>
        <w:pStyle w:val="ListParagraph"/>
        <w:numPr>
          <w:ilvl w:val="0"/>
          <w:numId w:val="2"/>
        </w:numPr>
        <w:jc w:val="both"/>
        <w:rPr>
          <w:rFonts w:asciiTheme="minorBidi" w:hAnsiTheme="minorBidi" w:cstheme="minorBidi"/>
          <w:color w:val="000000" w:themeColor="text1"/>
        </w:rPr>
      </w:pPr>
      <w:r w:rsidRPr="00FA10F2">
        <w:rPr>
          <w:rFonts w:asciiTheme="minorBidi" w:hAnsiTheme="minorBidi" w:cstheme="minorBidi"/>
          <w:color w:val="000000" w:themeColor="text1"/>
        </w:rPr>
        <w:t>Serious diabetic complications (e.g. blindness, renal dialysis).</w:t>
      </w:r>
      <w:r w:rsidRPr="00FA10F2">
        <w:rPr>
          <w:rFonts w:asciiTheme="minorBidi" w:hAnsiTheme="minorBidi" w:cstheme="minorBidi"/>
        </w:rPr>
        <w:t xml:space="preserve"> </w:t>
      </w:r>
      <w:r w:rsidRPr="00FA10F2">
        <w:rPr>
          <w:rFonts w:asciiTheme="minorBidi" w:hAnsiTheme="minorBidi" w:cstheme="minorBidi"/>
          <w:color w:val="000000" w:themeColor="text1"/>
        </w:rPr>
        <w:t>(Investigators can use their</w:t>
      </w:r>
      <w:r>
        <w:rPr>
          <w:rFonts w:asciiTheme="minorBidi" w:hAnsiTheme="minorBidi" w:cstheme="minorBidi"/>
          <w:color w:val="000000" w:themeColor="text1"/>
        </w:rPr>
        <w:t xml:space="preserve"> clinical</w:t>
      </w:r>
      <w:r w:rsidRPr="00FA10F2">
        <w:rPr>
          <w:rFonts w:asciiTheme="minorBidi" w:hAnsiTheme="minorBidi" w:cstheme="minorBidi"/>
          <w:color w:val="000000" w:themeColor="text1"/>
        </w:rPr>
        <w:t xml:space="preserve"> judgement, inform</w:t>
      </w:r>
      <w:r w:rsidRPr="00135A58">
        <w:rPr>
          <w:rFonts w:asciiTheme="minorBidi" w:hAnsiTheme="minorBidi" w:cstheme="minorBidi"/>
          <w:color w:val="000000" w:themeColor="text1"/>
        </w:rPr>
        <w:t>ed by standard DAFNE guidelines</w:t>
      </w:r>
      <w:r>
        <w:rPr>
          <w:rFonts w:asciiTheme="minorBidi" w:hAnsiTheme="minorBidi" w:cstheme="minorBidi"/>
          <w:color w:val="000000" w:themeColor="text1"/>
        </w:rPr>
        <w:t xml:space="preserve"> and in agreement with the trial team</w:t>
      </w:r>
      <w:r w:rsidRPr="00FA10F2">
        <w:rPr>
          <w:rFonts w:asciiTheme="minorBidi" w:hAnsiTheme="minorBidi" w:cstheme="minorBidi"/>
          <w:color w:val="000000" w:themeColor="text1"/>
        </w:rPr>
        <w:t>)</w:t>
      </w:r>
      <w:r w:rsidR="00A05105">
        <w:rPr>
          <w:rFonts w:asciiTheme="minorBidi" w:hAnsiTheme="minorBidi" w:cstheme="minorBidi"/>
          <w:color w:val="000000" w:themeColor="text1"/>
        </w:rPr>
        <w:t>;</w:t>
      </w:r>
    </w:p>
    <w:p w14:paraId="13C859E5" w14:textId="2B8E1D8C" w:rsidR="00AA73CC" w:rsidRPr="00F67818" w:rsidRDefault="00AA73CC" w:rsidP="00AA73CC">
      <w:pPr>
        <w:pStyle w:val="ListParagraph"/>
        <w:numPr>
          <w:ilvl w:val="0"/>
          <w:numId w:val="2"/>
        </w:numPr>
        <w:jc w:val="both"/>
        <w:rPr>
          <w:rFonts w:asciiTheme="minorBidi" w:hAnsiTheme="minorBidi" w:cstheme="minorBidi"/>
          <w:color w:val="000000" w:themeColor="text1"/>
        </w:rPr>
      </w:pPr>
      <w:r w:rsidRPr="00FA10F2">
        <w:rPr>
          <w:rFonts w:asciiTheme="minorBidi" w:hAnsiTheme="minorBidi" w:cstheme="minorBidi"/>
          <w:color w:val="000000" w:themeColor="text1"/>
        </w:rPr>
        <w:t>Other serious co-morbidities e.g. psychosis, diagnosed eating disorder</w:t>
      </w:r>
      <w:r w:rsidRPr="00135A58">
        <w:rPr>
          <w:rFonts w:asciiTheme="minorBidi" w:hAnsiTheme="minorBidi" w:cstheme="minorBidi"/>
          <w:color w:val="000000" w:themeColor="text1"/>
        </w:rPr>
        <w:t xml:space="preserve"> </w:t>
      </w:r>
      <w:r w:rsidRPr="00F67818">
        <w:rPr>
          <w:rFonts w:asciiTheme="minorBidi" w:hAnsiTheme="minorBidi" w:cstheme="minorBidi"/>
          <w:color w:val="000000" w:themeColor="text1"/>
        </w:rPr>
        <w:t>(Investigators can use their</w:t>
      </w:r>
      <w:r>
        <w:rPr>
          <w:rFonts w:asciiTheme="minorBidi" w:hAnsiTheme="minorBidi" w:cstheme="minorBidi"/>
          <w:color w:val="000000" w:themeColor="text1"/>
        </w:rPr>
        <w:t xml:space="preserve"> clinical</w:t>
      </w:r>
      <w:r w:rsidRPr="00F67818">
        <w:rPr>
          <w:rFonts w:asciiTheme="minorBidi" w:hAnsiTheme="minorBidi" w:cstheme="minorBidi"/>
          <w:color w:val="000000" w:themeColor="text1"/>
        </w:rPr>
        <w:t xml:space="preserve"> judgement, inform</w:t>
      </w:r>
      <w:r w:rsidRPr="00135A58">
        <w:rPr>
          <w:rFonts w:asciiTheme="minorBidi" w:hAnsiTheme="minorBidi" w:cstheme="minorBidi"/>
          <w:color w:val="000000" w:themeColor="text1"/>
        </w:rPr>
        <w:t>ed by standard DAFNE guidelines</w:t>
      </w:r>
      <w:r>
        <w:rPr>
          <w:rFonts w:asciiTheme="minorBidi" w:hAnsiTheme="minorBidi" w:cstheme="minorBidi"/>
          <w:color w:val="000000" w:themeColor="text1"/>
        </w:rPr>
        <w:t xml:space="preserve"> and in agreement with the trial team</w:t>
      </w:r>
      <w:r w:rsidRPr="00F67818">
        <w:rPr>
          <w:rFonts w:asciiTheme="minorBidi" w:hAnsiTheme="minorBidi" w:cstheme="minorBidi"/>
          <w:color w:val="000000" w:themeColor="text1"/>
        </w:rPr>
        <w:t>)</w:t>
      </w:r>
      <w:r w:rsidR="00A05105">
        <w:rPr>
          <w:rFonts w:asciiTheme="minorBidi" w:hAnsiTheme="minorBidi" w:cstheme="minorBidi"/>
          <w:color w:val="000000" w:themeColor="text1"/>
        </w:rPr>
        <w:t>;</w:t>
      </w:r>
    </w:p>
    <w:p w14:paraId="082D52A1" w14:textId="76B97A8E" w:rsidR="00AA73CC" w:rsidRPr="00FA10F2" w:rsidRDefault="00AA73CC" w:rsidP="00AA73CC">
      <w:pPr>
        <w:numPr>
          <w:ilvl w:val="0"/>
          <w:numId w:val="2"/>
        </w:numPr>
        <w:jc w:val="both"/>
        <w:rPr>
          <w:rFonts w:asciiTheme="minorBidi" w:hAnsiTheme="minorBidi" w:cstheme="minorBidi"/>
          <w:color w:val="000000" w:themeColor="text1"/>
          <w:sz w:val="24"/>
        </w:rPr>
      </w:pPr>
      <w:r w:rsidRPr="00FA10F2">
        <w:rPr>
          <w:rFonts w:asciiTheme="minorBidi" w:hAnsiTheme="minorBidi" w:cstheme="minorBidi"/>
          <w:color w:val="000000" w:themeColor="text1"/>
          <w:sz w:val="24"/>
        </w:rPr>
        <w:t>Previous participation in standard DAFNE course less than 5 years before proposed study enrolment date</w:t>
      </w:r>
      <w:r w:rsidR="00A05105">
        <w:rPr>
          <w:rFonts w:asciiTheme="minorBidi" w:hAnsiTheme="minorBidi" w:cstheme="minorBidi"/>
          <w:color w:val="000000" w:themeColor="text1"/>
          <w:sz w:val="24"/>
        </w:rPr>
        <w:t>;</w:t>
      </w:r>
    </w:p>
    <w:p w14:paraId="4DC792F3" w14:textId="64658D12" w:rsidR="00AA73CC" w:rsidRPr="00FA10F2" w:rsidRDefault="00AA73CC" w:rsidP="00AA73CC">
      <w:pPr>
        <w:numPr>
          <w:ilvl w:val="0"/>
          <w:numId w:val="2"/>
        </w:numPr>
        <w:jc w:val="both"/>
        <w:rPr>
          <w:rFonts w:asciiTheme="minorBidi" w:hAnsiTheme="minorBidi" w:cstheme="minorBidi"/>
          <w:color w:val="000000" w:themeColor="text1"/>
          <w:sz w:val="24"/>
        </w:rPr>
      </w:pPr>
      <w:r w:rsidRPr="00FA10F2">
        <w:rPr>
          <w:rFonts w:asciiTheme="minorBidi" w:hAnsiTheme="minorBidi" w:cstheme="minorBidi"/>
          <w:color w:val="000000" w:themeColor="text1"/>
          <w:sz w:val="24"/>
        </w:rPr>
        <w:t xml:space="preserve">Unable to speak/hear/understand/read </w:t>
      </w:r>
      <w:r w:rsidR="00A05105">
        <w:rPr>
          <w:rFonts w:asciiTheme="minorBidi" w:hAnsiTheme="minorBidi" w:cstheme="minorBidi"/>
          <w:color w:val="000000" w:themeColor="text1"/>
          <w:sz w:val="24"/>
        </w:rPr>
        <w:t xml:space="preserve">or </w:t>
      </w:r>
      <w:r w:rsidRPr="00FA10F2">
        <w:rPr>
          <w:rFonts w:asciiTheme="minorBidi" w:hAnsiTheme="minorBidi" w:cstheme="minorBidi"/>
          <w:color w:val="000000" w:themeColor="text1"/>
          <w:sz w:val="24"/>
        </w:rPr>
        <w:t>write in English</w:t>
      </w:r>
      <w:r w:rsidR="00A05105">
        <w:rPr>
          <w:rFonts w:asciiTheme="minorBidi" w:hAnsiTheme="minorBidi" w:cstheme="minorBidi"/>
          <w:color w:val="000000" w:themeColor="text1"/>
          <w:sz w:val="24"/>
        </w:rPr>
        <w:t>;</w:t>
      </w:r>
    </w:p>
    <w:p w14:paraId="63A94C09" w14:textId="26E1D38B" w:rsidR="00AA73CC" w:rsidRPr="00AA73CC" w:rsidRDefault="00AA73CC" w:rsidP="00AA73CC">
      <w:pPr>
        <w:pStyle w:val="ListParagraph"/>
        <w:numPr>
          <w:ilvl w:val="0"/>
          <w:numId w:val="2"/>
        </w:numPr>
        <w:rPr>
          <w:rFonts w:asciiTheme="minorBidi" w:hAnsiTheme="minorBidi" w:cstheme="minorBidi"/>
          <w:color w:val="000000" w:themeColor="text1"/>
        </w:rPr>
      </w:pPr>
      <w:r w:rsidRPr="00AA73CC">
        <w:rPr>
          <w:rFonts w:asciiTheme="minorBidi" w:hAnsiTheme="minorBidi" w:cstheme="minorBidi"/>
          <w:color w:val="000000" w:themeColor="text1"/>
        </w:rPr>
        <w:lastRenderedPageBreak/>
        <w:t>Unable to give written informed consent</w:t>
      </w:r>
      <w:r w:rsidR="00A05105">
        <w:rPr>
          <w:rFonts w:asciiTheme="minorBidi" w:hAnsiTheme="minorBidi" w:cstheme="minorBidi"/>
          <w:color w:val="000000" w:themeColor="text1"/>
        </w:rPr>
        <w:t>.</w:t>
      </w:r>
    </w:p>
    <w:p w14:paraId="6A0A9901" w14:textId="77777777" w:rsidR="00AA73CC" w:rsidRDefault="00AA73CC" w:rsidP="00AA73CC"/>
    <w:bookmarkEnd w:id="7"/>
    <w:bookmarkEnd w:id="8"/>
    <w:bookmarkEnd w:id="9"/>
    <w:p w14:paraId="3CBF9B73" w14:textId="41AC42BF" w:rsidR="00AA73CC" w:rsidRPr="00AA73CC" w:rsidRDefault="00AA73CC" w:rsidP="00AA7FD7">
      <w:pPr>
        <w:jc w:val="both"/>
        <w:rPr>
          <w:rFonts w:cs="Arial"/>
          <w:b/>
          <w:color w:val="000000" w:themeColor="text1"/>
          <w:sz w:val="28"/>
        </w:rPr>
      </w:pPr>
      <w:r w:rsidRPr="00AA73CC">
        <w:rPr>
          <w:rFonts w:cs="Arial"/>
          <w:b/>
          <w:color w:val="000000" w:themeColor="text1"/>
          <w:sz w:val="28"/>
        </w:rPr>
        <w:t>Recruitment</w:t>
      </w:r>
    </w:p>
    <w:p w14:paraId="746C4D73" w14:textId="77777777" w:rsidR="00AA73CC" w:rsidRDefault="00AA73CC" w:rsidP="00AA7FD7">
      <w:pPr>
        <w:jc w:val="both"/>
        <w:rPr>
          <w:rFonts w:cs="Arial"/>
          <w:color w:val="000000" w:themeColor="text1"/>
          <w:sz w:val="24"/>
        </w:rPr>
      </w:pPr>
    </w:p>
    <w:p w14:paraId="64536DA1" w14:textId="1A551D21" w:rsidR="00006FFB" w:rsidRPr="0044159C" w:rsidRDefault="00A05105" w:rsidP="00343567">
      <w:pPr>
        <w:jc w:val="both"/>
        <w:rPr>
          <w:rFonts w:cs="Arial"/>
          <w:color w:val="000000" w:themeColor="text1"/>
          <w:sz w:val="24"/>
        </w:rPr>
      </w:pPr>
      <w:r>
        <w:rPr>
          <w:rFonts w:cs="Arial"/>
          <w:color w:val="000000" w:themeColor="text1"/>
          <w:sz w:val="24"/>
        </w:rPr>
        <w:t>P</w:t>
      </w:r>
      <w:r w:rsidR="00F031EE" w:rsidRPr="0044159C">
        <w:rPr>
          <w:rFonts w:cs="Arial"/>
          <w:color w:val="000000" w:themeColor="text1"/>
          <w:sz w:val="24"/>
        </w:rPr>
        <w:t xml:space="preserve">atient participants will be identified from current caseloads of </w:t>
      </w:r>
      <w:r w:rsidR="00A43934">
        <w:rPr>
          <w:rFonts w:cs="Arial"/>
          <w:color w:val="000000" w:themeColor="text1"/>
          <w:sz w:val="24"/>
        </w:rPr>
        <w:t>adults</w:t>
      </w:r>
      <w:r w:rsidR="00F031EE" w:rsidRPr="0044159C">
        <w:rPr>
          <w:rFonts w:cs="Arial"/>
          <w:color w:val="000000" w:themeColor="text1"/>
          <w:sz w:val="24"/>
        </w:rPr>
        <w:t xml:space="preserve"> with </w:t>
      </w:r>
      <w:r>
        <w:rPr>
          <w:rFonts w:cs="Arial"/>
          <w:color w:val="000000" w:themeColor="text1"/>
          <w:sz w:val="24"/>
        </w:rPr>
        <w:t>T1D</w:t>
      </w:r>
      <w:r w:rsidR="00F031EE" w:rsidRPr="0044159C">
        <w:rPr>
          <w:rFonts w:cs="Arial"/>
          <w:color w:val="000000" w:themeColor="text1"/>
          <w:sz w:val="24"/>
        </w:rPr>
        <w:t xml:space="preserve"> from each participating centre. </w:t>
      </w:r>
      <w:r w:rsidR="00B27823">
        <w:rPr>
          <w:rFonts w:cs="Arial"/>
          <w:color w:val="000000" w:themeColor="text1"/>
          <w:sz w:val="24"/>
        </w:rPr>
        <w:t>They</w:t>
      </w:r>
      <w:r w:rsidR="00F031EE" w:rsidRPr="0044159C">
        <w:rPr>
          <w:rFonts w:cs="Arial"/>
          <w:color w:val="000000" w:themeColor="text1"/>
          <w:sz w:val="24"/>
        </w:rPr>
        <w:t xml:space="preserve"> will be sent an invitation letter and information sheet </w:t>
      </w:r>
      <w:r w:rsidR="00160A0E">
        <w:rPr>
          <w:rFonts w:cs="Arial"/>
          <w:color w:val="000000" w:themeColor="text1"/>
          <w:sz w:val="24"/>
        </w:rPr>
        <w:t>before</w:t>
      </w:r>
      <w:r w:rsidR="00F031EE" w:rsidRPr="0044159C">
        <w:rPr>
          <w:rFonts w:cs="Arial"/>
          <w:color w:val="000000" w:themeColor="text1"/>
          <w:sz w:val="24"/>
        </w:rPr>
        <w:t xml:space="preserve"> the course. A member of the </w:t>
      </w:r>
      <w:r w:rsidR="00006FFB" w:rsidRPr="0044159C">
        <w:rPr>
          <w:rFonts w:cs="Arial"/>
          <w:color w:val="000000" w:themeColor="text1"/>
          <w:sz w:val="24"/>
        </w:rPr>
        <w:t xml:space="preserve">clinical </w:t>
      </w:r>
      <w:r w:rsidR="00F031EE" w:rsidRPr="0044159C">
        <w:rPr>
          <w:rFonts w:cs="Arial"/>
          <w:color w:val="000000" w:themeColor="text1"/>
          <w:sz w:val="24"/>
        </w:rPr>
        <w:t xml:space="preserve">team in participating centres will </w:t>
      </w:r>
      <w:r w:rsidR="00B27823">
        <w:rPr>
          <w:rFonts w:cs="Arial"/>
          <w:color w:val="000000" w:themeColor="text1"/>
          <w:sz w:val="24"/>
        </w:rPr>
        <w:t xml:space="preserve">then </w:t>
      </w:r>
      <w:r w:rsidR="00F031EE" w:rsidRPr="0044159C">
        <w:rPr>
          <w:rFonts w:cs="Arial"/>
          <w:color w:val="000000" w:themeColor="text1"/>
          <w:sz w:val="24"/>
        </w:rPr>
        <w:t>telephone potential participants to discuss whether or not they are interested in principle in taking part. If interested, they will be asked to consent to participat</w:t>
      </w:r>
      <w:r w:rsidR="00343567">
        <w:rPr>
          <w:rFonts w:cs="Arial"/>
          <w:color w:val="000000" w:themeColor="text1"/>
          <w:sz w:val="24"/>
        </w:rPr>
        <w:t>e</w:t>
      </w:r>
      <w:r w:rsidR="00F031EE" w:rsidRPr="0044159C">
        <w:rPr>
          <w:rFonts w:cs="Arial"/>
          <w:color w:val="000000" w:themeColor="text1"/>
          <w:sz w:val="24"/>
        </w:rPr>
        <w:t xml:space="preserve"> at</w:t>
      </w:r>
      <w:r w:rsidR="00006FFB" w:rsidRPr="0044159C">
        <w:rPr>
          <w:rFonts w:cs="Arial"/>
          <w:color w:val="000000" w:themeColor="text1"/>
          <w:sz w:val="24"/>
        </w:rPr>
        <w:t xml:space="preserve"> </w:t>
      </w:r>
      <w:r w:rsidR="00F031EE" w:rsidRPr="0044159C">
        <w:rPr>
          <w:rFonts w:cs="Arial"/>
          <w:color w:val="000000" w:themeColor="text1"/>
          <w:sz w:val="24"/>
        </w:rPr>
        <w:t xml:space="preserve">their baseline </w:t>
      </w:r>
      <w:r w:rsidR="00006FFB" w:rsidRPr="0044159C">
        <w:rPr>
          <w:rFonts w:cs="Arial"/>
          <w:color w:val="000000" w:themeColor="text1"/>
          <w:sz w:val="24"/>
        </w:rPr>
        <w:t>visit</w:t>
      </w:r>
      <w:r w:rsidR="00F031EE" w:rsidRPr="0044159C">
        <w:rPr>
          <w:rFonts w:cs="Arial"/>
          <w:color w:val="000000" w:themeColor="text1"/>
          <w:sz w:val="24"/>
        </w:rPr>
        <w:t xml:space="preserve">. </w:t>
      </w:r>
      <w:r w:rsidR="00006FFB" w:rsidRPr="0044159C">
        <w:rPr>
          <w:rFonts w:cs="Arial"/>
          <w:color w:val="000000" w:themeColor="text1"/>
          <w:sz w:val="24"/>
        </w:rPr>
        <w:t xml:space="preserve">In both </w:t>
      </w:r>
      <w:r w:rsidR="00B27823">
        <w:rPr>
          <w:rFonts w:cs="Arial"/>
          <w:color w:val="000000" w:themeColor="text1"/>
          <w:sz w:val="24"/>
        </w:rPr>
        <w:t xml:space="preserve">trial </w:t>
      </w:r>
      <w:r w:rsidR="00006FFB" w:rsidRPr="0044159C">
        <w:rPr>
          <w:rFonts w:cs="Arial"/>
          <w:color w:val="000000" w:themeColor="text1"/>
          <w:sz w:val="24"/>
        </w:rPr>
        <w:t>arms, i</w:t>
      </w:r>
      <w:r w:rsidR="008B3024" w:rsidRPr="0044159C">
        <w:rPr>
          <w:rFonts w:cs="Arial"/>
          <w:color w:val="000000" w:themeColor="text1"/>
          <w:sz w:val="24"/>
        </w:rPr>
        <w:t>f they do not want to take part in the research they will be offered attendance at a standard DAFNE course</w:t>
      </w:r>
      <w:r w:rsidR="00DE0D2E">
        <w:rPr>
          <w:rFonts w:cs="Arial"/>
          <w:color w:val="000000" w:themeColor="text1"/>
          <w:sz w:val="24"/>
        </w:rPr>
        <w:t xml:space="preserve"> that is not part of this trial</w:t>
      </w:r>
      <w:r w:rsidR="008B3024" w:rsidRPr="0044159C">
        <w:rPr>
          <w:rFonts w:cs="Arial"/>
          <w:color w:val="000000" w:themeColor="text1"/>
          <w:sz w:val="24"/>
        </w:rPr>
        <w:t>, if that is their wish.</w:t>
      </w:r>
      <w:r w:rsidR="00C717B5">
        <w:rPr>
          <w:rFonts w:cs="Arial"/>
          <w:color w:val="000000" w:themeColor="text1"/>
          <w:sz w:val="24"/>
        </w:rPr>
        <w:t xml:space="preserve"> </w:t>
      </w:r>
      <w:r w:rsidR="0043628E" w:rsidRPr="0044159C">
        <w:rPr>
          <w:rFonts w:cs="Arial"/>
          <w:color w:val="000000" w:themeColor="text1"/>
          <w:sz w:val="24"/>
        </w:rPr>
        <w:t>Reasons</w:t>
      </w:r>
      <w:r w:rsidR="00F031EE" w:rsidRPr="0044159C">
        <w:rPr>
          <w:rFonts w:cs="Arial"/>
          <w:color w:val="000000" w:themeColor="text1"/>
          <w:sz w:val="24"/>
        </w:rPr>
        <w:t xml:space="preserve"> for non-participation </w:t>
      </w:r>
      <w:r w:rsidR="00343567">
        <w:rPr>
          <w:rFonts w:cs="Arial"/>
          <w:color w:val="000000" w:themeColor="text1"/>
          <w:sz w:val="24"/>
        </w:rPr>
        <w:t xml:space="preserve">in the trial </w:t>
      </w:r>
      <w:r w:rsidR="00F031EE" w:rsidRPr="0044159C">
        <w:rPr>
          <w:rFonts w:cs="Arial"/>
          <w:color w:val="000000" w:themeColor="text1"/>
          <w:sz w:val="24"/>
        </w:rPr>
        <w:t xml:space="preserve">will be recorded. </w:t>
      </w:r>
    </w:p>
    <w:p w14:paraId="25670623" w14:textId="77777777" w:rsidR="00006FFB" w:rsidRPr="0044159C" w:rsidRDefault="00006FFB" w:rsidP="00AA7FD7">
      <w:pPr>
        <w:jc w:val="both"/>
        <w:rPr>
          <w:rFonts w:cs="Arial"/>
          <w:color w:val="000000" w:themeColor="text1"/>
          <w:sz w:val="24"/>
        </w:rPr>
      </w:pPr>
    </w:p>
    <w:p w14:paraId="2E87B627" w14:textId="140C9AE7" w:rsidR="00084D40" w:rsidRPr="0044159C" w:rsidRDefault="00F031EE" w:rsidP="00343567">
      <w:pPr>
        <w:jc w:val="both"/>
        <w:rPr>
          <w:color w:val="000000" w:themeColor="text1"/>
          <w:sz w:val="24"/>
        </w:rPr>
      </w:pPr>
      <w:r w:rsidRPr="0044159C">
        <w:rPr>
          <w:rFonts w:cs="Arial"/>
          <w:color w:val="000000" w:themeColor="text1"/>
          <w:sz w:val="24"/>
        </w:rPr>
        <w:t xml:space="preserve">In order to maximise recruitment to the courses, a </w:t>
      </w:r>
      <w:r w:rsidR="00A43934">
        <w:rPr>
          <w:rFonts w:cs="Arial"/>
          <w:color w:val="000000" w:themeColor="text1"/>
          <w:sz w:val="24"/>
        </w:rPr>
        <w:t xml:space="preserve">reserve </w:t>
      </w:r>
      <w:r w:rsidRPr="0044159C">
        <w:rPr>
          <w:rFonts w:cs="Arial"/>
          <w:color w:val="000000" w:themeColor="text1"/>
          <w:sz w:val="24"/>
        </w:rPr>
        <w:t xml:space="preserve">list of </w:t>
      </w:r>
      <w:r w:rsidR="00257B2F">
        <w:rPr>
          <w:rFonts w:cs="Arial"/>
          <w:color w:val="000000" w:themeColor="text1"/>
          <w:sz w:val="24"/>
        </w:rPr>
        <w:t xml:space="preserve">eligible </w:t>
      </w:r>
      <w:r w:rsidRPr="0044159C">
        <w:rPr>
          <w:rFonts w:cs="Arial"/>
          <w:color w:val="000000" w:themeColor="text1"/>
          <w:sz w:val="24"/>
        </w:rPr>
        <w:t>patients will be held at participating centres</w:t>
      </w:r>
      <w:r w:rsidR="00725FC4">
        <w:rPr>
          <w:rFonts w:cs="Arial"/>
          <w:color w:val="000000" w:themeColor="text1"/>
          <w:sz w:val="24"/>
        </w:rPr>
        <w:t xml:space="preserve">. </w:t>
      </w:r>
      <w:r w:rsidR="00160A0E">
        <w:rPr>
          <w:rFonts w:cs="Arial"/>
          <w:color w:val="000000" w:themeColor="text1"/>
          <w:sz w:val="24"/>
        </w:rPr>
        <w:t>E</w:t>
      </w:r>
      <w:r w:rsidRPr="0044159C">
        <w:rPr>
          <w:rFonts w:cs="Arial"/>
          <w:color w:val="000000" w:themeColor="text1"/>
          <w:sz w:val="24"/>
        </w:rPr>
        <w:t xml:space="preserve">ligible patients may </w:t>
      </w:r>
      <w:r w:rsidR="00160A0E">
        <w:rPr>
          <w:rFonts w:cs="Arial"/>
          <w:color w:val="000000" w:themeColor="text1"/>
          <w:sz w:val="24"/>
        </w:rPr>
        <w:t xml:space="preserve">also </w:t>
      </w:r>
      <w:r w:rsidRPr="0044159C">
        <w:rPr>
          <w:rFonts w:cs="Arial"/>
          <w:color w:val="000000" w:themeColor="text1"/>
          <w:sz w:val="24"/>
        </w:rPr>
        <w:t xml:space="preserve">be invited to take part by their </w:t>
      </w:r>
      <w:r w:rsidR="00343567">
        <w:rPr>
          <w:rFonts w:cs="Arial"/>
          <w:color w:val="000000" w:themeColor="text1"/>
          <w:sz w:val="24"/>
        </w:rPr>
        <w:t>HCP</w:t>
      </w:r>
      <w:r w:rsidRPr="0044159C">
        <w:rPr>
          <w:rFonts w:cs="Arial"/>
          <w:color w:val="000000" w:themeColor="text1"/>
          <w:sz w:val="24"/>
        </w:rPr>
        <w:t xml:space="preserve"> during routine face-to-face appointments, or via telephone. </w:t>
      </w:r>
      <w:r w:rsidR="00006FFB" w:rsidRPr="0044159C">
        <w:rPr>
          <w:rFonts w:cs="Arial"/>
          <w:sz w:val="24"/>
          <w:lang w:val="en-US"/>
        </w:rPr>
        <w:t xml:space="preserve">Trial information meetings </w:t>
      </w:r>
      <w:r w:rsidR="00FB5B18">
        <w:rPr>
          <w:rFonts w:cs="Arial"/>
          <w:sz w:val="24"/>
          <w:lang w:val="en-US"/>
        </w:rPr>
        <w:t>may</w:t>
      </w:r>
      <w:r w:rsidR="00006FFB" w:rsidRPr="0044159C">
        <w:rPr>
          <w:rFonts w:cs="Arial"/>
          <w:sz w:val="24"/>
          <w:lang w:val="en-US"/>
        </w:rPr>
        <w:t xml:space="preserve"> also be held during the recruitment period at </w:t>
      </w:r>
      <w:r w:rsidR="00160A0E">
        <w:rPr>
          <w:rFonts w:cs="Arial"/>
          <w:sz w:val="24"/>
          <w:lang w:val="en-US"/>
        </w:rPr>
        <w:t>various</w:t>
      </w:r>
      <w:r w:rsidR="00006FFB" w:rsidRPr="0044159C">
        <w:rPr>
          <w:rFonts w:cs="Arial"/>
          <w:sz w:val="24"/>
          <w:lang w:val="en-US"/>
        </w:rPr>
        <w:t xml:space="preserve"> locations in </w:t>
      </w:r>
      <w:r w:rsidR="00160A0E">
        <w:rPr>
          <w:rFonts w:cs="Arial"/>
          <w:sz w:val="24"/>
          <w:lang w:val="en-US"/>
        </w:rPr>
        <w:t>centres</w:t>
      </w:r>
      <w:r w:rsidR="00006FFB" w:rsidRPr="0044159C">
        <w:rPr>
          <w:rFonts w:cs="Arial"/>
          <w:sz w:val="24"/>
          <w:lang w:val="en-US"/>
        </w:rPr>
        <w:t>.</w:t>
      </w:r>
    </w:p>
    <w:p w14:paraId="0D874E5F" w14:textId="77777777" w:rsidR="003C2250" w:rsidRPr="0044159C" w:rsidRDefault="003C2250" w:rsidP="00AA7FD7">
      <w:pPr>
        <w:jc w:val="both"/>
        <w:rPr>
          <w:color w:val="000000" w:themeColor="text1"/>
          <w:sz w:val="24"/>
        </w:rPr>
      </w:pPr>
    </w:p>
    <w:p w14:paraId="0065D3D9" w14:textId="260BC4A7" w:rsidR="00084D40" w:rsidRDefault="00084D40" w:rsidP="00AA7FD7">
      <w:pPr>
        <w:widowControl w:val="0"/>
        <w:autoSpaceDE w:val="0"/>
        <w:autoSpaceDN w:val="0"/>
        <w:adjustRightInd w:val="0"/>
        <w:jc w:val="both"/>
        <w:rPr>
          <w:rFonts w:cs="Arial"/>
          <w:color w:val="000000" w:themeColor="text1"/>
          <w:sz w:val="24"/>
          <w:lang w:val="en-US"/>
        </w:rPr>
      </w:pPr>
      <w:r w:rsidRPr="0044159C">
        <w:rPr>
          <w:rFonts w:cs="Arial"/>
          <w:color w:val="000000" w:themeColor="text1"/>
          <w:sz w:val="24"/>
        </w:rPr>
        <w:t xml:space="preserve">Written informed consent will be obtained from all participants. </w:t>
      </w:r>
      <w:r w:rsidR="00A652FC">
        <w:rPr>
          <w:rFonts w:cs="Arial"/>
          <w:color w:val="000000" w:themeColor="text1"/>
          <w:sz w:val="24"/>
        </w:rPr>
        <w:t>M</w:t>
      </w:r>
      <w:r w:rsidRPr="0044159C">
        <w:rPr>
          <w:rFonts w:cs="Arial"/>
          <w:color w:val="000000" w:themeColor="text1"/>
          <w:sz w:val="24"/>
        </w:rPr>
        <w:t>ember</w:t>
      </w:r>
      <w:r w:rsidR="00A652FC">
        <w:rPr>
          <w:rFonts w:cs="Arial"/>
          <w:color w:val="000000" w:themeColor="text1"/>
          <w:sz w:val="24"/>
        </w:rPr>
        <w:t>s</w:t>
      </w:r>
      <w:r w:rsidRPr="0044159C">
        <w:rPr>
          <w:rFonts w:cs="Arial"/>
          <w:color w:val="000000" w:themeColor="text1"/>
          <w:sz w:val="24"/>
        </w:rPr>
        <w:t xml:space="preserve"> of the local study team</w:t>
      </w:r>
      <w:r w:rsidR="00160A0E">
        <w:rPr>
          <w:rFonts w:cs="Arial"/>
          <w:color w:val="000000" w:themeColor="text1"/>
          <w:sz w:val="24"/>
        </w:rPr>
        <w:t>s</w:t>
      </w:r>
      <w:r w:rsidRPr="0044159C">
        <w:rPr>
          <w:rFonts w:cs="Arial"/>
          <w:color w:val="000000" w:themeColor="text1"/>
          <w:sz w:val="24"/>
        </w:rPr>
        <w:t xml:space="preserve"> will be responsible for taking informed consent from potentially eligible study participants at the DAFNE centres. The process for obtaining participant informed consent will be in accordance with the REC guidance, and Good Clinical Practice (GCP) and any other regulatory requirements that might be introduced. </w:t>
      </w:r>
    </w:p>
    <w:p w14:paraId="608A4CDB" w14:textId="77777777" w:rsidR="00AA7FD7" w:rsidRPr="0044159C" w:rsidRDefault="00AA7FD7" w:rsidP="00AA7FD7">
      <w:pPr>
        <w:widowControl w:val="0"/>
        <w:autoSpaceDE w:val="0"/>
        <w:autoSpaceDN w:val="0"/>
        <w:adjustRightInd w:val="0"/>
        <w:jc w:val="both"/>
        <w:rPr>
          <w:rFonts w:ascii="Times" w:hAnsi="Times" w:cs="Times"/>
          <w:color w:val="000000" w:themeColor="text1"/>
          <w:sz w:val="24"/>
          <w:lang w:val="en-US"/>
        </w:rPr>
      </w:pPr>
    </w:p>
    <w:p w14:paraId="23C65CC8" w14:textId="5CD24D6C" w:rsidR="0044159C" w:rsidRPr="00944484" w:rsidRDefault="00084D40" w:rsidP="00343567">
      <w:pPr>
        <w:jc w:val="both"/>
        <w:rPr>
          <w:rFonts w:ascii="Times New Roman" w:hAnsi="Times New Roman" w:cs="Arial"/>
          <w:color w:val="000000" w:themeColor="text1"/>
        </w:rPr>
      </w:pPr>
      <w:r w:rsidRPr="00B75985">
        <w:rPr>
          <w:rFonts w:cs="Arial"/>
          <w:color w:val="000000" w:themeColor="text1"/>
          <w:sz w:val="24"/>
        </w:rPr>
        <w:t>Written informed consent</w:t>
      </w:r>
      <w:r w:rsidR="00B75985" w:rsidRPr="00B75985">
        <w:rPr>
          <w:rFonts w:cs="Arial"/>
          <w:color w:val="000000" w:themeColor="text1"/>
          <w:sz w:val="24"/>
        </w:rPr>
        <w:t xml:space="preserve"> </w:t>
      </w:r>
      <w:r w:rsidR="00B27823">
        <w:rPr>
          <w:rFonts w:cs="Arial"/>
          <w:color w:val="000000" w:themeColor="text1"/>
          <w:sz w:val="24"/>
        </w:rPr>
        <w:t xml:space="preserve">to contribute to the process evaluation </w:t>
      </w:r>
      <w:r w:rsidR="00B75985" w:rsidRPr="00B75985">
        <w:rPr>
          <w:rFonts w:cs="Arial"/>
          <w:color w:val="000000" w:themeColor="text1"/>
          <w:sz w:val="24"/>
        </w:rPr>
        <w:t xml:space="preserve">will also be taken from </w:t>
      </w:r>
      <w:r w:rsidR="00343567">
        <w:rPr>
          <w:rFonts w:cs="Arial"/>
          <w:color w:val="000000" w:themeColor="text1"/>
          <w:sz w:val="24"/>
        </w:rPr>
        <w:t>HCPs</w:t>
      </w:r>
      <w:r w:rsidR="00B75985" w:rsidRPr="00B75985">
        <w:rPr>
          <w:rFonts w:cs="Arial"/>
          <w:color w:val="000000" w:themeColor="text1"/>
          <w:sz w:val="24"/>
        </w:rPr>
        <w:t xml:space="preserve"> in participating sites by the central study team</w:t>
      </w:r>
      <w:r w:rsidRPr="009D1FF0">
        <w:rPr>
          <w:rFonts w:cs="Arial"/>
          <w:color w:val="000000" w:themeColor="text1"/>
        </w:rPr>
        <w:t>.</w:t>
      </w:r>
    </w:p>
    <w:p w14:paraId="38090461" w14:textId="16305CBA" w:rsidR="00C717B5" w:rsidRDefault="00C717B5" w:rsidP="00944484">
      <w:pPr>
        <w:jc w:val="both"/>
        <w:rPr>
          <w:rFonts w:cs="Arial"/>
          <w:color w:val="000000" w:themeColor="text1"/>
        </w:rPr>
      </w:pPr>
    </w:p>
    <w:p w14:paraId="5861FD2C" w14:textId="4EC49EB2" w:rsidR="00C717B5" w:rsidRDefault="00C717B5" w:rsidP="00944484">
      <w:pPr>
        <w:jc w:val="both"/>
        <w:rPr>
          <w:rFonts w:cs="Arial"/>
          <w:b/>
          <w:color w:val="000000" w:themeColor="text1"/>
          <w:sz w:val="28"/>
        </w:rPr>
      </w:pPr>
      <w:r w:rsidRPr="00C717B5">
        <w:rPr>
          <w:rFonts w:cs="Arial"/>
          <w:b/>
          <w:color w:val="000000" w:themeColor="text1"/>
          <w:sz w:val="28"/>
        </w:rPr>
        <w:t>Interventions</w:t>
      </w:r>
    </w:p>
    <w:p w14:paraId="6808F74A" w14:textId="640958D8" w:rsidR="00C717B5" w:rsidRDefault="00C717B5" w:rsidP="00944484">
      <w:pPr>
        <w:jc w:val="both"/>
        <w:rPr>
          <w:rFonts w:cs="Arial"/>
          <w:b/>
          <w:color w:val="000000" w:themeColor="text1"/>
          <w:sz w:val="28"/>
        </w:rPr>
      </w:pPr>
    </w:p>
    <w:p w14:paraId="4E8525EF" w14:textId="1E8147E4" w:rsidR="00B27823" w:rsidRDefault="00B27823" w:rsidP="005E2D89">
      <w:pPr>
        <w:jc w:val="both"/>
        <w:rPr>
          <w:rFonts w:cs="Arial"/>
          <w:color w:val="000000" w:themeColor="text1"/>
        </w:rPr>
      </w:pPr>
      <w:r w:rsidRPr="00C717B5">
        <w:rPr>
          <w:rFonts w:cs="Arial"/>
          <w:b/>
          <w:color w:val="000000" w:themeColor="text1"/>
          <w:sz w:val="28"/>
        </w:rPr>
        <w:t>Standard DAFNE (</w:t>
      </w:r>
      <w:r w:rsidR="005E2D89">
        <w:rPr>
          <w:rFonts w:cs="Arial"/>
          <w:b/>
          <w:color w:val="000000" w:themeColor="text1"/>
          <w:sz w:val="28"/>
        </w:rPr>
        <w:t>c</w:t>
      </w:r>
      <w:r w:rsidRPr="00C717B5">
        <w:rPr>
          <w:rFonts w:cs="Arial"/>
          <w:b/>
          <w:color w:val="000000" w:themeColor="text1"/>
          <w:sz w:val="28"/>
        </w:rPr>
        <w:t>ontrol arm)</w:t>
      </w:r>
      <w:r>
        <w:rPr>
          <w:rFonts w:cs="Arial"/>
          <w:color w:val="000000" w:themeColor="text1"/>
        </w:rPr>
        <w:t xml:space="preserve"> </w:t>
      </w:r>
    </w:p>
    <w:p w14:paraId="650D1F42" w14:textId="77777777" w:rsidR="00B27823" w:rsidRDefault="00B27823" w:rsidP="00B27823">
      <w:pPr>
        <w:jc w:val="both"/>
        <w:rPr>
          <w:rFonts w:cs="Arial"/>
          <w:lang w:val="en-US"/>
        </w:rPr>
      </w:pPr>
    </w:p>
    <w:p w14:paraId="43751439" w14:textId="1BA060A1" w:rsidR="00B27823" w:rsidRDefault="00B27823" w:rsidP="0042216C">
      <w:pPr>
        <w:jc w:val="both"/>
        <w:rPr>
          <w:rFonts w:cs="Arial"/>
          <w:lang w:val="en-US"/>
        </w:rPr>
      </w:pPr>
      <w:r w:rsidRPr="00BE2E70">
        <w:rPr>
          <w:rFonts w:cs="Arial"/>
          <w:sz w:val="24"/>
          <w:lang w:val="en-US"/>
        </w:rPr>
        <w:t xml:space="preserve">DAFNE is a skill-based structured education programme for </w:t>
      </w:r>
      <w:r>
        <w:rPr>
          <w:rFonts w:cs="Arial"/>
          <w:sz w:val="24"/>
          <w:lang w:val="en-US"/>
        </w:rPr>
        <w:t>adults</w:t>
      </w:r>
      <w:r w:rsidRPr="00BE2E70">
        <w:rPr>
          <w:rFonts w:cs="Arial"/>
          <w:sz w:val="24"/>
          <w:lang w:val="en-US"/>
        </w:rPr>
        <w:t xml:space="preserve"> with </w:t>
      </w:r>
      <w:r>
        <w:rPr>
          <w:rFonts w:cs="Arial"/>
          <w:sz w:val="24"/>
          <w:lang w:val="en-US"/>
        </w:rPr>
        <w:t xml:space="preserve">T1D </w:t>
      </w:r>
      <w:r w:rsidRPr="00BE2E70">
        <w:rPr>
          <w:rFonts w:cs="Arial"/>
          <w:sz w:val="24"/>
          <w:lang w:val="en-US"/>
        </w:rPr>
        <w:t xml:space="preserve">delivered in the NHS. Two </w:t>
      </w:r>
      <w:r>
        <w:rPr>
          <w:rFonts w:cs="Arial"/>
          <w:sz w:val="24"/>
          <w:lang w:val="en-US"/>
        </w:rPr>
        <w:t xml:space="preserve">evidence-based </w:t>
      </w:r>
      <w:r w:rsidRPr="00BE2E70">
        <w:rPr>
          <w:rFonts w:cs="Arial"/>
          <w:sz w:val="24"/>
          <w:lang w:val="en-US"/>
        </w:rPr>
        <w:t xml:space="preserve">models of delivering standard DAFNE are in operation, whereby the five sessions </w:t>
      </w:r>
      <w:r w:rsidR="00142B1D">
        <w:rPr>
          <w:rFonts w:cs="Arial"/>
          <w:sz w:val="24"/>
          <w:lang w:val="en-US"/>
        </w:rPr>
        <w:t>of the course are delivered weekly or daily</w:t>
      </w:r>
      <w:r w:rsidRPr="00BE2E70">
        <w:rPr>
          <w:rFonts w:cs="Arial"/>
          <w:sz w:val="24"/>
          <w:lang w:val="en-US"/>
        </w:rPr>
        <w:t xml:space="preserve">, as described elsewhere </w:t>
      </w:r>
      <w:r>
        <w:rPr>
          <w:rFonts w:cs="Arial"/>
          <w:sz w:val="24"/>
          <w:lang w:val="en-US"/>
        </w:rPr>
        <w:fldChar w:fldCharType="begin" w:fldLock="1"/>
      </w:r>
      <w:r w:rsidR="00667A25">
        <w:rPr>
          <w:rFonts w:cs="Arial"/>
          <w:sz w:val="24"/>
          <w:lang w:val="en-US"/>
        </w:rPr>
        <w:instrText>ADDIN CSL_CITATION {"citationItems":[{"id":"ITEM-1","itemData":{"DOI":"10.1186/1472-6823-12-28","ISSN":"1472-6823","abstract":"Structured education programmes are now established as an essential component to assist effective self-management of diabetes. In the case of Type 1 diabetes, the Dose Adjustment For Normal Eating (DAFNE) programme improves both glycaemic control and quality of life. Traditionally delivered over five consecutive days, this format has been cited as a barrier to participation by some patients, such as those who work full-time. Some centres in the UK have organised structured education programmes to be delivered one day a week over several consecutive weeks. This type of format may add benefit by allowing more time in which to practice skills between sessions, but may suffer as a result of weaker peer support being generated compared to that formed over five consecutive days. We aim to compare DAFNE delivered over five consecutive days (1 week course) with DAFNE delivered one day a week over five weeks (5 week course) in a randomised controlled trial. A total of 213 patients were randomised to attend either a 1 week or a 5 week course delivered in seven participating centres. Study outcomes (measured at baseline, 6 and 12 months post-course) include HbA1c, weight, self-reported rates of severe hypoglycaemia, psychosocial measures of quality of life, and cost-effectiveness. Generalisability was optimised by recruiting patients from DAFNE waiting lists at each centre, and by mailing eligible patients from hospital clinic lists. The inclusion and exclusion criteria were identical to those used to recruit to a standard DAFNE course (e.g., HbA1c &lt;12%, with no lower limit). Qualitative interviews were undertaken with a sub-sample of n=30 patients and their course educators (n=11) to help understand and interpret differences and similarities in outcomes between thetwo arms, and to identify logistical problems and unanticipated issues arising from the adaptation and delivery ofa 5 week course. This trial has been designed to test the hypothesis that the benefits of delivering a structured education programme over 5 weeks are comparable to those observed after a 1 week course. The results of the trial and the qualitative sub-study will both inform the design and delivery of future DAFNE courses, and the development of structured education programmes in other fields of medicine. Clinicaltrials.gov NCT01069393","author":[{"dropping-particle":"","family":"Elliott","given":"Jackie","non-dropping-particle":"","parse-names":false,"suffix":""},{"dropping-particle":"","family":"Lawton","given":"Julia","non-dropping-particle":"","parse-names":false,"suffix":""},{"dropping-particle":"","family":"Rankin","given":"David","non-dropping-particle":"","parse-names":false,"suffix":""},{"dropping-particle":"","family":"Emery","given":"Celia","non-dropping-particle":"","parse-names":false,"suffix":""},{"dropping-particle":"","family":"Campbell","given":"Mike","non-dropping-particle":"","parse-names":false,"suffix":""},{"dropping-particle":"","family":"Dixon","given":"Simon","non-dropping-particle":"","parse-names":false,"suffix":""},{"dropping-particle":"","family":"Heller","given":"Simon","non-dropping-particle":"","parse-names":false,"suffix":""}],"container-title":"BMC Endocrine Disorders","id":"ITEM-1","issue":"1","issued":{"date-parts":[["2012","12","8"]]},"page":"28","publisher":"BioMed Central","title":"The 5x1 DAFNE study protocol: a cluster randomised trial comparing a standard 5 day DAFNE course delivered over 1 week against DAFNE training delivered over 1 day a week for 5 consecutive weeks","type":"article-journal","volume":"12"},"uris":["http://www.mendeley.com/documents/?uuid=0ee34471-7737-317c-80a0-9f8f99e31b5a"]}],"mendeley":{"formattedCitation":"[17]","plainTextFormattedCitation":"[17]","previouslyFormattedCitation":"[17]"},"properties":{"noteIndex":0},"schema":"https://github.com/citation-style-language/schema/raw/master/csl-citation.json"}</w:instrText>
      </w:r>
      <w:r>
        <w:rPr>
          <w:rFonts w:cs="Arial"/>
          <w:sz w:val="24"/>
          <w:lang w:val="en-US"/>
        </w:rPr>
        <w:fldChar w:fldCharType="separate"/>
      </w:r>
      <w:r w:rsidR="00667A25" w:rsidRPr="00667A25">
        <w:rPr>
          <w:rFonts w:cs="Arial"/>
          <w:noProof/>
          <w:sz w:val="24"/>
          <w:lang w:val="en-US"/>
        </w:rPr>
        <w:t>[17]</w:t>
      </w:r>
      <w:r>
        <w:rPr>
          <w:rFonts w:cs="Arial"/>
          <w:sz w:val="24"/>
          <w:lang w:val="en-US"/>
        </w:rPr>
        <w:fldChar w:fldCharType="end"/>
      </w:r>
      <w:r w:rsidRPr="00BE2E70">
        <w:rPr>
          <w:rFonts w:cs="Arial"/>
          <w:sz w:val="24"/>
          <w:lang w:val="en-US"/>
        </w:rPr>
        <w:t xml:space="preserve">. Each course is delivered to </w:t>
      </w:r>
      <w:r w:rsidR="0042216C">
        <w:rPr>
          <w:rFonts w:cs="Arial"/>
          <w:sz w:val="24"/>
          <w:lang w:val="en-US"/>
        </w:rPr>
        <w:t>seven</w:t>
      </w:r>
      <w:r>
        <w:rPr>
          <w:rFonts w:cs="Arial"/>
          <w:sz w:val="24"/>
          <w:lang w:val="en-US"/>
        </w:rPr>
        <w:t xml:space="preserve"> participants on average (minimum of </w:t>
      </w:r>
      <w:r w:rsidR="0042216C">
        <w:rPr>
          <w:rFonts w:cs="Arial"/>
          <w:sz w:val="24"/>
          <w:lang w:val="en-US"/>
        </w:rPr>
        <w:t>four</w:t>
      </w:r>
      <w:r>
        <w:rPr>
          <w:rFonts w:cs="Arial"/>
          <w:sz w:val="24"/>
          <w:lang w:val="en-US"/>
        </w:rPr>
        <w:t xml:space="preserve"> and maximum of </w:t>
      </w:r>
      <w:r w:rsidR="0042216C">
        <w:rPr>
          <w:rFonts w:cs="Arial"/>
          <w:sz w:val="24"/>
          <w:lang w:val="en-US"/>
        </w:rPr>
        <w:t>eight</w:t>
      </w:r>
      <w:r>
        <w:rPr>
          <w:rFonts w:cs="Arial"/>
          <w:sz w:val="24"/>
          <w:lang w:val="en-US"/>
        </w:rPr>
        <w:t>)</w:t>
      </w:r>
      <w:r w:rsidRPr="00BE2E70">
        <w:rPr>
          <w:rFonts w:cs="Arial"/>
          <w:sz w:val="24"/>
          <w:lang w:val="en-US"/>
        </w:rPr>
        <w:t xml:space="preserve">. </w:t>
      </w:r>
      <w:r w:rsidR="005C3835">
        <w:rPr>
          <w:rFonts w:cs="Arial"/>
          <w:sz w:val="24"/>
          <w:lang w:val="en-US"/>
        </w:rPr>
        <w:t xml:space="preserve">Standard </w:t>
      </w:r>
      <w:r w:rsidR="00394932" w:rsidRPr="00B31E51">
        <w:rPr>
          <w:rFonts w:cs="Arial"/>
          <w:color w:val="000000" w:themeColor="text1"/>
          <w:sz w:val="24"/>
        </w:rPr>
        <w:t>DAFNE will be delivered</w:t>
      </w:r>
      <w:r w:rsidR="005C3835">
        <w:rPr>
          <w:rFonts w:cs="Arial"/>
          <w:color w:val="000000" w:themeColor="text1"/>
          <w:sz w:val="24"/>
        </w:rPr>
        <w:t>, as usual care,</w:t>
      </w:r>
      <w:r w:rsidR="00394932" w:rsidRPr="00B31E51">
        <w:rPr>
          <w:rFonts w:cs="Arial"/>
          <w:color w:val="000000" w:themeColor="text1"/>
          <w:sz w:val="24"/>
        </w:rPr>
        <w:t xml:space="preserve"> by </w:t>
      </w:r>
      <w:r w:rsidR="00394932">
        <w:rPr>
          <w:rFonts w:cs="Arial"/>
          <w:color w:val="000000" w:themeColor="text1"/>
          <w:sz w:val="24"/>
        </w:rPr>
        <w:t>trained</w:t>
      </w:r>
      <w:r w:rsidR="00394932" w:rsidRPr="00B31E51">
        <w:rPr>
          <w:rFonts w:cs="Arial"/>
          <w:color w:val="000000" w:themeColor="text1"/>
          <w:sz w:val="24"/>
        </w:rPr>
        <w:t xml:space="preserve"> DAFNE educators in the NHS</w:t>
      </w:r>
      <w:r w:rsidR="00394932">
        <w:rPr>
          <w:rFonts w:cs="Arial"/>
          <w:color w:val="000000" w:themeColor="text1"/>
          <w:sz w:val="24"/>
        </w:rPr>
        <w:t>, in</w:t>
      </w:r>
      <w:r w:rsidR="00394932" w:rsidRPr="00B31E51">
        <w:rPr>
          <w:rFonts w:cs="Arial"/>
          <w:color w:val="000000" w:themeColor="text1"/>
          <w:sz w:val="24"/>
        </w:rPr>
        <w:t>cluding diabetes specialist nurses, dieti</w:t>
      </w:r>
      <w:r w:rsidR="00394932">
        <w:rPr>
          <w:rFonts w:cs="Arial"/>
          <w:color w:val="000000" w:themeColor="text1"/>
          <w:sz w:val="24"/>
        </w:rPr>
        <w:t>t</w:t>
      </w:r>
      <w:r w:rsidR="00394932" w:rsidRPr="00B31E51">
        <w:rPr>
          <w:rFonts w:cs="Arial"/>
          <w:color w:val="000000" w:themeColor="text1"/>
          <w:sz w:val="24"/>
        </w:rPr>
        <w:t>ians and physicians</w:t>
      </w:r>
      <w:r w:rsidR="00394932">
        <w:rPr>
          <w:rFonts w:cs="Arial"/>
          <w:color w:val="000000" w:themeColor="text1"/>
          <w:sz w:val="24"/>
        </w:rPr>
        <w:t>.</w:t>
      </w:r>
    </w:p>
    <w:p w14:paraId="7D95A219" w14:textId="77777777" w:rsidR="00B27823" w:rsidRDefault="00B27823" w:rsidP="00B27823">
      <w:pPr>
        <w:jc w:val="both"/>
        <w:rPr>
          <w:rFonts w:cs="Arial"/>
          <w:lang w:val="en-US"/>
        </w:rPr>
      </w:pPr>
    </w:p>
    <w:p w14:paraId="70789FA7" w14:textId="7F9FA223" w:rsidR="00B27823" w:rsidRDefault="00B27823" w:rsidP="00142B1D">
      <w:pPr>
        <w:jc w:val="both"/>
        <w:rPr>
          <w:rFonts w:cs="Arial"/>
          <w:lang w:val="en-US"/>
        </w:rPr>
      </w:pPr>
      <w:r w:rsidRPr="00BE2E70">
        <w:rPr>
          <w:rFonts w:cs="Arial"/>
          <w:sz w:val="24"/>
          <w:lang w:val="en-US"/>
        </w:rPr>
        <w:t xml:space="preserve">The aim of the course is to </w:t>
      </w:r>
      <w:r>
        <w:rPr>
          <w:rFonts w:cs="Arial"/>
          <w:sz w:val="24"/>
          <w:lang w:val="en-US"/>
        </w:rPr>
        <w:t>train</w:t>
      </w:r>
      <w:r w:rsidRPr="00BE2E70">
        <w:rPr>
          <w:rFonts w:cs="Arial"/>
          <w:sz w:val="24"/>
          <w:lang w:val="en-US"/>
        </w:rPr>
        <w:t xml:space="preserve"> </w:t>
      </w:r>
      <w:r w:rsidR="00142B1D">
        <w:rPr>
          <w:rFonts w:cs="Arial"/>
          <w:sz w:val="24"/>
          <w:lang w:val="en-US"/>
        </w:rPr>
        <w:t>adults</w:t>
      </w:r>
      <w:r w:rsidR="00142B1D" w:rsidRPr="00BE2E70">
        <w:rPr>
          <w:rFonts w:cs="Arial"/>
          <w:sz w:val="24"/>
          <w:lang w:val="en-US"/>
        </w:rPr>
        <w:t xml:space="preserve"> </w:t>
      </w:r>
      <w:r w:rsidRPr="00BE2E70">
        <w:rPr>
          <w:rFonts w:cs="Arial"/>
          <w:sz w:val="24"/>
          <w:lang w:val="en-US"/>
        </w:rPr>
        <w:t xml:space="preserve">with T1D </w:t>
      </w:r>
      <w:r>
        <w:rPr>
          <w:rFonts w:cs="Arial"/>
          <w:sz w:val="24"/>
          <w:lang w:val="en-US"/>
        </w:rPr>
        <w:t>in the skills</w:t>
      </w:r>
      <w:r w:rsidRPr="00BE2E70">
        <w:rPr>
          <w:rFonts w:cs="Arial"/>
          <w:sz w:val="24"/>
          <w:lang w:val="en-US"/>
        </w:rPr>
        <w:t xml:space="preserve"> to manage</w:t>
      </w:r>
      <w:r>
        <w:rPr>
          <w:rFonts w:cs="Arial"/>
          <w:sz w:val="24"/>
          <w:lang w:val="en-US"/>
        </w:rPr>
        <w:t xml:space="preserve"> </w:t>
      </w:r>
      <w:r w:rsidRPr="00BE2E70">
        <w:rPr>
          <w:rFonts w:cs="Arial"/>
          <w:sz w:val="24"/>
          <w:lang w:val="en-US"/>
        </w:rPr>
        <w:t xml:space="preserve">their condition </w:t>
      </w:r>
      <w:r>
        <w:rPr>
          <w:rFonts w:cs="Arial"/>
          <w:sz w:val="24"/>
          <w:lang w:val="en-US"/>
        </w:rPr>
        <w:t>effectively. I</w:t>
      </w:r>
      <w:r w:rsidRPr="00BE2E70">
        <w:rPr>
          <w:rFonts w:cs="Arial"/>
          <w:sz w:val="24"/>
          <w:lang w:val="en-US"/>
        </w:rPr>
        <w:t xml:space="preserve">t covers numerous topics in a progressive modular based structure. In addition to the five days of the course, </w:t>
      </w:r>
      <w:r>
        <w:rPr>
          <w:rFonts w:cs="Arial"/>
          <w:sz w:val="24"/>
          <w:lang w:val="en-US"/>
        </w:rPr>
        <w:t>participants are asked to attend a baseline appointment before the DAFNE course, and they are also</w:t>
      </w:r>
      <w:r w:rsidRPr="00BE2E70">
        <w:rPr>
          <w:rFonts w:cs="Arial"/>
          <w:sz w:val="24"/>
          <w:lang w:val="en-US"/>
        </w:rPr>
        <w:t xml:space="preserve"> typically invited to attend an optional group follow-up session 6-8 weeks after the course. </w:t>
      </w:r>
      <w:r>
        <w:rPr>
          <w:rFonts w:cs="Arial"/>
          <w:sz w:val="24"/>
          <w:lang w:val="en-US"/>
        </w:rPr>
        <w:t>They</w:t>
      </w:r>
      <w:r w:rsidRPr="00BE2E70">
        <w:rPr>
          <w:rFonts w:cs="Arial"/>
          <w:sz w:val="24"/>
          <w:lang w:val="en-US"/>
        </w:rPr>
        <w:t xml:space="preserve"> may also attend routine appointments every 6-12 months and seek ad-hoc support from local diabetes clinicians </w:t>
      </w:r>
      <w:r w:rsidR="00160A0E">
        <w:rPr>
          <w:rFonts w:cs="Arial"/>
          <w:sz w:val="24"/>
          <w:lang w:val="en-US"/>
        </w:rPr>
        <w:t>post-</w:t>
      </w:r>
      <w:r w:rsidRPr="00BE2E70">
        <w:rPr>
          <w:rFonts w:cs="Arial"/>
          <w:sz w:val="24"/>
          <w:lang w:val="en-US"/>
        </w:rPr>
        <w:t>course.</w:t>
      </w:r>
      <w:r>
        <w:rPr>
          <w:rFonts w:cs="Arial"/>
          <w:sz w:val="24"/>
          <w:lang w:val="en-US"/>
        </w:rPr>
        <w:t xml:space="preserve"> </w:t>
      </w:r>
    </w:p>
    <w:p w14:paraId="5E91AC32" w14:textId="77777777" w:rsidR="00B27823" w:rsidRDefault="00B27823" w:rsidP="00B27823">
      <w:pPr>
        <w:jc w:val="both"/>
        <w:rPr>
          <w:rFonts w:cs="Arial"/>
          <w:lang w:val="en-US"/>
        </w:rPr>
      </w:pPr>
    </w:p>
    <w:p w14:paraId="55A24D87" w14:textId="2A1C1925" w:rsidR="00B27823" w:rsidRDefault="00B27823" w:rsidP="00AD285E">
      <w:pPr>
        <w:jc w:val="both"/>
        <w:rPr>
          <w:rFonts w:cs="Arial"/>
          <w:b/>
          <w:color w:val="000000" w:themeColor="text1"/>
          <w:sz w:val="28"/>
        </w:rPr>
      </w:pPr>
      <w:r>
        <w:rPr>
          <w:rFonts w:cs="Arial"/>
          <w:sz w:val="24"/>
          <w:lang w:val="en-US"/>
        </w:rPr>
        <w:lastRenderedPageBreak/>
        <w:t xml:space="preserve">For the purposes of this study, the control arm will be the 5-week model of standard DAFNE </w:t>
      </w:r>
      <w:r w:rsidR="00142B1D">
        <w:rPr>
          <w:rFonts w:cs="Arial"/>
          <w:sz w:val="24"/>
          <w:lang w:val="en-US"/>
        </w:rPr>
        <w:t xml:space="preserve">to match the frequency of sessions offered </w:t>
      </w:r>
      <w:r>
        <w:rPr>
          <w:rFonts w:cs="Arial"/>
          <w:sz w:val="24"/>
          <w:lang w:val="en-US"/>
        </w:rPr>
        <w:t>in DAFNE</w:t>
      </w:r>
      <w:r w:rsidRPr="00F06F02">
        <w:rPr>
          <w:rFonts w:cs="Arial"/>
          <w:i/>
          <w:sz w:val="24"/>
          <w:lang w:val="en-US"/>
        </w:rPr>
        <w:t>plus</w:t>
      </w:r>
      <w:r>
        <w:rPr>
          <w:rFonts w:cs="Arial"/>
          <w:sz w:val="24"/>
          <w:lang w:val="en-US"/>
        </w:rPr>
        <w:t xml:space="preserve">. All participants in the control arm will be given access to a </w:t>
      </w:r>
      <w:r w:rsidR="009F08E6">
        <w:rPr>
          <w:rFonts w:cs="Arial"/>
          <w:sz w:val="24"/>
          <w:lang w:val="en-US"/>
        </w:rPr>
        <w:t xml:space="preserve">stand-alone </w:t>
      </w:r>
      <w:r>
        <w:rPr>
          <w:rFonts w:cs="Arial"/>
          <w:sz w:val="24"/>
          <w:lang w:val="en-US"/>
        </w:rPr>
        <w:t xml:space="preserve">bolus calculator to </w:t>
      </w:r>
      <w:r w:rsidR="009F08E6">
        <w:rPr>
          <w:rFonts w:cs="Arial"/>
          <w:sz w:val="24"/>
          <w:lang w:val="en-US"/>
        </w:rPr>
        <w:t>assist them</w:t>
      </w:r>
      <w:r>
        <w:rPr>
          <w:rFonts w:cs="Arial"/>
          <w:sz w:val="24"/>
          <w:lang w:val="en-US"/>
        </w:rPr>
        <w:t xml:space="preserve"> with calculating insulin dose</w:t>
      </w:r>
      <w:r w:rsidR="006D600B">
        <w:rPr>
          <w:rFonts w:cs="Arial"/>
          <w:sz w:val="24"/>
          <w:lang w:val="en-US"/>
        </w:rPr>
        <w:t>s</w:t>
      </w:r>
      <w:r>
        <w:rPr>
          <w:rFonts w:cs="Arial"/>
          <w:sz w:val="24"/>
          <w:lang w:val="en-US"/>
        </w:rPr>
        <w:t xml:space="preserve">. </w:t>
      </w:r>
      <w:r>
        <w:rPr>
          <w:color w:val="000000" w:themeColor="text1"/>
          <w:sz w:val="24"/>
        </w:rPr>
        <w:t xml:space="preserve">There will be no structured follow-up appointments beyond those provided in usual care. To qualify as adherent for statistical purposes, participants need to have attended the equivalent of </w:t>
      </w:r>
      <w:r w:rsidR="00AD285E">
        <w:rPr>
          <w:color w:val="000000" w:themeColor="text1"/>
          <w:sz w:val="24"/>
        </w:rPr>
        <w:t>four</w:t>
      </w:r>
      <w:r>
        <w:rPr>
          <w:color w:val="000000" w:themeColor="text1"/>
          <w:sz w:val="24"/>
        </w:rPr>
        <w:t xml:space="preserve"> days of the course including days one and two which are mandatory; it </w:t>
      </w:r>
      <w:r w:rsidR="00C524FF">
        <w:rPr>
          <w:color w:val="000000" w:themeColor="text1"/>
          <w:sz w:val="24"/>
        </w:rPr>
        <w:t>will be</w:t>
      </w:r>
      <w:r>
        <w:rPr>
          <w:color w:val="000000" w:themeColor="text1"/>
          <w:sz w:val="24"/>
        </w:rPr>
        <w:t xml:space="preserve"> acceptable to include half days in the total.</w:t>
      </w:r>
    </w:p>
    <w:p w14:paraId="3FC3BE8D" w14:textId="77777777" w:rsidR="00B27823" w:rsidRDefault="00B27823" w:rsidP="00944484">
      <w:pPr>
        <w:jc w:val="both"/>
        <w:rPr>
          <w:rFonts w:cs="Arial"/>
          <w:b/>
          <w:color w:val="000000" w:themeColor="text1"/>
          <w:sz w:val="28"/>
        </w:rPr>
      </w:pPr>
    </w:p>
    <w:p w14:paraId="19F59265" w14:textId="1BCDC322" w:rsidR="00C717B5" w:rsidRPr="00C717B5" w:rsidRDefault="00C717B5" w:rsidP="00944484">
      <w:pPr>
        <w:jc w:val="both"/>
        <w:rPr>
          <w:rFonts w:cs="Arial"/>
          <w:b/>
          <w:color w:val="000000" w:themeColor="text1"/>
          <w:sz w:val="28"/>
        </w:rPr>
      </w:pPr>
      <w:r>
        <w:rPr>
          <w:rFonts w:cs="Arial"/>
          <w:b/>
          <w:color w:val="000000" w:themeColor="text1"/>
          <w:sz w:val="28"/>
        </w:rPr>
        <w:t>DAFNE</w:t>
      </w:r>
      <w:r w:rsidRPr="00944484">
        <w:rPr>
          <w:rFonts w:cs="Arial"/>
          <w:b/>
          <w:i/>
          <w:iCs/>
          <w:color w:val="000000" w:themeColor="text1"/>
          <w:sz w:val="28"/>
        </w:rPr>
        <w:t>plus</w:t>
      </w:r>
      <w:r>
        <w:rPr>
          <w:rFonts w:cs="Arial"/>
          <w:b/>
          <w:color w:val="000000" w:themeColor="text1"/>
          <w:sz w:val="28"/>
        </w:rPr>
        <w:t xml:space="preserve"> (intervention arm)</w:t>
      </w:r>
    </w:p>
    <w:p w14:paraId="3AF1DC3D" w14:textId="30A4B224" w:rsidR="00C717B5" w:rsidRPr="00C717B5" w:rsidRDefault="00C717B5" w:rsidP="00944484">
      <w:pPr>
        <w:jc w:val="both"/>
        <w:rPr>
          <w:rFonts w:cs="Arial"/>
          <w:b/>
          <w:color w:val="000000" w:themeColor="text1"/>
          <w:sz w:val="28"/>
        </w:rPr>
      </w:pPr>
    </w:p>
    <w:p w14:paraId="56ACD83A" w14:textId="04A65A12" w:rsidR="00C717B5" w:rsidRPr="00B31E51" w:rsidRDefault="00C717B5" w:rsidP="00AE0CAF">
      <w:pPr>
        <w:jc w:val="both"/>
        <w:rPr>
          <w:rFonts w:cs="Arial"/>
          <w:color w:val="000000" w:themeColor="text1"/>
          <w:sz w:val="24"/>
        </w:rPr>
      </w:pPr>
      <w:r w:rsidRPr="00B31E51">
        <w:rPr>
          <w:rFonts w:cs="Arial"/>
          <w:color w:val="000000" w:themeColor="text1"/>
          <w:sz w:val="24"/>
        </w:rPr>
        <w:t>DAFNE</w:t>
      </w:r>
      <w:r w:rsidRPr="00B31E51">
        <w:rPr>
          <w:rFonts w:cs="Arial"/>
          <w:i/>
          <w:color w:val="000000" w:themeColor="text1"/>
          <w:sz w:val="24"/>
        </w:rPr>
        <w:t>plus</w:t>
      </w:r>
      <w:r w:rsidRPr="00B31E51">
        <w:rPr>
          <w:rFonts w:cs="Arial"/>
          <w:color w:val="000000" w:themeColor="text1"/>
          <w:sz w:val="24"/>
        </w:rPr>
        <w:t xml:space="preserve"> will be delivered by </w:t>
      </w:r>
      <w:r w:rsidR="00401778">
        <w:rPr>
          <w:rFonts w:cs="Arial"/>
          <w:color w:val="000000" w:themeColor="text1"/>
          <w:sz w:val="24"/>
        </w:rPr>
        <w:t>trained</w:t>
      </w:r>
      <w:r w:rsidRPr="00B31E51">
        <w:rPr>
          <w:rFonts w:cs="Arial"/>
          <w:color w:val="000000" w:themeColor="text1"/>
          <w:sz w:val="24"/>
        </w:rPr>
        <w:t xml:space="preserve"> DAFNE educators in the NHS</w:t>
      </w:r>
      <w:r w:rsidRPr="00B31E51">
        <w:rPr>
          <w:rStyle w:val="FootnoteReference"/>
          <w:rFonts w:cs="Arial"/>
          <w:i/>
          <w:color w:val="000000" w:themeColor="text1"/>
          <w:sz w:val="24"/>
        </w:rPr>
        <w:footnoteReference w:id="2"/>
      </w:r>
      <w:r w:rsidRPr="00B31E51">
        <w:rPr>
          <w:rFonts w:cs="Arial"/>
          <w:color w:val="000000" w:themeColor="text1"/>
          <w:sz w:val="24"/>
        </w:rPr>
        <w:t>. Th</w:t>
      </w:r>
      <w:r>
        <w:rPr>
          <w:rFonts w:cs="Arial"/>
          <w:color w:val="000000" w:themeColor="text1"/>
          <w:sz w:val="24"/>
        </w:rPr>
        <w:t>ese</w:t>
      </w:r>
      <w:r w:rsidRPr="00B31E51">
        <w:rPr>
          <w:rFonts w:cs="Arial"/>
          <w:color w:val="000000" w:themeColor="text1"/>
          <w:sz w:val="24"/>
        </w:rPr>
        <w:t xml:space="preserve"> will be </w:t>
      </w:r>
      <w:r w:rsidR="00160A0E">
        <w:rPr>
          <w:rFonts w:cs="Arial"/>
          <w:color w:val="000000" w:themeColor="text1"/>
          <w:sz w:val="24"/>
        </w:rPr>
        <w:t>HCP</w:t>
      </w:r>
      <w:r w:rsidRPr="00B31E51">
        <w:rPr>
          <w:rFonts w:cs="Arial"/>
          <w:color w:val="000000" w:themeColor="text1"/>
          <w:sz w:val="24"/>
        </w:rPr>
        <w:t>s including diabetes specialist nurses, dieti</w:t>
      </w:r>
      <w:r>
        <w:rPr>
          <w:rFonts w:cs="Arial"/>
          <w:color w:val="000000" w:themeColor="text1"/>
          <w:sz w:val="24"/>
        </w:rPr>
        <w:t>t</w:t>
      </w:r>
      <w:r w:rsidRPr="00B31E51">
        <w:rPr>
          <w:rFonts w:cs="Arial"/>
          <w:color w:val="000000" w:themeColor="text1"/>
          <w:sz w:val="24"/>
        </w:rPr>
        <w:t xml:space="preserve">ians and physicians, all of whom will be using DAFNE </w:t>
      </w:r>
      <w:r w:rsidR="000F6934">
        <w:rPr>
          <w:rFonts w:cs="Arial"/>
          <w:color w:val="000000" w:themeColor="text1"/>
          <w:sz w:val="24"/>
        </w:rPr>
        <w:t>principles</w:t>
      </w:r>
      <w:r w:rsidRPr="00B31E51">
        <w:rPr>
          <w:rFonts w:cs="Arial"/>
          <w:color w:val="000000" w:themeColor="text1"/>
          <w:sz w:val="24"/>
        </w:rPr>
        <w:t xml:space="preserve"> as an integral part of the management of T1D</w:t>
      </w:r>
      <w:r>
        <w:rPr>
          <w:rFonts w:cs="Arial"/>
          <w:color w:val="000000" w:themeColor="text1"/>
          <w:sz w:val="24"/>
        </w:rPr>
        <w:t xml:space="preserve"> in adults</w:t>
      </w:r>
      <w:r w:rsidRPr="00B31E51">
        <w:rPr>
          <w:rFonts w:cs="Arial"/>
          <w:color w:val="000000" w:themeColor="text1"/>
          <w:sz w:val="24"/>
        </w:rPr>
        <w:t>.</w:t>
      </w:r>
      <w:r w:rsidRPr="00B31E51">
        <w:rPr>
          <w:rFonts w:cs="Arial"/>
          <w:i/>
          <w:color w:val="000000" w:themeColor="text1"/>
          <w:sz w:val="24"/>
        </w:rPr>
        <w:t xml:space="preserve"> </w:t>
      </w:r>
      <w:r w:rsidRPr="00B31E51">
        <w:rPr>
          <w:rFonts w:cs="Arial"/>
          <w:color w:val="000000" w:themeColor="text1"/>
          <w:sz w:val="24"/>
        </w:rPr>
        <w:t>DAFNE</w:t>
      </w:r>
      <w:r w:rsidRPr="00B31E51">
        <w:rPr>
          <w:rFonts w:cs="Arial"/>
          <w:i/>
          <w:color w:val="000000" w:themeColor="text1"/>
          <w:sz w:val="24"/>
        </w:rPr>
        <w:t>plus</w:t>
      </w:r>
      <w:r w:rsidRPr="00B31E51">
        <w:rPr>
          <w:rFonts w:cs="Arial"/>
          <w:color w:val="000000" w:themeColor="text1"/>
          <w:sz w:val="24"/>
        </w:rPr>
        <w:t xml:space="preserve"> is a complex intervention, defined by the Medical Research Council</w:t>
      </w:r>
      <w:r w:rsidR="00667A25">
        <w:rPr>
          <w:rFonts w:cs="Arial"/>
          <w:color w:val="000000" w:themeColor="text1"/>
          <w:sz w:val="24"/>
        </w:rPr>
        <w:fldChar w:fldCharType="begin" w:fldLock="1"/>
      </w:r>
      <w:r w:rsidR="00667A25">
        <w:rPr>
          <w:rFonts w:cs="Arial"/>
          <w:color w:val="000000" w:themeColor="text1"/>
          <w:sz w:val="24"/>
        </w:rPr>
        <w:instrText>ADDIN CSL_CITATION {"citationItems":[{"id":"ITEM-1","itemData":{"DOI":"10.1136/BMJ.A1655","ISSN":"1756-1833","PMID":"18824488","abstract":"Evaluating complex interventions is complicated. The Medical Research Council's evaluation framework (2000) brought welcome clarity to the task. Now the council has updated its guidance\n\nComplex interventions are widely used in the health service, in public health practice, and in areas of social policy that have important health consequences, such as education, transport, and housing. They present various problems for evaluators, in addition to the practical and methodological difficulties that any successful evaluation must overcome. In 2000, the Medical Research Council (MRC) published a framework1 to help researchers and research funders to recognise and adopt appropriate methods. The framework has been highly influential, and the accompanying BMJ paper is widely cited.2 However, much valuable experience has since accumulated of both conventional and more innovative methods. This has now been incorporated in comprehensively revised and updated guidance recently released by the MRC (www.mrc.ac.uk/complexinterventionsguidance). In this article we summarise the issues that prompted the revision and the key messages of the new guidance.\n\n#### Summary points\n\nAs experience of evaluating complex interventions has accumulated since the 2000 framework was published, interest in the methodology has also grown. Several recent papers have identified limitations in the framework, recommending, for example, greater attention to early phase piloting and development …","author":[{"dropping-particle":"","family":"Craig","given":"Peter","non-dropping-particle":"","parse-names":false,"suffix":""},{"dropping-particle":"","family":"Dieppe","given":"Paul","non-dropping-particle":"","parse-names":false,"suffix":""},{"dropping-particle":"","family":"Macintyre","given":"Sally","non-dropping-particle":"","parse-names":false,"suffix":""},{"dropping-particle":"","family":"Michie","given":"Susan","non-dropping-particle":"","parse-names":false,"suffix":""},{"dropping-particle":"","family":"Nazareth","given":"Irwin","non-dropping-particle":"","parse-names":false,"suffix":""},{"dropping-particle":"","family":"Petticrew","given":"Mark","non-dropping-particle":"","parse-names":false,"suffix":""},{"dropping-particle":"","family":"Medical Research Council Guidance","given":"","non-dropping-particle":"","parse-names":false,"suffix":""}],"container-title":"BMJ (Clinical research ed.)","id":"ITEM-1","issued":{"date-parts":[["2008","9","29"]]},"page":"a1655","publisher":"British Medical Journal Publishing Group","title":"Developing and evaluating complex interventions: the new Medical Research Council guidance.","type":"article-journal","volume":"337"},"uris":["http://www.mendeley.com/documents/?uuid=f356e858-dfa4-303c-9f67-4bf3b7e23754"]}],"mendeley":{"formattedCitation":"[18]","plainTextFormattedCitation":"[18]","previouslyFormattedCitation":"[18]"},"properties":{"noteIndex":0},"schema":"https://github.com/citation-style-language/schema/raw/master/csl-citation.json"}</w:instrText>
      </w:r>
      <w:r w:rsidR="00667A25">
        <w:rPr>
          <w:rFonts w:cs="Arial"/>
          <w:color w:val="000000" w:themeColor="text1"/>
          <w:sz w:val="24"/>
        </w:rPr>
        <w:fldChar w:fldCharType="separate"/>
      </w:r>
      <w:r w:rsidR="00667A25" w:rsidRPr="00667A25">
        <w:rPr>
          <w:rFonts w:cs="Arial"/>
          <w:noProof/>
          <w:color w:val="000000" w:themeColor="text1"/>
          <w:sz w:val="24"/>
        </w:rPr>
        <w:t>[18]</w:t>
      </w:r>
      <w:r w:rsidR="00667A25">
        <w:rPr>
          <w:rFonts w:cs="Arial"/>
          <w:color w:val="000000" w:themeColor="text1"/>
          <w:sz w:val="24"/>
        </w:rPr>
        <w:fldChar w:fldCharType="end"/>
      </w:r>
      <w:r w:rsidRPr="00B31E51">
        <w:rPr>
          <w:rFonts w:cs="Arial"/>
          <w:color w:val="000000" w:themeColor="text1"/>
          <w:sz w:val="24"/>
        </w:rPr>
        <w:t xml:space="preserve"> as having ‘several interacting components’, described in summary below.</w:t>
      </w:r>
    </w:p>
    <w:p w14:paraId="3FF00562" w14:textId="77777777" w:rsidR="00C717B5" w:rsidRPr="00B31E51" w:rsidRDefault="00C717B5" w:rsidP="00C717B5">
      <w:pPr>
        <w:jc w:val="both"/>
        <w:rPr>
          <w:rFonts w:cs="Arial"/>
          <w:color w:val="000000" w:themeColor="text1"/>
          <w:sz w:val="24"/>
        </w:rPr>
      </w:pPr>
    </w:p>
    <w:p w14:paraId="760B520C" w14:textId="69C744E9" w:rsidR="00C717B5" w:rsidRPr="00B31E51" w:rsidRDefault="00C717B5" w:rsidP="00AE0CAF">
      <w:pPr>
        <w:jc w:val="both"/>
        <w:rPr>
          <w:rFonts w:cs="Arial"/>
          <w:color w:val="000000" w:themeColor="text1"/>
          <w:sz w:val="24"/>
        </w:rPr>
      </w:pPr>
      <w:r w:rsidRPr="00B31E51">
        <w:rPr>
          <w:color w:val="000000" w:themeColor="text1"/>
          <w:sz w:val="24"/>
        </w:rPr>
        <w:t>The development of the content and structure of the DAFNE</w:t>
      </w:r>
      <w:r w:rsidRPr="00B31E51">
        <w:rPr>
          <w:i/>
          <w:color w:val="000000" w:themeColor="text1"/>
          <w:sz w:val="24"/>
        </w:rPr>
        <w:t>plus</w:t>
      </w:r>
      <w:r w:rsidRPr="00B31E51">
        <w:rPr>
          <w:color w:val="000000" w:themeColor="text1"/>
          <w:sz w:val="24"/>
        </w:rPr>
        <w:t xml:space="preserve"> programme was informed by the </w:t>
      </w:r>
      <w:r w:rsidRPr="00B31E51">
        <w:rPr>
          <w:rFonts w:cs="Arial"/>
          <w:color w:val="000000" w:themeColor="text1"/>
          <w:sz w:val="24"/>
        </w:rPr>
        <w:t>Behaviour Change Wheel (BCW) framework</w:t>
      </w:r>
      <w:r w:rsidR="00667A25">
        <w:rPr>
          <w:rFonts w:cs="Arial"/>
          <w:color w:val="000000" w:themeColor="text1"/>
          <w:sz w:val="24"/>
        </w:rPr>
        <w:fldChar w:fldCharType="begin" w:fldLock="1"/>
      </w:r>
      <w:r w:rsidR="00667A25">
        <w:rPr>
          <w:rFonts w:cs="Arial"/>
          <w:color w:val="000000" w:themeColor="text1"/>
          <w:sz w:val="24"/>
        </w:rPr>
        <w:instrText>ADDIN CSL_CITATION {"citationItems":[{"id":"ITEM-1","itemData":{"DOI":"10.1186/1748-5908-6-42","ISSN":"1748-5908","author":[{"dropping-particle":"","family":"Michie","given":"Susan","non-dropping-particle":"","parse-names":false,"suffix":""},{"dropping-particle":"","family":"Stralen","given":"Maartje M","non-dropping-particle":"van","parse-names":false,"suffix":""},{"dropping-particle":"","family":"West","given":"Robert","non-dropping-particle":"","parse-names":false,"suffix":""}],"container-title":"Implementation Science","id":"ITEM-1","issue":"1","issued":{"date-parts":[["2011","12","23"]]},"page":"42","title":"The behaviour change wheel: A new method for characterising and designing behaviour change interventions","type":"article-journal","volume":"6"},"uris":["http://www.mendeley.com/documents/?uuid=a4137ef4-d2e0-3da5-a432-5be11ba9f41e"]}],"mendeley":{"formattedCitation":"[19]","plainTextFormattedCitation":"[19]","previouslyFormattedCitation":"[19]"},"properties":{"noteIndex":0},"schema":"https://github.com/citation-style-language/schema/raw/master/csl-citation.json"}</w:instrText>
      </w:r>
      <w:r w:rsidR="00667A25">
        <w:rPr>
          <w:rFonts w:cs="Arial"/>
          <w:color w:val="000000" w:themeColor="text1"/>
          <w:sz w:val="24"/>
        </w:rPr>
        <w:fldChar w:fldCharType="separate"/>
      </w:r>
      <w:r w:rsidR="00667A25" w:rsidRPr="00667A25">
        <w:rPr>
          <w:rFonts w:cs="Arial"/>
          <w:noProof/>
          <w:color w:val="000000" w:themeColor="text1"/>
          <w:sz w:val="24"/>
        </w:rPr>
        <w:t>[19]</w:t>
      </w:r>
      <w:r w:rsidR="00667A25">
        <w:rPr>
          <w:rFonts w:cs="Arial"/>
          <w:color w:val="000000" w:themeColor="text1"/>
          <w:sz w:val="24"/>
        </w:rPr>
        <w:fldChar w:fldCharType="end"/>
      </w:r>
      <w:r w:rsidRPr="00B31E51">
        <w:rPr>
          <w:rFonts w:cs="Arial"/>
          <w:color w:val="000000" w:themeColor="text1"/>
          <w:sz w:val="24"/>
        </w:rPr>
        <w:t xml:space="preserve">. The intervention’s proposed functions are served by behaviour change techniques (BCTs), specified in </w:t>
      </w:r>
      <w:r w:rsidRPr="00B31E51">
        <w:rPr>
          <w:color w:val="000000" w:themeColor="text1"/>
          <w:sz w:val="24"/>
        </w:rPr>
        <w:t>the hierarchical Behaviour Change Technique Taxonomy v1 (BCTTv1)</w:t>
      </w:r>
      <w:r w:rsidR="00667A25">
        <w:rPr>
          <w:color w:val="000000" w:themeColor="text1"/>
          <w:sz w:val="24"/>
        </w:rPr>
        <w:fldChar w:fldCharType="begin" w:fldLock="1"/>
      </w:r>
      <w:r w:rsidR="00667A25">
        <w:rPr>
          <w:color w:val="000000" w:themeColor="text1"/>
          <w:sz w:val="24"/>
        </w:rPr>
        <w:instrText>ADDIN CSL_CITATION {"citationItems":[{"id":"ITEM-1","itemData":{"DOI":"10.1007/s12160-013-9486-6","ISSN":"0883-6612","PMID":"23512568","abstract":"BACKGROUND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Medicine","id":"ITEM-1","issue":"1","issued":{"date-parts":[["2013","8","20"]]},"page":"81-95","title":"The Behavior Change Technique Taxonomy (v1) of 93 Hierarchically Clustered Techniques: Building an International Consensus for the Reporting of Behavior Change Interventions","type":"article-journal","volume":"46"},"uris":["http://www.mendeley.com/documents/?uuid=de018c08-64f4-387c-bccb-3d2a9ff67845"]}],"mendeley":{"formattedCitation":"[20]","plainTextFormattedCitation":"[20]","previouslyFormattedCitation":"[20]"},"properties":{"noteIndex":0},"schema":"https://github.com/citation-style-language/schema/raw/master/csl-citation.json"}</w:instrText>
      </w:r>
      <w:r w:rsidR="00667A25">
        <w:rPr>
          <w:color w:val="000000" w:themeColor="text1"/>
          <w:sz w:val="24"/>
        </w:rPr>
        <w:fldChar w:fldCharType="separate"/>
      </w:r>
      <w:r w:rsidR="00667A25" w:rsidRPr="00667A25">
        <w:rPr>
          <w:noProof/>
          <w:color w:val="000000" w:themeColor="text1"/>
          <w:sz w:val="24"/>
        </w:rPr>
        <w:t>[20]</w:t>
      </w:r>
      <w:r w:rsidR="00667A25">
        <w:rPr>
          <w:color w:val="000000" w:themeColor="text1"/>
          <w:sz w:val="24"/>
        </w:rPr>
        <w:fldChar w:fldCharType="end"/>
      </w:r>
      <w:r w:rsidRPr="00B31E51">
        <w:rPr>
          <w:color w:val="000000" w:themeColor="text1"/>
          <w:sz w:val="24"/>
        </w:rPr>
        <w:t xml:space="preserve">, </w:t>
      </w:r>
      <w:r w:rsidR="00AF1FB5">
        <w:rPr>
          <w:rFonts w:cs="Arial"/>
          <w:color w:val="000000" w:themeColor="text1"/>
          <w:sz w:val="24"/>
        </w:rPr>
        <w:t>deemed</w:t>
      </w:r>
      <w:r w:rsidRPr="00B31E51">
        <w:rPr>
          <w:rFonts w:cs="Arial"/>
          <w:color w:val="000000" w:themeColor="text1"/>
          <w:sz w:val="24"/>
        </w:rPr>
        <w:t xml:space="preserve"> its ‘active ingredients’</w:t>
      </w:r>
      <w:r w:rsidR="00667A25">
        <w:rPr>
          <w:rFonts w:cs="Arial"/>
          <w:color w:val="000000" w:themeColor="text1"/>
          <w:sz w:val="24"/>
        </w:rPr>
        <w:fldChar w:fldCharType="begin" w:fldLock="1"/>
      </w:r>
      <w:r w:rsidR="00667A25">
        <w:rPr>
          <w:rFonts w:cs="Arial"/>
          <w:color w:val="000000" w:themeColor="text1"/>
          <w:sz w:val="24"/>
        </w:rPr>
        <w:instrText>ADDIN CSL_CITATION {"citationItems":[{"id":"ITEM-1","itemData":{"author":[{"dropping-particle":"","family":"Michie, S, Atkins, L, West","given":"R","non-dropping-particle":"","parse-names":false,"suffix":""}],"id":"ITEM-1","issued":{"date-parts":[["2014"]]},"publisher":"Silverback Publishing","publisher-place":"London","title":"The behaviour change wheel: a guide to designing interventions","type":"book"},"uris":["http://www.mendeley.com/documents/?uuid=198b2a72-4f77-4768-a2ec-217d52c93882"]}],"mendeley":{"formattedCitation":"[21]","plainTextFormattedCitation":"[21]","previouslyFormattedCitation":"[21]"},"properties":{"noteIndex":0},"schema":"https://github.com/citation-style-language/schema/raw/master/csl-citation.json"}</w:instrText>
      </w:r>
      <w:r w:rsidR="00667A25">
        <w:rPr>
          <w:rFonts w:cs="Arial"/>
          <w:color w:val="000000" w:themeColor="text1"/>
          <w:sz w:val="24"/>
        </w:rPr>
        <w:fldChar w:fldCharType="separate"/>
      </w:r>
      <w:r w:rsidR="00667A25" w:rsidRPr="00667A25">
        <w:rPr>
          <w:rFonts w:cs="Arial"/>
          <w:noProof/>
          <w:color w:val="000000" w:themeColor="text1"/>
          <w:sz w:val="24"/>
        </w:rPr>
        <w:t>[21]</w:t>
      </w:r>
      <w:r w:rsidR="00667A25">
        <w:rPr>
          <w:rFonts w:cs="Arial"/>
          <w:color w:val="000000" w:themeColor="text1"/>
          <w:sz w:val="24"/>
        </w:rPr>
        <w:fldChar w:fldCharType="end"/>
      </w:r>
      <w:r w:rsidRPr="00B31E51">
        <w:rPr>
          <w:rFonts w:cs="Arial"/>
          <w:color w:val="000000" w:themeColor="text1"/>
          <w:sz w:val="24"/>
        </w:rPr>
        <w:t xml:space="preserve">. The </w:t>
      </w:r>
      <w:r>
        <w:rPr>
          <w:rFonts w:cs="Arial"/>
          <w:color w:val="000000" w:themeColor="text1"/>
          <w:sz w:val="24"/>
        </w:rPr>
        <w:t>development of the DAFNE</w:t>
      </w:r>
      <w:r w:rsidRPr="00F06F02">
        <w:rPr>
          <w:rFonts w:cs="Arial"/>
          <w:i/>
          <w:color w:val="000000" w:themeColor="text1"/>
          <w:sz w:val="24"/>
        </w:rPr>
        <w:t>plus</w:t>
      </w:r>
      <w:r>
        <w:rPr>
          <w:rFonts w:cs="Arial"/>
          <w:color w:val="000000" w:themeColor="text1"/>
          <w:sz w:val="24"/>
        </w:rPr>
        <w:t xml:space="preserve"> programme</w:t>
      </w:r>
      <w:r w:rsidR="000B6E7A">
        <w:rPr>
          <w:rFonts w:cs="Arial"/>
          <w:color w:val="000000" w:themeColor="text1"/>
          <w:sz w:val="24"/>
        </w:rPr>
        <w:t xml:space="preserve"> (described in [22])</w:t>
      </w:r>
      <w:r>
        <w:rPr>
          <w:rFonts w:cs="Arial"/>
          <w:color w:val="000000" w:themeColor="text1"/>
          <w:sz w:val="24"/>
        </w:rPr>
        <w:t xml:space="preserve"> was informed by </w:t>
      </w:r>
      <w:r w:rsidR="00B27823">
        <w:rPr>
          <w:rFonts w:cs="Arial"/>
          <w:color w:val="000000" w:themeColor="text1"/>
          <w:sz w:val="24"/>
        </w:rPr>
        <w:t xml:space="preserve">expert consensus, </w:t>
      </w:r>
      <w:r w:rsidR="00A57C84">
        <w:rPr>
          <w:rFonts w:cs="Arial"/>
          <w:color w:val="000000" w:themeColor="text1"/>
          <w:sz w:val="24"/>
        </w:rPr>
        <w:t xml:space="preserve">integrating data on </w:t>
      </w:r>
      <w:r w:rsidR="000B6E7A">
        <w:rPr>
          <w:rFonts w:cs="Arial"/>
          <w:color w:val="000000" w:themeColor="text1"/>
          <w:sz w:val="24"/>
        </w:rPr>
        <w:t xml:space="preserve">participant- and clinician-generated </w:t>
      </w:r>
      <w:r w:rsidR="00AF1FB5">
        <w:rPr>
          <w:rFonts w:cs="Arial"/>
          <w:color w:val="000000" w:themeColor="text1"/>
          <w:sz w:val="24"/>
        </w:rPr>
        <w:t>barriers</w:t>
      </w:r>
      <w:r w:rsidR="000B6E7A">
        <w:rPr>
          <w:rFonts w:cs="Arial"/>
          <w:color w:val="000000" w:themeColor="text1"/>
          <w:sz w:val="24"/>
        </w:rPr>
        <w:t xml:space="preserve"> and </w:t>
      </w:r>
      <w:r w:rsidR="00AF1FB5">
        <w:rPr>
          <w:rFonts w:cs="Arial"/>
          <w:color w:val="000000" w:themeColor="text1"/>
          <w:sz w:val="24"/>
        </w:rPr>
        <w:t>facilitators to sustain</w:t>
      </w:r>
      <w:r w:rsidR="000B6E7A">
        <w:rPr>
          <w:rFonts w:cs="Arial"/>
          <w:color w:val="000000" w:themeColor="text1"/>
          <w:sz w:val="24"/>
        </w:rPr>
        <w:t>ing</w:t>
      </w:r>
      <w:r w:rsidR="00AF1FB5">
        <w:rPr>
          <w:rFonts w:cs="Arial"/>
          <w:color w:val="000000" w:themeColor="text1"/>
          <w:sz w:val="24"/>
        </w:rPr>
        <w:t xml:space="preserve"> DAFNE </w:t>
      </w:r>
      <w:r w:rsidR="00A57C84">
        <w:rPr>
          <w:rFonts w:cs="Arial"/>
          <w:color w:val="000000" w:themeColor="text1"/>
          <w:sz w:val="24"/>
        </w:rPr>
        <w:t xml:space="preserve"> with</w:t>
      </w:r>
      <w:r w:rsidR="00B27823">
        <w:rPr>
          <w:rFonts w:cs="Arial"/>
          <w:color w:val="000000" w:themeColor="text1"/>
          <w:sz w:val="24"/>
        </w:rPr>
        <w:t xml:space="preserve"> </w:t>
      </w:r>
      <w:r w:rsidR="00142B1D">
        <w:rPr>
          <w:rFonts w:cs="Arial"/>
          <w:color w:val="000000" w:themeColor="text1"/>
          <w:sz w:val="24"/>
        </w:rPr>
        <w:t xml:space="preserve">the findings from a </w:t>
      </w:r>
      <w:r w:rsidRPr="00B31E51">
        <w:rPr>
          <w:rFonts w:cs="Arial"/>
          <w:color w:val="000000" w:themeColor="text1"/>
          <w:sz w:val="24"/>
        </w:rPr>
        <w:t xml:space="preserve">synthesis of qualitative evidence </w:t>
      </w:r>
      <w:r>
        <w:rPr>
          <w:rFonts w:cs="Arial"/>
          <w:color w:val="000000" w:themeColor="text1"/>
          <w:sz w:val="24"/>
        </w:rPr>
        <w:t xml:space="preserve">about </w:t>
      </w:r>
      <w:r w:rsidR="00B27823">
        <w:rPr>
          <w:rFonts w:cs="Arial"/>
          <w:color w:val="000000" w:themeColor="text1"/>
          <w:sz w:val="24"/>
        </w:rPr>
        <w:t>post-DAFNE</w:t>
      </w:r>
      <w:r>
        <w:rPr>
          <w:rFonts w:cs="Arial"/>
          <w:color w:val="000000" w:themeColor="text1"/>
          <w:sz w:val="24"/>
        </w:rPr>
        <w:t xml:space="preserve"> challenges</w:t>
      </w:r>
      <w:r w:rsidR="00667A25">
        <w:rPr>
          <w:rFonts w:cs="Arial"/>
          <w:color w:val="000000" w:themeColor="text1"/>
          <w:sz w:val="24"/>
        </w:rPr>
        <w:fldChar w:fldCharType="begin" w:fldLock="1"/>
      </w:r>
      <w:r w:rsidR="005D7FBE">
        <w:rPr>
          <w:rFonts w:cs="Arial"/>
          <w:color w:val="000000" w:themeColor="text1"/>
          <w:sz w:val="24"/>
        </w:rPr>
        <w:instrText>ADDIN CSL_CITATION {"citationItems":[{"id":"ITEM-1","itemData":{"DOI":"10.1186/s12913-018-3655-z","ISSN":"14726963","abstract":"Background: People with type 1 diabetes who attend structured education training in self-management using flexible intensive therapy achieve improved blood glucose control and experience fewer episodes of severe hypoglycaemia. However, many struggle to sustain these improvements over time. To inform the design of more effective follow-up support we undertook a review of qualitative studies which have identified factors that influence and inform participants' self-management behaviours after attending structured education and their need for support to sustain improvements in glycaemic control. Methods: We undertook a meta-ethnography of relevant qualitative studies, identified using systematic search methods. Studies were included which focused on participants' experiences of self-managing type 1 diabetes after attending structured education which incorporated training in flexible intensive insulin therapy. A line of argument approach was used to synthesise the findings. Results: The search identified 18 papers from six studies. The studies included were judged to be of high methodological quality. The line of argument synthesis developed the Follow-Up Support for Effective type 1 Diabetes self-management (FUSED) model. This model outlines the challenges participants encounter in maintaining diabetes self-management practices after attending structured education, and describes how participants try to address these barriers by adapting, simplifying or personalising the self-management approaches they have learned. To help participants maintain the skills taught during courses, the FUSED model presents ten recommendations abstracted from the included papers to provide a logic model for a programme of individualised and responsive follow-up support. Conclusions: This meta-ethnography highlights how providing skills training using structured education to people with type 1 diabetes does not necessarily result in participants adopting and sustaining recommended changes in behaviour. To help people sustain diabetes self-management skills after attending structured education, it is recommended that support be provided over the longer-term by appropriately trained healthcare professionals which is responsive to individuals' needs. Although developed to inform support for people with type 1 diabetes, the FUSED model provides a framework that could also be applied to support individuals with other long term conditions which require complex self-management skills t…","author":[{"dropping-particle":"","family":"Campbell","given":"Fiona","non-dropping-particle":"","parse-names":false,"suffix":""},{"dropping-particle":"","family":"Lawton","given":"Julia","non-dropping-particle":"","parse-names":false,"suffix":""},{"dropping-particle":"","family":"Rankin","given":"David","non-dropping-particle":"","parse-names":false,"suffix":""},{"dropping-particle":"","family":"Clowes","given":"Mark","non-dropping-particle":"","parse-names":false,"suffix":""},{"dropping-particle":"","family":"Coates","given":"Elizabeth","non-dropping-particle":"","parse-names":false,"suffix":""},{"dropping-particle":"","family":"Heller","given":"Simon","non-dropping-particle":"","parse-names":false,"suffix":""},{"dropping-particle":"","family":"Zoysa","given":"Nicole","non-dropping-particle":"De","parse-names":false,"suffix":""},{"dropping-particle":"","family":"Elliott","given":"Jackie","non-dropping-particle":"","parse-names":false,"suffix":""},{"dropping-particle":"","family":"Breckenridge","given":"Jenna P.","non-dropping-particle":"","parse-names":false,"suffix":""}],"container-title":"BMC Health Services Research","id":"ITEM-1","issue":"1","issued":{"date-parts":[["2018","11","27"]]},"page":"898","publisher":"BioMed Central Ltd.","title":"Follow-Up Support for Effective type 1 Diabetes self-management (The FUSED Model): A systematic review and meta-ethnography of the barriers, facilitators and recommendations for sustaining self-management skills after attending a structured education programme","type":"article-journal","volume":"18"},"uris":["http://www.mendeley.com/documents/?uuid=5fa5d87c-742f-37ef-99c6-70fd476ed48b"]}],"mendeley":{"formattedCitation":"[22]","plainTextFormattedCitation":"[22]","previouslyFormattedCitation":"[23]"},"properties":{"noteIndex":0},"schema":"https://github.com/citation-style-language/schema/raw/master/csl-citation.json"}</w:instrText>
      </w:r>
      <w:r w:rsidR="00667A25">
        <w:rPr>
          <w:rFonts w:cs="Arial"/>
          <w:color w:val="000000" w:themeColor="text1"/>
          <w:sz w:val="24"/>
        </w:rPr>
        <w:fldChar w:fldCharType="separate"/>
      </w:r>
      <w:r w:rsidR="005D7FBE" w:rsidRPr="005D7FBE">
        <w:rPr>
          <w:rFonts w:cs="Arial"/>
          <w:noProof/>
          <w:color w:val="000000" w:themeColor="text1"/>
          <w:sz w:val="24"/>
        </w:rPr>
        <w:t>[22]</w:t>
      </w:r>
      <w:r w:rsidR="00667A25">
        <w:rPr>
          <w:rFonts w:cs="Arial"/>
          <w:color w:val="000000" w:themeColor="text1"/>
          <w:sz w:val="24"/>
        </w:rPr>
        <w:fldChar w:fldCharType="end"/>
      </w:r>
      <w:r w:rsidRPr="00B31E51">
        <w:rPr>
          <w:rFonts w:cs="Arial"/>
          <w:color w:val="000000" w:themeColor="text1"/>
          <w:sz w:val="24"/>
        </w:rPr>
        <w:t>.</w:t>
      </w:r>
      <w:r w:rsidR="00160A0E">
        <w:rPr>
          <w:rFonts w:cs="Arial"/>
          <w:color w:val="000000" w:themeColor="text1"/>
          <w:sz w:val="24"/>
        </w:rPr>
        <w:t xml:space="preserve"> Prior to this</w:t>
      </w:r>
      <w:r w:rsidR="00F86E5B">
        <w:rPr>
          <w:rFonts w:cs="Arial"/>
          <w:color w:val="000000" w:themeColor="text1"/>
          <w:sz w:val="24"/>
        </w:rPr>
        <w:t xml:space="preserve"> RCT, the DAFNE</w:t>
      </w:r>
      <w:r w:rsidR="00F86E5B" w:rsidRPr="00F86E5B">
        <w:rPr>
          <w:rFonts w:cs="Arial"/>
          <w:i/>
          <w:iCs/>
          <w:color w:val="000000" w:themeColor="text1"/>
          <w:sz w:val="24"/>
        </w:rPr>
        <w:t>plus</w:t>
      </w:r>
      <w:r w:rsidR="00F86E5B">
        <w:rPr>
          <w:rFonts w:cs="Arial"/>
          <w:color w:val="000000" w:themeColor="text1"/>
          <w:sz w:val="24"/>
        </w:rPr>
        <w:t xml:space="preserve"> programme was piloted in three NHS Diabetes Centres.</w:t>
      </w:r>
    </w:p>
    <w:p w14:paraId="2B578135" w14:textId="77777777" w:rsidR="00C717B5" w:rsidRPr="00B31E51" w:rsidRDefault="00C717B5" w:rsidP="00C717B5">
      <w:pPr>
        <w:jc w:val="both"/>
        <w:rPr>
          <w:color w:val="000000" w:themeColor="text1"/>
          <w:sz w:val="24"/>
        </w:rPr>
      </w:pPr>
    </w:p>
    <w:p w14:paraId="25CB3668" w14:textId="77777777" w:rsidR="00C717B5" w:rsidRPr="00B31E51" w:rsidRDefault="00C717B5" w:rsidP="00C717B5">
      <w:pPr>
        <w:jc w:val="both"/>
        <w:rPr>
          <w:color w:val="000000" w:themeColor="text1"/>
          <w:sz w:val="24"/>
        </w:rPr>
      </w:pPr>
      <w:r>
        <w:rPr>
          <w:color w:val="000000" w:themeColor="text1"/>
          <w:sz w:val="24"/>
        </w:rPr>
        <w:t>The DAFNE</w:t>
      </w:r>
      <w:r w:rsidRPr="003112A5">
        <w:rPr>
          <w:i/>
          <w:color w:val="000000" w:themeColor="text1"/>
          <w:sz w:val="24"/>
        </w:rPr>
        <w:t>plus</w:t>
      </w:r>
      <w:r>
        <w:rPr>
          <w:color w:val="000000" w:themeColor="text1"/>
          <w:sz w:val="24"/>
        </w:rPr>
        <w:t xml:space="preserve"> programme comprises three components:</w:t>
      </w:r>
    </w:p>
    <w:p w14:paraId="7FF30680" w14:textId="77777777" w:rsidR="00C717B5" w:rsidRPr="00B31E51" w:rsidRDefault="00C717B5" w:rsidP="00C717B5">
      <w:pPr>
        <w:jc w:val="both"/>
        <w:rPr>
          <w:rFonts w:cs="Arial"/>
          <w:color w:val="000000" w:themeColor="text1"/>
          <w:sz w:val="24"/>
        </w:rPr>
      </w:pPr>
    </w:p>
    <w:p w14:paraId="294D4AB9" w14:textId="77777777" w:rsidR="00C717B5" w:rsidRPr="00B31E51" w:rsidRDefault="00C717B5" w:rsidP="00C717B5">
      <w:pPr>
        <w:pStyle w:val="ListParagraph"/>
        <w:numPr>
          <w:ilvl w:val="0"/>
          <w:numId w:val="4"/>
        </w:numPr>
        <w:jc w:val="both"/>
        <w:rPr>
          <w:rFonts w:ascii="Arial" w:hAnsi="Arial" w:cs="Arial"/>
          <w:color w:val="000000" w:themeColor="text1"/>
        </w:rPr>
      </w:pPr>
      <w:r w:rsidRPr="00B31E51">
        <w:rPr>
          <w:rFonts w:ascii="Arial" w:hAnsi="Arial" w:cs="Arial"/>
          <w:b/>
          <w:color w:val="000000" w:themeColor="text1"/>
        </w:rPr>
        <w:t>DAFNE</w:t>
      </w:r>
      <w:r w:rsidRPr="00B31E51">
        <w:rPr>
          <w:rFonts w:ascii="Arial" w:hAnsi="Arial" w:cs="Arial"/>
          <w:b/>
          <w:i/>
          <w:color w:val="000000" w:themeColor="text1"/>
        </w:rPr>
        <w:t>plus</w:t>
      </w:r>
      <w:r w:rsidRPr="00B31E51">
        <w:rPr>
          <w:rFonts w:ascii="Arial" w:hAnsi="Arial" w:cs="Arial"/>
          <w:b/>
          <w:color w:val="000000" w:themeColor="text1"/>
        </w:rPr>
        <w:t xml:space="preserve"> course</w:t>
      </w:r>
    </w:p>
    <w:p w14:paraId="1538562E" w14:textId="77777777" w:rsidR="00C717B5" w:rsidRDefault="00C717B5" w:rsidP="00C717B5">
      <w:pPr>
        <w:jc w:val="both"/>
        <w:rPr>
          <w:rFonts w:cs="Arial"/>
          <w:color w:val="000000" w:themeColor="text1"/>
          <w:sz w:val="24"/>
        </w:rPr>
      </w:pPr>
    </w:p>
    <w:p w14:paraId="75AD2028" w14:textId="02C9BFCF" w:rsidR="00B27823" w:rsidRDefault="00C717B5" w:rsidP="0087603F">
      <w:pPr>
        <w:jc w:val="both"/>
        <w:rPr>
          <w:rFonts w:cs="Arial"/>
          <w:color w:val="000000" w:themeColor="text1"/>
          <w:sz w:val="24"/>
        </w:rPr>
      </w:pPr>
      <w:r w:rsidRPr="00735A8A">
        <w:rPr>
          <w:rFonts w:cs="Arial"/>
          <w:color w:val="000000" w:themeColor="text1"/>
          <w:sz w:val="24"/>
        </w:rPr>
        <w:t xml:space="preserve">The </w:t>
      </w:r>
      <w:r w:rsidR="007E0725">
        <w:rPr>
          <w:rFonts w:cs="Arial"/>
          <w:color w:val="000000" w:themeColor="text1"/>
          <w:sz w:val="24"/>
        </w:rPr>
        <w:t xml:space="preserve">group-based </w:t>
      </w:r>
      <w:r w:rsidRPr="00B31E51">
        <w:rPr>
          <w:rFonts w:cs="Arial"/>
          <w:color w:val="000000" w:themeColor="text1"/>
          <w:sz w:val="24"/>
        </w:rPr>
        <w:t xml:space="preserve">course component of the </w:t>
      </w:r>
      <w:r w:rsidRPr="00735A8A">
        <w:rPr>
          <w:rFonts w:cs="Arial"/>
          <w:color w:val="000000" w:themeColor="text1"/>
          <w:sz w:val="24"/>
        </w:rPr>
        <w:t>DAFNE</w:t>
      </w:r>
      <w:r w:rsidRPr="00735A8A">
        <w:rPr>
          <w:rFonts w:cs="Arial"/>
          <w:i/>
          <w:color w:val="000000" w:themeColor="text1"/>
          <w:sz w:val="24"/>
        </w:rPr>
        <w:t>plus</w:t>
      </w:r>
      <w:r w:rsidRPr="00735A8A">
        <w:rPr>
          <w:rFonts w:cs="Arial"/>
          <w:color w:val="000000" w:themeColor="text1"/>
          <w:sz w:val="24"/>
        </w:rPr>
        <w:t xml:space="preserve"> </w:t>
      </w:r>
      <w:r w:rsidRPr="00B31E51">
        <w:rPr>
          <w:rFonts w:cs="Arial"/>
          <w:color w:val="000000" w:themeColor="text1"/>
          <w:sz w:val="24"/>
        </w:rPr>
        <w:t>programme</w:t>
      </w:r>
      <w:r w:rsidRPr="00735A8A">
        <w:rPr>
          <w:rFonts w:cs="Arial"/>
          <w:color w:val="000000" w:themeColor="text1"/>
          <w:sz w:val="24"/>
        </w:rPr>
        <w:t xml:space="preserve"> is delivered one day </w:t>
      </w:r>
      <w:r>
        <w:rPr>
          <w:rFonts w:cs="Arial"/>
          <w:color w:val="000000" w:themeColor="text1"/>
          <w:sz w:val="24"/>
        </w:rPr>
        <w:t>per</w:t>
      </w:r>
      <w:r w:rsidRPr="00735A8A">
        <w:rPr>
          <w:rFonts w:cs="Arial"/>
          <w:color w:val="000000" w:themeColor="text1"/>
          <w:sz w:val="24"/>
        </w:rPr>
        <w:t xml:space="preserve"> week, over five consecutive weeks, and is based on a revision of the standard DAFNE five-week curriculum</w:t>
      </w:r>
      <w:r w:rsidR="00B27823">
        <w:rPr>
          <w:rFonts w:cs="Arial"/>
          <w:color w:val="000000" w:themeColor="text1"/>
          <w:sz w:val="24"/>
        </w:rPr>
        <w:t>,</w:t>
      </w:r>
      <w:r>
        <w:rPr>
          <w:rFonts w:cs="Arial"/>
          <w:color w:val="000000" w:themeColor="text1"/>
          <w:sz w:val="24"/>
        </w:rPr>
        <w:t xml:space="preserve"> </w:t>
      </w:r>
      <w:r w:rsidRPr="00735A8A">
        <w:rPr>
          <w:rFonts w:cs="Arial"/>
          <w:color w:val="000000" w:themeColor="text1"/>
          <w:sz w:val="24"/>
        </w:rPr>
        <w:t xml:space="preserve">with a view to strengthening and sustaining </w:t>
      </w:r>
      <w:r w:rsidR="00EB7580">
        <w:rPr>
          <w:rFonts w:cs="Arial"/>
          <w:color w:val="000000" w:themeColor="text1"/>
          <w:sz w:val="24"/>
        </w:rPr>
        <w:t xml:space="preserve">self-management behaviours over a </w:t>
      </w:r>
      <w:r w:rsidR="00B27823">
        <w:rPr>
          <w:rFonts w:cs="Arial"/>
          <w:color w:val="000000" w:themeColor="text1"/>
          <w:sz w:val="24"/>
        </w:rPr>
        <w:t xml:space="preserve">longer term </w:t>
      </w:r>
      <w:r w:rsidR="00EB7580">
        <w:rPr>
          <w:rFonts w:cs="Arial"/>
          <w:color w:val="000000" w:themeColor="text1"/>
          <w:sz w:val="24"/>
        </w:rPr>
        <w:t xml:space="preserve">to enable them to achieve </w:t>
      </w:r>
      <w:r w:rsidRPr="00735A8A">
        <w:rPr>
          <w:rFonts w:cs="Arial"/>
          <w:color w:val="000000" w:themeColor="text1"/>
          <w:sz w:val="24"/>
        </w:rPr>
        <w:t xml:space="preserve">blood glucose </w:t>
      </w:r>
      <w:r w:rsidR="00EB7580">
        <w:rPr>
          <w:rFonts w:cs="Arial"/>
          <w:color w:val="000000" w:themeColor="text1"/>
          <w:sz w:val="24"/>
        </w:rPr>
        <w:t>levels closer to target</w:t>
      </w:r>
      <w:r w:rsidRPr="00735A8A">
        <w:rPr>
          <w:rFonts w:cs="Arial"/>
          <w:color w:val="000000" w:themeColor="text1"/>
          <w:sz w:val="24"/>
        </w:rPr>
        <w:t>.</w:t>
      </w:r>
      <w:r w:rsidR="0087603F">
        <w:rPr>
          <w:rFonts w:cs="Arial"/>
          <w:color w:val="000000" w:themeColor="text1"/>
          <w:sz w:val="24"/>
        </w:rPr>
        <w:t xml:space="preserve"> </w:t>
      </w:r>
      <w:r w:rsidRPr="00B31E51">
        <w:rPr>
          <w:rFonts w:cs="Arial"/>
          <w:color w:val="000000" w:themeColor="text1"/>
          <w:sz w:val="24"/>
        </w:rPr>
        <w:t xml:space="preserve">Participants </w:t>
      </w:r>
      <w:r w:rsidR="006D600B">
        <w:rPr>
          <w:rFonts w:cs="Arial"/>
          <w:color w:val="000000" w:themeColor="text1"/>
          <w:sz w:val="24"/>
        </w:rPr>
        <w:t xml:space="preserve">will </w:t>
      </w:r>
      <w:r w:rsidRPr="00B31E51">
        <w:rPr>
          <w:rFonts w:cs="Arial"/>
          <w:color w:val="000000" w:themeColor="text1"/>
          <w:sz w:val="24"/>
        </w:rPr>
        <w:t>attend a</w:t>
      </w:r>
      <w:r w:rsidR="007E0725">
        <w:rPr>
          <w:rFonts w:cs="Arial"/>
          <w:color w:val="000000" w:themeColor="text1"/>
          <w:sz w:val="24"/>
        </w:rPr>
        <w:t>n individual</w:t>
      </w:r>
      <w:r w:rsidRPr="00B31E51">
        <w:rPr>
          <w:rFonts w:cs="Arial"/>
          <w:color w:val="000000" w:themeColor="text1"/>
          <w:sz w:val="24"/>
        </w:rPr>
        <w:t xml:space="preserve"> pre-course appointment approximately two weeks before the course which serves as their</w:t>
      </w:r>
      <w:r w:rsidR="0087603F">
        <w:rPr>
          <w:rFonts w:cs="Arial"/>
          <w:color w:val="000000" w:themeColor="text1"/>
          <w:sz w:val="24"/>
        </w:rPr>
        <w:t xml:space="preserve"> introduction to the programme, </w:t>
      </w:r>
      <w:r w:rsidRPr="00B31E51">
        <w:rPr>
          <w:rFonts w:cs="Arial"/>
          <w:color w:val="000000" w:themeColor="text1"/>
          <w:sz w:val="24"/>
        </w:rPr>
        <w:t xml:space="preserve">during which they are given access to </w:t>
      </w:r>
      <w:r>
        <w:rPr>
          <w:rFonts w:cs="Arial"/>
          <w:color w:val="000000" w:themeColor="text1"/>
          <w:sz w:val="24"/>
        </w:rPr>
        <w:t xml:space="preserve">and trained in </w:t>
      </w:r>
      <w:r w:rsidR="00B27823">
        <w:rPr>
          <w:rFonts w:cs="Arial"/>
          <w:color w:val="000000" w:themeColor="text1"/>
          <w:sz w:val="24"/>
        </w:rPr>
        <w:t>using</w:t>
      </w:r>
      <w:r>
        <w:rPr>
          <w:rFonts w:cs="Arial"/>
          <w:color w:val="000000" w:themeColor="text1"/>
          <w:sz w:val="24"/>
        </w:rPr>
        <w:t xml:space="preserve"> </w:t>
      </w:r>
      <w:r w:rsidRPr="00B31E51">
        <w:rPr>
          <w:rFonts w:cs="Arial"/>
          <w:color w:val="000000" w:themeColor="text1"/>
          <w:sz w:val="24"/>
        </w:rPr>
        <w:t>the DAFNE</w:t>
      </w:r>
      <w:r w:rsidRPr="00F06F02">
        <w:rPr>
          <w:rFonts w:cs="Arial"/>
          <w:i/>
          <w:color w:val="000000" w:themeColor="text1"/>
          <w:sz w:val="24"/>
        </w:rPr>
        <w:t>plus</w:t>
      </w:r>
      <w:r w:rsidRPr="00B31E51">
        <w:rPr>
          <w:rFonts w:cs="Arial"/>
          <w:color w:val="000000" w:themeColor="text1"/>
          <w:sz w:val="24"/>
        </w:rPr>
        <w:t xml:space="preserve"> technology</w:t>
      </w:r>
      <w:r w:rsidR="006D600B">
        <w:rPr>
          <w:rFonts w:cs="Arial"/>
          <w:color w:val="000000" w:themeColor="text1"/>
          <w:sz w:val="24"/>
        </w:rPr>
        <w:t xml:space="preserve"> (see below)</w:t>
      </w:r>
      <w:r w:rsidRPr="00B31E51">
        <w:rPr>
          <w:rFonts w:cs="Arial"/>
          <w:color w:val="000000" w:themeColor="text1"/>
          <w:sz w:val="24"/>
        </w:rPr>
        <w:t xml:space="preserve">, as well as a bolus calculator. </w:t>
      </w:r>
    </w:p>
    <w:p w14:paraId="55D620B3" w14:textId="77777777" w:rsidR="00B27823" w:rsidRDefault="00B27823">
      <w:pPr>
        <w:jc w:val="both"/>
        <w:rPr>
          <w:rFonts w:cs="Arial"/>
          <w:color w:val="000000" w:themeColor="text1"/>
          <w:sz w:val="24"/>
        </w:rPr>
      </w:pPr>
    </w:p>
    <w:p w14:paraId="2D4ED451" w14:textId="2267A37A" w:rsidR="00C717B5" w:rsidRPr="00735A8A" w:rsidRDefault="00C717B5" w:rsidP="00AE0CAF">
      <w:pPr>
        <w:jc w:val="both"/>
        <w:rPr>
          <w:rFonts w:cs="Arial"/>
          <w:color w:val="000000" w:themeColor="text1"/>
          <w:sz w:val="24"/>
        </w:rPr>
      </w:pPr>
      <w:r>
        <w:rPr>
          <w:rFonts w:cs="Arial"/>
          <w:color w:val="000000" w:themeColor="text1"/>
          <w:sz w:val="24"/>
        </w:rPr>
        <w:t>New sessions included in the DAFNE</w:t>
      </w:r>
      <w:r w:rsidRPr="00F06F02">
        <w:rPr>
          <w:rFonts w:cs="Arial"/>
          <w:i/>
          <w:color w:val="000000" w:themeColor="text1"/>
          <w:sz w:val="24"/>
        </w:rPr>
        <w:t>plus</w:t>
      </w:r>
      <w:r>
        <w:rPr>
          <w:rFonts w:cs="Arial"/>
          <w:color w:val="000000" w:themeColor="text1"/>
          <w:sz w:val="24"/>
        </w:rPr>
        <w:t xml:space="preserve"> course include technology assisted individual review, emotional aspects of </w:t>
      </w:r>
      <w:r w:rsidR="00500DB3">
        <w:rPr>
          <w:rFonts w:cs="Arial"/>
          <w:color w:val="000000" w:themeColor="text1"/>
          <w:sz w:val="24"/>
        </w:rPr>
        <w:t xml:space="preserve">living with </w:t>
      </w:r>
      <w:r>
        <w:rPr>
          <w:rFonts w:cs="Arial"/>
          <w:color w:val="000000" w:themeColor="text1"/>
          <w:sz w:val="24"/>
        </w:rPr>
        <w:t>diabetes</w:t>
      </w:r>
      <w:r w:rsidR="00500DB3">
        <w:rPr>
          <w:rFonts w:cs="Arial"/>
          <w:color w:val="000000" w:themeColor="text1"/>
          <w:sz w:val="24"/>
        </w:rPr>
        <w:t xml:space="preserve"> and its management</w:t>
      </w:r>
      <w:r>
        <w:rPr>
          <w:rFonts w:cs="Arial"/>
          <w:color w:val="000000" w:themeColor="text1"/>
          <w:sz w:val="24"/>
        </w:rPr>
        <w:t xml:space="preserve">, </w:t>
      </w:r>
      <w:r w:rsidR="007E0725">
        <w:rPr>
          <w:rFonts w:cs="Arial"/>
          <w:color w:val="000000" w:themeColor="text1"/>
          <w:sz w:val="24"/>
        </w:rPr>
        <w:t xml:space="preserve">harnessing </w:t>
      </w:r>
      <w:r>
        <w:rPr>
          <w:rFonts w:cs="Arial"/>
          <w:color w:val="000000" w:themeColor="text1"/>
          <w:sz w:val="24"/>
        </w:rPr>
        <w:t xml:space="preserve">social support, </w:t>
      </w:r>
      <w:r w:rsidR="00500DB3">
        <w:rPr>
          <w:rFonts w:cs="Arial"/>
          <w:color w:val="000000" w:themeColor="text1"/>
          <w:sz w:val="24"/>
        </w:rPr>
        <w:t>and</w:t>
      </w:r>
      <w:r>
        <w:rPr>
          <w:rFonts w:cs="Arial"/>
          <w:color w:val="000000" w:themeColor="text1"/>
          <w:sz w:val="24"/>
        </w:rPr>
        <w:t xml:space="preserve"> behaviour change</w:t>
      </w:r>
      <w:r w:rsidR="00500DB3">
        <w:rPr>
          <w:rFonts w:cs="Arial"/>
          <w:color w:val="000000" w:themeColor="text1"/>
          <w:sz w:val="24"/>
        </w:rPr>
        <w:t xml:space="preserve"> – including additional support</w:t>
      </w:r>
      <w:r w:rsidR="005E2D89">
        <w:rPr>
          <w:rFonts w:cs="Arial"/>
          <w:color w:val="000000" w:themeColor="text1"/>
          <w:sz w:val="24"/>
        </w:rPr>
        <w:t xml:space="preserve"> for</w:t>
      </w:r>
      <w:r>
        <w:rPr>
          <w:rFonts w:cs="Arial"/>
          <w:color w:val="000000" w:themeColor="text1"/>
          <w:sz w:val="24"/>
        </w:rPr>
        <w:t xml:space="preserve"> action planning</w:t>
      </w:r>
      <w:r w:rsidR="005E2D89">
        <w:rPr>
          <w:rFonts w:cs="Arial"/>
          <w:color w:val="000000" w:themeColor="text1"/>
          <w:sz w:val="24"/>
        </w:rPr>
        <w:t xml:space="preserve"> and relapse prevention </w:t>
      </w:r>
      <w:r>
        <w:rPr>
          <w:rFonts w:cs="Arial"/>
          <w:color w:val="000000" w:themeColor="text1"/>
          <w:sz w:val="24"/>
        </w:rPr>
        <w:t xml:space="preserve"> to help participants achieve their </w:t>
      </w:r>
      <w:r w:rsidR="00B27823">
        <w:rPr>
          <w:rFonts w:cs="Arial"/>
          <w:color w:val="000000" w:themeColor="text1"/>
          <w:sz w:val="24"/>
        </w:rPr>
        <w:t xml:space="preserve">self-management </w:t>
      </w:r>
      <w:r>
        <w:rPr>
          <w:rFonts w:cs="Arial"/>
          <w:color w:val="000000" w:themeColor="text1"/>
          <w:sz w:val="24"/>
        </w:rPr>
        <w:t xml:space="preserve">goals. </w:t>
      </w:r>
      <w:r w:rsidR="002C5F0F">
        <w:rPr>
          <w:rFonts w:cs="Arial"/>
          <w:color w:val="000000" w:themeColor="text1"/>
          <w:sz w:val="24"/>
        </w:rPr>
        <w:t xml:space="preserve">The curriculum was revised </w:t>
      </w:r>
      <w:r w:rsidR="002C5F0F">
        <w:rPr>
          <w:rFonts w:cs="Arial"/>
          <w:color w:val="000000" w:themeColor="text1"/>
          <w:sz w:val="24"/>
        </w:rPr>
        <w:lastRenderedPageBreak/>
        <w:t>to be consistent with modern approaches to the recommended language used in diabetes care</w:t>
      </w:r>
      <w:r w:rsidR="00667A25">
        <w:rPr>
          <w:rFonts w:cs="Arial"/>
          <w:color w:val="000000" w:themeColor="text1"/>
          <w:sz w:val="24"/>
        </w:rPr>
        <w:fldChar w:fldCharType="begin" w:fldLock="1"/>
      </w:r>
      <w:r w:rsidR="005D7FBE">
        <w:rPr>
          <w:rFonts w:cs="Arial"/>
          <w:color w:val="000000" w:themeColor="text1"/>
          <w:sz w:val="24"/>
        </w:rPr>
        <w:instrText>ADDIN CSL_CITATION {"citationItems":[{"id":"ITEM-1","itemData":{"DOI":"10.1016/j.diabres.2012.03.015","ISSN":"01688227","abstract":"Diabetes is the fastest growing chronic condition in Australia, affecting 1.7 million Australians, requiring daily self-care, and known to reduce quantity and quality of life. On average, people with diabetes experience greater emotional distress than those without diabetes. One source of distress can be the language used to refer to diabetes, its management and the person with diabetes. The way verbal and written language is used reflects and shapes people's thoughts, beliefs and behaviours. Language has the power to persuade, change or reinforce beliefs and stereotypes - for better or worse. Words do more than reflect people's reality: they create reality and affect how people view the world and their diabetes. Language needs to engage people with diabetes and support their self-care efforts. Importantly, language that de-motivates or induces fear, guilt or distress needs to be avoided and countered. Diabetes Australia believes optimal communication increases the motivation, health and well-being of people with diabetes, and that careless or negative language can be de-motivating, is often inaccurate, and can be harmful. Diabetes Australia developed this position statement to encourage greater awareness of the language surrounding diabetes and provide recommendations for more careful and positive language use. © 2012 Elsevier Ireland Ltd.","author":[{"dropping-particle":"","family":"Speight","given":"J.","non-dropping-particle":"","parse-names":false,"suffix":""},{"dropping-particle":"","family":"Conn","given":"J.","non-dropping-particle":"","parse-names":false,"suffix":""},{"dropping-particle":"","family":"Dunning","given":"T.","non-dropping-particle":"","parse-names":false,"suffix":""},{"dropping-particle":"","family":"Skinner","given":"T. C.","non-dropping-particle":"","parse-names":false,"suffix":""}],"container-title":"Diabetes Research and Clinical Practice","id":"ITEM-1","issue":"3","issued":{"date-parts":[["2012","9"]]},"page":"425-431","title":"Diabetes Australia position statement. A new language for diabetes: Improving communications with and about people with diabetes","type":"article-journal","volume":"97"},"uris":["http://www.mendeley.com/documents/?uuid=5ed7afb3-46c7-3e4b-81d8-07b9b8424f02"]}],"mendeley":{"formattedCitation":"[23]","plainTextFormattedCitation":"[23]","previouslyFormattedCitation":"[24]"},"properties":{"noteIndex":0},"schema":"https://github.com/citation-style-language/schema/raw/master/csl-citation.json"}</w:instrText>
      </w:r>
      <w:r w:rsidR="00667A25">
        <w:rPr>
          <w:rFonts w:cs="Arial"/>
          <w:color w:val="000000" w:themeColor="text1"/>
          <w:sz w:val="24"/>
        </w:rPr>
        <w:fldChar w:fldCharType="separate"/>
      </w:r>
      <w:r w:rsidR="005D7FBE" w:rsidRPr="005D7FBE">
        <w:rPr>
          <w:rFonts w:cs="Arial"/>
          <w:noProof/>
          <w:color w:val="000000" w:themeColor="text1"/>
          <w:sz w:val="24"/>
        </w:rPr>
        <w:t>[23]</w:t>
      </w:r>
      <w:r w:rsidR="00667A25">
        <w:rPr>
          <w:rFonts w:cs="Arial"/>
          <w:color w:val="000000" w:themeColor="text1"/>
          <w:sz w:val="24"/>
        </w:rPr>
        <w:fldChar w:fldCharType="end"/>
      </w:r>
      <w:r w:rsidR="002C5F0F">
        <w:rPr>
          <w:rFonts w:cs="Arial"/>
          <w:color w:val="000000" w:themeColor="text1"/>
          <w:sz w:val="24"/>
        </w:rPr>
        <w:t xml:space="preserve">. </w:t>
      </w:r>
      <w:r w:rsidR="00C524FF">
        <w:rPr>
          <w:rFonts w:cs="Arial"/>
          <w:color w:val="000000" w:themeColor="text1"/>
          <w:sz w:val="24"/>
        </w:rPr>
        <w:t>Requirements to qualify as adherent for statistical purposes are defined above.</w:t>
      </w:r>
    </w:p>
    <w:p w14:paraId="4433E458" w14:textId="77777777" w:rsidR="00C717B5" w:rsidRPr="00B31E51" w:rsidRDefault="00C717B5" w:rsidP="00C717B5">
      <w:pPr>
        <w:pStyle w:val="ListParagraph"/>
        <w:jc w:val="both"/>
        <w:rPr>
          <w:rFonts w:ascii="Arial" w:hAnsi="Arial" w:cs="Arial"/>
          <w:color w:val="000000" w:themeColor="text1"/>
        </w:rPr>
      </w:pPr>
    </w:p>
    <w:p w14:paraId="15CBD14C" w14:textId="77777777" w:rsidR="00C717B5" w:rsidRPr="00B31E51" w:rsidRDefault="00C717B5" w:rsidP="00C717B5">
      <w:pPr>
        <w:pStyle w:val="ListParagraph"/>
        <w:numPr>
          <w:ilvl w:val="0"/>
          <w:numId w:val="4"/>
        </w:numPr>
        <w:jc w:val="both"/>
        <w:rPr>
          <w:rFonts w:ascii="Arial" w:hAnsi="Arial" w:cs="Arial"/>
          <w:color w:val="000000" w:themeColor="text1"/>
        </w:rPr>
      </w:pPr>
      <w:r w:rsidRPr="00B31E51">
        <w:rPr>
          <w:rFonts w:ascii="Arial" w:hAnsi="Arial" w:cs="Arial"/>
          <w:b/>
          <w:color w:val="000000" w:themeColor="text1"/>
        </w:rPr>
        <w:t>Structured follow-up support</w:t>
      </w:r>
    </w:p>
    <w:p w14:paraId="47291578" w14:textId="77777777" w:rsidR="00C717B5" w:rsidRPr="00B31E51" w:rsidRDefault="00C717B5" w:rsidP="00C717B5">
      <w:pPr>
        <w:jc w:val="both"/>
        <w:rPr>
          <w:rFonts w:cs="Arial"/>
          <w:color w:val="000000" w:themeColor="text1"/>
          <w:sz w:val="24"/>
        </w:rPr>
      </w:pPr>
    </w:p>
    <w:p w14:paraId="4FC1C88C" w14:textId="2D4AA0AB" w:rsidR="00B27823" w:rsidRDefault="00C717B5" w:rsidP="002C5F0F">
      <w:pPr>
        <w:jc w:val="both"/>
        <w:rPr>
          <w:rFonts w:cs="Arial"/>
          <w:color w:val="000000" w:themeColor="text1"/>
          <w:sz w:val="24"/>
        </w:rPr>
      </w:pPr>
      <w:r w:rsidRPr="00B31E51">
        <w:rPr>
          <w:rFonts w:cs="Arial"/>
          <w:color w:val="000000" w:themeColor="text1"/>
          <w:sz w:val="24"/>
        </w:rPr>
        <w:t>The model of structured follow-up support builds upon the clinical and behavioural skills introduced during the course to enable participants to maximise the efficacy of key DAFNE</w:t>
      </w:r>
      <w:r w:rsidRPr="00735A8A">
        <w:rPr>
          <w:rFonts w:cs="Arial"/>
          <w:i/>
          <w:color w:val="000000" w:themeColor="text1"/>
          <w:sz w:val="24"/>
        </w:rPr>
        <w:t>plus</w:t>
      </w:r>
      <w:r w:rsidRPr="00B31E51">
        <w:rPr>
          <w:rFonts w:cs="Arial"/>
          <w:color w:val="000000" w:themeColor="text1"/>
          <w:sz w:val="24"/>
        </w:rPr>
        <w:t xml:space="preserve"> principles to improve self-management and </w:t>
      </w:r>
      <w:r w:rsidR="002C5F0F">
        <w:rPr>
          <w:rFonts w:cs="Arial"/>
          <w:color w:val="000000" w:themeColor="text1"/>
          <w:sz w:val="24"/>
        </w:rPr>
        <w:t>achieve/sustain</w:t>
      </w:r>
      <w:r w:rsidRPr="00B31E51">
        <w:rPr>
          <w:rFonts w:cs="Arial"/>
          <w:color w:val="000000" w:themeColor="text1"/>
          <w:sz w:val="24"/>
        </w:rPr>
        <w:t xml:space="preserve"> glycaemic </w:t>
      </w:r>
      <w:r w:rsidR="002C5F0F">
        <w:rPr>
          <w:rFonts w:cs="Arial"/>
          <w:color w:val="000000" w:themeColor="text1"/>
          <w:sz w:val="24"/>
        </w:rPr>
        <w:t>targets</w:t>
      </w:r>
      <w:r w:rsidRPr="00B31E51">
        <w:rPr>
          <w:rFonts w:cs="Arial"/>
          <w:color w:val="000000" w:themeColor="text1"/>
          <w:sz w:val="24"/>
        </w:rPr>
        <w:t xml:space="preserve">. As part of the trial, up to five one-to-one consultations (face-to-face, telephone or in some centres, </w:t>
      </w:r>
      <w:r>
        <w:rPr>
          <w:rFonts w:cs="Arial"/>
          <w:color w:val="000000" w:themeColor="text1"/>
          <w:sz w:val="24"/>
        </w:rPr>
        <w:t>web-based video calling</w:t>
      </w:r>
      <w:r w:rsidRPr="00B31E51">
        <w:rPr>
          <w:rFonts w:cs="Arial"/>
          <w:color w:val="000000" w:themeColor="text1"/>
          <w:sz w:val="24"/>
        </w:rPr>
        <w:t>) with a DAFNE facilitator</w:t>
      </w:r>
      <w:r>
        <w:rPr>
          <w:rFonts w:cs="Arial"/>
          <w:color w:val="000000" w:themeColor="text1"/>
          <w:sz w:val="24"/>
        </w:rPr>
        <w:t xml:space="preserve"> will be offered</w:t>
      </w:r>
      <w:r w:rsidRPr="00B31E51">
        <w:rPr>
          <w:rFonts w:cs="Arial"/>
          <w:color w:val="000000" w:themeColor="text1"/>
          <w:sz w:val="24"/>
        </w:rPr>
        <w:t xml:space="preserve">, delivered </w:t>
      </w:r>
      <w:r>
        <w:rPr>
          <w:rFonts w:cs="Arial"/>
          <w:color w:val="000000" w:themeColor="text1"/>
          <w:sz w:val="24"/>
        </w:rPr>
        <w:t xml:space="preserve">at progressively </w:t>
      </w:r>
      <w:r w:rsidR="00AA4592">
        <w:rPr>
          <w:rFonts w:cs="Arial"/>
          <w:color w:val="000000" w:themeColor="text1"/>
          <w:sz w:val="24"/>
        </w:rPr>
        <w:t xml:space="preserve">wider </w:t>
      </w:r>
      <w:r>
        <w:rPr>
          <w:rFonts w:cs="Arial"/>
          <w:color w:val="000000" w:themeColor="text1"/>
          <w:sz w:val="24"/>
        </w:rPr>
        <w:t xml:space="preserve">spaced intervals </w:t>
      </w:r>
      <w:r w:rsidRPr="00B31E51">
        <w:rPr>
          <w:rFonts w:cs="Arial"/>
          <w:color w:val="000000" w:themeColor="text1"/>
          <w:sz w:val="24"/>
        </w:rPr>
        <w:t>during the 12 months after the course</w:t>
      </w:r>
      <w:r w:rsidR="00794951">
        <w:rPr>
          <w:rFonts w:cs="Arial"/>
          <w:color w:val="000000" w:themeColor="text1"/>
          <w:sz w:val="24"/>
        </w:rPr>
        <w:t>.</w:t>
      </w:r>
      <w:r w:rsidR="00AF1FB5">
        <w:rPr>
          <w:rFonts w:cs="Arial"/>
          <w:color w:val="000000" w:themeColor="text1"/>
          <w:sz w:val="24"/>
        </w:rPr>
        <w:t xml:space="preserve"> Appointments are supported by </w:t>
      </w:r>
      <w:r w:rsidR="0022071B">
        <w:rPr>
          <w:rFonts w:cs="Arial"/>
          <w:color w:val="000000" w:themeColor="text1"/>
          <w:sz w:val="24"/>
        </w:rPr>
        <w:t>paperwork</w:t>
      </w:r>
      <w:r w:rsidR="00AF1FB5">
        <w:rPr>
          <w:rFonts w:cs="Arial"/>
          <w:color w:val="000000" w:themeColor="text1"/>
          <w:sz w:val="24"/>
        </w:rPr>
        <w:t xml:space="preserve"> to ‘activate’ both the participant and the facilitator prior to meeting</w:t>
      </w:r>
      <w:r w:rsidR="00160A0E">
        <w:rPr>
          <w:rFonts w:cs="Arial"/>
          <w:color w:val="000000" w:themeColor="text1"/>
          <w:sz w:val="24"/>
        </w:rPr>
        <w:t>.</w:t>
      </w:r>
    </w:p>
    <w:p w14:paraId="6372B3CD" w14:textId="77777777" w:rsidR="00B27823" w:rsidRDefault="00B27823">
      <w:pPr>
        <w:jc w:val="both"/>
        <w:rPr>
          <w:rFonts w:cs="Arial"/>
          <w:color w:val="000000" w:themeColor="text1"/>
          <w:sz w:val="24"/>
        </w:rPr>
      </w:pPr>
    </w:p>
    <w:p w14:paraId="0E2973AA" w14:textId="1CAB8333" w:rsidR="00C717B5" w:rsidRPr="00B31E51" w:rsidRDefault="00C717B5" w:rsidP="00AA4592">
      <w:pPr>
        <w:jc w:val="both"/>
        <w:rPr>
          <w:rFonts w:cs="Arial"/>
          <w:color w:val="000000" w:themeColor="text1"/>
          <w:sz w:val="24"/>
        </w:rPr>
      </w:pPr>
      <w:r>
        <w:rPr>
          <w:rFonts w:cs="Arial"/>
          <w:color w:val="000000" w:themeColor="text1"/>
          <w:sz w:val="24"/>
        </w:rPr>
        <w:t xml:space="preserve">The purpose of these </w:t>
      </w:r>
      <w:r w:rsidR="00AA4592">
        <w:rPr>
          <w:rFonts w:cs="Arial"/>
          <w:color w:val="000000" w:themeColor="text1"/>
          <w:sz w:val="24"/>
        </w:rPr>
        <w:t>individual</w:t>
      </w:r>
      <w:r>
        <w:rPr>
          <w:rFonts w:cs="Arial"/>
          <w:color w:val="000000" w:themeColor="text1"/>
          <w:sz w:val="24"/>
        </w:rPr>
        <w:t xml:space="preserve"> sessions is to review participants’ progress with managing their diabetes, including progress with their action plans, review blood glucose data on the DAFNE</w:t>
      </w:r>
      <w:r w:rsidRPr="00F06F02">
        <w:rPr>
          <w:rFonts w:cs="Arial"/>
          <w:i/>
          <w:color w:val="000000" w:themeColor="text1"/>
          <w:sz w:val="24"/>
        </w:rPr>
        <w:t>plus</w:t>
      </w:r>
      <w:r>
        <w:rPr>
          <w:rFonts w:cs="Arial"/>
          <w:color w:val="000000" w:themeColor="text1"/>
          <w:sz w:val="24"/>
        </w:rPr>
        <w:t xml:space="preserve"> website, </w:t>
      </w:r>
      <w:r w:rsidR="0022071B">
        <w:rPr>
          <w:rFonts w:cs="Arial"/>
          <w:color w:val="000000" w:themeColor="text1"/>
          <w:sz w:val="24"/>
        </w:rPr>
        <w:t xml:space="preserve">revise course material, </w:t>
      </w:r>
      <w:r>
        <w:rPr>
          <w:rFonts w:cs="Arial"/>
          <w:color w:val="000000" w:themeColor="text1"/>
          <w:sz w:val="24"/>
        </w:rPr>
        <w:t>address any additional clinical needs</w:t>
      </w:r>
      <w:r w:rsidR="00160A0E">
        <w:rPr>
          <w:rFonts w:cs="Arial"/>
          <w:color w:val="000000" w:themeColor="text1"/>
          <w:sz w:val="24"/>
        </w:rPr>
        <w:t>,</w:t>
      </w:r>
      <w:r w:rsidR="0022071B">
        <w:rPr>
          <w:rFonts w:cs="Arial"/>
          <w:color w:val="000000" w:themeColor="text1"/>
          <w:sz w:val="24"/>
        </w:rPr>
        <w:t xml:space="preserve"> </w:t>
      </w:r>
      <w:r>
        <w:rPr>
          <w:rFonts w:cs="Arial"/>
          <w:color w:val="000000" w:themeColor="text1"/>
          <w:sz w:val="24"/>
        </w:rPr>
        <w:t xml:space="preserve">and signpost participants to any relevant sources of support. </w:t>
      </w:r>
      <w:r w:rsidRPr="00B31E51">
        <w:rPr>
          <w:rFonts w:cs="Arial"/>
          <w:color w:val="000000" w:themeColor="text1"/>
          <w:sz w:val="24"/>
        </w:rPr>
        <w:t>In addition, ad-hoc support by telephone</w:t>
      </w:r>
      <w:r w:rsidR="00B27823">
        <w:rPr>
          <w:rFonts w:cs="Arial"/>
          <w:color w:val="000000" w:themeColor="text1"/>
          <w:sz w:val="24"/>
        </w:rPr>
        <w:t>,</w:t>
      </w:r>
      <w:r w:rsidRPr="00B31E51">
        <w:rPr>
          <w:rFonts w:cs="Arial"/>
          <w:color w:val="000000" w:themeColor="text1"/>
          <w:sz w:val="24"/>
        </w:rPr>
        <w:t xml:space="preserve"> email or</w:t>
      </w:r>
      <w:r w:rsidR="00C524FF">
        <w:rPr>
          <w:rFonts w:cs="Arial"/>
          <w:color w:val="000000" w:themeColor="text1"/>
          <w:sz w:val="24"/>
        </w:rPr>
        <w:t xml:space="preserve"> </w:t>
      </w:r>
      <w:r>
        <w:rPr>
          <w:rFonts w:cs="Arial"/>
          <w:color w:val="000000" w:themeColor="text1"/>
          <w:sz w:val="24"/>
        </w:rPr>
        <w:t>web-based video calling</w:t>
      </w:r>
      <w:r w:rsidRPr="00B31E51">
        <w:rPr>
          <w:rFonts w:cs="Arial"/>
          <w:color w:val="000000" w:themeColor="text1"/>
          <w:sz w:val="24"/>
        </w:rPr>
        <w:t xml:space="preserve"> will be available, as necessary.</w:t>
      </w:r>
      <w:r w:rsidRPr="00940498">
        <w:t xml:space="preserve"> </w:t>
      </w:r>
      <w:r w:rsidRPr="0078798B">
        <w:rPr>
          <w:rFonts w:cs="Arial"/>
          <w:color w:val="000000" w:themeColor="text1"/>
          <w:sz w:val="24"/>
        </w:rPr>
        <w:t>To qualify as adherent for statistical purposes</w:t>
      </w:r>
      <w:r>
        <w:rPr>
          <w:rFonts w:cs="Arial"/>
          <w:color w:val="000000" w:themeColor="text1"/>
          <w:sz w:val="24"/>
        </w:rPr>
        <w:t>,</w:t>
      </w:r>
      <w:r w:rsidRPr="0078798B">
        <w:rPr>
          <w:rFonts w:cs="Arial"/>
          <w:color w:val="000000" w:themeColor="text1"/>
          <w:sz w:val="24"/>
        </w:rPr>
        <w:t xml:space="preserve"> participants will need to have attended a minimum of three </w:t>
      </w:r>
      <w:r>
        <w:rPr>
          <w:rFonts w:cs="Arial"/>
          <w:color w:val="000000" w:themeColor="text1"/>
          <w:sz w:val="24"/>
        </w:rPr>
        <w:t>follow</w:t>
      </w:r>
      <w:r w:rsidR="00797013">
        <w:rPr>
          <w:rFonts w:cs="Arial"/>
          <w:color w:val="000000" w:themeColor="text1"/>
          <w:sz w:val="24"/>
        </w:rPr>
        <w:t>-</w:t>
      </w:r>
      <w:r>
        <w:rPr>
          <w:rFonts w:cs="Arial"/>
          <w:color w:val="000000" w:themeColor="text1"/>
          <w:sz w:val="24"/>
        </w:rPr>
        <w:t>up sessions</w:t>
      </w:r>
      <w:r w:rsidRPr="0078798B">
        <w:rPr>
          <w:rFonts w:cs="Arial"/>
          <w:color w:val="000000" w:themeColor="text1"/>
          <w:sz w:val="24"/>
        </w:rPr>
        <w:t>.</w:t>
      </w:r>
    </w:p>
    <w:p w14:paraId="6746F6C7" w14:textId="77777777" w:rsidR="00C717B5" w:rsidRPr="00B31E51" w:rsidRDefault="00C717B5" w:rsidP="00C717B5">
      <w:pPr>
        <w:jc w:val="both"/>
        <w:rPr>
          <w:rFonts w:cs="Arial"/>
          <w:color w:val="000000" w:themeColor="text1"/>
          <w:sz w:val="24"/>
        </w:rPr>
      </w:pPr>
    </w:p>
    <w:p w14:paraId="28762F13" w14:textId="77777777" w:rsidR="00C717B5" w:rsidRPr="00AA7FD7" w:rsidRDefault="00C717B5" w:rsidP="00C717B5">
      <w:pPr>
        <w:pStyle w:val="ListParagraph"/>
        <w:numPr>
          <w:ilvl w:val="0"/>
          <w:numId w:val="4"/>
        </w:numPr>
        <w:jc w:val="both"/>
        <w:rPr>
          <w:rFonts w:ascii="Arial" w:hAnsi="Arial" w:cs="Arial"/>
          <w:color w:val="000000" w:themeColor="text1"/>
        </w:rPr>
      </w:pPr>
      <w:r w:rsidRPr="00B31E51">
        <w:rPr>
          <w:rFonts w:ascii="Arial" w:hAnsi="Arial" w:cs="Arial"/>
          <w:b/>
          <w:color w:val="000000" w:themeColor="text1"/>
        </w:rPr>
        <w:t>Digital technology</w:t>
      </w:r>
      <w:r w:rsidRPr="00B31E51">
        <w:rPr>
          <w:rFonts w:ascii="Arial" w:hAnsi="Arial" w:cs="Arial"/>
          <w:color w:val="000000" w:themeColor="text1"/>
        </w:rPr>
        <w:t xml:space="preserve"> </w:t>
      </w:r>
    </w:p>
    <w:p w14:paraId="58F8AC44" w14:textId="77777777" w:rsidR="00C717B5" w:rsidRDefault="00C717B5" w:rsidP="00C717B5">
      <w:pPr>
        <w:jc w:val="both"/>
        <w:rPr>
          <w:rFonts w:cs="Arial"/>
          <w:color w:val="000000" w:themeColor="text1"/>
          <w:sz w:val="24"/>
        </w:rPr>
      </w:pPr>
    </w:p>
    <w:p w14:paraId="56F587AA" w14:textId="63EA8B77" w:rsidR="00C717B5" w:rsidRPr="00B31E51" w:rsidRDefault="00C717B5" w:rsidP="006D600B">
      <w:pPr>
        <w:jc w:val="both"/>
        <w:rPr>
          <w:rFonts w:cs="Arial"/>
          <w:color w:val="000000" w:themeColor="text1"/>
          <w:sz w:val="24"/>
        </w:rPr>
      </w:pPr>
      <w:r w:rsidRPr="00B31E51">
        <w:rPr>
          <w:rFonts w:cs="Arial"/>
          <w:color w:val="000000" w:themeColor="text1"/>
          <w:sz w:val="24"/>
        </w:rPr>
        <w:t>The DAFNE</w:t>
      </w:r>
      <w:r w:rsidRPr="00735A8A">
        <w:rPr>
          <w:rFonts w:cs="Arial"/>
          <w:i/>
          <w:color w:val="000000" w:themeColor="text1"/>
          <w:sz w:val="24"/>
        </w:rPr>
        <w:t>plus</w:t>
      </w:r>
      <w:r w:rsidRPr="00B31E51">
        <w:rPr>
          <w:rFonts w:cs="Arial"/>
          <w:color w:val="000000" w:themeColor="text1"/>
          <w:sz w:val="24"/>
        </w:rPr>
        <w:t xml:space="preserve"> programme incorporates two forms of digital technology via the DAFNE</w:t>
      </w:r>
      <w:r w:rsidRPr="00735A8A">
        <w:rPr>
          <w:rFonts w:cs="Arial"/>
          <w:i/>
          <w:color w:val="000000" w:themeColor="text1"/>
          <w:sz w:val="24"/>
        </w:rPr>
        <w:t>plus</w:t>
      </w:r>
      <w:r w:rsidRPr="00B31E51">
        <w:rPr>
          <w:rFonts w:cs="Arial"/>
          <w:color w:val="000000" w:themeColor="text1"/>
          <w:sz w:val="24"/>
        </w:rPr>
        <w:t xml:space="preserve"> website</w:t>
      </w:r>
      <w:r>
        <w:rPr>
          <w:rFonts w:cs="Arial"/>
          <w:color w:val="000000" w:themeColor="text1"/>
          <w:sz w:val="24"/>
        </w:rPr>
        <w:t xml:space="preserve"> and box</w:t>
      </w:r>
      <w:r w:rsidRPr="00B31E51">
        <w:rPr>
          <w:rFonts w:cs="Arial"/>
          <w:color w:val="000000" w:themeColor="text1"/>
          <w:sz w:val="24"/>
        </w:rPr>
        <w:t xml:space="preserve">. Participants </w:t>
      </w:r>
      <w:r>
        <w:rPr>
          <w:rFonts w:cs="Arial"/>
          <w:color w:val="000000" w:themeColor="text1"/>
          <w:sz w:val="24"/>
        </w:rPr>
        <w:t>will be</w:t>
      </w:r>
      <w:r w:rsidRPr="00B31E51">
        <w:rPr>
          <w:rFonts w:cs="Arial"/>
          <w:color w:val="000000" w:themeColor="text1"/>
          <w:sz w:val="24"/>
        </w:rPr>
        <w:t xml:space="preserve"> given access </w:t>
      </w:r>
      <w:r w:rsidR="000F6934">
        <w:rPr>
          <w:rFonts w:cs="Arial"/>
          <w:color w:val="000000" w:themeColor="text1"/>
          <w:sz w:val="24"/>
        </w:rPr>
        <w:t xml:space="preserve">and training </w:t>
      </w:r>
      <w:r w:rsidRPr="00B31E51">
        <w:rPr>
          <w:rFonts w:cs="Arial"/>
          <w:color w:val="000000" w:themeColor="text1"/>
          <w:sz w:val="24"/>
        </w:rPr>
        <w:t xml:space="preserve">at the pre-course appointment, so that they can use the technology </w:t>
      </w:r>
      <w:r w:rsidR="00AB1396">
        <w:rPr>
          <w:rFonts w:cs="Arial"/>
          <w:color w:val="000000" w:themeColor="text1"/>
          <w:sz w:val="24"/>
        </w:rPr>
        <w:t>before</w:t>
      </w:r>
      <w:r w:rsidRPr="00B31E51">
        <w:rPr>
          <w:rFonts w:cs="Arial"/>
          <w:color w:val="000000" w:themeColor="text1"/>
          <w:sz w:val="24"/>
        </w:rPr>
        <w:t xml:space="preserve"> and </w:t>
      </w:r>
      <w:r w:rsidR="000F6934">
        <w:rPr>
          <w:rFonts w:cs="Arial"/>
          <w:color w:val="000000" w:themeColor="text1"/>
          <w:sz w:val="24"/>
        </w:rPr>
        <w:t>throughout the 12 month programme</w:t>
      </w:r>
      <w:r w:rsidRPr="00B31E51">
        <w:rPr>
          <w:rFonts w:cs="Arial"/>
          <w:color w:val="000000" w:themeColor="text1"/>
          <w:sz w:val="24"/>
        </w:rPr>
        <w:t xml:space="preserve">. </w:t>
      </w:r>
      <w:r>
        <w:rPr>
          <w:rFonts w:cs="Arial"/>
          <w:color w:val="000000" w:themeColor="text1"/>
          <w:sz w:val="24"/>
        </w:rPr>
        <w:t>T</w:t>
      </w:r>
      <w:r w:rsidRPr="00B31E51">
        <w:rPr>
          <w:rFonts w:cs="Arial"/>
          <w:color w:val="000000" w:themeColor="text1"/>
          <w:sz w:val="24"/>
        </w:rPr>
        <w:t>he DAFNE</w:t>
      </w:r>
      <w:r w:rsidRPr="00735A8A">
        <w:rPr>
          <w:rFonts w:cs="Arial"/>
          <w:i/>
          <w:color w:val="000000" w:themeColor="text1"/>
          <w:sz w:val="24"/>
        </w:rPr>
        <w:t>plus</w:t>
      </w:r>
      <w:r w:rsidRPr="00B31E51">
        <w:rPr>
          <w:rFonts w:cs="Arial"/>
          <w:color w:val="000000" w:themeColor="text1"/>
          <w:sz w:val="24"/>
        </w:rPr>
        <w:t xml:space="preserve"> </w:t>
      </w:r>
      <w:r>
        <w:rPr>
          <w:rFonts w:cs="Arial"/>
          <w:color w:val="000000" w:themeColor="text1"/>
          <w:sz w:val="24"/>
        </w:rPr>
        <w:t>box (</w:t>
      </w:r>
      <w:r w:rsidRPr="00805387">
        <w:rPr>
          <w:rFonts w:cs="Arial"/>
          <w:i/>
          <w:color w:val="000000" w:themeColor="text1"/>
          <w:sz w:val="24"/>
        </w:rPr>
        <w:t>Withcare+</w:t>
      </w:r>
      <w:r>
        <w:rPr>
          <w:rFonts w:cs="Arial"/>
          <w:color w:val="000000" w:themeColor="text1"/>
          <w:sz w:val="24"/>
        </w:rPr>
        <w:t xml:space="preserve">) </w:t>
      </w:r>
      <w:r w:rsidRPr="00B31E51">
        <w:rPr>
          <w:rFonts w:cs="Arial"/>
          <w:color w:val="000000" w:themeColor="text1"/>
          <w:sz w:val="24"/>
        </w:rPr>
        <w:t>transmits</w:t>
      </w:r>
      <w:r>
        <w:rPr>
          <w:rFonts w:cs="Arial"/>
          <w:color w:val="000000" w:themeColor="text1"/>
          <w:sz w:val="24"/>
        </w:rPr>
        <w:t>, stores</w:t>
      </w:r>
      <w:r w:rsidRPr="00B31E51">
        <w:rPr>
          <w:rFonts w:cs="Arial"/>
          <w:color w:val="000000" w:themeColor="text1"/>
          <w:sz w:val="24"/>
        </w:rPr>
        <w:t xml:space="preserve"> and displays blood glucose (and other) data on</w:t>
      </w:r>
      <w:r>
        <w:rPr>
          <w:rFonts w:cs="Arial"/>
          <w:color w:val="000000" w:themeColor="text1"/>
          <w:sz w:val="24"/>
        </w:rPr>
        <w:t xml:space="preserve"> a secure-server via</w:t>
      </w:r>
      <w:r w:rsidRPr="00B31E51">
        <w:rPr>
          <w:rFonts w:cs="Arial"/>
          <w:color w:val="000000" w:themeColor="text1"/>
          <w:sz w:val="24"/>
        </w:rPr>
        <w:t xml:space="preserve"> the DAFNE</w:t>
      </w:r>
      <w:r w:rsidRPr="00735A8A">
        <w:rPr>
          <w:rFonts w:cs="Arial"/>
          <w:i/>
          <w:color w:val="000000" w:themeColor="text1"/>
          <w:sz w:val="24"/>
        </w:rPr>
        <w:t>plus</w:t>
      </w:r>
      <w:r w:rsidRPr="00B31E51">
        <w:rPr>
          <w:rFonts w:cs="Arial"/>
          <w:color w:val="000000" w:themeColor="text1"/>
          <w:sz w:val="24"/>
        </w:rPr>
        <w:t xml:space="preserve"> website in formats to help people with T1D and their </w:t>
      </w:r>
      <w:r w:rsidR="00797013">
        <w:rPr>
          <w:rFonts w:cs="Arial"/>
          <w:color w:val="000000" w:themeColor="text1"/>
          <w:sz w:val="24"/>
        </w:rPr>
        <w:t>HCP</w:t>
      </w:r>
      <w:r w:rsidRPr="00B31E51">
        <w:rPr>
          <w:rFonts w:cs="Arial"/>
          <w:color w:val="000000" w:themeColor="text1"/>
          <w:sz w:val="24"/>
        </w:rPr>
        <w:t xml:space="preserve">s recognise and interpret </w:t>
      </w:r>
      <w:r w:rsidR="00797013">
        <w:rPr>
          <w:rFonts w:cs="Arial"/>
          <w:color w:val="000000" w:themeColor="text1"/>
          <w:sz w:val="24"/>
        </w:rPr>
        <w:t xml:space="preserve">blood glucose </w:t>
      </w:r>
      <w:r w:rsidRPr="00B31E51">
        <w:rPr>
          <w:rFonts w:cs="Arial"/>
          <w:color w:val="000000" w:themeColor="text1"/>
          <w:sz w:val="24"/>
        </w:rPr>
        <w:t xml:space="preserve">patterns. </w:t>
      </w:r>
      <w:r w:rsidR="001B2B22">
        <w:rPr>
          <w:rFonts w:cs="Arial"/>
          <w:color w:val="000000" w:themeColor="text1"/>
          <w:sz w:val="24"/>
        </w:rPr>
        <w:t>T</w:t>
      </w:r>
      <w:r w:rsidRPr="00B31E51">
        <w:rPr>
          <w:rFonts w:cs="Arial"/>
          <w:color w:val="000000" w:themeColor="text1"/>
          <w:sz w:val="24"/>
        </w:rPr>
        <w:t xml:space="preserve">he website </w:t>
      </w:r>
      <w:r>
        <w:rPr>
          <w:rFonts w:cs="Arial"/>
          <w:color w:val="000000" w:themeColor="text1"/>
          <w:sz w:val="24"/>
        </w:rPr>
        <w:t>also includes a</w:t>
      </w:r>
      <w:r w:rsidR="000F6934">
        <w:rPr>
          <w:rFonts w:cs="Arial"/>
          <w:color w:val="000000" w:themeColor="text1"/>
          <w:sz w:val="24"/>
        </w:rPr>
        <w:t xml:space="preserve">n </w:t>
      </w:r>
      <w:r w:rsidR="0022071B">
        <w:rPr>
          <w:rFonts w:cs="Arial"/>
          <w:color w:val="000000" w:themeColor="text1"/>
          <w:sz w:val="24"/>
        </w:rPr>
        <w:t xml:space="preserve">e-learning </w:t>
      </w:r>
      <w:r>
        <w:rPr>
          <w:rFonts w:cs="Arial"/>
          <w:color w:val="000000" w:themeColor="text1"/>
          <w:sz w:val="24"/>
        </w:rPr>
        <w:t xml:space="preserve">section </w:t>
      </w:r>
      <w:r w:rsidRPr="00B31E51">
        <w:rPr>
          <w:rFonts w:cs="Arial"/>
          <w:color w:val="000000" w:themeColor="text1"/>
          <w:sz w:val="24"/>
        </w:rPr>
        <w:t xml:space="preserve">to </w:t>
      </w:r>
      <w:r>
        <w:rPr>
          <w:rFonts w:cs="Arial"/>
          <w:color w:val="000000" w:themeColor="text1"/>
          <w:sz w:val="24"/>
        </w:rPr>
        <w:t>help maintain knowledge of the DAFNE</w:t>
      </w:r>
      <w:r w:rsidRPr="00F06F02">
        <w:rPr>
          <w:rFonts w:cs="Arial"/>
          <w:i/>
          <w:color w:val="000000" w:themeColor="text1"/>
          <w:sz w:val="24"/>
        </w:rPr>
        <w:t>plus</w:t>
      </w:r>
      <w:r>
        <w:rPr>
          <w:rFonts w:cs="Arial"/>
          <w:color w:val="000000" w:themeColor="text1"/>
          <w:sz w:val="24"/>
        </w:rPr>
        <w:t xml:space="preserve"> approach</w:t>
      </w:r>
      <w:r w:rsidR="0022071B">
        <w:rPr>
          <w:rFonts w:cs="Arial"/>
          <w:color w:val="000000" w:themeColor="text1"/>
          <w:sz w:val="24"/>
        </w:rPr>
        <w:t>.</w:t>
      </w:r>
      <w:r>
        <w:rPr>
          <w:rFonts w:cs="Arial"/>
          <w:color w:val="000000" w:themeColor="text1"/>
          <w:sz w:val="24"/>
        </w:rPr>
        <w:t xml:space="preserve"> </w:t>
      </w:r>
    </w:p>
    <w:p w14:paraId="3EA7B38E" w14:textId="77777777" w:rsidR="0087603F" w:rsidRDefault="0087603F" w:rsidP="00C5675B">
      <w:pPr>
        <w:jc w:val="both"/>
        <w:rPr>
          <w:rFonts w:cs="Arial"/>
          <w:b/>
          <w:color w:val="000000" w:themeColor="text1"/>
          <w:sz w:val="24"/>
          <w:szCs w:val="28"/>
        </w:rPr>
      </w:pPr>
    </w:p>
    <w:p w14:paraId="6FC5035E" w14:textId="11E2A384" w:rsidR="00C717B5" w:rsidRPr="00C5675B" w:rsidRDefault="00C717B5" w:rsidP="00C5675B">
      <w:pPr>
        <w:jc w:val="both"/>
        <w:rPr>
          <w:rFonts w:cs="Arial"/>
          <w:b/>
          <w:color w:val="000000" w:themeColor="text1"/>
          <w:sz w:val="24"/>
          <w:szCs w:val="28"/>
        </w:rPr>
      </w:pPr>
      <w:r w:rsidRPr="00C5675B">
        <w:rPr>
          <w:rFonts w:cs="Arial"/>
          <w:b/>
          <w:color w:val="000000" w:themeColor="text1"/>
          <w:sz w:val="24"/>
          <w:szCs w:val="28"/>
        </w:rPr>
        <w:t>Training</w:t>
      </w:r>
      <w:r w:rsidR="00C524FF" w:rsidRPr="00C5675B">
        <w:rPr>
          <w:rFonts w:cs="Arial"/>
          <w:b/>
          <w:color w:val="000000" w:themeColor="text1"/>
          <w:sz w:val="24"/>
          <w:szCs w:val="28"/>
        </w:rPr>
        <w:t xml:space="preserve"> and supervision</w:t>
      </w:r>
    </w:p>
    <w:p w14:paraId="741F275B" w14:textId="77777777" w:rsidR="00C717B5" w:rsidRPr="00C5675B" w:rsidRDefault="00C717B5" w:rsidP="00C717B5">
      <w:pPr>
        <w:pStyle w:val="ListParagraph"/>
        <w:jc w:val="both"/>
        <w:rPr>
          <w:rFonts w:ascii="Arial" w:hAnsi="Arial" w:cs="Arial"/>
          <w:b/>
          <w:color w:val="000000" w:themeColor="text1"/>
        </w:rPr>
      </w:pPr>
    </w:p>
    <w:p w14:paraId="10522D39" w14:textId="15474107" w:rsidR="00C717B5" w:rsidRPr="00B31E51" w:rsidRDefault="00C717B5" w:rsidP="00C5675B">
      <w:pPr>
        <w:jc w:val="both"/>
        <w:rPr>
          <w:rFonts w:cs="Arial"/>
          <w:color w:val="000000" w:themeColor="text1"/>
          <w:sz w:val="24"/>
        </w:rPr>
      </w:pPr>
      <w:r w:rsidRPr="00B31E51">
        <w:rPr>
          <w:rFonts w:cs="Arial"/>
          <w:color w:val="000000" w:themeColor="text1"/>
          <w:sz w:val="24"/>
        </w:rPr>
        <w:t>A clinical psychologist who specialises in diabetes and is experienced in training diabetes professionals in behaviour change skills will lead the development and delivery of DAFNE</w:t>
      </w:r>
      <w:r w:rsidRPr="00735A8A">
        <w:rPr>
          <w:rFonts w:cs="Arial"/>
          <w:i/>
          <w:color w:val="000000" w:themeColor="text1"/>
          <w:sz w:val="24"/>
        </w:rPr>
        <w:t>plus</w:t>
      </w:r>
      <w:r w:rsidRPr="00B31E51">
        <w:rPr>
          <w:rFonts w:cs="Arial"/>
          <w:color w:val="000000" w:themeColor="text1"/>
          <w:sz w:val="24"/>
        </w:rPr>
        <w:t xml:space="preserve"> facilitator training</w:t>
      </w:r>
      <w:r w:rsidR="001B2B22">
        <w:rPr>
          <w:rFonts w:cs="Arial"/>
          <w:color w:val="000000" w:themeColor="text1"/>
          <w:sz w:val="24"/>
        </w:rPr>
        <w:t xml:space="preserve"> and supervision</w:t>
      </w:r>
      <w:r w:rsidRPr="00B31E51">
        <w:rPr>
          <w:rFonts w:cs="Arial"/>
          <w:color w:val="000000" w:themeColor="text1"/>
          <w:sz w:val="24"/>
        </w:rPr>
        <w:t xml:space="preserve">. The training programme </w:t>
      </w:r>
      <w:r w:rsidR="00AB1396">
        <w:rPr>
          <w:rFonts w:cs="Arial"/>
          <w:color w:val="000000" w:themeColor="text1"/>
          <w:sz w:val="24"/>
        </w:rPr>
        <w:t xml:space="preserve">is delivered over a maximum of five days and </w:t>
      </w:r>
      <w:r w:rsidRPr="00B31E51">
        <w:rPr>
          <w:rFonts w:cs="Arial"/>
          <w:color w:val="000000" w:themeColor="text1"/>
          <w:sz w:val="24"/>
        </w:rPr>
        <w:t>will build on the existing skill</w:t>
      </w:r>
      <w:r w:rsidR="009F08E6">
        <w:rPr>
          <w:rFonts w:cs="Arial"/>
          <w:color w:val="000000" w:themeColor="text1"/>
          <w:sz w:val="24"/>
        </w:rPr>
        <w:t>-</w:t>
      </w:r>
      <w:r w:rsidRPr="00B31E51">
        <w:rPr>
          <w:rFonts w:cs="Arial"/>
          <w:color w:val="000000" w:themeColor="text1"/>
          <w:sz w:val="24"/>
        </w:rPr>
        <w:t xml:space="preserve">set of DAFNE facilitators but also draw on additional behavioural science to deliver the revised curriculum. </w:t>
      </w:r>
    </w:p>
    <w:p w14:paraId="3B9DAD83" w14:textId="77777777" w:rsidR="00C717B5" w:rsidRPr="00B31E51" w:rsidRDefault="00C717B5" w:rsidP="00C717B5">
      <w:pPr>
        <w:jc w:val="both"/>
        <w:rPr>
          <w:rFonts w:cs="Arial"/>
          <w:color w:val="000000" w:themeColor="text1"/>
          <w:sz w:val="24"/>
        </w:rPr>
      </w:pPr>
    </w:p>
    <w:p w14:paraId="71445EEE" w14:textId="40E64158" w:rsidR="00C717B5" w:rsidRDefault="00C717B5" w:rsidP="00944484">
      <w:pPr>
        <w:jc w:val="both"/>
        <w:rPr>
          <w:rFonts w:cs="Arial"/>
          <w:b/>
          <w:color w:val="000000" w:themeColor="text1"/>
          <w:sz w:val="28"/>
        </w:rPr>
      </w:pPr>
      <w:r w:rsidRPr="00B31E51">
        <w:rPr>
          <w:rFonts w:cs="Arial"/>
          <w:color w:val="000000" w:themeColor="text1"/>
          <w:sz w:val="24"/>
        </w:rPr>
        <w:t xml:space="preserve">Throughout the trial, </w:t>
      </w:r>
      <w:r w:rsidR="009F08E6">
        <w:rPr>
          <w:rFonts w:cs="Arial"/>
          <w:color w:val="000000" w:themeColor="text1"/>
          <w:sz w:val="24"/>
        </w:rPr>
        <w:t xml:space="preserve">facilitators in </w:t>
      </w:r>
      <w:r w:rsidRPr="00B31E51">
        <w:rPr>
          <w:rFonts w:cs="Arial"/>
          <w:color w:val="000000" w:themeColor="text1"/>
          <w:sz w:val="24"/>
        </w:rPr>
        <w:t>each</w:t>
      </w:r>
      <w:r w:rsidR="00797013">
        <w:rPr>
          <w:rFonts w:cs="Arial"/>
          <w:color w:val="000000" w:themeColor="text1"/>
          <w:sz w:val="24"/>
        </w:rPr>
        <w:t xml:space="preserve"> </w:t>
      </w:r>
      <w:r w:rsidRPr="00B31E51">
        <w:rPr>
          <w:rFonts w:cs="Arial"/>
          <w:color w:val="000000" w:themeColor="text1"/>
          <w:sz w:val="24"/>
        </w:rPr>
        <w:t xml:space="preserve">centre will be offered supervision by the clinical psychologist </w:t>
      </w:r>
      <w:r w:rsidR="00C5675B">
        <w:rPr>
          <w:rFonts w:cs="Arial"/>
          <w:color w:val="000000" w:themeColor="text1"/>
          <w:sz w:val="24"/>
        </w:rPr>
        <w:t>and a DAFNE</w:t>
      </w:r>
      <w:r w:rsidR="00C5675B" w:rsidRPr="00C5675B">
        <w:rPr>
          <w:rFonts w:cs="Arial"/>
          <w:i/>
          <w:iCs/>
          <w:color w:val="000000" w:themeColor="text1"/>
          <w:sz w:val="24"/>
        </w:rPr>
        <w:t>plus</w:t>
      </w:r>
      <w:r w:rsidR="00C5675B">
        <w:rPr>
          <w:rFonts w:cs="Arial"/>
          <w:color w:val="000000" w:themeColor="text1"/>
          <w:sz w:val="24"/>
        </w:rPr>
        <w:t xml:space="preserve"> facilitator</w:t>
      </w:r>
      <w:r w:rsidR="00AB1396">
        <w:rPr>
          <w:rFonts w:cs="Arial"/>
          <w:color w:val="000000" w:themeColor="text1"/>
          <w:sz w:val="24"/>
        </w:rPr>
        <w:t>.</w:t>
      </w:r>
      <w:r w:rsidRPr="00B31E51">
        <w:rPr>
          <w:rFonts w:cs="Arial"/>
          <w:color w:val="000000" w:themeColor="text1"/>
          <w:sz w:val="24"/>
        </w:rPr>
        <w:t xml:space="preserve"> Supervision will comprise of</w:t>
      </w:r>
      <w:r w:rsidR="001B2B22">
        <w:rPr>
          <w:rFonts w:cs="Arial"/>
          <w:color w:val="000000" w:themeColor="text1"/>
          <w:sz w:val="24"/>
        </w:rPr>
        <w:t xml:space="preserve"> </w:t>
      </w:r>
      <w:r w:rsidR="0022071B">
        <w:rPr>
          <w:rFonts w:cs="Arial"/>
          <w:color w:val="000000" w:themeColor="text1"/>
          <w:sz w:val="24"/>
        </w:rPr>
        <w:t xml:space="preserve">weekly </w:t>
      </w:r>
      <w:r w:rsidR="001B2B22">
        <w:rPr>
          <w:rFonts w:cs="Arial"/>
          <w:color w:val="000000" w:themeColor="text1"/>
          <w:sz w:val="24"/>
        </w:rPr>
        <w:t>teleconferences before and during the first DAFNE</w:t>
      </w:r>
      <w:r w:rsidR="001B2B22" w:rsidRPr="00797013">
        <w:rPr>
          <w:rFonts w:cs="Arial"/>
          <w:i/>
          <w:color w:val="000000" w:themeColor="text1"/>
          <w:sz w:val="24"/>
        </w:rPr>
        <w:t>plus</w:t>
      </w:r>
      <w:r w:rsidR="001B2B22">
        <w:rPr>
          <w:rFonts w:cs="Arial"/>
          <w:color w:val="000000" w:themeColor="text1"/>
          <w:sz w:val="24"/>
        </w:rPr>
        <w:t xml:space="preserve"> course, weekly email supervision</w:t>
      </w:r>
      <w:r w:rsidR="0022071B">
        <w:rPr>
          <w:rFonts w:cs="Arial"/>
          <w:color w:val="000000" w:themeColor="text1"/>
          <w:sz w:val="24"/>
        </w:rPr>
        <w:t xml:space="preserve"> (for subsequent courses)</w:t>
      </w:r>
      <w:r w:rsidR="001B2B22">
        <w:rPr>
          <w:rFonts w:cs="Arial"/>
          <w:color w:val="000000" w:themeColor="text1"/>
          <w:sz w:val="24"/>
        </w:rPr>
        <w:t xml:space="preserve"> and ad-hoc remote support</w:t>
      </w:r>
      <w:r w:rsidR="00AB1396">
        <w:rPr>
          <w:rFonts w:cs="Arial"/>
          <w:color w:val="000000" w:themeColor="text1"/>
          <w:sz w:val="24"/>
        </w:rPr>
        <w:t xml:space="preserve"> to</w:t>
      </w:r>
      <w:r w:rsidRPr="00B31E51">
        <w:rPr>
          <w:rFonts w:cs="Arial"/>
          <w:color w:val="000000" w:themeColor="text1"/>
          <w:sz w:val="24"/>
        </w:rPr>
        <w:t xml:space="preserve"> allow issues that arise to be addressed in a timely manner during the trial.</w:t>
      </w:r>
      <w:r>
        <w:rPr>
          <w:rFonts w:cs="Arial"/>
          <w:color w:val="000000" w:themeColor="text1"/>
          <w:sz w:val="24"/>
        </w:rPr>
        <w:t xml:space="preserve"> </w:t>
      </w:r>
    </w:p>
    <w:p w14:paraId="525EACA2" w14:textId="77777777" w:rsidR="001B2B22" w:rsidRDefault="001B2B22" w:rsidP="00944484">
      <w:pPr>
        <w:jc w:val="both"/>
        <w:rPr>
          <w:rFonts w:cs="Arial"/>
          <w:b/>
          <w:color w:val="000000" w:themeColor="text1"/>
          <w:sz w:val="28"/>
        </w:rPr>
      </w:pPr>
    </w:p>
    <w:p w14:paraId="589214E9" w14:textId="77777777" w:rsidR="00AE0CAF" w:rsidRDefault="00AE0CAF" w:rsidP="003156D7">
      <w:pPr>
        <w:rPr>
          <w:b/>
          <w:sz w:val="28"/>
        </w:rPr>
      </w:pPr>
    </w:p>
    <w:p w14:paraId="62326CC7" w14:textId="77777777" w:rsidR="00AE0CAF" w:rsidRDefault="00AE0CAF" w:rsidP="003156D7">
      <w:pPr>
        <w:rPr>
          <w:b/>
          <w:sz w:val="28"/>
        </w:rPr>
      </w:pPr>
    </w:p>
    <w:p w14:paraId="3E9F6788" w14:textId="7739099B" w:rsidR="00084D40" w:rsidRPr="003156D7" w:rsidRDefault="00084D40" w:rsidP="003156D7">
      <w:pPr>
        <w:rPr>
          <w:b/>
          <w:sz w:val="20"/>
        </w:rPr>
      </w:pPr>
      <w:r w:rsidRPr="003156D7">
        <w:rPr>
          <w:b/>
          <w:sz w:val="28"/>
        </w:rPr>
        <w:t xml:space="preserve">Criteria for withdrawal from </w:t>
      </w:r>
      <w:r w:rsidR="003156D7">
        <w:rPr>
          <w:b/>
          <w:sz w:val="28"/>
        </w:rPr>
        <w:t xml:space="preserve">or discontinuation of </w:t>
      </w:r>
      <w:r w:rsidRPr="003156D7">
        <w:rPr>
          <w:b/>
          <w:sz w:val="28"/>
        </w:rPr>
        <w:t>trial treatment</w:t>
      </w:r>
    </w:p>
    <w:p w14:paraId="52A248B4" w14:textId="77777777" w:rsidR="005128DE" w:rsidRPr="005128DE" w:rsidRDefault="005128DE" w:rsidP="00AA7FD7">
      <w:pPr>
        <w:jc w:val="both"/>
        <w:rPr>
          <w:rFonts w:cs="Arial"/>
          <w:color w:val="000000" w:themeColor="text1"/>
          <w:sz w:val="24"/>
        </w:rPr>
      </w:pPr>
    </w:p>
    <w:p w14:paraId="69403A5A" w14:textId="77777777" w:rsidR="003156D7" w:rsidRDefault="00084D40" w:rsidP="00AA7FD7">
      <w:pPr>
        <w:jc w:val="both"/>
        <w:rPr>
          <w:rFonts w:cs="Arial"/>
          <w:color w:val="000000" w:themeColor="text1"/>
          <w:sz w:val="24"/>
        </w:rPr>
      </w:pPr>
      <w:r w:rsidRPr="005128DE">
        <w:rPr>
          <w:rFonts w:cs="Arial"/>
          <w:color w:val="000000" w:themeColor="text1"/>
          <w:sz w:val="24"/>
        </w:rPr>
        <w:t xml:space="preserve">The decision regarding participation in the study is entirely voluntary, and consent regarding study participation may be withdrawn at any time without affecting the quality or quantity of future medical care. No study-specific interventions will be </w:t>
      </w:r>
      <w:r w:rsidR="005128DE">
        <w:rPr>
          <w:rFonts w:cs="Arial"/>
          <w:color w:val="000000" w:themeColor="text1"/>
          <w:sz w:val="24"/>
        </w:rPr>
        <w:t>undertaken</w:t>
      </w:r>
      <w:r w:rsidRPr="005128DE">
        <w:rPr>
          <w:rFonts w:cs="Arial"/>
          <w:color w:val="000000" w:themeColor="text1"/>
          <w:sz w:val="24"/>
        </w:rPr>
        <w:t xml:space="preserve"> before informed consent has been obtained.</w:t>
      </w:r>
    </w:p>
    <w:p w14:paraId="70797342" w14:textId="45020724" w:rsidR="00084D40" w:rsidRPr="005128DE" w:rsidRDefault="00084D40" w:rsidP="00AA7FD7">
      <w:pPr>
        <w:jc w:val="both"/>
        <w:rPr>
          <w:color w:val="000000" w:themeColor="text1"/>
          <w:sz w:val="24"/>
        </w:rPr>
      </w:pPr>
      <w:r w:rsidRPr="005128DE">
        <w:rPr>
          <w:rFonts w:cs="Arial"/>
          <w:color w:val="000000" w:themeColor="text1"/>
          <w:sz w:val="24"/>
        </w:rPr>
        <w:t xml:space="preserve"> </w:t>
      </w:r>
    </w:p>
    <w:p w14:paraId="76E8D906" w14:textId="42360AF3" w:rsidR="00084D40" w:rsidRDefault="00084D40" w:rsidP="009C7F44">
      <w:pPr>
        <w:jc w:val="both"/>
        <w:rPr>
          <w:rFonts w:cs="Arial"/>
          <w:color w:val="000000" w:themeColor="text1"/>
          <w:sz w:val="24"/>
        </w:rPr>
      </w:pPr>
      <w:r w:rsidRPr="005128DE">
        <w:rPr>
          <w:rFonts w:cs="Arial"/>
          <w:color w:val="000000" w:themeColor="text1"/>
          <w:sz w:val="24"/>
        </w:rPr>
        <w:t xml:space="preserve">A participant </w:t>
      </w:r>
      <w:r w:rsidR="009C7F44">
        <w:rPr>
          <w:rFonts w:cs="Arial"/>
          <w:color w:val="000000" w:themeColor="text1"/>
          <w:sz w:val="24"/>
        </w:rPr>
        <w:t>will</w:t>
      </w:r>
      <w:r w:rsidRPr="005128DE">
        <w:rPr>
          <w:rFonts w:cs="Arial"/>
          <w:color w:val="000000" w:themeColor="text1"/>
          <w:sz w:val="24"/>
        </w:rPr>
        <w:t xml:space="preserve"> be classed as complete if they have continued in the study until the last protocol defined intervention (final </w:t>
      </w:r>
      <w:r w:rsidR="00797013">
        <w:rPr>
          <w:rFonts w:cs="Arial"/>
          <w:color w:val="000000" w:themeColor="text1"/>
          <w:sz w:val="24"/>
        </w:rPr>
        <w:t xml:space="preserve">12 month </w:t>
      </w:r>
      <w:r w:rsidR="005128DE">
        <w:rPr>
          <w:rFonts w:cs="Arial"/>
          <w:color w:val="000000" w:themeColor="text1"/>
          <w:sz w:val="24"/>
        </w:rPr>
        <w:t>outcome assessment</w:t>
      </w:r>
      <w:r w:rsidR="00797013">
        <w:rPr>
          <w:rFonts w:cs="Arial"/>
          <w:color w:val="000000" w:themeColor="text1"/>
          <w:sz w:val="24"/>
        </w:rPr>
        <w:t>)</w:t>
      </w:r>
      <w:r w:rsidRPr="005128DE">
        <w:rPr>
          <w:rFonts w:cs="Arial"/>
          <w:color w:val="000000" w:themeColor="text1"/>
          <w:sz w:val="24"/>
        </w:rPr>
        <w:t>, although there may be missing data for individual participants.</w:t>
      </w:r>
    </w:p>
    <w:p w14:paraId="568F46A1" w14:textId="4BB8F39E" w:rsidR="00AA7FD7" w:rsidRDefault="00AA7FD7" w:rsidP="00AA7FD7">
      <w:pPr>
        <w:jc w:val="both"/>
        <w:rPr>
          <w:rFonts w:cs="Arial"/>
          <w:color w:val="000000" w:themeColor="text1"/>
          <w:sz w:val="24"/>
        </w:rPr>
      </w:pPr>
    </w:p>
    <w:p w14:paraId="4436DBA6" w14:textId="0754970B" w:rsidR="000948CB" w:rsidRPr="000948CB" w:rsidRDefault="000948CB" w:rsidP="00AA7FD7">
      <w:pPr>
        <w:jc w:val="both"/>
        <w:rPr>
          <w:b/>
          <w:bCs/>
          <w:color w:val="000000" w:themeColor="text1"/>
          <w:sz w:val="28"/>
          <w:szCs w:val="32"/>
        </w:rPr>
      </w:pPr>
      <w:r w:rsidRPr="000948CB">
        <w:rPr>
          <w:b/>
          <w:bCs/>
          <w:color w:val="000000" w:themeColor="text1"/>
          <w:sz w:val="28"/>
          <w:szCs w:val="32"/>
        </w:rPr>
        <w:t>Random allocation</w:t>
      </w:r>
    </w:p>
    <w:p w14:paraId="1F3E6F64" w14:textId="10AF291C" w:rsidR="00B01042" w:rsidRPr="002F72F5" w:rsidRDefault="00B01042" w:rsidP="000948CB">
      <w:pPr>
        <w:pStyle w:val="ListParagraph"/>
        <w:jc w:val="both"/>
        <w:rPr>
          <w:rFonts w:asciiTheme="minorBidi" w:hAnsiTheme="minorBidi" w:cstheme="minorBidi"/>
          <w:b/>
          <w:bCs/>
          <w:color w:val="000000" w:themeColor="text1"/>
        </w:rPr>
      </w:pPr>
    </w:p>
    <w:p w14:paraId="4D1DF8FE" w14:textId="22190EA8" w:rsidR="002E2C88" w:rsidRPr="00B06C3B" w:rsidRDefault="002E2C88" w:rsidP="00AE0CAF">
      <w:pPr>
        <w:jc w:val="both"/>
        <w:rPr>
          <w:rFonts w:asciiTheme="minorBidi" w:hAnsiTheme="minorBidi" w:cstheme="minorBidi"/>
          <w:color w:val="000000" w:themeColor="text1"/>
          <w:sz w:val="24"/>
        </w:rPr>
      </w:pPr>
      <w:r w:rsidRPr="00B06C3B">
        <w:rPr>
          <w:rFonts w:asciiTheme="minorBidi" w:hAnsiTheme="minorBidi" w:cstheme="minorBidi"/>
          <w:color w:val="000000" w:themeColor="text1"/>
          <w:sz w:val="24"/>
        </w:rPr>
        <w:t>Upon recruitment of centres and following ethical approval, the participating centres will be randomised on a 1:1 basis to control or the intervention arm of the trial</w:t>
      </w:r>
      <w:r w:rsidR="00392601">
        <w:rPr>
          <w:rFonts w:asciiTheme="minorBidi" w:hAnsiTheme="minorBidi" w:cstheme="minorBidi"/>
          <w:color w:val="000000" w:themeColor="text1"/>
          <w:sz w:val="24"/>
        </w:rPr>
        <w:t xml:space="preserve"> by the trial statistician</w:t>
      </w:r>
      <w:r w:rsidRPr="00B06C3B">
        <w:rPr>
          <w:rFonts w:asciiTheme="minorBidi" w:hAnsiTheme="minorBidi" w:cstheme="minorBidi"/>
          <w:color w:val="000000" w:themeColor="text1"/>
          <w:sz w:val="24"/>
        </w:rPr>
        <w:t>. As there are numerous stratification variables that have been identified as clinically important and the small number of randomising centres, a covariate constrained methodology</w:t>
      </w:r>
      <w:r w:rsidR="004F6664">
        <w:rPr>
          <w:rFonts w:asciiTheme="minorBidi" w:hAnsiTheme="minorBidi" w:cstheme="minorBidi"/>
          <w:color w:val="000000" w:themeColor="text1"/>
          <w:sz w:val="24"/>
        </w:rPr>
        <w:fldChar w:fldCharType="begin" w:fldLock="1"/>
      </w:r>
      <w:r w:rsidR="005D7FBE">
        <w:rPr>
          <w:rFonts w:asciiTheme="minorBidi" w:hAnsiTheme="minorBidi" w:cstheme="minorBidi"/>
          <w:color w:val="000000" w:themeColor="text1"/>
          <w:sz w:val="24"/>
        </w:rPr>
        <w:instrText>ADDIN CSL_CITATION {"citationItems":[{"id":"ITEM-1","itemData":{"DOI":"10.1002/sim.6813","ISSN":"1097-0258","PMID":"26598212","abstract":"In group-randomized trials, a frequent practical limitation to adopting rigorous research designs is that only a small number of groups may be available, and therefore, simple randomization cannot be relied upon to balance key group-level prognostic factors across the comparison arms. Constrained randomization is an allocation technique proposed for ensuring balance and can be used together with a permutation test for randomization-based inference. However, several statistical issues have not been thoroughly studied when constrained randomization is considered. Therefore, we used simulations to evaluate key issues including the following: the impact of the choice of the candidate set size and the balance metric used to guide randomization; the choice of adjusted versus unadjusted analysis; and the use of model-based versus randomization-based tests. We conducted a simulation study to compare the type I error and power of the F-test and the permutation test in the presence of group-level potential confounders. Our results indicate that the adjusted F-test and the permutation test perform similarly and slightly better for constrained randomization relative to simple randomization in terms of power, and the candidate set size does not substantially affect their power. Under constrained randomization, however, the unadjusted F-test is conservative, while the unadjusted permutation test carries the desired type I error rate as long as the candidate set size is not too small; the unadjusted permutation test is consistently more powerful than the unadjusted F-test and gains power as candidate set size changes. Finally, we caution against the inappropriate specification of permutation distribution under constrained randomization. An ongoing group-randomized trial is used as an illustrative example for the constrained randomization design.","author":[{"dropping-particle":"","family":"Li","given":"Fan","non-dropping-particle":"","parse-names":false,"suffix":""},{"dropping-particle":"","family":"Lokhnygina","given":"Yuliya","non-dropping-particle":"","parse-names":false,"suffix":""},{"dropping-particle":"","family":"Murray","given":"David M","non-dropping-particle":"","parse-names":false,"suffix":""},{"dropping-particle":"","family":"Heagerty","given":"Patrick J","non-dropping-particle":"","parse-names":false,"suffix":""},{"dropping-particle":"","family":"DeLong","given":"Elizabeth R","non-dropping-particle":"","parse-names":false,"suffix":""}],"container-title":"Statistics in medicine","id":"ITEM-1","issue":"10","issued":{"date-parts":[["2016","5","10"]]},"page":"1565-79","publisher":"NIH Public Access","title":"An evaluation of constrained randomization for the design and analysis of group-randomized trials.","type":"article-journal","volume":"35"},"uris":["http://www.mendeley.com/documents/?uuid=614f6c65-fca3-3699-849f-773558708075"]}],"mendeley":{"formattedCitation":"[24]","plainTextFormattedCitation":"[24]","previouslyFormattedCitation":"[25]"},"properties":{"noteIndex":0},"schema":"https://github.com/citation-style-language/schema/raw/master/csl-citation.json"}</w:instrText>
      </w:r>
      <w:r w:rsidR="004F6664">
        <w:rPr>
          <w:rFonts w:asciiTheme="minorBidi" w:hAnsiTheme="minorBidi" w:cstheme="minorBidi"/>
          <w:color w:val="000000" w:themeColor="text1"/>
          <w:sz w:val="24"/>
        </w:rPr>
        <w:fldChar w:fldCharType="separate"/>
      </w:r>
      <w:r w:rsidR="005D7FBE" w:rsidRPr="005D7FBE">
        <w:rPr>
          <w:rFonts w:asciiTheme="minorBidi" w:hAnsiTheme="minorBidi" w:cstheme="minorBidi"/>
          <w:noProof/>
          <w:color w:val="000000" w:themeColor="text1"/>
          <w:sz w:val="24"/>
        </w:rPr>
        <w:t>[24]</w:t>
      </w:r>
      <w:r w:rsidR="004F6664">
        <w:rPr>
          <w:rFonts w:asciiTheme="minorBidi" w:hAnsiTheme="minorBidi" w:cstheme="minorBidi"/>
          <w:color w:val="000000" w:themeColor="text1"/>
          <w:sz w:val="24"/>
        </w:rPr>
        <w:fldChar w:fldCharType="end"/>
      </w:r>
      <w:r w:rsidRPr="00B06C3B">
        <w:rPr>
          <w:rFonts w:asciiTheme="minorBidi" w:hAnsiTheme="minorBidi" w:cstheme="minorBidi"/>
          <w:color w:val="000000" w:themeColor="text1"/>
          <w:sz w:val="24"/>
        </w:rPr>
        <w:t xml:space="preserve"> will be employed.  The centres will be matched on the number of patients within the centre, number of educators within the centre and number of previous DAFNE courses delivered (as a marker of centre experience) to balance centres between the two arms of the trial.</w:t>
      </w:r>
      <w:r w:rsidR="00725FC4" w:rsidRPr="00B06C3B">
        <w:rPr>
          <w:rFonts w:asciiTheme="minorBidi" w:hAnsiTheme="minorBidi" w:cstheme="minorBidi"/>
          <w:color w:val="000000" w:themeColor="text1"/>
          <w:sz w:val="24"/>
        </w:rPr>
        <w:t xml:space="preserve"> </w:t>
      </w:r>
    </w:p>
    <w:p w14:paraId="0ABD3427" w14:textId="6AFCCFBB" w:rsidR="00B01042" w:rsidRPr="00B06C3B" w:rsidRDefault="00B01042" w:rsidP="00263F53">
      <w:pPr>
        <w:ind w:left="360"/>
        <w:jc w:val="both"/>
        <w:rPr>
          <w:rFonts w:asciiTheme="minorBidi" w:hAnsiTheme="minorBidi" w:cstheme="minorBidi"/>
          <w:color w:val="000000" w:themeColor="text1"/>
          <w:sz w:val="24"/>
        </w:rPr>
      </w:pPr>
    </w:p>
    <w:p w14:paraId="21662E60" w14:textId="60CFC97F" w:rsidR="000948CB" w:rsidRPr="000948CB" w:rsidRDefault="000948CB" w:rsidP="000E1318">
      <w:pPr>
        <w:pStyle w:val="NormalWeb"/>
        <w:spacing w:before="0" w:beforeAutospacing="0" w:after="0" w:afterAutospacing="0"/>
        <w:jc w:val="both"/>
        <w:rPr>
          <w:rFonts w:asciiTheme="minorBidi" w:hAnsiTheme="minorBidi" w:cstheme="minorBidi"/>
          <w:b/>
          <w:bCs/>
          <w:color w:val="000000"/>
          <w:sz w:val="28"/>
          <w:szCs w:val="28"/>
        </w:rPr>
      </w:pPr>
      <w:r w:rsidRPr="000948CB">
        <w:rPr>
          <w:rFonts w:asciiTheme="minorBidi" w:hAnsiTheme="minorBidi" w:cstheme="minorBidi"/>
          <w:b/>
          <w:bCs/>
          <w:color w:val="000000"/>
          <w:sz w:val="28"/>
          <w:szCs w:val="28"/>
        </w:rPr>
        <w:t>Blinding</w:t>
      </w:r>
    </w:p>
    <w:p w14:paraId="15EC0007" w14:textId="77777777" w:rsidR="00AB1396" w:rsidRDefault="00AB1396" w:rsidP="000948CB">
      <w:pPr>
        <w:pStyle w:val="NormalWeb"/>
        <w:spacing w:before="0" w:beforeAutospacing="0" w:after="0" w:afterAutospacing="0"/>
        <w:jc w:val="both"/>
        <w:rPr>
          <w:rFonts w:asciiTheme="minorBidi" w:hAnsiTheme="minorBidi" w:cstheme="minorBidi"/>
          <w:color w:val="000000"/>
          <w:sz w:val="24"/>
          <w:szCs w:val="24"/>
        </w:rPr>
      </w:pPr>
    </w:p>
    <w:p w14:paraId="7FBA256D" w14:textId="67473C59" w:rsidR="00B01042" w:rsidRPr="00AE0CAF" w:rsidRDefault="00B01042" w:rsidP="00AE0CAF">
      <w:pPr>
        <w:pStyle w:val="NormalWeb"/>
        <w:spacing w:before="0" w:beforeAutospacing="0" w:after="0" w:afterAutospacing="0"/>
        <w:jc w:val="both"/>
        <w:rPr>
          <w:rFonts w:asciiTheme="minorBidi" w:hAnsiTheme="minorBidi" w:cstheme="minorBidi"/>
          <w:sz w:val="24"/>
          <w:szCs w:val="24"/>
        </w:rPr>
      </w:pPr>
      <w:r w:rsidRPr="00B06C3B">
        <w:rPr>
          <w:rFonts w:asciiTheme="minorBidi" w:hAnsiTheme="minorBidi" w:cstheme="minorBidi"/>
          <w:color w:val="000000"/>
          <w:sz w:val="24"/>
          <w:szCs w:val="24"/>
        </w:rPr>
        <w:t>Due to the nature of the intervention, it is not possible for members of the study team working directly with participants or the intervention to be blinded. Additionally, the blinding of the statistician is problematic due to the cluster level randomisation. Statisticians are usually involved within TMG discussions and have access to status reports where the potential for unintentional unb</w:t>
      </w:r>
      <w:r w:rsidR="009C7F44">
        <w:rPr>
          <w:rFonts w:asciiTheme="minorBidi" w:hAnsiTheme="minorBidi" w:cstheme="minorBidi"/>
          <w:color w:val="000000"/>
          <w:sz w:val="24"/>
          <w:szCs w:val="24"/>
        </w:rPr>
        <w:t>l</w:t>
      </w:r>
      <w:r w:rsidRPr="00B06C3B">
        <w:rPr>
          <w:rFonts w:asciiTheme="minorBidi" w:hAnsiTheme="minorBidi" w:cstheme="minorBidi"/>
          <w:color w:val="000000"/>
          <w:sz w:val="24"/>
          <w:szCs w:val="24"/>
        </w:rPr>
        <w:t xml:space="preserve">inding is a high possibility. It is considered important for the statistician to be included </w:t>
      </w:r>
      <w:r w:rsidR="000E1318">
        <w:rPr>
          <w:rFonts w:asciiTheme="minorBidi" w:hAnsiTheme="minorBidi" w:cstheme="minorBidi"/>
          <w:color w:val="000000"/>
          <w:sz w:val="24"/>
          <w:szCs w:val="24"/>
        </w:rPr>
        <w:t>in</w:t>
      </w:r>
      <w:r w:rsidR="000E1318" w:rsidRPr="00B06C3B">
        <w:rPr>
          <w:rFonts w:asciiTheme="minorBidi" w:hAnsiTheme="minorBidi" w:cstheme="minorBidi"/>
          <w:color w:val="000000"/>
          <w:sz w:val="24"/>
          <w:szCs w:val="24"/>
        </w:rPr>
        <w:t xml:space="preserve"> </w:t>
      </w:r>
      <w:r w:rsidRPr="00B06C3B">
        <w:rPr>
          <w:rFonts w:asciiTheme="minorBidi" w:hAnsiTheme="minorBidi" w:cstheme="minorBidi"/>
          <w:color w:val="000000"/>
          <w:sz w:val="24"/>
          <w:szCs w:val="24"/>
        </w:rPr>
        <w:t xml:space="preserve">these aspects of the trial management and so after discussion with senior statisticians at the </w:t>
      </w:r>
      <w:r w:rsidR="009C7F44">
        <w:rPr>
          <w:rFonts w:asciiTheme="minorBidi" w:hAnsiTheme="minorBidi" w:cstheme="minorBidi"/>
          <w:color w:val="000000"/>
          <w:sz w:val="24"/>
          <w:szCs w:val="24"/>
        </w:rPr>
        <w:t>Clinical Trials Research Unit (</w:t>
      </w:r>
      <w:r w:rsidRPr="00B06C3B">
        <w:rPr>
          <w:rFonts w:asciiTheme="minorBidi" w:hAnsiTheme="minorBidi" w:cstheme="minorBidi"/>
          <w:color w:val="000000"/>
          <w:sz w:val="24"/>
          <w:szCs w:val="24"/>
        </w:rPr>
        <w:t>CTRU</w:t>
      </w:r>
      <w:r w:rsidR="009C7F44">
        <w:rPr>
          <w:rFonts w:asciiTheme="minorBidi" w:hAnsiTheme="minorBidi" w:cstheme="minorBidi"/>
          <w:color w:val="000000"/>
          <w:sz w:val="24"/>
          <w:szCs w:val="24"/>
        </w:rPr>
        <w:t>)</w:t>
      </w:r>
      <w:r w:rsidRPr="00B06C3B">
        <w:rPr>
          <w:rFonts w:asciiTheme="minorBidi" w:hAnsiTheme="minorBidi" w:cstheme="minorBidi"/>
          <w:color w:val="000000"/>
          <w:sz w:val="24"/>
          <w:szCs w:val="24"/>
        </w:rPr>
        <w:t xml:space="preserve"> and the independent statistician on the </w:t>
      </w:r>
      <w:r w:rsidR="00803D18">
        <w:rPr>
          <w:rFonts w:asciiTheme="minorBidi" w:hAnsiTheme="minorBidi" w:cstheme="minorBidi"/>
          <w:color w:val="000000"/>
          <w:sz w:val="24"/>
          <w:szCs w:val="24"/>
        </w:rPr>
        <w:t>Trial Steering Committee</w:t>
      </w:r>
      <w:r w:rsidRPr="00B06C3B">
        <w:rPr>
          <w:rFonts w:asciiTheme="minorBidi" w:hAnsiTheme="minorBidi" w:cstheme="minorBidi"/>
          <w:color w:val="000000"/>
          <w:sz w:val="24"/>
          <w:szCs w:val="24"/>
        </w:rPr>
        <w:t xml:space="preserve">, it has been deemed acceptable that the statisticians are not blind within this study. </w:t>
      </w:r>
    </w:p>
    <w:p w14:paraId="550E27F5" w14:textId="171B6992" w:rsidR="00397986" w:rsidRPr="00AA7FD7" w:rsidRDefault="00397986" w:rsidP="00397986">
      <w:pPr>
        <w:autoSpaceDE w:val="0"/>
        <w:autoSpaceDN w:val="0"/>
        <w:adjustRightInd w:val="0"/>
        <w:jc w:val="both"/>
        <w:rPr>
          <w:rFonts w:cs="Arial"/>
          <w:color w:val="000000" w:themeColor="text1"/>
          <w:szCs w:val="22"/>
        </w:rPr>
      </w:pPr>
    </w:p>
    <w:p w14:paraId="62512BF1" w14:textId="1F9978D1" w:rsidR="009A607D" w:rsidRPr="009A607D" w:rsidRDefault="009A607D" w:rsidP="00AA7FD7">
      <w:pPr>
        <w:jc w:val="both"/>
        <w:rPr>
          <w:b/>
          <w:bCs/>
          <w:color w:val="000000" w:themeColor="text1"/>
          <w:sz w:val="28"/>
          <w:szCs w:val="28"/>
        </w:rPr>
      </w:pPr>
      <w:r w:rsidRPr="009A607D">
        <w:rPr>
          <w:b/>
          <w:bCs/>
          <w:color w:val="000000" w:themeColor="text1"/>
          <w:sz w:val="28"/>
          <w:szCs w:val="28"/>
        </w:rPr>
        <w:t>Outcomes</w:t>
      </w:r>
    </w:p>
    <w:p w14:paraId="79839569" w14:textId="19169EEF" w:rsidR="000814B8" w:rsidRPr="00735A8A" w:rsidRDefault="000814B8" w:rsidP="00AB1396">
      <w:pPr>
        <w:jc w:val="both"/>
        <w:rPr>
          <w:rFonts w:cs="Arial"/>
          <w:color w:val="000000" w:themeColor="text1"/>
        </w:rPr>
      </w:pPr>
      <w:r w:rsidRPr="00735A8A">
        <w:rPr>
          <w:color w:val="000000" w:themeColor="text1"/>
          <w:sz w:val="24"/>
        </w:rPr>
        <w:t xml:space="preserve">Table 1 shows a breakdown of </w:t>
      </w:r>
      <w:r w:rsidR="00AB1396">
        <w:rPr>
          <w:color w:val="000000" w:themeColor="text1"/>
          <w:sz w:val="24"/>
        </w:rPr>
        <w:t xml:space="preserve">all </w:t>
      </w:r>
      <w:r w:rsidRPr="00735A8A">
        <w:rPr>
          <w:color w:val="000000" w:themeColor="text1"/>
          <w:sz w:val="24"/>
        </w:rPr>
        <w:t>outcome measures.</w:t>
      </w:r>
    </w:p>
    <w:p w14:paraId="09034A14" w14:textId="0A966247" w:rsidR="00AA7FD7" w:rsidRDefault="00AA7FD7" w:rsidP="00AA7FD7">
      <w:pPr>
        <w:pStyle w:val="Heading2"/>
        <w:spacing w:before="0" w:after="0"/>
      </w:pPr>
    </w:p>
    <w:p w14:paraId="212AF699" w14:textId="4E7CB0D7" w:rsidR="00AA7FD7" w:rsidRPr="009A607D" w:rsidRDefault="009A607D" w:rsidP="00AA7FD7">
      <w:pPr>
        <w:jc w:val="both"/>
        <w:rPr>
          <w:rFonts w:cs="Arial"/>
          <w:b/>
          <w:bCs/>
          <w:color w:val="000000" w:themeColor="text1"/>
          <w:sz w:val="24"/>
        </w:rPr>
      </w:pPr>
      <w:r w:rsidRPr="009A607D">
        <w:rPr>
          <w:rFonts w:cs="Arial"/>
          <w:b/>
          <w:bCs/>
          <w:color w:val="000000" w:themeColor="text1"/>
          <w:sz w:val="28"/>
          <w:szCs w:val="28"/>
        </w:rPr>
        <w:t>Biomedical outcomes</w:t>
      </w:r>
    </w:p>
    <w:p w14:paraId="4D8013B0" w14:textId="77777777" w:rsidR="009A607D" w:rsidRDefault="009A607D" w:rsidP="00AA7FD7">
      <w:pPr>
        <w:jc w:val="both"/>
        <w:rPr>
          <w:rFonts w:cs="Arial"/>
          <w:color w:val="000000" w:themeColor="text1"/>
          <w:sz w:val="24"/>
        </w:rPr>
      </w:pPr>
    </w:p>
    <w:p w14:paraId="189CAE6E" w14:textId="3C12A34F" w:rsidR="003D1E26" w:rsidRDefault="0092759F" w:rsidP="003D1E26">
      <w:pPr>
        <w:jc w:val="both"/>
        <w:rPr>
          <w:rFonts w:cs="Arial"/>
          <w:color w:val="000000" w:themeColor="text1"/>
          <w:sz w:val="24"/>
        </w:rPr>
      </w:pPr>
      <w:r w:rsidRPr="0092759F">
        <w:rPr>
          <w:rFonts w:cs="Arial"/>
          <w:color w:val="000000" w:themeColor="text1"/>
          <w:sz w:val="24"/>
        </w:rPr>
        <w:t xml:space="preserve">The primary biomedical outcome is </w:t>
      </w:r>
      <w:r>
        <w:rPr>
          <w:rFonts w:cs="Arial"/>
          <w:color w:val="000000" w:themeColor="text1"/>
          <w:sz w:val="24"/>
        </w:rPr>
        <w:t>an integrated measure of glucose levels over the previous 4-6 weeks</w:t>
      </w:r>
      <w:r w:rsidRPr="0092759F">
        <w:rPr>
          <w:rFonts w:cs="Arial"/>
          <w:color w:val="000000" w:themeColor="text1"/>
          <w:sz w:val="24"/>
        </w:rPr>
        <w:t>, defined by HbA1c</w:t>
      </w:r>
      <w:r w:rsidRPr="0092759F" w:rsidDel="0092759F">
        <w:rPr>
          <w:rFonts w:cs="Arial"/>
          <w:color w:val="000000" w:themeColor="text1"/>
          <w:sz w:val="24"/>
        </w:rPr>
        <w:t xml:space="preserve"> </w:t>
      </w:r>
      <w:r w:rsidR="00084D40" w:rsidRPr="00735A8A">
        <w:rPr>
          <w:rFonts w:cs="Arial"/>
          <w:color w:val="000000" w:themeColor="text1"/>
          <w:sz w:val="24"/>
        </w:rPr>
        <w:t>(using a centralised assay to ensure standardisation)</w:t>
      </w:r>
      <w:r w:rsidR="003D1E26">
        <w:rPr>
          <w:rFonts w:cs="Arial"/>
          <w:color w:val="000000" w:themeColor="text1"/>
          <w:sz w:val="24"/>
        </w:rPr>
        <w:t>. The primary endpoint is HbA1c at 12 months</w:t>
      </w:r>
      <w:r w:rsidR="00084D40" w:rsidRPr="00735A8A">
        <w:rPr>
          <w:rFonts w:cs="Arial"/>
          <w:color w:val="000000" w:themeColor="text1"/>
          <w:sz w:val="24"/>
        </w:rPr>
        <w:t>, in those entering the trial with HbA1c &gt;7.5%</w:t>
      </w:r>
      <w:r w:rsidR="00904B97">
        <w:rPr>
          <w:rFonts w:cs="Arial"/>
          <w:color w:val="000000" w:themeColor="text1"/>
          <w:sz w:val="24"/>
        </w:rPr>
        <w:t xml:space="preserve"> (58</w:t>
      </w:r>
      <w:r w:rsidR="005D7FBE">
        <w:rPr>
          <w:rFonts w:cs="Arial"/>
          <w:color w:val="000000" w:themeColor="text1"/>
          <w:sz w:val="24"/>
        </w:rPr>
        <w:t xml:space="preserve"> </w:t>
      </w:r>
      <w:r w:rsidR="00904B97">
        <w:rPr>
          <w:rFonts w:cs="Arial"/>
          <w:color w:val="000000" w:themeColor="text1"/>
          <w:sz w:val="24"/>
        </w:rPr>
        <w:t>mmol/mol)</w:t>
      </w:r>
      <w:r w:rsidR="003D1E26">
        <w:rPr>
          <w:rFonts w:cs="Arial"/>
          <w:color w:val="000000" w:themeColor="text1"/>
          <w:sz w:val="24"/>
        </w:rPr>
        <w:t>, and HbA1c at 6 months is the secondary endpoint</w:t>
      </w:r>
      <w:r w:rsidR="009F08E6">
        <w:rPr>
          <w:rFonts w:cs="Arial"/>
          <w:color w:val="000000" w:themeColor="text1"/>
          <w:sz w:val="24"/>
        </w:rPr>
        <w:t>.</w:t>
      </w:r>
      <w:r w:rsidR="00164A7B">
        <w:rPr>
          <w:rFonts w:cs="Arial"/>
          <w:color w:val="000000" w:themeColor="text1"/>
          <w:sz w:val="24"/>
        </w:rPr>
        <w:t xml:space="preserve"> </w:t>
      </w:r>
    </w:p>
    <w:p w14:paraId="1B51A9AE" w14:textId="77777777" w:rsidR="003D1E26" w:rsidRDefault="003D1E26" w:rsidP="003D1E26">
      <w:pPr>
        <w:jc w:val="both"/>
        <w:rPr>
          <w:rFonts w:cs="Arial"/>
          <w:color w:val="000000" w:themeColor="text1"/>
          <w:sz w:val="24"/>
        </w:rPr>
      </w:pPr>
    </w:p>
    <w:p w14:paraId="045D373F" w14:textId="2865FCF8" w:rsidR="0092759F" w:rsidRDefault="00164A7B" w:rsidP="00803D18">
      <w:pPr>
        <w:jc w:val="both"/>
        <w:rPr>
          <w:rFonts w:cs="Arial"/>
          <w:color w:val="000000"/>
          <w:sz w:val="24"/>
        </w:rPr>
      </w:pPr>
      <w:r>
        <w:rPr>
          <w:rFonts w:cs="Arial"/>
          <w:color w:val="000000" w:themeColor="text1"/>
          <w:sz w:val="24"/>
        </w:rPr>
        <w:t xml:space="preserve">Our primary aim is to compare HbA1c between the two arms and we have therefore confined our primary analysis to those with raised A1c values at baseline. </w:t>
      </w:r>
      <w:r w:rsidR="00EB7580">
        <w:rPr>
          <w:rFonts w:cs="Arial"/>
          <w:color w:val="000000" w:themeColor="text1"/>
          <w:sz w:val="24"/>
        </w:rPr>
        <w:t xml:space="preserve"> </w:t>
      </w:r>
      <w:r w:rsidR="00EB7580" w:rsidRPr="0092759F">
        <w:rPr>
          <w:rFonts w:cs="Arial"/>
          <w:color w:val="000000" w:themeColor="text1"/>
          <w:sz w:val="24"/>
        </w:rPr>
        <w:t xml:space="preserve">We therefore excluded those with an HbA1c below 7.5% </w:t>
      </w:r>
      <w:r w:rsidR="00904B97">
        <w:rPr>
          <w:rFonts w:cs="Arial"/>
          <w:color w:val="000000" w:themeColor="text1"/>
          <w:sz w:val="24"/>
        </w:rPr>
        <w:t xml:space="preserve">(58 mmol/mol) </w:t>
      </w:r>
      <w:r w:rsidR="00EB7580" w:rsidRPr="0092759F">
        <w:rPr>
          <w:rFonts w:cs="Arial"/>
          <w:color w:val="000000" w:themeColor="text1"/>
          <w:sz w:val="24"/>
        </w:rPr>
        <w:t xml:space="preserve">when calculating the primary endpoint as </w:t>
      </w:r>
      <w:r w:rsidR="0092759F" w:rsidRPr="00904B97">
        <w:rPr>
          <w:rFonts w:cs="Arial"/>
          <w:color w:val="000000"/>
          <w:sz w:val="24"/>
        </w:rPr>
        <w:t>these people have less need to reduce their HbA1c.</w:t>
      </w:r>
    </w:p>
    <w:p w14:paraId="7CA6E0FE" w14:textId="77777777" w:rsidR="00904B97" w:rsidRPr="0092759F" w:rsidRDefault="00904B97" w:rsidP="0092759F">
      <w:pPr>
        <w:rPr>
          <w:rFonts w:ascii="Times New Roman" w:hAnsi="Times New Roman"/>
          <w:sz w:val="24"/>
        </w:rPr>
      </w:pPr>
    </w:p>
    <w:p w14:paraId="2D6CFC20" w14:textId="157067FA" w:rsidR="00084D40" w:rsidRPr="00735A8A" w:rsidRDefault="00EB7580" w:rsidP="003D1E26">
      <w:pPr>
        <w:jc w:val="both"/>
        <w:rPr>
          <w:rFonts w:cs="Arial"/>
          <w:color w:val="000000" w:themeColor="text1"/>
          <w:sz w:val="24"/>
        </w:rPr>
      </w:pPr>
      <w:r>
        <w:rPr>
          <w:rFonts w:cs="Arial"/>
          <w:color w:val="000000" w:themeColor="text1"/>
          <w:sz w:val="24"/>
        </w:rPr>
        <w:t xml:space="preserve">However, we </w:t>
      </w:r>
      <w:r w:rsidR="00164A7B">
        <w:rPr>
          <w:rFonts w:cs="Arial"/>
          <w:color w:val="000000" w:themeColor="text1"/>
          <w:sz w:val="24"/>
        </w:rPr>
        <w:t xml:space="preserve">have included participants with lower </w:t>
      </w:r>
      <w:r w:rsidR="00CF7B9B">
        <w:rPr>
          <w:rFonts w:cs="Arial"/>
          <w:color w:val="000000" w:themeColor="text1"/>
          <w:sz w:val="24"/>
        </w:rPr>
        <w:t>A1c values</w:t>
      </w:r>
      <w:r w:rsidR="00164A7B">
        <w:rPr>
          <w:rFonts w:cs="Arial"/>
          <w:color w:val="000000" w:themeColor="text1"/>
          <w:sz w:val="24"/>
        </w:rPr>
        <w:t xml:space="preserve"> to ensure we can calculate important secondary outcomes </w:t>
      </w:r>
      <w:r w:rsidR="00641DA7">
        <w:rPr>
          <w:rFonts w:cs="Arial"/>
          <w:color w:val="000000" w:themeColor="text1"/>
          <w:sz w:val="24"/>
        </w:rPr>
        <w:t xml:space="preserve">part </w:t>
      </w:r>
      <w:r w:rsidR="00164A7B">
        <w:rPr>
          <w:rFonts w:cs="Arial"/>
          <w:color w:val="000000" w:themeColor="text1"/>
          <w:sz w:val="24"/>
        </w:rPr>
        <w:t>rates of hypoglycaemia, and other biomedical and psychological outcomes. We have</w:t>
      </w:r>
      <w:r w:rsidR="00084D40" w:rsidRPr="00735A8A">
        <w:rPr>
          <w:rFonts w:cs="Arial"/>
          <w:color w:val="000000" w:themeColor="text1"/>
          <w:sz w:val="24"/>
        </w:rPr>
        <w:t xml:space="preserve"> estimated </w:t>
      </w:r>
      <w:r w:rsidR="00164A7B">
        <w:rPr>
          <w:rFonts w:cs="Arial"/>
          <w:color w:val="000000" w:themeColor="text1"/>
          <w:sz w:val="24"/>
        </w:rPr>
        <w:t xml:space="preserve">the expected proportion of participants with A1c values above 7.5% </w:t>
      </w:r>
      <w:r w:rsidR="00084D40" w:rsidRPr="00735A8A">
        <w:rPr>
          <w:rFonts w:cs="Arial"/>
          <w:color w:val="000000" w:themeColor="text1"/>
          <w:sz w:val="24"/>
        </w:rPr>
        <w:t xml:space="preserve">at 75% of those currently undertaking DAFNE courses based on </w:t>
      </w:r>
      <w:r w:rsidR="00164A7B">
        <w:rPr>
          <w:rFonts w:cs="Arial"/>
          <w:color w:val="000000" w:themeColor="text1"/>
          <w:sz w:val="24"/>
        </w:rPr>
        <w:t>a national</w:t>
      </w:r>
      <w:r w:rsidR="00084D40" w:rsidRPr="00735A8A">
        <w:rPr>
          <w:rFonts w:cs="Arial"/>
          <w:color w:val="000000" w:themeColor="text1"/>
          <w:sz w:val="24"/>
        </w:rPr>
        <w:t xml:space="preserve"> research database.</w:t>
      </w:r>
    </w:p>
    <w:p w14:paraId="50CF3081" w14:textId="77777777" w:rsidR="00422BD5" w:rsidRPr="00735A8A" w:rsidRDefault="00422BD5" w:rsidP="00AA7FD7">
      <w:pPr>
        <w:jc w:val="both"/>
        <w:rPr>
          <w:rFonts w:cs="Arial"/>
          <w:color w:val="000000" w:themeColor="text1"/>
          <w:sz w:val="24"/>
        </w:rPr>
      </w:pPr>
    </w:p>
    <w:p w14:paraId="0987BBDE" w14:textId="49D05705" w:rsidR="00084D40" w:rsidRDefault="003D1E26" w:rsidP="00AE0CAF">
      <w:pPr>
        <w:jc w:val="both"/>
        <w:rPr>
          <w:rFonts w:cs="Arial"/>
          <w:color w:val="000000" w:themeColor="text1"/>
          <w:sz w:val="24"/>
        </w:rPr>
      </w:pPr>
      <w:r>
        <w:rPr>
          <w:rFonts w:cs="Arial"/>
          <w:color w:val="000000" w:themeColor="text1"/>
          <w:sz w:val="24"/>
        </w:rPr>
        <w:t xml:space="preserve">Other </w:t>
      </w:r>
      <w:r w:rsidR="0002074B" w:rsidRPr="0002074B">
        <w:rPr>
          <w:rFonts w:cs="Arial"/>
          <w:color w:val="000000" w:themeColor="text1"/>
          <w:sz w:val="24"/>
        </w:rPr>
        <w:t>secondary outcome</w:t>
      </w:r>
      <w:r>
        <w:rPr>
          <w:rFonts w:cs="Arial"/>
          <w:color w:val="000000" w:themeColor="text1"/>
          <w:sz w:val="24"/>
        </w:rPr>
        <w:t>s are</w:t>
      </w:r>
      <w:r w:rsidR="0002074B" w:rsidRPr="0002074B">
        <w:rPr>
          <w:rFonts w:cs="Arial"/>
          <w:color w:val="000000" w:themeColor="text1"/>
          <w:sz w:val="24"/>
        </w:rPr>
        <w:t xml:space="preserve"> the number of participants achieving either an HbA1c &lt;7.5% (58 mmol/mol) or a decrease in HbA1c of ≥0.5% (≥5.5 mmol/mol)</w:t>
      </w:r>
      <w:r>
        <w:rPr>
          <w:rFonts w:cs="Arial"/>
          <w:color w:val="000000" w:themeColor="text1"/>
          <w:sz w:val="24"/>
        </w:rPr>
        <w:t xml:space="preserve"> which </w:t>
      </w:r>
      <w:r w:rsidR="0002074B" w:rsidRPr="0002074B">
        <w:rPr>
          <w:rFonts w:cs="Arial"/>
          <w:color w:val="000000" w:themeColor="text1"/>
          <w:sz w:val="24"/>
        </w:rPr>
        <w:t>will be calculated at both 6 and 12 months post course.</w:t>
      </w:r>
      <w:r w:rsidR="008A4C7A" w:rsidRPr="00735A8A">
        <w:rPr>
          <w:rFonts w:cs="Arial"/>
          <w:color w:val="000000" w:themeColor="text1"/>
          <w:sz w:val="24"/>
        </w:rPr>
        <w:t xml:space="preserve"> These cut-off points are recognised throughout the diabetes research community as being clinically relevant</w:t>
      </w:r>
      <w:r w:rsidR="004F6664">
        <w:rPr>
          <w:rFonts w:cs="Arial"/>
          <w:color w:val="000000" w:themeColor="text1"/>
          <w:sz w:val="24"/>
        </w:rPr>
        <w:fldChar w:fldCharType="begin" w:fldLock="1"/>
      </w:r>
      <w:r w:rsidR="005D7FBE">
        <w:rPr>
          <w:rFonts w:cs="Arial"/>
          <w:color w:val="000000" w:themeColor="text1"/>
          <w:sz w:val="24"/>
        </w:rPr>
        <w:instrText>ADDIN CSL_CITATION {"citationItems":[{"id":"ITEM-1","itemData":{"DOI":"10.1136/BMJ.J1285","ISSN":"1756-1833","PMID":"28360027","abstract":"Objective To compare the effectiveness of insulin pumps with multiple daily injections for adults with type 1 diabetes, with both groups receiving equivalent training in flexible insulin treatment.Design Pragmatic, multicentre, open label, parallel group, cluster randomised controlled trial (Relative Effectiveness of Pumps Over MDI and Structured Education (REPOSE) trial).Setting Eight secondary care centres in England and Scotland.Participants Adults with type 1 diabetes who were willing to undertake intensive insulin treatment, with no preference for pumps or multiple daily injections. Participants were allocated a place on established group training courses that taught flexible intensive insulin treatment (\"dose adjustment for normal eating,\" DAFNE). The course groups (the clusters) were then randomly allocated in pairs to either pump or multiple daily injections.Interventions Participants attended training in flexible insulin treatment (using insulin analogues) structured around the use of pump or injections, followed for two years.Main outcome measures The primary outcomes were a change in glycated haemoglobin (HbA1c) values (%) at two years in participants with baseline HbA1c value of ≥7.5% (58 mmol/mol), and the proportion of participants achieving an HbA1c value of &lt;7.5%. Secondary outcomes included body weight, insulin dose, and episodes of moderate and severe hypoglycaemia. Ancillary outcomes included quality of life and treatment satisfaction.Results 317 participants (46 courses) were randomised (156 pump and 161 injections). 267 attended courses and 260 were included in the intention to treat analysis, of which 235 (119 pump and 116 injection) had baseline HbA1c values of ≥7.5%. Glycaemic control and rates of severe hypoglycaemia improved in both groups. The mean change in HbA1c at two years was -0.85% with pump treatment and -0.42% with multiple daily injections. Adjusting for course, centre, age, sex, and accounting for missing values, the difference was -0.24% (-2.7 mmol/mol) in favour of pump users (95% confidence interval -0.53 to 0.05, P=0.10). Most psychosocial measures showed no difference, but pump users showed greater improvement in treatment satisfaction and some quality of life domains (dietary freedom and daily hassle) at 12 and 24 months.Conclusions Both groups showed clinically relevant and long lasting decreases in HbA1c, rates of severe hypoglycaemia, and improved psychological measures, although few participants achieved gl…","author":[{"dropping-particle":"","family":"REPOSE Study Group","given":"The REPOSE Study","non-dropping-particle":"","parse-names":false,"suffix":""}],"container-title":"BMJ (Clinical research ed.)","id":"ITEM-1","issued":{"date-parts":[["2017","3","30"]]},"page":"j1285","publisher":"British Medical Journal Publishing Group","title":"Relative effectiveness of insulin pump treatment over multiple daily injections and structured education during flexible intensive insulin treatment for type 1 diabetes: cluster randomised trial (REPOSE).","type":"article-journal","volume":"356"},"uris":["http://www.mendeley.com/documents/?uuid=ae4ffb52-edee-32e3-b965-0eac7f938211"]}],"mendeley":{"formattedCitation":"[25]","plainTextFormattedCitation":"[25]","previouslyFormattedCitation":"[26]"},"properties":{"noteIndex":0},"schema":"https://github.com/citation-style-language/schema/raw/master/csl-citation.json"}</w:instrText>
      </w:r>
      <w:r w:rsidR="004F6664">
        <w:rPr>
          <w:rFonts w:cs="Arial"/>
          <w:color w:val="000000" w:themeColor="text1"/>
          <w:sz w:val="24"/>
        </w:rPr>
        <w:fldChar w:fldCharType="separate"/>
      </w:r>
      <w:r w:rsidR="005D7FBE" w:rsidRPr="005D7FBE">
        <w:rPr>
          <w:rFonts w:cs="Arial"/>
          <w:noProof/>
          <w:color w:val="000000" w:themeColor="text1"/>
          <w:sz w:val="24"/>
        </w:rPr>
        <w:t>[25]</w:t>
      </w:r>
      <w:r w:rsidR="004F6664">
        <w:rPr>
          <w:rFonts w:cs="Arial"/>
          <w:color w:val="000000" w:themeColor="text1"/>
          <w:sz w:val="24"/>
        </w:rPr>
        <w:fldChar w:fldCharType="end"/>
      </w:r>
      <w:r w:rsidR="008A4C7A" w:rsidRPr="00735A8A">
        <w:rPr>
          <w:rFonts w:cs="Arial"/>
          <w:color w:val="000000" w:themeColor="text1"/>
          <w:sz w:val="24"/>
        </w:rPr>
        <w:t>.</w:t>
      </w:r>
      <w:r w:rsidR="002E09D3">
        <w:rPr>
          <w:rFonts w:cs="Arial"/>
          <w:color w:val="000000" w:themeColor="text1"/>
          <w:sz w:val="24"/>
        </w:rPr>
        <w:t xml:space="preserve"> </w:t>
      </w:r>
      <w:r w:rsidR="00084D40" w:rsidRPr="00735A8A">
        <w:rPr>
          <w:rFonts w:cs="Arial"/>
          <w:color w:val="000000" w:themeColor="text1"/>
          <w:sz w:val="24"/>
        </w:rPr>
        <w:t xml:space="preserve">We will also collect </w:t>
      </w:r>
      <w:r w:rsidR="00D35BA6" w:rsidRPr="00735A8A">
        <w:rPr>
          <w:rFonts w:cs="Arial"/>
          <w:color w:val="000000" w:themeColor="text1"/>
          <w:sz w:val="24"/>
        </w:rPr>
        <w:t xml:space="preserve">and analyse </w:t>
      </w:r>
      <w:r w:rsidR="00084D40" w:rsidRPr="00735A8A">
        <w:rPr>
          <w:rFonts w:cs="Arial"/>
          <w:color w:val="000000" w:themeColor="text1"/>
          <w:sz w:val="24"/>
        </w:rPr>
        <w:t>24</w:t>
      </w:r>
      <w:r w:rsidR="00FF0133" w:rsidRPr="00735A8A">
        <w:rPr>
          <w:rFonts w:cs="Arial"/>
          <w:color w:val="000000" w:themeColor="text1"/>
          <w:sz w:val="24"/>
        </w:rPr>
        <w:t>-</w:t>
      </w:r>
      <w:r w:rsidR="00084D40" w:rsidRPr="00735A8A">
        <w:rPr>
          <w:rFonts w:cs="Arial"/>
          <w:color w:val="000000" w:themeColor="text1"/>
          <w:sz w:val="24"/>
        </w:rPr>
        <w:t xml:space="preserve">month outcome data </w:t>
      </w:r>
      <w:r w:rsidR="002E09D3">
        <w:rPr>
          <w:rFonts w:cs="Arial"/>
          <w:color w:val="000000" w:themeColor="text1"/>
          <w:sz w:val="24"/>
        </w:rPr>
        <w:t xml:space="preserve">(HbA1c and severe hypoglycaemic episodes) </w:t>
      </w:r>
      <w:r w:rsidR="00084D40" w:rsidRPr="00735A8A">
        <w:rPr>
          <w:rFonts w:cs="Arial"/>
          <w:color w:val="000000" w:themeColor="text1"/>
          <w:sz w:val="24"/>
        </w:rPr>
        <w:t>and analyse after the main study has closed and been reported</w:t>
      </w:r>
      <w:r w:rsidR="00164A7B">
        <w:rPr>
          <w:rFonts w:cs="Arial"/>
          <w:color w:val="000000" w:themeColor="text1"/>
          <w:sz w:val="24"/>
        </w:rPr>
        <w:t xml:space="preserve"> based on locally available clinical data which is routinely collected annually in clinical centres</w:t>
      </w:r>
      <w:r w:rsidR="00084D40" w:rsidRPr="00735A8A">
        <w:rPr>
          <w:rFonts w:cs="Arial"/>
          <w:color w:val="000000" w:themeColor="text1"/>
          <w:sz w:val="24"/>
        </w:rPr>
        <w:t>.</w:t>
      </w:r>
    </w:p>
    <w:p w14:paraId="481A3BF5" w14:textId="317B0FF4" w:rsidR="00AD106C" w:rsidRDefault="00AD106C" w:rsidP="00D204EE">
      <w:pPr>
        <w:jc w:val="both"/>
        <w:rPr>
          <w:rFonts w:cs="Arial"/>
          <w:color w:val="000000" w:themeColor="text1"/>
          <w:sz w:val="24"/>
        </w:rPr>
      </w:pPr>
    </w:p>
    <w:p w14:paraId="429BE64A" w14:textId="6644FD31" w:rsidR="00AD106C" w:rsidRPr="00A27FA2" w:rsidRDefault="00AD106C" w:rsidP="0003135F">
      <w:pPr>
        <w:jc w:val="both"/>
        <w:rPr>
          <w:rFonts w:cs="Arial"/>
          <w:color w:val="000000" w:themeColor="text1"/>
          <w:sz w:val="24"/>
        </w:rPr>
      </w:pPr>
      <w:r w:rsidRPr="00A27FA2">
        <w:rPr>
          <w:rFonts w:cs="Arial"/>
          <w:color w:val="000000" w:themeColor="text1"/>
          <w:sz w:val="24"/>
        </w:rPr>
        <w:t>Other secondary biomedical outcomes will include:</w:t>
      </w:r>
      <w:r w:rsidR="00803D18" w:rsidRPr="00A27FA2">
        <w:rPr>
          <w:rFonts w:cs="Arial"/>
          <w:color w:val="000000" w:themeColor="text1"/>
          <w:sz w:val="24"/>
        </w:rPr>
        <w:t xml:space="preserve"> </w:t>
      </w:r>
      <w:r w:rsidRPr="00A27FA2">
        <w:rPr>
          <w:rFonts w:cs="Arial"/>
          <w:color w:val="000000" w:themeColor="text1"/>
          <w:sz w:val="24"/>
        </w:rPr>
        <w:t>Severe hypoglycaemia, as defined by the American Diabetes Association</w:t>
      </w:r>
      <w:r w:rsidR="004F6664" w:rsidRPr="00A27FA2">
        <w:rPr>
          <w:rFonts w:cs="Arial"/>
          <w:color w:val="000000" w:themeColor="text1"/>
          <w:sz w:val="24"/>
        </w:rPr>
        <w:fldChar w:fldCharType="begin" w:fldLock="1"/>
      </w:r>
      <w:r w:rsidR="005D7FBE" w:rsidRPr="00A27FA2">
        <w:rPr>
          <w:rFonts w:cs="Arial"/>
          <w:color w:val="000000" w:themeColor="text1"/>
          <w:sz w:val="24"/>
        </w:rPr>
        <w:instrText>ADDIN CSL_CITATION {"citationItems":[{"id":"ITEM-1","itemData":{"DOI":"10.2337/dc16-2215","ISSN":"0149-5992","PMID":"27872155","author":[{"dropping-particle":"","family":"International Hypoglycaemia Study Group","given":"","non-dropping-particle":"","parse-names":false,"suffix":""}],"container-title":"Diabetes Care","id":"ITEM-1","issue":"1","issued":{"date-parts":[["2017","1"]]},"page":"155-157","title":"Glucose Concentrations of Less Than 3.0 mmol/L (54 mg/dL) Should Be Reported in Clinical Trials: A Joint Position Statement of the American Diabetes Association and the European Association for the Study of Diabetes: Table 1","type":"article-journal","volume":"40"},"uris":["http://www.mendeley.com/documents/?uuid=5389068d-8467-3419-9eda-f24d6c0c1596"]}],"mendeley":{"formattedCitation":"[26]","plainTextFormattedCitation":"[26]","previouslyFormattedCitation":"[27]"},"properties":{"noteIndex":0},"schema":"https://github.com/citation-style-language/schema/raw/master/csl-citation.json"}</w:instrText>
      </w:r>
      <w:r w:rsidR="004F6664" w:rsidRPr="00A27FA2">
        <w:rPr>
          <w:rFonts w:cs="Arial"/>
          <w:color w:val="000000" w:themeColor="text1"/>
          <w:sz w:val="24"/>
        </w:rPr>
        <w:fldChar w:fldCharType="separate"/>
      </w:r>
      <w:r w:rsidR="005D7FBE" w:rsidRPr="00A27FA2">
        <w:rPr>
          <w:rFonts w:cs="Arial"/>
          <w:noProof/>
          <w:color w:val="000000" w:themeColor="text1"/>
          <w:sz w:val="24"/>
        </w:rPr>
        <w:t>[26]</w:t>
      </w:r>
      <w:r w:rsidR="004F6664" w:rsidRPr="00A27FA2">
        <w:rPr>
          <w:rFonts w:cs="Arial"/>
          <w:color w:val="000000" w:themeColor="text1"/>
          <w:sz w:val="24"/>
        </w:rPr>
        <w:fldChar w:fldCharType="end"/>
      </w:r>
      <w:r w:rsidRPr="00A27FA2">
        <w:rPr>
          <w:rFonts w:cs="Arial"/>
          <w:color w:val="000000" w:themeColor="text1"/>
          <w:sz w:val="24"/>
        </w:rPr>
        <w:t>, denotes severe cognitive impairment requiring external assistance for recovery, both rates and proportion of those affected;</w:t>
      </w:r>
      <w:r w:rsidR="00803D18" w:rsidRPr="00A27FA2">
        <w:rPr>
          <w:rFonts w:cs="Arial"/>
          <w:color w:val="000000" w:themeColor="text1"/>
          <w:sz w:val="24"/>
        </w:rPr>
        <w:t xml:space="preserve"> </w:t>
      </w:r>
      <w:r w:rsidRPr="00A27FA2">
        <w:rPr>
          <w:rFonts w:cs="Arial"/>
          <w:color w:val="000000" w:themeColor="text1"/>
          <w:sz w:val="24"/>
        </w:rPr>
        <w:t xml:space="preserve">Diabetic ketoacidosis, both rates and proportion of those affected; </w:t>
      </w:r>
      <w:r w:rsidR="00803D18" w:rsidRPr="00A27FA2">
        <w:rPr>
          <w:rFonts w:cs="Arial"/>
          <w:color w:val="000000" w:themeColor="text1"/>
          <w:sz w:val="24"/>
        </w:rPr>
        <w:t>w</w:t>
      </w:r>
      <w:r w:rsidRPr="00A27FA2">
        <w:rPr>
          <w:rFonts w:cs="Arial"/>
          <w:color w:val="000000" w:themeColor="text1"/>
          <w:sz w:val="24"/>
        </w:rPr>
        <w:t>eight;</w:t>
      </w:r>
      <w:r w:rsidR="00803D18" w:rsidRPr="00A27FA2">
        <w:rPr>
          <w:rFonts w:cs="Arial"/>
          <w:color w:val="000000" w:themeColor="text1"/>
          <w:sz w:val="24"/>
        </w:rPr>
        <w:t xml:space="preserve"> </w:t>
      </w:r>
      <w:r w:rsidRPr="00A27FA2">
        <w:rPr>
          <w:rFonts w:cs="Arial"/>
          <w:color w:val="000000" w:themeColor="text1"/>
          <w:sz w:val="24"/>
        </w:rPr>
        <w:t>Body Mass Index;</w:t>
      </w:r>
      <w:r w:rsidR="00803D18" w:rsidRPr="00A27FA2">
        <w:rPr>
          <w:rFonts w:cs="Arial"/>
          <w:color w:val="000000" w:themeColor="text1"/>
          <w:sz w:val="24"/>
        </w:rPr>
        <w:t xml:space="preserve"> </w:t>
      </w:r>
      <w:r w:rsidRPr="00A27FA2">
        <w:rPr>
          <w:rFonts w:cs="Arial"/>
          <w:color w:val="000000" w:themeColor="text1"/>
          <w:sz w:val="24"/>
        </w:rPr>
        <w:t>Blood Pressure;</w:t>
      </w:r>
      <w:r w:rsidR="00803D18" w:rsidRPr="00A27FA2">
        <w:rPr>
          <w:rFonts w:cs="Arial"/>
          <w:color w:val="000000" w:themeColor="text1"/>
          <w:sz w:val="24"/>
        </w:rPr>
        <w:t xml:space="preserve"> </w:t>
      </w:r>
      <w:r w:rsidRPr="00A27FA2">
        <w:rPr>
          <w:rFonts w:cs="Arial"/>
          <w:color w:val="000000" w:themeColor="text1"/>
          <w:sz w:val="24"/>
        </w:rPr>
        <w:t>Lipids;</w:t>
      </w:r>
      <w:r w:rsidR="00803D18" w:rsidRPr="00A27FA2">
        <w:rPr>
          <w:rFonts w:cs="Arial"/>
          <w:color w:val="000000" w:themeColor="text1"/>
          <w:sz w:val="24"/>
        </w:rPr>
        <w:t xml:space="preserve"> </w:t>
      </w:r>
      <w:r w:rsidRPr="00A27FA2">
        <w:rPr>
          <w:rFonts w:cs="Arial"/>
          <w:color w:val="000000" w:themeColor="text1"/>
          <w:sz w:val="24"/>
        </w:rPr>
        <w:t>Albumin/creatinine ratio</w:t>
      </w:r>
      <w:r w:rsidR="00803D18" w:rsidRPr="00A27FA2">
        <w:rPr>
          <w:rFonts w:cs="Arial"/>
          <w:color w:val="000000" w:themeColor="text1"/>
          <w:sz w:val="24"/>
        </w:rPr>
        <w:t>.</w:t>
      </w:r>
    </w:p>
    <w:p w14:paraId="591FD756" w14:textId="6C250C97" w:rsidR="00AD106C" w:rsidRPr="00735A8A" w:rsidRDefault="00AD106C" w:rsidP="00D204EE">
      <w:pPr>
        <w:jc w:val="both"/>
        <w:rPr>
          <w:rFonts w:cs="Arial"/>
          <w:color w:val="000000" w:themeColor="text1"/>
          <w:sz w:val="24"/>
        </w:rPr>
      </w:pPr>
    </w:p>
    <w:p w14:paraId="373EEE18" w14:textId="77777777" w:rsidR="00084D40" w:rsidRPr="00735A8A" w:rsidRDefault="00084D40" w:rsidP="00AA7FD7">
      <w:pPr>
        <w:jc w:val="both"/>
        <w:rPr>
          <w:rFonts w:cs="Arial"/>
          <w:color w:val="000000" w:themeColor="text1"/>
          <w:sz w:val="24"/>
        </w:rPr>
      </w:pPr>
    </w:p>
    <w:p w14:paraId="4B8BD526" w14:textId="23E0C61C" w:rsidR="000948CB" w:rsidRPr="000948CB" w:rsidRDefault="000948CB" w:rsidP="003362FE">
      <w:pPr>
        <w:jc w:val="both"/>
        <w:rPr>
          <w:b/>
          <w:bCs/>
          <w:color w:val="000000" w:themeColor="text1"/>
          <w:sz w:val="28"/>
          <w:szCs w:val="28"/>
        </w:rPr>
      </w:pPr>
      <w:r w:rsidRPr="000948CB">
        <w:rPr>
          <w:b/>
          <w:bCs/>
          <w:color w:val="000000" w:themeColor="text1"/>
          <w:sz w:val="28"/>
          <w:szCs w:val="28"/>
        </w:rPr>
        <w:t xml:space="preserve">Psychological outcomes and process </w:t>
      </w:r>
      <w:r w:rsidR="003362FE">
        <w:rPr>
          <w:b/>
          <w:bCs/>
          <w:color w:val="000000" w:themeColor="text1"/>
          <w:sz w:val="28"/>
          <w:szCs w:val="28"/>
        </w:rPr>
        <w:t>evaluation</w:t>
      </w:r>
    </w:p>
    <w:p w14:paraId="2867DC4F" w14:textId="77777777" w:rsidR="003362FE" w:rsidRDefault="003362FE" w:rsidP="00950807">
      <w:pPr>
        <w:jc w:val="both"/>
        <w:rPr>
          <w:color w:val="000000" w:themeColor="text1"/>
          <w:sz w:val="24"/>
        </w:rPr>
      </w:pPr>
    </w:p>
    <w:p w14:paraId="7D44D491" w14:textId="2D9AD847" w:rsidR="003362FE" w:rsidRPr="00036F79" w:rsidRDefault="003362FE" w:rsidP="00950807">
      <w:pPr>
        <w:jc w:val="both"/>
        <w:rPr>
          <w:b/>
          <w:bCs/>
          <w:color w:val="000000" w:themeColor="text1"/>
          <w:sz w:val="24"/>
          <w:u w:val="single"/>
        </w:rPr>
      </w:pPr>
      <w:r w:rsidRPr="00036F79">
        <w:rPr>
          <w:b/>
          <w:bCs/>
          <w:color w:val="000000" w:themeColor="text1"/>
          <w:sz w:val="24"/>
          <w:u w:val="single"/>
        </w:rPr>
        <w:t>Quantitative outcomes</w:t>
      </w:r>
    </w:p>
    <w:p w14:paraId="39269B38" w14:textId="6161FDFA" w:rsidR="00AA1127" w:rsidRDefault="001D19E7" w:rsidP="00950807">
      <w:pPr>
        <w:jc w:val="both"/>
        <w:rPr>
          <w:color w:val="000000" w:themeColor="text1"/>
          <w:sz w:val="24"/>
        </w:rPr>
      </w:pPr>
      <w:r w:rsidRPr="00735A8A">
        <w:rPr>
          <w:color w:val="000000" w:themeColor="text1"/>
          <w:sz w:val="24"/>
        </w:rPr>
        <w:t xml:space="preserve">Psychological outcomes </w:t>
      </w:r>
      <w:r w:rsidR="00944484">
        <w:rPr>
          <w:color w:val="000000" w:themeColor="text1"/>
          <w:sz w:val="24"/>
        </w:rPr>
        <w:t xml:space="preserve">and process measures </w:t>
      </w:r>
      <w:r w:rsidRPr="00735A8A">
        <w:rPr>
          <w:color w:val="000000" w:themeColor="text1"/>
          <w:sz w:val="24"/>
        </w:rPr>
        <w:t xml:space="preserve">will be collected via self-completed postal or online questionnaires </w:t>
      </w:r>
      <w:r w:rsidR="004D0465">
        <w:rPr>
          <w:color w:val="000000" w:themeColor="text1"/>
          <w:sz w:val="24"/>
        </w:rPr>
        <w:t xml:space="preserve">at </w:t>
      </w:r>
      <w:r w:rsidRPr="00735A8A">
        <w:rPr>
          <w:color w:val="000000" w:themeColor="text1"/>
          <w:sz w:val="24"/>
        </w:rPr>
        <w:t xml:space="preserve">baseline, course completion, </w:t>
      </w:r>
      <w:r w:rsidR="004D0465">
        <w:rPr>
          <w:color w:val="000000" w:themeColor="text1"/>
          <w:sz w:val="24"/>
        </w:rPr>
        <w:t xml:space="preserve">3, </w:t>
      </w:r>
      <w:r w:rsidRPr="00735A8A">
        <w:rPr>
          <w:color w:val="000000" w:themeColor="text1"/>
          <w:sz w:val="24"/>
        </w:rPr>
        <w:t>6</w:t>
      </w:r>
      <w:r w:rsidR="00A33A2D">
        <w:rPr>
          <w:color w:val="000000" w:themeColor="text1"/>
          <w:sz w:val="24"/>
        </w:rPr>
        <w:t xml:space="preserve">, 9 </w:t>
      </w:r>
      <w:r w:rsidRPr="00735A8A">
        <w:rPr>
          <w:color w:val="000000" w:themeColor="text1"/>
          <w:sz w:val="24"/>
        </w:rPr>
        <w:t xml:space="preserve"> and 12 months</w:t>
      </w:r>
      <w:r w:rsidR="00AA1127">
        <w:rPr>
          <w:color w:val="000000" w:themeColor="text1"/>
          <w:sz w:val="24"/>
        </w:rPr>
        <w:t xml:space="preserve"> </w:t>
      </w:r>
      <w:r w:rsidR="00AA1127" w:rsidRPr="00AA1127">
        <w:rPr>
          <w:color w:val="000000" w:themeColor="text1"/>
          <w:sz w:val="24"/>
        </w:rPr>
        <w:t xml:space="preserve">(see Table 1). </w:t>
      </w:r>
    </w:p>
    <w:p w14:paraId="17B1968D" w14:textId="2C0364DD" w:rsidR="00AA1127" w:rsidRDefault="00AA1127" w:rsidP="00637B27">
      <w:pPr>
        <w:jc w:val="both"/>
        <w:rPr>
          <w:color w:val="000000" w:themeColor="text1"/>
          <w:sz w:val="24"/>
        </w:rPr>
      </w:pPr>
    </w:p>
    <w:p w14:paraId="1B4C060E" w14:textId="7741D409" w:rsidR="00397986" w:rsidRPr="00944484" w:rsidRDefault="001D19E7" w:rsidP="00AE0CAF">
      <w:pPr>
        <w:jc w:val="both"/>
        <w:rPr>
          <w:rFonts w:cs="Arial"/>
          <w:color w:val="000000" w:themeColor="text1"/>
          <w:sz w:val="24"/>
        </w:rPr>
      </w:pPr>
      <w:r w:rsidRPr="00735A8A">
        <w:rPr>
          <w:color w:val="000000" w:themeColor="text1"/>
          <w:sz w:val="24"/>
        </w:rPr>
        <w:t>The primary psychological outcome is</w:t>
      </w:r>
      <w:r w:rsidR="002C5F0F">
        <w:rPr>
          <w:color w:val="000000" w:themeColor="text1"/>
          <w:sz w:val="24"/>
        </w:rPr>
        <w:t xml:space="preserve"> the impact of diabetes on quality of life assessed </w:t>
      </w:r>
      <w:r w:rsidR="00637B27">
        <w:rPr>
          <w:color w:val="000000" w:themeColor="text1"/>
          <w:sz w:val="24"/>
        </w:rPr>
        <w:t>at</w:t>
      </w:r>
      <w:r w:rsidR="00AA1127">
        <w:rPr>
          <w:color w:val="000000" w:themeColor="text1"/>
          <w:sz w:val="24"/>
        </w:rPr>
        <w:t xml:space="preserve"> </w:t>
      </w:r>
      <w:r w:rsidRPr="00735A8A">
        <w:rPr>
          <w:color w:val="000000" w:themeColor="text1"/>
          <w:sz w:val="24"/>
        </w:rPr>
        <w:t>12 months</w:t>
      </w:r>
      <w:r w:rsidR="002C5F0F">
        <w:rPr>
          <w:color w:val="000000" w:themeColor="text1"/>
          <w:sz w:val="24"/>
        </w:rPr>
        <w:t xml:space="preserve"> using a 15-domain version</w:t>
      </w:r>
      <w:r w:rsidRPr="00735A8A">
        <w:rPr>
          <w:color w:val="000000" w:themeColor="text1"/>
          <w:sz w:val="24"/>
        </w:rPr>
        <w:t xml:space="preserve"> </w:t>
      </w:r>
      <w:r w:rsidR="00AA1127">
        <w:rPr>
          <w:color w:val="000000" w:themeColor="text1"/>
          <w:sz w:val="24"/>
        </w:rPr>
        <w:t>of the Audit-Dependent Diabetes Quality of Life Questionnaire</w:t>
      </w:r>
      <w:r w:rsidR="002B3403">
        <w:rPr>
          <w:color w:val="000000" w:themeColor="text1"/>
          <w:sz w:val="24"/>
        </w:rPr>
        <w:t xml:space="preserve"> (ADDQoL-1</w:t>
      </w:r>
      <w:r w:rsidR="00F15E0F">
        <w:rPr>
          <w:color w:val="000000" w:themeColor="text1"/>
          <w:sz w:val="24"/>
        </w:rPr>
        <w:t>5</w:t>
      </w:r>
      <w:r w:rsidR="002B3403">
        <w:rPr>
          <w:color w:val="000000" w:themeColor="text1"/>
          <w:sz w:val="24"/>
        </w:rPr>
        <w:t>)</w:t>
      </w:r>
      <w:r w:rsidR="004F6664">
        <w:rPr>
          <w:color w:val="000000" w:themeColor="text1"/>
          <w:sz w:val="24"/>
        </w:rPr>
        <w:fldChar w:fldCharType="begin" w:fldLock="1"/>
      </w:r>
      <w:r w:rsidR="005D7FBE">
        <w:rPr>
          <w:color w:val="000000" w:themeColor="text1"/>
          <w:sz w:val="24"/>
        </w:rPr>
        <w:instrText>ADDIN CSL_CITATION {"citationItems":[{"id":"ITEM-1","itemData":{"DOI":"10.1023/A:1026485130100","ISSN":"09629343","PMID":"10457741","abstract":"The objectives of the study were to design and develop a questionnaire to measure individuals' perceptions of the impact of diabetes on their quality of life (QoL). The design of the ADDQoL (Audit of Diabetes Dependent QoL) was influenced by patient-centred principles underlying the SEIQoL interview method. Respondents rate only personally-applicable life domains, indicating importance and impact of diabetes. Fifty-two out-patients with diabetes and 102 attending diabetes education open days provided data for psychometric analyses. Each of the 13 domain-specific ADDQoL items was relevant and important for substantial numbers of respondents. Factor analysis and Cronbach's α coefficient of internal consistency (0.85) supported combination of items into a scale. Insulin-treated patients reported greater impact of diabetes on QoL than tablet/diet-treated patients. People with microvascular complications showed, as expected, greater diabetes-related impairment of QoL than people without complications. Unlike other QoL measures, the ADDQoL is an individualized questionnaire measure of the impact of diabetes and its treatment on QoL. Preliminary evidence of reliability and validity is established for adults with diabetes. Findings suggest that the ADDQoL will be more sensitive to change and responsive to differences than generic QoL measures.","author":[{"dropping-particle":"","family":"Bradley","given":"C.","non-dropping-particle":"","parse-names":false,"suffix":""},{"dropping-particle":"","family":"Todd","given":"C.","non-dropping-particle":"","parse-names":false,"suffix":""},{"dropping-particle":"","family":"Gorton","given":"T.","non-dropping-particle":"","parse-names":false,"suffix":""},{"dropping-particle":"","family":"Symonds","given":"E.","non-dropping-particle":"","parse-names":false,"suffix":""},{"dropping-particle":"","family":"Martin","given":"A.","non-dropping-particle":"","parse-names":false,"suffix":""},{"dropping-particle":"","family":"Plowright","given":"R.","non-dropping-particle":"","parse-names":false,"suffix":""}],"container-title":"Quality of Life Research","id":"ITEM-1","issue":"1-2","issued":{"date-parts":[["1999"]]},"page":"79-91","title":"The development of an individualized questionnaire measure of perceived impact of diabetes on quality of life: The ADDQoL","type":"article-journal","volume":"8"},"uris":["http://www.mendeley.com/documents/?uuid=1bb9d8a5-568d-3276-9bff-277fca1ec3d3"]}],"mendeley":{"formattedCitation":"[27]","plainTextFormattedCitation":"[27]","previouslyFormattedCitation":"[28]"},"properties":{"noteIndex":0},"schema":"https://github.com/citation-style-language/schema/raw/master/csl-citation.json"}</w:instrText>
      </w:r>
      <w:r w:rsidR="004F6664">
        <w:rPr>
          <w:color w:val="000000" w:themeColor="text1"/>
          <w:sz w:val="24"/>
        </w:rPr>
        <w:fldChar w:fldCharType="separate"/>
      </w:r>
      <w:r w:rsidR="005D7FBE" w:rsidRPr="005D7FBE">
        <w:rPr>
          <w:noProof/>
          <w:color w:val="000000" w:themeColor="text1"/>
          <w:sz w:val="24"/>
        </w:rPr>
        <w:t>[27]</w:t>
      </w:r>
      <w:r w:rsidR="004F6664">
        <w:rPr>
          <w:color w:val="000000" w:themeColor="text1"/>
          <w:sz w:val="24"/>
        </w:rPr>
        <w:fldChar w:fldCharType="end"/>
      </w:r>
      <w:r w:rsidR="00AA1127">
        <w:rPr>
          <w:color w:val="000000" w:themeColor="text1"/>
          <w:sz w:val="24"/>
        </w:rPr>
        <w:t>.</w:t>
      </w:r>
      <w:r w:rsidR="00944484">
        <w:rPr>
          <w:color w:val="000000" w:themeColor="text1"/>
          <w:sz w:val="24"/>
        </w:rPr>
        <w:t xml:space="preserve"> </w:t>
      </w:r>
    </w:p>
    <w:p w14:paraId="5C49A899" w14:textId="65EBAB3C" w:rsidR="00754DB7" w:rsidRDefault="00754DB7" w:rsidP="00891210">
      <w:pPr>
        <w:pStyle w:val="ListParagraph"/>
        <w:ind w:left="0"/>
        <w:jc w:val="both"/>
        <w:rPr>
          <w:rFonts w:ascii="Arial" w:hAnsi="Arial" w:cs="Arial"/>
          <w:color w:val="000000" w:themeColor="text1"/>
        </w:rPr>
      </w:pPr>
    </w:p>
    <w:p w14:paraId="1D14FD9B" w14:textId="45BD0F96" w:rsidR="003362FE" w:rsidRDefault="004B0288" w:rsidP="00AE0CAF">
      <w:pPr>
        <w:pStyle w:val="ListParagraph"/>
        <w:ind w:left="0"/>
        <w:jc w:val="both"/>
        <w:rPr>
          <w:rFonts w:ascii="Arial" w:hAnsi="Arial" w:cs="Arial"/>
          <w:color w:val="000000" w:themeColor="text1"/>
        </w:rPr>
      </w:pPr>
      <w:r>
        <w:rPr>
          <w:rFonts w:ascii="Arial" w:hAnsi="Arial" w:cs="Arial"/>
          <w:color w:val="000000" w:themeColor="text1"/>
        </w:rPr>
        <w:t>Additional psychological constructs are assessed with validated</w:t>
      </w:r>
      <w:r w:rsidR="003362FE" w:rsidRPr="003362FE">
        <w:rPr>
          <w:rFonts w:ascii="Arial" w:hAnsi="Arial" w:cs="Arial"/>
          <w:color w:val="000000" w:themeColor="text1"/>
        </w:rPr>
        <w:t xml:space="preserve"> questionnaires</w:t>
      </w:r>
      <w:r>
        <w:rPr>
          <w:rFonts w:ascii="Arial" w:hAnsi="Arial" w:cs="Arial"/>
          <w:color w:val="000000" w:themeColor="text1"/>
        </w:rPr>
        <w:t xml:space="preserve"> and study-specific individual items</w:t>
      </w:r>
      <w:r w:rsidR="003362FE" w:rsidRPr="003362FE">
        <w:rPr>
          <w:rFonts w:ascii="Arial" w:hAnsi="Arial" w:cs="Arial"/>
          <w:color w:val="000000" w:themeColor="text1"/>
        </w:rPr>
        <w:t xml:space="preserve">, </w:t>
      </w:r>
      <w:r>
        <w:rPr>
          <w:rFonts w:ascii="Arial" w:hAnsi="Arial" w:cs="Arial"/>
          <w:color w:val="000000" w:themeColor="text1"/>
        </w:rPr>
        <w:t>based upon:</w:t>
      </w:r>
      <w:r w:rsidR="003362FE" w:rsidRPr="003362FE">
        <w:rPr>
          <w:rFonts w:ascii="Arial" w:hAnsi="Arial" w:cs="Arial"/>
          <w:color w:val="000000" w:themeColor="text1"/>
        </w:rPr>
        <w:t xml:space="preserve"> existing knowledge about their association with the trial’s primary </w:t>
      </w:r>
      <w:r>
        <w:rPr>
          <w:rFonts w:ascii="Arial" w:hAnsi="Arial" w:cs="Arial"/>
          <w:color w:val="000000" w:themeColor="text1"/>
        </w:rPr>
        <w:t xml:space="preserve">biomedical </w:t>
      </w:r>
      <w:r w:rsidR="003362FE" w:rsidRPr="003362FE">
        <w:rPr>
          <w:rFonts w:ascii="Arial" w:hAnsi="Arial" w:cs="Arial"/>
          <w:color w:val="000000" w:themeColor="text1"/>
        </w:rPr>
        <w:t xml:space="preserve">outcome (HbA1c) and </w:t>
      </w:r>
      <w:r>
        <w:rPr>
          <w:rFonts w:ascii="Arial" w:hAnsi="Arial" w:cs="Arial"/>
          <w:color w:val="000000" w:themeColor="text1"/>
        </w:rPr>
        <w:t>primary psychological outcome (</w:t>
      </w:r>
      <w:r w:rsidR="003362FE" w:rsidRPr="003362FE">
        <w:rPr>
          <w:rFonts w:ascii="Arial" w:hAnsi="Arial" w:cs="Arial"/>
          <w:color w:val="000000" w:themeColor="text1"/>
        </w:rPr>
        <w:t>diabetes-specific quality of life</w:t>
      </w:r>
      <w:r>
        <w:rPr>
          <w:rFonts w:ascii="Arial" w:hAnsi="Arial" w:cs="Arial"/>
          <w:color w:val="000000" w:themeColor="text1"/>
        </w:rPr>
        <w:t>)</w:t>
      </w:r>
      <w:r w:rsidR="003362FE" w:rsidRPr="003362FE">
        <w:rPr>
          <w:rFonts w:ascii="Arial" w:hAnsi="Arial" w:cs="Arial"/>
          <w:color w:val="000000" w:themeColor="text1"/>
        </w:rPr>
        <w:t xml:space="preserve">, </w:t>
      </w:r>
      <w:r>
        <w:rPr>
          <w:rFonts w:ascii="Arial" w:hAnsi="Arial" w:cs="Arial"/>
          <w:color w:val="000000" w:themeColor="text1"/>
        </w:rPr>
        <w:t xml:space="preserve">including </w:t>
      </w:r>
      <w:r w:rsidR="003362FE" w:rsidRPr="003362FE">
        <w:rPr>
          <w:rFonts w:ascii="Arial" w:hAnsi="Arial" w:cs="Arial"/>
          <w:color w:val="000000" w:themeColor="text1"/>
        </w:rPr>
        <w:t xml:space="preserve">the </w:t>
      </w:r>
      <w:r>
        <w:rPr>
          <w:rFonts w:ascii="Arial" w:hAnsi="Arial" w:cs="Arial"/>
          <w:color w:val="000000" w:themeColor="text1"/>
        </w:rPr>
        <w:t>findings</w:t>
      </w:r>
      <w:r w:rsidR="003362FE" w:rsidRPr="003362FE">
        <w:rPr>
          <w:rFonts w:ascii="Arial" w:hAnsi="Arial" w:cs="Arial"/>
          <w:color w:val="000000" w:themeColor="text1"/>
        </w:rPr>
        <w:t xml:space="preserve"> of the Y</w:t>
      </w:r>
      <w:r>
        <w:rPr>
          <w:rFonts w:ascii="Arial" w:hAnsi="Arial" w:cs="Arial"/>
          <w:color w:val="000000" w:themeColor="text1"/>
        </w:rPr>
        <w:t>ourSAY</w:t>
      </w:r>
      <w:r w:rsidR="003362FE" w:rsidRPr="003362FE">
        <w:rPr>
          <w:rFonts w:ascii="Arial" w:hAnsi="Arial" w:cs="Arial"/>
          <w:color w:val="000000" w:themeColor="text1"/>
        </w:rPr>
        <w:t xml:space="preserve"> survey</w:t>
      </w:r>
      <w:r w:rsidR="004F6664">
        <w:rPr>
          <w:rFonts w:ascii="Arial" w:hAnsi="Arial" w:cs="Arial"/>
          <w:color w:val="000000" w:themeColor="text1"/>
        </w:rPr>
        <w:fldChar w:fldCharType="begin" w:fldLock="1"/>
      </w:r>
      <w:r w:rsidR="005D7FBE">
        <w:rPr>
          <w:rFonts w:ascii="Arial" w:hAnsi="Arial" w:cs="Arial"/>
          <w:color w:val="000000" w:themeColor="text1"/>
        </w:rPr>
        <w:instrText>ADDIN CSL_CITATION {"citationItems":[{"id":"ITEM-1","itemData":{"DOI":"10.2337/db19-809-p","ISSN":"0012-1797","abstract":"Aims: To compare the acceptability, reliability and validity of five contemporary diabetes-specific quality of life (QoL) scales.\n\nMethods: Adults with type 1 diabetes in the UK (N=1139) and Australia (N=439) completed a cross-sectional, online survey including: ADDQoL, DCP, DIDP, DSQoLS and QoL-Q diabetes (scales randomised to control for order effects). Participants rated each scale for clarity, relevance, ease of completion, length, and comprehensiveness. Scales were compared in terms of acceptability, response patterns, structure, reliability and validity. To assess cross-country reproducibility, analyses conducted on the UK sample were replicated in the Australian sample.\n\nResults: Findings (summarized in Table 1) were largely consistent between countries. The strongest scale overall was the DIDP, a brief (7-item), neutrally-worded scale with balanced response options. ADDQoL and QoL-Q diabetes also performed well across most criteria.\n\nConclusions: This is the first empirical study to compare the user acceptability and psychometric properties of five contemporary diabetes-specific QoL scales. These findings may inform assessment of diabetes-specific QoL in routine care and clinical trials, but should be considered in the context of published evidence of the development and responsiveness of the scales.\n\n![Figure][1]&lt;/img&gt;\n\n\n\nDisclosure J. Speight: Research Support; Self; AstraZeneca, Medtronic, Sanofi. Speaker's Bureau; Self; Novo Nordisk A/S, Roche Diabetes Care. E. Holmes-Truscott: Research Support; Self; Sanofi. Speaker's Bureau; Self; Novo Nordisk Inc. C. Hendrieckx: None. E. Coates: None. S.R. Heller: Advisory Panel; Self; Eli Lilly and Company, Novo Nordisk A/S, Sanofi-Aventis, Takeda Pharmaceutical Company Limited, Zealand Pharma A/S. Consultant; Self; Novo Nordisk A/S. Speaker's Bureau; Self; Eli Lilly and Company, Novo Nordisk A/S. D. Cooke: None.\n\nFunding UK National Institute for Health Research (RP-PG-0514-20013 to S.R.H.)\n\n [1]: pending:yes","author":[{"dropping-particle":"","family":"SPEIGHT","given":"JANE","non-dropping-particle":"","parse-names":false,"suffix":""},{"dropping-particle":"","family":"HOLMES-TRUSCOTT","given":"ELIZABETH","non-dropping-particle":"","parse-names":false,"suffix":""},{"dropping-particle":"","family":"HENDRIECKX","given":"CHRISTEL","non-dropping-particle":"","parse-names":false,"suffix":""},{"dropping-particle":"","family":"COATES","given":"ELIZABETH","non-dropping-particle":"","parse-names":false,"suffix":""},{"dropping-particle":"","family":"HELLER","given":"SIMON R.","non-dropping-particle":"","parse-names":false,"suffix":""},{"dropping-particle":"","family":"COOKE","given":"DEBBIE","non-dropping-particle":"","parse-names":false,"suffix":""}],"container-title":"Diabetes","id":"ITEM-1","issue":"Supplement 1","issued":{"date-parts":[["2019","6","1"]]},"page":"809-P","publisher":"American Diabetes Association","title":"809-P: Comparison of the Acceptability and Psychometric Properties of Scales Assessing the Impact of Type 1 Diabetes on Quality of Life: Results of the Your SAY: QoL Study","type":"article-journal","volume":"68"},"uris":["http://www.mendeley.com/documents/?uuid=3e0ece24-3a03-305f-b1bd-c24dc93d852f"]}],"mendeley":{"formattedCitation":"[28]","plainTextFormattedCitation":"[28]","previouslyFormattedCitation":"[29]"},"properties":{"noteIndex":0},"schema":"https://github.com/citation-style-language/schema/raw/master/csl-citation.json"}</w:instrText>
      </w:r>
      <w:r w:rsidR="004F6664">
        <w:rPr>
          <w:rFonts w:ascii="Arial" w:hAnsi="Arial" w:cs="Arial"/>
          <w:color w:val="000000" w:themeColor="text1"/>
        </w:rPr>
        <w:fldChar w:fldCharType="separate"/>
      </w:r>
      <w:r w:rsidR="005D7FBE" w:rsidRPr="005D7FBE">
        <w:rPr>
          <w:rFonts w:ascii="Arial" w:hAnsi="Arial" w:cs="Arial"/>
          <w:noProof/>
          <w:color w:val="000000" w:themeColor="text1"/>
        </w:rPr>
        <w:t>[28]</w:t>
      </w:r>
      <w:r w:rsidR="004F6664">
        <w:rPr>
          <w:rFonts w:ascii="Arial" w:hAnsi="Arial" w:cs="Arial"/>
          <w:color w:val="000000" w:themeColor="text1"/>
        </w:rPr>
        <w:fldChar w:fldCharType="end"/>
      </w:r>
      <w:r>
        <w:rPr>
          <w:rFonts w:ascii="Arial" w:hAnsi="Arial" w:cs="Arial"/>
          <w:color w:val="000000" w:themeColor="text1"/>
        </w:rPr>
        <w:t>;</w:t>
      </w:r>
      <w:r w:rsidR="003362FE" w:rsidRPr="003362FE">
        <w:rPr>
          <w:rFonts w:ascii="Arial" w:hAnsi="Arial" w:cs="Arial"/>
          <w:color w:val="000000" w:themeColor="text1"/>
        </w:rPr>
        <w:t xml:space="preserve"> </w:t>
      </w:r>
      <w:r w:rsidR="00803D18">
        <w:rPr>
          <w:rFonts w:ascii="Arial" w:hAnsi="Arial" w:cs="Arial"/>
          <w:color w:val="000000" w:themeColor="text1"/>
        </w:rPr>
        <w:t>previous</w:t>
      </w:r>
      <w:r w:rsidR="003362FE" w:rsidRPr="003362FE">
        <w:rPr>
          <w:rFonts w:ascii="Arial" w:hAnsi="Arial" w:cs="Arial"/>
          <w:color w:val="000000" w:themeColor="text1"/>
        </w:rPr>
        <w:t xml:space="preserve"> work with the DAFNE intervention, and the theoretical framework underpin</w:t>
      </w:r>
      <w:r w:rsidR="00803D18">
        <w:rPr>
          <w:rFonts w:ascii="Arial" w:hAnsi="Arial" w:cs="Arial"/>
          <w:color w:val="000000" w:themeColor="text1"/>
        </w:rPr>
        <w:t>ning</w:t>
      </w:r>
      <w:r w:rsidR="003362FE" w:rsidRPr="003362FE">
        <w:rPr>
          <w:rFonts w:ascii="Arial" w:hAnsi="Arial" w:cs="Arial"/>
          <w:color w:val="000000" w:themeColor="text1"/>
        </w:rPr>
        <w:t xml:space="preserve"> the </w:t>
      </w:r>
      <w:r>
        <w:rPr>
          <w:rFonts w:ascii="Arial" w:hAnsi="Arial" w:cs="Arial"/>
          <w:color w:val="000000" w:themeColor="text1"/>
        </w:rPr>
        <w:t>DAFNE</w:t>
      </w:r>
      <w:r w:rsidRPr="004B0288">
        <w:rPr>
          <w:rFonts w:ascii="Arial" w:hAnsi="Arial" w:cs="Arial"/>
          <w:i/>
          <w:iCs/>
          <w:color w:val="000000" w:themeColor="text1"/>
        </w:rPr>
        <w:t>plus</w:t>
      </w:r>
      <w:r w:rsidR="003362FE" w:rsidRPr="003362FE">
        <w:rPr>
          <w:rFonts w:ascii="Arial" w:hAnsi="Arial" w:cs="Arial"/>
          <w:color w:val="000000" w:themeColor="text1"/>
        </w:rPr>
        <w:t xml:space="preserve"> intervention development and possible treatment mechanisms</w:t>
      </w:r>
      <w:r w:rsidR="00B22284">
        <w:rPr>
          <w:rFonts w:ascii="Arial" w:hAnsi="Arial" w:cs="Arial"/>
          <w:color w:val="000000" w:themeColor="text1"/>
        </w:rPr>
        <w:fldChar w:fldCharType="begin" w:fldLock="1"/>
      </w:r>
      <w:r w:rsidR="005D7FBE">
        <w:rPr>
          <w:rFonts w:ascii="Arial" w:hAnsi="Arial" w:cs="Arial"/>
          <w:color w:val="000000" w:themeColor="text1"/>
        </w:rPr>
        <w:instrText>ADDIN CSL_CITATION {"citationItems":[{"id":"ITEM-1","itemData":{"DOI":"10.1186/1748-5908-6-42","ISSN":"1748-5908","author":[{"dropping-particle":"","family":"Michie","given":"Susan","non-dropping-particle":"","parse-names":false,"suffix":""},{"dropping-particle":"","family":"Stralen","given":"Maartje M","non-dropping-particle":"van","parse-names":false,"suffix":""},{"dropping-particle":"","family":"West","given":"Robert","non-dropping-particle":"","parse-names":false,"suffix":""}],"container-title":"Implementation Science","id":"ITEM-1","issue":"1","issued":{"date-parts":[["2011","12","23"]]},"page":"42","title":"The behaviour change wheel: A new method for characterising and designing behaviour change interventions","type":"article-journal","volume":"6"},"uris":["http://www.mendeley.com/documents/?uuid=a4137ef4-d2e0-3da5-a432-5be11ba9f41e"]},{"id":"ITEM-2","itemData":{"DOI":"10.1007/s10865-015-9649-y","ISSN":"0160-7715","PMID":"26072044","abstract":"Few studies have identified determinants of glycemic control (HbA1c) and diabetes-specific quality of life (DSQoL) in adults with type 1 diabetes. To identify factors predicting outcomes following structured diabetes education. 262 participants completed biomedical and questionnaire assessments before, and throughout 1 year of follow-up. The proportion of variance explained ranged from 28 to 62 % (DSQoLS) and 14-20 % (HbA1c). When change in psychosocial variables were examined, reduced hypoglycemia fear, lower 'perceived diabetes seriousness', greater self-efficacy and well-being predicted QoL improvements from baseline to 3-months. Increased frequency of blood glucose testing predicted improvements in HbA1c from baseline to 6-months. Greater benefits may be achieved if programs focus explicitly on psychosocial factors. Self-care behaviours did not predict HbA1c suggesting existing assessment tools need refinement. Evaluation of treatment mechanisms in self-management programs is recommended.","author":[{"dropping-particle":"","family":"Cooke","given":"Debbie","non-dropping-particle":"","parse-names":false,"suffix":""},{"dropping-particle":"","family":"Bond","given":"Rod","non-dropping-particle":"","parse-names":false,"suffix":""},{"dropping-particle":"","family":"Lawton","given":"Julia","non-dropping-particle":"","parse-names":false,"suffix":""},{"dropping-particle":"","family":"Rankin","given":"David","non-dropping-particle":"","parse-names":false,"suffix":""},{"dropping-particle":"","family":"Heller","given":"Simon","non-dropping-particle":"","parse-names":false,"suffix":""},{"dropping-particle":"","family":"Clark","given":"Marie","non-dropping-particle":"","parse-names":false,"suffix":""},{"dropping-particle":"","family":"Speight","given":"Jane","non-dropping-particle":"","parse-names":false,"suffix":""}],"container-title":"Journal of Behavioral Medicine","id":"ITEM-2","issue":"5","issued":{"date-parts":[["2015","10","14"]]},"page":"817-829","title":"Modeling predictors of changes in glycemic control and diabetes-specific quality of life amongst adults with type 1 diabetes 1 year after structured education in flexible, intensive insulin therapy","type":"article-journal","volume":"38"},"uris":["http://www.mendeley.com/documents/?uuid=226159b2-5ecb-3d1b-a6a8-241fabd4dd6b"]},{"id":"ITEM-3","itemData":{"DOI":"10.1136/qshc.2004.011155","ISSN":"1475-3898","PMID":"15692000","abstract":"BACKGROUND Evidence-based guidelines are often not implemented effectively with the result that best health outcomes are not achieved. This may be due to a lack of theoretical understanding of the processes involved in changing the behaviour of healthcare professionals. This paper reports the development of a consensus on a theoretical framework that could be used in implementation research. The objectives were to identify an agreed set of key theoretical constructs for use in (1) studying the implementation of evidence based practice and (2) developing strategies for effective implementation, and to communicate these constructs to an interdisciplinary audience. METHODS Six phases of work were conducted to develop a consensus: (1) identifying theoretical constructs; (2) simplifying into construct domains; (3) evaluating the importance of the construct domains; (4) interdisciplinary evaluation; (5) validating the domain list; and (6) piloting interview questions. The contributors were a \"psychological theory\" group (n = 18), a \"health services research\" group (n = 13), and a \"health psychology\" group (n = 30). RESULTS Twelve domains were identified to explain behaviour change: (1) knowledge, (2) skills, (3) social/professional role and identity, (4) beliefs about capabilities, (5) beliefs about consequences, (6) motivation and goals, (7) memory, attention and decision processes, (8) environmental context and resources, (9) social influences, (10) emotion regulation, (11) behavioural regulation, and (12) nature of the behaviour. CONCLUSIONS A set of behaviour change domains agreed by a consensus of experts is available for use in implementation research. Applications of this domain list will enhance understanding of the behaviour change processes inherent in implementation of evidence-based practice and will also test the validity of these proposed domains.","author":[{"dropping-particle":"","family":"Michie","given":"S","non-dropping-particle":"","parse-names":false,"suffix":""},{"dropping-particle":"","family":"Johnston","given":"M","non-dropping-particle":"","parse-names":false,"suffix":""},{"dropping-particle":"","family":"Abraham","given":"C","non-dropping-particle":"","parse-names":false,"suffix":""},{"dropping-particle":"","family":"Lawton","given":"R","non-dropping-particle":"","parse-names":false,"suffix":""},{"dropping-particle":"","family":"Parker","given":"D","non-dropping-particle":"","parse-names":false,"suffix":""},{"dropping-particle":"","family":"Walker","given":"A","non-dropping-particle":"","parse-names":false,"suffix":""},{"dropping-particle":"","family":"\"Psychological Theory\" Group","given":"","non-dropping-particle":"","parse-names":false,"suffix":""}],"container-title":"Quality and Safety in Health Care","id":"ITEM-3","issue":"1","issued":{"date-parts":[["2005","2","1"]]},"page":"26-33","title":"Making psychological theory useful for implementing evidence based practice: a consensus approach","type":"article-journal","volume":"14"},"uris":["http://www.mendeley.com/documents/?uuid=d2ea42c4-df17-32ac-9f55-045b98d9d2b2"]}],"mendeley":{"formattedCitation":"[19,29,30]","plainTextFormattedCitation":"[19,29,30]","previouslyFormattedCitation":"[19,30,31]"},"properties":{"noteIndex":0},"schema":"https://github.com/citation-style-language/schema/raw/master/csl-citation.json"}</w:instrText>
      </w:r>
      <w:r w:rsidR="00B22284">
        <w:rPr>
          <w:rFonts w:ascii="Arial" w:hAnsi="Arial" w:cs="Arial"/>
          <w:color w:val="000000" w:themeColor="text1"/>
        </w:rPr>
        <w:fldChar w:fldCharType="separate"/>
      </w:r>
      <w:r w:rsidR="005D7FBE" w:rsidRPr="005D7FBE">
        <w:rPr>
          <w:rFonts w:ascii="Arial" w:hAnsi="Arial" w:cs="Arial"/>
          <w:noProof/>
          <w:color w:val="000000" w:themeColor="text1"/>
        </w:rPr>
        <w:t>[19,29,30]</w:t>
      </w:r>
      <w:r w:rsidR="00B22284">
        <w:rPr>
          <w:rFonts w:ascii="Arial" w:hAnsi="Arial" w:cs="Arial"/>
          <w:color w:val="000000" w:themeColor="text1"/>
        </w:rPr>
        <w:fldChar w:fldCharType="end"/>
      </w:r>
      <w:r w:rsidR="003362FE">
        <w:rPr>
          <w:rFonts w:ascii="Arial" w:hAnsi="Arial" w:cs="Arial"/>
          <w:color w:val="000000" w:themeColor="text1"/>
        </w:rPr>
        <w:t>.</w:t>
      </w:r>
    </w:p>
    <w:p w14:paraId="43CFD4FC" w14:textId="77777777" w:rsidR="003362FE" w:rsidRDefault="003362FE" w:rsidP="003362FE">
      <w:pPr>
        <w:pStyle w:val="ListParagraph"/>
        <w:ind w:left="0"/>
        <w:jc w:val="both"/>
        <w:rPr>
          <w:rFonts w:ascii="Arial" w:hAnsi="Arial" w:cs="Arial"/>
          <w:color w:val="000000" w:themeColor="text1"/>
        </w:rPr>
      </w:pPr>
    </w:p>
    <w:p w14:paraId="6ED5F62E" w14:textId="0D813E4A" w:rsidR="003362FE" w:rsidRPr="00036F79" w:rsidRDefault="003362FE" w:rsidP="00891210">
      <w:pPr>
        <w:pStyle w:val="ListParagraph"/>
        <w:ind w:left="0"/>
        <w:jc w:val="both"/>
        <w:rPr>
          <w:rFonts w:ascii="Arial" w:hAnsi="Arial" w:cs="Arial"/>
          <w:b/>
          <w:bCs/>
          <w:color w:val="000000" w:themeColor="text1"/>
          <w:u w:val="single"/>
        </w:rPr>
      </w:pPr>
      <w:r w:rsidRPr="00036F79">
        <w:rPr>
          <w:rFonts w:ascii="Arial" w:hAnsi="Arial" w:cs="Arial"/>
          <w:b/>
          <w:bCs/>
          <w:color w:val="000000" w:themeColor="text1"/>
          <w:u w:val="single"/>
        </w:rPr>
        <w:t>Qualitative outcomes</w:t>
      </w:r>
    </w:p>
    <w:p w14:paraId="17E56FF5" w14:textId="010BD69F" w:rsidR="00AA4592" w:rsidRDefault="00AA4592" w:rsidP="003362FE">
      <w:pPr>
        <w:jc w:val="both"/>
        <w:rPr>
          <w:rFonts w:cs="Arial"/>
          <w:color w:val="000000" w:themeColor="text1"/>
          <w:sz w:val="24"/>
          <w:szCs w:val="28"/>
        </w:rPr>
      </w:pPr>
      <w:r w:rsidRPr="00AA4592">
        <w:rPr>
          <w:rFonts w:cs="Arial"/>
          <w:color w:val="000000" w:themeColor="text1"/>
          <w:sz w:val="24"/>
          <w:szCs w:val="28"/>
        </w:rPr>
        <w:lastRenderedPageBreak/>
        <w:t>Interviews will be undertaken with a subset of participants randomized to the intervention at baseline, course completion, 3 months and 12 months (Figure 1) to explore how key elements of the intervention influence and inform changes to, and maintenance of, key self-management behaviours over time. Facilitators will be interviewed from across the intervention sites to explore their experiences of intervention delivery and their views about the training, resourcing and support staff would need to deliver DAFNE</w:t>
      </w:r>
      <w:r w:rsidRPr="00AA4592">
        <w:rPr>
          <w:rFonts w:cs="Arial"/>
          <w:i/>
          <w:color w:val="000000" w:themeColor="text1"/>
          <w:sz w:val="24"/>
          <w:szCs w:val="28"/>
        </w:rPr>
        <w:t xml:space="preserve">plus </w:t>
      </w:r>
      <w:r w:rsidRPr="00AA4592">
        <w:rPr>
          <w:rFonts w:cs="Arial"/>
          <w:color w:val="000000" w:themeColor="text1"/>
          <w:sz w:val="24"/>
          <w:szCs w:val="28"/>
        </w:rPr>
        <w:t>in routine care.</w:t>
      </w:r>
    </w:p>
    <w:p w14:paraId="5F9A763F" w14:textId="43B74413" w:rsidR="00036F79" w:rsidRDefault="00036F79" w:rsidP="003362FE">
      <w:pPr>
        <w:jc w:val="both"/>
        <w:rPr>
          <w:rFonts w:cs="Arial"/>
          <w:color w:val="000000" w:themeColor="text1"/>
          <w:sz w:val="24"/>
          <w:szCs w:val="28"/>
        </w:rPr>
      </w:pPr>
    </w:p>
    <w:p w14:paraId="0056CCFB" w14:textId="65B07DD9" w:rsidR="00036F79" w:rsidRPr="00036F79" w:rsidRDefault="00036F79" w:rsidP="00036F79">
      <w:pPr>
        <w:jc w:val="both"/>
        <w:rPr>
          <w:rFonts w:cs="Arial"/>
          <w:b/>
          <w:bCs/>
          <w:color w:val="000000" w:themeColor="text1"/>
          <w:sz w:val="24"/>
          <w:u w:val="single"/>
        </w:rPr>
      </w:pPr>
      <w:r w:rsidRPr="00036F79">
        <w:rPr>
          <w:rFonts w:cs="Arial"/>
          <w:b/>
          <w:bCs/>
          <w:color w:val="000000" w:themeColor="text1"/>
          <w:sz w:val="24"/>
          <w:u w:val="single"/>
        </w:rPr>
        <w:t>Fidelity assessment</w:t>
      </w:r>
    </w:p>
    <w:p w14:paraId="78DFD300" w14:textId="303C9E15" w:rsidR="00036F79" w:rsidRDefault="007D7CF1" w:rsidP="00036F79">
      <w:pPr>
        <w:jc w:val="both"/>
        <w:rPr>
          <w:rFonts w:cs="Arial"/>
          <w:color w:val="000000" w:themeColor="text1"/>
          <w:sz w:val="24"/>
        </w:rPr>
      </w:pPr>
      <w:r>
        <w:rPr>
          <w:rFonts w:cs="Arial"/>
          <w:color w:val="000000" w:themeColor="text1"/>
          <w:sz w:val="24"/>
        </w:rPr>
        <w:t>We will explore f</w:t>
      </w:r>
      <w:r w:rsidR="00036F79">
        <w:rPr>
          <w:rFonts w:cs="Arial"/>
          <w:color w:val="000000" w:themeColor="text1"/>
          <w:sz w:val="24"/>
        </w:rPr>
        <w:t xml:space="preserve">idelity of delivery </w:t>
      </w:r>
      <w:r>
        <w:rPr>
          <w:rFonts w:cs="Arial"/>
          <w:color w:val="000000" w:themeColor="text1"/>
          <w:sz w:val="24"/>
        </w:rPr>
        <w:t>using two methods to assess the extent to which the intervention content specified in the DAFNE/DAFNE</w:t>
      </w:r>
      <w:r w:rsidRPr="00803D18">
        <w:rPr>
          <w:rFonts w:cs="Arial"/>
          <w:i/>
          <w:color w:val="000000" w:themeColor="text1"/>
          <w:sz w:val="24"/>
        </w:rPr>
        <w:t>plus</w:t>
      </w:r>
      <w:r>
        <w:rPr>
          <w:rFonts w:cs="Arial"/>
          <w:color w:val="000000" w:themeColor="text1"/>
          <w:sz w:val="24"/>
        </w:rPr>
        <w:t xml:space="preserve"> manuals is delivered as intended</w:t>
      </w:r>
      <w:r w:rsidR="00803D18">
        <w:rPr>
          <w:rFonts w:cs="Arial"/>
          <w:color w:val="000000" w:themeColor="text1"/>
          <w:sz w:val="24"/>
        </w:rPr>
        <w:t>:</w:t>
      </w:r>
      <w:r w:rsidR="00036F79">
        <w:rPr>
          <w:rFonts w:cs="Arial"/>
          <w:color w:val="000000" w:themeColor="text1"/>
          <w:sz w:val="24"/>
        </w:rPr>
        <w:t xml:space="preserve"> self-report checklists completed by educators/facilitators, and objectively analysed delivery from session audio recordings.  Fidelity of delivery will be assessed in standard DAFNE as well as DAFNE</w:t>
      </w:r>
      <w:r w:rsidR="00036F79" w:rsidRPr="00036F79">
        <w:rPr>
          <w:rFonts w:cs="Arial"/>
          <w:i/>
          <w:iCs/>
          <w:color w:val="000000" w:themeColor="text1"/>
          <w:sz w:val="24"/>
        </w:rPr>
        <w:t>plus</w:t>
      </w:r>
      <w:r w:rsidR="00036F79">
        <w:rPr>
          <w:rFonts w:cs="Arial"/>
          <w:color w:val="000000" w:themeColor="text1"/>
          <w:sz w:val="24"/>
        </w:rPr>
        <w:t xml:space="preserve"> in order to assess any loss of treatment differentiation</w:t>
      </w:r>
      <w:r>
        <w:rPr>
          <w:rFonts w:cs="Arial"/>
          <w:color w:val="000000" w:themeColor="text1"/>
          <w:sz w:val="24"/>
        </w:rPr>
        <w:t xml:space="preserve"> and potential contamination</w:t>
      </w:r>
      <w:r w:rsidR="00036F79">
        <w:rPr>
          <w:rFonts w:cs="Arial"/>
          <w:color w:val="000000" w:themeColor="text1"/>
          <w:sz w:val="24"/>
        </w:rPr>
        <w:t xml:space="preserve"> between the two arms.  </w:t>
      </w:r>
    </w:p>
    <w:p w14:paraId="3DAEB13E" w14:textId="77777777" w:rsidR="00036F79" w:rsidRDefault="00036F79" w:rsidP="00036F79">
      <w:pPr>
        <w:jc w:val="both"/>
        <w:rPr>
          <w:rFonts w:cs="Arial"/>
          <w:color w:val="000000" w:themeColor="text1"/>
          <w:sz w:val="24"/>
        </w:rPr>
      </w:pPr>
    </w:p>
    <w:p w14:paraId="71D2764E" w14:textId="310BCB06" w:rsidR="00036F79" w:rsidRPr="003B6C8C" w:rsidRDefault="00036F79" w:rsidP="00AE0CAF">
      <w:pPr>
        <w:jc w:val="both"/>
        <w:rPr>
          <w:sz w:val="24"/>
        </w:rPr>
      </w:pPr>
      <w:r w:rsidRPr="003B6C8C">
        <w:rPr>
          <w:sz w:val="24"/>
        </w:rPr>
        <w:t xml:space="preserve">1) Self-report checklists: </w:t>
      </w:r>
      <w:r w:rsidR="007D7CF1">
        <w:rPr>
          <w:sz w:val="24"/>
        </w:rPr>
        <w:t>F</w:t>
      </w:r>
      <w:r w:rsidRPr="003B6C8C">
        <w:rPr>
          <w:sz w:val="24"/>
        </w:rPr>
        <w:t>acilitators will</w:t>
      </w:r>
      <w:r>
        <w:rPr>
          <w:sz w:val="24"/>
        </w:rPr>
        <w:t xml:space="preserve"> </w:t>
      </w:r>
      <w:r w:rsidRPr="003B6C8C">
        <w:rPr>
          <w:sz w:val="24"/>
        </w:rPr>
        <w:t>complete checklists after each session</w:t>
      </w:r>
      <w:r w:rsidR="007D7CF1">
        <w:rPr>
          <w:sz w:val="24"/>
        </w:rPr>
        <w:t xml:space="preserve">. Each checklist lists the components intended to be delivered in each session (according to the manual). These components correspond to different </w:t>
      </w:r>
      <w:r w:rsidR="00FE391E">
        <w:rPr>
          <w:sz w:val="24"/>
        </w:rPr>
        <w:t>behaviour change techniques (</w:t>
      </w:r>
      <w:r w:rsidR="007D7CF1">
        <w:rPr>
          <w:sz w:val="24"/>
        </w:rPr>
        <w:t>BCTs</w:t>
      </w:r>
      <w:r w:rsidR="00FE391E">
        <w:rPr>
          <w:sz w:val="24"/>
        </w:rPr>
        <w:t>)</w:t>
      </w:r>
      <w:r w:rsidR="007D7CF1">
        <w:rPr>
          <w:sz w:val="24"/>
        </w:rPr>
        <w:t xml:space="preserve">. </w:t>
      </w:r>
      <w:r w:rsidRPr="003B6C8C">
        <w:rPr>
          <w:sz w:val="24"/>
        </w:rPr>
        <w:t xml:space="preserve"> </w:t>
      </w:r>
      <w:r w:rsidR="0022071B">
        <w:rPr>
          <w:sz w:val="24"/>
        </w:rPr>
        <w:t xml:space="preserve">Each </w:t>
      </w:r>
      <w:r w:rsidR="007D7CF1">
        <w:rPr>
          <w:sz w:val="24"/>
        </w:rPr>
        <w:t>component</w:t>
      </w:r>
      <w:r w:rsidR="0022071B">
        <w:rPr>
          <w:sz w:val="24"/>
        </w:rPr>
        <w:t xml:space="preserve"> will be rated as fully, partially or not delivered, with space for additional comments. </w:t>
      </w:r>
      <w:r w:rsidRPr="003B6C8C">
        <w:rPr>
          <w:sz w:val="24"/>
          <w:szCs w:val="22"/>
        </w:rPr>
        <w:t xml:space="preserve">The proportion of intended components rated as partially/fully delivered by </w:t>
      </w:r>
      <w:r>
        <w:rPr>
          <w:sz w:val="24"/>
          <w:szCs w:val="22"/>
        </w:rPr>
        <w:t>educators/</w:t>
      </w:r>
      <w:r w:rsidRPr="003B6C8C">
        <w:rPr>
          <w:sz w:val="24"/>
          <w:szCs w:val="22"/>
        </w:rPr>
        <w:t xml:space="preserve">facilitators will be calculated, with </w:t>
      </w:r>
      <w:r>
        <w:rPr>
          <w:rFonts w:eastAsia="MS Mincho"/>
          <w:sz w:val="24"/>
          <w:szCs w:val="22"/>
        </w:rPr>
        <w:t>&lt;</w:t>
      </w:r>
      <w:r w:rsidRPr="003B6C8C">
        <w:rPr>
          <w:rFonts w:eastAsia="MS Mincho"/>
          <w:sz w:val="24"/>
          <w:szCs w:val="22"/>
        </w:rPr>
        <w:t>50% of intended conte</w:t>
      </w:r>
      <w:r>
        <w:rPr>
          <w:rFonts w:eastAsia="MS Mincho"/>
          <w:sz w:val="24"/>
          <w:szCs w:val="22"/>
        </w:rPr>
        <w:t xml:space="preserve">nt delivered classified as low fidelity; 51-79% as moderate fidelity, and 80-100%’ as </w:t>
      </w:r>
      <w:r w:rsidRPr="003B6C8C">
        <w:rPr>
          <w:rFonts w:eastAsia="MS Mincho"/>
          <w:sz w:val="24"/>
          <w:szCs w:val="22"/>
        </w:rPr>
        <w:t>high fidelity</w:t>
      </w:r>
      <w:r w:rsidR="00B22284">
        <w:rPr>
          <w:rFonts w:eastAsia="MS Mincho"/>
          <w:sz w:val="24"/>
          <w:szCs w:val="22"/>
        </w:rPr>
        <w:fldChar w:fldCharType="begin" w:fldLock="1"/>
      </w:r>
      <w:r w:rsidR="005D7FBE">
        <w:rPr>
          <w:rFonts w:eastAsia="MS Mincho"/>
          <w:sz w:val="24"/>
          <w:szCs w:val="22"/>
        </w:rPr>
        <w:instrText>ADDIN CSL_CITATION {"citationItems":[{"id":"ITEM-1","itemData":{"DOI":"10.1111/j.1752-7325.2011.00233.x","ISSN":"00224006","author":[{"dropping-particle":"","family":"Borrelli","given":"Belinda","non-dropping-particle":"","parse-names":false,"suffix":""}],"container-title":"Journal of Public Health Dentistry","id":"ITEM-1","issue":"s1","issued":{"date-parts":[["2011","1","1"]]},"page":"S52-S63","publisher":"Blackwell Publishing Inc","title":"The assessment, monitoring, and enhancement of treatment fidelity in public health clinical trials","type":"article-journal","volume":"71"},"uris":["http://www.mendeley.com/documents/?uuid=840698d3-a491-362d-87e1-364e3d9dd604"]}],"mendeley":{"formattedCitation":"[31]","plainTextFormattedCitation":"[31]","previouslyFormattedCitation":"[32]"},"properties":{"noteIndex":0},"schema":"https://github.com/citation-style-language/schema/raw/master/csl-citation.json"}</w:instrText>
      </w:r>
      <w:r w:rsidR="00B22284">
        <w:rPr>
          <w:rFonts w:eastAsia="MS Mincho"/>
          <w:sz w:val="24"/>
          <w:szCs w:val="22"/>
        </w:rPr>
        <w:fldChar w:fldCharType="separate"/>
      </w:r>
      <w:r w:rsidR="005D7FBE" w:rsidRPr="005D7FBE">
        <w:rPr>
          <w:rFonts w:eastAsia="MS Mincho"/>
          <w:noProof/>
          <w:sz w:val="24"/>
          <w:szCs w:val="22"/>
        </w:rPr>
        <w:t>[31]</w:t>
      </w:r>
      <w:r w:rsidR="00B22284">
        <w:rPr>
          <w:rFonts w:eastAsia="MS Mincho"/>
          <w:sz w:val="24"/>
          <w:szCs w:val="22"/>
        </w:rPr>
        <w:fldChar w:fldCharType="end"/>
      </w:r>
      <w:r w:rsidRPr="003B6C8C">
        <w:rPr>
          <w:sz w:val="24"/>
          <w:szCs w:val="22"/>
        </w:rPr>
        <w:t>.</w:t>
      </w:r>
    </w:p>
    <w:p w14:paraId="321185EC" w14:textId="77777777" w:rsidR="00036F79" w:rsidRDefault="00036F79" w:rsidP="00036F79">
      <w:pPr>
        <w:jc w:val="both"/>
        <w:rPr>
          <w:rFonts w:cs="Arial"/>
          <w:color w:val="000000" w:themeColor="text1"/>
          <w:sz w:val="24"/>
        </w:rPr>
      </w:pPr>
    </w:p>
    <w:p w14:paraId="68BB6A09" w14:textId="4C304BF8" w:rsidR="00036F79" w:rsidRPr="00AA4592" w:rsidRDefault="00036F79" w:rsidP="00036F79">
      <w:pPr>
        <w:jc w:val="both"/>
        <w:rPr>
          <w:rFonts w:cs="Arial"/>
          <w:color w:val="000000" w:themeColor="text1"/>
          <w:sz w:val="24"/>
          <w:szCs w:val="28"/>
        </w:rPr>
      </w:pPr>
      <w:r>
        <w:rPr>
          <w:rFonts w:cs="Arial"/>
          <w:color w:val="000000" w:themeColor="text1"/>
          <w:sz w:val="24"/>
        </w:rPr>
        <w:t>2) Objectively analysed delivery: A subsample of group course sessions</w:t>
      </w:r>
      <w:r w:rsidR="007D7CF1">
        <w:rPr>
          <w:rFonts w:cs="Arial"/>
          <w:color w:val="000000" w:themeColor="text1"/>
          <w:sz w:val="24"/>
        </w:rPr>
        <w:t xml:space="preserve"> in both arms</w:t>
      </w:r>
      <w:r>
        <w:rPr>
          <w:rFonts w:cs="Arial"/>
          <w:color w:val="000000" w:themeColor="text1"/>
          <w:sz w:val="24"/>
        </w:rPr>
        <w:t xml:space="preserve"> will be audio-recorded and transcribed </w:t>
      </w:r>
      <w:r w:rsidR="007D7CF1">
        <w:rPr>
          <w:rFonts w:cs="Arial"/>
          <w:color w:val="000000" w:themeColor="text1"/>
          <w:sz w:val="24"/>
        </w:rPr>
        <w:t>verbatim</w:t>
      </w:r>
      <w:r>
        <w:rPr>
          <w:rFonts w:cs="Arial"/>
          <w:color w:val="000000" w:themeColor="text1"/>
          <w:sz w:val="24"/>
        </w:rPr>
        <w:t xml:space="preserve">. </w:t>
      </w:r>
      <w:r w:rsidR="007D7CF1">
        <w:rPr>
          <w:rFonts w:cs="Arial"/>
          <w:color w:val="000000" w:themeColor="text1"/>
          <w:sz w:val="24"/>
        </w:rPr>
        <w:t>Transcripts will be coded into component BCTs using an established taxonomy</w:t>
      </w:r>
      <w:r w:rsidR="005D7FBE">
        <w:rPr>
          <w:rFonts w:cs="Arial"/>
          <w:color w:val="000000" w:themeColor="text1"/>
          <w:sz w:val="24"/>
        </w:rPr>
        <w:fldChar w:fldCharType="begin" w:fldLock="1"/>
      </w:r>
      <w:r w:rsidR="005D7FBE">
        <w:rPr>
          <w:rFonts w:cs="Arial"/>
          <w:color w:val="000000" w:themeColor="text1"/>
          <w:sz w:val="24"/>
        </w:rPr>
        <w:instrText>ADDIN CSL_CITATION {"citationItems":[{"id":"ITEM-1","itemData":{"DOI":"10.1007/s12160-013-9486-6","ISSN":"0883-6612","PMID":"23512568","abstract":"BACKGROUND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author":[{"dropping-particle":"","family":"Michie","given":"Susan","non-dropping-particle":"","parse-names":false,"suffix":""},{"dropping-particle":"","family":"Richardson","given":"Michelle","non-dropping-particle":"","parse-names":false,"suffix":""},{"dropping-particle":"","family":"Johnston","given":"Marie","non-dropping-particle":"","parse-names":false,"suffix":""},{"dropping-particle":"","family":"Abraham","given":"Charles","non-dropping-particle":"","parse-names":false,"suffix":""},{"dropping-particle":"","family":"Francis","given":"Jill","non-dropping-particle":"","parse-names":false,"suffix":""},{"dropping-particle":"","family":"Hardeman","given":"Wendy","non-dropping-particle":"","parse-names":false,"suffix":""},{"dropping-particle":"","family":"Eccles","given":"Martin P.","non-dropping-particle":"","parse-names":false,"suffix":""},{"dropping-particle":"","family":"Cane","given":"James","non-dropping-particle":"","parse-names":false,"suffix":""},{"dropping-particle":"","family":"Wood","given":"Caroline E.","non-dropping-particle":"","parse-names":false,"suffix":""}],"container-title":"Annals of Behavioral Medicine","id":"ITEM-1","issue":"1","issued":{"date-parts":[["2013","8","20"]]},"page":"81-95","title":"The Behavior Change Technique Taxonomy (v1) of 93 Hierarchically Clustered Techniques: Building an International Consensus for the Reporting of Behavior Change Interventions","type":"article-journal","volume":"46"},"uris":["http://www.mendeley.com/documents/?uuid=de018c08-64f4-387c-bccb-3d2a9ff67845"]}],"mendeley":{"formattedCitation":"[20]","plainTextFormattedCitation":"[20]"},"properties":{"noteIndex":0},"schema":"https://github.com/citation-style-language/schema/raw/master/csl-citation.json"}</w:instrText>
      </w:r>
      <w:r w:rsidR="005D7FBE">
        <w:rPr>
          <w:rFonts w:cs="Arial"/>
          <w:color w:val="000000" w:themeColor="text1"/>
          <w:sz w:val="24"/>
        </w:rPr>
        <w:fldChar w:fldCharType="separate"/>
      </w:r>
      <w:r w:rsidR="005D7FBE" w:rsidRPr="005D7FBE">
        <w:rPr>
          <w:rFonts w:cs="Arial"/>
          <w:noProof/>
          <w:color w:val="000000" w:themeColor="text1"/>
          <w:sz w:val="24"/>
        </w:rPr>
        <w:t>[20]</w:t>
      </w:r>
      <w:r w:rsidR="005D7FBE">
        <w:rPr>
          <w:rFonts w:cs="Arial"/>
          <w:color w:val="000000" w:themeColor="text1"/>
          <w:sz w:val="24"/>
        </w:rPr>
        <w:fldChar w:fldCharType="end"/>
      </w:r>
      <w:r w:rsidR="007D7CF1">
        <w:rPr>
          <w:rFonts w:cs="Arial"/>
          <w:color w:val="000000" w:themeColor="text1"/>
          <w:sz w:val="24"/>
        </w:rPr>
        <w:t xml:space="preserve">. BCTs identified in each session transcript will be compared to </w:t>
      </w:r>
      <w:r w:rsidR="00D53977">
        <w:rPr>
          <w:rFonts w:cs="Arial"/>
          <w:color w:val="000000" w:themeColor="text1"/>
          <w:sz w:val="24"/>
        </w:rPr>
        <w:t xml:space="preserve">corresponding section of the intervention manual that specifies which BCTs are intended to be delivered in that session. </w:t>
      </w:r>
      <w:r w:rsidR="00410D88">
        <w:rPr>
          <w:rFonts w:cs="Arial"/>
          <w:color w:val="000000" w:themeColor="text1"/>
          <w:sz w:val="24"/>
        </w:rPr>
        <w:t>F</w:t>
      </w:r>
      <w:r w:rsidR="00D53977">
        <w:rPr>
          <w:rFonts w:cs="Arial"/>
          <w:color w:val="000000" w:themeColor="text1"/>
          <w:sz w:val="24"/>
        </w:rPr>
        <w:t xml:space="preserve">idelity will be calculated in terms of the percentage of manual-specified BCTs delivered as intended. </w:t>
      </w:r>
      <w:r>
        <w:rPr>
          <w:rFonts w:cs="Arial"/>
          <w:color w:val="000000" w:themeColor="text1"/>
          <w:sz w:val="24"/>
        </w:rPr>
        <w:t xml:space="preserve">Additional BCTs delivered that are not specified in the curricula will </w:t>
      </w:r>
      <w:r w:rsidR="00D53977">
        <w:rPr>
          <w:rFonts w:cs="Arial"/>
          <w:color w:val="000000" w:themeColor="text1"/>
          <w:sz w:val="24"/>
        </w:rPr>
        <w:t xml:space="preserve">also </w:t>
      </w:r>
      <w:r>
        <w:rPr>
          <w:rFonts w:cs="Arial"/>
          <w:color w:val="000000" w:themeColor="text1"/>
          <w:sz w:val="24"/>
        </w:rPr>
        <w:t>be noted.</w:t>
      </w:r>
    </w:p>
    <w:p w14:paraId="18621392" w14:textId="5B6AD6B4" w:rsidR="00AA4592" w:rsidRDefault="00AA4592" w:rsidP="00AA4592">
      <w:pPr>
        <w:pStyle w:val="ListParagraph"/>
        <w:ind w:left="0"/>
        <w:jc w:val="both"/>
        <w:rPr>
          <w:rFonts w:ascii="Arial" w:hAnsi="Arial" w:cs="Arial"/>
          <w:color w:val="000000" w:themeColor="text1"/>
        </w:rPr>
      </w:pPr>
    </w:p>
    <w:p w14:paraId="2CBBABFB" w14:textId="7C609DF9" w:rsidR="00036F79" w:rsidRPr="00036F79" w:rsidRDefault="00036F79" w:rsidP="00AA4592">
      <w:pPr>
        <w:pStyle w:val="ListParagraph"/>
        <w:ind w:left="0"/>
        <w:jc w:val="both"/>
        <w:rPr>
          <w:rFonts w:ascii="Arial" w:hAnsi="Arial" w:cs="Arial"/>
          <w:color w:val="000000" w:themeColor="text1"/>
        </w:rPr>
      </w:pPr>
      <w:r w:rsidRPr="00036F79">
        <w:rPr>
          <w:rFonts w:ascii="Arial" w:hAnsi="Arial" w:cs="Arial"/>
          <w:color w:val="000000" w:themeColor="text1"/>
        </w:rPr>
        <w:t>Detailed plans for the process evaluation are in supplementary material 2.</w:t>
      </w:r>
    </w:p>
    <w:p w14:paraId="505A0224" w14:textId="77777777" w:rsidR="00036F79" w:rsidRDefault="00036F79" w:rsidP="00AA4592">
      <w:pPr>
        <w:pStyle w:val="ListParagraph"/>
        <w:ind w:left="0"/>
        <w:jc w:val="both"/>
        <w:rPr>
          <w:rFonts w:ascii="Arial" w:hAnsi="Arial" w:cs="Arial"/>
          <w:color w:val="000000" w:themeColor="text1"/>
        </w:rPr>
      </w:pPr>
    </w:p>
    <w:p w14:paraId="083C31C8" w14:textId="0B97406D" w:rsidR="000948CB" w:rsidRPr="000948CB" w:rsidRDefault="000948CB" w:rsidP="000E136D">
      <w:pPr>
        <w:jc w:val="both"/>
        <w:rPr>
          <w:b/>
          <w:bCs/>
          <w:color w:val="000000" w:themeColor="text1"/>
          <w:sz w:val="28"/>
          <w:szCs w:val="28"/>
        </w:rPr>
      </w:pPr>
      <w:r w:rsidRPr="000948CB">
        <w:rPr>
          <w:b/>
          <w:bCs/>
          <w:color w:val="000000" w:themeColor="text1"/>
          <w:sz w:val="28"/>
          <w:szCs w:val="28"/>
        </w:rPr>
        <w:t>Health economic outcomes</w:t>
      </w:r>
    </w:p>
    <w:p w14:paraId="60669C7C" w14:textId="092A30C1" w:rsidR="0022071B" w:rsidRDefault="00472DE6" w:rsidP="00AE0CAF">
      <w:pPr>
        <w:pStyle w:val="ListParagraph"/>
        <w:ind w:left="0"/>
        <w:jc w:val="both"/>
        <w:rPr>
          <w:rFonts w:ascii="Arial" w:hAnsi="Arial" w:cs="Arial"/>
          <w:color w:val="000000" w:themeColor="text1"/>
        </w:rPr>
      </w:pPr>
      <w:r>
        <w:rPr>
          <w:rFonts w:ascii="Arial" w:hAnsi="Arial" w:cs="Arial"/>
          <w:color w:val="000000" w:themeColor="text1"/>
        </w:rPr>
        <w:t>Table 1 details the health economic data collected in the trial. In addition, data collected from the DAFNE</w:t>
      </w:r>
      <w:r w:rsidRPr="00472DE6">
        <w:rPr>
          <w:rFonts w:ascii="Arial" w:hAnsi="Arial" w:cs="Arial"/>
          <w:i/>
          <w:iCs/>
          <w:color w:val="000000" w:themeColor="text1"/>
        </w:rPr>
        <w:t>plus</w:t>
      </w:r>
      <w:r>
        <w:rPr>
          <w:rFonts w:ascii="Arial" w:hAnsi="Arial" w:cs="Arial"/>
          <w:color w:val="000000" w:themeColor="text1"/>
        </w:rPr>
        <w:t xml:space="preserve"> website will be used to cost the intervention. The analysis population for the health economic analyses will include all trial participants, as it is important that the analysis of health economic data includes all </w:t>
      </w:r>
      <w:r w:rsidR="005D7FBE">
        <w:rPr>
          <w:rFonts w:ascii="Arial" w:hAnsi="Arial" w:cs="Arial"/>
          <w:color w:val="000000" w:themeColor="text1"/>
        </w:rPr>
        <w:t>participants</w:t>
      </w:r>
      <w:r>
        <w:rPr>
          <w:rFonts w:ascii="Arial" w:hAnsi="Arial" w:cs="Arial"/>
          <w:color w:val="000000" w:themeColor="text1"/>
        </w:rPr>
        <w:t xml:space="preserve"> who would be eligible to receive DAFNE</w:t>
      </w:r>
      <w:r w:rsidRPr="00472DE6">
        <w:rPr>
          <w:rFonts w:ascii="Arial" w:hAnsi="Arial" w:cs="Arial"/>
          <w:i/>
          <w:iCs/>
          <w:color w:val="000000" w:themeColor="text1"/>
        </w:rPr>
        <w:t>plus</w:t>
      </w:r>
      <w:r>
        <w:rPr>
          <w:rFonts w:ascii="Arial" w:hAnsi="Arial" w:cs="Arial"/>
          <w:color w:val="000000" w:themeColor="text1"/>
        </w:rPr>
        <w:t xml:space="preserve"> (if it were to be implemented). In line with the statistical analysis, we will conduct subgroup analyses in participants with an HbA1c ≤ 7.5% and &gt; 7.5%</w:t>
      </w:r>
      <w:r w:rsidR="005D7FBE">
        <w:rPr>
          <w:rFonts w:ascii="Arial" w:hAnsi="Arial" w:cs="Arial"/>
          <w:color w:val="000000" w:themeColor="text1"/>
        </w:rPr>
        <w:t xml:space="preserve"> (58 mmol/mol)</w:t>
      </w:r>
      <w:r>
        <w:rPr>
          <w:rFonts w:ascii="Arial" w:hAnsi="Arial" w:cs="Arial"/>
          <w:color w:val="000000" w:themeColor="text1"/>
        </w:rPr>
        <w:t xml:space="preserve">. </w:t>
      </w:r>
    </w:p>
    <w:p w14:paraId="795BFD96" w14:textId="77777777" w:rsidR="0022071B" w:rsidRDefault="0022071B" w:rsidP="00AE0CAF">
      <w:pPr>
        <w:pStyle w:val="ListParagraph"/>
        <w:ind w:left="0"/>
        <w:jc w:val="both"/>
        <w:rPr>
          <w:rFonts w:ascii="Arial" w:hAnsi="Arial" w:cs="Arial"/>
          <w:color w:val="000000" w:themeColor="text1"/>
        </w:rPr>
      </w:pPr>
    </w:p>
    <w:p w14:paraId="3F8C2C13" w14:textId="65A908C9" w:rsidR="00397986" w:rsidRDefault="00472DE6" w:rsidP="00AE0CAF">
      <w:pPr>
        <w:pStyle w:val="ListParagraph"/>
        <w:ind w:left="0"/>
        <w:jc w:val="both"/>
        <w:rPr>
          <w:rFonts w:ascii="Arial" w:hAnsi="Arial" w:cs="Arial"/>
          <w:color w:val="000000" w:themeColor="text1"/>
        </w:rPr>
      </w:pPr>
      <w:r>
        <w:rPr>
          <w:rFonts w:ascii="Arial" w:hAnsi="Arial" w:cs="Arial"/>
          <w:color w:val="000000" w:themeColor="text1"/>
        </w:rPr>
        <w:t>Two health economic analyses will be conducted, a primary long-term analysis using the Sheffield T1D Policy Model and a secondary analysis of the data collected in the trial. All health economic analysis will compare the incremental cost-effectiveness ratio of DAFNE</w:t>
      </w:r>
      <w:r w:rsidRPr="00472DE6">
        <w:rPr>
          <w:rFonts w:ascii="Arial" w:hAnsi="Arial" w:cs="Arial"/>
          <w:i/>
          <w:iCs/>
          <w:color w:val="000000" w:themeColor="text1"/>
        </w:rPr>
        <w:t>plus</w:t>
      </w:r>
      <w:r>
        <w:rPr>
          <w:rFonts w:ascii="Arial" w:hAnsi="Arial" w:cs="Arial"/>
          <w:color w:val="000000" w:themeColor="text1"/>
        </w:rPr>
        <w:t xml:space="preserve"> versus DAFNE to standard NICE </w:t>
      </w:r>
      <w:r>
        <w:rPr>
          <w:rFonts w:ascii="Arial" w:hAnsi="Arial" w:cs="Arial"/>
          <w:color w:val="000000" w:themeColor="text1"/>
        </w:rPr>
        <w:lastRenderedPageBreak/>
        <w:t>thresholds to determine cost-effectiveness</w:t>
      </w:r>
      <w:r w:rsidR="00B22284">
        <w:rPr>
          <w:rFonts w:ascii="Arial" w:hAnsi="Arial" w:cs="Arial"/>
          <w:color w:val="000000" w:themeColor="text1"/>
        </w:rPr>
        <w:fldChar w:fldCharType="begin" w:fldLock="1"/>
      </w:r>
      <w:r w:rsidR="005D7FBE">
        <w:rPr>
          <w:rFonts w:ascii="Arial" w:hAnsi="Arial" w:cs="Arial"/>
          <w:color w:val="000000" w:themeColor="text1"/>
        </w:rPr>
        <w:instrText>ADDIN CSL_CITATION {"citationItems":[{"id":"ITEM-1","itemData":{"author":[{"dropping-particle":"","family":"National Institute for Health and Care Excellence","given":"","non-dropping-particle":"","parse-names":false,"suffix":""}],"id":"ITEM-1","issued":{"date-parts":[["0"]]},"publisher":"NICE","title":"Guide to the methods of technology appraisal 2013 | Guidance and guidelines | NICE","type":"article-journal"},"uris":["http://www.mendeley.com/documents/?uuid=67cb0c55-b5f8-3966-9681-067d99b05501"]}],"mendeley":{"formattedCitation":"[32]","plainTextFormattedCitation":"[32]","previouslyFormattedCitation":"[33]"},"properties":{"noteIndex":0},"schema":"https://github.com/citation-style-language/schema/raw/master/csl-citation.json"}</w:instrText>
      </w:r>
      <w:r w:rsidR="00B22284">
        <w:rPr>
          <w:rFonts w:ascii="Arial" w:hAnsi="Arial" w:cs="Arial"/>
          <w:color w:val="000000" w:themeColor="text1"/>
        </w:rPr>
        <w:fldChar w:fldCharType="separate"/>
      </w:r>
      <w:r w:rsidR="005D7FBE" w:rsidRPr="005D7FBE">
        <w:rPr>
          <w:rFonts w:ascii="Arial" w:hAnsi="Arial" w:cs="Arial"/>
          <w:noProof/>
          <w:color w:val="000000" w:themeColor="text1"/>
        </w:rPr>
        <w:t>[32]</w:t>
      </w:r>
      <w:r w:rsidR="00B22284">
        <w:rPr>
          <w:rFonts w:ascii="Arial" w:hAnsi="Arial" w:cs="Arial"/>
          <w:color w:val="000000" w:themeColor="text1"/>
        </w:rPr>
        <w:fldChar w:fldCharType="end"/>
      </w:r>
      <w:r>
        <w:rPr>
          <w:rFonts w:ascii="Arial" w:hAnsi="Arial" w:cs="Arial"/>
          <w:color w:val="000000" w:themeColor="text1"/>
        </w:rPr>
        <w:t xml:space="preserve">. </w:t>
      </w:r>
      <w:r w:rsidR="00410D88">
        <w:rPr>
          <w:rFonts w:ascii="Arial" w:hAnsi="Arial" w:cs="Arial"/>
          <w:color w:val="000000" w:themeColor="text1"/>
        </w:rPr>
        <w:t>See</w:t>
      </w:r>
      <w:r w:rsidR="00397986">
        <w:rPr>
          <w:rFonts w:ascii="Arial" w:hAnsi="Arial" w:cs="Arial"/>
          <w:color w:val="000000" w:themeColor="text1"/>
        </w:rPr>
        <w:t xml:space="preserve"> supplementary material </w:t>
      </w:r>
      <w:r w:rsidR="00EC7DFD">
        <w:rPr>
          <w:rFonts w:ascii="Arial" w:hAnsi="Arial" w:cs="Arial"/>
          <w:color w:val="000000" w:themeColor="text1"/>
        </w:rPr>
        <w:t>3</w:t>
      </w:r>
      <w:r w:rsidR="00410D88">
        <w:rPr>
          <w:rFonts w:ascii="Arial" w:hAnsi="Arial" w:cs="Arial"/>
          <w:color w:val="000000" w:themeColor="text1"/>
        </w:rPr>
        <w:t xml:space="preserve"> for detailed plans for the economic evaluation</w:t>
      </w:r>
      <w:r w:rsidR="00397986">
        <w:rPr>
          <w:rFonts w:ascii="Arial" w:hAnsi="Arial" w:cs="Arial"/>
          <w:color w:val="000000" w:themeColor="text1"/>
        </w:rPr>
        <w:t>.</w:t>
      </w:r>
    </w:p>
    <w:p w14:paraId="110EFF53" w14:textId="780A22EE" w:rsidR="00084D40" w:rsidRDefault="00084D40" w:rsidP="00397986">
      <w:pPr>
        <w:jc w:val="both"/>
        <w:rPr>
          <w:rFonts w:cs="Arial"/>
          <w:color w:val="000000" w:themeColor="text1"/>
        </w:rPr>
      </w:pPr>
    </w:p>
    <w:p w14:paraId="37EAF7C7" w14:textId="4C3055C0" w:rsidR="00AE0CAF" w:rsidRDefault="00AE0CAF" w:rsidP="00397986">
      <w:pPr>
        <w:jc w:val="both"/>
        <w:rPr>
          <w:rFonts w:cs="Arial"/>
          <w:color w:val="000000" w:themeColor="text1"/>
        </w:rPr>
      </w:pPr>
    </w:p>
    <w:p w14:paraId="562A6526" w14:textId="77777777" w:rsidR="006C712A" w:rsidRDefault="006C712A" w:rsidP="00AA7FD7">
      <w:pPr>
        <w:jc w:val="both"/>
        <w:rPr>
          <w:b/>
          <w:color w:val="000000" w:themeColor="text1"/>
          <w:sz w:val="28"/>
          <w:szCs w:val="28"/>
        </w:rPr>
      </w:pPr>
    </w:p>
    <w:p w14:paraId="2895268B" w14:textId="386357C1" w:rsidR="000948CB" w:rsidRPr="000948CB" w:rsidRDefault="000948CB" w:rsidP="00AA7FD7">
      <w:pPr>
        <w:jc w:val="both"/>
        <w:rPr>
          <w:b/>
          <w:color w:val="000000" w:themeColor="text1"/>
          <w:sz w:val="28"/>
          <w:szCs w:val="28"/>
        </w:rPr>
      </w:pPr>
      <w:r w:rsidRPr="000948CB">
        <w:rPr>
          <w:b/>
          <w:color w:val="000000" w:themeColor="text1"/>
          <w:sz w:val="28"/>
          <w:szCs w:val="28"/>
        </w:rPr>
        <w:t>Safety outcomes</w:t>
      </w:r>
    </w:p>
    <w:p w14:paraId="3C6F69EA" w14:textId="77777777" w:rsidR="000948CB" w:rsidRDefault="000948CB" w:rsidP="00AA7FD7">
      <w:pPr>
        <w:jc w:val="both"/>
        <w:rPr>
          <w:b/>
          <w:color w:val="000000" w:themeColor="text1"/>
          <w:sz w:val="24"/>
        </w:rPr>
      </w:pPr>
    </w:p>
    <w:p w14:paraId="6870FCC0" w14:textId="116A774C" w:rsidR="002E2B40" w:rsidRPr="00944484" w:rsidRDefault="002E2B40" w:rsidP="00AA7FD7">
      <w:pPr>
        <w:jc w:val="both"/>
        <w:rPr>
          <w:b/>
          <w:color w:val="000000" w:themeColor="text1"/>
          <w:sz w:val="28"/>
          <w:szCs w:val="28"/>
        </w:rPr>
      </w:pPr>
      <w:r w:rsidRPr="00944484">
        <w:rPr>
          <w:b/>
          <w:color w:val="000000" w:themeColor="text1"/>
          <w:sz w:val="28"/>
          <w:szCs w:val="28"/>
        </w:rPr>
        <w:t>Adverse Events</w:t>
      </w:r>
    </w:p>
    <w:p w14:paraId="1DA620E2" w14:textId="331079E0" w:rsidR="006E1695" w:rsidRPr="004E4C1E" w:rsidRDefault="00164A7B" w:rsidP="000948CB">
      <w:pPr>
        <w:jc w:val="both"/>
        <w:rPr>
          <w:color w:val="000000" w:themeColor="text1"/>
          <w:sz w:val="24"/>
        </w:rPr>
      </w:pPr>
      <w:r>
        <w:rPr>
          <w:color w:val="000000" w:themeColor="text1"/>
          <w:sz w:val="24"/>
        </w:rPr>
        <w:t>S</w:t>
      </w:r>
      <w:r w:rsidR="006E1695" w:rsidRPr="006E0003">
        <w:rPr>
          <w:color w:val="000000" w:themeColor="text1"/>
          <w:sz w:val="24"/>
        </w:rPr>
        <w:t xml:space="preserve">tudy centres </w:t>
      </w:r>
      <w:r>
        <w:rPr>
          <w:color w:val="000000" w:themeColor="text1"/>
          <w:sz w:val="24"/>
        </w:rPr>
        <w:t xml:space="preserve">are </w:t>
      </w:r>
      <w:r w:rsidR="006E1695" w:rsidRPr="006E0003">
        <w:rPr>
          <w:color w:val="000000" w:themeColor="text1"/>
          <w:sz w:val="24"/>
        </w:rPr>
        <w:t>only</w:t>
      </w:r>
      <w:r>
        <w:rPr>
          <w:color w:val="000000" w:themeColor="text1"/>
          <w:sz w:val="24"/>
        </w:rPr>
        <w:t xml:space="preserve"> required to</w:t>
      </w:r>
      <w:r w:rsidR="006E1695" w:rsidRPr="006E0003">
        <w:rPr>
          <w:color w:val="000000" w:themeColor="text1"/>
          <w:sz w:val="24"/>
        </w:rPr>
        <w:t xml:space="preserve"> report as adverse events episodes of diabetic ketoacidosis and severe hypoglycaemia </w:t>
      </w:r>
      <w:r w:rsidR="006E1695">
        <w:rPr>
          <w:color w:val="000000" w:themeColor="text1"/>
          <w:sz w:val="24"/>
        </w:rPr>
        <w:t xml:space="preserve">which while not requiring admission to hospital have been noted by either </w:t>
      </w:r>
      <w:r w:rsidR="006E1695" w:rsidRPr="006E0003">
        <w:rPr>
          <w:color w:val="000000" w:themeColor="text1"/>
          <w:sz w:val="24"/>
        </w:rPr>
        <w:t>the participant or their relative/partner etc</w:t>
      </w:r>
      <w:r w:rsidR="006E1695">
        <w:rPr>
          <w:color w:val="000000" w:themeColor="text1"/>
          <w:sz w:val="24"/>
        </w:rPr>
        <w:t xml:space="preserve">.  </w:t>
      </w:r>
      <w:r w:rsidR="004E4C1E" w:rsidRPr="002F72F5">
        <w:rPr>
          <w:color w:val="000000" w:themeColor="text1"/>
          <w:sz w:val="24"/>
        </w:rPr>
        <w:t xml:space="preserve">These will be recorded on the data collection form and </w:t>
      </w:r>
      <w:r w:rsidR="004E4C1E">
        <w:rPr>
          <w:color w:val="000000" w:themeColor="text1"/>
          <w:sz w:val="24"/>
        </w:rPr>
        <w:t>d</w:t>
      </w:r>
      <w:r w:rsidR="004E4C1E" w:rsidRPr="002F72F5">
        <w:rPr>
          <w:color w:val="000000" w:themeColor="text1"/>
          <w:sz w:val="24"/>
        </w:rPr>
        <w:t>atabase.</w:t>
      </w:r>
    </w:p>
    <w:p w14:paraId="75374EB4" w14:textId="74EE6368" w:rsidR="006E0003" w:rsidRPr="006E0003" w:rsidRDefault="006E0003" w:rsidP="006E0003">
      <w:pPr>
        <w:jc w:val="both"/>
        <w:rPr>
          <w:color w:val="000000" w:themeColor="text1"/>
          <w:sz w:val="24"/>
        </w:rPr>
      </w:pPr>
    </w:p>
    <w:p w14:paraId="43F8CAB0" w14:textId="0C2ABA24" w:rsidR="00103305" w:rsidRPr="00944484" w:rsidRDefault="00103305" w:rsidP="00AA7FD7">
      <w:pPr>
        <w:jc w:val="both"/>
        <w:rPr>
          <w:b/>
          <w:color w:val="000000" w:themeColor="text1"/>
          <w:sz w:val="28"/>
          <w:szCs w:val="28"/>
        </w:rPr>
      </w:pPr>
      <w:r w:rsidRPr="00944484">
        <w:rPr>
          <w:b/>
          <w:color w:val="000000" w:themeColor="text1"/>
          <w:sz w:val="28"/>
          <w:szCs w:val="28"/>
        </w:rPr>
        <w:t>Reporting</w:t>
      </w:r>
    </w:p>
    <w:p w14:paraId="73A41BFA" w14:textId="71D9CB54" w:rsidR="00A37E95" w:rsidRPr="00A37E95" w:rsidRDefault="00164A7B" w:rsidP="00A4534E">
      <w:pPr>
        <w:jc w:val="both"/>
        <w:rPr>
          <w:rFonts w:ascii="Times New Roman" w:hAnsi="Times New Roman"/>
          <w:color w:val="222222"/>
          <w:sz w:val="24"/>
          <w:lang w:val="en-US" w:eastAsia="en-US"/>
        </w:rPr>
      </w:pPr>
      <w:r>
        <w:rPr>
          <w:color w:val="000000" w:themeColor="text1"/>
          <w:sz w:val="24"/>
        </w:rPr>
        <w:t>We do</w:t>
      </w:r>
      <w:r w:rsidR="002C7F95" w:rsidRPr="00735A8A">
        <w:rPr>
          <w:color w:val="000000" w:themeColor="text1"/>
          <w:sz w:val="24"/>
        </w:rPr>
        <w:t xml:space="preserve"> not anticipate many SAEs </w:t>
      </w:r>
      <w:r w:rsidR="002C7F95" w:rsidRPr="009C5258">
        <w:rPr>
          <w:color w:val="000000" w:themeColor="text1"/>
          <w:sz w:val="24"/>
        </w:rPr>
        <w:t>related</w:t>
      </w:r>
      <w:r w:rsidR="002C7F95" w:rsidRPr="00735A8A">
        <w:rPr>
          <w:color w:val="000000" w:themeColor="text1"/>
          <w:sz w:val="24"/>
        </w:rPr>
        <w:t xml:space="preserve"> </w:t>
      </w:r>
      <w:r>
        <w:rPr>
          <w:color w:val="000000" w:themeColor="text1"/>
          <w:sz w:val="24"/>
        </w:rPr>
        <w:t xml:space="preserve">specifically </w:t>
      </w:r>
      <w:r w:rsidR="002C7F95" w:rsidRPr="00735A8A">
        <w:rPr>
          <w:color w:val="000000" w:themeColor="text1"/>
          <w:sz w:val="24"/>
        </w:rPr>
        <w:t>to DAFNE</w:t>
      </w:r>
      <w:r w:rsidR="002C7F95" w:rsidRPr="00735A8A">
        <w:rPr>
          <w:i/>
          <w:color w:val="000000" w:themeColor="text1"/>
          <w:sz w:val="24"/>
        </w:rPr>
        <w:t>plus</w:t>
      </w:r>
      <w:r w:rsidR="002C7F95" w:rsidRPr="00735A8A">
        <w:rPr>
          <w:color w:val="000000" w:themeColor="text1"/>
          <w:sz w:val="24"/>
        </w:rPr>
        <w:t xml:space="preserve"> or standard DAFNE</w:t>
      </w:r>
      <w:r>
        <w:rPr>
          <w:color w:val="000000" w:themeColor="text1"/>
          <w:sz w:val="24"/>
        </w:rPr>
        <w:t xml:space="preserve"> but</w:t>
      </w:r>
      <w:r w:rsidR="002C7F95" w:rsidRPr="00735A8A">
        <w:rPr>
          <w:color w:val="000000" w:themeColor="text1"/>
          <w:sz w:val="24"/>
        </w:rPr>
        <w:t xml:space="preserve"> will report any which are deemed related to the study intervention and </w:t>
      </w:r>
      <w:r>
        <w:rPr>
          <w:color w:val="000000" w:themeColor="text1"/>
          <w:sz w:val="24"/>
        </w:rPr>
        <w:t xml:space="preserve">or are </w:t>
      </w:r>
      <w:r w:rsidR="002C7F95" w:rsidRPr="00735A8A">
        <w:rPr>
          <w:color w:val="000000" w:themeColor="text1"/>
          <w:sz w:val="24"/>
        </w:rPr>
        <w:t>unexpected to the Sponsor and the REC</w:t>
      </w:r>
      <w:r w:rsidR="000948CB">
        <w:rPr>
          <w:color w:val="000000" w:themeColor="text1"/>
          <w:sz w:val="24"/>
        </w:rPr>
        <w:t xml:space="preserve"> in line with best practice.</w:t>
      </w:r>
      <w:r w:rsidR="000948CB" w:rsidRPr="00735A8A" w:rsidDel="000948CB">
        <w:rPr>
          <w:color w:val="000000" w:themeColor="text1"/>
          <w:sz w:val="24"/>
        </w:rPr>
        <w:t xml:space="preserve"> </w:t>
      </w:r>
    </w:p>
    <w:p w14:paraId="29F89D9B" w14:textId="1006AA9E" w:rsidR="006E0003" w:rsidRDefault="006E0003" w:rsidP="006E0003">
      <w:pPr>
        <w:jc w:val="both"/>
        <w:rPr>
          <w:b/>
          <w:color w:val="000000" w:themeColor="text1"/>
          <w:sz w:val="24"/>
        </w:rPr>
      </w:pPr>
    </w:p>
    <w:p w14:paraId="37C6D5FE" w14:textId="77777777" w:rsidR="00AF4644" w:rsidRPr="00944484" w:rsidRDefault="00AF4644" w:rsidP="00AF4644">
      <w:pPr>
        <w:autoSpaceDE w:val="0"/>
        <w:autoSpaceDN w:val="0"/>
        <w:adjustRightInd w:val="0"/>
        <w:jc w:val="both"/>
        <w:rPr>
          <w:b/>
          <w:bCs/>
          <w:color w:val="000000" w:themeColor="text1"/>
          <w:sz w:val="28"/>
          <w:szCs w:val="28"/>
        </w:rPr>
      </w:pPr>
      <w:r w:rsidRPr="00944484">
        <w:rPr>
          <w:b/>
          <w:bCs/>
          <w:color w:val="000000" w:themeColor="text1"/>
          <w:sz w:val="28"/>
          <w:szCs w:val="28"/>
        </w:rPr>
        <w:t>Sample size</w:t>
      </w:r>
    </w:p>
    <w:p w14:paraId="620C39BA" w14:textId="77777777" w:rsidR="00AF4644" w:rsidRDefault="00AF4644" w:rsidP="00AF4644">
      <w:pPr>
        <w:autoSpaceDE w:val="0"/>
        <w:autoSpaceDN w:val="0"/>
        <w:adjustRightInd w:val="0"/>
        <w:jc w:val="both"/>
        <w:rPr>
          <w:color w:val="000000" w:themeColor="text1"/>
          <w:sz w:val="24"/>
        </w:rPr>
      </w:pPr>
    </w:p>
    <w:p w14:paraId="0A0F8737" w14:textId="700A9C4C" w:rsidR="00AF4644" w:rsidRPr="00AA7FD7" w:rsidRDefault="00AF4644" w:rsidP="00AF4644">
      <w:pPr>
        <w:autoSpaceDE w:val="0"/>
        <w:autoSpaceDN w:val="0"/>
        <w:adjustRightInd w:val="0"/>
        <w:jc w:val="both"/>
        <w:rPr>
          <w:rFonts w:cs="Arial"/>
          <w:color w:val="000000" w:themeColor="text1"/>
          <w:sz w:val="24"/>
        </w:rPr>
      </w:pPr>
      <w:r w:rsidRPr="00AA7FD7">
        <w:rPr>
          <w:rFonts w:cs="Arial"/>
          <w:color w:val="000000" w:themeColor="text1"/>
          <w:sz w:val="24"/>
        </w:rPr>
        <w:t>It is expected that there will be 882 patients referred for DAFNE courses within the 15-month recruitment window and of these it is expected 75% (662 patients) will be recruited, equivalent to 47 participants at each of the 14 centres. From current DAFNE data</w:t>
      </w:r>
      <w:r w:rsidR="00410D88">
        <w:rPr>
          <w:rFonts w:cs="Arial"/>
          <w:color w:val="000000" w:themeColor="text1"/>
          <w:sz w:val="24"/>
        </w:rPr>
        <w:t>,</w:t>
      </w:r>
      <w:r w:rsidRPr="00AA7FD7">
        <w:rPr>
          <w:rFonts w:cs="Arial"/>
          <w:color w:val="000000" w:themeColor="text1"/>
          <w:sz w:val="24"/>
        </w:rPr>
        <w:t xml:space="preserve"> a further 25% are expected not to meet the primary analysis population criteria of baseline HbA1c greater than 7.5%</w:t>
      </w:r>
      <w:r w:rsidR="005D7FBE">
        <w:rPr>
          <w:rFonts w:cs="Arial"/>
          <w:color w:val="000000" w:themeColor="text1"/>
          <w:sz w:val="24"/>
        </w:rPr>
        <w:t xml:space="preserve"> (58 mmol/mol)</w:t>
      </w:r>
      <w:r w:rsidRPr="00AA7FD7">
        <w:rPr>
          <w:rFonts w:cs="Arial"/>
          <w:color w:val="000000" w:themeColor="text1"/>
          <w:sz w:val="24"/>
        </w:rPr>
        <w:t>, leaving 497 participants. Finally, we anticipate 15% of participants to be lost to follow-up by the 12-month stage, therefore giving a primary analysis population of 422 participants. The sample size takes into account the design effect associated with the cluster design of the study. With an ICC of 1.5% (from previous DAFNE data) and 30 participants per cluster (422 participants over 14 centres) the design effect is 1.435 leaving the effective total sample size of n=294 participants (n=147 per arm).</w:t>
      </w:r>
    </w:p>
    <w:p w14:paraId="10C2F903" w14:textId="77777777" w:rsidR="00AF4644" w:rsidRPr="00AA7FD7" w:rsidRDefault="00AF4644" w:rsidP="00AF4644">
      <w:pPr>
        <w:autoSpaceDE w:val="0"/>
        <w:autoSpaceDN w:val="0"/>
        <w:adjustRightInd w:val="0"/>
        <w:jc w:val="both"/>
        <w:rPr>
          <w:rFonts w:cs="Arial"/>
          <w:color w:val="000000" w:themeColor="text1"/>
          <w:sz w:val="24"/>
        </w:rPr>
      </w:pPr>
    </w:p>
    <w:p w14:paraId="6ACC3980" w14:textId="6E4AEF07" w:rsidR="00AF4644" w:rsidRDefault="00AF4644" w:rsidP="00AF4644">
      <w:pPr>
        <w:jc w:val="both"/>
        <w:rPr>
          <w:b/>
          <w:color w:val="000000" w:themeColor="text1"/>
          <w:sz w:val="24"/>
        </w:rPr>
      </w:pPr>
      <w:r w:rsidRPr="00AA7FD7">
        <w:rPr>
          <w:rFonts w:cs="Arial"/>
          <w:bCs/>
          <w:color w:val="000000" w:themeColor="text1"/>
          <w:sz w:val="24"/>
        </w:rPr>
        <w:t xml:space="preserve">Using a two sample comparison of mean HbA1c at the 12-month follow-up with 2-sided alpha of 5%, a correlation of 0.5 between baseline and final values and a standard deviation of 1.45 (from previous DAFNE data), the trial sample gives 92% power to detect a 0.5% difference in HbA1c </w:t>
      </w:r>
      <w:r w:rsidR="00A27FA2">
        <w:rPr>
          <w:rFonts w:cs="Arial"/>
          <w:bCs/>
          <w:color w:val="000000" w:themeColor="text1"/>
          <w:sz w:val="24"/>
        </w:rPr>
        <w:t xml:space="preserve">(the minimum clinically important difference) </w:t>
      </w:r>
      <w:r w:rsidRPr="00AA7FD7">
        <w:rPr>
          <w:rFonts w:cs="Arial"/>
          <w:bCs/>
          <w:color w:val="000000" w:themeColor="text1"/>
          <w:sz w:val="24"/>
        </w:rPr>
        <w:t>between the two treatment groups in the study.</w:t>
      </w:r>
    </w:p>
    <w:p w14:paraId="70CEDEDE" w14:textId="01841601" w:rsidR="006E0003" w:rsidRPr="00C427F5" w:rsidRDefault="006E0003" w:rsidP="00257B2F">
      <w:pPr>
        <w:spacing w:line="276" w:lineRule="auto"/>
        <w:jc w:val="both"/>
        <w:rPr>
          <w:bCs/>
          <w:color w:val="000000" w:themeColor="text1"/>
          <w:sz w:val="24"/>
        </w:rPr>
        <w:sectPr w:rsidR="006E0003" w:rsidRPr="00C427F5" w:rsidSect="00BD72F0">
          <w:pgSz w:w="11906" w:h="16838"/>
          <w:pgMar w:top="1135" w:right="1800" w:bottom="1440" w:left="1800" w:header="708" w:footer="708" w:gutter="0"/>
          <w:cols w:space="708"/>
          <w:docGrid w:linePitch="360"/>
        </w:sectPr>
      </w:pPr>
    </w:p>
    <w:p w14:paraId="0560CFD5" w14:textId="2F498B9E" w:rsidR="00084D40" w:rsidRDefault="00084D40" w:rsidP="00257B2F">
      <w:pPr>
        <w:pStyle w:val="Caption"/>
        <w:keepNext/>
        <w:spacing w:line="276" w:lineRule="auto"/>
        <w:jc w:val="both"/>
        <w:rPr>
          <w:color w:val="000000" w:themeColor="text1"/>
          <w:sz w:val="24"/>
          <w:szCs w:val="24"/>
        </w:rPr>
      </w:pPr>
      <w:r w:rsidRPr="00735A8A">
        <w:rPr>
          <w:color w:val="000000" w:themeColor="text1"/>
          <w:sz w:val="24"/>
          <w:szCs w:val="24"/>
        </w:rPr>
        <w:lastRenderedPageBreak/>
        <w:t xml:space="preserve">Table </w:t>
      </w:r>
      <w:r w:rsidRPr="00735A8A">
        <w:rPr>
          <w:color w:val="000000" w:themeColor="text1"/>
          <w:sz w:val="24"/>
          <w:szCs w:val="24"/>
        </w:rPr>
        <w:fldChar w:fldCharType="begin"/>
      </w:r>
      <w:r w:rsidRPr="00735A8A">
        <w:rPr>
          <w:color w:val="000000" w:themeColor="text1"/>
          <w:sz w:val="24"/>
          <w:szCs w:val="24"/>
        </w:rPr>
        <w:instrText xml:space="preserve"> SEQ Table \* ARABIC </w:instrText>
      </w:r>
      <w:r w:rsidRPr="00735A8A">
        <w:rPr>
          <w:color w:val="000000" w:themeColor="text1"/>
          <w:sz w:val="24"/>
          <w:szCs w:val="24"/>
        </w:rPr>
        <w:fldChar w:fldCharType="separate"/>
      </w:r>
      <w:r w:rsidR="00CF1D77">
        <w:rPr>
          <w:noProof/>
          <w:color w:val="000000" w:themeColor="text1"/>
          <w:sz w:val="24"/>
          <w:szCs w:val="24"/>
        </w:rPr>
        <w:t>1</w:t>
      </w:r>
      <w:r w:rsidRPr="00735A8A">
        <w:rPr>
          <w:color w:val="000000" w:themeColor="text1"/>
          <w:sz w:val="24"/>
          <w:szCs w:val="24"/>
        </w:rPr>
        <w:fldChar w:fldCharType="end"/>
      </w:r>
      <w:r w:rsidR="000F0739" w:rsidRPr="00735A8A">
        <w:rPr>
          <w:color w:val="000000" w:themeColor="text1"/>
          <w:sz w:val="24"/>
          <w:szCs w:val="24"/>
        </w:rPr>
        <w:t xml:space="preserve"> – List of outcome</w:t>
      </w:r>
      <w:r w:rsidR="00754DB7">
        <w:rPr>
          <w:color w:val="000000" w:themeColor="text1"/>
          <w:sz w:val="24"/>
          <w:szCs w:val="24"/>
        </w:rPr>
        <w:t xml:space="preserve"> and process</w:t>
      </w:r>
      <w:r w:rsidR="000F0739" w:rsidRPr="00735A8A">
        <w:rPr>
          <w:color w:val="000000" w:themeColor="text1"/>
          <w:sz w:val="24"/>
          <w:szCs w:val="24"/>
        </w:rPr>
        <w:t xml:space="preserve"> measures</w:t>
      </w:r>
    </w:p>
    <w:tbl>
      <w:tblPr>
        <w:tblStyle w:val="TableGrid1"/>
        <w:tblW w:w="14383" w:type="dxa"/>
        <w:tblLayout w:type="fixed"/>
        <w:tblLook w:val="04A0" w:firstRow="1" w:lastRow="0" w:firstColumn="1" w:lastColumn="0" w:noHBand="0" w:noVBand="1"/>
      </w:tblPr>
      <w:tblGrid>
        <w:gridCol w:w="3114"/>
        <w:gridCol w:w="4677"/>
        <w:gridCol w:w="1227"/>
        <w:gridCol w:w="1316"/>
        <w:gridCol w:w="1012"/>
        <w:gridCol w:w="1012"/>
        <w:gridCol w:w="1013"/>
        <w:gridCol w:w="1012"/>
      </w:tblGrid>
      <w:tr w:rsidR="009458E7" w:rsidRPr="00423ED7" w14:paraId="0FBBBB02" w14:textId="77777777" w:rsidTr="00950807">
        <w:trPr>
          <w:cantSplit/>
          <w:tblHeader/>
        </w:trPr>
        <w:tc>
          <w:tcPr>
            <w:tcW w:w="3114" w:type="dxa"/>
            <w:vMerge w:val="restart"/>
            <w:vAlign w:val="center"/>
          </w:tcPr>
          <w:p w14:paraId="1CC711AD" w14:textId="77777777" w:rsidR="009458E7" w:rsidRPr="00423ED7" w:rsidDel="006C6CFF" w:rsidRDefault="009458E7" w:rsidP="00754DB7">
            <w:pPr>
              <w:jc w:val="center"/>
              <w:rPr>
                <w:b/>
                <w:sz w:val="20"/>
              </w:rPr>
            </w:pPr>
            <w:r w:rsidRPr="00423ED7">
              <w:rPr>
                <w:b/>
                <w:sz w:val="20"/>
              </w:rPr>
              <w:t>Concepts</w:t>
            </w:r>
          </w:p>
        </w:tc>
        <w:tc>
          <w:tcPr>
            <w:tcW w:w="4677" w:type="dxa"/>
            <w:vMerge w:val="restart"/>
            <w:vAlign w:val="center"/>
          </w:tcPr>
          <w:p w14:paraId="1BFDE7A0" w14:textId="77777777" w:rsidR="009458E7" w:rsidRPr="00423ED7" w:rsidRDefault="009458E7" w:rsidP="00754DB7">
            <w:pPr>
              <w:jc w:val="center"/>
              <w:rPr>
                <w:b/>
                <w:sz w:val="20"/>
              </w:rPr>
            </w:pPr>
            <w:r w:rsidRPr="00423ED7">
              <w:rPr>
                <w:b/>
                <w:sz w:val="20"/>
              </w:rPr>
              <w:t>Questionnaire</w:t>
            </w:r>
          </w:p>
        </w:tc>
        <w:tc>
          <w:tcPr>
            <w:tcW w:w="1227" w:type="dxa"/>
            <w:vMerge w:val="restart"/>
            <w:tcBorders>
              <w:left w:val="double" w:sz="4" w:space="0" w:color="ED7D31"/>
              <w:right w:val="double" w:sz="4" w:space="0" w:color="ED7D31"/>
            </w:tcBorders>
            <w:vAlign w:val="center"/>
          </w:tcPr>
          <w:p w14:paraId="332939AA" w14:textId="77777777" w:rsidR="009458E7" w:rsidRPr="00423ED7" w:rsidRDefault="009458E7" w:rsidP="00754DB7">
            <w:pPr>
              <w:ind w:right="-79"/>
              <w:jc w:val="center"/>
              <w:rPr>
                <w:b/>
                <w:sz w:val="20"/>
              </w:rPr>
            </w:pPr>
            <w:r w:rsidRPr="00423ED7">
              <w:rPr>
                <w:b/>
                <w:sz w:val="20"/>
              </w:rPr>
              <w:t>Baseline: Pre-course appt</w:t>
            </w:r>
          </w:p>
        </w:tc>
        <w:tc>
          <w:tcPr>
            <w:tcW w:w="1316" w:type="dxa"/>
            <w:vMerge w:val="restart"/>
            <w:tcBorders>
              <w:left w:val="double" w:sz="4" w:space="0" w:color="ED7D31"/>
              <w:right w:val="double" w:sz="4" w:space="0" w:color="ED7D31"/>
            </w:tcBorders>
            <w:vAlign w:val="center"/>
          </w:tcPr>
          <w:p w14:paraId="4F960D64" w14:textId="77777777" w:rsidR="009458E7" w:rsidRPr="00423ED7" w:rsidRDefault="009458E7" w:rsidP="00754DB7">
            <w:pPr>
              <w:jc w:val="center"/>
              <w:rPr>
                <w:b/>
                <w:sz w:val="20"/>
              </w:rPr>
            </w:pPr>
            <w:r w:rsidRPr="00423ED7">
              <w:rPr>
                <w:b/>
                <w:sz w:val="20"/>
              </w:rPr>
              <w:t>Course Completion</w:t>
            </w:r>
          </w:p>
        </w:tc>
        <w:tc>
          <w:tcPr>
            <w:tcW w:w="4049" w:type="dxa"/>
            <w:gridSpan w:val="4"/>
            <w:vAlign w:val="center"/>
          </w:tcPr>
          <w:p w14:paraId="4A8C9EFA" w14:textId="77777777" w:rsidR="009458E7" w:rsidRPr="00423ED7" w:rsidRDefault="009458E7" w:rsidP="00754DB7">
            <w:pPr>
              <w:jc w:val="center"/>
              <w:rPr>
                <w:b/>
                <w:sz w:val="20"/>
              </w:rPr>
            </w:pPr>
            <w:r w:rsidRPr="00423ED7">
              <w:rPr>
                <w:b/>
                <w:sz w:val="20"/>
              </w:rPr>
              <w:t>Post-course assessments</w:t>
            </w:r>
          </w:p>
        </w:tc>
      </w:tr>
      <w:tr w:rsidR="009458E7" w:rsidRPr="00423ED7" w14:paraId="1C9F7A47" w14:textId="77777777" w:rsidTr="00950807">
        <w:trPr>
          <w:cantSplit/>
          <w:tblHeader/>
        </w:trPr>
        <w:tc>
          <w:tcPr>
            <w:tcW w:w="3114" w:type="dxa"/>
            <w:vMerge/>
            <w:vAlign w:val="center"/>
          </w:tcPr>
          <w:p w14:paraId="3001FB91" w14:textId="77777777" w:rsidR="009458E7" w:rsidRPr="00423ED7" w:rsidRDefault="009458E7" w:rsidP="00754DB7">
            <w:pPr>
              <w:jc w:val="center"/>
              <w:rPr>
                <w:b/>
                <w:sz w:val="20"/>
              </w:rPr>
            </w:pPr>
          </w:p>
        </w:tc>
        <w:tc>
          <w:tcPr>
            <w:tcW w:w="4677" w:type="dxa"/>
            <w:vMerge/>
          </w:tcPr>
          <w:p w14:paraId="571CBA39" w14:textId="77777777" w:rsidR="009458E7" w:rsidRPr="00423ED7" w:rsidRDefault="009458E7" w:rsidP="00754DB7">
            <w:pPr>
              <w:rPr>
                <w:b/>
                <w:sz w:val="20"/>
              </w:rPr>
            </w:pPr>
          </w:p>
        </w:tc>
        <w:tc>
          <w:tcPr>
            <w:tcW w:w="1227" w:type="dxa"/>
            <w:vMerge/>
            <w:tcBorders>
              <w:left w:val="double" w:sz="4" w:space="0" w:color="ED7D31"/>
              <w:right w:val="double" w:sz="4" w:space="0" w:color="ED7D31"/>
            </w:tcBorders>
            <w:vAlign w:val="center"/>
          </w:tcPr>
          <w:p w14:paraId="01233914" w14:textId="77777777" w:rsidR="009458E7" w:rsidRPr="00423ED7" w:rsidRDefault="009458E7" w:rsidP="00754DB7">
            <w:pPr>
              <w:ind w:right="-79"/>
              <w:jc w:val="center"/>
              <w:rPr>
                <w:b/>
                <w:sz w:val="20"/>
              </w:rPr>
            </w:pPr>
          </w:p>
        </w:tc>
        <w:tc>
          <w:tcPr>
            <w:tcW w:w="1316" w:type="dxa"/>
            <w:vMerge/>
            <w:tcBorders>
              <w:left w:val="double" w:sz="4" w:space="0" w:color="ED7D31"/>
              <w:right w:val="double" w:sz="4" w:space="0" w:color="ED7D31"/>
            </w:tcBorders>
            <w:vAlign w:val="center"/>
          </w:tcPr>
          <w:p w14:paraId="3F515409" w14:textId="77777777" w:rsidR="009458E7" w:rsidRPr="00423ED7" w:rsidRDefault="009458E7" w:rsidP="00754DB7">
            <w:pPr>
              <w:jc w:val="center"/>
              <w:rPr>
                <w:b/>
                <w:sz w:val="20"/>
              </w:rPr>
            </w:pPr>
          </w:p>
        </w:tc>
        <w:tc>
          <w:tcPr>
            <w:tcW w:w="1012" w:type="dxa"/>
            <w:tcBorders>
              <w:left w:val="double" w:sz="4" w:space="0" w:color="ED7D31"/>
            </w:tcBorders>
            <w:vAlign w:val="center"/>
          </w:tcPr>
          <w:p w14:paraId="2E11B7B6" w14:textId="77777777" w:rsidR="009458E7" w:rsidRPr="00423ED7" w:rsidRDefault="009458E7" w:rsidP="00754DB7">
            <w:pPr>
              <w:jc w:val="center"/>
              <w:rPr>
                <w:b/>
                <w:sz w:val="20"/>
              </w:rPr>
            </w:pPr>
            <w:r w:rsidRPr="00423ED7">
              <w:rPr>
                <w:b/>
                <w:sz w:val="20"/>
              </w:rPr>
              <w:t xml:space="preserve">3m* </w:t>
            </w:r>
          </w:p>
        </w:tc>
        <w:tc>
          <w:tcPr>
            <w:tcW w:w="1012" w:type="dxa"/>
            <w:vAlign w:val="center"/>
          </w:tcPr>
          <w:p w14:paraId="78C18945" w14:textId="77777777" w:rsidR="009458E7" w:rsidRPr="00423ED7" w:rsidRDefault="009458E7" w:rsidP="00754DB7">
            <w:pPr>
              <w:jc w:val="center"/>
              <w:rPr>
                <w:b/>
                <w:sz w:val="20"/>
              </w:rPr>
            </w:pPr>
            <w:r w:rsidRPr="00423ED7">
              <w:rPr>
                <w:b/>
                <w:sz w:val="20"/>
              </w:rPr>
              <w:t>6m*</w:t>
            </w:r>
          </w:p>
        </w:tc>
        <w:tc>
          <w:tcPr>
            <w:tcW w:w="1013" w:type="dxa"/>
            <w:vAlign w:val="center"/>
          </w:tcPr>
          <w:p w14:paraId="33BC1933" w14:textId="77777777" w:rsidR="009458E7" w:rsidRPr="00423ED7" w:rsidRDefault="009458E7" w:rsidP="00754DB7">
            <w:pPr>
              <w:jc w:val="center"/>
              <w:rPr>
                <w:b/>
                <w:sz w:val="20"/>
              </w:rPr>
            </w:pPr>
            <w:r w:rsidRPr="00423ED7">
              <w:rPr>
                <w:b/>
                <w:sz w:val="20"/>
              </w:rPr>
              <w:t>9m*</w:t>
            </w:r>
          </w:p>
        </w:tc>
        <w:tc>
          <w:tcPr>
            <w:tcW w:w="1012" w:type="dxa"/>
            <w:vAlign w:val="center"/>
          </w:tcPr>
          <w:p w14:paraId="521F7A31" w14:textId="77777777" w:rsidR="009458E7" w:rsidRPr="00423ED7" w:rsidRDefault="009458E7" w:rsidP="00754DB7">
            <w:pPr>
              <w:jc w:val="center"/>
              <w:rPr>
                <w:b/>
                <w:sz w:val="20"/>
              </w:rPr>
            </w:pPr>
            <w:r w:rsidRPr="00423ED7">
              <w:rPr>
                <w:b/>
                <w:sz w:val="20"/>
              </w:rPr>
              <w:t>12m*</w:t>
            </w:r>
          </w:p>
        </w:tc>
      </w:tr>
      <w:tr w:rsidR="009458E7" w:rsidRPr="00423ED7" w14:paraId="45527F56" w14:textId="77777777" w:rsidTr="00950807">
        <w:tc>
          <w:tcPr>
            <w:tcW w:w="3114" w:type="dxa"/>
            <w:shd w:val="clear" w:color="auto" w:fill="F7CAAC"/>
          </w:tcPr>
          <w:p w14:paraId="2D22AC6B" w14:textId="77777777" w:rsidR="009458E7" w:rsidRPr="00423ED7" w:rsidRDefault="009458E7" w:rsidP="00754DB7">
            <w:pPr>
              <w:rPr>
                <w:b/>
                <w:sz w:val="20"/>
              </w:rPr>
            </w:pPr>
            <w:r w:rsidRPr="00423ED7">
              <w:rPr>
                <w:b/>
                <w:sz w:val="20"/>
              </w:rPr>
              <w:t>Demographic / Clinical</w:t>
            </w:r>
          </w:p>
        </w:tc>
        <w:tc>
          <w:tcPr>
            <w:tcW w:w="4677" w:type="dxa"/>
            <w:shd w:val="clear" w:color="auto" w:fill="F7CAAC"/>
          </w:tcPr>
          <w:p w14:paraId="263D484F" w14:textId="77777777" w:rsidR="009458E7" w:rsidRPr="00423ED7" w:rsidRDefault="009458E7" w:rsidP="00754DB7">
            <w:pPr>
              <w:rPr>
                <w:sz w:val="20"/>
              </w:rPr>
            </w:pPr>
          </w:p>
        </w:tc>
        <w:tc>
          <w:tcPr>
            <w:tcW w:w="1227" w:type="dxa"/>
            <w:tcBorders>
              <w:left w:val="double" w:sz="4" w:space="0" w:color="ED7D31"/>
              <w:right w:val="double" w:sz="4" w:space="0" w:color="ED7D31"/>
            </w:tcBorders>
            <w:shd w:val="clear" w:color="auto" w:fill="F7CAAC"/>
          </w:tcPr>
          <w:p w14:paraId="167C9A78" w14:textId="77777777" w:rsidR="009458E7" w:rsidRPr="00423ED7" w:rsidRDefault="009458E7" w:rsidP="00754DB7">
            <w:pPr>
              <w:rPr>
                <w:sz w:val="20"/>
              </w:rPr>
            </w:pPr>
          </w:p>
        </w:tc>
        <w:tc>
          <w:tcPr>
            <w:tcW w:w="1316" w:type="dxa"/>
            <w:tcBorders>
              <w:left w:val="double" w:sz="4" w:space="0" w:color="ED7D31"/>
              <w:right w:val="double" w:sz="4" w:space="0" w:color="ED7D31"/>
            </w:tcBorders>
            <w:shd w:val="clear" w:color="auto" w:fill="F7CAAC"/>
          </w:tcPr>
          <w:p w14:paraId="453E9887" w14:textId="77777777" w:rsidR="009458E7" w:rsidRPr="00423ED7" w:rsidRDefault="009458E7" w:rsidP="00754DB7">
            <w:pPr>
              <w:rPr>
                <w:sz w:val="20"/>
              </w:rPr>
            </w:pPr>
          </w:p>
        </w:tc>
        <w:tc>
          <w:tcPr>
            <w:tcW w:w="1012" w:type="dxa"/>
            <w:tcBorders>
              <w:left w:val="double" w:sz="4" w:space="0" w:color="ED7D31"/>
            </w:tcBorders>
            <w:shd w:val="clear" w:color="auto" w:fill="F7CAAC"/>
          </w:tcPr>
          <w:p w14:paraId="0D6E4FF5" w14:textId="77777777" w:rsidR="009458E7" w:rsidRPr="00423ED7" w:rsidRDefault="009458E7" w:rsidP="00754DB7">
            <w:pPr>
              <w:rPr>
                <w:sz w:val="20"/>
              </w:rPr>
            </w:pPr>
          </w:p>
        </w:tc>
        <w:tc>
          <w:tcPr>
            <w:tcW w:w="1012" w:type="dxa"/>
            <w:shd w:val="clear" w:color="auto" w:fill="F7CAAC"/>
          </w:tcPr>
          <w:p w14:paraId="5BFE2678" w14:textId="77777777" w:rsidR="009458E7" w:rsidRPr="00423ED7" w:rsidRDefault="009458E7" w:rsidP="00754DB7">
            <w:pPr>
              <w:rPr>
                <w:sz w:val="20"/>
              </w:rPr>
            </w:pPr>
          </w:p>
        </w:tc>
        <w:tc>
          <w:tcPr>
            <w:tcW w:w="1013" w:type="dxa"/>
            <w:shd w:val="clear" w:color="auto" w:fill="F7CAAC"/>
          </w:tcPr>
          <w:p w14:paraId="4016B9D6" w14:textId="77777777" w:rsidR="009458E7" w:rsidRPr="00423ED7" w:rsidRDefault="009458E7" w:rsidP="00754DB7">
            <w:pPr>
              <w:rPr>
                <w:sz w:val="20"/>
              </w:rPr>
            </w:pPr>
          </w:p>
        </w:tc>
        <w:tc>
          <w:tcPr>
            <w:tcW w:w="1012" w:type="dxa"/>
            <w:shd w:val="clear" w:color="auto" w:fill="F7CAAC"/>
          </w:tcPr>
          <w:p w14:paraId="42E42454" w14:textId="77777777" w:rsidR="009458E7" w:rsidRPr="00423ED7" w:rsidRDefault="009458E7" w:rsidP="00754DB7">
            <w:pPr>
              <w:rPr>
                <w:sz w:val="20"/>
              </w:rPr>
            </w:pPr>
          </w:p>
        </w:tc>
      </w:tr>
      <w:tr w:rsidR="009458E7" w:rsidRPr="00423ED7" w14:paraId="0656811F" w14:textId="77777777" w:rsidTr="00950807">
        <w:tc>
          <w:tcPr>
            <w:tcW w:w="3114" w:type="dxa"/>
          </w:tcPr>
          <w:p w14:paraId="08EBD166" w14:textId="77777777" w:rsidR="009458E7" w:rsidRPr="00423ED7" w:rsidRDefault="009458E7" w:rsidP="00754DB7">
            <w:pPr>
              <w:rPr>
                <w:sz w:val="20"/>
              </w:rPr>
            </w:pPr>
            <w:r>
              <w:rPr>
                <w:sz w:val="20"/>
              </w:rPr>
              <w:t>Glycaemic Control (HbA1c)</w:t>
            </w:r>
          </w:p>
        </w:tc>
        <w:tc>
          <w:tcPr>
            <w:tcW w:w="4677" w:type="dxa"/>
          </w:tcPr>
          <w:p w14:paraId="59CCF0A6" w14:textId="77777777" w:rsidR="009458E7" w:rsidRPr="00423ED7" w:rsidRDefault="009458E7" w:rsidP="00754DB7">
            <w:pPr>
              <w:rPr>
                <w:sz w:val="20"/>
              </w:rPr>
            </w:pPr>
            <w:r>
              <w:rPr>
                <w:sz w:val="20"/>
              </w:rPr>
              <w:t>N/A</w:t>
            </w:r>
          </w:p>
        </w:tc>
        <w:tc>
          <w:tcPr>
            <w:tcW w:w="1227" w:type="dxa"/>
            <w:tcBorders>
              <w:left w:val="double" w:sz="4" w:space="0" w:color="ED7D31"/>
              <w:right w:val="double" w:sz="4" w:space="0" w:color="ED7D31"/>
            </w:tcBorders>
            <w:vAlign w:val="center"/>
          </w:tcPr>
          <w:p w14:paraId="70BA9C44"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4209CE85" w14:textId="77777777" w:rsidR="009458E7" w:rsidRPr="00423ED7" w:rsidRDefault="009458E7" w:rsidP="00754DB7">
            <w:pPr>
              <w:jc w:val="center"/>
              <w:rPr>
                <w:sz w:val="20"/>
              </w:rPr>
            </w:pPr>
          </w:p>
        </w:tc>
        <w:tc>
          <w:tcPr>
            <w:tcW w:w="1012" w:type="dxa"/>
            <w:tcBorders>
              <w:left w:val="double" w:sz="4" w:space="0" w:color="ED7D31"/>
            </w:tcBorders>
            <w:vAlign w:val="center"/>
          </w:tcPr>
          <w:p w14:paraId="0D449ADD" w14:textId="77777777" w:rsidR="009458E7" w:rsidRPr="00423ED7" w:rsidRDefault="009458E7" w:rsidP="00754DB7">
            <w:pPr>
              <w:jc w:val="center"/>
              <w:rPr>
                <w:sz w:val="20"/>
              </w:rPr>
            </w:pPr>
          </w:p>
        </w:tc>
        <w:tc>
          <w:tcPr>
            <w:tcW w:w="1012" w:type="dxa"/>
            <w:vAlign w:val="center"/>
          </w:tcPr>
          <w:p w14:paraId="1BF5BBE5"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3D360F17" w14:textId="77777777" w:rsidR="009458E7" w:rsidRPr="00423ED7" w:rsidRDefault="009458E7" w:rsidP="00754DB7">
            <w:pPr>
              <w:jc w:val="center"/>
              <w:rPr>
                <w:sz w:val="20"/>
              </w:rPr>
            </w:pPr>
          </w:p>
        </w:tc>
        <w:tc>
          <w:tcPr>
            <w:tcW w:w="1012" w:type="dxa"/>
            <w:vAlign w:val="center"/>
          </w:tcPr>
          <w:p w14:paraId="5DEDC975" w14:textId="77777777" w:rsidR="009458E7" w:rsidRPr="00423ED7" w:rsidRDefault="009458E7" w:rsidP="00754DB7">
            <w:pPr>
              <w:jc w:val="center"/>
              <w:rPr>
                <w:sz w:val="20"/>
              </w:rPr>
            </w:pPr>
            <w:r w:rsidRPr="00423ED7">
              <w:rPr>
                <w:sz w:val="20"/>
              </w:rPr>
              <w:sym w:font="Wingdings" w:char="F0FC"/>
            </w:r>
          </w:p>
        </w:tc>
      </w:tr>
      <w:tr w:rsidR="009458E7" w:rsidRPr="00423ED7" w14:paraId="6B6BD00A" w14:textId="77777777" w:rsidTr="00950807">
        <w:tc>
          <w:tcPr>
            <w:tcW w:w="3114" w:type="dxa"/>
          </w:tcPr>
          <w:p w14:paraId="3FA44027" w14:textId="77777777" w:rsidR="009458E7" w:rsidRDefault="009458E7" w:rsidP="00754DB7">
            <w:pPr>
              <w:rPr>
                <w:sz w:val="20"/>
              </w:rPr>
            </w:pPr>
            <w:r>
              <w:rPr>
                <w:sz w:val="20"/>
              </w:rPr>
              <w:t>Lipids</w:t>
            </w:r>
          </w:p>
        </w:tc>
        <w:tc>
          <w:tcPr>
            <w:tcW w:w="4677" w:type="dxa"/>
          </w:tcPr>
          <w:p w14:paraId="1B3DF35C" w14:textId="77777777" w:rsidR="009458E7" w:rsidRDefault="009458E7" w:rsidP="00754DB7">
            <w:pPr>
              <w:rPr>
                <w:sz w:val="20"/>
              </w:rPr>
            </w:pPr>
            <w:r w:rsidRPr="005B6EFA">
              <w:rPr>
                <w:sz w:val="20"/>
              </w:rPr>
              <w:t>N/A</w:t>
            </w:r>
          </w:p>
        </w:tc>
        <w:tc>
          <w:tcPr>
            <w:tcW w:w="1227" w:type="dxa"/>
            <w:tcBorders>
              <w:left w:val="double" w:sz="4" w:space="0" w:color="ED7D31"/>
              <w:right w:val="double" w:sz="4" w:space="0" w:color="ED7D31"/>
            </w:tcBorders>
            <w:vAlign w:val="center"/>
          </w:tcPr>
          <w:p w14:paraId="4F947C7A"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0E78294B" w14:textId="77777777" w:rsidR="009458E7" w:rsidRPr="00423ED7" w:rsidRDefault="009458E7" w:rsidP="00754DB7">
            <w:pPr>
              <w:jc w:val="center"/>
              <w:rPr>
                <w:sz w:val="20"/>
              </w:rPr>
            </w:pPr>
          </w:p>
        </w:tc>
        <w:tc>
          <w:tcPr>
            <w:tcW w:w="1012" w:type="dxa"/>
            <w:tcBorders>
              <w:left w:val="double" w:sz="4" w:space="0" w:color="ED7D31"/>
            </w:tcBorders>
            <w:vAlign w:val="center"/>
          </w:tcPr>
          <w:p w14:paraId="32D4D4F9" w14:textId="77777777" w:rsidR="009458E7" w:rsidRPr="00423ED7" w:rsidRDefault="009458E7" w:rsidP="00754DB7">
            <w:pPr>
              <w:jc w:val="center"/>
              <w:rPr>
                <w:sz w:val="20"/>
              </w:rPr>
            </w:pPr>
          </w:p>
        </w:tc>
        <w:tc>
          <w:tcPr>
            <w:tcW w:w="1012" w:type="dxa"/>
            <w:vAlign w:val="center"/>
          </w:tcPr>
          <w:p w14:paraId="29FB2D2C" w14:textId="77777777" w:rsidR="009458E7" w:rsidRPr="00423ED7" w:rsidRDefault="009458E7" w:rsidP="00754DB7">
            <w:pPr>
              <w:jc w:val="center"/>
              <w:rPr>
                <w:sz w:val="20"/>
              </w:rPr>
            </w:pPr>
          </w:p>
        </w:tc>
        <w:tc>
          <w:tcPr>
            <w:tcW w:w="1013" w:type="dxa"/>
            <w:vAlign w:val="center"/>
          </w:tcPr>
          <w:p w14:paraId="2400CD39" w14:textId="77777777" w:rsidR="009458E7" w:rsidRPr="00423ED7" w:rsidRDefault="009458E7" w:rsidP="00754DB7">
            <w:pPr>
              <w:jc w:val="center"/>
              <w:rPr>
                <w:sz w:val="20"/>
              </w:rPr>
            </w:pPr>
          </w:p>
        </w:tc>
        <w:tc>
          <w:tcPr>
            <w:tcW w:w="1012" w:type="dxa"/>
            <w:vAlign w:val="center"/>
          </w:tcPr>
          <w:p w14:paraId="4DCDCE2F" w14:textId="77777777" w:rsidR="009458E7" w:rsidRPr="00423ED7" w:rsidRDefault="009458E7" w:rsidP="00754DB7">
            <w:pPr>
              <w:jc w:val="center"/>
              <w:rPr>
                <w:sz w:val="20"/>
              </w:rPr>
            </w:pPr>
            <w:r w:rsidRPr="00423ED7">
              <w:rPr>
                <w:sz w:val="20"/>
              </w:rPr>
              <w:sym w:font="Wingdings" w:char="F0FC"/>
            </w:r>
          </w:p>
        </w:tc>
      </w:tr>
      <w:tr w:rsidR="009458E7" w:rsidRPr="00423ED7" w14:paraId="1DBF1E8C" w14:textId="77777777" w:rsidTr="00950807">
        <w:tc>
          <w:tcPr>
            <w:tcW w:w="3114" w:type="dxa"/>
          </w:tcPr>
          <w:p w14:paraId="22191036" w14:textId="77777777" w:rsidR="009458E7" w:rsidRPr="00423ED7" w:rsidRDefault="009458E7" w:rsidP="00754DB7">
            <w:pPr>
              <w:rPr>
                <w:sz w:val="20"/>
              </w:rPr>
            </w:pPr>
            <w:r>
              <w:rPr>
                <w:sz w:val="20"/>
              </w:rPr>
              <w:t>Body mass index (height/weight)</w:t>
            </w:r>
          </w:p>
        </w:tc>
        <w:tc>
          <w:tcPr>
            <w:tcW w:w="4677" w:type="dxa"/>
          </w:tcPr>
          <w:p w14:paraId="368FB5C5" w14:textId="77777777" w:rsidR="009458E7" w:rsidRPr="00423ED7" w:rsidRDefault="009458E7" w:rsidP="00754DB7">
            <w:pPr>
              <w:rPr>
                <w:sz w:val="20"/>
              </w:rPr>
            </w:pPr>
            <w:r w:rsidRPr="005B6EFA">
              <w:rPr>
                <w:sz w:val="20"/>
              </w:rPr>
              <w:t>N/A</w:t>
            </w:r>
          </w:p>
        </w:tc>
        <w:tc>
          <w:tcPr>
            <w:tcW w:w="1227" w:type="dxa"/>
            <w:tcBorders>
              <w:left w:val="double" w:sz="4" w:space="0" w:color="ED7D31"/>
              <w:right w:val="double" w:sz="4" w:space="0" w:color="ED7D31"/>
            </w:tcBorders>
            <w:vAlign w:val="center"/>
          </w:tcPr>
          <w:p w14:paraId="3AE94BCB"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230D8B41" w14:textId="77777777" w:rsidR="009458E7" w:rsidRPr="00423ED7" w:rsidRDefault="009458E7" w:rsidP="00754DB7">
            <w:pPr>
              <w:jc w:val="center"/>
              <w:rPr>
                <w:sz w:val="20"/>
              </w:rPr>
            </w:pPr>
          </w:p>
        </w:tc>
        <w:tc>
          <w:tcPr>
            <w:tcW w:w="1012" w:type="dxa"/>
            <w:tcBorders>
              <w:left w:val="double" w:sz="4" w:space="0" w:color="ED7D31"/>
            </w:tcBorders>
            <w:vAlign w:val="center"/>
          </w:tcPr>
          <w:p w14:paraId="59A414A7" w14:textId="77777777" w:rsidR="009458E7" w:rsidRPr="00423ED7" w:rsidRDefault="009458E7" w:rsidP="00754DB7">
            <w:pPr>
              <w:jc w:val="center"/>
              <w:rPr>
                <w:sz w:val="20"/>
              </w:rPr>
            </w:pPr>
          </w:p>
        </w:tc>
        <w:tc>
          <w:tcPr>
            <w:tcW w:w="1012" w:type="dxa"/>
            <w:vAlign w:val="center"/>
          </w:tcPr>
          <w:p w14:paraId="06B934EC"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0A2FE494" w14:textId="77777777" w:rsidR="009458E7" w:rsidRPr="00423ED7" w:rsidRDefault="009458E7" w:rsidP="00754DB7">
            <w:pPr>
              <w:jc w:val="center"/>
              <w:rPr>
                <w:sz w:val="20"/>
              </w:rPr>
            </w:pPr>
          </w:p>
        </w:tc>
        <w:tc>
          <w:tcPr>
            <w:tcW w:w="1012" w:type="dxa"/>
            <w:vAlign w:val="center"/>
          </w:tcPr>
          <w:p w14:paraId="6A60C6FF" w14:textId="77777777" w:rsidR="009458E7" w:rsidRPr="00423ED7" w:rsidRDefault="009458E7" w:rsidP="00754DB7">
            <w:pPr>
              <w:jc w:val="center"/>
              <w:rPr>
                <w:sz w:val="20"/>
              </w:rPr>
            </w:pPr>
            <w:r w:rsidRPr="00423ED7">
              <w:rPr>
                <w:sz w:val="20"/>
              </w:rPr>
              <w:sym w:font="Wingdings" w:char="F0FC"/>
            </w:r>
          </w:p>
        </w:tc>
      </w:tr>
      <w:tr w:rsidR="009458E7" w:rsidRPr="00423ED7" w14:paraId="33D055E4" w14:textId="77777777" w:rsidTr="00950807">
        <w:tc>
          <w:tcPr>
            <w:tcW w:w="3114" w:type="dxa"/>
          </w:tcPr>
          <w:p w14:paraId="4803A8A4" w14:textId="77777777" w:rsidR="009458E7" w:rsidRDefault="009458E7" w:rsidP="00754DB7">
            <w:pPr>
              <w:rPr>
                <w:sz w:val="20"/>
              </w:rPr>
            </w:pPr>
            <w:r>
              <w:rPr>
                <w:sz w:val="20"/>
              </w:rPr>
              <w:t>Blood Pressure</w:t>
            </w:r>
          </w:p>
        </w:tc>
        <w:tc>
          <w:tcPr>
            <w:tcW w:w="4677" w:type="dxa"/>
          </w:tcPr>
          <w:p w14:paraId="4F6975DE" w14:textId="77777777" w:rsidR="009458E7" w:rsidRPr="00423ED7" w:rsidRDefault="009458E7" w:rsidP="00754DB7">
            <w:pPr>
              <w:rPr>
                <w:sz w:val="20"/>
              </w:rPr>
            </w:pPr>
            <w:r w:rsidRPr="005B6EFA">
              <w:rPr>
                <w:sz w:val="20"/>
              </w:rPr>
              <w:t>N/A</w:t>
            </w:r>
          </w:p>
        </w:tc>
        <w:tc>
          <w:tcPr>
            <w:tcW w:w="1227" w:type="dxa"/>
            <w:tcBorders>
              <w:left w:val="double" w:sz="4" w:space="0" w:color="ED7D31"/>
              <w:right w:val="double" w:sz="4" w:space="0" w:color="ED7D31"/>
            </w:tcBorders>
            <w:vAlign w:val="center"/>
          </w:tcPr>
          <w:p w14:paraId="52CD383B"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25F2FFE9" w14:textId="77777777" w:rsidR="009458E7" w:rsidRPr="00423ED7" w:rsidRDefault="009458E7" w:rsidP="00754DB7">
            <w:pPr>
              <w:jc w:val="center"/>
              <w:rPr>
                <w:sz w:val="20"/>
              </w:rPr>
            </w:pPr>
          </w:p>
        </w:tc>
        <w:tc>
          <w:tcPr>
            <w:tcW w:w="1012" w:type="dxa"/>
            <w:tcBorders>
              <w:left w:val="double" w:sz="4" w:space="0" w:color="ED7D31"/>
            </w:tcBorders>
            <w:vAlign w:val="center"/>
          </w:tcPr>
          <w:p w14:paraId="76504444" w14:textId="77777777" w:rsidR="009458E7" w:rsidRPr="00423ED7" w:rsidRDefault="009458E7" w:rsidP="00754DB7">
            <w:pPr>
              <w:jc w:val="center"/>
              <w:rPr>
                <w:sz w:val="20"/>
              </w:rPr>
            </w:pPr>
          </w:p>
        </w:tc>
        <w:tc>
          <w:tcPr>
            <w:tcW w:w="1012" w:type="dxa"/>
            <w:vAlign w:val="center"/>
          </w:tcPr>
          <w:p w14:paraId="0057CE82"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4399F09F" w14:textId="77777777" w:rsidR="009458E7" w:rsidRPr="00423ED7" w:rsidRDefault="009458E7" w:rsidP="00754DB7">
            <w:pPr>
              <w:jc w:val="center"/>
              <w:rPr>
                <w:sz w:val="20"/>
              </w:rPr>
            </w:pPr>
          </w:p>
        </w:tc>
        <w:tc>
          <w:tcPr>
            <w:tcW w:w="1012" w:type="dxa"/>
            <w:vAlign w:val="center"/>
          </w:tcPr>
          <w:p w14:paraId="03B0E1BA" w14:textId="77777777" w:rsidR="009458E7" w:rsidRPr="00423ED7" w:rsidRDefault="009458E7" w:rsidP="00754DB7">
            <w:pPr>
              <w:jc w:val="center"/>
              <w:rPr>
                <w:sz w:val="20"/>
              </w:rPr>
            </w:pPr>
            <w:r w:rsidRPr="00423ED7">
              <w:rPr>
                <w:sz w:val="20"/>
              </w:rPr>
              <w:sym w:font="Wingdings" w:char="F0FC"/>
            </w:r>
          </w:p>
        </w:tc>
      </w:tr>
      <w:tr w:rsidR="009458E7" w:rsidRPr="00423ED7" w14:paraId="65D4A23C" w14:textId="77777777" w:rsidTr="00950807">
        <w:tc>
          <w:tcPr>
            <w:tcW w:w="3114" w:type="dxa"/>
          </w:tcPr>
          <w:p w14:paraId="5A7BE3F1" w14:textId="77777777" w:rsidR="009458E7" w:rsidRPr="00423ED7" w:rsidRDefault="009458E7" w:rsidP="00754DB7">
            <w:pPr>
              <w:rPr>
                <w:sz w:val="20"/>
              </w:rPr>
            </w:pPr>
            <w:r>
              <w:rPr>
                <w:sz w:val="20"/>
              </w:rPr>
              <w:t>Episodes of severe Hypoglycaemia</w:t>
            </w:r>
          </w:p>
        </w:tc>
        <w:tc>
          <w:tcPr>
            <w:tcW w:w="4677" w:type="dxa"/>
          </w:tcPr>
          <w:p w14:paraId="5DE485C4" w14:textId="77777777" w:rsidR="009458E7" w:rsidRPr="00423ED7" w:rsidRDefault="009458E7" w:rsidP="00754DB7">
            <w:pPr>
              <w:rPr>
                <w:sz w:val="20"/>
              </w:rPr>
            </w:pPr>
            <w:r>
              <w:rPr>
                <w:sz w:val="20"/>
              </w:rPr>
              <w:t>N/A</w:t>
            </w:r>
          </w:p>
        </w:tc>
        <w:tc>
          <w:tcPr>
            <w:tcW w:w="1227" w:type="dxa"/>
            <w:tcBorders>
              <w:left w:val="double" w:sz="4" w:space="0" w:color="ED7D31"/>
              <w:right w:val="double" w:sz="4" w:space="0" w:color="ED7D31"/>
            </w:tcBorders>
          </w:tcPr>
          <w:p w14:paraId="6A1C1B46"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534F42D1" w14:textId="77777777" w:rsidR="009458E7" w:rsidRPr="00423ED7" w:rsidRDefault="009458E7" w:rsidP="00754DB7">
            <w:pPr>
              <w:jc w:val="center"/>
              <w:rPr>
                <w:sz w:val="20"/>
              </w:rPr>
            </w:pPr>
          </w:p>
        </w:tc>
        <w:tc>
          <w:tcPr>
            <w:tcW w:w="1012" w:type="dxa"/>
            <w:tcBorders>
              <w:left w:val="double" w:sz="4" w:space="0" w:color="ED7D31"/>
            </w:tcBorders>
            <w:vAlign w:val="center"/>
          </w:tcPr>
          <w:p w14:paraId="22C32578" w14:textId="77777777" w:rsidR="009458E7" w:rsidRPr="00423ED7" w:rsidRDefault="009458E7" w:rsidP="00754DB7">
            <w:pPr>
              <w:jc w:val="center"/>
              <w:rPr>
                <w:sz w:val="20"/>
              </w:rPr>
            </w:pPr>
          </w:p>
        </w:tc>
        <w:tc>
          <w:tcPr>
            <w:tcW w:w="1012" w:type="dxa"/>
          </w:tcPr>
          <w:p w14:paraId="33812265"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7C114033" w14:textId="77777777" w:rsidR="009458E7" w:rsidRPr="00423ED7" w:rsidRDefault="009458E7" w:rsidP="00754DB7">
            <w:pPr>
              <w:jc w:val="center"/>
              <w:rPr>
                <w:sz w:val="20"/>
              </w:rPr>
            </w:pPr>
          </w:p>
        </w:tc>
        <w:tc>
          <w:tcPr>
            <w:tcW w:w="1012" w:type="dxa"/>
          </w:tcPr>
          <w:p w14:paraId="3CD8D79E" w14:textId="77777777" w:rsidR="009458E7" w:rsidRPr="00423ED7" w:rsidRDefault="009458E7" w:rsidP="00754DB7">
            <w:pPr>
              <w:jc w:val="center"/>
              <w:rPr>
                <w:sz w:val="20"/>
              </w:rPr>
            </w:pPr>
            <w:r w:rsidRPr="00423ED7">
              <w:rPr>
                <w:sz w:val="20"/>
              </w:rPr>
              <w:sym w:font="Wingdings" w:char="F0FC"/>
            </w:r>
          </w:p>
        </w:tc>
      </w:tr>
      <w:tr w:rsidR="009458E7" w:rsidRPr="00423ED7" w14:paraId="73CBB75F" w14:textId="77777777" w:rsidTr="00950807">
        <w:tc>
          <w:tcPr>
            <w:tcW w:w="3114" w:type="dxa"/>
          </w:tcPr>
          <w:p w14:paraId="2960CFD5" w14:textId="2E22F3BE" w:rsidR="009458E7" w:rsidRPr="00423ED7" w:rsidRDefault="009458E7" w:rsidP="00754DB7">
            <w:pPr>
              <w:rPr>
                <w:sz w:val="20"/>
              </w:rPr>
            </w:pPr>
            <w:r>
              <w:rPr>
                <w:sz w:val="20"/>
              </w:rPr>
              <w:t>Episodes of Ketoacidosis</w:t>
            </w:r>
          </w:p>
        </w:tc>
        <w:tc>
          <w:tcPr>
            <w:tcW w:w="4677" w:type="dxa"/>
          </w:tcPr>
          <w:p w14:paraId="0211F7C6" w14:textId="77777777" w:rsidR="009458E7" w:rsidRPr="00423ED7" w:rsidRDefault="009458E7" w:rsidP="00754DB7">
            <w:pPr>
              <w:rPr>
                <w:sz w:val="20"/>
              </w:rPr>
            </w:pPr>
            <w:r>
              <w:rPr>
                <w:sz w:val="20"/>
              </w:rPr>
              <w:t>N/A</w:t>
            </w:r>
          </w:p>
        </w:tc>
        <w:tc>
          <w:tcPr>
            <w:tcW w:w="1227" w:type="dxa"/>
            <w:tcBorders>
              <w:left w:val="double" w:sz="4" w:space="0" w:color="ED7D31"/>
              <w:right w:val="double" w:sz="4" w:space="0" w:color="ED7D31"/>
            </w:tcBorders>
          </w:tcPr>
          <w:p w14:paraId="6E534D80"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0CD10A79" w14:textId="77777777" w:rsidR="009458E7" w:rsidRPr="00423ED7" w:rsidRDefault="009458E7" w:rsidP="00754DB7">
            <w:pPr>
              <w:jc w:val="center"/>
              <w:rPr>
                <w:sz w:val="20"/>
              </w:rPr>
            </w:pPr>
          </w:p>
        </w:tc>
        <w:tc>
          <w:tcPr>
            <w:tcW w:w="1012" w:type="dxa"/>
            <w:tcBorders>
              <w:left w:val="double" w:sz="4" w:space="0" w:color="ED7D31"/>
            </w:tcBorders>
            <w:vAlign w:val="center"/>
          </w:tcPr>
          <w:p w14:paraId="4A8B8C90" w14:textId="77777777" w:rsidR="009458E7" w:rsidRPr="00423ED7" w:rsidRDefault="009458E7" w:rsidP="00754DB7">
            <w:pPr>
              <w:jc w:val="center"/>
              <w:rPr>
                <w:sz w:val="20"/>
              </w:rPr>
            </w:pPr>
          </w:p>
        </w:tc>
        <w:tc>
          <w:tcPr>
            <w:tcW w:w="1012" w:type="dxa"/>
          </w:tcPr>
          <w:p w14:paraId="669C4A86"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14E3EB32" w14:textId="77777777" w:rsidR="009458E7" w:rsidRPr="00423ED7" w:rsidRDefault="009458E7" w:rsidP="00754DB7">
            <w:pPr>
              <w:jc w:val="center"/>
              <w:rPr>
                <w:sz w:val="20"/>
              </w:rPr>
            </w:pPr>
          </w:p>
        </w:tc>
        <w:tc>
          <w:tcPr>
            <w:tcW w:w="1012" w:type="dxa"/>
          </w:tcPr>
          <w:p w14:paraId="06C2A1F4" w14:textId="77777777" w:rsidR="009458E7" w:rsidRPr="00423ED7" w:rsidRDefault="009458E7" w:rsidP="00754DB7">
            <w:pPr>
              <w:jc w:val="center"/>
              <w:rPr>
                <w:sz w:val="20"/>
              </w:rPr>
            </w:pPr>
            <w:r w:rsidRPr="00423ED7">
              <w:rPr>
                <w:sz w:val="20"/>
              </w:rPr>
              <w:sym w:font="Wingdings" w:char="F0FC"/>
            </w:r>
          </w:p>
        </w:tc>
      </w:tr>
      <w:tr w:rsidR="009458E7" w:rsidRPr="00423ED7" w14:paraId="7744A736" w14:textId="77777777" w:rsidTr="00950807">
        <w:tc>
          <w:tcPr>
            <w:tcW w:w="3114" w:type="dxa"/>
          </w:tcPr>
          <w:p w14:paraId="6946BE61" w14:textId="77777777" w:rsidR="009458E7" w:rsidRPr="00423ED7" w:rsidRDefault="009458E7" w:rsidP="00754DB7">
            <w:pPr>
              <w:rPr>
                <w:sz w:val="20"/>
              </w:rPr>
            </w:pPr>
            <w:r w:rsidRPr="00423ED7">
              <w:rPr>
                <w:sz w:val="20"/>
              </w:rPr>
              <w:t>Demographics</w:t>
            </w:r>
          </w:p>
        </w:tc>
        <w:tc>
          <w:tcPr>
            <w:tcW w:w="4677" w:type="dxa"/>
          </w:tcPr>
          <w:p w14:paraId="5A028DA4" w14:textId="77777777" w:rsidR="009458E7" w:rsidRPr="00423ED7" w:rsidRDefault="009458E7" w:rsidP="00754DB7">
            <w:pPr>
              <w:rPr>
                <w:sz w:val="20"/>
              </w:rPr>
            </w:pPr>
            <w:r w:rsidRPr="00423ED7">
              <w:rPr>
                <w:sz w:val="20"/>
              </w:rPr>
              <w:t>Individual items</w:t>
            </w:r>
          </w:p>
        </w:tc>
        <w:tc>
          <w:tcPr>
            <w:tcW w:w="1227" w:type="dxa"/>
            <w:tcBorders>
              <w:left w:val="double" w:sz="4" w:space="0" w:color="ED7D31"/>
              <w:right w:val="double" w:sz="4" w:space="0" w:color="ED7D31"/>
            </w:tcBorders>
            <w:vAlign w:val="center"/>
          </w:tcPr>
          <w:p w14:paraId="4972AC38"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4F45CBF1" w14:textId="77777777" w:rsidR="009458E7" w:rsidRPr="00423ED7" w:rsidRDefault="009458E7" w:rsidP="00754DB7">
            <w:pPr>
              <w:jc w:val="center"/>
              <w:rPr>
                <w:sz w:val="20"/>
              </w:rPr>
            </w:pPr>
          </w:p>
        </w:tc>
        <w:tc>
          <w:tcPr>
            <w:tcW w:w="1012" w:type="dxa"/>
            <w:tcBorders>
              <w:left w:val="double" w:sz="4" w:space="0" w:color="ED7D31"/>
            </w:tcBorders>
            <w:vAlign w:val="center"/>
          </w:tcPr>
          <w:p w14:paraId="43ADB019" w14:textId="77777777" w:rsidR="009458E7" w:rsidRPr="00423ED7" w:rsidRDefault="009458E7" w:rsidP="00754DB7">
            <w:pPr>
              <w:jc w:val="center"/>
              <w:rPr>
                <w:sz w:val="20"/>
              </w:rPr>
            </w:pPr>
          </w:p>
        </w:tc>
        <w:tc>
          <w:tcPr>
            <w:tcW w:w="1012" w:type="dxa"/>
            <w:vAlign w:val="center"/>
          </w:tcPr>
          <w:p w14:paraId="794976DC"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1261D694" w14:textId="77777777" w:rsidR="009458E7" w:rsidRPr="00423ED7" w:rsidRDefault="009458E7" w:rsidP="00754DB7">
            <w:pPr>
              <w:jc w:val="center"/>
              <w:rPr>
                <w:sz w:val="20"/>
              </w:rPr>
            </w:pPr>
          </w:p>
        </w:tc>
        <w:tc>
          <w:tcPr>
            <w:tcW w:w="1012" w:type="dxa"/>
            <w:vAlign w:val="center"/>
          </w:tcPr>
          <w:p w14:paraId="4E719A98" w14:textId="77777777" w:rsidR="009458E7" w:rsidRPr="00423ED7" w:rsidRDefault="009458E7" w:rsidP="00754DB7">
            <w:pPr>
              <w:jc w:val="center"/>
              <w:rPr>
                <w:sz w:val="20"/>
              </w:rPr>
            </w:pPr>
            <w:r w:rsidRPr="00423ED7">
              <w:rPr>
                <w:sz w:val="20"/>
              </w:rPr>
              <w:sym w:font="Wingdings" w:char="F0FC"/>
            </w:r>
          </w:p>
        </w:tc>
      </w:tr>
      <w:tr w:rsidR="009458E7" w:rsidRPr="00423ED7" w14:paraId="2C0A15F4" w14:textId="77777777" w:rsidTr="00950807">
        <w:tc>
          <w:tcPr>
            <w:tcW w:w="3114" w:type="dxa"/>
          </w:tcPr>
          <w:p w14:paraId="1FCFB556" w14:textId="77777777" w:rsidR="009458E7" w:rsidRPr="00423ED7" w:rsidRDefault="009458E7" w:rsidP="00754DB7">
            <w:pPr>
              <w:rPr>
                <w:sz w:val="20"/>
              </w:rPr>
            </w:pPr>
            <w:r w:rsidRPr="00423ED7">
              <w:rPr>
                <w:sz w:val="20"/>
              </w:rPr>
              <w:t>Hypoglycaemia awareness</w:t>
            </w:r>
          </w:p>
        </w:tc>
        <w:tc>
          <w:tcPr>
            <w:tcW w:w="4677" w:type="dxa"/>
          </w:tcPr>
          <w:p w14:paraId="7E6C5B50" w14:textId="0AE28F82" w:rsidR="009458E7" w:rsidRPr="00423ED7" w:rsidRDefault="009458E7" w:rsidP="00AE0CAF">
            <w:pPr>
              <w:rPr>
                <w:sz w:val="20"/>
              </w:rPr>
            </w:pPr>
            <w:r w:rsidRPr="00423ED7">
              <w:rPr>
                <w:sz w:val="20"/>
              </w:rPr>
              <w:t>Gold score</w:t>
            </w:r>
            <w:r w:rsidR="00B22284">
              <w:rPr>
                <w:sz w:val="20"/>
              </w:rPr>
              <w:fldChar w:fldCharType="begin" w:fldLock="1"/>
            </w:r>
            <w:r w:rsidR="005D7FBE">
              <w:rPr>
                <w:sz w:val="20"/>
              </w:rPr>
              <w:instrText>ADDIN CSL_CITATION {"citationItems":[{"id":"ITEM-1","itemData":{"ISSN":"0149-5992","PMID":"7924780","abstract":"OBJECTIVE To determine the frequency of hypoglycemia in patients with type I diabetes and impaired awareness of hypoglycemia by prospective assessment. RESEARCH DESIGN AND METHODS A prospective study was undertaken for 12 months in 60 patients with type I diabetes: 29 had impaired awareness of hypoglycemia and 31 retained normal awareness of hypoglycemia. The two groups of patients were matched for age, age at onset of diabetes, duration of diabetes, and glycemic control. Episodes of severe hypoglycemia were recorded within 24 h of the event and verified where possible by witnesses. RESULTS During the 12 months, 19 (66%) of the patients with impaired awareness had one or more episodes of severe hypoglycemia with an overall incidence of 2.8 episodes.patient-1.year-1. By comparison, 8 (26%) of the patients with normal awareness experienced severe hypoglycemia (P &lt; 0.01) with an annual incidence of 0.5 episode.patient-1.year-1 (P &lt; 0.001). Severe hypoglycemia occurred at different times of the day in the two groups: patients with impaired awareness experienced a greater proportion of episodes during the evening (P = 0.03), and patients with normal awareness experienced a greater proportion in the early morning (P = 0.05). An assessment of fear of hypoglycemia revealed that patients with impaired awareness of hypoglycemia worried more about hypoglycemia than did patients with normal awareness (P = 0.008), but did not modify their behavior accordingly. CONCLUSIONS This prospective evaluation demonstrated that impaired awareness of hypoglycemia predisposes to a sixfold increase in the frequency of severe hypoglycemia, much of which occurred at home during waking hours.","author":[{"dropping-particle":"","family":"Gold","given":"A E","non-dropping-particle":"","parse-names":false,"suffix":""},{"dropping-particle":"","family":"MacLeod","given":"K M","non-dropping-particle":"","parse-names":false,"suffix":""},{"dropping-particle":"","family":"Frier","given":"B M","non-dropping-particle":"","parse-names":false,"suffix":""}],"container-title":"Diabetes care","id":"ITEM-1","issue":"7","issued":{"date-parts":[["1994","7"]]},"page":"697-703","title":"Frequency of severe hypoglycemia in patients with type I diabetes with impaired awareness of hypoglycemia.","type":"article-journal","volume":"17"},"uris":["http://www.mendeley.com/documents/?uuid=39c7e519-7133-3c22-80e5-276f8ca0ff3e"]}],"mendeley":{"formattedCitation":"[33]","plainTextFormattedCitation":"[33]","previouslyFormattedCitation":"[34]"},"properties":{"noteIndex":0},"schema":"https://github.com/citation-style-language/schema/raw/master/csl-citation.json"}</w:instrText>
            </w:r>
            <w:r w:rsidR="00B22284">
              <w:rPr>
                <w:sz w:val="20"/>
              </w:rPr>
              <w:fldChar w:fldCharType="separate"/>
            </w:r>
            <w:r w:rsidR="005D7FBE" w:rsidRPr="005D7FBE">
              <w:rPr>
                <w:noProof/>
                <w:sz w:val="20"/>
              </w:rPr>
              <w:t>[33]</w:t>
            </w:r>
            <w:r w:rsidR="00B22284">
              <w:rPr>
                <w:sz w:val="20"/>
              </w:rPr>
              <w:fldChar w:fldCharType="end"/>
            </w:r>
            <w:r w:rsidRPr="00423ED7">
              <w:rPr>
                <w:sz w:val="20"/>
              </w:rPr>
              <w:t xml:space="preserve"> </w:t>
            </w:r>
            <w:r w:rsidR="009A607D">
              <w:rPr>
                <w:sz w:val="20"/>
              </w:rPr>
              <w:t>and DAFNE hypo awareness measure</w:t>
            </w:r>
          </w:p>
        </w:tc>
        <w:tc>
          <w:tcPr>
            <w:tcW w:w="1227" w:type="dxa"/>
            <w:tcBorders>
              <w:left w:val="double" w:sz="4" w:space="0" w:color="ED7D31"/>
              <w:right w:val="double" w:sz="4" w:space="0" w:color="ED7D31"/>
            </w:tcBorders>
            <w:vAlign w:val="center"/>
          </w:tcPr>
          <w:p w14:paraId="4D241F3E"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7DCF7BAA" w14:textId="77777777" w:rsidR="009458E7" w:rsidRPr="00423ED7" w:rsidRDefault="009458E7" w:rsidP="00754DB7">
            <w:pPr>
              <w:jc w:val="center"/>
              <w:rPr>
                <w:sz w:val="20"/>
              </w:rPr>
            </w:pPr>
          </w:p>
        </w:tc>
        <w:tc>
          <w:tcPr>
            <w:tcW w:w="1012" w:type="dxa"/>
            <w:tcBorders>
              <w:left w:val="double" w:sz="4" w:space="0" w:color="ED7D31"/>
            </w:tcBorders>
            <w:vAlign w:val="center"/>
          </w:tcPr>
          <w:p w14:paraId="1BC8296A" w14:textId="77777777" w:rsidR="009458E7" w:rsidRPr="00423ED7" w:rsidRDefault="009458E7" w:rsidP="00754DB7">
            <w:pPr>
              <w:jc w:val="center"/>
              <w:rPr>
                <w:sz w:val="20"/>
              </w:rPr>
            </w:pPr>
          </w:p>
        </w:tc>
        <w:tc>
          <w:tcPr>
            <w:tcW w:w="1012" w:type="dxa"/>
            <w:vAlign w:val="center"/>
          </w:tcPr>
          <w:p w14:paraId="68E97656"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5F6DAF3C" w14:textId="77777777" w:rsidR="009458E7" w:rsidRPr="00423ED7" w:rsidRDefault="009458E7" w:rsidP="00754DB7">
            <w:pPr>
              <w:jc w:val="center"/>
              <w:rPr>
                <w:sz w:val="20"/>
              </w:rPr>
            </w:pPr>
          </w:p>
        </w:tc>
        <w:tc>
          <w:tcPr>
            <w:tcW w:w="1012" w:type="dxa"/>
            <w:vAlign w:val="center"/>
          </w:tcPr>
          <w:p w14:paraId="0DE88384" w14:textId="77777777" w:rsidR="009458E7" w:rsidRPr="00423ED7" w:rsidRDefault="009458E7" w:rsidP="00754DB7">
            <w:pPr>
              <w:jc w:val="center"/>
              <w:rPr>
                <w:sz w:val="20"/>
              </w:rPr>
            </w:pPr>
            <w:r w:rsidRPr="00423ED7">
              <w:rPr>
                <w:sz w:val="20"/>
              </w:rPr>
              <w:sym w:font="Wingdings" w:char="F0FC"/>
            </w:r>
          </w:p>
        </w:tc>
      </w:tr>
      <w:tr w:rsidR="009458E7" w:rsidRPr="00423ED7" w14:paraId="66D78557" w14:textId="77777777" w:rsidTr="00950807">
        <w:tc>
          <w:tcPr>
            <w:tcW w:w="3114" w:type="dxa"/>
            <w:shd w:val="clear" w:color="auto" w:fill="F7CAAC"/>
          </w:tcPr>
          <w:p w14:paraId="77602215" w14:textId="77777777" w:rsidR="009458E7" w:rsidRPr="00423ED7" w:rsidRDefault="009458E7" w:rsidP="00754DB7">
            <w:pPr>
              <w:rPr>
                <w:b/>
                <w:sz w:val="20"/>
              </w:rPr>
            </w:pPr>
            <w:r w:rsidRPr="00423ED7">
              <w:rPr>
                <w:b/>
                <w:sz w:val="20"/>
              </w:rPr>
              <w:t>Primary Psychological Outcomes</w:t>
            </w:r>
          </w:p>
        </w:tc>
        <w:tc>
          <w:tcPr>
            <w:tcW w:w="4677" w:type="dxa"/>
            <w:shd w:val="clear" w:color="auto" w:fill="F7CAAC"/>
          </w:tcPr>
          <w:p w14:paraId="3E086B27" w14:textId="77777777" w:rsidR="009458E7" w:rsidRPr="00423ED7" w:rsidRDefault="009458E7" w:rsidP="00754DB7">
            <w:pPr>
              <w:rPr>
                <w:sz w:val="20"/>
              </w:rPr>
            </w:pPr>
          </w:p>
        </w:tc>
        <w:tc>
          <w:tcPr>
            <w:tcW w:w="1227" w:type="dxa"/>
            <w:tcBorders>
              <w:left w:val="double" w:sz="4" w:space="0" w:color="ED7D31"/>
              <w:right w:val="double" w:sz="4" w:space="0" w:color="ED7D31"/>
            </w:tcBorders>
            <w:shd w:val="clear" w:color="auto" w:fill="F7CAAC"/>
            <w:vAlign w:val="center"/>
          </w:tcPr>
          <w:p w14:paraId="75E4E228" w14:textId="77777777" w:rsidR="009458E7" w:rsidRPr="00423ED7" w:rsidRDefault="009458E7" w:rsidP="00754DB7">
            <w:pPr>
              <w:jc w:val="center"/>
              <w:rPr>
                <w:sz w:val="20"/>
              </w:rPr>
            </w:pPr>
          </w:p>
        </w:tc>
        <w:tc>
          <w:tcPr>
            <w:tcW w:w="1316" w:type="dxa"/>
            <w:tcBorders>
              <w:left w:val="double" w:sz="4" w:space="0" w:color="ED7D31"/>
              <w:right w:val="double" w:sz="4" w:space="0" w:color="ED7D31"/>
            </w:tcBorders>
            <w:shd w:val="clear" w:color="auto" w:fill="F7CAAC"/>
            <w:vAlign w:val="center"/>
          </w:tcPr>
          <w:p w14:paraId="68C514AF" w14:textId="77777777" w:rsidR="009458E7" w:rsidRPr="00423ED7" w:rsidRDefault="009458E7" w:rsidP="00754DB7">
            <w:pPr>
              <w:jc w:val="center"/>
              <w:rPr>
                <w:sz w:val="20"/>
              </w:rPr>
            </w:pPr>
          </w:p>
        </w:tc>
        <w:tc>
          <w:tcPr>
            <w:tcW w:w="1012" w:type="dxa"/>
            <w:tcBorders>
              <w:left w:val="double" w:sz="4" w:space="0" w:color="ED7D31"/>
            </w:tcBorders>
            <w:shd w:val="clear" w:color="auto" w:fill="F7CAAC"/>
            <w:vAlign w:val="center"/>
          </w:tcPr>
          <w:p w14:paraId="6BB77D06" w14:textId="77777777" w:rsidR="009458E7" w:rsidRPr="00423ED7" w:rsidRDefault="009458E7" w:rsidP="00754DB7">
            <w:pPr>
              <w:jc w:val="center"/>
              <w:rPr>
                <w:sz w:val="20"/>
              </w:rPr>
            </w:pPr>
          </w:p>
        </w:tc>
        <w:tc>
          <w:tcPr>
            <w:tcW w:w="1012" w:type="dxa"/>
            <w:shd w:val="clear" w:color="auto" w:fill="F7CAAC"/>
            <w:vAlign w:val="center"/>
          </w:tcPr>
          <w:p w14:paraId="79444E41" w14:textId="77777777" w:rsidR="009458E7" w:rsidRPr="00423ED7" w:rsidRDefault="009458E7" w:rsidP="00754DB7">
            <w:pPr>
              <w:jc w:val="center"/>
              <w:rPr>
                <w:sz w:val="20"/>
              </w:rPr>
            </w:pPr>
          </w:p>
        </w:tc>
        <w:tc>
          <w:tcPr>
            <w:tcW w:w="1013" w:type="dxa"/>
            <w:shd w:val="clear" w:color="auto" w:fill="F7CAAC"/>
            <w:vAlign w:val="center"/>
          </w:tcPr>
          <w:p w14:paraId="4C7B1636" w14:textId="77777777" w:rsidR="009458E7" w:rsidRPr="00423ED7" w:rsidRDefault="009458E7" w:rsidP="00754DB7">
            <w:pPr>
              <w:jc w:val="center"/>
              <w:rPr>
                <w:sz w:val="20"/>
              </w:rPr>
            </w:pPr>
          </w:p>
        </w:tc>
        <w:tc>
          <w:tcPr>
            <w:tcW w:w="1012" w:type="dxa"/>
            <w:shd w:val="clear" w:color="auto" w:fill="F7CAAC"/>
            <w:vAlign w:val="center"/>
          </w:tcPr>
          <w:p w14:paraId="29100689" w14:textId="77777777" w:rsidR="009458E7" w:rsidRPr="00423ED7" w:rsidRDefault="009458E7" w:rsidP="00754DB7">
            <w:pPr>
              <w:jc w:val="center"/>
              <w:rPr>
                <w:sz w:val="20"/>
              </w:rPr>
            </w:pPr>
          </w:p>
        </w:tc>
      </w:tr>
      <w:tr w:rsidR="009458E7" w:rsidRPr="00423ED7" w14:paraId="768963B8" w14:textId="77777777" w:rsidTr="00950807">
        <w:tc>
          <w:tcPr>
            <w:tcW w:w="3114" w:type="dxa"/>
            <w:vAlign w:val="center"/>
          </w:tcPr>
          <w:p w14:paraId="7523570F" w14:textId="77777777" w:rsidR="009458E7" w:rsidRPr="00423ED7" w:rsidRDefault="009458E7" w:rsidP="00754DB7">
            <w:pPr>
              <w:rPr>
                <w:sz w:val="20"/>
              </w:rPr>
            </w:pPr>
            <w:r w:rsidRPr="00423ED7">
              <w:rPr>
                <w:sz w:val="20"/>
              </w:rPr>
              <w:t>Diabetes-specific quality of life</w:t>
            </w:r>
            <w:r w:rsidRPr="00423ED7" w:rsidDel="006C6CFF">
              <w:rPr>
                <w:sz w:val="20"/>
              </w:rPr>
              <w:t xml:space="preserve"> </w:t>
            </w:r>
          </w:p>
        </w:tc>
        <w:tc>
          <w:tcPr>
            <w:tcW w:w="4677" w:type="dxa"/>
          </w:tcPr>
          <w:p w14:paraId="67CFCF56" w14:textId="238ADE40" w:rsidR="009458E7" w:rsidRPr="00423ED7" w:rsidRDefault="009458E7" w:rsidP="00AE0CAF">
            <w:pPr>
              <w:rPr>
                <w:sz w:val="20"/>
              </w:rPr>
            </w:pPr>
            <w:r>
              <w:rPr>
                <w:sz w:val="20"/>
              </w:rPr>
              <w:t>ADDQoL-15</w:t>
            </w:r>
            <w:r w:rsidR="00B22284">
              <w:rPr>
                <w:sz w:val="20"/>
              </w:rPr>
              <w:fldChar w:fldCharType="begin" w:fldLock="1"/>
            </w:r>
            <w:r w:rsidR="005D7FBE">
              <w:rPr>
                <w:sz w:val="20"/>
              </w:rPr>
              <w:instrText>ADDIN CSL_CITATION {"citationItems":[{"id":"ITEM-1","itemData":{"DOI":"10.1023/A:1026485130100","ISSN":"09629343","PMID":"10457741","abstract":"The objectives of the study were to design and develop a questionnaire to measure individuals' perceptions of the impact of diabetes on their quality of life (QoL). The design of the ADDQoL (Audit of Diabetes Dependent QoL) was influenced by patient-centred principles underlying the SEIQoL interview method. Respondents rate only personally-applicable life domains, indicating importance and impact of diabetes. Fifty-two out-patients with diabetes and 102 attending diabetes education open days provided data for psychometric analyses. Each of the 13 domain-specific ADDQoL items was relevant and important for substantial numbers of respondents. Factor analysis and Cronbach's α coefficient of internal consistency (0.85) supported combination of items into a scale. Insulin-treated patients reported greater impact of diabetes on QoL than tablet/diet-treated patients. People with microvascular complications showed, as expected, greater diabetes-related impairment of QoL than people without complications. Unlike other QoL measures, the ADDQoL is an individualized questionnaire measure of the impact of diabetes and its treatment on QoL. Preliminary evidence of reliability and validity is established for adults with diabetes. Findings suggest that the ADDQoL will be more sensitive to change and responsive to differences than generic QoL measures.","author":[{"dropping-particle":"","family":"Bradley","given":"C.","non-dropping-particle":"","parse-names":false,"suffix":""},{"dropping-particle":"","family":"Todd","given":"C.","non-dropping-particle":"","parse-names":false,"suffix":""},{"dropping-particle":"","family":"Gorton","given":"T.","non-dropping-particle":"","parse-names":false,"suffix":""},{"dropping-particle":"","family":"Symonds","given":"E.","non-dropping-particle":"","parse-names":false,"suffix":""},{"dropping-particle":"","family":"Martin","given":"A.","non-dropping-particle":"","parse-names":false,"suffix":""},{"dropping-particle":"","family":"Plowright","given":"R.","non-dropping-particle":"","parse-names":false,"suffix":""}],"container-title":"Quality of Life Research","id":"ITEM-1","issue":"1-2","issued":{"date-parts":[["1999"]]},"page":"79-91","title":"The development of an individualized questionnaire measure of perceived impact of diabetes on quality of life: The ADDQoL","type":"article-journal","volume":"8"},"uris":["http://www.mendeley.com/documents/?uuid=1bb9d8a5-568d-3276-9bff-277fca1ec3d3"]}],"mendeley":{"formattedCitation":"[27]","plainTextFormattedCitation":"[27]","previouslyFormattedCitation":"[28]"},"properties":{"noteIndex":0},"schema":"https://github.com/citation-style-language/schema/raw/master/csl-citation.json"}</w:instrText>
            </w:r>
            <w:r w:rsidR="00B22284">
              <w:rPr>
                <w:sz w:val="20"/>
              </w:rPr>
              <w:fldChar w:fldCharType="separate"/>
            </w:r>
            <w:r w:rsidR="005D7FBE" w:rsidRPr="005D7FBE">
              <w:rPr>
                <w:noProof/>
                <w:sz w:val="20"/>
              </w:rPr>
              <w:t>[27]</w:t>
            </w:r>
            <w:r w:rsidR="00B22284">
              <w:rPr>
                <w:sz w:val="20"/>
              </w:rPr>
              <w:fldChar w:fldCharType="end"/>
            </w:r>
            <w:r w:rsidR="009A607D">
              <w:rPr>
                <w:sz w:val="20"/>
              </w:rPr>
              <w:t xml:space="preserve"> </w:t>
            </w:r>
          </w:p>
        </w:tc>
        <w:tc>
          <w:tcPr>
            <w:tcW w:w="1227" w:type="dxa"/>
            <w:tcBorders>
              <w:left w:val="double" w:sz="4" w:space="0" w:color="ED7D31"/>
              <w:right w:val="double" w:sz="4" w:space="0" w:color="ED7D31"/>
            </w:tcBorders>
            <w:vAlign w:val="center"/>
          </w:tcPr>
          <w:p w14:paraId="26850F82"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59B0AA3E" w14:textId="77777777" w:rsidR="009458E7" w:rsidRPr="00423ED7" w:rsidRDefault="009458E7" w:rsidP="00754DB7">
            <w:pPr>
              <w:jc w:val="center"/>
              <w:rPr>
                <w:sz w:val="20"/>
              </w:rPr>
            </w:pPr>
          </w:p>
        </w:tc>
        <w:tc>
          <w:tcPr>
            <w:tcW w:w="1012" w:type="dxa"/>
            <w:tcBorders>
              <w:left w:val="double" w:sz="4" w:space="0" w:color="ED7D31"/>
            </w:tcBorders>
            <w:vAlign w:val="center"/>
          </w:tcPr>
          <w:p w14:paraId="697FF951" w14:textId="77777777" w:rsidR="009458E7" w:rsidRPr="00423ED7" w:rsidRDefault="009458E7" w:rsidP="00754DB7">
            <w:pPr>
              <w:jc w:val="center"/>
              <w:rPr>
                <w:sz w:val="20"/>
              </w:rPr>
            </w:pPr>
          </w:p>
        </w:tc>
        <w:tc>
          <w:tcPr>
            <w:tcW w:w="1012" w:type="dxa"/>
            <w:vAlign w:val="center"/>
          </w:tcPr>
          <w:p w14:paraId="6D8C8EBC"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444CBB3B" w14:textId="77777777" w:rsidR="009458E7" w:rsidRPr="00423ED7" w:rsidRDefault="009458E7" w:rsidP="00754DB7">
            <w:pPr>
              <w:jc w:val="center"/>
              <w:rPr>
                <w:sz w:val="20"/>
              </w:rPr>
            </w:pPr>
          </w:p>
        </w:tc>
        <w:tc>
          <w:tcPr>
            <w:tcW w:w="1012" w:type="dxa"/>
            <w:vAlign w:val="center"/>
          </w:tcPr>
          <w:p w14:paraId="4EB7A6DE" w14:textId="77777777" w:rsidR="009458E7" w:rsidRPr="00423ED7" w:rsidRDefault="009458E7" w:rsidP="00754DB7">
            <w:pPr>
              <w:jc w:val="center"/>
              <w:rPr>
                <w:sz w:val="20"/>
              </w:rPr>
            </w:pPr>
            <w:r w:rsidRPr="00423ED7">
              <w:rPr>
                <w:sz w:val="20"/>
              </w:rPr>
              <w:sym w:font="Wingdings" w:char="F0FC"/>
            </w:r>
          </w:p>
        </w:tc>
      </w:tr>
      <w:tr w:rsidR="009458E7" w:rsidRPr="00423ED7" w14:paraId="6364F963" w14:textId="77777777" w:rsidTr="00950807">
        <w:tc>
          <w:tcPr>
            <w:tcW w:w="3114" w:type="dxa"/>
            <w:shd w:val="clear" w:color="auto" w:fill="F7CAAC"/>
            <w:vAlign w:val="center"/>
          </w:tcPr>
          <w:p w14:paraId="0FC37837" w14:textId="77777777" w:rsidR="009458E7" w:rsidRPr="00423ED7" w:rsidRDefault="009458E7" w:rsidP="00754DB7">
            <w:pPr>
              <w:rPr>
                <w:b/>
                <w:sz w:val="20"/>
              </w:rPr>
            </w:pPr>
            <w:r w:rsidRPr="00423ED7">
              <w:rPr>
                <w:b/>
                <w:sz w:val="20"/>
              </w:rPr>
              <w:t>Secondary Psychological Outcomes</w:t>
            </w:r>
          </w:p>
        </w:tc>
        <w:tc>
          <w:tcPr>
            <w:tcW w:w="4677" w:type="dxa"/>
            <w:shd w:val="clear" w:color="auto" w:fill="F7CAAC"/>
          </w:tcPr>
          <w:p w14:paraId="58E79EE2" w14:textId="77777777" w:rsidR="009458E7" w:rsidRPr="00423ED7" w:rsidRDefault="009458E7" w:rsidP="00754DB7">
            <w:pPr>
              <w:rPr>
                <w:sz w:val="20"/>
              </w:rPr>
            </w:pPr>
          </w:p>
        </w:tc>
        <w:tc>
          <w:tcPr>
            <w:tcW w:w="1227" w:type="dxa"/>
            <w:tcBorders>
              <w:left w:val="double" w:sz="4" w:space="0" w:color="ED7D31"/>
              <w:right w:val="double" w:sz="4" w:space="0" w:color="ED7D31"/>
            </w:tcBorders>
            <w:shd w:val="clear" w:color="auto" w:fill="F7CAAC"/>
            <w:vAlign w:val="center"/>
          </w:tcPr>
          <w:p w14:paraId="1E102778" w14:textId="77777777" w:rsidR="009458E7" w:rsidRPr="00423ED7" w:rsidRDefault="009458E7" w:rsidP="00754DB7">
            <w:pPr>
              <w:jc w:val="center"/>
              <w:rPr>
                <w:sz w:val="20"/>
              </w:rPr>
            </w:pPr>
          </w:p>
        </w:tc>
        <w:tc>
          <w:tcPr>
            <w:tcW w:w="1316" w:type="dxa"/>
            <w:tcBorders>
              <w:left w:val="double" w:sz="4" w:space="0" w:color="ED7D31"/>
              <w:right w:val="double" w:sz="4" w:space="0" w:color="ED7D31"/>
            </w:tcBorders>
            <w:shd w:val="clear" w:color="auto" w:fill="F7CAAC"/>
            <w:vAlign w:val="center"/>
          </w:tcPr>
          <w:p w14:paraId="6CC6ECE0" w14:textId="77777777" w:rsidR="009458E7" w:rsidRPr="00423ED7" w:rsidRDefault="009458E7" w:rsidP="00754DB7">
            <w:pPr>
              <w:jc w:val="center"/>
              <w:rPr>
                <w:sz w:val="20"/>
              </w:rPr>
            </w:pPr>
          </w:p>
        </w:tc>
        <w:tc>
          <w:tcPr>
            <w:tcW w:w="1012" w:type="dxa"/>
            <w:tcBorders>
              <w:left w:val="double" w:sz="4" w:space="0" w:color="ED7D31"/>
            </w:tcBorders>
            <w:shd w:val="clear" w:color="auto" w:fill="F7CAAC"/>
            <w:vAlign w:val="center"/>
          </w:tcPr>
          <w:p w14:paraId="267A35C1" w14:textId="77777777" w:rsidR="009458E7" w:rsidRPr="00423ED7" w:rsidRDefault="009458E7" w:rsidP="00754DB7">
            <w:pPr>
              <w:jc w:val="center"/>
              <w:rPr>
                <w:sz w:val="20"/>
              </w:rPr>
            </w:pPr>
          </w:p>
        </w:tc>
        <w:tc>
          <w:tcPr>
            <w:tcW w:w="1012" w:type="dxa"/>
            <w:shd w:val="clear" w:color="auto" w:fill="F7CAAC"/>
            <w:vAlign w:val="center"/>
          </w:tcPr>
          <w:p w14:paraId="396CE1A4" w14:textId="77777777" w:rsidR="009458E7" w:rsidRPr="00423ED7" w:rsidRDefault="009458E7" w:rsidP="00754DB7">
            <w:pPr>
              <w:jc w:val="center"/>
              <w:rPr>
                <w:sz w:val="20"/>
              </w:rPr>
            </w:pPr>
          </w:p>
        </w:tc>
        <w:tc>
          <w:tcPr>
            <w:tcW w:w="1013" w:type="dxa"/>
            <w:shd w:val="clear" w:color="auto" w:fill="F7CAAC"/>
            <w:vAlign w:val="center"/>
          </w:tcPr>
          <w:p w14:paraId="211910B8" w14:textId="77777777" w:rsidR="009458E7" w:rsidRPr="00423ED7" w:rsidRDefault="009458E7" w:rsidP="00754DB7">
            <w:pPr>
              <w:jc w:val="center"/>
              <w:rPr>
                <w:sz w:val="20"/>
              </w:rPr>
            </w:pPr>
          </w:p>
        </w:tc>
        <w:tc>
          <w:tcPr>
            <w:tcW w:w="1012" w:type="dxa"/>
            <w:shd w:val="clear" w:color="auto" w:fill="F7CAAC"/>
            <w:vAlign w:val="center"/>
          </w:tcPr>
          <w:p w14:paraId="59A328E7" w14:textId="77777777" w:rsidR="009458E7" w:rsidRPr="00423ED7" w:rsidRDefault="009458E7" w:rsidP="00754DB7">
            <w:pPr>
              <w:jc w:val="center"/>
              <w:rPr>
                <w:sz w:val="20"/>
              </w:rPr>
            </w:pPr>
          </w:p>
        </w:tc>
      </w:tr>
      <w:tr w:rsidR="009458E7" w:rsidRPr="00423ED7" w14:paraId="36BA36D6" w14:textId="77777777" w:rsidTr="00950807">
        <w:tc>
          <w:tcPr>
            <w:tcW w:w="3114" w:type="dxa"/>
            <w:vAlign w:val="center"/>
          </w:tcPr>
          <w:p w14:paraId="33C03224" w14:textId="77777777" w:rsidR="009458E7" w:rsidRPr="00423ED7" w:rsidRDefault="009458E7" w:rsidP="00754DB7">
            <w:pPr>
              <w:rPr>
                <w:sz w:val="20"/>
              </w:rPr>
            </w:pPr>
            <w:r w:rsidRPr="00423ED7">
              <w:rPr>
                <w:sz w:val="20"/>
              </w:rPr>
              <w:t xml:space="preserve">Diabetes distress </w:t>
            </w:r>
          </w:p>
        </w:tc>
        <w:tc>
          <w:tcPr>
            <w:tcW w:w="4677" w:type="dxa"/>
          </w:tcPr>
          <w:p w14:paraId="6F506D7C" w14:textId="66984CBB" w:rsidR="009458E7" w:rsidRPr="00423ED7" w:rsidRDefault="009458E7" w:rsidP="00AE0CAF">
            <w:pPr>
              <w:rPr>
                <w:sz w:val="20"/>
              </w:rPr>
            </w:pPr>
            <w:r w:rsidRPr="00423ED7">
              <w:rPr>
                <w:sz w:val="20"/>
              </w:rPr>
              <w:t>P</w:t>
            </w:r>
            <w:r w:rsidR="00950807">
              <w:rPr>
                <w:sz w:val="20"/>
              </w:rPr>
              <w:t xml:space="preserve">roblem </w:t>
            </w:r>
            <w:r w:rsidRPr="00423ED7">
              <w:rPr>
                <w:sz w:val="20"/>
              </w:rPr>
              <w:t>A</w:t>
            </w:r>
            <w:r w:rsidR="00950807">
              <w:rPr>
                <w:sz w:val="20"/>
              </w:rPr>
              <w:t xml:space="preserve">reas </w:t>
            </w:r>
            <w:r w:rsidRPr="00423ED7">
              <w:rPr>
                <w:sz w:val="20"/>
              </w:rPr>
              <w:t>I</w:t>
            </w:r>
            <w:r w:rsidR="00950807">
              <w:rPr>
                <w:sz w:val="20"/>
              </w:rPr>
              <w:t xml:space="preserve">n </w:t>
            </w:r>
            <w:r w:rsidRPr="00423ED7">
              <w:rPr>
                <w:sz w:val="20"/>
              </w:rPr>
              <w:t>D</w:t>
            </w:r>
            <w:r w:rsidR="00950807">
              <w:rPr>
                <w:sz w:val="20"/>
              </w:rPr>
              <w:t>iabetes (PAID</w:t>
            </w:r>
            <w:r w:rsidRPr="00423ED7">
              <w:rPr>
                <w:sz w:val="20"/>
              </w:rPr>
              <w:t>-11</w:t>
            </w:r>
            <w:r w:rsidR="00950807">
              <w:rPr>
                <w:sz w:val="20"/>
              </w:rPr>
              <w:t xml:space="preserve">) </w:t>
            </w:r>
            <w:r w:rsidRPr="00423ED7">
              <w:rPr>
                <w:sz w:val="20"/>
              </w:rPr>
              <w:t>(short-form)</w:t>
            </w:r>
            <w:r w:rsidR="00B22284">
              <w:rPr>
                <w:sz w:val="20"/>
              </w:rPr>
              <w:fldChar w:fldCharType="begin" w:fldLock="1"/>
            </w:r>
            <w:r w:rsidR="005D7FBE">
              <w:rPr>
                <w:sz w:val="20"/>
              </w:rPr>
              <w:instrText>ADDIN CSL_CITATION {"citationItems":[{"id":"ITEM-1","itemData":{"ISSN":"0149-5992","PMID":"7555499","abstract":"OBJECTIVE To describe a new measure of psychosocial adjustment specific to diabetes, the Problem Areas in Diabetes Survey (PAID), and to present initial information on its reliability and validity. RESEARCH DESIGN AND METHODS Before their routine clinic appointments, 451 female patients with type I and type II diabetes, all of whom required insulin, completed a self-report survey. Included in the survey was the PAID, a 20-item questionnaire in which each item represents a unique area of diabetes-related psychosocial distress. Each item is rated on a six-point Likert scale, reflecting the degree to which the item is perceived as currently problematic. A total scale score, hypothesized to reflect the overall level of diabetes-related emotional distress, is computed by summing the total item responses. To examine the concurrent validity of the PAID, the survey also included a series of standardized questionnaires assessing psychosocial functioning (general emotional distress, fear of hypoglycemia, and disordered eating), attitudes toward diabetes, and self-care behaviors. All subjects were assessed for HbA1, within 30 days of survey completion and again approximately 1-2 years later. Finally, long-term diabetic complications were determined through chart review. RESULTS Internal reliability of the PAID was high, with good item-to-total correlations. Approximately 60% of the subject sample reported at least one serious diabetes-related concern. As expected, the PAID was positively associated with relevant psychosocial measures of distress, including general emotional distress, disordered eating, and fear of hypoglycemia, short- and long-term diabetic complications, and HbA1, and negatively associated with reported self-care behaviors. The PAID accounted for approximately 9% of the variance in HbA1. Diabetes-related emotional distress, as measured by the PAID, was found to be a unique contributor to adherence to self-care behaviors after adjustment for age, diabetes duration, and general emotional distress. In addition, the PAID was associated with HbA1 even after adjustment for age, diabetes duration, general emotional distress, and adherence to self-care behaviors. CONCLUSIONS These findings suggest that the PAID, a brief, easy-to-administer instrument, may be valuable in assessing psychosocial adjustment to diabetes. In addition to high internal reliability, the consistent pattern of correlational findings indicates that the PAID is tapping into relevant …","author":[{"dropping-particle":"","family":"Polonsky","given":"W H","non-dropping-particle":"","parse-names":false,"suffix":""},{"dropping-particle":"","family":"Anderson","given":"B J","non-dropping-particle":"","parse-names":false,"suffix":""},{"dropping-particle":"","family":"Lohrer","given":"P A","non-dropping-particle":"","parse-names":false,"suffix":""},{"dropping-particle":"","family":"Welch","given":"G","non-dropping-particle":"","parse-names":false,"suffix":""},{"dropping-particle":"","family":"Jacobson","given":"A M","non-dropping-particle":"","parse-names":false,"suffix":""},{"dropping-particle":"","family":"Aponte","given":"J E","non-dropping-particle":"","parse-names":false,"suffix":""},{"dropping-particle":"","family":"Schwartz","given":"C E","non-dropping-particle":"","parse-names":false,"suffix":""}],"container-title":"Diabetes care","id":"ITEM-1","issue":"6","issued":{"date-parts":[["1995","6"]]},"page":"754-60","title":"Assessment of diabetes-related distress.","type":"article-journal","volume":"18"},"uris":["http://www.mendeley.com/documents/?uuid=a04363ce-bddb-3e08-8dbb-785ca4bb2941"]}],"mendeley":{"formattedCitation":"[34]","plainTextFormattedCitation":"[34]","previouslyFormattedCitation":"[35]"},"properties":{"noteIndex":0},"schema":"https://github.com/citation-style-language/schema/raw/master/csl-citation.json"}</w:instrText>
            </w:r>
            <w:r w:rsidR="00B22284">
              <w:rPr>
                <w:sz w:val="20"/>
              </w:rPr>
              <w:fldChar w:fldCharType="separate"/>
            </w:r>
            <w:r w:rsidR="005D7FBE" w:rsidRPr="005D7FBE">
              <w:rPr>
                <w:noProof/>
                <w:sz w:val="20"/>
              </w:rPr>
              <w:t>[34]</w:t>
            </w:r>
            <w:r w:rsidR="00B22284">
              <w:rPr>
                <w:sz w:val="20"/>
              </w:rPr>
              <w:fldChar w:fldCharType="end"/>
            </w:r>
            <w:r w:rsidR="00A4534E">
              <w:rPr>
                <w:sz w:val="20"/>
              </w:rPr>
              <w:t xml:space="preserve"> </w:t>
            </w:r>
          </w:p>
        </w:tc>
        <w:tc>
          <w:tcPr>
            <w:tcW w:w="1227" w:type="dxa"/>
            <w:tcBorders>
              <w:left w:val="double" w:sz="4" w:space="0" w:color="ED7D31"/>
              <w:right w:val="double" w:sz="4" w:space="0" w:color="ED7D31"/>
            </w:tcBorders>
            <w:vAlign w:val="center"/>
          </w:tcPr>
          <w:p w14:paraId="3E88A7CB"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1B99DC82" w14:textId="77777777" w:rsidR="009458E7" w:rsidRPr="00423ED7" w:rsidRDefault="009458E7" w:rsidP="00754DB7">
            <w:pPr>
              <w:jc w:val="center"/>
              <w:rPr>
                <w:sz w:val="20"/>
              </w:rPr>
            </w:pPr>
          </w:p>
        </w:tc>
        <w:tc>
          <w:tcPr>
            <w:tcW w:w="1012" w:type="dxa"/>
            <w:tcBorders>
              <w:left w:val="double" w:sz="4" w:space="0" w:color="ED7D31"/>
            </w:tcBorders>
            <w:vAlign w:val="center"/>
          </w:tcPr>
          <w:p w14:paraId="78AD1ED2" w14:textId="77777777" w:rsidR="009458E7" w:rsidRPr="00423ED7" w:rsidRDefault="009458E7" w:rsidP="00754DB7">
            <w:pPr>
              <w:jc w:val="center"/>
              <w:rPr>
                <w:sz w:val="20"/>
              </w:rPr>
            </w:pPr>
          </w:p>
        </w:tc>
        <w:tc>
          <w:tcPr>
            <w:tcW w:w="1012" w:type="dxa"/>
            <w:vAlign w:val="center"/>
          </w:tcPr>
          <w:p w14:paraId="248455F4"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03E22844" w14:textId="77777777" w:rsidR="009458E7" w:rsidRPr="00423ED7" w:rsidRDefault="009458E7" w:rsidP="00754DB7">
            <w:pPr>
              <w:jc w:val="center"/>
              <w:rPr>
                <w:sz w:val="20"/>
              </w:rPr>
            </w:pPr>
          </w:p>
        </w:tc>
        <w:tc>
          <w:tcPr>
            <w:tcW w:w="1012" w:type="dxa"/>
            <w:vAlign w:val="center"/>
          </w:tcPr>
          <w:p w14:paraId="162F7C24" w14:textId="77777777" w:rsidR="009458E7" w:rsidRPr="00423ED7" w:rsidRDefault="009458E7" w:rsidP="00754DB7">
            <w:pPr>
              <w:jc w:val="center"/>
              <w:rPr>
                <w:sz w:val="20"/>
              </w:rPr>
            </w:pPr>
            <w:r w:rsidRPr="00423ED7">
              <w:rPr>
                <w:sz w:val="20"/>
              </w:rPr>
              <w:sym w:font="Wingdings" w:char="F0FC"/>
            </w:r>
          </w:p>
        </w:tc>
      </w:tr>
      <w:tr w:rsidR="009458E7" w:rsidRPr="00423ED7" w14:paraId="12EFE895" w14:textId="77777777" w:rsidTr="00950807">
        <w:tc>
          <w:tcPr>
            <w:tcW w:w="3114" w:type="dxa"/>
            <w:vAlign w:val="center"/>
          </w:tcPr>
          <w:p w14:paraId="20D68DB4" w14:textId="77777777" w:rsidR="009458E7" w:rsidRPr="00423ED7" w:rsidRDefault="009458E7" w:rsidP="00754DB7">
            <w:pPr>
              <w:rPr>
                <w:sz w:val="20"/>
              </w:rPr>
            </w:pPr>
            <w:r w:rsidRPr="00423ED7">
              <w:rPr>
                <w:sz w:val="20"/>
              </w:rPr>
              <w:t>Diabetes-specific quality of life</w:t>
            </w:r>
          </w:p>
        </w:tc>
        <w:tc>
          <w:tcPr>
            <w:tcW w:w="4677" w:type="dxa"/>
          </w:tcPr>
          <w:p w14:paraId="620703B0" w14:textId="4B7F36ED" w:rsidR="009458E7" w:rsidRPr="00423ED7" w:rsidRDefault="009458E7" w:rsidP="00AE0CAF">
            <w:pPr>
              <w:rPr>
                <w:sz w:val="20"/>
              </w:rPr>
            </w:pPr>
            <w:r w:rsidRPr="00423ED7">
              <w:rPr>
                <w:sz w:val="20"/>
              </w:rPr>
              <w:t>D</w:t>
            </w:r>
            <w:r w:rsidR="00950807">
              <w:rPr>
                <w:sz w:val="20"/>
              </w:rPr>
              <w:t xml:space="preserve">awn </w:t>
            </w:r>
            <w:r w:rsidRPr="00423ED7">
              <w:rPr>
                <w:sz w:val="20"/>
              </w:rPr>
              <w:t>I</w:t>
            </w:r>
            <w:r w:rsidR="00950807">
              <w:rPr>
                <w:sz w:val="20"/>
              </w:rPr>
              <w:t xml:space="preserve">mpact of </w:t>
            </w:r>
            <w:r w:rsidRPr="00423ED7">
              <w:rPr>
                <w:sz w:val="20"/>
              </w:rPr>
              <w:t>D</w:t>
            </w:r>
            <w:r w:rsidR="00950807">
              <w:rPr>
                <w:sz w:val="20"/>
              </w:rPr>
              <w:t xml:space="preserve">iabetes </w:t>
            </w:r>
            <w:r w:rsidRPr="00423ED7">
              <w:rPr>
                <w:sz w:val="20"/>
              </w:rPr>
              <w:t>P</w:t>
            </w:r>
            <w:r w:rsidR="00950807">
              <w:rPr>
                <w:sz w:val="20"/>
              </w:rPr>
              <w:t>rofile (DIDP)</w:t>
            </w:r>
            <w:r w:rsidR="00B22284">
              <w:rPr>
                <w:sz w:val="20"/>
              </w:rPr>
              <w:fldChar w:fldCharType="begin" w:fldLock="1"/>
            </w:r>
            <w:r w:rsidR="005D7FBE">
              <w:rPr>
                <w:sz w:val="20"/>
              </w:rPr>
              <w:instrText>ADDIN CSL_CITATION {"citationItems":[{"id":"ITEM-1","itemData":{"DOI":"10.1111/j.1464-5491.2005.01644.x","ISSN":"0742-3071","PMID":"16176200","abstract":"AIMS To examine patient- and provider-reported psychosocial problems and barriers to effective self-care and resources for dealing with those barriers. METHODS Cross-sectional study using face-to-face or telephone interviews with diabetic patients and health-care providers in 13 countries in Asia, Australia, Europe and North America. Participants were randomly selected adults (n = 5104) with Type 1 or Type 2 diabetes, and providers (n = 3827), including primary care physicians, diabetes specialist physicians and nurses. RESULTS Regimen adherence was poor, especially for diet and exercise; provider estimates of patient self-care were lower than patient reports for all behaviours. Diabetes-related worries were common among patients, and providers generally recognized these worries. Many patients (41%) had poor psychological well-being. Providers reported that most patients had psychological problems that affected diabetes self-care, yet providers often reported they did not have the resources to manage these problems, and few patients (10%) reported receiving psychological treatment. CONCLUSIONS Psychosocial problems appear to be common among diabetic patients worldwide. Addressing these problems may improve diabetes outcomes, but providers often lack critical resources for doing so, particularly skill, time and adequate referral sources.","author":[{"dropping-particle":"","family":"Peyrot","given":"M.","non-dropping-particle":"","parse-names":false,"suffix":""},{"dropping-particle":"","family":"Rubin","given":"R. R.","non-dropping-particle":"","parse-names":false,"suffix":""},{"dropping-particle":"","family":"Lauritzen","given":"T.","non-dropping-particle":"","parse-names":false,"suffix":""},{"dropping-particle":"","family":"Snoek","given":"F. J.","non-dropping-particle":"","parse-names":false,"suffix":""},{"dropping-particle":"","family":"Matthews","given":"D. R.","non-dropping-particle":"","parse-names":false,"suffix":""},{"dropping-particle":"","family":"Skovlund","given":"S. E.","non-dropping-particle":"","parse-names":false,"suffix":""}],"container-title":"Diabetic Medicine","id":"ITEM-1","issue":"10","issued":{"date-parts":[["2005","10"]]},"page":"1379-1385","title":"Psychosocial problems and barriers to improved diabetes management: results of the Cross-National Diabetes Attitudes, Wishes and Needs (DAWN) Study","type":"article-journal","volume":"22"},"uris":["http://www.mendeley.com/documents/?uuid=d57deb6d-d3b2-3f25-8983-1c919a9ca1b8"]}],"mendeley":{"formattedCitation":"[35]","plainTextFormattedCitation":"[35]","previouslyFormattedCitation":"[36]"},"properties":{"noteIndex":0},"schema":"https://github.com/citation-style-language/schema/raw/master/csl-citation.json"}</w:instrText>
            </w:r>
            <w:r w:rsidR="00B22284">
              <w:rPr>
                <w:sz w:val="20"/>
              </w:rPr>
              <w:fldChar w:fldCharType="separate"/>
            </w:r>
            <w:r w:rsidR="005D7FBE" w:rsidRPr="005D7FBE">
              <w:rPr>
                <w:noProof/>
                <w:sz w:val="20"/>
              </w:rPr>
              <w:t>[35]</w:t>
            </w:r>
            <w:r w:rsidR="00B22284">
              <w:rPr>
                <w:sz w:val="20"/>
              </w:rPr>
              <w:fldChar w:fldCharType="end"/>
            </w:r>
            <w:r w:rsidR="00950807">
              <w:rPr>
                <w:sz w:val="20"/>
              </w:rPr>
              <w:t xml:space="preserve"> </w:t>
            </w:r>
          </w:p>
        </w:tc>
        <w:tc>
          <w:tcPr>
            <w:tcW w:w="1227" w:type="dxa"/>
            <w:tcBorders>
              <w:left w:val="double" w:sz="4" w:space="0" w:color="ED7D31"/>
              <w:right w:val="double" w:sz="4" w:space="0" w:color="ED7D31"/>
            </w:tcBorders>
            <w:vAlign w:val="center"/>
          </w:tcPr>
          <w:p w14:paraId="2D0E8EAA"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2283D9A4" w14:textId="77777777" w:rsidR="009458E7" w:rsidRPr="00423ED7" w:rsidRDefault="009458E7" w:rsidP="00754DB7">
            <w:pPr>
              <w:jc w:val="center"/>
              <w:rPr>
                <w:sz w:val="20"/>
              </w:rPr>
            </w:pPr>
          </w:p>
        </w:tc>
        <w:tc>
          <w:tcPr>
            <w:tcW w:w="1012" w:type="dxa"/>
            <w:tcBorders>
              <w:left w:val="double" w:sz="4" w:space="0" w:color="ED7D31"/>
            </w:tcBorders>
            <w:vAlign w:val="center"/>
          </w:tcPr>
          <w:p w14:paraId="37411FCD" w14:textId="77777777" w:rsidR="009458E7" w:rsidRPr="00423ED7" w:rsidRDefault="009458E7" w:rsidP="00754DB7">
            <w:pPr>
              <w:jc w:val="center"/>
              <w:rPr>
                <w:sz w:val="20"/>
              </w:rPr>
            </w:pPr>
          </w:p>
        </w:tc>
        <w:tc>
          <w:tcPr>
            <w:tcW w:w="1012" w:type="dxa"/>
            <w:vAlign w:val="center"/>
          </w:tcPr>
          <w:p w14:paraId="586DD04A"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07DC9867" w14:textId="77777777" w:rsidR="009458E7" w:rsidRPr="00423ED7" w:rsidRDefault="009458E7" w:rsidP="00754DB7">
            <w:pPr>
              <w:jc w:val="center"/>
              <w:rPr>
                <w:sz w:val="20"/>
              </w:rPr>
            </w:pPr>
          </w:p>
        </w:tc>
        <w:tc>
          <w:tcPr>
            <w:tcW w:w="1012" w:type="dxa"/>
            <w:vAlign w:val="center"/>
          </w:tcPr>
          <w:p w14:paraId="34CF6203" w14:textId="77777777" w:rsidR="009458E7" w:rsidRPr="00423ED7" w:rsidRDefault="009458E7" w:rsidP="00754DB7">
            <w:pPr>
              <w:jc w:val="center"/>
              <w:rPr>
                <w:sz w:val="20"/>
              </w:rPr>
            </w:pPr>
            <w:r w:rsidRPr="00423ED7">
              <w:rPr>
                <w:sz w:val="20"/>
              </w:rPr>
              <w:sym w:font="Wingdings" w:char="F0FC"/>
            </w:r>
          </w:p>
        </w:tc>
      </w:tr>
      <w:tr w:rsidR="009458E7" w:rsidRPr="00423ED7" w14:paraId="76F97288" w14:textId="77777777" w:rsidTr="00950807">
        <w:tc>
          <w:tcPr>
            <w:tcW w:w="3114" w:type="dxa"/>
            <w:vAlign w:val="center"/>
          </w:tcPr>
          <w:p w14:paraId="18BA474A" w14:textId="77777777" w:rsidR="009458E7" w:rsidRPr="00423ED7" w:rsidRDefault="009458E7" w:rsidP="00754DB7">
            <w:pPr>
              <w:rPr>
                <w:sz w:val="20"/>
              </w:rPr>
            </w:pPr>
            <w:r w:rsidRPr="00423ED7">
              <w:rPr>
                <w:sz w:val="20"/>
              </w:rPr>
              <w:t>Diabetes-specific positive well-being</w:t>
            </w:r>
          </w:p>
        </w:tc>
        <w:tc>
          <w:tcPr>
            <w:tcW w:w="4677" w:type="dxa"/>
          </w:tcPr>
          <w:p w14:paraId="3D4DAD56" w14:textId="4DCFC129" w:rsidR="009458E7" w:rsidRPr="00423ED7" w:rsidRDefault="00F80EC1" w:rsidP="00AE0CAF">
            <w:pPr>
              <w:rPr>
                <w:sz w:val="20"/>
              </w:rPr>
            </w:pPr>
            <w:r>
              <w:rPr>
                <w:sz w:val="20"/>
              </w:rPr>
              <w:t xml:space="preserve">4-item sub-scale of the </w:t>
            </w:r>
            <w:r w:rsidR="00950807">
              <w:rPr>
                <w:sz w:val="20"/>
              </w:rPr>
              <w:t>Well Being Questionnaire (</w:t>
            </w:r>
            <w:r w:rsidR="009458E7" w:rsidRPr="00423ED7">
              <w:rPr>
                <w:sz w:val="20"/>
              </w:rPr>
              <w:t>W-BQ28</w:t>
            </w:r>
            <w:r w:rsidR="00950807">
              <w:rPr>
                <w:sz w:val="20"/>
              </w:rPr>
              <w:t>)</w:t>
            </w:r>
            <w:r w:rsidR="00B22284">
              <w:rPr>
                <w:sz w:val="20"/>
              </w:rPr>
              <w:fldChar w:fldCharType="begin" w:fldLock="1"/>
            </w:r>
            <w:r w:rsidR="005D7FBE">
              <w:rPr>
                <w:sz w:val="20"/>
              </w:rPr>
              <w:instrText>ADDIN CSL_CITATION {"citationItems":[{"id":"ITEM-1","itemData":{"author":[{"dropping-particle":"","family":"Speight, J, Barendse, S, Bradley","given":"C","non-dropping-particle":"","parse-names":false,"suffix":""}],"container-title":"British Psychological Society, Division of Health Psychology","id":"ITEM-1","issued":{"date-parts":[["1999"]]},"publisher-place":"Leeds","title":"The W-BQ28: further development of the well-being Questionnaire to include diabetes-specific as well as generic subscales and new stress subscales","type":"paper-conference"},"uris":["http://www.mendeley.com/documents/?uuid=6651bc0c-a314-4410-8afc-e7aa34bbffc3"]}],"mendeley":{"formattedCitation":"[36]","plainTextFormattedCitation":"[36]","previouslyFormattedCitation":"[37]"},"properties":{"noteIndex":0},"schema":"https://github.com/citation-style-language/schema/raw/master/csl-citation.json"}</w:instrText>
            </w:r>
            <w:r w:rsidR="00B22284">
              <w:rPr>
                <w:sz w:val="20"/>
              </w:rPr>
              <w:fldChar w:fldCharType="separate"/>
            </w:r>
            <w:r w:rsidR="005D7FBE" w:rsidRPr="005D7FBE">
              <w:rPr>
                <w:noProof/>
                <w:sz w:val="20"/>
              </w:rPr>
              <w:t>[36]</w:t>
            </w:r>
            <w:r w:rsidR="00B22284">
              <w:rPr>
                <w:sz w:val="20"/>
              </w:rPr>
              <w:fldChar w:fldCharType="end"/>
            </w:r>
          </w:p>
        </w:tc>
        <w:tc>
          <w:tcPr>
            <w:tcW w:w="1227" w:type="dxa"/>
            <w:tcBorders>
              <w:left w:val="double" w:sz="4" w:space="0" w:color="ED7D31"/>
              <w:right w:val="double" w:sz="4" w:space="0" w:color="ED7D31"/>
            </w:tcBorders>
            <w:vAlign w:val="center"/>
          </w:tcPr>
          <w:p w14:paraId="52AC1B1F"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2F994749" w14:textId="77777777" w:rsidR="009458E7" w:rsidRPr="00423ED7" w:rsidRDefault="009458E7" w:rsidP="00754DB7">
            <w:pPr>
              <w:jc w:val="center"/>
              <w:rPr>
                <w:sz w:val="20"/>
              </w:rPr>
            </w:pPr>
          </w:p>
        </w:tc>
        <w:tc>
          <w:tcPr>
            <w:tcW w:w="1012" w:type="dxa"/>
            <w:tcBorders>
              <w:left w:val="double" w:sz="4" w:space="0" w:color="ED7D31"/>
            </w:tcBorders>
            <w:vAlign w:val="center"/>
          </w:tcPr>
          <w:p w14:paraId="265078E3" w14:textId="77777777" w:rsidR="009458E7" w:rsidRPr="00423ED7" w:rsidRDefault="009458E7" w:rsidP="00754DB7">
            <w:pPr>
              <w:jc w:val="center"/>
              <w:rPr>
                <w:sz w:val="20"/>
              </w:rPr>
            </w:pPr>
          </w:p>
        </w:tc>
        <w:tc>
          <w:tcPr>
            <w:tcW w:w="1012" w:type="dxa"/>
            <w:vAlign w:val="center"/>
          </w:tcPr>
          <w:p w14:paraId="783A6D3C"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747D8FA7" w14:textId="77777777" w:rsidR="009458E7" w:rsidRPr="00423ED7" w:rsidRDefault="009458E7" w:rsidP="00754DB7">
            <w:pPr>
              <w:jc w:val="center"/>
              <w:rPr>
                <w:sz w:val="20"/>
              </w:rPr>
            </w:pPr>
          </w:p>
        </w:tc>
        <w:tc>
          <w:tcPr>
            <w:tcW w:w="1012" w:type="dxa"/>
            <w:vAlign w:val="center"/>
          </w:tcPr>
          <w:p w14:paraId="0FFCF96D" w14:textId="77777777" w:rsidR="009458E7" w:rsidRPr="00423ED7" w:rsidRDefault="009458E7" w:rsidP="00754DB7">
            <w:pPr>
              <w:jc w:val="center"/>
              <w:rPr>
                <w:sz w:val="20"/>
              </w:rPr>
            </w:pPr>
            <w:r w:rsidRPr="00423ED7">
              <w:rPr>
                <w:sz w:val="20"/>
              </w:rPr>
              <w:sym w:font="Wingdings" w:char="F0FC"/>
            </w:r>
          </w:p>
        </w:tc>
      </w:tr>
      <w:tr w:rsidR="009458E7" w:rsidRPr="00423ED7" w14:paraId="57087EAF" w14:textId="77777777" w:rsidTr="00950807">
        <w:tc>
          <w:tcPr>
            <w:tcW w:w="3114" w:type="dxa"/>
            <w:vAlign w:val="center"/>
          </w:tcPr>
          <w:p w14:paraId="5AABC47D" w14:textId="77777777" w:rsidR="009458E7" w:rsidRPr="00423ED7" w:rsidRDefault="009458E7" w:rsidP="00754DB7">
            <w:pPr>
              <w:rPr>
                <w:sz w:val="20"/>
              </w:rPr>
            </w:pPr>
            <w:r w:rsidRPr="00423ED7">
              <w:rPr>
                <w:sz w:val="20"/>
              </w:rPr>
              <w:t>Fear of hypoglycaemia</w:t>
            </w:r>
          </w:p>
        </w:tc>
        <w:tc>
          <w:tcPr>
            <w:tcW w:w="4677" w:type="dxa"/>
          </w:tcPr>
          <w:p w14:paraId="0A9DDDA2" w14:textId="34D50DEB" w:rsidR="009458E7" w:rsidRPr="00423ED7" w:rsidRDefault="009458E7" w:rsidP="001E4FC0">
            <w:pPr>
              <w:rPr>
                <w:sz w:val="20"/>
              </w:rPr>
            </w:pPr>
            <w:r w:rsidRPr="00423ED7">
              <w:rPr>
                <w:sz w:val="20"/>
              </w:rPr>
              <w:t>H</w:t>
            </w:r>
            <w:r w:rsidR="00950807">
              <w:rPr>
                <w:sz w:val="20"/>
              </w:rPr>
              <w:t xml:space="preserve">ypoglycaemia </w:t>
            </w:r>
            <w:r w:rsidRPr="00423ED7">
              <w:rPr>
                <w:sz w:val="20"/>
              </w:rPr>
              <w:t>F</w:t>
            </w:r>
            <w:r w:rsidR="00950807">
              <w:rPr>
                <w:sz w:val="20"/>
              </w:rPr>
              <w:t xml:space="preserve">ear </w:t>
            </w:r>
            <w:r w:rsidRPr="00423ED7">
              <w:rPr>
                <w:sz w:val="20"/>
              </w:rPr>
              <w:t>S</w:t>
            </w:r>
            <w:r w:rsidR="00950807">
              <w:rPr>
                <w:sz w:val="20"/>
              </w:rPr>
              <w:t>urvey</w:t>
            </w:r>
            <w:r w:rsidRPr="00423ED7">
              <w:rPr>
                <w:sz w:val="20"/>
              </w:rPr>
              <w:t>-11 (</w:t>
            </w:r>
            <w:r w:rsidR="00950807">
              <w:rPr>
                <w:sz w:val="20"/>
              </w:rPr>
              <w:t xml:space="preserve">HFS-11) </w:t>
            </w:r>
            <w:r w:rsidRPr="00423ED7">
              <w:rPr>
                <w:sz w:val="20"/>
              </w:rPr>
              <w:t>short-form)</w:t>
            </w:r>
            <w:r w:rsidR="00B22284">
              <w:rPr>
                <w:sz w:val="20"/>
              </w:rPr>
              <w:fldChar w:fldCharType="begin" w:fldLock="1"/>
            </w:r>
            <w:r w:rsidR="005D7FBE">
              <w:rPr>
                <w:sz w:val="20"/>
              </w:rPr>
              <w:instrText>ADDIN CSL_CITATION {"citationItems":[{"id":"ITEM-1","itemData":{"DOI":"10.2337/diacare.10.5.617","ISSN":"01495992","PMID":"3677982","abstract":"Hypoglycemia can lead to various aversive symptomatic, affective, cognitive, physiological, and social consequences, which in turn can lead to the development of possible phobic avoidance behaviors associated with hypoglycemia. On the other hand, some patients may inappropriately deny or disregard warning signs of hypoglycemia. This study presents preliminary reliability and validity data on a psychometric instrument designed to quantify this fear: the hypoglycemic fear survey. The instrument was found to have internal consistency and test-retest stability, to covary with elevated glycosylated hemoglobin, and to be sensitive to a behavioral treatment program designed to increase awareness of hypoglycemia.","author":[{"dropping-particle":"","family":"Cox","given":"D. J.","non-dropping-particle":"","parse-names":false,"suffix":""},{"dropping-particle":"","family":"Irvine","given":"A.","non-dropping-particle":"","parse-names":false,"suffix":""},{"dropping-particle":"","family":"Gonder-Frederick","given":"L.","non-dropping-particle":"","parse-names":false,"suffix":""},{"dropping-particle":"","family":"Nowacek","given":"G.","non-dropping-particle":"","parse-names":false,"suffix":""},{"dropping-particle":"","family":"Butterfield","given":"J.","non-dropping-particle":"","parse-names":false,"suffix":""}],"container-title":"Diabetes Care","id":"ITEM-1","issue":"5","issued":{"date-parts":[["1987"]]},"page":"617-621","title":"Fear of hypoglycemia: Quantification, validation, and utilization","type":"article-journal","volume":"10"},"uris":["http://www.mendeley.com/documents/?uuid=72936d2b-d5ea-3322-8f70-883c8664ac4c"]}],"mendeley":{"formattedCitation":"[37]","plainTextFormattedCitation":"[37]","previouslyFormattedCitation":"[38]"},"properties":{"noteIndex":0},"schema":"https://github.com/citation-style-language/schema/raw/master/csl-citation.json"}</w:instrText>
            </w:r>
            <w:r w:rsidR="00B22284">
              <w:rPr>
                <w:sz w:val="20"/>
              </w:rPr>
              <w:fldChar w:fldCharType="separate"/>
            </w:r>
            <w:r w:rsidR="005D7FBE" w:rsidRPr="005D7FBE">
              <w:rPr>
                <w:noProof/>
                <w:sz w:val="20"/>
              </w:rPr>
              <w:t>[37]</w:t>
            </w:r>
            <w:r w:rsidR="00B22284">
              <w:rPr>
                <w:sz w:val="20"/>
              </w:rPr>
              <w:fldChar w:fldCharType="end"/>
            </w:r>
          </w:p>
        </w:tc>
        <w:tc>
          <w:tcPr>
            <w:tcW w:w="1227" w:type="dxa"/>
            <w:tcBorders>
              <w:left w:val="double" w:sz="4" w:space="0" w:color="ED7D31"/>
              <w:right w:val="double" w:sz="4" w:space="0" w:color="ED7D31"/>
            </w:tcBorders>
            <w:vAlign w:val="center"/>
          </w:tcPr>
          <w:p w14:paraId="3ADC5263"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31516101" w14:textId="77777777" w:rsidR="009458E7" w:rsidRPr="00423ED7" w:rsidRDefault="009458E7" w:rsidP="00754DB7">
            <w:pPr>
              <w:jc w:val="center"/>
              <w:rPr>
                <w:sz w:val="20"/>
              </w:rPr>
            </w:pPr>
          </w:p>
        </w:tc>
        <w:tc>
          <w:tcPr>
            <w:tcW w:w="1012" w:type="dxa"/>
            <w:tcBorders>
              <w:left w:val="double" w:sz="4" w:space="0" w:color="ED7D31"/>
            </w:tcBorders>
            <w:vAlign w:val="center"/>
          </w:tcPr>
          <w:p w14:paraId="1A033051" w14:textId="77777777" w:rsidR="009458E7" w:rsidRPr="00423ED7" w:rsidRDefault="009458E7" w:rsidP="00754DB7">
            <w:pPr>
              <w:jc w:val="center"/>
              <w:rPr>
                <w:sz w:val="20"/>
              </w:rPr>
            </w:pPr>
          </w:p>
        </w:tc>
        <w:tc>
          <w:tcPr>
            <w:tcW w:w="1012" w:type="dxa"/>
            <w:vAlign w:val="center"/>
          </w:tcPr>
          <w:p w14:paraId="07615BCF"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3D0BD982" w14:textId="77777777" w:rsidR="009458E7" w:rsidRPr="00423ED7" w:rsidRDefault="009458E7" w:rsidP="00754DB7">
            <w:pPr>
              <w:jc w:val="center"/>
              <w:rPr>
                <w:sz w:val="20"/>
              </w:rPr>
            </w:pPr>
          </w:p>
        </w:tc>
        <w:tc>
          <w:tcPr>
            <w:tcW w:w="1012" w:type="dxa"/>
            <w:vAlign w:val="center"/>
          </w:tcPr>
          <w:p w14:paraId="0AA42ABE" w14:textId="77777777" w:rsidR="009458E7" w:rsidRPr="00423ED7" w:rsidRDefault="009458E7" w:rsidP="00754DB7">
            <w:pPr>
              <w:jc w:val="center"/>
              <w:rPr>
                <w:sz w:val="20"/>
              </w:rPr>
            </w:pPr>
            <w:r w:rsidRPr="00423ED7">
              <w:rPr>
                <w:sz w:val="20"/>
              </w:rPr>
              <w:sym w:font="Wingdings" w:char="F0FC"/>
            </w:r>
          </w:p>
        </w:tc>
      </w:tr>
      <w:tr w:rsidR="009458E7" w:rsidRPr="00423ED7" w14:paraId="0A5EE397" w14:textId="77777777" w:rsidTr="00950807">
        <w:tc>
          <w:tcPr>
            <w:tcW w:w="3114" w:type="dxa"/>
            <w:vAlign w:val="center"/>
          </w:tcPr>
          <w:p w14:paraId="7BF0DA3C" w14:textId="77777777" w:rsidR="009458E7" w:rsidRPr="00423ED7" w:rsidRDefault="009458E7" w:rsidP="00754DB7">
            <w:pPr>
              <w:rPr>
                <w:sz w:val="20"/>
              </w:rPr>
            </w:pPr>
            <w:r w:rsidRPr="00423ED7">
              <w:rPr>
                <w:sz w:val="20"/>
              </w:rPr>
              <w:t>Health status</w:t>
            </w:r>
          </w:p>
        </w:tc>
        <w:tc>
          <w:tcPr>
            <w:tcW w:w="4677" w:type="dxa"/>
          </w:tcPr>
          <w:p w14:paraId="61F127C1" w14:textId="4FAB3576" w:rsidR="009458E7" w:rsidRPr="00423ED7" w:rsidRDefault="00BB2492" w:rsidP="00AE0CAF">
            <w:pPr>
              <w:rPr>
                <w:sz w:val="20"/>
              </w:rPr>
            </w:pPr>
            <w:r>
              <w:rPr>
                <w:sz w:val="20"/>
              </w:rPr>
              <w:t>Health and Self-Management in Diabetes (</w:t>
            </w:r>
            <w:r w:rsidR="009458E7" w:rsidRPr="00423ED7">
              <w:rPr>
                <w:sz w:val="20"/>
              </w:rPr>
              <w:t>HASMID</w:t>
            </w:r>
            <w:r>
              <w:rPr>
                <w:sz w:val="20"/>
              </w:rPr>
              <w:t>)</w:t>
            </w:r>
            <w:r w:rsidR="00B22284">
              <w:rPr>
                <w:sz w:val="20"/>
              </w:rPr>
              <w:fldChar w:fldCharType="begin" w:fldLock="1"/>
            </w:r>
            <w:r w:rsidR="005D7FBE">
              <w:rPr>
                <w:sz w:val="20"/>
              </w:rPr>
              <w:instrText>ADDIN CSL_CITATION {"citationItems":[{"id":"ITEM-1","itemData":{"DOI":"10.1186/s12955-017-0719-4","ISSN":"1477-7525","abstract":"The prevalence of diabetes mellitus (DM) is increasing dramatically, placing considerable financial burden on the healthcare budget of each country. Patient self-management is crucial for the control of blood glucose, which largely determines the chances of developing diabetes-related complications. Self-management interventions vary widely, and a method is required for assessing the impact of self-management. This paper describes the development of a questionnaire intended for use to measure the impact of self-management in diabetes. An iterative development process was undertaken to identify the attributes of self-management using 5 steps. First, a literature review was undertaken to identify and understand themes relating to self-management of DM to inform a topic guide. Second, the topic guide was further refined following consultation with a Patient and Public Involvement group. Third, the topic guide was used to inform semi-structured interviews with patients with Type 1 DM (T1DM) and Type 2 DM (T2DM) to identify how self-management of DM affects individuals. Fourth, the research team considered potential attributes alongside health attributes from an existing measure (Diabetes Health Profile, DHP) to produce an instrument reflecting both health and self-management outcomes simultaneously. Finally, a draft instrument was tested in a focus group to determine the wording and acceptability. Semi-structured interviews were carried out with 32 patients with T1DM and T2DM. Eight potential attributes were identified: fear/worry/anxiety, guilt, stress, stigma, hassle, control, freedom, and feeling supported. Four of these self-management attributes were selected with four health attributes (mood, worry about hypos (hypoglycaemic episodes), vitality and social limitations) to produce the Health and Self-Management in Diabetes (HASMIDv1) questionnaire. HASMIDv1 is a short questionnaire that contains eight items each with four response levels to measure the impact of self-management in diabetes for both T1DM and T2DM. The measure was developed using a mixed-methods approach that involved semi-structured interviews with people with diabetes. The measure has high face validity. Ongoing research is being undertaken to assess the validity of this questionnaire for measuring the impact of self-management interventions in economic evaluation.","author":[{"dropping-particle":"","family":"Carlton","given":"J.","non-dropping-particle":"","parse-names":false,"suffix":""},{"dropping-particle":"","family":"Elliott","given":"J.","non-dropping-particle":"","parse-names":false,"suffix":""},{"dropping-particle":"","family":"Rowen","given":"D.","non-dropping-particle":"","parse-names":false,"suffix":""},{"dropping-particle":"","family":"Stevens","given":"K.","non-dropping-particle":"","parse-names":false,"suffix":""},{"dropping-particle":"","family":"Basarir","given":"H.","non-dropping-particle":"","parse-names":false,"suffix":""},{"dropping-particle":"","family":"Meadows","given":"K.","non-dropping-particle":"","parse-names":false,"suffix":""},{"dropping-particle":"","family":"Brazier","given":"J.","non-dropping-particle":"","parse-names":false,"suffix":""}],"container-title":"Health and Quality of Life Outcomes","id":"ITEM-1","issue":"1","issued":{"date-parts":[["2017","12","18"]]},"page":"146","publisher":"BioMed Central","title":"Developing a questionnaire to determine the impact of self-management in diabetes: giving people with diabetes a voice","type":"article-journal","volume":"15"},"uris":["http://www.mendeley.com/documents/?uuid=fc38d85c-f538-3a15-9cdf-46bc22410b43"]}],"mendeley":{"formattedCitation":"[38]","plainTextFormattedCitation":"[38]","previouslyFormattedCitation":"[39]"},"properties":{"noteIndex":0},"schema":"https://github.com/citation-style-language/schema/raw/master/csl-citation.json"}</w:instrText>
            </w:r>
            <w:r w:rsidR="00B22284">
              <w:rPr>
                <w:sz w:val="20"/>
              </w:rPr>
              <w:fldChar w:fldCharType="separate"/>
            </w:r>
            <w:r w:rsidR="005D7FBE" w:rsidRPr="005D7FBE">
              <w:rPr>
                <w:noProof/>
                <w:sz w:val="20"/>
              </w:rPr>
              <w:t>[38]</w:t>
            </w:r>
            <w:r w:rsidR="00B22284">
              <w:rPr>
                <w:sz w:val="20"/>
              </w:rPr>
              <w:fldChar w:fldCharType="end"/>
            </w:r>
            <w:r>
              <w:rPr>
                <w:sz w:val="20"/>
              </w:rPr>
              <w:t xml:space="preserve"> </w:t>
            </w:r>
          </w:p>
        </w:tc>
        <w:tc>
          <w:tcPr>
            <w:tcW w:w="1227" w:type="dxa"/>
            <w:tcBorders>
              <w:left w:val="double" w:sz="4" w:space="0" w:color="ED7D31"/>
              <w:right w:val="double" w:sz="4" w:space="0" w:color="ED7D31"/>
            </w:tcBorders>
            <w:vAlign w:val="center"/>
          </w:tcPr>
          <w:p w14:paraId="3A649CC6"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40DF1F30" w14:textId="77777777" w:rsidR="009458E7" w:rsidRPr="00423ED7" w:rsidDel="0086437A" w:rsidRDefault="009458E7" w:rsidP="00754DB7">
            <w:pPr>
              <w:jc w:val="center"/>
              <w:rPr>
                <w:sz w:val="20"/>
              </w:rPr>
            </w:pPr>
          </w:p>
        </w:tc>
        <w:tc>
          <w:tcPr>
            <w:tcW w:w="1012" w:type="dxa"/>
            <w:tcBorders>
              <w:left w:val="double" w:sz="4" w:space="0" w:color="ED7D31"/>
            </w:tcBorders>
            <w:vAlign w:val="center"/>
          </w:tcPr>
          <w:p w14:paraId="4ABC4450" w14:textId="77777777" w:rsidR="009458E7" w:rsidRPr="00423ED7" w:rsidRDefault="009458E7" w:rsidP="00754DB7">
            <w:pPr>
              <w:jc w:val="center"/>
              <w:rPr>
                <w:sz w:val="20"/>
              </w:rPr>
            </w:pPr>
          </w:p>
        </w:tc>
        <w:tc>
          <w:tcPr>
            <w:tcW w:w="1012" w:type="dxa"/>
            <w:vAlign w:val="center"/>
          </w:tcPr>
          <w:p w14:paraId="33957CAB"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08DC6A2A" w14:textId="77777777" w:rsidR="009458E7" w:rsidRPr="00423ED7" w:rsidRDefault="009458E7" w:rsidP="00754DB7">
            <w:pPr>
              <w:jc w:val="center"/>
              <w:rPr>
                <w:sz w:val="20"/>
              </w:rPr>
            </w:pPr>
          </w:p>
        </w:tc>
        <w:tc>
          <w:tcPr>
            <w:tcW w:w="1012" w:type="dxa"/>
            <w:vAlign w:val="center"/>
          </w:tcPr>
          <w:p w14:paraId="0AE19006" w14:textId="77777777" w:rsidR="009458E7" w:rsidRPr="00423ED7" w:rsidRDefault="009458E7" w:rsidP="00754DB7">
            <w:pPr>
              <w:jc w:val="center"/>
              <w:rPr>
                <w:sz w:val="20"/>
              </w:rPr>
            </w:pPr>
            <w:r w:rsidRPr="00423ED7">
              <w:rPr>
                <w:sz w:val="20"/>
              </w:rPr>
              <w:sym w:font="Wingdings" w:char="F0FC"/>
            </w:r>
          </w:p>
        </w:tc>
      </w:tr>
      <w:tr w:rsidR="009458E7" w:rsidRPr="00423ED7" w14:paraId="2880267D" w14:textId="77777777" w:rsidTr="00950807">
        <w:tc>
          <w:tcPr>
            <w:tcW w:w="3114" w:type="dxa"/>
            <w:vAlign w:val="center"/>
          </w:tcPr>
          <w:p w14:paraId="754DCE2D" w14:textId="77777777" w:rsidR="009458E7" w:rsidRPr="00423ED7" w:rsidRDefault="009458E7" w:rsidP="00754DB7">
            <w:pPr>
              <w:rPr>
                <w:sz w:val="20"/>
              </w:rPr>
            </w:pPr>
            <w:r w:rsidRPr="00423ED7">
              <w:rPr>
                <w:sz w:val="20"/>
              </w:rPr>
              <w:t xml:space="preserve">Health status </w:t>
            </w:r>
          </w:p>
        </w:tc>
        <w:tc>
          <w:tcPr>
            <w:tcW w:w="4677" w:type="dxa"/>
          </w:tcPr>
          <w:p w14:paraId="44EB88A3" w14:textId="066DFD82" w:rsidR="009458E7" w:rsidRPr="00FE6B00" w:rsidRDefault="009458E7" w:rsidP="00AE0CAF">
            <w:pPr>
              <w:rPr>
                <w:color w:val="000000" w:themeColor="text1"/>
                <w:sz w:val="20"/>
                <w:highlight w:val="yellow"/>
              </w:rPr>
            </w:pPr>
            <w:r w:rsidRPr="002F72F5">
              <w:rPr>
                <w:color w:val="000000" w:themeColor="text1"/>
                <w:sz w:val="20"/>
              </w:rPr>
              <w:t>EQ-5D</w:t>
            </w:r>
            <w:r w:rsidR="00F80EC1">
              <w:rPr>
                <w:color w:val="000000" w:themeColor="text1"/>
                <w:sz w:val="20"/>
              </w:rPr>
              <w:t>-5</w:t>
            </w:r>
            <w:r w:rsidRPr="002F72F5">
              <w:rPr>
                <w:color w:val="000000" w:themeColor="text1"/>
                <w:sz w:val="20"/>
              </w:rPr>
              <w:t>L</w:t>
            </w:r>
            <w:r w:rsidR="00B22284">
              <w:rPr>
                <w:color w:val="000000" w:themeColor="text1"/>
                <w:sz w:val="20"/>
              </w:rPr>
              <w:fldChar w:fldCharType="begin" w:fldLock="1"/>
            </w:r>
            <w:r w:rsidR="005D7FBE">
              <w:rPr>
                <w:color w:val="000000" w:themeColor="text1"/>
                <w:sz w:val="20"/>
              </w:rPr>
              <w:instrText>ADDIN CSL_CITATION {"citationItems":[{"id":"ITEM-1","itemData":{"DOI":"10.1007/s11136-011-9903-x","ISSN":"0962-9343","PMID":"21479777","abstract":"PURPOSE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Research","id":"ITEM-1","issue":"10","issued":{"date-parts":[["2011","12","9"]]},"page":"1727-1736","title":"Development and preliminary testing of the new five-level version of EQ-5D (EQ-5D-5L)","type":"article-journal","volume":"20"},"uris":["http://www.mendeley.com/documents/?uuid=9324ffcf-c58f-3452-9912-1900fc0babd7"]}],"mendeley":{"formattedCitation":"[39]","plainTextFormattedCitation":"[39]","previouslyFormattedCitation":"[40]"},"properties":{"noteIndex":0},"schema":"https://github.com/citation-style-language/schema/raw/master/csl-citation.json"}</w:instrText>
            </w:r>
            <w:r w:rsidR="00B22284">
              <w:rPr>
                <w:color w:val="000000" w:themeColor="text1"/>
                <w:sz w:val="20"/>
              </w:rPr>
              <w:fldChar w:fldCharType="separate"/>
            </w:r>
            <w:r w:rsidR="005D7FBE" w:rsidRPr="005D7FBE">
              <w:rPr>
                <w:noProof/>
                <w:color w:val="000000" w:themeColor="text1"/>
                <w:sz w:val="20"/>
              </w:rPr>
              <w:t>[39]</w:t>
            </w:r>
            <w:r w:rsidR="00B22284">
              <w:rPr>
                <w:color w:val="000000" w:themeColor="text1"/>
                <w:sz w:val="20"/>
              </w:rPr>
              <w:fldChar w:fldCharType="end"/>
            </w:r>
            <w:r w:rsidRPr="002F72F5">
              <w:rPr>
                <w:color w:val="000000" w:themeColor="text1"/>
                <w:sz w:val="20"/>
              </w:rPr>
              <w:t xml:space="preserve"> </w:t>
            </w:r>
          </w:p>
        </w:tc>
        <w:tc>
          <w:tcPr>
            <w:tcW w:w="1227" w:type="dxa"/>
            <w:tcBorders>
              <w:left w:val="double" w:sz="4" w:space="0" w:color="ED7D31"/>
              <w:right w:val="double" w:sz="4" w:space="0" w:color="ED7D31"/>
            </w:tcBorders>
            <w:vAlign w:val="center"/>
          </w:tcPr>
          <w:p w14:paraId="77EF83F6"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3AA67A1D" w14:textId="77777777" w:rsidR="009458E7" w:rsidRPr="00423ED7" w:rsidRDefault="009458E7" w:rsidP="00754DB7">
            <w:pPr>
              <w:jc w:val="center"/>
              <w:rPr>
                <w:sz w:val="20"/>
              </w:rPr>
            </w:pPr>
          </w:p>
        </w:tc>
        <w:tc>
          <w:tcPr>
            <w:tcW w:w="1012" w:type="dxa"/>
            <w:tcBorders>
              <w:left w:val="double" w:sz="4" w:space="0" w:color="ED7D31"/>
            </w:tcBorders>
            <w:vAlign w:val="center"/>
          </w:tcPr>
          <w:p w14:paraId="1FA78D38" w14:textId="77777777" w:rsidR="009458E7" w:rsidRPr="00423ED7" w:rsidRDefault="009458E7" w:rsidP="00754DB7">
            <w:pPr>
              <w:jc w:val="center"/>
              <w:rPr>
                <w:sz w:val="20"/>
              </w:rPr>
            </w:pPr>
          </w:p>
        </w:tc>
        <w:tc>
          <w:tcPr>
            <w:tcW w:w="1012" w:type="dxa"/>
            <w:vAlign w:val="center"/>
          </w:tcPr>
          <w:p w14:paraId="79E15948"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552B2B59" w14:textId="77777777" w:rsidR="009458E7" w:rsidRPr="00423ED7" w:rsidRDefault="009458E7" w:rsidP="00754DB7">
            <w:pPr>
              <w:jc w:val="center"/>
              <w:rPr>
                <w:sz w:val="20"/>
              </w:rPr>
            </w:pPr>
          </w:p>
        </w:tc>
        <w:tc>
          <w:tcPr>
            <w:tcW w:w="1012" w:type="dxa"/>
            <w:vAlign w:val="center"/>
          </w:tcPr>
          <w:p w14:paraId="742AC979" w14:textId="77777777" w:rsidR="009458E7" w:rsidRPr="00423ED7" w:rsidRDefault="009458E7" w:rsidP="00754DB7">
            <w:pPr>
              <w:jc w:val="center"/>
              <w:rPr>
                <w:sz w:val="20"/>
              </w:rPr>
            </w:pPr>
            <w:r w:rsidRPr="00423ED7">
              <w:rPr>
                <w:sz w:val="20"/>
              </w:rPr>
              <w:sym w:font="Wingdings" w:char="F0FC"/>
            </w:r>
          </w:p>
        </w:tc>
      </w:tr>
      <w:tr w:rsidR="009458E7" w:rsidRPr="00423ED7" w14:paraId="3066C36F" w14:textId="77777777" w:rsidTr="00950807">
        <w:tc>
          <w:tcPr>
            <w:tcW w:w="3114" w:type="dxa"/>
            <w:vAlign w:val="center"/>
          </w:tcPr>
          <w:p w14:paraId="575142E1" w14:textId="77777777" w:rsidR="009458E7" w:rsidRPr="00423ED7" w:rsidRDefault="009458E7" w:rsidP="00754DB7">
            <w:pPr>
              <w:rPr>
                <w:sz w:val="20"/>
              </w:rPr>
            </w:pPr>
            <w:r w:rsidRPr="00423ED7">
              <w:rPr>
                <w:sz w:val="20"/>
              </w:rPr>
              <w:t>Healthcare utilisation</w:t>
            </w:r>
          </w:p>
        </w:tc>
        <w:tc>
          <w:tcPr>
            <w:tcW w:w="4677" w:type="dxa"/>
          </w:tcPr>
          <w:p w14:paraId="637F97CA" w14:textId="77777777" w:rsidR="009458E7" w:rsidRPr="00423ED7" w:rsidRDefault="009458E7" w:rsidP="00754DB7">
            <w:pPr>
              <w:rPr>
                <w:sz w:val="20"/>
              </w:rPr>
            </w:pPr>
            <w:r w:rsidRPr="00423ED7">
              <w:rPr>
                <w:sz w:val="20"/>
              </w:rPr>
              <w:t xml:space="preserve">Individual items </w:t>
            </w:r>
          </w:p>
        </w:tc>
        <w:tc>
          <w:tcPr>
            <w:tcW w:w="1227" w:type="dxa"/>
            <w:tcBorders>
              <w:left w:val="double" w:sz="4" w:space="0" w:color="ED7D31"/>
              <w:right w:val="double" w:sz="4" w:space="0" w:color="ED7D31"/>
            </w:tcBorders>
            <w:vAlign w:val="center"/>
          </w:tcPr>
          <w:p w14:paraId="5D46D441"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0149A68C" w14:textId="77777777" w:rsidR="009458E7" w:rsidRPr="00423ED7" w:rsidRDefault="009458E7" w:rsidP="00754DB7">
            <w:pPr>
              <w:jc w:val="center"/>
              <w:rPr>
                <w:sz w:val="20"/>
              </w:rPr>
            </w:pPr>
          </w:p>
        </w:tc>
        <w:tc>
          <w:tcPr>
            <w:tcW w:w="1012" w:type="dxa"/>
            <w:tcBorders>
              <w:left w:val="double" w:sz="4" w:space="0" w:color="ED7D31"/>
            </w:tcBorders>
            <w:vAlign w:val="center"/>
          </w:tcPr>
          <w:p w14:paraId="0186EFAD" w14:textId="77777777" w:rsidR="009458E7" w:rsidRPr="00423ED7" w:rsidRDefault="009458E7" w:rsidP="00754DB7">
            <w:pPr>
              <w:jc w:val="center"/>
              <w:rPr>
                <w:sz w:val="20"/>
              </w:rPr>
            </w:pPr>
          </w:p>
        </w:tc>
        <w:tc>
          <w:tcPr>
            <w:tcW w:w="1012" w:type="dxa"/>
            <w:vAlign w:val="center"/>
          </w:tcPr>
          <w:p w14:paraId="30A576C6" w14:textId="77777777" w:rsidR="009458E7" w:rsidRPr="00423ED7" w:rsidRDefault="009458E7" w:rsidP="00754DB7">
            <w:pPr>
              <w:jc w:val="center"/>
              <w:rPr>
                <w:sz w:val="20"/>
              </w:rPr>
            </w:pPr>
            <w:r w:rsidRPr="00423ED7">
              <w:rPr>
                <w:sz w:val="20"/>
              </w:rPr>
              <w:sym w:font="Wingdings" w:char="F0FC"/>
            </w:r>
          </w:p>
        </w:tc>
        <w:tc>
          <w:tcPr>
            <w:tcW w:w="1013" w:type="dxa"/>
            <w:vAlign w:val="center"/>
          </w:tcPr>
          <w:p w14:paraId="56CA4E60" w14:textId="77777777" w:rsidR="009458E7" w:rsidRPr="00423ED7" w:rsidRDefault="009458E7" w:rsidP="00754DB7">
            <w:pPr>
              <w:jc w:val="center"/>
              <w:rPr>
                <w:sz w:val="20"/>
              </w:rPr>
            </w:pPr>
          </w:p>
        </w:tc>
        <w:tc>
          <w:tcPr>
            <w:tcW w:w="1012" w:type="dxa"/>
            <w:vAlign w:val="center"/>
          </w:tcPr>
          <w:p w14:paraId="2A2D8C29" w14:textId="77777777" w:rsidR="009458E7" w:rsidRPr="00423ED7" w:rsidRDefault="009458E7" w:rsidP="00754DB7">
            <w:pPr>
              <w:jc w:val="center"/>
              <w:rPr>
                <w:sz w:val="20"/>
              </w:rPr>
            </w:pPr>
            <w:r w:rsidRPr="00423ED7">
              <w:rPr>
                <w:sz w:val="20"/>
              </w:rPr>
              <w:sym w:font="Wingdings" w:char="F0FC"/>
            </w:r>
          </w:p>
        </w:tc>
      </w:tr>
      <w:tr w:rsidR="009458E7" w:rsidRPr="00423ED7" w14:paraId="011818ED" w14:textId="77777777" w:rsidTr="00950807">
        <w:tc>
          <w:tcPr>
            <w:tcW w:w="3114" w:type="dxa"/>
            <w:vAlign w:val="center"/>
          </w:tcPr>
          <w:p w14:paraId="71643830" w14:textId="77777777" w:rsidR="009458E7" w:rsidRPr="00423ED7" w:rsidRDefault="009458E7" w:rsidP="00754DB7">
            <w:pPr>
              <w:rPr>
                <w:sz w:val="20"/>
              </w:rPr>
            </w:pPr>
            <w:r>
              <w:rPr>
                <w:sz w:val="20"/>
              </w:rPr>
              <w:t>Resource allocation</w:t>
            </w:r>
          </w:p>
        </w:tc>
        <w:tc>
          <w:tcPr>
            <w:tcW w:w="4677" w:type="dxa"/>
          </w:tcPr>
          <w:p w14:paraId="2CCC727D" w14:textId="77777777" w:rsidR="009458E7" w:rsidRPr="00423ED7" w:rsidRDefault="009458E7" w:rsidP="00754DB7">
            <w:pPr>
              <w:rPr>
                <w:sz w:val="20"/>
              </w:rPr>
            </w:pPr>
            <w:r>
              <w:rPr>
                <w:sz w:val="20"/>
              </w:rPr>
              <w:t>Individual items</w:t>
            </w:r>
          </w:p>
        </w:tc>
        <w:tc>
          <w:tcPr>
            <w:tcW w:w="1227" w:type="dxa"/>
            <w:tcBorders>
              <w:left w:val="double" w:sz="4" w:space="0" w:color="ED7D31"/>
              <w:right w:val="double" w:sz="4" w:space="0" w:color="ED7D31"/>
            </w:tcBorders>
            <w:vAlign w:val="center"/>
          </w:tcPr>
          <w:p w14:paraId="4E6EA22A" w14:textId="77777777" w:rsidR="009458E7" w:rsidRPr="00423ED7" w:rsidRDefault="009458E7" w:rsidP="00754DB7">
            <w:pPr>
              <w:jc w:val="center"/>
              <w:rPr>
                <w:sz w:val="20"/>
              </w:rPr>
            </w:pPr>
          </w:p>
        </w:tc>
        <w:tc>
          <w:tcPr>
            <w:tcW w:w="1316" w:type="dxa"/>
            <w:tcBorders>
              <w:left w:val="double" w:sz="4" w:space="0" w:color="ED7D31"/>
              <w:right w:val="double" w:sz="4" w:space="0" w:color="ED7D31"/>
            </w:tcBorders>
            <w:vAlign w:val="center"/>
          </w:tcPr>
          <w:p w14:paraId="055010EF"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6BA654F9" w14:textId="77777777" w:rsidR="009458E7" w:rsidRPr="00423ED7" w:rsidRDefault="009458E7" w:rsidP="00754DB7">
            <w:pPr>
              <w:jc w:val="center"/>
              <w:rPr>
                <w:sz w:val="20"/>
              </w:rPr>
            </w:pPr>
          </w:p>
        </w:tc>
        <w:tc>
          <w:tcPr>
            <w:tcW w:w="1012" w:type="dxa"/>
            <w:vAlign w:val="center"/>
          </w:tcPr>
          <w:p w14:paraId="6716BE7A" w14:textId="77777777" w:rsidR="009458E7" w:rsidRPr="00423ED7" w:rsidRDefault="009458E7" w:rsidP="00754DB7">
            <w:pPr>
              <w:jc w:val="center"/>
              <w:rPr>
                <w:sz w:val="20"/>
              </w:rPr>
            </w:pPr>
          </w:p>
        </w:tc>
        <w:tc>
          <w:tcPr>
            <w:tcW w:w="1013" w:type="dxa"/>
            <w:vAlign w:val="center"/>
          </w:tcPr>
          <w:p w14:paraId="6E964F6B" w14:textId="77777777" w:rsidR="009458E7" w:rsidRPr="00423ED7" w:rsidRDefault="009458E7" w:rsidP="00754DB7">
            <w:pPr>
              <w:jc w:val="center"/>
              <w:rPr>
                <w:sz w:val="20"/>
              </w:rPr>
            </w:pPr>
          </w:p>
        </w:tc>
        <w:tc>
          <w:tcPr>
            <w:tcW w:w="1012" w:type="dxa"/>
            <w:vAlign w:val="center"/>
          </w:tcPr>
          <w:p w14:paraId="1771BACD" w14:textId="77777777" w:rsidR="009458E7" w:rsidRPr="00423ED7" w:rsidRDefault="009458E7" w:rsidP="00754DB7">
            <w:pPr>
              <w:jc w:val="center"/>
              <w:rPr>
                <w:sz w:val="20"/>
              </w:rPr>
            </w:pPr>
          </w:p>
        </w:tc>
      </w:tr>
      <w:tr w:rsidR="009458E7" w:rsidRPr="00423ED7" w14:paraId="6825B24A" w14:textId="77777777" w:rsidTr="00950807">
        <w:tc>
          <w:tcPr>
            <w:tcW w:w="3114" w:type="dxa"/>
            <w:shd w:val="clear" w:color="auto" w:fill="F7CAAC"/>
          </w:tcPr>
          <w:p w14:paraId="1480F665" w14:textId="77777777" w:rsidR="009458E7" w:rsidRPr="00423ED7" w:rsidRDefault="009458E7" w:rsidP="00754DB7">
            <w:pPr>
              <w:rPr>
                <w:b/>
                <w:sz w:val="20"/>
              </w:rPr>
            </w:pPr>
            <w:r w:rsidRPr="00423ED7">
              <w:rPr>
                <w:b/>
                <w:sz w:val="20"/>
              </w:rPr>
              <w:t>Process Measures</w:t>
            </w:r>
          </w:p>
        </w:tc>
        <w:tc>
          <w:tcPr>
            <w:tcW w:w="4677" w:type="dxa"/>
            <w:shd w:val="clear" w:color="auto" w:fill="F7CAAC"/>
          </w:tcPr>
          <w:p w14:paraId="3279404F" w14:textId="77777777" w:rsidR="009458E7" w:rsidRPr="00423ED7" w:rsidRDefault="009458E7" w:rsidP="00754DB7">
            <w:pPr>
              <w:rPr>
                <w:sz w:val="20"/>
              </w:rPr>
            </w:pPr>
          </w:p>
        </w:tc>
        <w:tc>
          <w:tcPr>
            <w:tcW w:w="1227" w:type="dxa"/>
            <w:tcBorders>
              <w:left w:val="double" w:sz="4" w:space="0" w:color="ED7D31"/>
              <w:right w:val="double" w:sz="4" w:space="0" w:color="ED7D31"/>
            </w:tcBorders>
            <w:shd w:val="clear" w:color="auto" w:fill="F7CAAC"/>
            <w:vAlign w:val="center"/>
          </w:tcPr>
          <w:p w14:paraId="7FDF8011" w14:textId="77777777" w:rsidR="009458E7" w:rsidRPr="00423ED7" w:rsidRDefault="009458E7" w:rsidP="00754DB7">
            <w:pPr>
              <w:jc w:val="center"/>
              <w:rPr>
                <w:sz w:val="20"/>
              </w:rPr>
            </w:pPr>
          </w:p>
        </w:tc>
        <w:tc>
          <w:tcPr>
            <w:tcW w:w="1316" w:type="dxa"/>
            <w:tcBorders>
              <w:left w:val="double" w:sz="4" w:space="0" w:color="ED7D31"/>
              <w:right w:val="double" w:sz="4" w:space="0" w:color="ED7D31"/>
            </w:tcBorders>
            <w:shd w:val="clear" w:color="auto" w:fill="F7CAAC"/>
            <w:vAlign w:val="center"/>
          </w:tcPr>
          <w:p w14:paraId="3C41179E" w14:textId="77777777" w:rsidR="009458E7" w:rsidRPr="00423ED7" w:rsidRDefault="009458E7" w:rsidP="00754DB7">
            <w:pPr>
              <w:jc w:val="center"/>
              <w:rPr>
                <w:sz w:val="20"/>
              </w:rPr>
            </w:pPr>
          </w:p>
        </w:tc>
        <w:tc>
          <w:tcPr>
            <w:tcW w:w="1012" w:type="dxa"/>
            <w:tcBorders>
              <w:left w:val="double" w:sz="4" w:space="0" w:color="ED7D31"/>
            </w:tcBorders>
            <w:shd w:val="clear" w:color="auto" w:fill="F7CAAC"/>
            <w:vAlign w:val="center"/>
          </w:tcPr>
          <w:p w14:paraId="2833E397" w14:textId="77777777" w:rsidR="009458E7" w:rsidRPr="00423ED7" w:rsidRDefault="009458E7" w:rsidP="00754DB7">
            <w:pPr>
              <w:jc w:val="center"/>
              <w:rPr>
                <w:sz w:val="20"/>
              </w:rPr>
            </w:pPr>
          </w:p>
        </w:tc>
        <w:tc>
          <w:tcPr>
            <w:tcW w:w="1012" w:type="dxa"/>
            <w:shd w:val="clear" w:color="auto" w:fill="F7CAAC"/>
            <w:vAlign w:val="center"/>
          </w:tcPr>
          <w:p w14:paraId="69AECD80" w14:textId="77777777" w:rsidR="009458E7" w:rsidRPr="00423ED7" w:rsidRDefault="009458E7" w:rsidP="00754DB7">
            <w:pPr>
              <w:jc w:val="center"/>
              <w:rPr>
                <w:sz w:val="20"/>
              </w:rPr>
            </w:pPr>
          </w:p>
        </w:tc>
        <w:tc>
          <w:tcPr>
            <w:tcW w:w="1013" w:type="dxa"/>
            <w:shd w:val="clear" w:color="auto" w:fill="F7CAAC"/>
            <w:vAlign w:val="center"/>
          </w:tcPr>
          <w:p w14:paraId="720EA9CC" w14:textId="77777777" w:rsidR="009458E7" w:rsidRPr="00423ED7" w:rsidRDefault="009458E7" w:rsidP="00754DB7">
            <w:pPr>
              <w:jc w:val="center"/>
              <w:rPr>
                <w:sz w:val="20"/>
              </w:rPr>
            </w:pPr>
          </w:p>
        </w:tc>
        <w:tc>
          <w:tcPr>
            <w:tcW w:w="1012" w:type="dxa"/>
            <w:shd w:val="clear" w:color="auto" w:fill="F7CAAC"/>
            <w:vAlign w:val="center"/>
          </w:tcPr>
          <w:p w14:paraId="3794F271" w14:textId="77777777" w:rsidR="009458E7" w:rsidRPr="00423ED7" w:rsidRDefault="009458E7" w:rsidP="00754DB7">
            <w:pPr>
              <w:jc w:val="center"/>
              <w:rPr>
                <w:sz w:val="20"/>
              </w:rPr>
            </w:pPr>
          </w:p>
        </w:tc>
      </w:tr>
      <w:tr w:rsidR="009458E7" w:rsidRPr="00B22284" w14:paraId="56AD4E4D" w14:textId="77777777" w:rsidTr="00950807">
        <w:tc>
          <w:tcPr>
            <w:tcW w:w="3114" w:type="dxa"/>
          </w:tcPr>
          <w:p w14:paraId="0935A78A" w14:textId="77777777" w:rsidR="009458E7" w:rsidRPr="00423ED7" w:rsidRDefault="009458E7" w:rsidP="00754DB7">
            <w:pPr>
              <w:rPr>
                <w:sz w:val="20"/>
              </w:rPr>
            </w:pPr>
            <w:r w:rsidRPr="00423ED7">
              <w:rPr>
                <w:sz w:val="20"/>
              </w:rPr>
              <w:lastRenderedPageBreak/>
              <w:t xml:space="preserve">Diabetes Management Experiences (satisfaction) </w:t>
            </w:r>
          </w:p>
        </w:tc>
        <w:tc>
          <w:tcPr>
            <w:tcW w:w="4677" w:type="dxa"/>
          </w:tcPr>
          <w:p w14:paraId="6A6906C3" w14:textId="4B02E878" w:rsidR="009458E7" w:rsidRPr="005D7FBE" w:rsidRDefault="00BB2492" w:rsidP="00AE0CAF">
            <w:pPr>
              <w:rPr>
                <w:sz w:val="20"/>
                <w:lang w:val="fr-FR"/>
              </w:rPr>
            </w:pPr>
            <w:r w:rsidRPr="005D7FBE">
              <w:rPr>
                <w:sz w:val="20"/>
                <w:lang w:val="fr-FR"/>
              </w:rPr>
              <w:t>Diabetes Management Experiences Questionnaire (</w:t>
            </w:r>
            <w:r w:rsidR="009458E7" w:rsidRPr="005D7FBE">
              <w:rPr>
                <w:sz w:val="20"/>
                <w:lang w:val="fr-FR"/>
              </w:rPr>
              <w:t>DME-Q</w:t>
            </w:r>
            <w:r w:rsidRPr="005D7FBE">
              <w:rPr>
                <w:sz w:val="20"/>
                <w:lang w:val="fr-FR"/>
              </w:rPr>
              <w:t>)</w:t>
            </w:r>
            <w:r w:rsidR="00B22284">
              <w:rPr>
                <w:sz w:val="20"/>
              </w:rPr>
              <w:fldChar w:fldCharType="begin" w:fldLock="1"/>
            </w:r>
            <w:r w:rsidR="005D7FBE">
              <w:rPr>
                <w:sz w:val="20"/>
              </w:rPr>
              <w:instrText>ADDIN CSL_CITATION {"citationItems":[{"id":"ITEM-1","itemData":{"DOI":"10.1089/dia.2019.0152","ISSN":"1520-9156","abstract":"Background: In the HypoCOMPaSS trial, adults with long-standing type 1 diabetes and problematic hypoglycemia were randomized to compare insulin pump (continuous subcutaneous insulin infusion; CSII) with multiple daily injections (MDI) and real-time continuous glucose monitoring (RT-CGM) with conventional self-monitoring of blood glucose (SMBG). Our aim was to investigate participants' satisfaction with these technologies at 6-month randomized, controlled trial (RCT) endpoint and at 2-year follow-up. Methods: Participants completed the Insulin Treatment Satisfaction Questionnaire subscales \"device delivery\" and \"hypoglycemia control\"; and Glucose Monitoring Experience Questionnaire, assessing \"convenience\", \"effectiveness\", \"intrusiveness\", and \"total satisfaction.\" We assessed change over time and between-group differences by insulin and monitoring modalities. Results: Participants (N = 96) were 64% women, aged 49 ± 12 years, with a diabetes duration of 29 ± 12 years. At 6 months, participants reported improvements compared with baseline (all P &lt; 0.001) in satisfaction with insulin \"delivery device\" (r = 0.39) and \"hypoglycemia control\" (r = 0.52), and trends toward significance in perceived \"effectiveness\" (r = 0.42) and \"intrusiveness\" (r = 0.27) of monitoring device (but not \"convenience\", P = 0.139). All improvements were sustained at 2 years. At 6 months, the only difference between arms was that greater satisfaction with insulin \"delivery device\" was reported in the CSII group compared with MDI (P &lt; 0.001, r = 0.40). No between-group differences were observed at 2 years. Conclusions: Overall, significant improvements in participant satisfaction with diabetes technologies were observed over the 6-month RCT, in all domains except \"convenience,\" and maintained at 2 years. Although HypoCOMPaSS demonstrated noninferiority of SMBG versus CGM, and MDI versus CSII in terms of biomedical outcomes, detailed assessments confirm that participants' satisfaction with delivery device was greater in those allocated to CSII than MDI.","author":[{"dropping-particle":"","family":"Speight","given":"Jane","non-dropping-particle":"","parse-names":false,"suffix":""},{"dropping-particle":"","family":"Holmes-Truscott","given":"Elizabeth","non-dropping-particle":"","parse-names":false,"suffix":""},{"dropping-particle":"","family":"Little","given":"Stuart A.","non-dropping-particle":"","parse-names":false,"suffix":""},{"dropping-particle":"","family":"Leelarathna","given":"Lalantha","non-dropping-particle":"","parse-names":false,"suffix":""},{"dropping-particle":"","family":"Walkinshaw","given":"Emma","non-dropping-particle":"","parse-names":false,"suffix":""},{"dropping-particle":"","family":"Tan","given":"Horn Kai","non-dropping-particle":"","parse-names":false,"suffix":""},{"dropping-particle":"","family":"Bowes","given":"Anita","non-dropping-particle":"","parse-names":false,"suffix":""},{"dropping-particle":"","family":"Kerr","given":"David","non-dropping-particle":"","parse-names":false,"suffix":""},{"dropping-particle":"","family":"Flanagan","given":"Daniel","non-dropping-particle":"","parse-names":false,"suffix":""},{"dropping-particle":"","family":"Heller","given":"Simon R.","non-dropping-particle":"","parse-names":false,"suffix":""},{"dropping-particle":"","family":"Evans","given":"Mark L.","non-dropping-particle":"","parse-names":false,"suffix":""},{"dropping-particle":"","family":"Shaw","given":"James A.M.","non-dropping-particle":"","parse-names":false,"suffix":""}],"container-title":"Diabetes Technology &amp; Therapeutics","id":"ITEM-1","issue":"11","issued":{"date-parts":[["2019","11","1"]]},"page":"619-626","publisher":"Mary Ann Liebert Inc.","title":"Satisfaction with the Use of Different Technologies for Insulin Delivery and Glucose Monitoring Among Adults with Long-Standing Type 1 Diabetes and Problematic Hypoglycemia: 2-Year Follow-Up in the HypoCOMPaSS Randomized Clinical Trial","type":"article-journal","volume":"21"},"uris":["http://www.mendeley.com/documents/?uuid=f7a19c7f-b358-3748-8ccf-2930399b20d0"]}],"mendeley":{"formattedCitation":"[40]","plainTextFormattedCitation":"[40]","previouslyFormattedCitation":"[41]"},"properties":{"noteIndex":0},"schema":"https://github.com/citation-style-language/schema/raw/master/csl-citation.json"}</w:instrText>
            </w:r>
            <w:r w:rsidR="00B22284">
              <w:rPr>
                <w:sz w:val="20"/>
              </w:rPr>
              <w:fldChar w:fldCharType="separate"/>
            </w:r>
            <w:r w:rsidR="005D7FBE" w:rsidRPr="005D7FBE">
              <w:rPr>
                <w:noProof/>
                <w:sz w:val="20"/>
              </w:rPr>
              <w:t>[40]</w:t>
            </w:r>
            <w:r w:rsidR="00B22284">
              <w:rPr>
                <w:sz w:val="20"/>
              </w:rPr>
              <w:fldChar w:fldCharType="end"/>
            </w:r>
          </w:p>
        </w:tc>
        <w:tc>
          <w:tcPr>
            <w:tcW w:w="1227" w:type="dxa"/>
            <w:tcBorders>
              <w:left w:val="double" w:sz="4" w:space="0" w:color="ED7D31"/>
              <w:right w:val="double" w:sz="4" w:space="0" w:color="ED7D31"/>
            </w:tcBorders>
            <w:vAlign w:val="center"/>
          </w:tcPr>
          <w:p w14:paraId="4B8E5BE3" w14:textId="77777777" w:rsidR="009458E7" w:rsidRPr="005D7FBE" w:rsidRDefault="009458E7" w:rsidP="00754DB7">
            <w:pPr>
              <w:jc w:val="center"/>
              <w:rPr>
                <w:sz w:val="20"/>
                <w:lang w:val="fr-FR"/>
              </w:rPr>
            </w:pPr>
            <w:r w:rsidRPr="00423ED7">
              <w:rPr>
                <w:sz w:val="20"/>
              </w:rPr>
              <w:sym w:font="Wingdings" w:char="F0FC"/>
            </w:r>
          </w:p>
        </w:tc>
        <w:tc>
          <w:tcPr>
            <w:tcW w:w="1316" w:type="dxa"/>
            <w:tcBorders>
              <w:left w:val="double" w:sz="4" w:space="0" w:color="ED7D31"/>
              <w:right w:val="double" w:sz="4" w:space="0" w:color="ED7D31"/>
            </w:tcBorders>
            <w:vAlign w:val="center"/>
          </w:tcPr>
          <w:p w14:paraId="2F67EAD5" w14:textId="77777777" w:rsidR="009458E7" w:rsidRPr="005D7FBE" w:rsidRDefault="009458E7" w:rsidP="00754DB7">
            <w:pPr>
              <w:jc w:val="center"/>
              <w:rPr>
                <w:sz w:val="20"/>
                <w:lang w:val="fr-FR"/>
              </w:rPr>
            </w:pPr>
            <w:r w:rsidRPr="00423ED7">
              <w:rPr>
                <w:sz w:val="20"/>
              </w:rPr>
              <w:sym w:font="Wingdings" w:char="F0FC"/>
            </w:r>
          </w:p>
        </w:tc>
        <w:tc>
          <w:tcPr>
            <w:tcW w:w="1012" w:type="dxa"/>
            <w:tcBorders>
              <w:left w:val="double" w:sz="4" w:space="0" w:color="ED7D31"/>
            </w:tcBorders>
            <w:vAlign w:val="center"/>
          </w:tcPr>
          <w:p w14:paraId="40A8BF47" w14:textId="77777777" w:rsidR="009458E7" w:rsidRPr="005D7FBE" w:rsidRDefault="009458E7" w:rsidP="00754DB7">
            <w:pPr>
              <w:jc w:val="center"/>
              <w:rPr>
                <w:sz w:val="20"/>
                <w:lang w:val="fr-FR"/>
              </w:rPr>
            </w:pPr>
            <w:r w:rsidRPr="00423ED7">
              <w:rPr>
                <w:sz w:val="20"/>
              </w:rPr>
              <w:sym w:font="Wingdings" w:char="F0FC"/>
            </w:r>
          </w:p>
        </w:tc>
        <w:tc>
          <w:tcPr>
            <w:tcW w:w="1012" w:type="dxa"/>
            <w:vAlign w:val="center"/>
          </w:tcPr>
          <w:p w14:paraId="24BECEBA" w14:textId="77777777" w:rsidR="009458E7" w:rsidRPr="005D7FBE" w:rsidRDefault="009458E7" w:rsidP="00754DB7">
            <w:pPr>
              <w:jc w:val="center"/>
              <w:rPr>
                <w:sz w:val="20"/>
                <w:lang w:val="fr-FR"/>
              </w:rPr>
            </w:pPr>
          </w:p>
        </w:tc>
        <w:tc>
          <w:tcPr>
            <w:tcW w:w="1013" w:type="dxa"/>
            <w:vAlign w:val="center"/>
          </w:tcPr>
          <w:p w14:paraId="470D776F" w14:textId="77777777" w:rsidR="009458E7" w:rsidRPr="005D7FBE" w:rsidRDefault="009458E7" w:rsidP="00754DB7">
            <w:pPr>
              <w:jc w:val="center"/>
              <w:rPr>
                <w:sz w:val="20"/>
                <w:lang w:val="fr-FR"/>
              </w:rPr>
            </w:pPr>
            <w:r w:rsidRPr="00423ED7">
              <w:rPr>
                <w:sz w:val="20"/>
              </w:rPr>
              <w:sym w:font="Wingdings" w:char="F0FC"/>
            </w:r>
          </w:p>
        </w:tc>
        <w:tc>
          <w:tcPr>
            <w:tcW w:w="1012" w:type="dxa"/>
            <w:vAlign w:val="center"/>
          </w:tcPr>
          <w:p w14:paraId="6AABAA33" w14:textId="77777777" w:rsidR="009458E7" w:rsidRPr="005D7FBE" w:rsidRDefault="009458E7" w:rsidP="00754DB7">
            <w:pPr>
              <w:jc w:val="center"/>
              <w:rPr>
                <w:sz w:val="20"/>
                <w:lang w:val="fr-FR"/>
              </w:rPr>
            </w:pPr>
          </w:p>
        </w:tc>
      </w:tr>
      <w:tr w:rsidR="009458E7" w:rsidRPr="00B22284" w14:paraId="42EA9689" w14:textId="77777777" w:rsidTr="00950807">
        <w:tc>
          <w:tcPr>
            <w:tcW w:w="3114" w:type="dxa"/>
          </w:tcPr>
          <w:p w14:paraId="51A1CFC4" w14:textId="77777777" w:rsidR="009458E7" w:rsidRPr="005D7FBE" w:rsidRDefault="009458E7" w:rsidP="00754DB7">
            <w:pPr>
              <w:rPr>
                <w:sz w:val="20"/>
                <w:lang w:val="fr-FR"/>
              </w:rPr>
            </w:pPr>
            <w:r w:rsidRPr="005D7FBE">
              <w:rPr>
                <w:sz w:val="20"/>
                <w:lang w:val="fr-FR"/>
              </w:rPr>
              <w:t>Self-regulatory skills/behavioural regulation</w:t>
            </w:r>
          </w:p>
        </w:tc>
        <w:tc>
          <w:tcPr>
            <w:tcW w:w="4677" w:type="dxa"/>
          </w:tcPr>
          <w:p w14:paraId="47AC6C57" w14:textId="2CA772F9" w:rsidR="009458E7" w:rsidRPr="005D7FBE" w:rsidRDefault="00BB2492" w:rsidP="00754DB7">
            <w:pPr>
              <w:rPr>
                <w:sz w:val="20"/>
                <w:lang w:val="fr-FR"/>
              </w:rPr>
            </w:pPr>
            <w:r w:rsidRPr="005D7FBE">
              <w:rPr>
                <w:sz w:val="20"/>
                <w:lang w:val="fr-FR"/>
              </w:rPr>
              <w:t>Self-Regulation Questionnaire (</w:t>
            </w:r>
            <w:r w:rsidR="009458E7" w:rsidRPr="005D7FBE">
              <w:rPr>
                <w:sz w:val="20"/>
                <w:lang w:val="fr-FR"/>
              </w:rPr>
              <w:t>SRQ-T1D</w:t>
            </w:r>
            <w:r w:rsidRPr="005D7FBE">
              <w:rPr>
                <w:sz w:val="20"/>
                <w:lang w:val="fr-FR"/>
              </w:rPr>
              <w:t>)</w:t>
            </w:r>
            <w:r w:rsidR="009458E7" w:rsidRPr="005D7FBE">
              <w:rPr>
                <w:sz w:val="20"/>
                <w:lang w:val="fr-FR"/>
              </w:rPr>
              <w:t>*</w:t>
            </w:r>
            <w:r w:rsidR="00B22284">
              <w:rPr>
                <w:sz w:val="20"/>
              </w:rPr>
              <w:fldChar w:fldCharType="begin" w:fldLock="1"/>
            </w:r>
            <w:r w:rsidR="005D7FBE">
              <w:rPr>
                <w:sz w:val="20"/>
              </w:rPr>
              <w:instrText>ADDIN CSL_CITATION {"citationItems":[{"id":"ITEM-1","itemData":{"author":[{"dropping-particle":"","family":"Brown","given":"JM","non-dropping-particle":"","parse-names":false,"suffix":""},{"dropping-particle":"","family":"Miller","given":"WR","non-dropping-particle":"","parse-names":false,"suffix":""},{"dropping-particle":"","family":"LewandowskiLA","given":"","non-dropping-particle":"","parse-names":false,"suffix":""}],"container-title":"Innovations in clinical practice: A source book","editor":[{"dropping-particle":"","family":"Creek, Van de","given":"L","non-dropping-particle":"","parse-names":false,"suffix":""},{"dropping-particle":"","family":"Jackson","given":"TL","non-dropping-particle":"","parse-names":false,"suffix":""}],"id":"ITEM-1","issued":{"date-parts":[["1999"]]},"page":"281-289","publisher":"Professional Resource Press","publisher-place":"Sarasota, Florida","title":"The Self-Regulation Questionnaire","type":"chapter"},"uris":["http://www.mendeley.com/documents/?uuid=6e8e16b7-2b3a-4c84-a459-32dec1bb5a09"]}],"mendeley":{"formattedCitation":"[41]","plainTextFormattedCitation":"[41]","previouslyFormattedCitation":"[42]"},"properties":{"noteIndex":0},"schema":"https://github.com/citation-style-language/schema/raw/master/csl-citation.json"}</w:instrText>
            </w:r>
            <w:r w:rsidR="00B22284">
              <w:rPr>
                <w:sz w:val="20"/>
              </w:rPr>
              <w:fldChar w:fldCharType="separate"/>
            </w:r>
            <w:r w:rsidR="005D7FBE" w:rsidRPr="005D7FBE">
              <w:rPr>
                <w:noProof/>
                <w:sz w:val="20"/>
              </w:rPr>
              <w:t>[41]</w:t>
            </w:r>
            <w:r w:rsidR="00B22284">
              <w:rPr>
                <w:sz w:val="20"/>
              </w:rPr>
              <w:fldChar w:fldCharType="end"/>
            </w:r>
          </w:p>
        </w:tc>
        <w:tc>
          <w:tcPr>
            <w:tcW w:w="1227" w:type="dxa"/>
            <w:tcBorders>
              <w:left w:val="double" w:sz="4" w:space="0" w:color="ED7D31"/>
              <w:right w:val="double" w:sz="4" w:space="0" w:color="ED7D31"/>
            </w:tcBorders>
            <w:vAlign w:val="center"/>
          </w:tcPr>
          <w:p w14:paraId="74482812" w14:textId="77777777" w:rsidR="009458E7" w:rsidRPr="005D7FBE" w:rsidRDefault="009458E7" w:rsidP="00754DB7">
            <w:pPr>
              <w:jc w:val="center"/>
              <w:rPr>
                <w:sz w:val="20"/>
                <w:lang w:val="fr-FR"/>
              </w:rPr>
            </w:pPr>
            <w:r w:rsidRPr="00423ED7">
              <w:rPr>
                <w:sz w:val="20"/>
              </w:rPr>
              <w:sym w:font="Wingdings" w:char="F0FC"/>
            </w:r>
          </w:p>
        </w:tc>
        <w:tc>
          <w:tcPr>
            <w:tcW w:w="1316" w:type="dxa"/>
            <w:tcBorders>
              <w:left w:val="double" w:sz="4" w:space="0" w:color="ED7D31"/>
              <w:right w:val="double" w:sz="4" w:space="0" w:color="ED7D31"/>
            </w:tcBorders>
            <w:vAlign w:val="center"/>
          </w:tcPr>
          <w:p w14:paraId="0F3630A1" w14:textId="77777777" w:rsidR="009458E7" w:rsidRPr="005D7FBE" w:rsidRDefault="009458E7" w:rsidP="00754DB7">
            <w:pPr>
              <w:jc w:val="center"/>
              <w:rPr>
                <w:sz w:val="20"/>
                <w:lang w:val="fr-FR"/>
              </w:rPr>
            </w:pPr>
            <w:r w:rsidRPr="00423ED7">
              <w:rPr>
                <w:sz w:val="20"/>
              </w:rPr>
              <w:sym w:font="Wingdings" w:char="F0FC"/>
            </w:r>
          </w:p>
        </w:tc>
        <w:tc>
          <w:tcPr>
            <w:tcW w:w="1012" w:type="dxa"/>
            <w:tcBorders>
              <w:left w:val="double" w:sz="4" w:space="0" w:color="ED7D31"/>
            </w:tcBorders>
            <w:vAlign w:val="center"/>
          </w:tcPr>
          <w:p w14:paraId="2CF44E28" w14:textId="77777777" w:rsidR="009458E7" w:rsidRPr="005D7FBE" w:rsidRDefault="009458E7" w:rsidP="00754DB7">
            <w:pPr>
              <w:jc w:val="center"/>
              <w:rPr>
                <w:sz w:val="20"/>
                <w:lang w:val="fr-FR"/>
              </w:rPr>
            </w:pPr>
            <w:r w:rsidRPr="00423ED7">
              <w:rPr>
                <w:sz w:val="20"/>
              </w:rPr>
              <w:sym w:font="Wingdings" w:char="F0FC"/>
            </w:r>
          </w:p>
        </w:tc>
        <w:tc>
          <w:tcPr>
            <w:tcW w:w="1012" w:type="dxa"/>
            <w:vAlign w:val="center"/>
          </w:tcPr>
          <w:p w14:paraId="33671AD1" w14:textId="77777777" w:rsidR="009458E7" w:rsidRPr="005D7FBE" w:rsidRDefault="009458E7" w:rsidP="00754DB7">
            <w:pPr>
              <w:jc w:val="center"/>
              <w:rPr>
                <w:sz w:val="20"/>
                <w:lang w:val="fr-FR"/>
              </w:rPr>
            </w:pPr>
          </w:p>
        </w:tc>
        <w:tc>
          <w:tcPr>
            <w:tcW w:w="1013" w:type="dxa"/>
            <w:vAlign w:val="center"/>
          </w:tcPr>
          <w:p w14:paraId="157C85F1" w14:textId="77777777" w:rsidR="009458E7" w:rsidRPr="005D7FBE" w:rsidRDefault="009458E7" w:rsidP="00754DB7">
            <w:pPr>
              <w:jc w:val="center"/>
              <w:rPr>
                <w:sz w:val="20"/>
                <w:lang w:val="fr-FR"/>
              </w:rPr>
            </w:pPr>
            <w:r w:rsidRPr="00423ED7">
              <w:rPr>
                <w:sz w:val="20"/>
              </w:rPr>
              <w:sym w:font="Wingdings" w:char="F0FC"/>
            </w:r>
          </w:p>
        </w:tc>
        <w:tc>
          <w:tcPr>
            <w:tcW w:w="1012" w:type="dxa"/>
            <w:vAlign w:val="center"/>
          </w:tcPr>
          <w:p w14:paraId="652B2300" w14:textId="77777777" w:rsidR="009458E7" w:rsidRPr="005D7FBE" w:rsidRDefault="009458E7" w:rsidP="00754DB7">
            <w:pPr>
              <w:jc w:val="center"/>
              <w:rPr>
                <w:sz w:val="20"/>
                <w:lang w:val="fr-FR"/>
              </w:rPr>
            </w:pPr>
          </w:p>
        </w:tc>
      </w:tr>
      <w:tr w:rsidR="009458E7" w:rsidRPr="00B22284" w14:paraId="4A3B347D" w14:textId="77777777" w:rsidTr="00950807">
        <w:tc>
          <w:tcPr>
            <w:tcW w:w="3114" w:type="dxa"/>
            <w:vAlign w:val="center"/>
          </w:tcPr>
          <w:p w14:paraId="3C9DCFF3" w14:textId="77777777" w:rsidR="009458E7" w:rsidRPr="005D7FBE" w:rsidRDefault="009458E7" w:rsidP="00754DB7">
            <w:pPr>
              <w:rPr>
                <w:sz w:val="20"/>
                <w:lang w:val="fr-FR"/>
              </w:rPr>
            </w:pPr>
            <w:r w:rsidRPr="005D7FBE">
              <w:rPr>
                <w:sz w:val="20"/>
                <w:lang w:val="fr-FR"/>
              </w:rPr>
              <w:t>Diabetes strengths and resilience</w:t>
            </w:r>
          </w:p>
        </w:tc>
        <w:tc>
          <w:tcPr>
            <w:tcW w:w="4677" w:type="dxa"/>
          </w:tcPr>
          <w:p w14:paraId="0D3F7060" w14:textId="4BC3152F" w:rsidR="009458E7" w:rsidRPr="00B22284" w:rsidRDefault="00BB2492" w:rsidP="00754DB7">
            <w:pPr>
              <w:rPr>
                <w:sz w:val="20"/>
                <w:lang w:val="fr-FR"/>
              </w:rPr>
            </w:pPr>
            <w:r w:rsidRPr="005D7FBE">
              <w:rPr>
                <w:sz w:val="20"/>
                <w:lang w:val="fr-FR"/>
              </w:rPr>
              <w:t>Diabetes Strengths and Resilience Questionnaire (</w:t>
            </w:r>
            <w:r w:rsidR="009458E7" w:rsidRPr="005D7FBE">
              <w:rPr>
                <w:sz w:val="20"/>
                <w:lang w:val="fr-FR"/>
              </w:rPr>
              <w:t>DSRQ</w:t>
            </w:r>
            <w:r w:rsidRPr="005D7FBE">
              <w:rPr>
                <w:sz w:val="20"/>
                <w:lang w:val="fr-FR"/>
              </w:rPr>
              <w:t>)</w:t>
            </w:r>
            <w:r w:rsidR="00B22284">
              <w:rPr>
                <w:sz w:val="20"/>
                <w:lang w:val="fr-FR"/>
              </w:rPr>
              <w:fldChar w:fldCharType="begin" w:fldLock="1"/>
            </w:r>
            <w:r w:rsidR="005D7FBE">
              <w:rPr>
                <w:sz w:val="20"/>
              </w:rPr>
              <w:instrText>ADDIN CSL_CITATION {"citationItems":[{"id":"ITEM-1","itemData":{"DOI":"10.1093/jpepsy/jsx086","ISSN":"1465-735X","PMID":"28549160","abstract":"Objective Despite the challenges of managing type 1 diabetes, many adolescents achieve optimal outcomes. A validated measure of diabetes-specific strengths is needed to measure adaptive behaviors and attitudes associated with overcoming challenges and achieving \"resilient\" outcomes. Methods Baseline data from 260 adolescents (age 14-18 years, M = 15.7 ± 1.1, 60% female, 33% Non-Caucasian, M A1c = 9.1 ± 1.9%) and caregivers in a behavioral intervention trial were analyzed to evaluate psychometric properties of the 12-item self-report Diabetes Strengths and Resilience measure for adolescents (DSTAR-Teen). Reliability and validity were examined in relation to measures of related constructs, regimen adherence, and glycemic outcomes, and confirmatory factor analysis was conducted. Results Reliability was good (internal consistency: α = .89; item-total correlations: r range = .55-.78). Significant correlations demonstrated construct and criterion validity. A two-factor structure reflecting intrapersonal and interpersonal processes fit the data better than a one-factor solution. Conclusions The DSTAR-Teen has strong psychometric properties, captures adaptive aspects of adolescents' diabetes management (i.e., \"strengths\"), and is related to clinical outcomes.","author":[{"dropping-particle":"","family":"Hilliard","given":"Marisa E","non-dropping-particle":"","parse-names":false,"suffix":""},{"dropping-particle":"","family":"Iturralde","given":"Esti","non-dropping-particle":"","parse-names":false,"suffix":""},{"dropping-particle":"","family":"Weissberg-Benchell","given":"Jill","non-dropping-particle":"","parse-names":false,"suffix":""},{"dropping-particle":"","family":"Hood","given":"Korey K","non-dropping-particle":"","parse-names":false,"suffix":""}],"container-title":"Journal of pediatric psychology","id":"ITEM-1","issue":"9","issued":{"date-parts":[["2017"]]},"page":"995-1005","title":"The Diabetes Strengths and Resilience Measure for Adolescents With Type 1 Diabetes (DSTAR-Teen): Validation of a New, Brief Self-Report Measure.","type":"article-journal","volume":"42"},"uris":["http://www.mendeley.com/documents/?uuid=251e6461-1698-3ef2-a6b1-dde95cd779d7"]}],"mendeley":{"formattedCitation":"[42]","plainTextFormattedCitation":"[42]","previouslyFormattedCitation":"[43]"},"properties":{"noteIndex":0},"schema":"https://github.com/citation-style-language/schema/raw/master/csl-citation.json"}</w:instrText>
            </w:r>
            <w:r w:rsidR="00B22284">
              <w:rPr>
                <w:sz w:val="20"/>
                <w:lang w:val="fr-FR"/>
              </w:rPr>
              <w:fldChar w:fldCharType="separate"/>
            </w:r>
            <w:r w:rsidR="005D7FBE" w:rsidRPr="005D7FBE">
              <w:rPr>
                <w:noProof/>
                <w:sz w:val="20"/>
                <w:lang w:val="fr-FR"/>
              </w:rPr>
              <w:t>[42]</w:t>
            </w:r>
            <w:r w:rsidR="00B22284">
              <w:rPr>
                <w:sz w:val="20"/>
                <w:lang w:val="fr-FR"/>
              </w:rPr>
              <w:fldChar w:fldCharType="end"/>
            </w:r>
          </w:p>
        </w:tc>
        <w:tc>
          <w:tcPr>
            <w:tcW w:w="1227" w:type="dxa"/>
            <w:tcBorders>
              <w:left w:val="double" w:sz="4" w:space="0" w:color="ED7D31"/>
              <w:right w:val="double" w:sz="4" w:space="0" w:color="ED7D31"/>
            </w:tcBorders>
          </w:tcPr>
          <w:p w14:paraId="483AFF45" w14:textId="77777777" w:rsidR="009458E7" w:rsidRPr="00B22284" w:rsidRDefault="009458E7" w:rsidP="00754DB7">
            <w:pPr>
              <w:jc w:val="center"/>
              <w:rPr>
                <w:sz w:val="20"/>
                <w:lang w:val="fr-FR"/>
              </w:rPr>
            </w:pPr>
            <w:r w:rsidRPr="00423ED7">
              <w:rPr>
                <w:sz w:val="20"/>
              </w:rPr>
              <w:sym w:font="Wingdings" w:char="F0FC"/>
            </w:r>
          </w:p>
        </w:tc>
        <w:tc>
          <w:tcPr>
            <w:tcW w:w="1316" w:type="dxa"/>
            <w:tcBorders>
              <w:left w:val="double" w:sz="4" w:space="0" w:color="ED7D31"/>
              <w:right w:val="double" w:sz="4" w:space="0" w:color="ED7D31"/>
            </w:tcBorders>
          </w:tcPr>
          <w:p w14:paraId="1A5FCCF1" w14:textId="77777777" w:rsidR="009458E7" w:rsidRPr="00B22284" w:rsidRDefault="009458E7" w:rsidP="00754DB7">
            <w:pPr>
              <w:jc w:val="center"/>
              <w:rPr>
                <w:sz w:val="20"/>
                <w:lang w:val="fr-FR"/>
              </w:rPr>
            </w:pPr>
            <w:r w:rsidRPr="00423ED7">
              <w:rPr>
                <w:sz w:val="20"/>
              </w:rPr>
              <w:sym w:font="Wingdings" w:char="F0FC"/>
            </w:r>
          </w:p>
        </w:tc>
        <w:tc>
          <w:tcPr>
            <w:tcW w:w="1012" w:type="dxa"/>
            <w:tcBorders>
              <w:left w:val="double" w:sz="4" w:space="0" w:color="ED7D31"/>
            </w:tcBorders>
          </w:tcPr>
          <w:p w14:paraId="6845E8FA" w14:textId="77777777" w:rsidR="009458E7" w:rsidRPr="00B22284" w:rsidRDefault="009458E7" w:rsidP="00754DB7">
            <w:pPr>
              <w:jc w:val="center"/>
              <w:rPr>
                <w:sz w:val="20"/>
                <w:lang w:val="fr-FR"/>
              </w:rPr>
            </w:pPr>
            <w:r w:rsidRPr="00423ED7">
              <w:rPr>
                <w:sz w:val="20"/>
              </w:rPr>
              <w:sym w:font="Wingdings" w:char="F0FC"/>
            </w:r>
          </w:p>
        </w:tc>
        <w:tc>
          <w:tcPr>
            <w:tcW w:w="1012" w:type="dxa"/>
            <w:vAlign w:val="center"/>
          </w:tcPr>
          <w:p w14:paraId="5D07BE32" w14:textId="77777777" w:rsidR="009458E7" w:rsidRPr="00B22284" w:rsidRDefault="009458E7" w:rsidP="00754DB7">
            <w:pPr>
              <w:jc w:val="center"/>
              <w:rPr>
                <w:sz w:val="20"/>
                <w:lang w:val="fr-FR"/>
              </w:rPr>
            </w:pPr>
          </w:p>
        </w:tc>
        <w:tc>
          <w:tcPr>
            <w:tcW w:w="1013" w:type="dxa"/>
            <w:vAlign w:val="center"/>
          </w:tcPr>
          <w:p w14:paraId="0D187C47" w14:textId="16A4109C" w:rsidR="009458E7" w:rsidRPr="00B22284" w:rsidRDefault="00941738" w:rsidP="00754DB7">
            <w:pPr>
              <w:jc w:val="center"/>
              <w:rPr>
                <w:sz w:val="20"/>
                <w:lang w:val="fr-FR"/>
              </w:rPr>
            </w:pPr>
            <w:r w:rsidRPr="00423ED7">
              <w:rPr>
                <w:sz w:val="20"/>
              </w:rPr>
              <w:sym w:font="Wingdings" w:char="F0FC"/>
            </w:r>
          </w:p>
        </w:tc>
        <w:tc>
          <w:tcPr>
            <w:tcW w:w="1012" w:type="dxa"/>
            <w:vAlign w:val="center"/>
          </w:tcPr>
          <w:p w14:paraId="7F6469C9" w14:textId="77777777" w:rsidR="009458E7" w:rsidRPr="00B22284" w:rsidRDefault="009458E7" w:rsidP="00754DB7">
            <w:pPr>
              <w:jc w:val="center"/>
              <w:rPr>
                <w:sz w:val="20"/>
                <w:lang w:val="fr-FR"/>
              </w:rPr>
            </w:pPr>
          </w:p>
        </w:tc>
      </w:tr>
      <w:tr w:rsidR="009458E7" w:rsidRPr="00423ED7" w14:paraId="485DEA8E" w14:textId="77777777" w:rsidTr="00950807">
        <w:tc>
          <w:tcPr>
            <w:tcW w:w="3114" w:type="dxa"/>
          </w:tcPr>
          <w:p w14:paraId="5C596B9C" w14:textId="77777777" w:rsidR="009458E7" w:rsidRPr="00423ED7" w:rsidRDefault="009458E7" w:rsidP="00754DB7">
            <w:pPr>
              <w:rPr>
                <w:sz w:val="20"/>
              </w:rPr>
            </w:pPr>
            <w:r w:rsidRPr="005D7FBE">
              <w:rPr>
                <w:sz w:val="20"/>
                <w:lang w:val="fr-FR"/>
              </w:rPr>
              <w:t xml:space="preserve">Beliefs about capabilities: </w:t>
            </w:r>
            <w:r w:rsidRPr="00423ED7">
              <w:rPr>
                <w:sz w:val="20"/>
              </w:rPr>
              <w:t>diabetes self-care</w:t>
            </w:r>
          </w:p>
        </w:tc>
        <w:tc>
          <w:tcPr>
            <w:tcW w:w="4677" w:type="dxa"/>
          </w:tcPr>
          <w:p w14:paraId="6D823575" w14:textId="761E2BF9" w:rsidR="009458E7" w:rsidRPr="00423ED7" w:rsidRDefault="009A607D" w:rsidP="00754DB7">
            <w:pPr>
              <w:rPr>
                <w:sz w:val="20"/>
              </w:rPr>
            </w:pPr>
            <w:r>
              <w:rPr>
                <w:sz w:val="20"/>
              </w:rPr>
              <w:t>Confidence in Diabetes Scale (</w:t>
            </w:r>
            <w:r w:rsidR="009458E7" w:rsidRPr="00423ED7">
              <w:rPr>
                <w:sz w:val="20"/>
              </w:rPr>
              <w:t>CIDS</w:t>
            </w:r>
            <w:r>
              <w:rPr>
                <w:sz w:val="20"/>
              </w:rPr>
              <w:t>)</w:t>
            </w:r>
            <w:r w:rsidR="009458E7">
              <w:rPr>
                <w:sz w:val="20"/>
              </w:rPr>
              <w:t>*</w:t>
            </w:r>
            <w:r w:rsidR="00B22284">
              <w:rPr>
                <w:sz w:val="20"/>
              </w:rPr>
              <w:fldChar w:fldCharType="begin" w:fldLock="1"/>
            </w:r>
            <w:r w:rsidR="005D7FBE">
              <w:rPr>
                <w:sz w:val="20"/>
              </w:rPr>
              <w:instrText>ADDIN CSL_CITATION {"citationItems":[{"id":"ITEM-1","itemData":{"DOI":"10.2337/diacare.26.3.713","ISSN":"01495992","abstract":"OBJECTIVE - To examine psychometric properties of the Confidence in Diabetes Self-Care (CIDS) scale, a newly developed instrument assessing diabetes-specific self-efficacy in Dutch and U.S. patients with type 1 diabetes. RESEARCH DESIGN AND METHODS - Reliability and validity of the CIDS scale were evaluated in Dutch (n = 151) and U.S. (n = 190) outpatients with type 1 diabetes. In addition to the CIDS scale, assessment included HbA1c, emotional distress, fear of hypoglycemia, self-esteem, anxiety, depression, and self-care behavior. The Dutch sample completed additional measures on perceived burden and importance of self-care. Test-retest reliability was established in a second Dutch sample (n = 62). RESULTS - Internal consistency (Cronbach's α = 0.86 for Dutch patients and 0.90 U.S. patients) and test-retest reliability (Spearman's r = 0.85, P &lt; 0.0001) of the CIDS scale were high. Exploratory factor analysis showed one strong general factor. Spearman's correlations between the CIDS scale and other measures were moderate and in the expected directions, and high HbA1c levels were associated with low CIDS scores in the U.S. sample only. Low CIDS scores were positively associated with self-care but not with glycemic control in the original samples. CIDS scores in the U.S. and Dutch samples did not show any statistically significant differences. U.S. men had higher CIDS scores than U.S. women. CONCLUSIONS - The CIDS scale is a reliable and valid measure of diabetes-specific self-efficacy for use in patients with type 1 diabetes. High psychometric similarity allows for cross-cultural comparisons.","author":[{"dropping-particle":"","family":"Ven","given":"Nicole C.W.","non-dropping-particle":"Van Der","parse-names":false,"suffix":""},{"dropping-particle":"","family":"Weinger","given":"Katie","non-dropping-particle":"","parse-names":false,"suffix":""},{"dropping-particle":"","family":"Yi","given":"Joyce","non-dropping-particle":"","parse-names":false,"suffix":""},{"dropping-particle":"","family":"Pouwer","given":"Frans","non-dropping-particle":"","parse-names":false,"suffix":""},{"dropping-particle":"","family":"Adèr","given":"Herman","non-dropping-particle":"","parse-names":false,"suffix":""},{"dropping-particle":"","family":"Ploeg","given":"Henk M.","non-dropping-particle":"Van Der","parse-names":false,"suffix":""},{"dropping-particle":"","family":"Snoek","given":"Frank J.","non-dropping-particle":"","parse-names":false,"suffix":""}],"container-title":"Diabetes Care","id":"ITEM-1","issue":"3","issued":{"date-parts":[["2003","3","1"]]},"page":"713-718","publisher":"NIH Public Access","title":"The confidence in diabetes self-care scale: Psychometric properties of a new measure of diabetes-specific self-efficacy in Dutch and U.S. patients with type 1 diabetes","type":"article-journal","volume":"26"},"uris":["http://www.mendeley.com/documents/?uuid=e68b0269-5bdf-31e8-a27e-376b0350e612"]}],"mendeley":{"formattedCitation":"[43]","plainTextFormattedCitation":"[43]","previouslyFormattedCitation":"[44]"},"properties":{"noteIndex":0},"schema":"https://github.com/citation-style-language/schema/raw/master/csl-citation.json"}</w:instrText>
            </w:r>
            <w:r w:rsidR="00B22284">
              <w:rPr>
                <w:sz w:val="20"/>
              </w:rPr>
              <w:fldChar w:fldCharType="separate"/>
            </w:r>
            <w:r w:rsidR="005D7FBE" w:rsidRPr="005D7FBE">
              <w:rPr>
                <w:noProof/>
                <w:sz w:val="20"/>
              </w:rPr>
              <w:t>[43]</w:t>
            </w:r>
            <w:r w:rsidR="00B22284">
              <w:rPr>
                <w:sz w:val="20"/>
              </w:rPr>
              <w:fldChar w:fldCharType="end"/>
            </w:r>
          </w:p>
        </w:tc>
        <w:tc>
          <w:tcPr>
            <w:tcW w:w="1227" w:type="dxa"/>
            <w:tcBorders>
              <w:left w:val="double" w:sz="4" w:space="0" w:color="ED7D31"/>
              <w:right w:val="double" w:sz="4" w:space="0" w:color="ED7D31"/>
            </w:tcBorders>
            <w:vAlign w:val="center"/>
          </w:tcPr>
          <w:p w14:paraId="22259506"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16D2CEAA"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304F0E2D"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63DF9396" w14:textId="77777777" w:rsidR="009458E7" w:rsidRPr="00423ED7" w:rsidRDefault="009458E7" w:rsidP="00754DB7">
            <w:pPr>
              <w:jc w:val="center"/>
              <w:rPr>
                <w:sz w:val="20"/>
              </w:rPr>
            </w:pPr>
          </w:p>
        </w:tc>
        <w:tc>
          <w:tcPr>
            <w:tcW w:w="1013" w:type="dxa"/>
            <w:vAlign w:val="center"/>
          </w:tcPr>
          <w:p w14:paraId="132DC706"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5E38E960" w14:textId="77777777" w:rsidR="009458E7" w:rsidRPr="00423ED7" w:rsidRDefault="009458E7" w:rsidP="00754DB7">
            <w:pPr>
              <w:jc w:val="center"/>
              <w:rPr>
                <w:sz w:val="20"/>
              </w:rPr>
            </w:pPr>
          </w:p>
        </w:tc>
      </w:tr>
      <w:tr w:rsidR="009458E7" w:rsidRPr="00423ED7" w14:paraId="0FB89AA0" w14:textId="77777777" w:rsidTr="00950807">
        <w:tc>
          <w:tcPr>
            <w:tcW w:w="3114" w:type="dxa"/>
          </w:tcPr>
          <w:p w14:paraId="55FC2BE4" w14:textId="77777777" w:rsidR="009458E7" w:rsidRPr="00423ED7" w:rsidRDefault="009458E7" w:rsidP="00754DB7">
            <w:pPr>
              <w:ind w:right="-111"/>
              <w:rPr>
                <w:sz w:val="20"/>
              </w:rPr>
            </w:pPr>
            <w:r w:rsidRPr="00423ED7">
              <w:rPr>
                <w:sz w:val="20"/>
              </w:rPr>
              <w:t>Beliefs about capabilities: hypoglycaemia confidence</w:t>
            </w:r>
          </w:p>
        </w:tc>
        <w:tc>
          <w:tcPr>
            <w:tcW w:w="4677" w:type="dxa"/>
          </w:tcPr>
          <w:p w14:paraId="462CAFA8" w14:textId="25654B06" w:rsidR="009458E7" w:rsidRPr="00423ED7" w:rsidRDefault="009A607D" w:rsidP="00AE0CAF">
            <w:pPr>
              <w:rPr>
                <w:sz w:val="20"/>
              </w:rPr>
            </w:pPr>
            <w:r>
              <w:rPr>
                <w:sz w:val="20"/>
              </w:rPr>
              <w:t>Hypoglycaemia Confidence Scale (</w:t>
            </w:r>
            <w:r w:rsidR="009458E7" w:rsidRPr="00423ED7">
              <w:rPr>
                <w:sz w:val="20"/>
              </w:rPr>
              <w:t>HCS</w:t>
            </w:r>
            <w:r>
              <w:rPr>
                <w:sz w:val="20"/>
              </w:rPr>
              <w:t>)</w:t>
            </w:r>
            <w:r w:rsidR="00BD1DBF">
              <w:rPr>
                <w:sz w:val="20"/>
              </w:rPr>
              <w:fldChar w:fldCharType="begin" w:fldLock="1"/>
            </w:r>
            <w:r w:rsidR="005D7FBE">
              <w:rPr>
                <w:sz w:val="20"/>
              </w:rPr>
              <w:instrText>ADDIN CSL_CITATION {"citationItems":[{"id":"ITEM-1","itemData":{"DOI":"10.1089/dia.2016.0366","abstract":"Background: While research designed to understand the concerns about hypoglycemia among patients with diabetes has been primarily focused on the investigation of fear and anxiety, recent evidence suggests a potentially important and conceptually distinct element-hypoglycemic confidence. To investigate this dimension , we developed the Hypoglycemic Confidence Scale (HCS); herein, we describe the construction and validation of the HCS and examine how key patient factors are associated with hypoglycemic confidence. Methods: Items were developed from interviews with six type 1 diabetes (T1D) adults, six insulin-using type 2 diabetes (T2D) adults, and seven diabetes healthcare professionals, resulting in nine self-report items. Separate exploratory factor analyses (EFAs) were conducted with T1D adults (N = 326), with T2D adults using both basal and prandial insulins (T2D-BP, N = 145) and with T2D adults using only basal insulin (T2D-BO, N = 82). Construct validity for the HCS was established with overall well-being (World Health Organization-5), diabetes distress (Diabetes Distress Scale), global anxiety (Generalized Anxiety Disorder), hypoglycemic fear (Hypogly-cemic Fear Survey-II), and glycemic control (self-reported A1C). Hierarchical regression analyses examined the unique contribution of HCS scores, independent of hypoglycemic fear, on key psychosocial constructs and A1C. Results: EFAs of the nine HCS items yielded a single factor solution for each of the three subject samples, accounting for 50.8%, 65.1%, and 73.7% of the variance for the T1D, T2D-BP, and T2D-BO groups, respectively. Construct validity was established by significant correlations with criterion variables. The HCS was associated with well-being and diabetes distress in the T1D (in both cases, P &lt; 0.001) and T2D-BP groups (in both cases, P &lt; .05) and for self-reported A1C in the T2D-BP group (P &lt; .05) independent of hypoglycemic fear. Conclusions: Hypoglycemic confidence is a unique dimension of patient experience, different from hypo-glycemic fear, and is deserving of further study. The HCS is a reliable valid measure of hypoglycemic confidence for adults with T1D and insulin-using T2D.","author":[{"dropping-particle":"","family":"Polonsky","given":"William H","non-dropping-particle":"","parse-names":false,"suffix":""},{"dropping-particle":"","family":"Fisher","given":"Lawrence","non-dropping-particle":"","parse-names":false,"suffix":""},{"dropping-particle":"","family":"Hessler","given":"Danielle","non-dropping-particle":"","parse-names":false,"suffix":""},{"dropping-particle":"V","family":"Edelman","given":"Steven","non-dropping-particle":"","parse-names":false,"suffix":""}],"id":"ITEM-1","issued":{"date-parts":[["0"]]},"title":"Investigating Hypoglycemic Confidence in Type 1 and Type 2 Diabetes","type":"article-journal"},"uris":["http://www.mendeley.com/documents/?uuid=988125b2-f330-340d-9b82-56c739f4ab21"]}],"mendeley":{"formattedCitation":"[44]","plainTextFormattedCitation":"[44]","previouslyFormattedCitation":"[45]"},"properties":{"noteIndex":0},"schema":"https://github.com/citation-style-language/schema/raw/master/csl-citation.json"}</w:instrText>
            </w:r>
            <w:r w:rsidR="00BD1DBF">
              <w:rPr>
                <w:sz w:val="20"/>
              </w:rPr>
              <w:fldChar w:fldCharType="separate"/>
            </w:r>
            <w:r w:rsidR="005D7FBE" w:rsidRPr="005D7FBE">
              <w:rPr>
                <w:noProof/>
                <w:sz w:val="20"/>
              </w:rPr>
              <w:t>[44]</w:t>
            </w:r>
            <w:r w:rsidR="00BD1DBF">
              <w:rPr>
                <w:sz w:val="20"/>
              </w:rPr>
              <w:fldChar w:fldCharType="end"/>
            </w:r>
            <w:r>
              <w:rPr>
                <w:sz w:val="20"/>
              </w:rPr>
              <w:t xml:space="preserve"> </w:t>
            </w:r>
          </w:p>
        </w:tc>
        <w:tc>
          <w:tcPr>
            <w:tcW w:w="1227" w:type="dxa"/>
            <w:tcBorders>
              <w:left w:val="double" w:sz="4" w:space="0" w:color="ED7D31"/>
              <w:right w:val="double" w:sz="4" w:space="0" w:color="ED7D31"/>
            </w:tcBorders>
            <w:vAlign w:val="center"/>
          </w:tcPr>
          <w:p w14:paraId="434D7BA4"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0E8D2663"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58065557"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0604DF59" w14:textId="77777777" w:rsidR="009458E7" w:rsidRPr="00423ED7" w:rsidRDefault="009458E7" w:rsidP="00754DB7">
            <w:pPr>
              <w:jc w:val="center"/>
              <w:rPr>
                <w:sz w:val="20"/>
              </w:rPr>
            </w:pPr>
          </w:p>
        </w:tc>
        <w:tc>
          <w:tcPr>
            <w:tcW w:w="1013" w:type="dxa"/>
            <w:vAlign w:val="center"/>
          </w:tcPr>
          <w:p w14:paraId="03F90CA9"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04677322" w14:textId="77777777" w:rsidR="009458E7" w:rsidRPr="00423ED7" w:rsidRDefault="009458E7" w:rsidP="00754DB7">
            <w:pPr>
              <w:jc w:val="center"/>
              <w:rPr>
                <w:sz w:val="20"/>
              </w:rPr>
            </w:pPr>
          </w:p>
        </w:tc>
      </w:tr>
      <w:tr w:rsidR="009458E7" w:rsidRPr="00423ED7" w14:paraId="118831B4" w14:textId="77777777" w:rsidTr="00950807">
        <w:tc>
          <w:tcPr>
            <w:tcW w:w="3114" w:type="dxa"/>
          </w:tcPr>
          <w:p w14:paraId="3810933D" w14:textId="77777777" w:rsidR="009458E7" w:rsidRPr="00423ED7" w:rsidRDefault="009458E7" w:rsidP="00754DB7">
            <w:pPr>
              <w:rPr>
                <w:sz w:val="20"/>
              </w:rPr>
            </w:pPr>
            <w:r w:rsidRPr="00423ED7">
              <w:rPr>
                <w:sz w:val="20"/>
              </w:rPr>
              <w:t>Diabetes-specific self-care behaviours</w:t>
            </w:r>
          </w:p>
        </w:tc>
        <w:tc>
          <w:tcPr>
            <w:tcW w:w="4677" w:type="dxa"/>
          </w:tcPr>
          <w:p w14:paraId="6EED5DF4" w14:textId="2143E706" w:rsidR="009458E7" w:rsidRPr="00423ED7" w:rsidRDefault="009A607D" w:rsidP="00AE0CAF">
            <w:pPr>
              <w:rPr>
                <w:sz w:val="20"/>
              </w:rPr>
            </w:pPr>
            <w:r>
              <w:rPr>
                <w:sz w:val="20"/>
              </w:rPr>
              <w:t>Diabetes Self-Care Behaviours (</w:t>
            </w:r>
            <w:r w:rsidR="009458E7" w:rsidRPr="00423ED7">
              <w:rPr>
                <w:sz w:val="20"/>
              </w:rPr>
              <w:t>SCB-T1D</w:t>
            </w:r>
            <w:r>
              <w:rPr>
                <w:sz w:val="20"/>
              </w:rPr>
              <w:t>)</w:t>
            </w:r>
            <w:r w:rsidR="00BD1DBF">
              <w:rPr>
                <w:sz w:val="20"/>
              </w:rPr>
              <w:fldChar w:fldCharType="begin" w:fldLock="1"/>
            </w:r>
            <w:r w:rsidR="005D7FBE">
              <w:rPr>
                <w:sz w:val="20"/>
              </w:rPr>
              <w:instrText>ADDIN CSL_CITATION {"citationItems":[{"id":"ITEM-1","itemData":{"author":[{"dropping-particle":"","family":"Mansell P, Grant L, Bond R, Pouwer F, Page N, Davies A, Stenner K, Elliott J, Hopkins D, Jones A, Vallis M, Speight J, Lawton J, Clark M, Heller S","given":"Cooke D","non-dropping-particle":"","parse-names":false,"suffix":""}],"id":"ITEM-1","issued":{"date-parts":[["0"]]},"title":"Assessment of Self-Care Behaviours focused on Glycemic Control in Type 1 Diabetes: Development and Validation of the SCB-T1D Questionnaire","type":"article"},"uris":["http://www.mendeley.com/documents/?uuid=6a543b41-3730-4295-af99-7141bfeabf78"]}],"mendeley":{"formattedCitation":"[45]","plainTextFormattedCitation":"[45]","previouslyFormattedCitation":"[46]"},"properties":{"noteIndex":0},"schema":"https://github.com/citation-style-language/schema/raw/master/csl-citation.json"}</w:instrText>
            </w:r>
            <w:r w:rsidR="00BD1DBF">
              <w:rPr>
                <w:sz w:val="20"/>
              </w:rPr>
              <w:fldChar w:fldCharType="separate"/>
            </w:r>
            <w:r w:rsidR="005D7FBE" w:rsidRPr="005D7FBE">
              <w:rPr>
                <w:noProof/>
                <w:sz w:val="20"/>
              </w:rPr>
              <w:t>[45]</w:t>
            </w:r>
            <w:r w:rsidR="00BD1DBF">
              <w:rPr>
                <w:sz w:val="20"/>
              </w:rPr>
              <w:fldChar w:fldCharType="end"/>
            </w:r>
          </w:p>
        </w:tc>
        <w:tc>
          <w:tcPr>
            <w:tcW w:w="1227" w:type="dxa"/>
            <w:tcBorders>
              <w:left w:val="double" w:sz="4" w:space="0" w:color="ED7D31"/>
              <w:right w:val="double" w:sz="4" w:space="0" w:color="ED7D31"/>
            </w:tcBorders>
            <w:vAlign w:val="center"/>
          </w:tcPr>
          <w:p w14:paraId="0EEEF828"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00B2C18B"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64B7AF03"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75C1E4CC" w14:textId="77777777" w:rsidR="009458E7" w:rsidRPr="00423ED7" w:rsidRDefault="009458E7" w:rsidP="00754DB7">
            <w:pPr>
              <w:jc w:val="center"/>
              <w:rPr>
                <w:sz w:val="20"/>
              </w:rPr>
            </w:pPr>
          </w:p>
        </w:tc>
        <w:tc>
          <w:tcPr>
            <w:tcW w:w="1013" w:type="dxa"/>
            <w:vAlign w:val="center"/>
          </w:tcPr>
          <w:p w14:paraId="2A736231"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278AC3D9" w14:textId="77777777" w:rsidR="009458E7" w:rsidRPr="00423ED7" w:rsidRDefault="009458E7" w:rsidP="00754DB7">
            <w:pPr>
              <w:jc w:val="center"/>
              <w:rPr>
                <w:sz w:val="20"/>
              </w:rPr>
            </w:pPr>
          </w:p>
        </w:tc>
      </w:tr>
      <w:tr w:rsidR="009458E7" w:rsidRPr="00423ED7" w14:paraId="0CF22510" w14:textId="77777777" w:rsidTr="00950807">
        <w:tc>
          <w:tcPr>
            <w:tcW w:w="3114" w:type="dxa"/>
          </w:tcPr>
          <w:p w14:paraId="30E78003" w14:textId="77777777" w:rsidR="009458E7" w:rsidRPr="00423ED7" w:rsidRDefault="009458E7" w:rsidP="00754DB7">
            <w:pPr>
              <w:rPr>
                <w:sz w:val="20"/>
              </w:rPr>
            </w:pPr>
            <w:r w:rsidRPr="00423ED7">
              <w:rPr>
                <w:sz w:val="20"/>
              </w:rPr>
              <w:t>Beliefs about consequences of engaging in DAFNE behaviours and weaving diabetes management into everyday routines</w:t>
            </w:r>
          </w:p>
        </w:tc>
        <w:tc>
          <w:tcPr>
            <w:tcW w:w="4677" w:type="dxa"/>
            <w:vAlign w:val="center"/>
          </w:tcPr>
          <w:p w14:paraId="3C26C0B7" w14:textId="77777777" w:rsidR="009458E7" w:rsidRPr="00423ED7" w:rsidRDefault="009458E7" w:rsidP="00754DB7">
            <w:pPr>
              <w:rPr>
                <w:sz w:val="20"/>
              </w:rPr>
            </w:pPr>
            <w:r>
              <w:rPr>
                <w:sz w:val="20"/>
              </w:rPr>
              <w:t>Individual items*</w:t>
            </w:r>
          </w:p>
        </w:tc>
        <w:tc>
          <w:tcPr>
            <w:tcW w:w="1227" w:type="dxa"/>
            <w:tcBorders>
              <w:left w:val="double" w:sz="4" w:space="0" w:color="ED7D31"/>
              <w:right w:val="double" w:sz="4" w:space="0" w:color="ED7D31"/>
            </w:tcBorders>
            <w:vAlign w:val="center"/>
          </w:tcPr>
          <w:p w14:paraId="0A53BD91" w14:textId="77777777" w:rsidR="009458E7" w:rsidRPr="00423ED7" w:rsidRDefault="009458E7" w:rsidP="00754DB7">
            <w:pPr>
              <w:jc w:val="center"/>
              <w:rPr>
                <w:sz w:val="20"/>
              </w:rPr>
            </w:pPr>
            <w:r w:rsidRPr="00423ED7">
              <w:rPr>
                <w:sz w:val="20"/>
              </w:rPr>
              <w:sym w:font="Wingdings" w:char="F0FC"/>
            </w:r>
          </w:p>
        </w:tc>
        <w:tc>
          <w:tcPr>
            <w:tcW w:w="1316" w:type="dxa"/>
            <w:tcBorders>
              <w:left w:val="double" w:sz="4" w:space="0" w:color="ED7D31"/>
              <w:right w:val="double" w:sz="4" w:space="0" w:color="ED7D31"/>
            </w:tcBorders>
            <w:vAlign w:val="center"/>
          </w:tcPr>
          <w:p w14:paraId="499C1B33"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04CC3DDC"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2A6DDB98" w14:textId="77777777" w:rsidR="009458E7" w:rsidRPr="00423ED7" w:rsidRDefault="009458E7" w:rsidP="00754DB7">
            <w:pPr>
              <w:jc w:val="center"/>
              <w:rPr>
                <w:sz w:val="20"/>
              </w:rPr>
            </w:pPr>
          </w:p>
        </w:tc>
        <w:tc>
          <w:tcPr>
            <w:tcW w:w="1013" w:type="dxa"/>
            <w:vAlign w:val="center"/>
          </w:tcPr>
          <w:p w14:paraId="538E124F"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0C615478" w14:textId="77777777" w:rsidR="009458E7" w:rsidRPr="00423ED7" w:rsidRDefault="009458E7" w:rsidP="00754DB7">
            <w:pPr>
              <w:jc w:val="center"/>
              <w:rPr>
                <w:sz w:val="20"/>
              </w:rPr>
            </w:pPr>
          </w:p>
        </w:tc>
      </w:tr>
      <w:tr w:rsidR="009458E7" w:rsidRPr="00423ED7" w14:paraId="20A24F13" w14:textId="77777777" w:rsidTr="00950807">
        <w:tc>
          <w:tcPr>
            <w:tcW w:w="3114" w:type="dxa"/>
          </w:tcPr>
          <w:p w14:paraId="40848365" w14:textId="77777777" w:rsidR="009458E7" w:rsidRPr="00D25DF7" w:rsidRDefault="009458E7" w:rsidP="00754DB7">
            <w:pPr>
              <w:rPr>
                <w:sz w:val="20"/>
              </w:rPr>
            </w:pPr>
            <w:r>
              <w:rPr>
                <w:sz w:val="20"/>
              </w:rPr>
              <w:t>Evaluation of technology (DAFNE</w:t>
            </w:r>
            <w:r>
              <w:rPr>
                <w:i/>
                <w:sz w:val="20"/>
              </w:rPr>
              <w:t xml:space="preserve">plus </w:t>
            </w:r>
            <w:r>
              <w:rPr>
                <w:sz w:val="20"/>
              </w:rPr>
              <w:t>website in intervention group and bolus calculator in control group)</w:t>
            </w:r>
          </w:p>
        </w:tc>
        <w:tc>
          <w:tcPr>
            <w:tcW w:w="4677" w:type="dxa"/>
          </w:tcPr>
          <w:p w14:paraId="36B19674" w14:textId="79D623DE" w:rsidR="009458E7" w:rsidRPr="00423ED7" w:rsidRDefault="009458E7" w:rsidP="00AE0CAF">
            <w:pPr>
              <w:rPr>
                <w:sz w:val="20"/>
              </w:rPr>
            </w:pPr>
            <w:r w:rsidRPr="00423ED7">
              <w:rPr>
                <w:sz w:val="20"/>
              </w:rPr>
              <w:t>System Usability Scale</w:t>
            </w:r>
            <w:r w:rsidR="00BD1DBF">
              <w:rPr>
                <w:sz w:val="20"/>
              </w:rPr>
              <w:fldChar w:fldCharType="begin" w:fldLock="1"/>
            </w:r>
            <w:r w:rsidR="005D7FBE">
              <w:rPr>
                <w:sz w:val="20"/>
              </w:rPr>
              <w:instrText>ADDIN CSL_CITATION {"citationItems":[{"id":"ITEM-1","itemData":{"author":[{"dropping-particle":"","family":"Brooke","given":"J","non-dropping-particle":"","parse-names":false,"suffix":""}],"container-title":"Usability evaluation in industry","id":"ITEM-1","issue":"194","issued":{"date-parts":[["1996"]]},"page":"4-7","title":"SUS-A quick and dirty usability scale","type":"article-journal","volume":"189"},"uris":["http://www.mendeley.com/documents/?uuid=315e41f7-00f4-4f34-abc4-3312049c8bd8"]}],"mendeley":{"formattedCitation":"[46]","plainTextFormattedCitation":"[46]","previouslyFormattedCitation":"[47]"},"properties":{"noteIndex":0},"schema":"https://github.com/citation-style-language/schema/raw/master/csl-citation.json"}</w:instrText>
            </w:r>
            <w:r w:rsidR="00BD1DBF">
              <w:rPr>
                <w:sz w:val="20"/>
              </w:rPr>
              <w:fldChar w:fldCharType="separate"/>
            </w:r>
            <w:r w:rsidR="005D7FBE" w:rsidRPr="005D7FBE">
              <w:rPr>
                <w:noProof/>
                <w:sz w:val="20"/>
              </w:rPr>
              <w:t>[46]</w:t>
            </w:r>
            <w:r w:rsidR="00BD1DBF">
              <w:rPr>
                <w:sz w:val="20"/>
              </w:rPr>
              <w:fldChar w:fldCharType="end"/>
            </w:r>
          </w:p>
        </w:tc>
        <w:tc>
          <w:tcPr>
            <w:tcW w:w="1227" w:type="dxa"/>
            <w:tcBorders>
              <w:left w:val="double" w:sz="4" w:space="0" w:color="ED7D31"/>
              <w:right w:val="double" w:sz="4" w:space="0" w:color="ED7D31"/>
            </w:tcBorders>
            <w:vAlign w:val="center"/>
          </w:tcPr>
          <w:p w14:paraId="685EEC64" w14:textId="77777777" w:rsidR="009458E7" w:rsidRPr="00423ED7" w:rsidRDefault="009458E7" w:rsidP="00754DB7">
            <w:pPr>
              <w:jc w:val="center"/>
              <w:rPr>
                <w:sz w:val="20"/>
              </w:rPr>
            </w:pPr>
          </w:p>
        </w:tc>
        <w:tc>
          <w:tcPr>
            <w:tcW w:w="1316" w:type="dxa"/>
            <w:tcBorders>
              <w:left w:val="double" w:sz="4" w:space="0" w:color="ED7D31"/>
              <w:right w:val="double" w:sz="4" w:space="0" w:color="ED7D31"/>
            </w:tcBorders>
            <w:vAlign w:val="center"/>
          </w:tcPr>
          <w:p w14:paraId="1C9F952B" w14:textId="77777777" w:rsidR="009458E7" w:rsidRPr="00423ED7" w:rsidRDefault="009458E7" w:rsidP="00754DB7">
            <w:pPr>
              <w:jc w:val="center"/>
              <w:rPr>
                <w:sz w:val="20"/>
              </w:rPr>
            </w:pPr>
            <w:r w:rsidRPr="00423ED7">
              <w:rPr>
                <w:sz w:val="20"/>
              </w:rPr>
              <w:sym w:font="Wingdings" w:char="F0FC"/>
            </w:r>
          </w:p>
        </w:tc>
        <w:tc>
          <w:tcPr>
            <w:tcW w:w="1012" w:type="dxa"/>
            <w:tcBorders>
              <w:left w:val="double" w:sz="4" w:space="0" w:color="ED7D31"/>
            </w:tcBorders>
            <w:vAlign w:val="center"/>
          </w:tcPr>
          <w:p w14:paraId="312A481F"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3E1D9B43" w14:textId="77777777" w:rsidR="009458E7" w:rsidRPr="00423ED7" w:rsidRDefault="009458E7" w:rsidP="00754DB7">
            <w:pPr>
              <w:jc w:val="center"/>
              <w:rPr>
                <w:sz w:val="20"/>
              </w:rPr>
            </w:pPr>
          </w:p>
        </w:tc>
        <w:tc>
          <w:tcPr>
            <w:tcW w:w="1013" w:type="dxa"/>
            <w:vAlign w:val="center"/>
          </w:tcPr>
          <w:p w14:paraId="10DA368E" w14:textId="77777777" w:rsidR="009458E7" w:rsidRPr="00423ED7" w:rsidRDefault="009458E7" w:rsidP="00754DB7">
            <w:pPr>
              <w:jc w:val="center"/>
              <w:rPr>
                <w:sz w:val="20"/>
              </w:rPr>
            </w:pPr>
            <w:r w:rsidRPr="00423ED7">
              <w:rPr>
                <w:sz w:val="20"/>
              </w:rPr>
              <w:sym w:font="Wingdings" w:char="F0FC"/>
            </w:r>
          </w:p>
        </w:tc>
        <w:tc>
          <w:tcPr>
            <w:tcW w:w="1012" w:type="dxa"/>
            <w:vAlign w:val="center"/>
          </w:tcPr>
          <w:p w14:paraId="1E6B9791" w14:textId="77777777" w:rsidR="009458E7" w:rsidRPr="00423ED7" w:rsidRDefault="009458E7" w:rsidP="00754DB7">
            <w:pPr>
              <w:jc w:val="center"/>
              <w:rPr>
                <w:sz w:val="20"/>
              </w:rPr>
            </w:pPr>
          </w:p>
        </w:tc>
      </w:tr>
    </w:tbl>
    <w:p w14:paraId="7AE02FE4" w14:textId="15C8CC02" w:rsidR="00644761" w:rsidRDefault="00644761" w:rsidP="00423ED7"/>
    <w:p w14:paraId="53472E69" w14:textId="5DDC7458" w:rsidR="00644761" w:rsidRPr="002F72F5" w:rsidRDefault="00644761" w:rsidP="00EC7DFD">
      <w:pPr>
        <w:rPr>
          <w:sz w:val="16"/>
          <w:szCs w:val="16"/>
        </w:rPr>
      </w:pPr>
      <w:r>
        <w:rPr>
          <w:sz w:val="24"/>
        </w:rPr>
        <w:t>*</w:t>
      </w:r>
      <w:r>
        <w:rPr>
          <w:sz w:val="16"/>
          <w:szCs w:val="16"/>
        </w:rPr>
        <w:t xml:space="preserve">Description about the development and modifications of these questionnaires and individual items are detailed in </w:t>
      </w:r>
      <w:r w:rsidR="00BB2492">
        <w:rPr>
          <w:sz w:val="16"/>
          <w:szCs w:val="16"/>
        </w:rPr>
        <w:t xml:space="preserve">supplementary material </w:t>
      </w:r>
      <w:r w:rsidR="00EC7DFD">
        <w:rPr>
          <w:sz w:val="16"/>
          <w:szCs w:val="16"/>
        </w:rPr>
        <w:t>4</w:t>
      </w:r>
    </w:p>
    <w:p w14:paraId="204574D0" w14:textId="47776BD7" w:rsidR="00644761" w:rsidRDefault="00644761" w:rsidP="00644761"/>
    <w:p w14:paraId="4B70EAA6" w14:textId="77777777" w:rsidR="008C1443" w:rsidRDefault="008C1443">
      <w:pPr>
        <w:sectPr w:rsidR="008C1443" w:rsidSect="00B63B9D">
          <w:pgSz w:w="16838" w:h="11906" w:orient="landscape"/>
          <w:pgMar w:top="1800" w:right="1440" w:bottom="1800" w:left="1440" w:header="708" w:footer="708" w:gutter="0"/>
          <w:cols w:space="708"/>
          <w:docGrid w:linePitch="360"/>
        </w:sectPr>
      </w:pPr>
    </w:p>
    <w:p w14:paraId="156A7693" w14:textId="655F7F87" w:rsidR="00397986" w:rsidRPr="00397986" w:rsidRDefault="00397986" w:rsidP="00AA7FD7">
      <w:pPr>
        <w:jc w:val="both"/>
        <w:rPr>
          <w:rFonts w:cs="Arial"/>
          <w:b/>
          <w:bCs/>
          <w:color w:val="000000" w:themeColor="text1"/>
          <w:sz w:val="28"/>
          <w:szCs w:val="28"/>
        </w:rPr>
      </w:pPr>
      <w:r w:rsidRPr="00397986">
        <w:rPr>
          <w:rFonts w:cs="Arial"/>
          <w:b/>
          <w:bCs/>
          <w:color w:val="000000" w:themeColor="text1"/>
          <w:sz w:val="28"/>
          <w:szCs w:val="28"/>
        </w:rPr>
        <w:lastRenderedPageBreak/>
        <w:t>Statistical analysis</w:t>
      </w:r>
    </w:p>
    <w:p w14:paraId="3DC34EA8" w14:textId="77777777" w:rsidR="009C5258" w:rsidRDefault="009C5258" w:rsidP="00AA7FD7">
      <w:pPr>
        <w:jc w:val="both"/>
        <w:rPr>
          <w:rFonts w:cs="Arial"/>
          <w:color w:val="000000" w:themeColor="text1"/>
          <w:sz w:val="24"/>
        </w:rPr>
      </w:pPr>
    </w:p>
    <w:p w14:paraId="3931D4B0" w14:textId="249B6FCA" w:rsidR="00F06360" w:rsidRPr="00AA7FD7" w:rsidRDefault="00F22413" w:rsidP="00763CCC">
      <w:pPr>
        <w:jc w:val="both"/>
        <w:rPr>
          <w:rFonts w:cs="Arial"/>
          <w:color w:val="000000" w:themeColor="text1"/>
          <w:sz w:val="24"/>
        </w:rPr>
      </w:pPr>
      <w:r w:rsidRPr="00AA7FD7">
        <w:rPr>
          <w:rFonts w:cs="Arial"/>
          <w:color w:val="000000" w:themeColor="text1"/>
          <w:sz w:val="24"/>
        </w:rPr>
        <w:t xml:space="preserve">The primary analysis population will be </w:t>
      </w:r>
      <w:r w:rsidR="00F66DFD" w:rsidRPr="00AA7FD7">
        <w:rPr>
          <w:rFonts w:cs="Arial"/>
          <w:color w:val="000000" w:themeColor="text1"/>
          <w:sz w:val="24"/>
        </w:rPr>
        <w:t>participants</w:t>
      </w:r>
      <w:r w:rsidRPr="00AA7FD7">
        <w:rPr>
          <w:rFonts w:cs="Arial"/>
          <w:color w:val="000000" w:themeColor="text1"/>
          <w:sz w:val="24"/>
        </w:rPr>
        <w:t xml:space="preserve"> that had an HbA1c greater than 7.5% </w:t>
      </w:r>
      <w:r w:rsidR="005D7FBE">
        <w:rPr>
          <w:rFonts w:cs="Arial"/>
          <w:color w:val="000000" w:themeColor="text1"/>
          <w:sz w:val="24"/>
        </w:rPr>
        <w:t xml:space="preserve">(58 mmol/mol) </w:t>
      </w:r>
      <w:r w:rsidRPr="00AA7FD7">
        <w:rPr>
          <w:rFonts w:cs="Arial"/>
          <w:color w:val="000000" w:themeColor="text1"/>
          <w:sz w:val="24"/>
        </w:rPr>
        <w:t xml:space="preserve">at baseline and the analysis will be completed on an intention to treat (ITT) basis. This primary analysis is to assess the difference between the two treatment groups on the </w:t>
      </w:r>
      <w:r w:rsidR="00DC155C">
        <w:rPr>
          <w:rFonts w:cs="Arial"/>
          <w:color w:val="000000" w:themeColor="text1"/>
          <w:sz w:val="24"/>
        </w:rPr>
        <w:t>mean</w:t>
      </w:r>
      <w:r w:rsidR="00F66DFD" w:rsidRPr="00AA7FD7">
        <w:rPr>
          <w:rFonts w:cs="Arial"/>
          <w:color w:val="000000" w:themeColor="text1"/>
          <w:sz w:val="24"/>
        </w:rPr>
        <w:t xml:space="preserve"> </w:t>
      </w:r>
      <w:r w:rsidRPr="00AA7FD7">
        <w:rPr>
          <w:rFonts w:cs="Arial"/>
          <w:color w:val="000000" w:themeColor="text1"/>
          <w:sz w:val="24"/>
        </w:rPr>
        <w:t xml:space="preserve">HbA1c at </w:t>
      </w:r>
      <w:r w:rsidR="00DC155C">
        <w:rPr>
          <w:rFonts w:cs="Arial"/>
          <w:color w:val="000000" w:themeColor="text1"/>
          <w:sz w:val="24"/>
        </w:rPr>
        <w:t xml:space="preserve">12 </w:t>
      </w:r>
      <w:r w:rsidRPr="00AA7FD7">
        <w:rPr>
          <w:rFonts w:cs="Arial"/>
          <w:color w:val="000000" w:themeColor="text1"/>
          <w:sz w:val="24"/>
        </w:rPr>
        <w:t>month</w:t>
      </w:r>
      <w:r w:rsidR="00DC155C">
        <w:rPr>
          <w:rFonts w:cs="Arial"/>
          <w:color w:val="000000" w:themeColor="text1"/>
          <w:sz w:val="24"/>
        </w:rPr>
        <w:t>s</w:t>
      </w:r>
      <w:r w:rsidRPr="00AA7FD7">
        <w:rPr>
          <w:rFonts w:cs="Arial"/>
          <w:color w:val="000000" w:themeColor="text1"/>
          <w:sz w:val="24"/>
        </w:rPr>
        <w:t xml:space="preserve"> which will </w:t>
      </w:r>
      <w:r w:rsidR="00F06360" w:rsidRPr="00AA7FD7">
        <w:rPr>
          <w:rFonts w:cs="Arial"/>
          <w:color w:val="000000" w:themeColor="text1"/>
          <w:sz w:val="24"/>
        </w:rPr>
        <w:t xml:space="preserve">be </w:t>
      </w:r>
      <w:r w:rsidRPr="00AA7FD7">
        <w:rPr>
          <w:rFonts w:cs="Arial"/>
          <w:color w:val="000000" w:themeColor="text1"/>
          <w:sz w:val="24"/>
        </w:rPr>
        <w:t xml:space="preserve">completed using a multiple linear regression model with coefficients estimated using generalised estimating equations (GEE) </w:t>
      </w:r>
      <w:r w:rsidR="00F06360" w:rsidRPr="00AA7FD7">
        <w:rPr>
          <w:rFonts w:cs="Arial"/>
          <w:color w:val="000000" w:themeColor="text1"/>
          <w:sz w:val="24"/>
        </w:rPr>
        <w:t>to</w:t>
      </w:r>
      <w:r w:rsidRPr="00AA7FD7">
        <w:rPr>
          <w:rFonts w:cs="Arial"/>
          <w:color w:val="000000" w:themeColor="text1"/>
          <w:sz w:val="24"/>
        </w:rPr>
        <w:t xml:space="preserve"> account for the clustering design. A 95% confidence interval for </w:t>
      </w:r>
      <w:r w:rsidR="00F06360" w:rsidRPr="00AA7FD7">
        <w:rPr>
          <w:rFonts w:cs="Arial"/>
          <w:color w:val="000000" w:themeColor="text1"/>
          <w:sz w:val="24"/>
        </w:rPr>
        <w:t xml:space="preserve">the </w:t>
      </w:r>
      <w:r w:rsidRPr="00AA7FD7">
        <w:rPr>
          <w:rFonts w:cs="Arial"/>
          <w:color w:val="000000" w:themeColor="text1"/>
          <w:sz w:val="24"/>
        </w:rPr>
        <w:t xml:space="preserve">difference between the two treatment groups will be presented. </w:t>
      </w:r>
      <w:r w:rsidR="00763CCC">
        <w:rPr>
          <w:rFonts w:cs="Arial"/>
          <w:color w:val="000000" w:themeColor="text1"/>
          <w:sz w:val="24"/>
        </w:rPr>
        <w:t>Appropriate</w:t>
      </w:r>
      <w:r w:rsidRPr="00AA7FD7">
        <w:rPr>
          <w:rFonts w:cs="Arial"/>
          <w:color w:val="000000" w:themeColor="text1"/>
          <w:sz w:val="24"/>
        </w:rPr>
        <w:t xml:space="preserve"> covariates will be </w:t>
      </w:r>
      <w:r w:rsidR="00F06360" w:rsidRPr="00AA7FD7">
        <w:rPr>
          <w:rFonts w:cs="Arial"/>
          <w:color w:val="000000" w:themeColor="text1"/>
          <w:sz w:val="24"/>
        </w:rPr>
        <w:t>included</w:t>
      </w:r>
      <w:r w:rsidRPr="00AA7FD7">
        <w:rPr>
          <w:rFonts w:cs="Arial"/>
          <w:color w:val="000000" w:themeColor="text1"/>
          <w:sz w:val="24"/>
        </w:rPr>
        <w:t xml:space="preserve"> in the model</w:t>
      </w:r>
      <w:r w:rsidR="00F06360" w:rsidRPr="00AA7FD7">
        <w:rPr>
          <w:rFonts w:cs="Arial"/>
          <w:color w:val="000000" w:themeColor="text1"/>
          <w:sz w:val="24"/>
        </w:rPr>
        <w:t xml:space="preserve">, along with the </w:t>
      </w:r>
      <w:r w:rsidR="00211E44" w:rsidRPr="00AA7FD7">
        <w:rPr>
          <w:rFonts w:cs="Arial"/>
          <w:color w:val="000000" w:themeColor="text1"/>
          <w:sz w:val="24"/>
        </w:rPr>
        <w:t>participant’s</w:t>
      </w:r>
      <w:r w:rsidR="00F06360" w:rsidRPr="00AA7FD7">
        <w:rPr>
          <w:rFonts w:cs="Arial"/>
          <w:color w:val="000000" w:themeColor="text1"/>
          <w:sz w:val="24"/>
        </w:rPr>
        <w:t xml:space="preserve"> baseline HbA1c,</w:t>
      </w:r>
      <w:r w:rsidRPr="00AA7FD7">
        <w:rPr>
          <w:rFonts w:cs="Arial"/>
          <w:color w:val="000000" w:themeColor="text1"/>
          <w:sz w:val="24"/>
        </w:rPr>
        <w:t xml:space="preserve"> to adjust the treatment effect</w:t>
      </w:r>
      <w:r w:rsidR="00F06360" w:rsidRPr="00AA7FD7">
        <w:rPr>
          <w:rFonts w:cs="Arial"/>
          <w:color w:val="000000" w:themeColor="text1"/>
          <w:sz w:val="24"/>
        </w:rPr>
        <w:t xml:space="preserve"> accordingly</w:t>
      </w:r>
      <w:r w:rsidRPr="00AA7FD7">
        <w:rPr>
          <w:rFonts w:cs="Arial"/>
          <w:color w:val="000000" w:themeColor="text1"/>
          <w:sz w:val="24"/>
        </w:rPr>
        <w:t xml:space="preserve">. </w:t>
      </w:r>
    </w:p>
    <w:p w14:paraId="23222573" w14:textId="77777777" w:rsidR="00F06360" w:rsidRPr="00AA7FD7" w:rsidRDefault="00F06360" w:rsidP="00AA7FD7">
      <w:pPr>
        <w:jc w:val="both"/>
        <w:rPr>
          <w:rFonts w:cs="Arial"/>
          <w:color w:val="000000" w:themeColor="text1"/>
          <w:sz w:val="24"/>
        </w:rPr>
      </w:pPr>
    </w:p>
    <w:p w14:paraId="7A046F12" w14:textId="1ADE434E" w:rsidR="00F22413" w:rsidRPr="00AA7FD7" w:rsidRDefault="00F22413" w:rsidP="00763CCC">
      <w:pPr>
        <w:jc w:val="both"/>
        <w:rPr>
          <w:rFonts w:cs="Arial"/>
          <w:color w:val="000000" w:themeColor="text1"/>
          <w:sz w:val="24"/>
        </w:rPr>
      </w:pPr>
      <w:r w:rsidRPr="00AA7FD7">
        <w:rPr>
          <w:rFonts w:cs="Arial"/>
          <w:color w:val="000000" w:themeColor="text1"/>
          <w:sz w:val="24"/>
        </w:rPr>
        <w:t xml:space="preserve">The secondary analysis population is all consenting participants in the </w:t>
      </w:r>
      <w:r w:rsidR="00F06360" w:rsidRPr="00AA7FD7">
        <w:rPr>
          <w:rFonts w:cs="Arial"/>
          <w:color w:val="000000" w:themeColor="text1"/>
          <w:sz w:val="24"/>
        </w:rPr>
        <w:t>trial</w:t>
      </w:r>
      <w:r w:rsidRPr="00AA7FD7">
        <w:rPr>
          <w:rFonts w:cs="Arial"/>
          <w:color w:val="000000" w:themeColor="text1"/>
          <w:sz w:val="24"/>
        </w:rPr>
        <w:t xml:space="preserve"> and analysis will again be completed on an ITT basis</w:t>
      </w:r>
      <w:r w:rsidR="00F06360" w:rsidRPr="00AA7FD7">
        <w:rPr>
          <w:rFonts w:cs="Arial"/>
          <w:color w:val="000000" w:themeColor="text1"/>
          <w:sz w:val="24"/>
        </w:rPr>
        <w:t>.</w:t>
      </w:r>
      <w:r w:rsidRPr="00AA7FD7">
        <w:rPr>
          <w:rFonts w:cs="Arial"/>
          <w:color w:val="000000" w:themeColor="text1"/>
          <w:sz w:val="24"/>
        </w:rPr>
        <w:t xml:space="preserve"> </w:t>
      </w:r>
      <w:r w:rsidR="00F06360" w:rsidRPr="00AA7FD7">
        <w:rPr>
          <w:rFonts w:cs="Arial"/>
          <w:color w:val="000000" w:themeColor="text1"/>
          <w:sz w:val="24"/>
        </w:rPr>
        <w:t>T</w:t>
      </w:r>
      <w:r w:rsidRPr="00AA7FD7">
        <w:rPr>
          <w:rFonts w:cs="Arial"/>
          <w:color w:val="000000" w:themeColor="text1"/>
          <w:sz w:val="24"/>
        </w:rPr>
        <w:t xml:space="preserve">his population will </w:t>
      </w:r>
      <w:r w:rsidR="00763CCC">
        <w:rPr>
          <w:rFonts w:cs="Arial"/>
          <w:color w:val="000000" w:themeColor="text1"/>
          <w:sz w:val="24"/>
        </w:rPr>
        <w:t xml:space="preserve">also </w:t>
      </w:r>
      <w:r w:rsidRPr="00AA7FD7">
        <w:rPr>
          <w:rFonts w:cs="Arial"/>
          <w:color w:val="000000" w:themeColor="text1"/>
          <w:sz w:val="24"/>
        </w:rPr>
        <w:t xml:space="preserve">be used to assess the difference in psychological outcomes between the two treatment groups using the same model as </w:t>
      </w:r>
      <w:r w:rsidR="00763CCC">
        <w:rPr>
          <w:rFonts w:cs="Arial"/>
          <w:color w:val="000000" w:themeColor="text1"/>
          <w:sz w:val="24"/>
        </w:rPr>
        <w:t>for the primary analysis</w:t>
      </w:r>
      <w:r w:rsidRPr="00AA7FD7">
        <w:rPr>
          <w:rFonts w:cs="Arial"/>
          <w:color w:val="000000" w:themeColor="text1"/>
          <w:sz w:val="24"/>
        </w:rPr>
        <w:t xml:space="preserve">. </w:t>
      </w:r>
    </w:p>
    <w:p w14:paraId="267E0C4F" w14:textId="77777777" w:rsidR="00F22413" w:rsidRPr="00AA7FD7" w:rsidRDefault="00F22413" w:rsidP="00AA7FD7">
      <w:pPr>
        <w:jc w:val="both"/>
        <w:rPr>
          <w:rFonts w:cs="Arial"/>
          <w:color w:val="000000" w:themeColor="text1"/>
          <w:sz w:val="24"/>
        </w:rPr>
      </w:pPr>
    </w:p>
    <w:p w14:paraId="6F961D54" w14:textId="7A457653" w:rsidR="00084D40" w:rsidRDefault="00F22413" w:rsidP="00AE0CAF">
      <w:pPr>
        <w:jc w:val="both"/>
        <w:rPr>
          <w:rFonts w:cs="Arial"/>
          <w:color w:val="000000" w:themeColor="text1"/>
          <w:sz w:val="24"/>
        </w:rPr>
      </w:pPr>
      <w:r w:rsidRPr="00AA7FD7">
        <w:rPr>
          <w:rFonts w:cs="Arial"/>
          <w:color w:val="000000" w:themeColor="text1"/>
          <w:sz w:val="24"/>
        </w:rPr>
        <w:t xml:space="preserve">A full statistical analysis plan </w:t>
      </w:r>
      <w:r w:rsidR="00A82209">
        <w:rPr>
          <w:rFonts w:cs="Arial"/>
          <w:color w:val="000000" w:themeColor="text1"/>
          <w:sz w:val="24"/>
        </w:rPr>
        <w:t>has been</w:t>
      </w:r>
      <w:r w:rsidRPr="00AA7FD7">
        <w:rPr>
          <w:rFonts w:cs="Arial"/>
          <w:color w:val="000000" w:themeColor="text1"/>
          <w:sz w:val="24"/>
        </w:rPr>
        <w:t xml:space="preserve"> written and </w:t>
      </w:r>
      <w:r w:rsidR="00A82209">
        <w:rPr>
          <w:rFonts w:cs="Arial"/>
          <w:color w:val="000000" w:themeColor="text1"/>
          <w:sz w:val="24"/>
        </w:rPr>
        <w:t xml:space="preserve">was </w:t>
      </w:r>
      <w:r w:rsidRPr="00AA7FD7">
        <w:rPr>
          <w:rFonts w:cs="Arial"/>
          <w:color w:val="000000" w:themeColor="text1"/>
          <w:sz w:val="24"/>
        </w:rPr>
        <w:t xml:space="preserve">circulated to the </w:t>
      </w:r>
      <w:r w:rsidR="004D0465" w:rsidRPr="00AA7FD7">
        <w:rPr>
          <w:rFonts w:cs="Arial"/>
          <w:color w:val="000000" w:themeColor="text1"/>
          <w:sz w:val="24"/>
        </w:rPr>
        <w:t xml:space="preserve">Trial Management Group </w:t>
      </w:r>
      <w:r w:rsidRPr="00AA7FD7">
        <w:rPr>
          <w:rFonts w:cs="Arial"/>
          <w:color w:val="000000" w:themeColor="text1"/>
          <w:sz w:val="24"/>
        </w:rPr>
        <w:t xml:space="preserve">and </w:t>
      </w:r>
      <w:r w:rsidR="002734EB">
        <w:rPr>
          <w:rFonts w:cs="Arial"/>
          <w:color w:val="000000" w:themeColor="text1"/>
          <w:sz w:val="24"/>
        </w:rPr>
        <w:t>Trial</w:t>
      </w:r>
      <w:r w:rsidR="004D0465" w:rsidRPr="00AA7FD7">
        <w:rPr>
          <w:rFonts w:cs="Arial"/>
          <w:color w:val="000000" w:themeColor="text1"/>
          <w:sz w:val="24"/>
        </w:rPr>
        <w:t xml:space="preserve"> Steering Committee</w:t>
      </w:r>
      <w:r w:rsidRPr="00AA7FD7">
        <w:rPr>
          <w:rFonts w:cs="Arial"/>
          <w:color w:val="000000" w:themeColor="text1"/>
          <w:sz w:val="24"/>
        </w:rPr>
        <w:t xml:space="preserve"> before being signed-off. </w:t>
      </w:r>
      <w:r w:rsidR="00944484">
        <w:rPr>
          <w:rFonts w:cs="Arial"/>
          <w:color w:val="000000" w:themeColor="text1"/>
          <w:sz w:val="24"/>
        </w:rPr>
        <w:t xml:space="preserve">This is available in supplementary material 5. </w:t>
      </w:r>
      <w:r w:rsidRPr="00AA7FD7">
        <w:rPr>
          <w:rFonts w:cs="Arial"/>
          <w:color w:val="000000" w:themeColor="text1"/>
          <w:sz w:val="24"/>
        </w:rPr>
        <w:t>All analysis results will be reported according to the revised CONSORT 2010 statement for cluster RCTs</w:t>
      </w:r>
      <w:r w:rsidR="00BD1DBF">
        <w:rPr>
          <w:rFonts w:cs="Arial"/>
          <w:color w:val="000000" w:themeColor="text1"/>
          <w:sz w:val="24"/>
        </w:rPr>
        <w:fldChar w:fldCharType="begin" w:fldLock="1"/>
      </w:r>
      <w:r w:rsidR="005D7FBE">
        <w:rPr>
          <w:rFonts w:cs="Arial"/>
          <w:color w:val="000000" w:themeColor="text1"/>
          <w:sz w:val="24"/>
        </w:rPr>
        <w:instrText>ADDIN CSL_CITATION {"citationItems":[{"id":"ITEM-1","itemData":{"DOI":"10.1136/BMJ.E5661","ISSN":"1756-1833","PMID":"22951546","abstract":"The Consolidated Standards of Reporting Trials (CONSORT) statement was developed to improve the reporting of randomised controlled trials. It was initially published in 1996 and focused on the reporting of parallel group randomised controlled trials. The statement was revised in 2001, with a further update in 2010. A separate CONSORT statement for the reporting of abstracts was published in 2008. In earlier papers we considered the implications of the 2001 version of the CONSORT statement for the reporting of cluster randomised trial. In this paper we provide updated and extended guidance, based on the 2010 version of the CONSORT statement and the 2008 CONSORT statement for the reporting of abstracts.\n\nMany journals now require that reports of trials conform to the guidelines in the Consolidated Standards of Reporting Trials (CONSORT) statement, first published in 1996,1 revised in 2001,2 and revised most recently in 2010.3 The statement includes a checklist of items that should be included in the trial report. These items are evidence based whenever possible and are regularly reviewed.4 The statement also recommends including a flow diagram to show the progression of participants from group assignment through to the final analysis. An explanation and elaboration of the rationale for the checklist items is provided in an accompanying article.4\n\nThe standard CONSORT statement focuses on reporting parallel group randomised controlled trials in which individual participants are randomly assigned to study groups. However, in some situations it is preferable to randomly assign groups of people (such as communities, families, or medical practices) rather than individuals. Reasons include the threat of “contamination” (the unintentional spill-over of intervention effects from one treatment group to another) of some interventions if individual randomisation is used.5 6 Also, in certain settings, randomisation by group may be the only feasible method …","author":[{"dropping-particle":"","family":"Campbell","given":"Marion K","non-dropping-particle":"","parse-names":false,"suffix":""},{"dropping-particle":"","family":"Piaggio","given":"Gilda","non-dropping-particle":"","parse-names":false,"suffix":""},{"dropping-particle":"","family":"Elbourne","given":"Diana R","non-dropping-particle":"","parse-names":false,"suffix":""},{"dropping-particle":"","family":"Altman","given":"Douglas G","non-dropping-particle":"","parse-names":false,"suffix":""},{"dropping-particle":"","family":"CONSORT Group","given":"","non-dropping-particle":"","parse-names":false,"suffix":""}],"container-title":"BMJ (Clinical research ed.)","id":"ITEM-1","issued":{"date-parts":[["2012","9","4"]]},"page":"e5661","publisher":"British Medical Journal Publishing Group","title":"Consort 2010 statement: extension to cluster randomised trials.","type":"article-journal","volume":"345"},"uris":["http://www.mendeley.com/documents/?uuid=5178097f-1465-3e06-a4a2-e2a82f736d4b"]}],"mendeley":{"formattedCitation":"[47]","plainTextFormattedCitation":"[47]","previouslyFormattedCitation":"[48]"},"properties":{"noteIndex":0},"schema":"https://github.com/citation-style-language/schema/raw/master/csl-citation.json"}</w:instrText>
      </w:r>
      <w:r w:rsidR="00BD1DBF">
        <w:rPr>
          <w:rFonts w:cs="Arial"/>
          <w:color w:val="000000" w:themeColor="text1"/>
          <w:sz w:val="24"/>
        </w:rPr>
        <w:fldChar w:fldCharType="separate"/>
      </w:r>
      <w:r w:rsidR="005D7FBE" w:rsidRPr="005D7FBE">
        <w:rPr>
          <w:rFonts w:cs="Arial"/>
          <w:noProof/>
          <w:color w:val="000000" w:themeColor="text1"/>
          <w:sz w:val="24"/>
        </w:rPr>
        <w:t>[47]</w:t>
      </w:r>
      <w:r w:rsidR="00BD1DBF">
        <w:rPr>
          <w:rFonts w:cs="Arial"/>
          <w:color w:val="000000" w:themeColor="text1"/>
          <w:sz w:val="24"/>
        </w:rPr>
        <w:fldChar w:fldCharType="end"/>
      </w:r>
      <w:r w:rsidR="00563662" w:rsidRPr="00AA7FD7">
        <w:rPr>
          <w:rFonts w:cs="Arial"/>
          <w:color w:val="000000" w:themeColor="text1"/>
          <w:sz w:val="24"/>
        </w:rPr>
        <w:t>.</w:t>
      </w:r>
    </w:p>
    <w:p w14:paraId="595B6BE7" w14:textId="1B632DE4" w:rsidR="00397986" w:rsidRDefault="00397986" w:rsidP="002734EB">
      <w:pPr>
        <w:jc w:val="both"/>
        <w:rPr>
          <w:rFonts w:cs="Arial"/>
          <w:color w:val="000000" w:themeColor="text1"/>
          <w:sz w:val="24"/>
        </w:rPr>
      </w:pPr>
    </w:p>
    <w:p w14:paraId="46E44B89" w14:textId="39E15EBA" w:rsidR="00397986" w:rsidRPr="00397986" w:rsidRDefault="00397986" w:rsidP="002734EB">
      <w:pPr>
        <w:jc w:val="both"/>
        <w:rPr>
          <w:rFonts w:cs="Arial"/>
          <w:b/>
          <w:bCs/>
          <w:color w:val="000000" w:themeColor="text1"/>
          <w:sz w:val="28"/>
          <w:szCs w:val="28"/>
        </w:rPr>
      </w:pPr>
      <w:r w:rsidRPr="00397986">
        <w:rPr>
          <w:rFonts w:cs="Arial"/>
          <w:b/>
          <w:bCs/>
          <w:color w:val="000000" w:themeColor="text1"/>
          <w:sz w:val="28"/>
          <w:szCs w:val="28"/>
        </w:rPr>
        <w:t xml:space="preserve">Data </w:t>
      </w:r>
      <w:r w:rsidR="00684D10">
        <w:rPr>
          <w:rFonts w:cs="Arial"/>
          <w:b/>
          <w:bCs/>
          <w:color w:val="000000" w:themeColor="text1"/>
          <w:sz w:val="28"/>
          <w:szCs w:val="28"/>
        </w:rPr>
        <w:t xml:space="preserve">collection and </w:t>
      </w:r>
      <w:r w:rsidRPr="00397986">
        <w:rPr>
          <w:rFonts w:cs="Arial"/>
          <w:b/>
          <w:bCs/>
          <w:color w:val="000000" w:themeColor="text1"/>
          <w:sz w:val="28"/>
          <w:szCs w:val="28"/>
        </w:rPr>
        <w:t>management</w:t>
      </w:r>
    </w:p>
    <w:p w14:paraId="73688B7C" w14:textId="77777777" w:rsidR="00397986" w:rsidRPr="00AA7FD7" w:rsidRDefault="00397986" w:rsidP="002734EB">
      <w:pPr>
        <w:jc w:val="both"/>
        <w:rPr>
          <w:rFonts w:cs="Arial"/>
          <w:color w:val="000000" w:themeColor="text1"/>
          <w:sz w:val="24"/>
        </w:rPr>
      </w:pPr>
    </w:p>
    <w:p w14:paraId="00CF5DE3" w14:textId="55D95A91" w:rsidR="00684D10" w:rsidRDefault="00397986" w:rsidP="005E2D89">
      <w:pPr>
        <w:jc w:val="both"/>
        <w:rPr>
          <w:rFonts w:cs="Arial"/>
          <w:sz w:val="24"/>
        </w:rPr>
      </w:pPr>
      <w:r w:rsidRPr="00944484">
        <w:rPr>
          <w:rFonts w:cs="Arial"/>
          <w:sz w:val="24"/>
          <w:lang w:eastAsia="zh-CN"/>
        </w:rPr>
        <w:t xml:space="preserve">Case </w:t>
      </w:r>
      <w:r w:rsidR="005E2D89">
        <w:rPr>
          <w:rFonts w:cs="Arial"/>
          <w:sz w:val="24"/>
          <w:lang w:eastAsia="zh-CN"/>
        </w:rPr>
        <w:t>r</w:t>
      </w:r>
      <w:r w:rsidRPr="00944484">
        <w:rPr>
          <w:rFonts w:cs="Arial"/>
          <w:sz w:val="24"/>
          <w:lang w:eastAsia="zh-CN"/>
        </w:rPr>
        <w:t xml:space="preserve">eport </w:t>
      </w:r>
      <w:r w:rsidR="005E2D89">
        <w:rPr>
          <w:rFonts w:cs="Arial"/>
          <w:sz w:val="24"/>
          <w:lang w:eastAsia="zh-CN"/>
        </w:rPr>
        <w:t>f</w:t>
      </w:r>
      <w:r w:rsidRPr="00944484">
        <w:rPr>
          <w:rFonts w:cs="Arial"/>
          <w:sz w:val="24"/>
          <w:lang w:eastAsia="zh-CN"/>
        </w:rPr>
        <w:t>orms will be completed by DAFNE facilitators/educators at each study visit. Follow-up questionnaires will be self-completed by participants</w:t>
      </w:r>
      <w:r w:rsidR="005E2D89">
        <w:rPr>
          <w:rFonts w:cs="Arial"/>
          <w:sz w:val="24"/>
          <w:lang w:eastAsia="zh-CN"/>
        </w:rPr>
        <w:t xml:space="preserve"> at each follow-up point</w:t>
      </w:r>
      <w:r w:rsidRPr="00944484">
        <w:rPr>
          <w:rFonts w:cs="Arial"/>
          <w:sz w:val="24"/>
          <w:lang w:eastAsia="zh-CN"/>
        </w:rPr>
        <w:t xml:space="preserve">. </w:t>
      </w:r>
      <w:r w:rsidR="00684D10" w:rsidRPr="00944484">
        <w:rPr>
          <w:rFonts w:cs="Arial"/>
          <w:sz w:val="24"/>
        </w:rPr>
        <w:t xml:space="preserve">Participants will be allocated a unique identification number to identify them throughout the trial. </w:t>
      </w:r>
    </w:p>
    <w:p w14:paraId="2B5FDCCA" w14:textId="17A60DC6" w:rsidR="00093BAE" w:rsidRDefault="00093BAE" w:rsidP="005E2D89">
      <w:pPr>
        <w:jc w:val="both"/>
        <w:rPr>
          <w:rFonts w:cs="Arial"/>
          <w:sz w:val="24"/>
        </w:rPr>
      </w:pPr>
    </w:p>
    <w:p w14:paraId="586B16FB" w14:textId="6525A58A" w:rsidR="00093BAE" w:rsidRDefault="00093BAE" w:rsidP="005E2D89">
      <w:pPr>
        <w:jc w:val="both"/>
        <w:rPr>
          <w:rFonts w:cs="Arial"/>
          <w:sz w:val="24"/>
        </w:rPr>
      </w:pPr>
      <w:r w:rsidRPr="00093BAE">
        <w:rPr>
          <w:rFonts w:cs="Arial"/>
          <w:sz w:val="24"/>
        </w:rPr>
        <w:t xml:space="preserve">Plans to promote retention and follow-up of all trial participants include research appointments being scheduled and followed up by their clinical teams at 6 and 12-months. </w:t>
      </w:r>
      <w:r>
        <w:rPr>
          <w:rFonts w:cs="Arial"/>
          <w:sz w:val="24"/>
        </w:rPr>
        <w:t>Overdue q</w:t>
      </w:r>
      <w:r w:rsidRPr="00093BAE">
        <w:rPr>
          <w:rFonts w:cs="Arial"/>
          <w:sz w:val="24"/>
        </w:rPr>
        <w:t xml:space="preserve">uestionnaires are followed-up with an email reminder and then </w:t>
      </w:r>
      <w:r>
        <w:rPr>
          <w:rFonts w:cs="Arial"/>
          <w:sz w:val="24"/>
        </w:rPr>
        <w:t>telephone call</w:t>
      </w:r>
      <w:r w:rsidRPr="00093BAE">
        <w:rPr>
          <w:rFonts w:cs="Arial"/>
          <w:sz w:val="24"/>
        </w:rPr>
        <w:t xml:space="preserve"> </w:t>
      </w:r>
      <w:r w:rsidR="00410D88">
        <w:rPr>
          <w:rFonts w:cs="Arial"/>
          <w:sz w:val="24"/>
        </w:rPr>
        <w:t>from</w:t>
      </w:r>
      <w:r>
        <w:rPr>
          <w:rFonts w:cs="Arial"/>
          <w:sz w:val="24"/>
        </w:rPr>
        <w:t xml:space="preserve"> CTRU</w:t>
      </w:r>
      <w:r w:rsidRPr="00093BAE">
        <w:rPr>
          <w:rFonts w:cs="Arial"/>
          <w:sz w:val="24"/>
        </w:rPr>
        <w:t xml:space="preserve">. </w:t>
      </w:r>
      <w:r w:rsidR="00410D88">
        <w:rPr>
          <w:rFonts w:cs="Arial"/>
          <w:sz w:val="24"/>
        </w:rPr>
        <w:t>A</w:t>
      </w:r>
      <w:r w:rsidRPr="00093BAE">
        <w:rPr>
          <w:rFonts w:cs="Arial"/>
          <w:sz w:val="24"/>
        </w:rPr>
        <w:t xml:space="preserve">ll participants </w:t>
      </w:r>
      <w:r w:rsidR="00410D88">
        <w:rPr>
          <w:rFonts w:cs="Arial"/>
          <w:sz w:val="24"/>
        </w:rPr>
        <w:t xml:space="preserve">received email newsletters </w:t>
      </w:r>
      <w:r w:rsidRPr="00093BAE">
        <w:rPr>
          <w:rFonts w:cs="Arial"/>
          <w:sz w:val="24"/>
        </w:rPr>
        <w:t xml:space="preserve">to update them </w:t>
      </w:r>
      <w:r w:rsidR="00460D54">
        <w:rPr>
          <w:rFonts w:cs="Arial"/>
          <w:sz w:val="24"/>
        </w:rPr>
        <w:t xml:space="preserve">on </w:t>
      </w:r>
      <w:r w:rsidRPr="00093BAE">
        <w:rPr>
          <w:rFonts w:cs="Arial"/>
          <w:sz w:val="24"/>
        </w:rPr>
        <w:t>trial progress.</w:t>
      </w:r>
    </w:p>
    <w:p w14:paraId="27368060" w14:textId="3A54BFCC" w:rsidR="00AB1396" w:rsidRDefault="00AB1396">
      <w:pPr>
        <w:jc w:val="both"/>
        <w:rPr>
          <w:rFonts w:cs="Arial"/>
          <w:sz w:val="24"/>
        </w:rPr>
      </w:pPr>
    </w:p>
    <w:p w14:paraId="11F23889" w14:textId="2F347443" w:rsidR="0049246F" w:rsidRDefault="00AB1396" w:rsidP="005E2D89">
      <w:pPr>
        <w:jc w:val="both"/>
        <w:rPr>
          <w:rFonts w:cs="Arial"/>
          <w:sz w:val="24"/>
        </w:rPr>
      </w:pPr>
      <w:r w:rsidRPr="00944484">
        <w:rPr>
          <w:rFonts w:cs="Arial"/>
          <w:sz w:val="24"/>
        </w:rPr>
        <w:t xml:space="preserve">Data will be entered </w:t>
      </w:r>
      <w:r w:rsidR="005E2D89">
        <w:rPr>
          <w:rFonts w:cs="Arial"/>
          <w:sz w:val="24"/>
        </w:rPr>
        <w:t>onto the DAFNE</w:t>
      </w:r>
      <w:r w:rsidR="005E2D89" w:rsidRPr="00A4534E">
        <w:rPr>
          <w:rFonts w:cs="Arial"/>
          <w:i/>
          <w:iCs/>
          <w:sz w:val="24"/>
        </w:rPr>
        <w:t>plus</w:t>
      </w:r>
      <w:r w:rsidR="005E2D89">
        <w:rPr>
          <w:rFonts w:cs="Arial"/>
          <w:sz w:val="24"/>
        </w:rPr>
        <w:t xml:space="preserve"> database on CTRU’s</w:t>
      </w:r>
      <w:r w:rsidRPr="00944484">
        <w:rPr>
          <w:rFonts w:cs="Arial"/>
          <w:sz w:val="24"/>
        </w:rPr>
        <w:t xml:space="preserve"> secure online </w:t>
      </w:r>
      <w:r w:rsidR="005E2D89">
        <w:rPr>
          <w:rFonts w:cs="Arial"/>
          <w:sz w:val="24"/>
        </w:rPr>
        <w:t>system</w:t>
      </w:r>
      <w:r w:rsidRPr="00944484">
        <w:rPr>
          <w:rFonts w:cs="Arial"/>
          <w:sz w:val="24"/>
        </w:rPr>
        <w:t xml:space="preserve">, hosted on University of Sheffield servers. </w:t>
      </w:r>
      <w:r w:rsidR="0049246F">
        <w:rPr>
          <w:rFonts w:cs="Arial"/>
          <w:sz w:val="24"/>
        </w:rPr>
        <w:t>Access is restricted such that users can enter and view only information required to perform their role.</w:t>
      </w:r>
    </w:p>
    <w:p w14:paraId="1B0E3FEB" w14:textId="77777777" w:rsidR="0049246F" w:rsidRDefault="0049246F" w:rsidP="005E2D89">
      <w:pPr>
        <w:jc w:val="both"/>
        <w:rPr>
          <w:rFonts w:cs="Arial"/>
          <w:sz w:val="24"/>
        </w:rPr>
      </w:pPr>
    </w:p>
    <w:p w14:paraId="604EB758" w14:textId="2AD9835F" w:rsidR="00AB1396" w:rsidRPr="00944484" w:rsidRDefault="00AB1396" w:rsidP="00AD285E">
      <w:pPr>
        <w:jc w:val="both"/>
        <w:rPr>
          <w:rFonts w:cs="Arial"/>
          <w:sz w:val="24"/>
        </w:rPr>
      </w:pPr>
      <w:r w:rsidRPr="00944484">
        <w:rPr>
          <w:rFonts w:cs="Arial"/>
          <w:sz w:val="24"/>
        </w:rPr>
        <w:t>Identifiable data will be shared with CTRU and the supporting study team and DAFNE</w:t>
      </w:r>
      <w:r w:rsidRPr="00944484">
        <w:rPr>
          <w:rFonts w:cs="Arial"/>
          <w:i/>
          <w:sz w:val="24"/>
        </w:rPr>
        <w:t>plus</w:t>
      </w:r>
      <w:r w:rsidRPr="00944484">
        <w:rPr>
          <w:rFonts w:cs="Arial"/>
          <w:sz w:val="24"/>
        </w:rPr>
        <w:t xml:space="preserve"> website teams. Consent will be obtained from the participant for this to occur. </w:t>
      </w:r>
      <w:r w:rsidRPr="00944484">
        <w:rPr>
          <w:rFonts w:cs="Arial"/>
          <w:sz w:val="24"/>
          <w:lang w:eastAsia="zh-CN"/>
        </w:rPr>
        <w:t xml:space="preserve">Data will be stored </w:t>
      </w:r>
      <w:r w:rsidR="0049246F">
        <w:rPr>
          <w:rFonts w:cs="Arial"/>
          <w:sz w:val="24"/>
          <w:lang w:eastAsia="zh-CN"/>
        </w:rPr>
        <w:t xml:space="preserve">securely on access-restricted network drive folders </w:t>
      </w:r>
      <w:r w:rsidRPr="00944484">
        <w:rPr>
          <w:rFonts w:cs="Arial"/>
          <w:sz w:val="24"/>
          <w:lang w:eastAsia="zh-CN"/>
        </w:rPr>
        <w:t>in accordance with CTRU standard operating procedures</w:t>
      </w:r>
      <w:r w:rsidR="009C7F44">
        <w:rPr>
          <w:rFonts w:cs="Arial"/>
          <w:sz w:val="24"/>
          <w:lang w:eastAsia="zh-CN"/>
        </w:rPr>
        <w:t xml:space="preserve"> (SOPs)</w:t>
      </w:r>
      <w:r w:rsidRPr="00944484">
        <w:rPr>
          <w:rFonts w:cs="Arial"/>
          <w:sz w:val="24"/>
          <w:lang w:eastAsia="zh-CN"/>
        </w:rPr>
        <w:t>.</w:t>
      </w:r>
    </w:p>
    <w:p w14:paraId="2E5189DC" w14:textId="77777777" w:rsidR="00684D10" w:rsidRPr="00684D10" w:rsidRDefault="00684D10" w:rsidP="00684D10">
      <w:pPr>
        <w:jc w:val="both"/>
        <w:rPr>
          <w:rFonts w:cs="Arial"/>
          <w:color w:val="000000" w:themeColor="text1"/>
          <w:sz w:val="24"/>
        </w:rPr>
      </w:pPr>
    </w:p>
    <w:p w14:paraId="09227FD6" w14:textId="77777777" w:rsidR="00684D10" w:rsidRPr="00684D10" w:rsidRDefault="00684D10" w:rsidP="00684D10">
      <w:pPr>
        <w:jc w:val="both"/>
        <w:rPr>
          <w:rFonts w:cs="Arial"/>
          <w:color w:val="000000" w:themeColor="text1"/>
          <w:sz w:val="24"/>
        </w:rPr>
      </w:pPr>
      <w:r w:rsidRPr="00684D10">
        <w:rPr>
          <w:rFonts w:cs="Arial"/>
          <w:color w:val="000000" w:themeColor="text1"/>
          <w:sz w:val="24"/>
        </w:rPr>
        <w:t>All consent forms and questionnaires will be kept in a locked filing cabinet in a secured area and will be retained for a minimum of 5 years after study completion, in accordance with the sponsor’s archiving requirements. Sheffield CTRU may request consent forms to be sent from the research site to the CTRU via post or email as part of remote monitoring procedures.</w:t>
      </w:r>
    </w:p>
    <w:p w14:paraId="0B8EFB97" w14:textId="77777777" w:rsidR="00684D10" w:rsidRPr="00684D10" w:rsidRDefault="00684D10" w:rsidP="00684D10">
      <w:pPr>
        <w:jc w:val="both"/>
        <w:rPr>
          <w:rFonts w:cs="Arial"/>
          <w:color w:val="000000" w:themeColor="text1"/>
          <w:sz w:val="24"/>
        </w:rPr>
      </w:pPr>
    </w:p>
    <w:p w14:paraId="2E2ED68F" w14:textId="7591A242" w:rsidR="00684D10" w:rsidRPr="00684D10" w:rsidRDefault="00684D10" w:rsidP="00E87EEB">
      <w:pPr>
        <w:shd w:val="clear" w:color="auto" w:fill="FFFFFF"/>
        <w:rPr>
          <w:rFonts w:cs="Arial"/>
          <w:color w:val="333333"/>
          <w:sz w:val="24"/>
          <w:lang w:eastAsia="zh-CN"/>
        </w:rPr>
      </w:pPr>
      <w:r w:rsidRPr="00684D10">
        <w:rPr>
          <w:rFonts w:cs="Arial"/>
          <w:color w:val="000000" w:themeColor="text1"/>
          <w:sz w:val="24"/>
        </w:rPr>
        <w:t>The nature, frequency and intensity of trial monitoring will be outlined in the site monitoring plan, which will be devised in accordance with CTRU SOPs.</w:t>
      </w:r>
    </w:p>
    <w:p w14:paraId="60039B85" w14:textId="79D166DE" w:rsidR="00944484" w:rsidRDefault="00944484" w:rsidP="00E87EEB">
      <w:pPr>
        <w:rPr>
          <w:b/>
          <w:bCs/>
          <w:sz w:val="28"/>
          <w:szCs w:val="32"/>
        </w:rPr>
      </w:pPr>
      <w:bookmarkStart w:id="10" w:name="_Toc519501949"/>
    </w:p>
    <w:p w14:paraId="37A7EEF2" w14:textId="77777777" w:rsidR="00861D2A" w:rsidRDefault="00861D2A" w:rsidP="00861D2A">
      <w:pPr>
        <w:rPr>
          <w:b/>
          <w:bCs/>
          <w:sz w:val="28"/>
          <w:szCs w:val="32"/>
        </w:rPr>
      </w:pPr>
      <w:r>
        <w:rPr>
          <w:b/>
          <w:bCs/>
          <w:sz w:val="28"/>
          <w:szCs w:val="32"/>
        </w:rPr>
        <w:t>Patient and Public Involvement</w:t>
      </w:r>
    </w:p>
    <w:p w14:paraId="7164430A" w14:textId="34B2032E" w:rsidR="00861D2A" w:rsidRDefault="00861D2A" w:rsidP="00861D2A">
      <w:pPr>
        <w:rPr>
          <w:bCs/>
          <w:sz w:val="24"/>
          <w:szCs w:val="32"/>
        </w:rPr>
      </w:pPr>
      <w:r w:rsidRPr="00501FD3">
        <w:rPr>
          <w:bCs/>
          <w:sz w:val="24"/>
          <w:szCs w:val="32"/>
        </w:rPr>
        <w:t xml:space="preserve">In addition to the patient representation on the </w:t>
      </w:r>
      <w:r>
        <w:rPr>
          <w:bCs/>
          <w:sz w:val="24"/>
          <w:szCs w:val="32"/>
        </w:rPr>
        <w:t>trial oversight committees, this trial is supported by a P</w:t>
      </w:r>
      <w:r w:rsidRPr="00501FD3">
        <w:rPr>
          <w:bCs/>
          <w:sz w:val="24"/>
          <w:szCs w:val="32"/>
        </w:rPr>
        <w:t xml:space="preserve">atient </w:t>
      </w:r>
      <w:r>
        <w:rPr>
          <w:bCs/>
          <w:sz w:val="24"/>
          <w:szCs w:val="32"/>
        </w:rPr>
        <w:t>Advisory G</w:t>
      </w:r>
      <w:r w:rsidRPr="00501FD3">
        <w:rPr>
          <w:bCs/>
          <w:sz w:val="24"/>
          <w:szCs w:val="32"/>
        </w:rPr>
        <w:t xml:space="preserve">roup who have and will continue to meet regularly during the conduct of the trial (and the wider programme grant). Patient input has been sought throughout on the </w:t>
      </w:r>
      <w:r>
        <w:rPr>
          <w:bCs/>
          <w:sz w:val="24"/>
          <w:szCs w:val="32"/>
        </w:rPr>
        <w:t xml:space="preserve">trial and intervention </w:t>
      </w:r>
      <w:r w:rsidRPr="00501FD3">
        <w:rPr>
          <w:bCs/>
          <w:sz w:val="24"/>
          <w:szCs w:val="32"/>
        </w:rPr>
        <w:t>design, the informational material to support trial conduct and patient burden.</w:t>
      </w:r>
    </w:p>
    <w:p w14:paraId="19B8B651" w14:textId="77777777" w:rsidR="00861D2A" w:rsidRDefault="00861D2A" w:rsidP="00861D2A">
      <w:pPr>
        <w:rPr>
          <w:b/>
          <w:bCs/>
          <w:sz w:val="28"/>
          <w:szCs w:val="32"/>
        </w:rPr>
      </w:pPr>
    </w:p>
    <w:p w14:paraId="15473FF3" w14:textId="2B89C97D" w:rsidR="00AB1396" w:rsidRPr="00AB1396" w:rsidRDefault="00AB1396" w:rsidP="00944484">
      <w:pPr>
        <w:rPr>
          <w:b/>
          <w:bCs/>
          <w:sz w:val="28"/>
          <w:szCs w:val="32"/>
        </w:rPr>
      </w:pPr>
      <w:r w:rsidRPr="00AB1396">
        <w:rPr>
          <w:b/>
          <w:bCs/>
          <w:sz w:val="28"/>
          <w:szCs w:val="32"/>
        </w:rPr>
        <w:t>Trial oversight committees</w:t>
      </w:r>
    </w:p>
    <w:bookmarkEnd w:id="10"/>
    <w:p w14:paraId="6E0E61F1" w14:textId="5A01E920" w:rsidR="00084D40" w:rsidRDefault="00AB1396" w:rsidP="00AA7FD7">
      <w:pPr>
        <w:jc w:val="both"/>
        <w:rPr>
          <w:rFonts w:cs="Arial"/>
          <w:iCs/>
          <w:color w:val="000000" w:themeColor="text1"/>
          <w:sz w:val="24"/>
        </w:rPr>
      </w:pPr>
      <w:r w:rsidRPr="00AB1396">
        <w:rPr>
          <w:sz w:val="24"/>
          <w:szCs w:val="28"/>
        </w:rPr>
        <w:t xml:space="preserve">Two oversight committees have been established to oversee the conduct of this trial – Trial Steering Committee </w:t>
      </w:r>
      <w:r w:rsidR="00861D2A">
        <w:rPr>
          <w:sz w:val="24"/>
          <w:szCs w:val="28"/>
        </w:rPr>
        <w:t xml:space="preserve">(TSC) </w:t>
      </w:r>
      <w:r w:rsidRPr="00AB1396">
        <w:rPr>
          <w:sz w:val="24"/>
          <w:szCs w:val="28"/>
        </w:rPr>
        <w:t>and Trial Management Group, the composit</w:t>
      </w:r>
      <w:r w:rsidR="00651AFA">
        <w:rPr>
          <w:sz w:val="24"/>
          <w:szCs w:val="28"/>
        </w:rPr>
        <w:t>ion of each is listed at the beginning</w:t>
      </w:r>
      <w:r w:rsidRPr="00AB1396">
        <w:rPr>
          <w:sz w:val="24"/>
          <w:szCs w:val="28"/>
        </w:rPr>
        <w:t xml:space="preserve"> of this paper.</w:t>
      </w:r>
      <w:r w:rsidRPr="00AB1396" w:rsidDel="00AB1396">
        <w:rPr>
          <w:sz w:val="24"/>
          <w:szCs w:val="28"/>
        </w:rPr>
        <w:t xml:space="preserve"> </w:t>
      </w:r>
      <w:r w:rsidR="0082774B">
        <w:rPr>
          <w:rFonts w:cs="Arial"/>
          <w:iCs/>
          <w:color w:val="000000" w:themeColor="text1"/>
          <w:sz w:val="24"/>
        </w:rPr>
        <w:t>A</w:t>
      </w:r>
      <w:r w:rsidR="00A1316F" w:rsidRPr="00AA7FD7">
        <w:rPr>
          <w:rFonts w:cs="Arial"/>
          <w:iCs/>
          <w:color w:val="000000" w:themeColor="text1"/>
          <w:sz w:val="24"/>
        </w:rPr>
        <w:t xml:space="preserve"> Data Monitoring and Ethics Committee </w:t>
      </w:r>
      <w:r w:rsidR="0082774B">
        <w:rPr>
          <w:rFonts w:cs="Arial"/>
          <w:iCs/>
          <w:color w:val="000000" w:themeColor="text1"/>
          <w:sz w:val="24"/>
        </w:rPr>
        <w:t>has not been convened</w:t>
      </w:r>
      <w:r w:rsidR="00A1316F" w:rsidRPr="00AA7FD7">
        <w:rPr>
          <w:rFonts w:cs="Arial"/>
          <w:iCs/>
          <w:color w:val="000000" w:themeColor="text1"/>
          <w:sz w:val="24"/>
        </w:rPr>
        <w:t xml:space="preserve">, on the grounds that the study is low risk, in line with CTRU </w:t>
      </w:r>
      <w:r w:rsidR="0082774B">
        <w:rPr>
          <w:rFonts w:cs="Arial"/>
          <w:iCs/>
          <w:color w:val="000000" w:themeColor="text1"/>
          <w:sz w:val="24"/>
        </w:rPr>
        <w:t>SOP</w:t>
      </w:r>
      <w:r w:rsidR="00A1316F" w:rsidRPr="00AA7FD7">
        <w:rPr>
          <w:rFonts w:cs="Arial"/>
          <w:iCs/>
          <w:color w:val="000000" w:themeColor="text1"/>
          <w:sz w:val="24"/>
        </w:rPr>
        <w:t xml:space="preserve"> GOV003. This has been approved by the Sponsor and </w:t>
      </w:r>
      <w:r w:rsidR="00162A93">
        <w:rPr>
          <w:rFonts w:cs="Arial"/>
          <w:iCs/>
          <w:color w:val="000000" w:themeColor="text1"/>
          <w:sz w:val="24"/>
        </w:rPr>
        <w:t>T</w:t>
      </w:r>
      <w:r w:rsidR="00A1316F" w:rsidRPr="00AA7FD7">
        <w:rPr>
          <w:rFonts w:cs="Arial"/>
          <w:iCs/>
          <w:color w:val="000000" w:themeColor="text1"/>
          <w:sz w:val="24"/>
        </w:rPr>
        <w:t>SC.</w:t>
      </w:r>
    </w:p>
    <w:p w14:paraId="7B06737C" w14:textId="41895F3F" w:rsidR="00303813" w:rsidRDefault="00303813" w:rsidP="00AA7FD7">
      <w:pPr>
        <w:jc w:val="both"/>
        <w:rPr>
          <w:rFonts w:cs="Arial"/>
          <w:iCs/>
          <w:color w:val="000000" w:themeColor="text1"/>
          <w:sz w:val="24"/>
        </w:rPr>
      </w:pPr>
    </w:p>
    <w:p w14:paraId="5781364E" w14:textId="1C65FA09" w:rsidR="00084D40" w:rsidRPr="00F547BB" w:rsidRDefault="00D34ECC" w:rsidP="00AA7FD7">
      <w:pPr>
        <w:jc w:val="both"/>
        <w:rPr>
          <w:rFonts w:cs="Arial"/>
          <w:b/>
          <w:bCs/>
          <w:color w:val="000000" w:themeColor="text1"/>
          <w:sz w:val="28"/>
          <w:szCs w:val="28"/>
        </w:rPr>
      </w:pPr>
      <w:bookmarkStart w:id="11" w:name="_Toc519501951"/>
      <w:r>
        <w:rPr>
          <w:b/>
          <w:bCs/>
          <w:color w:val="000000" w:themeColor="text1"/>
          <w:sz w:val="28"/>
          <w:szCs w:val="28"/>
        </w:rPr>
        <w:t>E</w:t>
      </w:r>
      <w:r w:rsidR="00F547BB" w:rsidRPr="00F547BB">
        <w:rPr>
          <w:b/>
          <w:bCs/>
          <w:color w:val="000000" w:themeColor="text1"/>
          <w:sz w:val="28"/>
          <w:szCs w:val="28"/>
        </w:rPr>
        <w:t>thics</w:t>
      </w:r>
      <w:r>
        <w:rPr>
          <w:b/>
          <w:bCs/>
          <w:color w:val="000000" w:themeColor="text1"/>
          <w:sz w:val="28"/>
          <w:szCs w:val="28"/>
        </w:rPr>
        <w:t xml:space="preserve"> and dissemination</w:t>
      </w:r>
      <w:bookmarkEnd w:id="11"/>
    </w:p>
    <w:p w14:paraId="4A394B4C" w14:textId="77777777" w:rsidR="00F547BB" w:rsidRDefault="00F547BB" w:rsidP="00F547BB">
      <w:pPr>
        <w:pStyle w:val="BodyText3"/>
        <w:spacing w:after="0"/>
        <w:jc w:val="both"/>
        <w:rPr>
          <w:rFonts w:cs="Arial"/>
          <w:color w:val="000000" w:themeColor="text1"/>
          <w:sz w:val="24"/>
          <w:szCs w:val="22"/>
        </w:rPr>
      </w:pPr>
    </w:p>
    <w:p w14:paraId="4EE7C182" w14:textId="3288D929" w:rsidR="00F547BB" w:rsidRDefault="00F547BB" w:rsidP="006E29AB">
      <w:pPr>
        <w:pStyle w:val="BodyText3"/>
        <w:spacing w:after="0"/>
        <w:jc w:val="both"/>
        <w:rPr>
          <w:rFonts w:cs="Arial"/>
          <w:color w:val="000000" w:themeColor="text1"/>
          <w:sz w:val="24"/>
          <w:szCs w:val="22"/>
        </w:rPr>
      </w:pPr>
      <w:r w:rsidRPr="00AA7FD7">
        <w:rPr>
          <w:rFonts w:cs="Arial"/>
          <w:color w:val="000000" w:themeColor="text1"/>
          <w:sz w:val="24"/>
          <w:szCs w:val="22"/>
        </w:rPr>
        <w:t xml:space="preserve">The RCT </w:t>
      </w:r>
      <w:r w:rsidR="006E29AB">
        <w:rPr>
          <w:rFonts w:cs="Arial"/>
          <w:color w:val="000000" w:themeColor="text1"/>
          <w:sz w:val="24"/>
          <w:szCs w:val="22"/>
        </w:rPr>
        <w:t>was</w:t>
      </w:r>
      <w:r w:rsidRPr="00AA7FD7">
        <w:rPr>
          <w:rFonts w:cs="Arial"/>
          <w:color w:val="000000" w:themeColor="text1"/>
          <w:sz w:val="24"/>
          <w:szCs w:val="22"/>
        </w:rPr>
        <w:t xml:space="preserve"> not initiated until the protocol, informed consent forms and participant information sheets received approval from the Research Ethics Committee, the Health Research Authority and local Capacity and Capability is confirmed by the respective National Health Service Research &amp; Development departments. MHRA approval </w:t>
      </w:r>
      <w:r w:rsidR="006E29AB">
        <w:rPr>
          <w:rFonts w:cs="Arial"/>
          <w:color w:val="000000" w:themeColor="text1"/>
          <w:sz w:val="24"/>
          <w:szCs w:val="22"/>
        </w:rPr>
        <w:t>was</w:t>
      </w:r>
      <w:r w:rsidRPr="00AA7FD7">
        <w:rPr>
          <w:rFonts w:cs="Arial"/>
          <w:color w:val="000000" w:themeColor="text1"/>
          <w:sz w:val="24"/>
          <w:szCs w:val="22"/>
        </w:rPr>
        <w:t xml:space="preserve"> not required for this study.</w:t>
      </w:r>
    </w:p>
    <w:p w14:paraId="2BF78AA5" w14:textId="77777777" w:rsidR="00F547BB" w:rsidRPr="00AA7FD7" w:rsidRDefault="00F547BB" w:rsidP="00F547BB">
      <w:pPr>
        <w:pStyle w:val="BodyText3"/>
        <w:spacing w:after="0"/>
        <w:jc w:val="both"/>
        <w:rPr>
          <w:rFonts w:cs="Arial"/>
          <w:color w:val="000000" w:themeColor="text1"/>
          <w:sz w:val="24"/>
          <w:szCs w:val="22"/>
        </w:rPr>
      </w:pPr>
    </w:p>
    <w:p w14:paraId="528E9D6E" w14:textId="0577D8BA" w:rsidR="00F547BB" w:rsidRDefault="00F547BB" w:rsidP="00AE0CAF">
      <w:pPr>
        <w:jc w:val="both"/>
        <w:rPr>
          <w:rFonts w:cs="Arial"/>
          <w:color w:val="000000" w:themeColor="text1"/>
          <w:sz w:val="24"/>
          <w:szCs w:val="22"/>
        </w:rPr>
      </w:pPr>
      <w:r w:rsidRPr="00AA7FD7">
        <w:rPr>
          <w:rFonts w:cs="Arial"/>
          <w:color w:val="000000" w:themeColor="text1"/>
          <w:sz w:val="24"/>
          <w:szCs w:val="22"/>
        </w:rPr>
        <w:t xml:space="preserve">The RCT </w:t>
      </w:r>
      <w:r w:rsidR="006E29AB">
        <w:rPr>
          <w:rFonts w:cs="Arial"/>
          <w:color w:val="000000" w:themeColor="text1"/>
          <w:sz w:val="24"/>
          <w:szCs w:val="22"/>
        </w:rPr>
        <w:t>is</w:t>
      </w:r>
      <w:r w:rsidRPr="00AA7FD7">
        <w:rPr>
          <w:rFonts w:cs="Arial"/>
          <w:color w:val="000000" w:themeColor="text1"/>
          <w:sz w:val="24"/>
          <w:szCs w:val="22"/>
        </w:rPr>
        <w:t xml:space="preserve"> be</w:t>
      </w:r>
      <w:r w:rsidR="006E29AB">
        <w:rPr>
          <w:rFonts w:cs="Arial"/>
          <w:color w:val="000000" w:themeColor="text1"/>
          <w:sz w:val="24"/>
          <w:szCs w:val="22"/>
        </w:rPr>
        <w:t>ing</w:t>
      </w:r>
      <w:r w:rsidRPr="00AA7FD7">
        <w:rPr>
          <w:rFonts w:cs="Arial"/>
          <w:color w:val="000000" w:themeColor="text1"/>
          <w:sz w:val="24"/>
          <w:szCs w:val="22"/>
        </w:rPr>
        <w:t xml:space="preserve"> conducted in accordance with the ethical principles that have their origin in the Declaration of Helsinki</w:t>
      </w:r>
      <w:r w:rsidR="00BD1DBF">
        <w:rPr>
          <w:rFonts w:cs="Arial"/>
          <w:color w:val="000000" w:themeColor="text1"/>
          <w:sz w:val="24"/>
          <w:szCs w:val="22"/>
        </w:rPr>
        <w:fldChar w:fldCharType="begin" w:fldLock="1"/>
      </w:r>
      <w:r w:rsidR="005D7FBE">
        <w:rPr>
          <w:rFonts w:cs="Arial"/>
          <w:color w:val="000000" w:themeColor="text1"/>
          <w:sz w:val="24"/>
          <w:szCs w:val="22"/>
        </w:rPr>
        <w:instrText>ADDIN CSL_CITATION {"citationItems":[{"id":"ITEM-1","itemData":{"author":[{"dropping-particle":"","family":"World Medical Association","given":"","non-dropping-particle":"","parse-names":false,"suffix":""}],"id":"ITEM-1","issued":{"date-parts":[["1996"]]},"title":"World Medical Association Declaration of Helsinki: Recommendations guiding physicians in biomedical research involving human subjects","type":"report"},"uris":["http://www.mendeley.com/documents/?uuid=a50a429f-d22d-4f31-9e2b-095df670d489"]}],"mendeley":{"formattedCitation":"[48]","plainTextFormattedCitation":"[48]","previouslyFormattedCitation":"[49]"},"properties":{"noteIndex":0},"schema":"https://github.com/citation-style-language/schema/raw/master/csl-citation.json"}</w:instrText>
      </w:r>
      <w:r w:rsidR="00BD1DBF">
        <w:rPr>
          <w:rFonts w:cs="Arial"/>
          <w:color w:val="000000" w:themeColor="text1"/>
          <w:sz w:val="24"/>
          <w:szCs w:val="22"/>
        </w:rPr>
        <w:fldChar w:fldCharType="separate"/>
      </w:r>
      <w:r w:rsidR="005D7FBE" w:rsidRPr="005D7FBE">
        <w:rPr>
          <w:rFonts w:cs="Arial"/>
          <w:noProof/>
          <w:color w:val="000000" w:themeColor="text1"/>
          <w:sz w:val="24"/>
          <w:szCs w:val="22"/>
        </w:rPr>
        <w:t>[48]</w:t>
      </w:r>
      <w:r w:rsidR="00BD1DBF">
        <w:rPr>
          <w:rFonts w:cs="Arial"/>
          <w:color w:val="000000" w:themeColor="text1"/>
          <w:sz w:val="24"/>
          <w:szCs w:val="22"/>
        </w:rPr>
        <w:fldChar w:fldCharType="end"/>
      </w:r>
      <w:r w:rsidRPr="00AA7FD7">
        <w:rPr>
          <w:rFonts w:cs="Arial"/>
          <w:color w:val="000000" w:themeColor="text1"/>
          <w:sz w:val="24"/>
          <w:szCs w:val="22"/>
        </w:rPr>
        <w:t xml:space="preserve">; the principles of Good Clinical Practice, and the </w:t>
      </w:r>
      <w:r>
        <w:rPr>
          <w:rFonts w:cs="Arial"/>
          <w:color w:val="000000" w:themeColor="text1"/>
          <w:sz w:val="24"/>
          <w:szCs w:val="22"/>
        </w:rPr>
        <w:t xml:space="preserve">UK </w:t>
      </w:r>
      <w:r w:rsidRPr="00AA7FD7">
        <w:rPr>
          <w:rFonts w:cs="Arial"/>
          <w:color w:val="000000" w:themeColor="text1"/>
          <w:sz w:val="24"/>
          <w:szCs w:val="22"/>
        </w:rPr>
        <w:t>Framework for Health and Social Care</w:t>
      </w:r>
      <w:r>
        <w:rPr>
          <w:rFonts w:cs="Arial"/>
          <w:color w:val="000000" w:themeColor="text1"/>
          <w:sz w:val="24"/>
          <w:szCs w:val="22"/>
        </w:rPr>
        <w:t xml:space="preserve"> Research</w:t>
      </w:r>
      <w:r w:rsidR="00BD1DBF">
        <w:rPr>
          <w:rFonts w:cs="Arial"/>
          <w:color w:val="000000" w:themeColor="text1"/>
          <w:sz w:val="24"/>
          <w:szCs w:val="22"/>
        </w:rPr>
        <w:fldChar w:fldCharType="begin" w:fldLock="1"/>
      </w:r>
      <w:r w:rsidR="005D7FBE">
        <w:rPr>
          <w:rFonts w:cs="Arial"/>
          <w:color w:val="000000" w:themeColor="text1"/>
          <w:sz w:val="24"/>
          <w:szCs w:val="22"/>
        </w:rPr>
        <w:instrText>ADDIN CSL_CITATION {"citationItems":[{"id":"ITEM-1","itemData":{"author":[{"dropping-particle":"","family":"Department of Health","given":"","non-dropping-particle":"","parse-names":false,"suffix":""}],"id":"ITEM-1","issued":{"date-parts":[["2017"]]},"title":"UK Framework for Health and Social Care Research","type":"report"},"uris":["http://www.mendeley.com/documents/?uuid=054244e4-e8d4-4358-a8ee-6c8d0b9309e2"]}],"mendeley":{"formattedCitation":"[49]","plainTextFormattedCitation":"[49]","previouslyFormattedCitation":"[50]"},"properties":{"noteIndex":0},"schema":"https://github.com/citation-style-language/schema/raw/master/csl-citation.json"}</w:instrText>
      </w:r>
      <w:r w:rsidR="00BD1DBF">
        <w:rPr>
          <w:rFonts w:cs="Arial"/>
          <w:color w:val="000000" w:themeColor="text1"/>
          <w:sz w:val="24"/>
          <w:szCs w:val="22"/>
        </w:rPr>
        <w:fldChar w:fldCharType="separate"/>
      </w:r>
      <w:r w:rsidR="005D7FBE" w:rsidRPr="005D7FBE">
        <w:rPr>
          <w:rFonts w:cs="Arial"/>
          <w:noProof/>
          <w:color w:val="000000" w:themeColor="text1"/>
          <w:sz w:val="24"/>
          <w:szCs w:val="22"/>
        </w:rPr>
        <w:t>[49]</w:t>
      </w:r>
      <w:r w:rsidR="00BD1DBF">
        <w:rPr>
          <w:rFonts w:cs="Arial"/>
          <w:color w:val="000000" w:themeColor="text1"/>
          <w:sz w:val="24"/>
          <w:szCs w:val="22"/>
        </w:rPr>
        <w:fldChar w:fldCharType="end"/>
      </w:r>
      <w:r w:rsidRPr="00AA7FD7">
        <w:rPr>
          <w:rFonts w:cs="Arial"/>
          <w:color w:val="000000" w:themeColor="text1"/>
          <w:sz w:val="24"/>
          <w:szCs w:val="22"/>
        </w:rPr>
        <w:t>.</w:t>
      </w:r>
    </w:p>
    <w:p w14:paraId="61C20A98" w14:textId="6C1D5DCE" w:rsidR="00D34ECC" w:rsidRDefault="00D34ECC" w:rsidP="00AE0CAF">
      <w:pPr>
        <w:jc w:val="both"/>
        <w:rPr>
          <w:rFonts w:cs="Arial"/>
          <w:color w:val="000000" w:themeColor="text1"/>
          <w:sz w:val="24"/>
          <w:szCs w:val="22"/>
        </w:rPr>
      </w:pPr>
    </w:p>
    <w:p w14:paraId="3DA499F4" w14:textId="6EB2F1B1" w:rsidR="00D34ECC" w:rsidRDefault="00D34ECC" w:rsidP="00AE0CAF">
      <w:pPr>
        <w:jc w:val="both"/>
        <w:rPr>
          <w:rFonts w:cs="Arial"/>
          <w:color w:val="000000" w:themeColor="text1"/>
          <w:sz w:val="24"/>
          <w:szCs w:val="22"/>
        </w:rPr>
      </w:pPr>
      <w:r>
        <w:rPr>
          <w:rFonts w:cs="Arial"/>
          <w:color w:val="000000" w:themeColor="text1"/>
          <w:sz w:val="24"/>
          <w:szCs w:val="22"/>
        </w:rPr>
        <w:t xml:space="preserve">Outputs from the trial will be generated in accordance with the communication and dissemination strategy. </w:t>
      </w:r>
      <w:r w:rsidRPr="00AA7FD7">
        <w:rPr>
          <w:rFonts w:cs="Arial"/>
          <w:color w:val="000000" w:themeColor="text1"/>
          <w:sz w:val="24"/>
          <w:szCs w:val="22"/>
        </w:rPr>
        <w:t xml:space="preserve">A number of academic outputs will be produced as the data are analysed </w:t>
      </w:r>
      <w:r>
        <w:rPr>
          <w:rFonts w:cs="Arial"/>
          <w:color w:val="000000" w:themeColor="text1"/>
          <w:sz w:val="24"/>
          <w:szCs w:val="22"/>
        </w:rPr>
        <w:t xml:space="preserve">from </w:t>
      </w:r>
      <w:r w:rsidRPr="00AA7FD7">
        <w:rPr>
          <w:rFonts w:cs="Arial"/>
          <w:color w:val="000000" w:themeColor="text1"/>
          <w:sz w:val="24"/>
          <w:szCs w:val="22"/>
        </w:rPr>
        <w:t>the trial. Journals will be selected based on the highest possible impact. Other stakeholder specific outputs in relevant formats will also be produced for commissioners, third sector, and user advocacy organisations.</w:t>
      </w:r>
    </w:p>
    <w:p w14:paraId="0CF7D469" w14:textId="77777777" w:rsidR="0003135F" w:rsidRDefault="0003135F" w:rsidP="0003135F">
      <w:pPr>
        <w:pBdr>
          <w:bottom w:val="single" w:sz="4" w:space="1" w:color="auto"/>
        </w:pBdr>
        <w:jc w:val="both"/>
        <w:rPr>
          <w:rFonts w:cs="Arial"/>
          <w:color w:val="000000" w:themeColor="text1"/>
        </w:rPr>
      </w:pPr>
    </w:p>
    <w:p w14:paraId="00BE78E9" w14:textId="77777777" w:rsidR="0003135F" w:rsidRDefault="0003135F" w:rsidP="00AA7FD7">
      <w:pPr>
        <w:jc w:val="both"/>
        <w:rPr>
          <w:rFonts w:cs="Arial"/>
          <w:b/>
          <w:color w:val="000000" w:themeColor="text1"/>
          <w:sz w:val="24"/>
        </w:rPr>
      </w:pPr>
    </w:p>
    <w:p w14:paraId="47A00453" w14:textId="77777777" w:rsidR="0003135F" w:rsidRDefault="0003135F">
      <w:pPr>
        <w:rPr>
          <w:rFonts w:cs="Arial"/>
          <w:b/>
          <w:color w:val="000000" w:themeColor="text1"/>
          <w:sz w:val="24"/>
        </w:rPr>
      </w:pPr>
      <w:r>
        <w:rPr>
          <w:rFonts w:cs="Arial"/>
          <w:b/>
          <w:color w:val="000000" w:themeColor="text1"/>
          <w:sz w:val="24"/>
        </w:rPr>
        <w:br w:type="page"/>
      </w:r>
    </w:p>
    <w:p w14:paraId="63A9C43C" w14:textId="26312D35" w:rsidR="004E2698" w:rsidRPr="004E2698" w:rsidRDefault="004E2698" w:rsidP="00AA7FD7">
      <w:pPr>
        <w:jc w:val="both"/>
        <w:rPr>
          <w:rFonts w:cs="Arial"/>
          <w:b/>
          <w:color w:val="000000" w:themeColor="text1"/>
          <w:sz w:val="28"/>
        </w:rPr>
      </w:pPr>
      <w:r w:rsidRPr="004E2698">
        <w:rPr>
          <w:rFonts w:cs="Arial"/>
          <w:b/>
          <w:color w:val="000000" w:themeColor="text1"/>
          <w:sz w:val="24"/>
        </w:rPr>
        <w:lastRenderedPageBreak/>
        <w:t>Acknowledgements</w:t>
      </w:r>
    </w:p>
    <w:p w14:paraId="5A66ECCA" w14:textId="7E3D62D1" w:rsidR="004E2698" w:rsidRPr="004E2698" w:rsidRDefault="004E2698" w:rsidP="00AA7FD7">
      <w:pPr>
        <w:jc w:val="both"/>
        <w:rPr>
          <w:rFonts w:cs="Arial"/>
          <w:color w:val="000000" w:themeColor="text1"/>
          <w:sz w:val="24"/>
        </w:rPr>
      </w:pPr>
      <w:r w:rsidRPr="004E2698">
        <w:rPr>
          <w:rFonts w:cs="Arial"/>
          <w:color w:val="000000" w:themeColor="text1"/>
          <w:sz w:val="24"/>
        </w:rPr>
        <w:t>The authors would like to thank all of the patients who are taking par</w:t>
      </w:r>
      <w:r w:rsidR="009E4484">
        <w:rPr>
          <w:rFonts w:cs="Arial"/>
          <w:color w:val="000000" w:themeColor="text1"/>
          <w:sz w:val="24"/>
        </w:rPr>
        <w:t xml:space="preserve">t in this trial, and all the participating </w:t>
      </w:r>
      <w:r w:rsidRPr="004E2698">
        <w:rPr>
          <w:rFonts w:cs="Arial"/>
          <w:color w:val="000000" w:themeColor="text1"/>
          <w:sz w:val="24"/>
        </w:rPr>
        <w:t>clinical sites. The authors would also li</w:t>
      </w:r>
      <w:r w:rsidR="009E4484">
        <w:rPr>
          <w:rFonts w:cs="Arial"/>
          <w:color w:val="000000" w:themeColor="text1"/>
          <w:sz w:val="24"/>
        </w:rPr>
        <w:t xml:space="preserve">ke to thank Becky Brown for </w:t>
      </w:r>
      <w:r w:rsidRPr="004E2698">
        <w:rPr>
          <w:rFonts w:cs="Arial"/>
          <w:color w:val="000000" w:themeColor="text1"/>
          <w:sz w:val="24"/>
        </w:rPr>
        <w:t>administrative support to the trial</w:t>
      </w:r>
      <w:r>
        <w:rPr>
          <w:rFonts w:cs="Arial"/>
          <w:color w:val="000000" w:themeColor="text1"/>
          <w:sz w:val="24"/>
        </w:rPr>
        <w:t>, and Chris Turtle for data management</w:t>
      </w:r>
      <w:r w:rsidRPr="004E2698">
        <w:rPr>
          <w:rFonts w:cs="Arial"/>
          <w:color w:val="000000" w:themeColor="text1"/>
          <w:sz w:val="24"/>
        </w:rPr>
        <w:t xml:space="preserve">. </w:t>
      </w:r>
    </w:p>
    <w:p w14:paraId="34253A88" w14:textId="77777777" w:rsidR="004E2698" w:rsidRPr="004E2698" w:rsidRDefault="004E2698" w:rsidP="00AA7FD7">
      <w:pPr>
        <w:jc w:val="both"/>
        <w:rPr>
          <w:rFonts w:cs="Arial"/>
          <w:color w:val="000000" w:themeColor="text1"/>
          <w:sz w:val="24"/>
          <w:highlight w:val="yellow"/>
        </w:rPr>
      </w:pPr>
    </w:p>
    <w:p w14:paraId="18E44B43" w14:textId="13434694" w:rsidR="00DA22E3" w:rsidRPr="00737743" w:rsidRDefault="00DA22E3" w:rsidP="00AA7FD7">
      <w:pPr>
        <w:jc w:val="both"/>
        <w:rPr>
          <w:rFonts w:cs="Arial"/>
          <w:b/>
          <w:color w:val="000000" w:themeColor="text1"/>
          <w:sz w:val="24"/>
        </w:rPr>
      </w:pPr>
      <w:r w:rsidRPr="00737743">
        <w:rPr>
          <w:rFonts w:cs="Arial"/>
          <w:b/>
          <w:color w:val="000000" w:themeColor="text1"/>
          <w:sz w:val="24"/>
        </w:rPr>
        <w:t>Conflicts of interest</w:t>
      </w:r>
    </w:p>
    <w:p w14:paraId="16F76712" w14:textId="26B6BC3B" w:rsidR="004E2698" w:rsidRPr="00737743" w:rsidRDefault="00737743" w:rsidP="00AA7FD7">
      <w:pPr>
        <w:jc w:val="both"/>
        <w:rPr>
          <w:rFonts w:cs="Arial"/>
          <w:color w:val="000000"/>
          <w:sz w:val="24"/>
        </w:rPr>
      </w:pPr>
      <w:r w:rsidRPr="00737743">
        <w:rPr>
          <w:rFonts w:cs="Arial"/>
          <w:color w:val="000000"/>
          <w:sz w:val="24"/>
        </w:rPr>
        <w:t xml:space="preserve">SA reports Advisory Board membership for Novonordisk, Medtronic, Roche and Abbott. MC reports personal fees from University of Sheffield. DP reports non-financial support from Novo Nordisk, Eli Lilly and Company Limited, Abbott Diabetes Care, Sanofi-Aventis and Medtronic. </w:t>
      </w:r>
      <w:r w:rsidRPr="00737743">
        <w:rPr>
          <w:rFonts w:cs="Arial"/>
          <w:color w:val="000000" w:themeColor="text1"/>
          <w:sz w:val="24"/>
        </w:rPr>
        <w:t xml:space="preserve">SH reports </w:t>
      </w:r>
      <w:r w:rsidRPr="00737743">
        <w:rPr>
          <w:rFonts w:cs="Arial"/>
          <w:color w:val="000000"/>
          <w:sz w:val="24"/>
        </w:rPr>
        <w:t>Advisory board membership and consultancy for Sanofi-Aventis, Boeringher</w:t>
      </w:r>
      <w:r w:rsidRPr="00737743">
        <w:rPr>
          <w:rFonts w:ascii="Cambria Math" w:hAnsi="Cambria Math" w:cs="Cambria Math"/>
          <w:color w:val="000000"/>
          <w:sz w:val="24"/>
        </w:rPr>
        <w:t>‐</w:t>
      </w:r>
      <w:r w:rsidRPr="00737743">
        <w:rPr>
          <w:rFonts w:cs="Arial"/>
          <w:color w:val="000000"/>
          <w:sz w:val="24"/>
        </w:rPr>
        <w:t>Ingelheim, Eli-Lilly, Novo</w:t>
      </w:r>
      <w:r w:rsidRPr="00737743">
        <w:rPr>
          <w:rFonts w:ascii="Cambria Math" w:hAnsi="Cambria Math" w:cs="Cambria Math"/>
          <w:color w:val="000000"/>
          <w:sz w:val="24"/>
        </w:rPr>
        <w:t>‐</w:t>
      </w:r>
      <w:r w:rsidRPr="00737743">
        <w:rPr>
          <w:rFonts w:cs="Arial"/>
          <w:color w:val="000000"/>
          <w:sz w:val="24"/>
        </w:rPr>
        <w:t>Nordisk, Springer Medical, Zealand Pharma and UN-EEG. Personal fees for speaker panels for Novo</w:t>
      </w:r>
      <w:r w:rsidRPr="00737743">
        <w:rPr>
          <w:rFonts w:ascii="Cambria Math" w:hAnsi="Cambria Math" w:cs="Cambria Math"/>
          <w:color w:val="000000"/>
          <w:sz w:val="24"/>
        </w:rPr>
        <w:t>‐</w:t>
      </w:r>
      <w:r w:rsidRPr="00737743">
        <w:rPr>
          <w:rFonts w:cs="Arial"/>
          <w:color w:val="000000"/>
          <w:sz w:val="24"/>
        </w:rPr>
        <w:t xml:space="preserve">Nordisk. </w:t>
      </w:r>
      <w:r w:rsidRPr="00737743">
        <w:rPr>
          <w:rFonts w:cs="Arial"/>
          <w:color w:val="000000" w:themeColor="text1"/>
          <w:sz w:val="24"/>
        </w:rPr>
        <w:t xml:space="preserve">JS reports </w:t>
      </w:r>
      <w:r w:rsidRPr="00737743">
        <w:rPr>
          <w:rFonts w:cs="Arial"/>
          <w:color w:val="000000"/>
          <w:sz w:val="24"/>
        </w:rPr>
        <w:t>Personal fees, non-financial support and other (advisory board membership/support to attend educational meetings) from Medtronic, Roche Diabetes Care and Sanofi Diabetes, grants and personal fees from Abbott Diabetes Care, grants and personal fees from AstraZeneca.</w:t>
      </w:r>
    </w:p>
    <w:p w14:paraId="2AB7160B" w14:textId="4CD58002" w:rsidR="00DA22E3" w:rsidRPr="004E2698" w:rsidRDefault="00DA22E3" w:rsidP="00AA7FD7">
      <w:pPr>
        <w:jc w:val="both"/>
        <w:rPr>
          <w:rFonts w:cs="Arial"/>
          <w:color w:val="000000" w:themeColor="text1"/>
          <w:sz w:val="24"/>
          <w:highlight w:val="yellow"/>
        </w:rPr>
      </w:pPr>
    </w:p>
    <w:p w14:paraId="359CA8AA" w14:textId="2AD4FB37" w:rsidR="00DA22E3" w:rsidRPr="004E2698" w:rsidRDefault="00DA22E3" w:rsidP="00AA7FD7">
      <w:pPr>
        <w:jc w:val="both"/>
        <w:rPr>
          <w:rFonts w:cs="Arial"/>
          <w:b/>
          <w:color w:val="000000" w:themeColor="text1"/>
          <w:sz w:val="24"/>
        </w:rPr>
      </w:pPr>
      <w:r w:rsidRPr="004E2698">
        <w:rPr>
          <w:rFonts w:cs="Arial"/>
          <w:b/>
          <w:color w:val="000000" w:themeColor="text1"/>
          <w:sz w:val="24"/>
        </w:rPr>
        <w:t>Data statement</w:t>
      </w:r>
    </w:p>
    <w:p w14:paraId="47B63596" w14:textId="619BE44E" w:rsidR="00DA22E3" w:rsidRPr="004E2698" w:rsidRDefault="00DA22E3" w:rsidP="00AA7FD7">
      <w:pPr>
        <w:jc w:val="both"/>
        <w:rPr>
          <w:rFonts w:cs="Arial"/>
          <w:color w:val="000000" w:themeColor="text1"/>
          <w:sz w:val="24"/>
        </w:rPr>
      </w:pPr>
      <w:r w:rsidRPr="004E2698">
        <w:rPr>
          <w:rFonts w:cs="Arial"/>
          <w:color w:val="000000" w:themeColor="text1"/>
          <w:sz w:val="24"/>
        </w:rPr>
        <w:t>No data from this protocol are available. Only approved personnel may access the data. Data and statistical code will be available on request.</w:t>
      </w:r>
    </w:p>
    <w:p w14:paraId="24C5B33C" w14:textId="4F79D1E6" w:rsidR="00DA22E3" w:rsidRPr="004E2698" w:rsidRDefault="00DA22E3" w:rsidP="00AA7FD7">
      <w:pPr>
        <w:jc w:val="both"/>
        <w:rPr>
          <w:rFonts w:cs="Arial"/>
          <w:color w:val="000000" w:themeColor="text1"/>
          <w:sz w:val="24"/>
          <w:highlight w:val="yellow"/>
        </w:rPr>
      </w:pPr>
    </w:p>
    <w:p w14:paraId="437AD7FA" w14:textId="77777777" w:rsidR="00737743" w:rsidRDefault="00DA22E3" w:rsidP="00AA7FD7">
      <w:pPr>
        <w:jc w:val="both"/>
        <w:rPr>
          <w:rFonts w:cs="Arial"/>
          <w:b/>
          <w:color w:val="000000" w:themeColor="text1"/>
          <w:sz w:val="24"/>
        </w:rPr>
      </w:pPr>
      <w:r w:rsidRPr="00475628">
        <w:rPr>
          <w:rFonts w:cs="Arial"/>
          <w:b/>
          <w:color w:val="000000" w:themeColor="text1"/>
          <w:sz w:val="24"/>
        </w:rPr>
        <w:t>Author contributions</w:t>
      </w:r>
    </w:p>
    <w:p w14:paraId="5F49F617" w14:textId="145B3081" w:rsidR="00680611" w:rsidRPr="00680611" w:rsidRDefault="00680611" w:rsidP="00680611">
      <w:pPr>
        <w:jc w:val="both"/>
        <w:rPr>
          <w:rFonts w:cs="Arial"/>
          <w:sz w:val="24"/>
        </w:rPr>
      </w:pPr>
      <w:bookmarkStart w:id="12" w:name="_GoBack"/>
      <w:r w:rsidRPr="00680611">
        <w:rPr>
          <w:rFonts w:cs="Arial"/>
          <w:sz w:val="24"/>
        </w:rPr>
        <w:t>ES, TC, ECr, and JSc have responsibility for running the trial and acquisition of the trial data, under the leadership of SH as Chief Investigator. All other authors (ECo, SA, WB, MB, AB, MJC, PC, PCh, DC, CC, NdZ, ME, JE, CG, TG, DH, ZH, JL, FL, SM, DJP, DR, JS, SSF, CT, GT, NT, LY, AZ, SH) made substantial contributions to the conception or design of the work, whether as co-investigators and/or as members of the Trial Management Group. ECo prepared the first draft of the manuscript and edited this with input from other authors. All authors provided critical review and approval of the final manuscript.</w:t>
      </w:r>
      <w:bookmarkEnd w:id="12"/>
    </w:p>
    <w:p w14:paraId="1855204F" w14:textId="77777777" w:rsidR="000A391D" w:rsidRDefault="000A391D" w:rsidP="00AA7FD7">
      <w:pPr>
        <w:jc w:val="both"/>
        <w:rPr>
          <w:rFonts w:cs="Arial"/>
          <w:color w:val="000000" w:themeColor="text1"/>
          <w:sz w:val="24"/>
        </w:rPr>
      </w:pPr>
    </w:p>
    <w:p w14:paraId="1E51453B" w14:textId="77777777" w:rsidR="00303813" w:rsidRPr="00DD1E9C" w:rsidRDefault="00303813" w:rsidP="00303813">
      <w:pPr>
        <w:jc w:val="both"/>
        <w:rPr>
          <w:rFonts w:cs="Arial"/>
          <w:b/>
          <w:color w:val="000000" w:themeColor="text1"/>
          <w:sz w:val="24"/>
        </w:rPr>
      </w:pPr>
      <w:r w:rsidRPr="00DD1E9C">
        <w:rPr>
          <w:rFonts w:cs="Arial"/>
          <w:b/>
          <w:color w:val="000000" w:themeColor="text1"/>
          <w:sz w:val="24"/>
        </w:rPr>
        <w:t>Funding</w:t>
      </w:r>
      <w:r>
        <w:rPr>
          <w:rFonts w:cs="Arial"/>
          <w:b/>
          <w:color w:val="000000" w:themeColor="text1"/>
          <w:sz w:val="24"/>
        </w:rPr>
        <w:t>:</w:t>
      </w:r>
      <w:r w:rsidRPr="00DD1E9C">
        <w:rPr>
          <w:rFonts w:cs="Arial"/>
          <w:b/>
          <w:color w:val="000000" w:themeColor="text1"/>
          <w:sz w:val="24"/>
        </w:rPr>
        <w:t xml:space="preserve"> </w:t>
      </w:r>
    </w:p>
    <w:p w14:paraId="2D5E8641" w14:textId="2ED9B0B4" w:rsidR="00303813" w:rsidRDefault="00303813" w:rsidP="00303813">
      <w:pPr>
        <w:jc w:val="both"/>
        <w:rPr>
          <w:rFonts w:cs="Arial"/>
          <w:color w:val="000000" w:themeColor="text1"/>
          <w:sz w:val="24"/>
        </w:rPr>
      </w:pPr>
      <w:r w:rsidRPr="00E03C03">
        <w:rPr>
          <w:rFonts w:cs="Arial"/>
          <w:color w:val="000000" w:themeColor="text1"/>
          <w:sz w:val="24"/>
        </w:rPr>
        <w:t xml:space="preserve">This </w:t>
      </w:r>
      <w:r>
        <w:rPr>
          <w:rFonts w:cs="Arial"/>
          <w:color w:val="000000" w:themeColor="text1"/>
          <w:sz w:val="24"/>
        </w:rPr>
        <w:t>work</w:t>
      </w:r>
      <w:r w:rsidRPr="00E03C03">
        <w:rPr>
          <w:rFonts w:cs="Arial"/>
          <w:color w:val="000000" w:themeColor="text1"/>
          <w:sz w:val="24"/>
        </w:rPr>
        <w:t xml:space="preserve"> is funded by the National Institute for Health Research through their Programme Grants for Applied Research Programme</w:t>
      </w:r>
      <w:r>
        <w:rPr>
          <w:rFonts w:cs="Arial"/>
          <w:color w:val="000000" w:themeColor="text1"/>
          <w:sz w:val="24"/>
        </w:rPr>
        <w:t xml:space="preserve"> (Ref: RP-PG-0514-20013) and NHS England provide funding for Excess Treatment Costs</w:t>
      </w:r>
      <w:r w:rsidRPr="00E03C03">
        <w:rPr>
          <w:rFonts w:cs="Arial"/>
          <w:color w:val="000000" w:themeColor="text1"/>
          <w:sz w:val="24"/>
        </w:rPr>
        <w:t>.</w:t>
      </w:r>
    </w:p>
    <w:p w14:paraId="4439E956" w14:textId="07407E70" w:rsidR="00737743" w:rsidRDefault="00737743" w:rsidP="00AA7FD7">
      <w:pPr>
        <w:jc w:val="both"/>
        <w:rPr>
          <w:rFonts w:cs="Arial"/>
          <w:color w:val="000000" w:themeColor="text1"/>
          <w:sz w:val="24"/>
        </w:rPr>
      </w:pPr>
    </w:p>
    <w:p w14:paraId="0794CE24" w14:textId="581E199C" w:rsidR="00737743" w:rsidRPr="00737743" w:rsidRDefault="00737743" w:rsidP="00AA7FD7">
      <w:pPr>
        <w:jc w:val="both"/>
        <w:rPr>
          <w:rFonts w:cs="Arial"/>
          <w:color w:val="000000" w:themeColor="text1"/>
          <w:sz w:val="24"/>
        </w:rPr>
      </w:pPr>
    </w:p>
    <w:p w14:paraId="1F00EE74" w14:textId="77777777" w:rsidR="00E87EEB" w:rsidRDefault="00E87EEB">
      <w:pPr>
        <w:rPr>
          <w:rFonts w:cs="Arial"/>
          <w:b/>
          <w:bCs/>
          <w:color w:val="000000" w:themeColor="text1"/>
          <w:kern w:val="32"/>
          <w:sz w:val="32"/>
          <w:szCs w:val="32"/>
        </w:rPr>
      </w:pPr>
      <w:bookmarkStart w:id="13" w:name="_Toc519501957"/>
      <w:r>
        <w:rPr>
          <w:color w:val="000000" w:themeColor="text1"/>
        </w:rPr>
        <w:br w:type="page"/>
      </w:r>
    </w:p>
    <w:p w14:paraId="551EAC42" w14:textId="7B26EA8C" w:rsidR="00084D40" w:rsidRPr="00AA7FD7" w:rsidRDefault="00084D40" w:rsidP="00AA7FD7">
      <w:pPr>
        <w:pStyle w:val="Heading1"/>
        <w:spacing w:before="0" w:after="0"/>
        <w:jc w:val="both"/>
        <w:rPr>
          <w:color w:val="000000" w:themeColor="text1"/>
        </w:rPr>
      </w:pPr>
      <w:r w:rsidRPr="00AA7FD7">
        <w:rPr>
          <w:color w:val="000000" w:themeColor="text1"/>
        </w:rPr>
        <w:lastRenderedPageBreak/>
        <w:t>References</w:t>
      </w:r>
      <w:bookmarkEnd w:id="13"/>
    </w:p>
    <w:p w14:paraId="14C3365F" w14:textId="77777777" w:rsidR="00084D40" w:rsidRPr="00E03C03" w:rsidRDefault="00084D40" w:rsidP="00412AB5">
      <w:pPr>
        <w:jc w:val="both"/>
        <w:rPr>
          <w:color w:val="000000" w:themeColor="text1"/>
        </w:rPr>
      </w:pPr>
    </w:p>
    <w:p w14:paraId="34DAE46B" w14:textId="79B1E881" w:rsidR="005D7FBE" w:rsidRPr="005D7FBE" w:rsidRDefault="00633CFF" w:rsidP="005D7FBE">
      <w:pPr>
        <w:widowControl w:val="0"/>
        <w:autoSpaceDE w:val="0"/>
        <w:autoSpaceDN w:val="0"/>
        <w:adjustRightInd w:val="0"/>
        <w:ind w:left="640" w:hanging="640"/>
        <w:rPr>
          <w:rFonts w:cs="Arial"/>
          <w:noProof/>
        </w:rPr>
      </w:pPr>
      <w:r w:rsidRPr="00276F5F">
        <w:rPr>
          <w:color w:val="000000" w:themeColor="text1"/>
        </w:rPr>
        <w:fldChar w:fldCharType="begin" w:fldLock="1"/>
      </w:r>
      <w:r w:rsidRPr="00276F5F">
        <w:rPr>
          <w:color w:val="000000" w:themeColor="text1"/>
        </w:rPr>
        <w:instrText xml:space="preserve">ADDIN Mendeley Bibliography CSL_BIBLIOGRAPHY </w:instrText>
      </w:r>
      <w:r w:rsidRPr="00276F5F">
        <w:rPr>
          <w:color w:val="000000" w:themeColor="text1"/>
        </w:rPr>
        <w:fldChar w:fldCharType="separate"/>
      </w:r>
      <w:r w:rsidR="005D7FBE" w:rsidRPr="005D7FBE">
        <w:rPr>
          <w:rFonts w:cs="Arial"/>
          <w:noProof/>
        </w:rPr>
        <w:t xml:space="preserve">1 </w:t>
      </w:r>
      <w:r w:rsidR="005D7FBE" w:rsidRPr="005D7FBE">
        <w:rPr>
          <w:rFonts w:cs="Arial"/>
          <w:noProof/>
        </w:rPr>
        <w:tab/>
        <w:t>Diabetes UK. Diabetes UK: Facts and Stats, October 2016. 2016.</w:t>
      </w:r>
    </w:p>
    <w:p w14:paraId="4C79BF1A"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 </w:t>
      </w:r>
      <w:r w:rsidRPr="005D7FBE">
        <w:rPr>
          <w:rFonts w:cs="Arial"/>
          <w:noProof/>
        </w:rPr>
        <w:tab/>
        <w:t xml:space="preserve">Group TDC and CTR. The Effect of Intensive Treatment of Diabetes on the Development and Progression of Long-Term Complications in Insulin-Dependent Diabetes Mellitus. </w:t>
      </w:r>
      <w:r w:rsidRPr="005D7FBE">
        <w:rPr>
          <w:rFonts w:cs="Arial"/>
          <w:i/>
          <w:iCs/>
          <w:noProof/>
        </w:rPr>
        <w:t>N Engl J Med</w:t>
      </w:r>
      <w:r w:rsidRPr="005D7FBE">
        <w:rPr>
          <w:rFonts w:cs="Arial"/>
          <w:noProof/>
        </w:rPr>
        <w:t xml:space="preserve"> 1993;</w:t>
      </w:r>
      <w:r w:rsidRPr="005D7FBE">
        <w:rPr>
          <w:rFonts w:cs="Arial"/>
          <w:b/>
          <w:bCs/>
          <w:noProof/>
        </w:rPr>
        <w:t>329</w:t>
      </w:r>
      <w:r w:rsidRPr="005D7FBE">
        <w:rPr>
          <w:rFonts w:cs="Arial"/>
          <w:noProof/>
        </w:rPr>
        <w:t>:977–86. doi:10.1056/NEJM199309303291401</w:t>
      </w:r>
    </w:p>
    <w:p w14:paraId="75A5274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 </w:t>
      </w:r>
      <w:r w:rsidRPr="005D7FBE">
        <w:rPr>
          <w:rFonts w:cs="Arial"/>
          <w:noProof/>
        </w:rPr>
        <w:tab/>
        <w:t xml:space="preserve">Heller S. Hypoglycaemia and diabetes. In: Pickup, J, WIlliams G, ed. </w:t>
      </w:r>
      <w:r w:rsidRPr="005D7FBE">
        <w:rPr>
          <w:rFonts w:cs="Arial"/>
          <w:i/>
          <w:iCs/>
          <w:noProof/>
        </w:rPr>
        <w:t>Textbook of Diabetes</w:t>
      </w:r>
      <w:r w:rsidRPr="005D7FBE">
        <w:rPr>
          <w:rFonts w:cs="Arial"/>
          <w:noProof/>
        </w:rPr>
        <w:t>. Oxford: : Blackwell Science 2003. 33.1-33.19.</w:t>
      </w:r>
    </w:p>
    <w:p w14:paraId="5BE1B386"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 </w:t>
      </w:r>
      <w:r w:rsidRPr="005D7FBE">
        <w:rPr>
          <w:rFonts w:cs="Arial"/>
          <w:noProof/>
        </w:rPr>
        <w:tab/>
        <w:t>DAFNE. DAFNE Home. http://www.dafne.uk.com/ (accessed 26 Feb 2020).</w:t>
      </w:r>
    </w:p>
    <w:p w14:paraId="7CB113F0"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5 </w:t>
      </w:r>
      <w:r w:rsidRPr="005D7FBE">
        <w:rPr>
          <w:rFonts w:cs="Arial"/>
          <w:noProof/>
        </w:rPr>
        <w:tab/>
        <w:t xml:space="preserve">DAFNE Study Group DS. Training in flexible, intensive insulin management to enable dietary freedom in people with type 1 diabetes: dose adjustment for normal eating (DAFNE) randomised controlled trial. </w:t>
      </w:r>
      <w:r w:rsidRPr="005D7FBE">
        <w:rPr>
          <w:rFonts w:cs="Arial"/>
          <w:i/>
          <w:iCs/>
          <w:noProof/>
        </w:rPr>
        <w:t>BMJ</w:t>
      </w:r>
      <w:r w:rsidRPr="005D7FBE">
        <w:rPr>
          <w:rFonts w:cs="Arial"/>
          <w:noProof/>
        </w:rPr>
        <w:t xml:space="preserve"> 2002;</w:t>
      </w:r>
      <w:r w:rsidRPr="005D7FBE">
        <w:rPr>
          <w:rFonts w:cs="Arial"/>
          <w:b/>
          <w:bCs/>
          <w:noProof/>
        </w:rPr>
        <w:t>325</w:t>
      </w:r>
      <w:r w:rsidRPr="005D7FBE">
        <w:rPr>
          <w:rFonts w:cs="Arial"/>
          <w:noProof/>
        </w:rPr>
        <w:t>:746.http://www.ncbi.nlm.nih.gov/pubmed/12364302 (accessed 30 Jan 2018).</w:t>
      </w:r>
    </w:p>
    <w:p w14:paraId="3056CC7C"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6 </w:t>
      </w:r>
      <w:r w:rsidRPr="005D7FBE">
        <w:rPr>
          <w:rFonts w:cs="Arial"/>
          <w:noProof/>
        </w:rPr>
        <w:tab/>
        <w:t xml:space="preserve">Heller S, Lawton J, Amiel S, </w:t>
      </w:r>
      <w:r w:rsidRPr="005D7FBE">
        <w:rPr>
          <w:rFonts w:cs="Arial"/>
          <w:i/>
          <w:iCs/>
          <w:noProof/>
        </w:rPr>
        <w:t>et al.</w:t>
      </w:r>
      <w:r w:rsidRPr="005D7FBE">
        <w:rPr>
          <w:rFonts w:cs="Arial"/>
          <w:noProof/>
        </w:rPr>
        <w:t xml:space="preserve"> Improving management of type 1 diabetes in the UK: the Dose Adjustment For Normal Eating (DAFNE) programme as a research test-bed. A mixed-method analysis of the barriers to and facilitators of successful diabetes self-management, a health economic analysis, a cluster randomised controlled trial of different models of delivery of an educational intervention and the potential of insulin pumps and additional educator input to improve outcomes. </w:t>
      </w:r>
      <w:r w:rsidRPr="005D7FBE">
        <w:rPr>
          <w:rFonts w:cs="Arial"/>
          <w:i/>
          <w:iCs/>
          <w:noProof/>
        </w:rPr>
        <w:t>Program Grants Appl Res</w:t>
      </w:r>
      <w:r w:rsidRPr="005D7FBE">
        <w:rPr>
          <w:rFonts w:cs="Arial"/>
          <w:noProof/>
        </w:rPr>
        <w:t xml:space="preserve"> 2014;</w:t>
      </w:r>
      <w:r w:rsidRPr="005D7FBE">
        <w:rPr>
          <w:rFonts w:cs="Arial"/>
          <w:b/>
          <w:bCs/>
          <w:noProof/>
        </w:rPr>
        <w:t>2</w:t>
      </w:r>
      <w:r w:rsidRPr="005D7FBE">
        <w:rPr>
          <w:rFonts w:cs="Arial"/>
          <w:noProof/>
        </w:rPr>
        <w:t>:1–188. doi:10.3310/pgfar02050</w:t>
      </w:r>
    </w:p>
    <w:p w14:paraId="0CEF72EA"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7 </w:t>
      </w:r>
      <w:r w:rsidRPr="005D7FBE">
        <w:rPr>
          <w:rFonts w:cs="Arial"/>
          <w:noProof/>
        </w:rPr>
        <w:tab/>
        <w:t>National Institute for Health and Care Excellence. Type 1 diabetes in adults: diagnosis and management | Guidance and guidelines | NICE. NICE https://www.nice.org.uk/guidance/ng17 (accessed 2 Feb 2018).</w:t>
      </w:r>
    </w:p>
    <w:p w14:paraId="59182185"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8 </w:t>
      </w:r>
      <w:r w:rsidRPr="005D7FBE">
        <w:rPr>
          <w:rFonts w:cs="Arial"/>
          <w:noProof/>
        </w:rPr>
        <w:tab/>
        <w:t xml:space="preserve">McKnight JA, Wild SH, Lamb MJE, </w:t>
      </w:r>
      <w:r w:rsidRPr="005D7FBE">
        <w:rPr>
          <w:rFonts w:cs="Arial"/>
          <w:i/>
          <w:iCs/>
          <w:noProof/>
        </w:rPr>
        <w:t>et al.</w:t>
      </w:r>
      <w:r w:rsidRPr="005D7FBE">
        <w:rPr>
          <w:rFonts w:cs="Arial"/>
          <w:noProof/>
        </w:rPr>
        <w:t xml:space="preserve"> Glycaemic control of Type 1 diabetes in clinical practice early in the 21st century: an international comparison. </w:t>
      </w:r>
      <w:r w:rsidRPr="005D7FBE">
        <w:rPr>
          <w:rFonts w:cs="Arial"/>
          <w:i/>
          <w:iCs/>
          <w:noProof/>
        </w:rPr>
        <w:t>Diabet Med</w:t>
      </w:r>
      <w:r w:rsidRPr="005D7FBE">
        <w:rPr>
          <w:rFonts w:cs="Arial"/>
          <w:noProof/>
        </w:rPr>
        <w:t xml:space="preserve"> 2015;</w:t>
      </w:r>
      <w:r w:rsidRPr="005D7FBE">
        <w:rPr>
          <w:rFonts w:cs="Arial"/>
          <w:b/>
          <w:bCs/>
          <w:noProof/>
        </w:rPr>
        <w:t>32</w:t>
      </w:r>
      <w:r w:rsidRPr="005D7FBE">
        <w:rPr>
          <w:rFonts w:cs="Arial"/>
          <w:noProof/>
        </w:rPr>
        <w:t>:1036–50. doi:10.1111/dme.12676</w:t>
      </w:r>
    </w:p>
    <w:p w14:paraId="0DCAD318"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9 </w:t>
      </w:r>
      <w:r w:rsidRPr="005D7FBE">
        <w:rPr>
          <w:rFonts w:cs="Arial"/>
          <w:noProof/>
        </w:rPr>
        <w:tab/>
        <w:t xml:space="preserve">Rankin D, Barnard K, Elliott J, </w:t>
      </w:r>
      <w:r w:rsidRPr="005D7FBE">
        <w:rPr>
          <w:rFonts w:cs="Arial"/>
          <w:i/>
          <w:iCs/>
          <w:noProof/>
        </w:rPr>
        <w:t>et al.</w:t>
      </w:r>
      <w:r w:rsidRPr="005D7FBE">
        <w:rPr>
          <w:rFonts w:cs="Arial"/>
          <w:noProof/>
        </w:rPr>
        <w:t xml:space="preserve"> Type 1 diabetes patients’ experiences of, and need for, social support after attending a structured education programme: A qualitative longitudinal investigation. </w:t>
      </w:r>
      <w:r w:rsidRPr="005D7FBE">
        <w:rPr>
          <w:rFonts w:cs="Arial"/>
          <w:i/>
          <w:iCs/>
          <w:noProof/>
        </w:rPr>
        <w:t>J Clin Nurs</w:t>
      </w:r>
      <w:r w:rsidRPr="005D7FBE">
        <w:rPr>
          <w:rFonts w:cs="Arial"/>
          <w:noProof/>
        </w:rPr>
        <w:t xml:space="preserve"> 2014;</w:t>
      </w:r>
      <w:r w:rsidRPr="005D7FBE">
        <w:rPr>
          <w:rFonts w:cs="Arial"/>
          <w:b/>
          <w:bCs/>
          <w:noProof/>
        </w:rPr>
        <w:t>23</w:t>
      </w:r>
      <w:r w:rsidRPr="005D7FBE">
        <w:rPr>
          <w:rFonts w:cs="Arial"/>
          <w:noProof/>
        </w:rPr>
        <w:t>:2919–27. doi:10.1111/jocn.12539</w:t>
      </w:r>
    </w:p>
    <w:p w14:paraId="39110926"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10 </w:t>
      </w:r>
      <w:r w:rsidRPr="005D7FBE">
        <w:rPr>
          <w:rFonts w:cs="Arial"/>
          <w:noProof/>
        </w:rPr>
        <w:tab/>
        <w:t xml:space="preserve">Lawton J, Rankin D, Cooke DD, </w:t>
      </w:r>
      <w:r w:rsidRPr="005D7FBE">
        <w:rPr>
          <w:rFonts w:cs="Arial"/>
          <w:i/>
          <w:iCs/>
          <w:noProof/>
        </w:rPr>
        <w:t>et al.</w:t>
      </w:r>
      <w:r w:rsidRPr="005D7FBE">
        <w:rPr>
          <w:rFonts w:cs="Arial"/>
          <w:noProof/>
        </w:rPr>
        <w:t xml:space="preserve"> Self-treating hypoglycaemia: A longitudinal qualitative investigation of the experiences and views of people with Type 1 diabetes. </w:t>
      </w:r>
      <w:r w:rsidRPr="005D7FBE">
        <w:rPr>
          <w:rFonts w:cs="Arial"/>
          <w:i/>
          <w:iCs/>
          <w:noProof/>
        </w:rPr>
        <w:t>Diabet Med</w:t>
      </w:r>
      <w:r w:rsidRPr="005D7FBE">
        <w:rPr>
          <w:rFonts w:cs="Arial"/>
          <w:noProof/>
        </w:rPr>
        <w:t xml:space="preserve"> 2013;</w:t>
      </w:r>
      <w:r w:rsidRPr="005D7FBE">
        <w:rPr>
          <w:rFonts w:cs="Arial"/>
          <w:b/>
          <w:bCs/>
          <w:noProof/>
        </w:rPr>
        <w:t>30</w:t>
      </w:r>
      <w:r w:rsidRPr="005D7FBE">
        <w:rPr>
          <w:rFonts w:cs="Arial"/>
          <w:noProof/>
        </w:rPr>
        <w:t>:209–15. doi:10.1111/dme.12007</w:t>
      </w:r>
    </w:p>
    <w:p w14:paraId="5D98D0F1"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11 </w:t>
      </w:r>
      <w:r w:rsidRPr="005D7FBE">
        <w:rPr>
          <w:rFonts w:cs="Arial"/>
          <w:noProof/>
        </w:rPr>
        <w:tab/>
        <w:t xml:space="preserve">Lawton J, Rankin D, Cooke D, </w:t>
      </w:r>
      <w:r w:rsidRPr="005D7FBE">
        <w:rPr>
          <w:rFonts w:cs="Arial"/>
          <w:i/>
          <w:iCs/>
          <w:noProof/>
        </w:rPr>
        <w:t>et al.</w:t>
      </w:r>
      <w:r w:rsidRPr="005D7FBE">
        <w:rPr>
          <w:rFonts w:cs="Arial"/>
          <w:noProof/>
        </w:rPr>
        <w:t xml:space="preserve"> Patients’ experiences of adjusting insulin doses when implementing flexible intensive insulin therapy: A longitudinal, qualitative investigation. </w:t>
      </w:r>
      <w:r w:rsidRPr="005D7FBE">
        <w:rPr>
          <w:rFonts w:cs="Arial"/>
          <w:i/>
          <w:iCs/>
          <w:noProof/>
        </w:rPr>
        <w:t>Diabetes Res Clin Pract</w:t>
      </w:r>
      <w:r w:rsidRPr="005D7FBE">
        <w:rPr>
          <w:rFonts w:cs="Arial"/>
          <w:noProof/>
        </w:rPr>
        <w:t xml:space="preserve"> 2012;</w:t>
      </w:r>
      <w:r w:rsidRPr="005D7FBE">
        <w:rPr>
          <w:rFonts w:cs="Arial"/>
          <w:b/>
          <w:bCs/>
          <w:noProof/>
        </w:rPr>
        <w:t>98</w:t>
      </w:r>
      <w:r w:rsidRPr="005D7FBE">
        <w:rPr>
          <w:rFonts w:cs="Arial"/>
          <w:noProof/>
        </w:rPr>
        <w:t>:236–42. doi:10.1016/j.diabres.2012.09.024</w:t>
      </w:r>
    </w:p>
    <w:p w14:paraId="4A949B18"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12 </w:t>
      </w:r>
      <w:r w:rsidRPr="005D7FBE">
        <w:rPr>
          <w:rFonts w:cs="Arial"/>
          <w:noProof/>
        </w:rPr>
        <w:tab/>
        <w:t xml:space="preserve">Rankin D, Cooke DD, Elliott J, </w:t>
      </w:r>
      <w:r w:rsidRPr="005D7FBE">
        <w:rPr>
          <w:rFonts w:cs="Arial"/>
          <w:i/>
          <w:iCs/>
          <w:noProof/>
        </w:rPr>
        <w:t>et al.</w:t>
      </w:r>
      <w:r w:rsidRPr="005D7FBE">
        <w:rPr>
          <w:rFonts w:cs="Arial"/>
          <w:noProof/>
        </w:rPr>
        <w:t xml:space="preserve"> Supporting self-management after attending a structured education programme: A qualitative longitudinal investigation of type 1 diabetes patients experiences and views. </w:t>
      </w:r>
      <w:r w:rsidRPr="005D7FBE">
        <w:rPr>
          <w:rFonts w:cs="Arial"/>
          <w:i/>
          <w:iCs/>
          <w:noProof/>
        </w:rPr>
        <w:t>BMC Public Health</w:t>
      </w:r>
      <w:r w:rsidRPr="005D7FBE">
        <w:rPr>
          <w:rFonts w:cs="Arial"/>
          <w:noProof/>
        </w:rPr>
        <w:t xml:space="preserve"> 2012;</w:t>
      </w:r>
      <w:r w:rsidRPr="005D7FBE">
        <w:rPr>
          <w:rFonts w:cs="Arial"/>
          <w:b/>
          <w:bCs/>
          <w:noProof/>
        </w:rPr>
        <w:t>12</w:t>
      </w:r>
      <w:r w:rsidRPr="005D7FBE">
        <w:rPr>
          <w:rFonts w:cs="Arial"/>
          <w:noProof/>
        </w:rPr>
        <w:t>:652. doi:10.1186/1471-2458-12-652</w:t>
      </w:r>
    </w:p>
    <w:p w14:paraId="420ED6F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13 </w:t>
      </w:r>
      <w:r w:rsidRPr="005D7FBE">
        <w:rPr>
          <w:rFonts w:cs="Arial"/>
          <w:noProof/>
        </w:rPr>
        <w:tab/>
        <w:t xml:space="preserve">Rankin D, Cooke DD, Heller S, </w:t>
      </w:r>
      <w:r w:rsidRPr="005D7FBE">
        <w:rPr>
          <w:rFonts w:cs="Arial"/>
          <w:i/>
          <w:iCs/>
          <w:noProof/>
        </w:rPr>
        <w:t>et al.</w:t>
      </w:r>
      <w:r w:rsidRPr="005D7FBE">
        <w:rPr>
          <w:rFonts w:cs="Arial"/>
          <w:noProof/>
        </w:rPr>
        <w:t xml:space="preserve"> Experiences of using blood glucose targets when following an intensive insulin regimen: A qualitative longitudinal investigation involving patients with Type1 diabetes. </w:t>
      </w:r>
      <w:r w:rsidRPr="005D7FBE">
        <w:rPr>
          <w:rFonts w:cs="Arial"/>
          <w:i/>
          <w:iCs/>
          <w:noProof/>
        </w:rPr>
        <w:t>Diabet Med</w:t>
      </w:r>
      <w:r w:rsidRPr="005D7FBE">
        <w:rPr>
          <w:rFonts w:cs="Arial"/>
          <w:noProof/>
        </w:rPr>
        <w:t xml:space="preserve"> 2012;</w:t>
      </w:r>
      <w:r w:rsidRPr="005D7FBE">
        <w:rPr>
          <w:rFonts w:cs="Arial"/>
          <w:b/>
          <w:bCs/>
          <w:noProof/>
        </w:rPr>
        <w:t>29</w:t>
      </w:r>
      <w:r w:rsidRPr="005D7FBE">
        <w:rPr>
          <w:rFonts w:cs="Arial"/>
          <w:noProof/>
        </w:rPr>
        <w:t>:1079–84. doi:10.1111/j.1464-5491.2012.03670.x</w:t>
      </w:r>
    </w:p>
    <w:p w14:paraId="4E5A77A2"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14 </w:t>
      </w:r>
      <w:r w:rsidRPr="005D7FBE">
        <w:rPr>
          <w:rFonts w:cs="Arial"/>
          <w:noProof/>
        </w:rPr>
        <w:tab/>
        <w:t xml:space="preserve">Lawton J, Rankin D, Cooke DD, </w:t>
      </w:r>
      <w:r w:rsidRPr="005D7FBE">
        <w:rPr>
          <w:rFonts w:cs="Arial"/>
          <w:i/>
          <w:iCs/>
          <w:noProof/>
        </w:rPr>
        <w:t>et al.</w:t>
      </w:r>
      <w:r w:rsidRPr="005D7FBE">
        <w:rPr>
          <w:rFonts w:cs="Arial"/>
          <w:noProof/>
        </w:rPr>
        <w:t xml:space="preserve"> Dose Adjustment for Normal Eating: A qualitative longitudinal exploration of the food and eating practices of type 1 diabetes patients converted to flexible intensive insulin therapy in the UK. </w:t>
      </w:r>
      <w:r w:rsidRPr="005D7FBE">
        <w:rPr>
          <w:rFonts w:cs="Arial"/>
          <w:i/>
          <w:iCs/>
          <w:noProof/>
        </w:rPr>
        <w:t>Diabetes Res Clin Pract</w:t>
      </w:r>
      <w:r w:rsidRPr="005D7FBE">
        <w:rPr>
          <w:rFonts w:cs="Arial"/>
          <w:noProof/>
        </w:rPr>
        <w:t xml:space="preserve"> 2011;</w:t>
      </w:r>
      <w:r w:rsidRPr="005D7FBE">
        <w:rPr>
          <w:rFonts w:cs="Arial"/>
          <w:b/>
          <w:bCs/>
          <w:noProof/>
        </w:rPr>
        <w:t>91</w:t>
      </w:r>
      <w:r w:rsidRPr="005D7FBE">
        <w:rPr>
          <w:rFonts w:cs="Arial"/>
          <w:noProof/>
        </w:rPr>
        <w:t>:87–93. doi:10.1016/j.diabres.2010.11.007</w:t>
      </w:r>
    </w:p>
    <w:p w14:paraId="7FAC65E1"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15 </w:t>
      </w:r>
      <w:r w:rsidRPr="005D7FBE">
        <w:rPr>
          <w:rFonts w:cs="Arial"/>
          <w:noProof/>
        </w:rPr>
        <w:tab/>
        <w:t xml:space="preserve">Rankin D, Cooke DD, Clark M, </w:t>
      </w:r>
      <w:r w:rsidRPr="005D7FBE">
        <w:rPr>
          <w:rFonts w:cs="Arial"/>
          <w:i/>
          <w:iCs/>
          <w:noProof/>
        </w:rPr>
        <w:t>et al.</w:t>
      </w:r>
      <w:r w:rsidRPr="005D7FBE">
        <w:rPr>
          <w:rFonts w:cs="Arial"/>
          <w:noProof/>
        </w:rPr>
        <w:t xml:space="preserve"> How and why do patients with Type1 diabetes sustain their use of flexible intensive insulin therapy? A qualitative </w:t>
      </w:r>
      <w:r w:rsidRPr="005D7FBE">
        <w:rPr>
          <w:rFonts w:cs="Arial"/>
          <w:noProof/>
        </w:rPr>
        <w:lastRenderedPageBreak/>
        <w:t xml:space="preserve">longitudinal investigation of patients’ self-management practices following attendance at a Dose Adjustment for Normal Eating (DAFNE) course. </w:t>
      </w:r>
      <w:r w:rsidRPr="005D7FBE">
        <w:rPr>
          <w:rFonts w:cs="Arial"/>
          <w:i/>
          <w:iCs/>
          <w:noProof/>
        </w:rPr>
        <w:t>Diabet Med</w:t>
      </w:r>
      <w:r w:rsidRPr="005D7FBE">
        <w:rPr>
          <w:rFonts w:cs="Arial"/>
          <w:noProof/>
        </w:rPr>
        <w:t xml:space="preserve"> 2011;</w:t>
      </w:r>
      <w:r w:rsidRPr="005D7FBE">
        <w:rPr>
          <w:rFonts w:cs="Arial"/>
          <w:b/>
          <w:bCs/>
          <w:noProof/>
        </w:rPr>
        <w:t>28</w:t>
      </w:r>
      <w:r w:rsidRPr="005D7FBE">
        <w:rPr>
          <w:rFonts w:cs="Arial"/>
          <w:noProof/>
        </w:rPr>
        <w:t>:532–8. doi:10.1111/j.1464-5491.2011.03243.x</w:t>
      </w:r>
    </w:p>
    <w:p w14:paraId="13CD5563"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16 </w:t>
      </w:r>
      <w:r w:rsidRPr="005D7FBE">
        <w:rPr>
          <w:rFonts w:cs="Arial"/>
          <w:noProof/>
        </w:rPr>
        <w:tab/>
        <w:t xml:space="preserve">Campbell MJ, Walters SJ. </w:t>
      </w:r>
      <w:r w:rsidRPr="005D7FBE">
        <w:rPr>
          <w:rFonts w:cs="Arial"/>
          <w:i/>
          <w:iCs/>
          <w:noProof/>
        </w:rPr>
        <w:t>How to Design, Analyse and Report Cluster Randomised Trials in Medicine and Health Related Research</w:t>
      </w:r>
      <w:r w:rsidRPr="005D7FBE">
        <w:rPr>
          <w:rFonts w:cs="Arial"/>
          <w:noProof/>
        </w:rPr>
        <w:t>. Chichester, UK: : John Wiley &amp; Sons, Ltd 2014. doi:10.1002/9781118763452</w:t>
      </w:r>
    </w:p>
    <w:p w14:paraId="47517920"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17 </w:t>
      </w:r>
      <w:r w:rsidRPr="005D7FBE">
        <w:rPr>
          <w:rFonts w:cs="Arial"/>
          <w:noProof/>
        </w:rPr>
        <w:tab/>
        <w:t xml:space="preserve">Elliott J, Lawton J, Rankin D, </w:t>
      </w:r>
      <w:r w:rsidRPr="005D7FBE">
        <w:rPr>
          <w:rFonts w:cs="Arial"/>
          <w:i/>
          <w:iCs/>
          <w:noProof/>
        </w:rPr>
        <w:t>et al.</w:t>
      </w:r>
      <w:r w:rsidRPr="005D7FBE">
        <w:rPr>
          <w:rFonts w:cs="Arial"/>
          <w:noProof/>
        </w:rPr>
        <w:t xml:space="preserve"> The 5x1 DAFNE study protocol: a cluster randomised trial comparing a standard 5 day DAFNE course delivered over 1 week against DAFNE training delivered over 1 day a week for 5 consecutive weeks. </w:t>
      </w:r>
      <w:r w:rsidRPr="005D7FBE">
        <w:rPr>
          <w:rFonts w:cs="Arial"/>
          <w:i/>
          <w:iCs/>
          <w:noProof/>
        </w:rPr>
        <w:t>BMC Endocr Disord</w:t>
      </w:r>
      <w:r w:rsidRPr="005D7FBE">
        <w:rPr>
          <w:rFonts w:cs="Arial"/>
          <w:noProof/>
        </w:rPr>
        <w:t xml:space="preserve"> 2012;</w:t>
      </w:r>
      <w:r w:rsidRPr="005D7FBE">
        <w:rPr>
          <w:rFonts w:cs="Arial"/>
          <w:b/>
          <w:bCs/>
          <w:noProof/>
        </w:rPr>
        <w:t>12</w:t>
      </w:r>
      <w:r w:rsidRPr="005D7FBE">
        <w:rPr>
          <w:rFonts w:cs="Arial"/>
          <w:noProof/>
        </w:rPr>
        <w:t>:28. doi:10.1186/1472-6823-12-28</w:t>
      </w:r>
    </w:p>
    <w:p w14:paraId="1BA0A961"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18 </w:t>
      </w:r>
      <w:r w:rsidRPr="005D7FBE">
        <w:rPr>
          <w:rFonts w:cs="Arial"/>
          <w:noProof/>
        </w:rPr>
        <w:tab/>
        <w:t xml:space="preserve">Craig P, Dieppe P, Macintyre S, </w:t>
      </w:r>
      <w:r w:rsidRPr="005D7FBE">
        <w:rPr>
          <w:rFonts w:cs="Arial"/>
          <w:i/>
          <w:iCs/>
          <w:noProof/>
        </w:rPr>
        <w:t>et al.</w:t>
      </w:r>
      <w:r w:rsidRPr="005D7FBE">
        <w:rPr>
          <w:rFonts w:cs="Arial"/>
          <w:noProof/>
        </w:rPr>
        <w:t xml:space="preserve"> Developing and evaluating complex interventions: the new Medical Research Council guidance. </w:t>
      </w:r>
      <w:r w:rsidRPr="005D7FBE">
        <w:rPr>
          <w:rFonts w:cs="Arial"/>
          <w:i/>
          <w:iCs/>
          <w:noProof/>
        </w:rPr>
        <w:t>BMJ</w:t>
      </w:r>
      <w:r w:rsidRPr="005D7FBE">
        <w:rPr>
          <w:rFonts w:cs="Arial"/>
          <w:noProof/>
        </w:rPr>
        <w:t xml:space="preserve"> 2008;</w:t>
      </w:r>
      <w:r w:rsidRPr="005D7FBE">
        <w:rPr>
          <w:rFonts w:cs="Arial"/>
          <w:b/>
          <w:bCs/>
          <w:noProof/>
        </w:rPr>
        <w:t>337</w:t>
      </w:r>
      <w:r w:rsidRPr="005D7FBE">
        <w:rPr>
          <w:rFonts w:cs="Arial"/>
          <w:noProof/>
        </w:rPr>
        <w:t>:a1655. doi:10.1136/BMJ.A1655</w:t>
      </w:r>
    </w:p>
    <w:p w14:paraId="7D8E9F2A"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19 </w:t>
      </w:r>
      <w:r w:rsidRPr="005D7FBE">
        <w:rPr>
          <w:rFonts w:cs="Arial"/>
          <w:noProof/>
        </w:rPr>
        <w:tab/>
        <w:t xml:space="preserve">Michie S, van Stralen MM, West R. The behaviour change wheel: A new method for characterising and designing behaviour change interventions. </w:t>
      </w:r>
      <w:r w:rsidRPr="005D7FBE">
        <w:rPr>
          <w:rFonts w:cs="Arial"/>
          <w:i/>
          <w:iCs/>
          <w:noProof/>
        </w:rPr>
        <w:t>Implement Sci</w:t>
      </w:r>
      <w:r w:rsidRPr="005D7FBE">
        <w:rPr>
          <w:rFonts w:cs="Arial"/>
          <w:noProof/>
        </w:rPr>
        <w:t xml:space="preserve"> 2011;</w:t>
      </w:r>
      <w:r w:rsidRPr="005D7FBE">
        <w:rPr>
          <w:rFonts w:cs="Arial"/>
          <w:b/>
          <w:bCs/>
          <w:noProof/>
        </w:rPr>
        <w:t>6</w:t>
      </w:r>
      <w:r w:rsidRPr="005D7FBE">
        <w:rPr>
          <w:rFonts w:cs="Arial"/>
          <w:noProof/>
        </w:rPr>
        <w:t>:42. doi:10.1186/1748-5908-6-42</w:t>
      </w:r>
    </w:p>
    <w:p w14:paraId="637CFF8C"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20 </w:t>
      </w:r>
      <w:r w:rsidRPr="005D7FBE">
        <w:rPr>
          <w:rFonts w:cs="Arial"/>
          <w:noProof/>
        </w:rPr>
        <w:tab/>
        <w:t xml:space="preserve">Michie S, Richardson M, Johnston M, </w:t>
      </w:r>
      <w:r w:rsidRPr="005D7FBE">
        <w:rPr>
          <w:rFonts w:cs="Arial"/>
          <w:i/>
          <w:iCs/>
          <w:noProof/>
        </w:rPr>
        <w:t>et al.</w:t>
      </w:r>
      <w:r w:rsidRPr="005D7FBE">
        <w:rPr>
          <w:rFonts w:cs="Arial"/>
          <w:noProof/>
        </w:rPr>
        <w:t xml:space="preserve"> The Behavior Change Technique Taxonomy (v1) of 93 Hierarchically Clustered Techniques: Building an International Consensus for the Reporting of Behavior Change Interventions. </w:t>
      </w:r>
      <w:r w:rsidRPr="005D7FBE">
        <w:rPr>
          <w:rFonts w:cs="Arial"/>
          <w:i/>
          <w:iCs/>
          <w:noProof/>
        </w:rPr>
        <w:t>Ann Behav Med</w:t>
      </w:r>
      <w:r w:rsidRPr="005D7FBE">
        <w:rPr>
          <w:rFonts w:cs="Arial"/>
          <w:noProof/>
        </w:rPr>
        <w:t xml:space="preserve"> 2013;</w:t>
      </w:r>
      <w:r w:rsidRPr="005D7FBE">
        <w:rPr>
          <w:rFonts w:cs="Arial"/>
          <w:b/>
          <w:bCs/>
          <w:noProof/>
        </w:rPr>
        <w:t>46</w:t>
      </w:r>
      <w:r w:rsidRPr="005D7FBE">
        <w:rPr>
          <w:rFonts w:cs="Arial"/>
          <w:noProof/>
        </w:rPr>
        <w:t>:81–95. doi:10.1007/s12160-013-9486-6</w:t>
      </w:r>
    </w:p>
    <w:p w14:paraId="4D649046"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21 </w:t>
      </w:r>
      <w:r w:rsidRPr="005D7FBE">
        <w:rPr>
          <w:rFonts w:cs="Arial"/>
          <w:noProof/>
        </w:rPr>
        <w:tab/>
        <w:t xml:space="preserve">Michie, S, Atkins, L, West R. </w:t>
      </w:r>
      <w:r w:rsidRPr="005D7FBE">
        <w:rPr>
          <w:rFonts w:cs="Arial"/>
          <w:i/>
          <w:iCs/>
          <w:noProof/>
        </w:rPr>
        <w:t>The behaviour change wheel: a guide to designing interventions</w:t>
      </w:r>
      <w:r w:rsidRPr="005D7FBE">
        <w:rPr>
          <w:rFonts w:cs="Arial"/>
          <w:noProof/>
        </w:rPr>
        <w:t xml:space="preserve">. London: : Silverback Publishing 2014. </w:t>
      </w:r>
    </w:p>
    <w:p w14:paraId="25FFB548"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22 </w:t>
      </w:r>
      <w:r w:rsidRPr="005D7FBE">
        <w:rPr>
          <w:rFonts w:cs="Arial"/>
          <w:noProof/>
        </w:rPr>
        <w:tab/>
        <w:t xml:space="preserve">Campbell F, Lawton J, Rankin D, </w:t>
      </w:r>
      <w:r w:rsidRPr="005D7FBE">
        <w:rPr>
          <w:rFonts w:cs="Arial"/>
          <w:i/>
          <w:iCs/>
          <w:noProof/>
        </w:rPr>
        <w:t>et al.</w:t>
      </w:r>
      <w:r w:rsidRPr="005D7FBE">
        <w:rPr>
          <w:rFonts w:cs="Arial"/>
          <w:noProof/>
        </w:rPr>
        <w:t xml:space="preserve"> Follow-Up Support for Effective type 1 Diabetes self-management (The FUSED Model): A systematic review and meta-ethnography of the barriers, facilitators and recommendations for sustaining self-management skills after attending a structured education programme. </w:t>
      </w:r>
      <w:r w:rsidRPr="005D7FBE">
        <w:rPr>
          <w:rFonts w:cs="Arial"/>
          <w:i/>
          <w:iCs/>
          <w:noProof/>
        </w:rPr>
        <w:t>BMC Health Serv Res</w:t>
      </w:r>
      <w:r w:rsidRPr="005D7FBE">
        <w:rPr>
          <w:rFonts w:cs="Arial"/>
          <w:noProof/>
        </w:rPr>
        <w:t xml:space="preserve"> 2018;</w:t>
      </w:r>
      <w:r w:rsidRPr="005D7FBE">
        <w:rPr>
          <w:rFonts w:cs="Arial"/>
          <w:b/>
          <w:bCs/>
          <w:noProof/>
        </w:rPr>
        <w:t>18</w:t>
      </w:r>
      <w:r w:rsidRPr="005D7FBE">
        <w:rPr>
          <w:rFonts w:cs="Arial"/>
          <w:noProof/>
        </w:rPr>
        <w:t>:898. doi:10.1186/s12913-018-3655-z</w:t>
      </w:r>
    </w:p>
    <w:p w14:paraId="5DDA5B8E"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23 </w:t>
      </w:r>
      <w:r w:rsidRPr="005D7FBE">
        <w:rPr>
          <w:rFonts w:cs="Arial"/>
          <w:noProof/>
        </w:rPr>
        <w:tab/>
        <w:t xml:space="preserve">Speight J, Conn J, Dunning T, </w:t>
      </w:r>
      <w:r w:rsidRPr="005D7FBE">
        <w:rPr>
          <w:rFonts w:cs="Arial"/>
          <w:i/>
          <w:iCs/>
          <w:noProof/>
        </w:rPr>
        <w:t>et al.</w:t>
      </w:r>
      <w:r w:rsidRPr="005D7FBE">
        <w:rPr>
          <w:rFonts w:cs="Arial"/>
          <w:noProof/>
        </w:rPr>
        <w:t xml:space="preserve"> Diabetes Australia position statement. A new language for diabetes: Improving communications with and about people with diabetes. </w:t>
      </w:r>
      <w:r w:rsidRPr="005D7FBE">
        <w:rPr>
          <w:rFonts w:cs="Arial"/>
          <w:i/>
          <w:iCs/>
          <w:noProof/>
        </w:rPr>
        <w:t>Diabetes Res Clin Pract</w:t>
      </w:r>
      <w:r w:rsidRPr="005D7FBE">
        <w:rPr>
          <w:rFonts w:cs="Arial"/>
          <w:noProof/>
        </w:rPr>
        <w:t xml:space="preserve"> 2012;</w:t>
      </w:r>
      <w:r w:rsidRPr="005D7FBE">
        <w:rPr>
          <w:rFonts w:cs="Arial"/>
          <w:b/>
          <w:bCs/>
          <w:noProof/>
        </w:rPr>
        <w:t>97</w:t>
      </w:r>
      <w:r w:rsidRPr="005D7FBE">
        <w:rPr>
          <w:rFonts w:cs="Arial"/>
          <w:noProof/>
        </w:rPr>
        <w:t>:425–31. doi:10.1016/j.diabres.2012.03.015</w:t>
      </w:r>
    </w:p>
    <w:p w14:paraId="1CF72C9B"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24 </w:t>
      </w:r>
      <w:r w:rsidRPr="005D7FBE">
        <w:rPr>
          <w:rFonts w:cs="Arial"/>
          <w:noProof/>
        </w:rPr>
        <w:tab/>
        <w:t xml:space="preserve">Li F, Lokhnygina Y, Murray DM, </w:t>
      </w:r>
      <w:r w:rsidRPr="005D7FBE">
        <w:rPr>
          <w:rFonts w:cs="Arial"/>
          <w:i/>
          <w:iCs/>
          <w:noProof/>
        </w:rPr>
        <w:t>et al.</w:t>
      </w:r>
      <w:r w:rsidRPr="005D7FBE">
        <w:rPr>
          <w:rFonts w:cs="Arial"/>
          <w:noProof/>
        </w:rPr>
        <w:t xml:space="preserve"> An evaluation of constrained randomization for the design and analysis of group-randomized trials. </w:t>
      </w:r>
      <w:r w:rsidRPr="005D7FBE">
        <w:rPr>
          <w:rFonts w:cs="Arial"/>
          <w:i/>
          <w:iCs/>
          <w:noProof/>
        </w:rPr>
        <w:t>Stat Med</w:t>
      </w:r>
      <w:r w:rsidRPr="005D7FBE">
        <w:rPr>
          <w:rFonts w:cs="Arial"/>
          <w:noProof/>
        </w:rPr>
        <w:t xml:space="preserve"> 2016;</w:t>
      </w:r>
      <w:r w:rsidRPr="005D7FBE">
        <w:rPr>
          <w:rFonts w:cs="Arial"/>
          <w:b/>
          <w:bCs/>
          <w:noProof/>
        </w:rPr>
        <w:t>35</w:t>
      </w:r>
      <w:r w:rsidRPr="005D7FBE">
        <w:rPr>
          <w:rFonts w:cs="Arial"/>
          <w:noProof/>
        </w:rPr>
        <w:t>:1565–79. doi:10.1002/sim.6813</w:t>
      </w:r>
    </w:p>
    <w:p w14:paraId="5176FDD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25 </w:t>
      </w:r>
      <w:r w:rsidRPr="005D7FBE">
        <w:rPr>
          <w:rFonts w:cs="Arial"/>
          <w:noProof/>
        </w:rPr>
        <w:tab/>
        <w:t xml:space="preserve">REPOSE Study Group TRS. Relative effectiveness of insulin pump treatment over multiple daily injections and structured education during flexible intensive insulin treatment for type 1 diabetes: cluster randomised trial (REPOSE). </w:t>
      </w:r>
      <w:r w:rsidRPr="005D7FBE">
        <w:rPr>
          <w:rFonts w:cs="Arial"/>
          <w:i/>
          <w:iCs/>
          <w:noProof/>
        </w:rPr>
        <w:t>BMJ</w:t>
      </w:r>
      <w:r w:rsidRPr="005D7FBE">
        <w:rPr>
          <w:rFonts w:cs="Arial"/>
          <w:noProof/>
        </w:rPr>
        <w:t xml:space="preserve"> 2017;</w:t>
      </w:r>
      <w:r w:rsidRPr="005D7FBE">
        <w:rPr>
          <w:rFonts w:cs="Arial"/>
          <w:b/>
          <w:bCs/>
          <w:noProof/>
        </w:rPr>
        <w:t>356</w:t>
      </w:r>
      <w:r w:rsidRPr="005D7FBE">
        <w:rPr>
          <w:rFonts w:cs="Arial"/>
          <w:noProof/>
        </w:rPr>
        <w:t>:j1285. doi:10.1136/BMJ.J1285</w:t>
      </w:r>
    </w:p>
    <w:p w14:paraId="5CF5F308"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26 </w:t>
      </w:r>
      <w:r w:rsidRPr="005D7FBE">
        <w:rPr>
          <w:rFonts w:cs="Arial"/>
          <w:noProof/>
        </w:rPr>
        <w:tab/>
        <w:t xml:space="preserve">International Hypoglycaemia Study Group. Glucose Concentrations of Less Than 3.0 mmol/L (54 mg/dL) Should Be Reported in Clinical Trials: A Joint Position Statement of the American Diabetes Association and the European Association for the Study of Diabetes: Table 1. </w:t>
      </w:r>
      <w:r w:rsidRPr="005D7FBE">
        <w:rPr>
          <w:rFonts w:cs="Arial"/>
          <w:i/>
          <w:iCs/>
          <w:noProof/>
        </w:rPr>
        <w:t>Diabetes Care</w:t>
      </w:r>
      <w:r w:rsidRPr="005D7FBE">
        <w:rPr>
          <w:rFonts w:cs="Arial"/>
          <w:noProof/>
        </w:rPr>
        <w:t xml:space="preserve"> 2017;</w:t>
      </w:r>
      <w:r w:rsidRPr="005D7FBE">
        <w:rPr>
          <w:rFonts w:cs="Arial"/>
          <w:b/>
          <w:bCs/>
          <w:noProof/>
        </w:rPr>
        <w:t>40</w:t>
      </w:r>
      <w:r w:rsidRPr="005D7FBE">
        <w:rPr>
          <w:rFonts w:cs="Arial"/>
          <w:noProof/>
        </w:rPr>
        <w:t>:155–7. doi:10.2337/dc16-2215</w:t>
      </w:r>
    </w:p>
    <w:p w14:paraId="62795B63"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27 </w:t>
      </w:r>
      <w:r w:rsidRPr="005D7FBE">
        <w:rPr>
          <w:rFonts w:cs="Arial"/>
          <w:noProof/>
        </w:rPr>
        <w:tab/>
        <w:t xml:space="preserve">Bradley C, Todd C, Gorton T, </w:t>
      </w:r>
      <w:r w:rsidRPr="005D7FBE">
        <w:rPr>
          <w:rFonts w:cs="Arial"/>
          <w:i/>
          <w:iCs/>
          <w:noProof/>
        </w:rPr>
        <w:t>et al.</w:t>
      </w:r>
      <w:r w:rsidRPr="005D7FBE">
        <w:rPr>
          <w:rFonts w:cs="Arial"/>
          <w:noProof/>
        </w:rPr>
        <w:t xml:space="preserve"> The development of an individualized questionnaire measure of perceived impact of diabetes on quality of life: The ADDQoL. </w:t>
      </w:r>
      <w:r w:rsidRPr="005D7FBE">
        <w:rPr>
          <w:rFonts w:cs="Arial"/>
          <w:i/>
          <w:iCs/>
          <w:noProof/>
        </w:rPr>
        <w:t>Qual Life Res</w:t>
      </w:r>
      <w:r w:rsidRPr="005D7FBE">
        <w:rPr>
          <w:rFonts w:cs="Arial"/>
          <w:noProof/>
        </w:rPr>
        <w:t xml:space="preserve"> 1999;</w:t>
      </w:r>
      <w:r w:rsidRPr="005D7FBE">
        <w:rPr>
          <w:rFonts w:cs="Arial"/>
          <w:b/>
          <w:bCs/>
          <w:noProof/>
        </w:rPr>
        <w:t>8</w:t>
      </w:r>
      <w:r w:rsidRPr="005D7FBE">
        <w:rPr>
          <w:rFonts w:cs="Arial"/>
          <w:noProof/>
        </w:rPr>
        <w:t>:79–91. doi:10.1023/A:1026485130100</w:t>
      </w:r>
    </w:p>
    <w:p w14:paraId="64B3CADE"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28 </w:t>
      </w:r>
      <w:r w:rsidRPr="005D7FBE">
        <w:rPr>
          <w:rFonts w:cs="Arial"/>
          <w:noProof/>
        </w:rPr>
        <w:tab/>
        <w:t xml:space="preserve">SPEIGHT J, HOLMES-TRUSCOTT E, HENDRIECKX C, </w:t>
      </w:r>
      <w:r w:rsidRPr="005D7FBE">
        <w:rPr>
          <w:rFonts w:cs="Arial"/>
          <w:i/>
          <w:iCs/>
          <w:noProof/>
        </w:rPr>
        <w:t>et al.</w:t>
      </w:r>
      <w:r w:rsidRPr="005D7FBE">
        <w:rPr>
          <w:rFonts w:cs="Arial"/>
          <w:noProof/>
        </w:rPr>
        <w:t xml:space="preserve"> 809-P: Comparison of the Acceptability and Psychometric Properties of Scales Assessing the Impact of Type 1 Diabetes on Quality of Life: Results of the Your SAY: QoL Study. </w:t>
      </w:r>
      <w:r w:rsidRPr="005D7FBE">
        <w:rPr>
          <w:rFonts w:cs="Arial"/>
          <w:i/>
          <w:iCs/>
          <w:noProof/>
        </w:rPr>
        <w:t>Diabetes</w:t>
      </w:r>
      <w:r w:rsidRPr="005D7FBE">
        <w:rPr>
          <w:rFonts w:cs="Arial"/>
          <w:noProof/>
        </w:rPr>
        <w:t xml:space="preserve"> 2019;</w:t>
      </w:r>
      <w:r w:rsidRPr="005D7FBE">
        <w:rPr>
          <w:rFonts w:cs="Arial"/>
          <w:b/>
          <w:bCs/>
          <w:noProof/>
        </w:rPr>
        <w:t>68</w:t>
      </w:r>
      <w:r w:rsidRPr="005D7FBE">
        <w:rPr>
          <w:rFonts w:cs="Arial"/>
          <w:noProof/>
        </w:rPr>
        <w:t>:809-P. doi:10.2337/db19-809-p</w:t>
      </w:r>
    </w:p>
    <w:p w14:paraId="607A81AF"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29 </w:t>
      </w:r>
      <w:r w:rsidRPr="005D7FBE">
        <w:rPr>
          <w:rFonts w:cs="Arial"/>
          <w:noProof/>
        </w:rPr>
        <w:tab/>
        <w:t xml:space="preserve">Cooke D, Bond R, Lawton J, </w:t>
      </w:r>
      <w:r w:rsidRPr="005D7FBE">
        <w:rPr>
          <w:rFonts w:cs="Arial"/>
          <w:i/>
          <w:iCs/>
          <w:noProof/>
        </w:rPr>
        <w:t>et al.</w:t>
      </w:r>
      <w:r w:rsidRPr="005D7FBE">
        <w:rPr>
          <w:rFonts w:cs="Arial"/>
          <w:noProof/>
        </w:rPr>
        <w:t xml:space="preserve"> Modeling predictors of changes in glycemic control and diabetes-specific quality of life amongst adults with type 1 diabetes 1 year after structured education in flexible, intensive insulin therapy. </w:t>
      </w:r>
      <w:r w:rsidRPr="005D7FBE">
        <w:rPr>
          <w:rFonts w:cs="Arial"/>
          <w:i/>
          <w:iCs/>
          <w:noProof/>
        </w:rPr>
        <w:t>J Behav Med</w:t>
      </w:r>
      <w:r w:rsidRPr="005D7FBE">
        <w:rPr>
          <w:rFonts w:cs="Arial"/>
          <w:noProof/>
        </w:rPr>
        <w:t xml:space="preserve"> 2015;</w:t>
      </w:r>
      <w:r w:rsidRPr="005D7FBE">
        <w:rPr>
          <w:rFonts w:cs="Arial"/>
          <w:b/>
          <w:bCs/>
          <w:noProof/>
        </w:rPr>
        <w:t>38</w:t>
      </w:r>
      <w:r w:rsidRPr="005D7FBE">
        <w:rPr>
          <w:rFonts w:cs="Arial"/>
          <w:noProof/>
        </w:rPr>
        <w:t>:817–29. doi:10.1007/s10865-015-9649-y</w:t>
      </w:r>
    </w:p>
    <w:p w14:paraId="56CE0B03"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lastRenderedPageBreak/>
        <w:t xml:space="preserve">30 </w:t>
      </w:r>
      <w:r w:rsidRPr="005D7FBE">
        <w:rPr>
          <w:rFonts w:cs="Arial"/>
          <w:noProof/>
        </w:rPr>
        <w:tab/>
        <w:t xml:space="preserve">Michie S, Johnston M, Abraham C, </w:t>
      </w:r>
      <w:r w:rsidRPr="005D7FBE">
        <w:rPr>
          <w:rFonts w:cs="Arial"/>
          <w:i/>
          <w:iCs/>
          <w:noProof/>
        </w:rPr>
        <w:t>et al.</w:t>
      </w:r>
      <w:r w:rsidRPr="005D7FBE">
        <w:rPr>
          <w:rFonts w:cs="Arial"/>
          <w:noProof/>
        </w:rPr>
        <w:t xml:space="preserve"> Making psychological theory useful for implementing evidence based practice: a consensus approach. </w:t>
      </w:r>
      <w:r w:rsidRPr="005D7FBE">
        <w:rPr>
          <w:rFonts w:cs="Arial"/>
          <w:i/>
          <w:iCs/>
          <w:noProof/>
        </w:rPr>
        <w:t>Qual Saf Heal Care</w:t>
      </w:r>
      <w:r w:rsidRPr="005D7FBE">
        <w:rPr>
          <w:rFonts w:cs="Arial"/>
          <w:noProof/>
        </w:rPr>
        <w:t xml:space="preserve"> 2005;</w:t>
      </w:r>
      <w:r w:rsidRPr="005D7FBE">
        <w:rPr>
          <w:rFonts w:cs="Arial"/>
          <w:b/>
          <w:bCs/>
          <w:noProof/>
        </w:rPr>
        <w:t>14</w:t>
      </w:r>
      <w:r w:rsidRPr="005D7FBE">
        <w:rPr>
          <w:rFonts w:cs="Arial"/>
          <w:noProof/>
        </w:rPr>
        <w:t>:26–33. doi:10.1136/qshc.2004.011155</w:t>
      </w:r>
    </w:p>
    <w:p w14:paraId="39895645"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31 </w:t>
      </w:r>
      <w:r w:rsidRPr="005D7FBE">
        <w:rPr>
          <w:rFonts w:cs="Arial"/>
          <w:noProof/>
        </w:rPr>
        <w:tab/>
        <w:t xml:space="preserve">Borrelli B. The assessment, monitoring, and enhancement of treatment fidelity in public health clinical trials. </w:t>
      </w:r>
      <w:r w:rsidRPr="005D7FBE">
        <w:rPr>
          <w:rFonts w:cs="Arial"/>
          <w:i/>
          <w:iCs/>
          <w:noProof/>
        </w:rPr>
        <w:t>J Public Health Dent</w:t>
      </w:r>
      <w:r w:rsidRPr="005D7FBE">
        <w:rPr>
          <w:rFonts w:cs="Arial"/>
          <w:noProof/>
        </w:rPr>
        <w:t xml:space="preserve"> 2011;</w:t>
      </w:r>
      <w:r w:rsidRPr="005D7FBE">
        <w:rPr>
          <w:rFonts w:cs="Arial"/>
          <w:b/>
          <w:bCs/>
          <w:noProof/>
        </w:rPr>
        <w:t>71</w:t>
      </w:r>
      <w:r w:rsidRPr="005D7FBE">
        <w:rPr>
          <w:rFonts w:cs="Arial"/>
          <w:noProof/>
        </w:rPr>
        <w:t>:S52–63. doi:10.1111/j.1752-7325.2011.00233.x</w:t>
      </w:r>
    </w:p>
    <w:p w14:paraId="64BF6949"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32 </w:t>
      </w:r>
      <w:r w:rsidRPr="005D7FBE">
        <w:rPr>
          <w:rFonts w:cs="Arial"/>
          <w:noProof/>
        </w:rPr>
        <w:tab/>
        <w:t>National Institute for Health and Care Excellence. Guide to the methods of technology appraisal 2013 | Guidance and guidelines | NICE. https://www.nice.org.uk/process/pmg9/chapter/foreword (accessed 30 Jan 2018).</w:t>
      </w:r>
    </w:p>
    <w:p w14:paraId="1E36F5A8"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33 </w:t>
      </w:r>
      <w:r w:rsidRPr="005D7FBE">
        <w:rPr>
          <w:rFonts w:cs="Arial"/>
          <w:noProof/>
        </w:rPr>
        <w:tab/>
        <w:t xml:space="preserve">Gold AE, MacLeod KM, Frier BM. Frequency of severe hypoglycemia in patients with type I diabetes with impaired awareness of hypoglycemia. </w:t>
      </w:r>
      <w:r w:rsidRPr="005D7FBE">
        <w:rPr>
          <w:rFonts w:cs="Arial"/>
          <w:i/>
          <w:iCs/>
          <w:noProof/>
        </w:rPr>
        <w:t>Diabetes Care</w:t>
      </w:r>
      <w:r w:rsidRPr="005D7FBE">
        <w:rPr>
          <w:rFonts w:cs="Arial"/>
          <w:noProof/>
        </w:rPr>
        <w:t xml:space="preserve"> 1994;</w:t>
      </w:r>
      <w:r w:rsidRPr="005D7FBE">
        <w:rPr>
          <w:rFonts w:cs="Arial"/>
          <w:b/>
          <w:bCs/>
          <w:noProof/>
        </w:rPr>
        <w:t>17</w:t>
      </w:r>
      <w:r w:rsidRPr="005D7FBE">
        <w:rPr>
          <w:rFonts w:cs="Arial"/>
          <w:noProof/>
        </w:rPr>
        <w:t>:697–703.http://www.ncbi.nlm.nih.gov/pubmed/7924780 (accessed 30 Jan 2018).</w:t>
      </w:r>
    </w:p>
    <w:p w14:paraId="3D7AE33B"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34 </w:t>
      </w:r>
      <w:r w:rsidRPr="005D7FBE">
        <w:rPr>
          <w:rFonts w:cs="Arial"/>
          <w:noProof/>
        </w:rPr>
        <w:tab/>
        <w:t xml:space="preserve">Polonsky WH, Anderson BJ, Lohrer PA, </w:t>
      </w:r>
      <w:r w:rsidRPr="005D7FBE">
        <w:rPr>
          <w:rFonts w:cs="Arial"/>
          <w:i/>
          <w:iCs/>
          <w:noProof/>
        </w:rPr>
        <w:t>et al.</w:t>
      </w:r>
      <w:r w:rsidRPr="005D7FBE">
        <w:rPr>
          <w:rFonts w:cs="Arial"/>
          <w:noProof/>
        </w:rPr>
        <w:t xml:space="preserve"> Assessment of diabetes-related distress. </w:t>
      </w:r>
      <w:r w:rsidRPr="005D7FBE">
        <w:rPr>
          <w:rFonts w:cs="Arial"/>
          <w:i/>
          <w:iCs/>
          <w:noProof/>
        </w:rPr>
        <w:t>Diabetes Care</w:t>
      </w:r>
      <w:r w:rsidRPr="005D7FBE">
        <w:rPr>
          <w:rFonts w:cs="Arial"/>
          <w:noProof/>
        </w:rPr>
        <w:t xml:space="preserve"> 1995;</w:t>
      </w:r>
      <w:r w:rsidRPr="005D7FBE">
        <w:rPr>
          <w:rFonts w:cs="Arial"/>
          <w:b/>
          <w:bCs/>
          <w:noProof/>
        </w:rPr>
        <w:t>18</w:t>
      </w:r>
      <w:r w:rsidRPr="005D7FBE">
        <w:rPr>
          <w:rFonts w:cs="Arial"/>
          <w:noProof/>
        </w:rPr>
        <w:t>:754–60.http://www.ncbi.nlm.nih.gov/pubmed/7555499 (accessed 30 Jan 2018).</w:t>
      </w:r>
    </w:p>
    <w:p w14:paraId="2E6C26E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35 </w:t>
      </w:r>
      <w:r w:rsidRPr="005D7FBE">
        <w:rPr>
          <w:rFonts w:cs="Arial"/>
          <w:noProof/>
        </w:rPr>
        <w:tab/>
        <w:t xml:space="preserve">Peyrot M, Rubin RR, Lauritzen T, </w:t>
      </w:r>
      <w:r w:rsidRPr="005D7FBE">
        <w:rPr>
          <w:rFonts w:cs="Arial"/>
          <w:i/>
          <w:iCs/>
          <w:noProof/>
        </w:rPr>
        <w:t>et al.</w:t>
      </w:r>
      <w:r w:rsidRPr="005D7FBE">
        <w:rPr>
          <w:rFonts w:cs="Arial"/>
          <w:noProof/>
        </w:rPr>
        <w:t xml:space="preserve"> Psychosocial problems and barriers to improved diabetes management: results of the Cross-National Diabetes Attitudes, Wishes and Needs (DAWN) Study. </w:t>
      </w:r>
      <w:r w:rsidRPr="005D7FBE">
        <w:rPr>
          <w:rFonts w:cs="Arial"/>
          <w:i/>
          <w:iCs/>
          <w:noProof/>
        </w:rPr>
        <w:t>Diabet Med</w:t>
      </w:r>
      <w:r w:rsidRPr="005D7FBE">
        <w:rPr>
          <w:rFonts w:cs="Arial"/>
          <w:noProof/>
        </w:rPr>
        <w:t xml:space="preserve"> 2005;</w:t>
      </w:r>
      <w:r w:rsidRPr="005D7FBE">
        <w:rPr>
          <w:rFonts w:cs="Arial"/>
          <w:b/>
          <w:bCs/>
          <w:noProof/>
        </w:rPr>
        <w:t>22</w:t>
      </w:r>
      <w:r w:rsidRPr="005D7FBE">
        <w:rPr>
          <w:rFonts w:cs="Arial"/>
          <w:noProof/>
        </w:rPr>
        <w:t>:1379–85. doi:10.1111/j.1464-5491.2005.01644.x</w:t>
      </w:r>
    </w:p>
    <w:p w14:paraId="061E196F"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36 </w:t>
      </w:r>
      <w:r w:rsidRPr="005D7FBE">
        <w:rPr>
          <w:rFonts w:cs="Arial"/>
          <w:noProof/>
        </w:rPr>
        <w:tab/>
        <w:t xml:space="preserve">Speight, J, Barendse, S, Bradley C. The W-BQ28: further development of the well-being Questionnaire to include diabetes-specific as well as generic subscales and new stress subscales. In: </w:t>
      </w:r>
      <w:r w:rsidRPr="005D7FBE">
        <w:rPr>
          <w:rFonts w:cs="Arial"/>
          <w:i/>
          <w:iCs/>
          <w:noProof/>
        </w:rPr>
        <w:t>British Psychological Society, Division of Health Psychology</w:t>
      </w:r>
      <w:r w:rsidRPr="005D7FBE">
        <w:rPr>
          <w:rFonts w:cs="Arial"/>
          <w:noProof/>
        </w:rPr>
        <w:t xml:space="preserve">. Leeds: 1999. </w:t>
      </w:r>
    </w:p>
    <w:p w14:paraId="4BC267C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37 </w:t>
      </w:r>
      <w:r w:rsidRPr="005D7FBE">
        <w:rPr>
          <w:rFonts w:cs="Arial"/>
          <w:noProof/>
        </w:rPr>
        <w:tab/>
        <w:t xml:space="preserve">Cox DJ, Irvine A, Gonder-Frederick L, </w:t>
      </w:r>
      <w:r w:rsidRPr="005D7FBE">
        <w:rPr>
          <w:rFonts w:cs="Arial"/>
          <w:i/>
          <w:iCs/>
          <w:noProof/>
        </w:rPr>
        <w:t>et al.</w:t>
      </w:r>
      <w:r w:rsidRPr="005D7FBE">
        <w:rPr>
          <w:rFonts w:cs="Arial"/>
          <w:noProof/>
        </w:rPr>
        <w:t xml:space="preserve"> Fear of hypoglycemia: Quantification, validation, and utilization. </w:t>
      </w:r>
      <w:r w:rsidRPr="005D7FBE">
        <w:rPr>
          <w:rFonts w:cs="Arial"/>
          <w:i/>
          <w:iCs/>
          <w:noProof/>
        </w:rPr>
        <w:t>Diabetes Care</w:t>
      </w:r>
      <w:r w:rsidRPr="005D7FBE">
        <w:rPr>
          <w:rFonts w:cs="Arial"/>
          <w:noProof/>
        </w:rPr>
        <w:t xml:space="preserve"> 1987;</w:t>
      </w:r>
      <w:r w:rsidRPr="005D7FBE">
        <w:rPr>
          <w:rFonts w:cs="Arial"/>
          <w:b/>
          <w:bCs/>
          <w:noProof/>
        </w:rPr>
        <w:t>10</w:t>
      </w:r>
      <w:r w:rsidRPr="005D7FBE">
        <w:rPr>
          <w:rFonts w:cs="Arial"/>
          <w:noProof/>
        </w:rPr>
        <w:t>:617–21. doi:10.2337/diacare.10.5.617</w:t>
      </w:r>
    </w:p>
    <w:p w14:paraId="7C151150"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38 </w:t>
      </w:r>
      <w:r w:rsidRPr="005D7FBE">
        <w:rPr>
          <w:rFonts w:cs="Arial"/>
          <w:noProof/>
        </w:rPr>
        <w:tab/>
        <w:t xml:space="preserve">Carlton J, Elliott J, Rowen D, </w:t>
      </w:r>
      <w:r w:rsidRPr="005D7FBE">
        <w:rPr>
          <w:rFonts w:cs="Arial"/>
          <w:i/>
          <w:iCs/>
          <w:noProof/>
        </w:rPr>
        <w:t>et al.</w:t>
      </w:r>
      <w:r w:rsidRPr="005D7FBE">
        <w:rPr>
          <w:rFonts w:cs="Arial"/>
          <w:noProof/>
        </w:rPr>
        <w:t xml:space="preserve"> Developing a questionnaire to determine the impact of self-management in diabetes: giving people with diabetes a voice. </w:t>
      </w:r>
      <w:r w:rsidRPr="005D7FBE">
        <w:rPr>
          <w:rFonts w:cs="Arial"/>
          <w:i/>
          <w:iCs/>
          <w:noProof/>
        </w:rPr>
        <w:t>Health Qual Life Outcomes</w:t>
      </w:r>
      <w:r w:rsidRPr="005D7FBE">
        <w:rPr>
          <w:rFonts w:cs="Arial"/>
          <w:noProof/>
        </w:rPr>
        <w:t xml:space="preserve"> 2017;</w:t>
      </w:r>
      <w:r w:rsidRPr="005D7FBE">
        <w:rPr>
          <w:rFonts w:cs="Arial"/>
          <w:b/>
          <w:bCs/>
          <w:noProof/>
        </w:rPr>
        <w:t>15</w:t>
      </w:r>
      <w:r w:rsidRPr="005D7FBE">
        <w:rPr>
          <w:rFonts w:cs="Arial"/>
          <w:noProof/>
        </w:rPr>
        <w:t>:146. doi:10.1186/s12955-017-0719-4</w:t>
      </w:r>
    </w:p>
    <w:p w14:paraId="4F463534"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39 </w:t>
      </w:r>
      <w:r w:rsidRPr="005D7FBE">
        <w:rPr>
          <w:rFonts w:cs="Arial"/>
          <w:noProof/>
        </w:rPr>
        <w:tab/>
        <w:t xml:space="preserve">Herdman M, Gudex C, Lloyd A, </w:t>
      </w:r>
      <w:r w:rsidRPr="005D7FBE">
        <w:rPr>
          <w:rFonts w:cs="Arial"/>
          <w:i/>
          <w:iCs/>
          <w:noProof/>
        </w:rPr>
        <w:t>et al.</w:t>
      </w:r>
      <w:r w:rsidRPr="005D7FBE">
        <w:rPr>
          <w:rFonts w:cs="Arial"/>
          <w:noProof/>
        </w:rPr>
        <w:t xml:space="preserve"> Development and preliminary testing of the new five-level version of EQ-5D (EQ-5D-5L). </w:t>
      </w:r>
      <w:r w:rsidRPr="005D7FBE">
        <w:rPr>
          <w:rFonts w:cs="Arial"/>
          <w:i/>
          <w:iCs/>
          <w:noProof/>
        </w:rPr>
        <w:t>Qual Life Res</w:t>
      </w:r>
      <w:r w:rsidRPr="005D7FBE">
        <w:rPr>
          <w:rFonts w:cs="Arial"/>
          <w:noProof/>
        </w:rPr>
        <w:t xml:space="preserve"> 2011;</w:t>
      </w:r>
      <w:r w:rsidRPr="005D7FBE">
        <w:rPr>
          <w:rFonts w:cs="Arial"/>
          <w:b/>
          <w:bCs/>
          <w:noProof/>
        </w:rPr>
        <w:t>20</w:t>
      </w:r>
      <w:r w:rsidRPr="005D7FBE">
        <w:rPr>
          <w:rFonts w:cs="Arial"/>
          <w:noProof/>
        </w:rPr>
        <w:t>:1727–36. doi:10.1007/s11136-011-9903-x</w:t>
      </w:r>
    </w:p>
    <w:p w14:paraId="5373F191"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40 </w:t>
      </w:r>
      <w:r w:rsidRPr="005D7FBE">
        <w:rPr>
          <w:rFonts w:cs="Arial"/>
          <w:noProof/>
        </w:rPr>
        <w:tab/>
        <w:t xml:space="preserve">Speight J, Holmes-Truscott E, Little SA, </w:t>
      </w:r>
      <w:r w:rsidRPr="005D7FBE">
        <w:rPr>
          <w:rFonts w:cs="Arial"/>
          <w:i/>
          <w:iCs/>
          <w:noProof/>
        </w:rPr>
        <w:t>et al.</w:t>
      </w:r>
      <w:r w:rsidRPr="005D7FBE">
        <w:rPr>
          <w:rFonts w:cs="Arial"/>
          <w:noProof/>
        </w:rPr>
        <w:t xml:space="preserve"> Satisfaction with the Use of Different Technologies for Insulin Delivery and Glucose Monitoring Among Adults with Long-Standing Type 1 Diabetes and Problematic Hypoglycemia: 2-Year Follow-Up in the HypoCOMPaSS Randomized Clinical Trial. </w:t>
      </w:r>
      <w:r w:rsidRPr="005D7FBE">
        <w:rPr>
          <w:rFonts w:cs="Arial"/>
          <w:i/>
          <w:iCs/>
          <w:noProof/>
        </w:rPr>
        <w:t>Diabetes Technol Ther</w:t>
      </w:r>
      <w:r w:rsidRPr="005D7FBE">
        <w:rPr>
          <w:rFonts w:cs="Arial"/>
          <w:noProof/>
        </w:rPr>
        <w:t xml:space="preserve"> 2019;</w:t>
      </w:r>
      <w:r w:rsidRPr="005D7FBE">
        <w:rPr>
          <w:rFonts w:cs="Arial"/>
          <w:b/>
          <w:bCs/>
          <w:noProof/>
        </w:rPr>
        <w:t>21</w:t>
      </w:r>
      <w:r w:rsidRPr="005D7FBE">
        <w:rPr>
          <w:rFonts w:cs="Arial"/>
          <w:noProof/>
        </w:rPr>
        <w:t>:619–26. doi:10.1089/dia.2019.0152</w:t>
      </w:r>
    </w:p>
    <w:p w14:paraId="2207342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41 </w:t>
      </w:r>
      <w:r w:rsidRPr="005D7FBE">
        <w:rPr>
          <w:rFonts w:cs="Arial"/>
          <w:noProof/>
        </w:rPr>
        <w:tab/>
        <w:t xml:space="preserve">Brown J, Miller W, LewandowskiLA. The Self-Regulation Questionnaire. In: Creek, Van de L, Jackson T, eds. </w:t>
      </w:r>
      <w:r w:rsidRPr="005D7FBE">
        <w:rPr>
          <w:rFonts w:cs="Arial"/>
          <w:i/>
          <w:iCs/>
          <w:noProof/>
        </w:rPr>
        <w:t>Innovations in clinical practice: A source book</w:t>
      </w:r>
      <w:r w:rsidRPr="005D7FBE">
        <w:rPr>
          <w:rFonts w:cs="Arial"/>
          <w:noProof/>
        </w:rPr>
        <w:t>. Sarasota, Florida: : Professional Resource Press 1999. 281–9.</w:t>
      </w:r>
    </w:p>
    <w:p w14:paraId="0969566D"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42 </w:t>
      </w:r>
      <w:r w:rsidRPr="005D7FBE">
        <w:rPr>
          <w:rFonts w:cs="Arial"/>
          <w:noProof/>
        </w:rPr>
        <w:tab/>
        <w:t xml:space="preserve">Hilliard ME, Iturralde E, Weissberg-Benchell J, </w:t>
      </w:r>
      <w:r w:rsidRPr="005D7FBE">
        <w:rPr>
          <w:rFonts w:cs="Arial"/>
          <w:i/>
          <w:iCs/>
          <w:noProof/>
        </w:rPr>
        <w:t>et al.</w:t>
      </w:r>
      <w:r w:rsidRPr="005D7FBE">
        <w:rPr>
          <w:rFonts w:cs="Arial"/>
          <w:noProof/>
        </w:rPr>
        <w:t xml:space="preserve"> The Diabetes Strengths and Resilience Measure for Adolescents With Type 1 Diabetes (DSTAR-Teen): Validation of a New, Brief Self-Report Measure. </w:t>
      </w:r>
      <w:r w:rsidRPr="005D7FBE">
        <w:rPr>
          <w:rFonts w:cs="Arial"/>
          <w:i/>
          <w:iCs/>
          <w:noProof/>
        </w:rPr>
        <w:t>J Pediatr Psychol</w:t>
      </w:r>
      <w:r w:rsidRPr="005D7FBE">
        <w:rPr>
          <w:rFonts w:cs="Arial"/>
          <w:noProof/>
        </w:rPr>
        <w:t xml:space="preserve"> 2017;</w:t>
      </w:r>
      <w:r w:rsidRPr="005D7FBE">
        <w:rPr>
          <w:rFonts w:cs="Arial"/>
          <w:b/>
          <w:bCs/>
          <w:noProof/>
        </w:rPr>
        <w:t>42</w:t>
      </w:r>
      <w:r w:rsidRPr="005D7FBE">
        <w:rPr>
          <w:rFonts w:cs="Arial"/>
          <w:noProof/>
        </w:rPr>
        <w:t>:995–1005. doi:10.1093/jpepsy/jsx086</w:t>
      </w:r>
    </w:p>
    <w:p w14:paraId="2925504B"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43 </w:t>
      </w:r>
      <w:r w:rsidRPr="005D7FBE">
        <w:rPr>
          <w:rFonts w:cs="Arial"/>
          <w:noProof/>
        </w:rPr>
        <w:tab/>
        <w:t xml:space="preserve">Van Der Ven NCW, Weinger K, Yi J, </w:t>
      </w:r>
      <w:r w:rsidRPr="005D7FBE">
        <w:rPr>
          <w:rFonts w:cs="Arial"/>
          <w:i/>
          <w:iCs/>
          <w:noProof/>
        </w:rPr>
        <w:t>et al.</w:t>
      </w:r>
      <w:r w:rsidRPr="005D7FBE">
        <w:rPr>
          <w:rFonts w:cs="Arial"/>
          <w:noProof/>
        </w:rPr>
        <w:t xml:space="preserve"> The confidence in diabetes self-care scale: Psychometric properties of a new measure of diabetes-specific self-efficacy in Dutch and U.S. patients with type 1 diabetes. </w:t>
      </w:r>
      <w:r w:rsidRPr="005D7FBE">
        <w:rPr>
          <w:rFonts w:cs="Arial"/>
          <w:i/>
          <w:iCs/>
          <w:noProof/>
        </w:rPr>
        <w:t>Diabetes Care</w:t>
      </w:r>
      <w:r w:rsidRPr="005D7FBE">
        <w:rPr>
          <w:rFonts w:cs="Arial"/>
          <w:noProof/>
        </w:rPr>
        <w:t xml:space="preserve"> 2003;</w:t>
      </w:r>
      <w:r w:rsidRPr="005D7FBE">
        <w:rPr>
          <w:rFonts w:cs="Arial"/>
          <w:b/>
          <w:bCs/>
          <w:noProof/>
        </w:rPr>
        <w:t>26</w:t>
      </w:r>
      <w:r w:rsidRPr="005D7FBE">
        <w:rPr>
          <w:rFonts w:cs="Arial"/>
          <w:noProof/>
        </w:rPr>
        <w:t>:713–8. doi:10.2337/diacare.26.3.713</w:t>
      </w:r>
    </w:p>
    <w:p w14:paraId="178605AB"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44 </w:t>
      </w:r>
      <w:r w:rsidRPr="005D7FBE">
        <w:rPr>
          <w:rFonts w:cs="Arial"/>
          <w:noProof/>
        </w:rPr>
        <w:tab/>
        <w:t xml:space="preserve">Polonsky WH, Fisher L, Hessler D, </w:t>
      </w:r>
      <w:r w:rsidRPr="005D7FBE">
        <w:rPr>
          <w:rFonts w:cs="Arial"/>
          <w:i/>
          <w:iCs/>
          <w:noProof/>
        </w:rPr>
        <w:t>et al.</w:t>
      </w:r>
      <w:r w:rsidRPr="005D7FBE">
        <w:rPr>
          <w:rFonts w:cs="Arial"/>
          <w:noProof/>
        </w:rPr>
        <w:t xml:space="preserve"> Investigating Hypoglycemic Confidence in Type 1 and Type 2 Diabetes. doi:10.1089/dia.2016.0366</w:t>
      </w:r>
    </w:p>
    <w:p w14:paraId="0B944259"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45 </w:t>
      </w:r>
      <w:r w:rsidRPr="005D7FBE">
        <w:rPr>
          <w:rFonts w:cs="Arial"/>
          <w:noProof/>
        </w:rPr>
        <w:tab/>
        <w:t xml:space="preserve">Mansell P, Grant L, Bond R, Pouwer F, Page N, Davies A, Stenner K, Elliott J, Hopkins D, Jones A, Vallis M, Speight J, Lawton J, Clark M, Heller S CD. </w:t>
      </w:r>
      <w:r w:rsidRPr="005D7FBE">
        <w:rPr>
          <w:rFonts w:cs="Arial"/>
          <w:noProof/>
        </w:rPr>
        <w:lastRenderedPageBreak/>
        <w:t xml:space="preserve">Assessment of Self-Care Behaviours focused on Glycemic Control in Type 1 Diabetes: Development and Validation of the SCB-T1D Questionnaire. </w:t>
      </w:r>
    </w:p>
    <w:p w14:paraId="51C1FFE9"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46 </w:t>
      </w:r>
      <w:r w:rsidRPr="005D7FBE">
        <w:rPr>
          <w:rFonts w:cs="Arial"/>
          <w:noProof/>
        </w:rPr>
        <w:tab/>
        <w:t xml:space="preserve">Brooke J. SUS-A quick and dirty usability scale. </w:t>
      </w:r>
      <w:r w:rsidRPr="005D7FBE">
        <w:rPr>
          <w:rFonts w:cs="Arial"/>
          <w:i/>
          <w:iCs/>
          <w:noProof/>
        </w:rPr>
        <w:t>Usability Eval Ind</w:t>
      </w:r>
      <w:r w:rsidRPr="005D7FBE">
        <w:rPr>
          <w:rFonts w:cs="Arial"/>
          <w:noProof/>
        </w:rPr>
        <w:t xml:space="preserve"> 1996;</w:t>
      </w:r>
      <w:r w:rsidRPr="005D7FBE">
        <w:rPr>
          <w:rFonts w:cs="Arial"/>
          <w:b/>
          <w:bCs/>
          <w:noProof/>
        </w:rPr>
        <w:t>189</w:t>
      </w:r>
      <w:r w:rsidRPr="005D7FBE">
        <w:rPr>
          <w:rFonts w:cs="Arial"/>
          <w:noProof/>
        </w:rPr>
        <w:t>:4–7.</w:t>
      </w:r>
    </w:p>
    <w:p w14:paraId="1A837499"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47 </w:t>
      </w:r>
      <w:r w:rsidRPr="005D7FBE">
        <w:rPr>
          <w:rFonts w:cs="Arial"/>
          <w:noProof/>
        </w:rPr>
        <w:tab/>
        <w:t xml:space="preserve">Campbell MK, Piaggio G, Elbourne DR, </w:t>
      </w:r>
      <w:r w:rsidRPr="005D7FBE">
        <w:rPr>
          <w:rFonts w:cs="Arial"/>
          <w:i/>
          <w:iCs/>
          <w:noProof/>
        </w:rPr>
        <w:t>et al.</w:t>
      </w:r>
      <w:r w:rsidRPr="005D7FBE">
        <w:rPr>
          <w:rFonts w:cs="Arial"/>
          <w:noProof/>
        </w:rPr>
        <w:t xml:space="preserve"> Consort 2010 statement: extension to cluster randomised trials. </w:t>
      </w:r>
      <w:r w:rsidRPr="005D7FBE">
        <w:rPr>
          <w:rFonts w:cs="Arial"/>
          <w:i/>
          <w:iCs/>
          <w:noProof/>
        </w:rPr>
        <w:t>BMJ</w:t>
      </w:r>
      <w:r w:rsidRPr="005D7FBE">
        <w:rPr>
          <w:rFonts w:cs="Arial"/>
          <w:noProof/>
        </w:rPr>
        <w:t xml:space="preserve"> 2012;</w:t>
      </w:r>
      <w:r w:rsidRPr="005D7FBE">
        <w:rPr>
          <w:rFonts w:cs="Arial"/>
          <w:b/>
          <w:bCs/>
          <w:noProof/>
        </w:rPr>
        <w:t>345</w:t>
      </w:r>
      <w:r w:rsidRPr="005D7FBE">
        <w:rPr>
          <w:rFonts w:cs="Arial"/>
          <w:noProof/>
        </w:rPr>
        <w:t>:e5661. doi:10.1136/BMJ.E5661</w:t>
      </w:r>
    </w:p>
    <w:p w14:paraId="401CDB16"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48 </w:t>
      </w:r>
      <w:r w:rsidRPr="005D7FBE">
        <w:rPr>
          <w:rFonts w:cs="Arial"/>
          <w:noProof/>
        </w:rPr>
        <w:tab/>
        <w:t xml:space="preserve">World Medical Association. World Medical Association Declaration of Helsinki: Recommendations guiding physicians in biomedical research involving human subjects. 1996. </w:t>
      </w:r>
    </w:p>
    <w:p w14:paraId="2E0DBC1A" w14:textId="77777777" w:rsidR="005D7FBE" w:rsidRPr="005D7FBE" w:rsidRDefault="005D7FBE" w:rsidP="005D7FBE">
      <w:pPr>
        <w:widowControl w:val="0"/>
        <w:autoSpaceDE w:val="0"/>
        <w:autoSpaceDN w:val="0"/>
        <w:adjustRightInd w:val="0"/>
        <w:ind w:left="640" w:hanging="640"/>
        <w:rPr>
          <w:rFonts w:cs="Arial"/>
          <w:noProof/>
        </w:rPr>
      </w:pPr>
      <w:r w:rsidRPr="005D7FBE">
        <w:rPr>
          <w:rFonts w:cs="Arial"/>
          <w:noProof/>
        </w:rPr>
        <w:t xml:space="preserve">49 </w:t>
      </w:r>
      <w:r w:rsidRPr="005D7FBE">
        <w:rPr>
          <w:rFonts w:cs="Arial"/>
          <w:noProof/>
        </w:rPr>
        <w:tab/>
        <w:t xml:space="preserve">Department of Health. UK Framework for Health and Social Care Research. 2017. </w:t>
      </w:r>
    </w:p>
    <w:p w14:paraId="593B937B" w14:textId="4DCB1957" w:rsidR="00F608A5" w:rsidRPr="00E03C03" w:rsidRDefault="00633CFF" w:rsidP="00BD1DBF">
      <w:pPr>
        <w:jc w:val="both"/>
      </w:pPr>
      <w:r w:rsidRPr="00276F5F">
        <w:rPr>
          <w:color w:val="000000" w:themeColor="text1"/>
        </w:rPr>
        <w:fldChar w:fldCharType="end"/>
      </w:r>
    </w:p>
    <w:sectPr w:rsidR="00F608A5" w:rsidRPr="00E03C03" w:rsidSect="00A62F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84E9" w14:textId="77777777" w:rsidR="00303813" w:rsidRDefault="00303813">
      <w:r>
        <w:separator/>
      </w:r>
    </w:p>
  </w:endnote>
  <w:endnote w:type="continuationSeparator" w:id="0">
    <w:p w14:paraId="37311B8B" w14:textId="77777777" w:rsidR="00303813" w:rsidRDefault="0030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6AA5" w14:textId="77777777" w:rsidR="00303813" w:rsidRDefault="00303813">
      <w:r>
        <w:separator/>
      </w:r>
    </w:p>
  </w:footnote>
  <w:footnote w:type="continuationSeparator" w:id="0">
    <w:p w14:paraId="48D9EF01" w14:textId="77777777" w:rsidR="00303813" w:rsidRDefault="00303813">
      <w:r>
        <w:continuationSeparator/>
      </w:r>
    </w:p>
  </w:footnote>
  <w:footnote w:id="1">
    <w:p w14:paraId="38B6D3E5" w14:textId="329D15BC" w:rsidR="00303813" w:rsidRDefault="00303813">
      <w:pPr>
        <w:pStyle w:val="FootnoteText"/>
      </w:pPr>
      <w:r>
        <w:rPr>
          <w:rStyle w:val="FootnoteReference"/>
        </w:rPr>
        <w:footnoteRef/>
      </w:r>
      <w:r>
        <w:t xml:space="preserve"> </w:t>
      </w:r>
      <w:r w:rsidRPr="0068480A">
        <w:rPr>
          <w:rFonts w:ascii="Arial" w:hAnsi="Arial" w:cs="Arial"/>
        </w:rPr>
        <w:t xml:space="preserve">The honeymoon period refers to the time when, post-diagnosis, people start taking insulin injections, and their insulin producing cells sometimes recover </w:t>
      </w:r>
      <w:r>
        <w:rPr>
          <w:rFonts w:ascii="Arial" w:hAnsi="Arial" w:cs="Arial"/>
        </w:rPr>
        <w:t>temporarily (generally around 3 -12 months</w:t>
      </w:r>
      <w:r w:rsidRPr="0068480A">
        <w:rPr>
          <w:rFonts w:ascii="Arial" w:hAnsi="Arial" w:cs="Arial"/>
        </w:rPr>
        <w:t>. The dose of insulin needed might reduce during this period, and some people might even need to stop using insulin for a while, but eventually it will be needed again. The criteria for referral to DAFNE at least 6 months after diagnosis is to allow for the honeymoon period to have passed before attendance at the course.</w:t>
      </w:r>
    </w:p>
  </w:footnote>
  <w:footnote w:id="2">
    <w:p w14:paraId="72F6144B" w14:textId="4753ED5F" w:rsidR="00303813" w:rsidRPr="002967A4" w:rsidRDefault="00303813" w:rsidP="00C717B5">
      <w:pPr>
        <w:pStyle w:val="FootnoteText"/>
        <w:rPr>
          <w:rFonts w:ascii="Arial" w:hAnsi="Arial" w:cs="Arial"/>
          <w:lang w:val="en-US"/>
        </w:rPr>
      </w:pPr>
      <w:r w:rsidRPr="002967A4">
        <w:rPr>
          <w:rStyle w:val="FootnoteReference"/>
          <w:rFonts w:ascii="Arial" w:hAnsi="Arial" w:cs="Arial"/>
        </w:rPr>
        <w:footnoteRef/>
      </w:r>
      <w:r w:rsidRPr="002967A4">
        <w:rPr>
          <w:rFonts w:ascii="Arial" w:hAnsi="Arial" w:cs="Arial"/>
        </w:rPr>
        <w:t xml:space="preserve"> </w:t>
      </w:r>
      <w:r>
        <w:rPr>
          <w:rFonts w:ascii="Arial" w:hAnsi="Arial" w:cs="Arial"/>
          <w:lang w:val="en-US"/>
        </w:rPr>
        <w:t>In</w:t>
      </w:r>
      <w:r w:rsidRPr="002967A4">
        <w:rPr>
          <w:rFonts w:ascii="Arial" w:hAnsi="Arial" w:cs="Arial"/>
          <w:lang w:val="en-US"/>
        </w:rPr>
        <w:t xml:space="preserve"> DAFNE</w:t>
      </w:r>
      <w:r w:rsidRPr="002967A4">
        <w:rPr>
          <w:rFonts w:ascii="Arial" w:hAnsi="Arial" w:cs="Arial"/>
          <w:i/>
          <w:lang w:val="en-US"/>
        </w:rPr>
        <w:t>plus</w:t>
      </w:r>
      <w:r w:rsidRPr="002967A4">
        <w:rPr>
          <w:rFonts w:ascii="Arial" w:hAnsi="Arial" w:cs="Arial"/>
          <w:lang w:val="en-US"/>
        </w:rPr>
        <w:t xml:space="preserve">, those delivering the intervention are referred to as ‘facilitators’, as opposed to ‘educators’ </w:t>
      </w:r>
      <w:r>
        <w:rPr>
          <w:rFonts w:ascii="Arial" w:hAnsi="Arial" w:cs="Arial"/>
          <w:lang w:val="en-US"/>
        </w:rPr>
        <w:t>in</w:t>
      </w:r>
      <w:r w:rsidRPr="002967A4">
        <w:rPr>
          <w:rFonts w:ascii="Arial" w:hAnsi="Arial" w:cs="Arial"/>
          <w:lang w:val="en-US"/>
        </w:rPr>
        <w:t xml:space="preserve"> standard DAFNE.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0F5"/>
    <w:multiLevelType w:val="multilevel"/>
    <w:tmpl w:val="A4F8453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504AF"/>
    <w:multiLevelType w:val="hybridMultilevel"/>
    <w:tmpl w:val="8112F2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D78CE"/>
    <w:multiLevelType w:val="hybridMultilevel"/>
    <w:tmpl w:val="93B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6234A"/>
    <w:multiLevelType w:val="hybridMultilevel"/>
    <w:tmpl w:val="AA343BA6"/>
    <w:lvl w:ilvl="0" w:tplc="5E4C1FA6">
      <w:start w:val="1"/>
      <w:numFmt w:val="decimal"/>
      <w:lvlText w:val="%1."/>
      <w:lvlJc w:val="left"/>
      <w:pPr>
        <w:ind w:left="1275" w:hanging="5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B21D30"/>
    <w:multiLevelType w:val="hybridMultilevel"/>
    <w:tmpl w:val="C6148C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D7779"/>
    <w:multiLevelType w:val="hybridMultilevel"/>
    <w:tmpl w:val="5EAA3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402AC"/>
    <w:multiLevelType w:val="hybridMultilevel"/>
    <w:tmpl w:val="71FA1038"/>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1CDE2B7C"/>
    <w:multiLevelType w:val="hybridMultilevel"/>
    <w:tmpl w:val="EB744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24695"/>
    <w:multiLevelType w:val="multilevel"/>
    <w:tmpl w:val="D9C85AB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7A2FAE"/>
    <w:multiLevelType w:val="hybridMultilevel"/>
    <w:tmpl w:val="D4DCA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D400E"/>
    <w:multiLevelType w:val="hybridMultilevel"/>
    <w:tmpl w:val="4DBEDC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E44959"/>
    <w:multiLevelType w:val="hybridMultilevel"/>
    <w:tmpl w:val="2334D55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3947D9"/>
    <w:multiLevelType w:val="multilevel"/>
    <w:tmpl w:val="22600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BB1050"/>
    <w:multiLevelType w:val="hybridMultilevel"/>
    <w:tmpl w:val="A168B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644E46"/>
    <w:multiLevelType w:val="hybridMultilevel"/>
    <w:tmpl w:val="E4227396"/>
    <w:lvl w:ilvl="0" w:tplc="C5CEF400">
      <w:start w:val="1"/>
      <w:numFmt w:val="decimal"/>
      <w:lvlText w:val="%1."/>
      <w:lvlJc w:val="left"/>
      <w:pPr>
        <w:ind w:left="36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569DB"/>
    <w:multiLevelType w:val="hybridMultilevel"/>
    <w:tmpl w:val="AFE80A28"/>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C5B01"/>
    <w:multiLevelType w:val="hybridMultilevel"/>
    <w:tmpl w:val="DEC24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13E44"/>
    <w:multiLevelType w:val="hybridMultilevel"/>
    <w:tmpl w:val="686A3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B5D48"/>
    <w:multiLevelType w:val="hybridMultilevel"/>
    <w:tmpl w:val="AB44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05585"/>
    <w:multiLevelType w:val="hybridMultilevel"/>
    <w:tmpl w:val="3AA89C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61A09"/>
    <w:multiLevelType w:val="hybridMultilevel"/>
    <w:tmpl w:val="17ACA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781775"/>
    <w:multiLevelType w:val="hybridMultilevel"/>
    <w:tmpl w:val="99945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75547"/>
    <w:multiLevelType w:val="hybridMultilevel"/>
    <w:tmpl w:val="B83C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B33D4"/>
    <w:multiLevelType w:val="hybridMultilevel"/>
    <w:tmpl w:val="848C5F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E5DCE"/>
    <w:multiLevelType w:val="hybridMultilevel"/>
    <w:tmpl w:val="E89A121A"/>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146752"/>
    <w:multiLevelType w:val="hybridMultilevel"/>
    <w:tmpl w:val="A22025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22718"/>
    <w:multiLevelType w:val="hybridMultilevel"/>
    <w:tmpl w:val="0244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32DE0"/>
    <w:multiLevelType w:val="hybridMultilevel"/>
    <w:tmpl w:val="9A96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66A8D"/>
    <w:multiLevelType w:val="hybridMultilevel"/>
    <w:tmpl w:val="EF9A76C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A52984"/>
    <w:multiLevelType w:val="hybridMultilevel"/>
    <w:tmpl w:val="A168B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E46414"/>
    <w:multiLevelType w:val="hybridMultilevel"/>
    <w:tmpl w:val="A22025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A4D94"/>
    <w:multiLevelType w:val="hybridMultilevel"/>
    <w:tmpl w:val="BC46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9283C"/>
    <w:multiLevelType w:val="hybridMultilevel"/>
    <w:tmpl w:val="9DE60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06DD9"/>
    <w:multiLevelType w:val="hybridMultilevel"/>
    <w:tmpl w:val="E52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F56A1"/>
    <w:multiLevelType w:val="hybridMultilevel"/>
    <w:tmpl w:val="74EE417C"/>
    <w:lvl w:ilvl="0" w:tplc="51B601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92DCF"/>
    <w:multiLevelType w:val="hybridMultilevel"/>
    <w:tmpl w:val="4224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948CB"/>
    <w:multiLevelType w:val="hybridMultilevel"/>
    <w:tmpl w:val="BBDA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45262"/>
    <w:multiLevelType w:val="hybridMultilevel"/>
    <w:tmpl w:val="9EDE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D7CF2"/>
    <w:multiLevelType w:val="hybridMultilevel"/>
    <w:tmpl w:val="A880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1758FF"/>
    <w:multiLevelType w:val="hybridMultilevel"/>
    <w:tmpl w:val="F4088AF6"/>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hint="default"/>
      </w:rPr>
    </w:lvl>
    <w:lvl w:ilvl="8" w:tplc="04090005" w:tentative="1">
      <w:start w:val="1"/>
      <w:numFmt w:val="bullet"/>
      <w:lvlText w:val=""/>
      <w:lvlJc w:val="left"/>
      <w:pPr>
        <w:ind w:left="6551" w:hanging="360"/>
      </w:pPr>
      <w:rPr>
        <w:rFonts w:ascii="Wingdings" w:hAnsi="Wingdings" w:hint="default"/>
      </w:rPr>
    </w:lvl>
  </w:abstractNum>
  <w:num w:numId="1">
    <w:abstractNumId w:val="8"/>
  </w:num>
  <w:num w:numId="2">
    <w:abstractNumId w:val="23"/>
  </w:num>
  <w:num w:numId="3">
    <w:abstractNumId w:val="31"/>
  </w:num>
  <w:num w:numId="4">
    <w:abstractNumId w:val="25"/>
  </w:num>
  <w:num w:numId="5">
    <w:abstractNumId w:val="36"/>
  </w:num>
  <w:num w:numId="6">
    <w:abstractNumId w:val="18"/>
  </w:num>
  <w:num w:numId="7">
    <w:abstractNumId w:val="37"/>
  </w:num>
  <w:num w:numId="8">
    <w:abstractNumId w:val="7"/>
  </w:num>
  <w:num w:numId="9">
    <w:abstractNumId w:val="6"/>
  </w:num>
  <w:num w:numId="10">
    <w:abstractNumId w:val="4"/>
  </w:num>
  <w:num w:numId="11">
    <w:abstractNumId w:val="33"/>
  </w:num>
  <w:num w:numId="12">
    <w:abstractNumId w:val="16"/>
  </w:num>
  <w:num w:numId="13">
    <w:abstractNumId w:val="29"/>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0"/>
  </w:num>
  <w:num w:numId="29">
    <w:abstractNumId w:val="28"/>
  </w:num>
  <w:num w:numId="30">
    <w:abstractNumId w:val="11"/>
  </w:num>
  <w:num w:numId="31">
    <w:abstractNumId w:val="13"/>
  </w:num>
  <w:num w:numId="32">
    <w:abstractNumId w:val="22"/>
  </w:num>
  <w:num w:numId="33">
    <w:abstractNumId w:val="24"/>
  </w:num>
  <w:num w:numId="34">
    <w:abstractNumId w:val="10"/>
  </w:num>
  <w:num w:numId="35">
    <w:abstractNumId w:val="26"/>
  </w:num>
  <w:num w:numId="36">
    <w:abstractNumId w:val="35"/>
  </w:num>
  <w:num w:numId="37">
    <w:abstractNumId w:val="32"/>
  </w:num>
  <w:num w:numId="38">
    <w:abstractNumId w:val="39"/>
  </w:num>
  <w:num w:numId="39">
    <w:abstractNumId w:val="0"/>
  </w:num>
  <w:num w:numId="40">
    <w:abstractNumId w:val="21"/>
  </w:num>
  <w:num w:numId="41">
    <w:abstractNumId w:val="34"/>
  </w:num>
  <w:num w:numId="42">
    <w:abstractNumId w:val="17"/>
  </w:num>
  <w:num w:numId="43">
    <w:abstractNumId w:val="2"/>
  </w:num>
  <w:num w:numId="44">
    <w:abstractNumId w:val="27"/>
  </w:num>
  <w:num w:numId="45">
    <w:abstractNumId w:val="14"/>
  </w:num>
  <w:num w:numId="46">
    <w:abstractNumId w:val="3"/>
  </w:num>
  <w:num w:numId="47">
    <w:abstractNumId w:val="1"/>
  </w:num>
  <w:num w:numId="48">
    <w:abstractNumId w:val="5"/>
  </w:num>
  <w:num w:numId="49">
    <w:abstractNumId w:val="15"/>
  </w:num>
  <w:num w:numId="50">
    <w:abstractNumId w:val="19"/>
  </w:num>
  <w:num w:numId="51">
    <w:abstractNumId w:val="9"/>
  </w:num>
  <w:num w:numId="5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CA"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05r0es8w5fv9er25b5fxd7erdzt2awwpzz&quot;&gt;DAFNEplusProtocol&lt;record-ids&gt;&lt;item&gt;7&lt;/item&gt;&lt;/record-ids&gt;&lt;/item&gt;&lt;/Libraries&gt;"/>
  </w:docVars>
  <w:rsids>
    <w:rsidRoot w:val="007C0677"/>
    <w:rsid w:val="000029D2"/>
    <w:rsid w:val="00006FFB"/>
    <w:rsid w:val="00016959"/>
    <w:rsid w:val="0002074B"/>
    <w:rsid w:val="00020B34"/>
    <w:rsid w:val="0002305D"/>
    <w:rsid w:val="000260EB"/>
    <w:rsid w:val="000267B9"/>
    <w:rsid w:val="0003135F"/>
    <w:rsid w:val="00031390"/>
    <w:rsid w:val="00031883"/>
    <w:rsid w:val="00033378"/>
    <w:rsid w:val="00034AC8"/>
    <w:rsid w:val="00034B4B"/>
    <w:rsid w:val="00036F79"/>
    <w:rsid w:val="00036FF8"/>
    <w:rsid w:val="00037EC5"/>
    <w:rsid w:val="000428DA"/>
    <w:rsid w:val="00045FC2"/>
    <w:rsid w:val="000460F5"/>
    <w:rsid w:val="00046F0D"/>
    <w:rsid w:val="00052E78"/>
    <w:rsid w:val="00055465"/>
    <w:rsid w:val="000561A4"/>
    <w:rsid w:val="00056F92"/>
    <w:rsid w:val="00057226"/>
    <w:rsid w:val="00057DEC"/>
    <w:rsid w:val="000739B5"/>
    <w:rsid w:val="00077E8B"/>
    <w:rsid w:val="0008068F"/>
    <w:rsid w:val="000814B8"/>
    <w:rsid w:val="00083498"/>
    <w:rsid w:val="00084D40"/>
    <w:rsid w:val="00091BB2"/>
    <w:rsid w:val="00091C72"/>
    <w:rsid w:val="00091D7A"/>
    <w:rsid w:val="00093BAE"/>
    <w:rsid w:val="000948CB"/>
    <w:rsid w:val="00094C56"/>
    <w:rsid w:val="00095650"/>
    <w:rsid w:val="000A152A"/>
    <w:rsid w:val="000A391D"/>
    <w:rsid w:val="000A3CF8"/>
    <w:rsid w:val="000A619F"/>
    <w:rsid w:val="000B282F"/>
    <w:rsid w:val="000B2F21"/>
    <w:rsid w:val="000B3688"/>
    <w:rsid w:val="000B5A20"/>
    <w:rsid w:val="000B658D"/>
    <w:rsid w:val="000B6E7A"/>
    <w:rsid w:val="000B787E"/>
    <w:rsid w:val="000C0468"/>
    <w:rsid w:val="000C5203"/>
    <w:rsid w:val="000D066C"/>
    <w:rsid w:val="000D2E93"/>
    <w:rsid w:val="000D384D"/>
    <w:rsid w:val="000D500C"/>
    <w:rsid w:val="000D6E22"/>
    <w:rsid w:val="000E026D"/>
    <w:rsid w:val="000E02DC"/>
    <w:rsid w:val="000E1318"/>
    <w:rsid w:val="000E136D"/>
    <w:rsid w:val="000E6E6B"/>
    <w:rsid w:val="000E7960"/>
    <w:rsid w:val="000F0739"/>
    <w:rsid w:val="000F0AD1"/>
    <w:rsid w:val="000F0C19"/>
    <w:rsid w:val="000F1EB7"/>
    <w:rsid w:val="000F49C7"/>
    <w:rsid w:val="000F4E13"/>
    <w:rsid w:val="000F6934"/>
    <w:rsid w:val="000F7B79"/>
    <w:rsid w:val="00100BB4"/>
    <w:rsid w:val="001023AF"/>
    <w:rsid w:val="00103305"/>
    <w:rsid w:val="0011129D"/>
    <w:rsid w:val="00112BB8"/>
    <w:rsid w:val="001131DD"/>
    <w:rsid w:val="00117F38"/>
    <w:rsid w:val="00125D39"/>
    <w:rsid w:val="00131E4E"/>
    <w:rsid w:val="00132835"/>
    <w:rsid w:val="00133B8A"/>
    <w:rsid w:val="00135833"/>
    <w:rsid w:val="00135A58"/>
    <w:rsid w:val="00142AA3"/>
    <w:rsid w:val="00142B1D"/>
    <w:rsid w:val="001439AF"/>
    <w:rsid w:val="00144C8D"/>
    <w:rsid w:val="00147E38"/>
    <w:rsid w:val="00151030"/>
    <w:rsid w:val="00160A0E"/>
    <w:rsid w:val="00161933"/>
    <w:rsid w:val="00162A93"/>
    <w:rsid w:val="00163B8A"/>
    <w:rsid w:val="001647F7"/>
    <w:rsid w:val="00164A7B"/>
    <w:rsid w:val="00165A80"/>
    <w:rsid w:val="0016676D"/>
    <w:rsid w:val="00172ABD"/>
    <w:rsid w:val="00174C65"/>
    <w:rsid w:val="0017502B"/>
    <w:rsid w:val="0017511C"/>
    <w:rsid w:val="00177305"/>
    <w:rsid w:val="00180D30"/>
    <w:rsid w:val="00182455"/>
    <w:rsid w:val="00190D5C"/>
    <w:rsid w:val="00192B10"/>
    <w:rsid w:val="001939F4"/>
    <w:rsid w:val="00194776"/>
    <w:rsid w:val="001A0523"/>
    <w:rsid w:val="001A0918"/>
    <w:rsid w:val="001A2F5D"/>
    <w:rsid w:val="001A39FC"/>
    <w:rsid w:val="001A44CB"/>
    <w:rsid w:val="001B004E"/>
    <w:rsid w:val="001B0393"/>
    <w:rsid w:val="001B10C7"/>
    <w:rsid w:val="001B2B22"/>
    <w:rsid w:val="001B7B1C"/>
    <w:rsid w:val="001C6364"/>
    <w:rsid w:val="001C69C3"/>
    <w:rsid w:val="001D19E7"/>
    <w:rsid w:val="001D3CF2"/>
    <w:rsid w:val="001D4A58"/>
    <w:rsid w:val="001D560E"/>
    <w:rsid w:val="001D7F40"/>
    <w:rsid w:val="001E3F13"/>
    <w:rsid w:val="001E49E9"/>
    <w:rsid w:val="001E4FC0"/>
    <w:rsid w:val="001E72A8"/>
    <w:rsid w:val="001E76BC"/>
    <w:rsid w:val="001F2F31"/>
    <w:rsid w:val="001F6DEB"/>
    <w:rsid w:val="001F748B"/>
    <w:rsid w:val="00210854"/>
    <w:rsid w:val="00211E44"/>
    <w:rsid w:val="002125FA"/>
    <w:rsid w:val="00213093"/>
    <w:rsid w:val="00214B62"/>
    <w:rsid w:val="0022071B"/>
    <w:rsid w:val="00220B98"/>
    <w:rsid w:val="00224D00"/>
    <w:rsid w:val="00227EEB"/>
    <w:rsid w:val="00231955"/>
    <w:rsid w:val="002320A8"/>
    <w:rsid w:val="00232C9C"/>
    <w:rsid w:val="002343B5"/>
    <w:rsid w:val="00236387"/>
    <w:rsid w:val="00236D9C"/>
    <w:rsid w:val="00240C4B"/>
    <w:rsid w:val="002505FE"/>
    <w:rsid w:val="00250F21"/>
    <w:rsid w:val="0025571D"/>
    <w:rsid w:val="00256BC7"/>
    <w:rsid w:val="00257B2F"/>
    <w:rsid w:val="00263F53"/>
    <w:rsid w:val="002665FB"/>
    <w:rsid w:val="0027168D"/>
    <w:rsid w:val="0027319B"/>
    <w:rsid w:val="002734EB"/>
    <w:rsid w:val="00274E98"/>
    <w:rsid w:val="002761F9"/>
    <w:rsid w:val="00276F5F"/>
    <w:rsid w:val="002772E3"/>
    <w:rsid w:val="0027737D"/>
    <w:rsid w:val="002844E8"/>
    <w:rsid w:val="00293FFC"/>
    <w:rsid w:val="002A0005"/>
    <w:rsid w:val="002A2988"/>
    <w:rsid w:val="002A48F5"/>
    <w:rsid w:val="002A6CE8"/>
    <w:rsid w:val="002A7521"/>
    <w:rsid w:val="002B1673"/>
    <w:rsid w:val="002B3403"/>
    <w:rsid w:val="002B3C74"/>
    <w:rsid w:val="002B4123"/>
    <w:rsid w:val="002B5519"/>
    <w:rsid w:val="002B65AF"/>
    <w:rsid w:val="002B6F04"/>
    <w:rsid w:val="002B76A3"/>
    <w:rsid w:val="002B7C13"/>
    <w:rsid w:val="002C1015"/>
    <w:rsid w:val="002C3B07"/>
    <w:rsid w:val="002C548F"/>
    <w:rsid w:val="002C5F0F"/>
    <w:rsid w:val="002C707B"/>
    <w:rsid w:val="002C7F95"/>
    <w:rsid w:val="002D3680"/>
    <w:rsid w:val="002D3C2E"/>
    <w:rsid w:val="002E0370"/>
    <w:rsid w:val="002E09D3"/>
    <w:rsid w:val="002E2B40"/>
    <w:rsid w:val="002E2C88"/>
    <w:rsid w:val="002F1EEF"/>
    <w:rsid w:val="002F443A"/>
    <w:rsid w:val="002F72F5"/>
    <w:rsid w:val="002F76F0"/>
    <w:rsid w:val="00302A10"/>
    <w:rsid w:val="003030C0"/>
    <w:rsid w:val="00303813"/>
    <w:rsid w:val="00303A16"/>
    <w:rsid w:val="00303E34"/>
    <w:rsid w:val="0030450B"/>
    <w:rsid w:val="00305DE1"/>
    <w:rsid w:val="003112A5"/>
    <w:rsid w:val="00311480"/>
    <w:rsid w:val="003156D7"/>
    <w:rsid w:val="0032563C"/>
    <w:rsid w:val="00330F3F"/>
    <w:rsid w:val="0033213B"/>
    <w:rsid w:val="003338C2"/>
    <w:rsid w:val="0033417F"/>
    <w:rsid w:val="00334398"/>
    <w:rsid w:val="00335352"/>
    <w:rsid w:val="003362FE"/>
    <w:rsid w:val="003418E1"/>
    <w:rsid w:val="00343567"/>
    <w:rsid w:val="00350EC5"/>
    <w:rsid w:val="00353398"/>
    <w:rsid w:val="00354127"/>
    <w:rsid w:val="0035488A"/>
    <w:rsid w:val="00354C3D"/>
    <w:rsid w:val="00355831"/>
    <w:rsid w:val="00362C60"/>
    <w:rsid w:val="003639E3"/>
    <w:rsid w:val="00381215"/>
    <w:rsid w:val="0038678D"/>
    <w:rsid w:val="00387F5B"/>
    <w:rsid w:val="00391E24"/>
    <w:rsid w:val="00392601"/>
    <w:rsid w:val="00394932"/>
    <w:rsid w:val="0039525E"/>
    <w:rsid w:val="00395A2C"/>
    <w:rsid w:val="00397986"/>
    <w:rsid w:val="003A3493"/>
    <w:rsid w:val="003A4285"/>
    <w:rsid w:val="003A6C43"/>
    <w:rsid w:val="003A71C3"/>
    <w:rsid w:val="003B0066"/>
    <w:rsid w:val="003B6E13"/>
    <w:rsid w:val="003B760B"/>
    <w:rsid w:val="003B7AB6"/>
    <w:rsid w:val="003C1D22"/>
    <w:rsid w:val="003C2250"/>
    <w:rsid w:val="003C46F1"/>
    <w:rsid w:val="003C4E75"/>
    <w:rsid w:val="003C7964"/>
    <w:rsid w:val="003D1E26"/>
    <w:rsid w:val="003D35D7"/>
    <w:rsid w:val="003D6513"/>
    <w:rsid w:val="003D741B"/>
    <w:rsid w:val="003F0D98"/>
    <w:rsid w:val="003F384F"/>
    <w:rsid w:val="003F3B62"/>
    <w:rsid w:val="003F5462"/>
    <w:rsid w:val="003F6D22"/>
    <w:rsid w:val="003F76C1"/>
    <w:rsid w:val="004001F9"/>
    <w:rsid w:val="0040035B"/>
    <w:rsid w:val="00400FB7"/>
    <w:rsid w:val="00401778"/>
    <w:rsid w:val="00405C3C"/>
    <w:rsid w:val="00406716"/>
    <w:rsid w:val="004072B7"/>
    <w:rsid w:val="00410C83"/>
    <w:rsid w:val="00410D88"/>
    <w:rsid w:val="00411202"/>
    <w:rsid w:val="004123FC"/>
    <w:rsid w:val="00412AB5"/>
    <w:rsid w:val="00413320"/>
    <w:rsid w:val="00413A78"/>
    <w:rsid w:val="004158D3"/>
    <w:rsid w:val="0042216C"/>
    <w:rsid w:val="00422BD5"/>
    <w:rsid w:val="00423ED7"/>
    <w:rsid w:val="004261E0"/>
    <w:rsid w:val="004276AD"/>
    <w:rsid w:val="00427DD6"/>
    <w:rsid w:val="00430201"/>
    <w:rsid w:val="00431042"/>
    <w:rsid w:val="00433A1E"/>
    <w:rsid w:val="004346FB"/>
    <w:rsid w:val="0043628E"/>
    <w:rsid w:val="0044159C"/>
    <w:rsid w:val="00446BA6"/>
    <w:rsid w:val="00447CAA"/>
    <w:rsid w:val="004528C9"/>
    <w:rsid w:val="0045543D"/>
    <w:rsid w:val="00457473"/>
    <w:rsid w:val="00460D54"/>
    <w:rsid w:val="004647AE"/>
    <w:rsid w:val="00472DE6"/>
    <w:rsid w:val="004736CD"/>
    <w:rsid w:val="00473B1D"/>
    <w:rsid w:val="004744BA"/>
    <w:rsid w:val="00474961"/>
    <w:rsid w:val="00475628"/>
    <w:rsid w:val="00480461"/>
    <w:rsid w:val="00481821"/>
    <w:rsid w:val="0049246F"/>
    <w:rsid w:val="004924DE"/>
    <w:rsid w:val="004933C3"/>
    <w:rsid w:val="00495BDD"/>
    <w:rsid w:val="004A10A5"/>
    <w:rsid w:val="004A4FAE"/>
    <w:rsid w:val="004B0288"/>
    <w:rsid w:val="004B4C18"/>
    <w:rsid w:val="004B7065"/>
    <w:rsid w:val="004C2EB6"/>
    <w:rsid w:val="004C4BC9"/>
    <w:rsid w:val="004C51DD"/>
    <w:rsid w:val="004D0465"/>
    <w:rsid w:val="004D0C30"/>
    <w:rsid w:val="004D2B5D"/>
    <w:rsid w:val="004D3505"/>
    <w:rsid w:val="004D60BE"/>
    <w:rsid w:val="004D6120"/>
    <w:rsid w:val="004D6D57"/>
    <w:rsid w:val="004E2698"/>
    <w:rsid w:val="004E376F"/>
    <w:rsid w:val="004E4C1E"/>
    <w:rsid w:val="004E7674"/>
    <w:rsid w:val="004F1396"/>
    <w:rsid w:val="004F1478"/>
    <w:rsid w:val="004F1B1B"/>
    <w:rsid w:val="004F6664"/>
    <w:rsid w:val="00500DB3"/>
    <w:rsid w:val="00500FD3"/>
    <w:rsid w:val="00501FD3"/>
    <w:rsid w:val="00502A8C"/>
    <w:rsid w:val="00504688"/>
    <w:rsid w:val="00511563"/>
    <w:rsid w:val="005128DE"/>
    <w:rsid w:val="005155D5"/>
    <w:rsid w:val="00515AA4"/>
    <w:rsid w:val="00517B4B"/>
    <w:rsid w:val="005222DE"/>
    <w:rsid w:val="00530E5C"/>
    <w:rsid w:val="005312D3"/>
    <w:rsid w:val="00532D51"/>
    <w:rsid w:val="0053604B"/>
    <w:rsid w:val="005443CA"/>
    <w:rsid w:val="00553F24"/>
    <w:rsid w:val="005541CC"/>
    <w:rsid w:val="00556BC5"/>
    <w:rsid w:val="00562D24"/>
    <w:rsid w:val="005635EE"/>
    <w:rsid w:val="00563662"/>
    <w:rsid w:val="00566388"/>
    <w:rsid w:val="00575D0C"/>
    <w:rsid w:val="005853CF"/>
    <w:rsid w:val="00585DCC"/>
    <w:rsid w:val="00586837"/>
    <w:rsid w:val="00586B35"/>
    <w:rsid w:val="00597D29"/>
    <w:rsid w:val="005A3BDF"/>
    <w:rsid w:val="005A3E5F"/>
    <w:rsid w:val="005A4D9F"/>
    <w:rsid w:val="005A61A5"/>
    <w:rsid w:val="005B31C4"/>
    <w:rsid w:val="005C0465"/>
    <w:rsid w:val="005C0C14"/>
    <w:rsid w:val="005C32A1"/>
    <w:rsid w:val="005C3835"/>
    <w:rsid w:val="005D0ED8"/>
    <w:rsid w:val="005D13D5"/>
    <w:rsid w:val="005D4392"/>
    <w:rsid w:val="005D46AC"/>
    <w:rsid w:val="005D478D"/>
    <w:rsid w:val="005D6627"/>
    <w:rsid w:val="005D7FBE"/>
    <w:rsid w:val="005E1929"/>
    <w:rsid w:val="005E2A01"/>
    <w:rsid w:val="005E2D89"/>
    <w:rsid w:val="005E380B"/>
    <w:rsid w:val="005E5678"/>
    <w:rsid w:val="005E6145"/>
    <w:rsid w:val="005E7CE3"/>
    <w:rsid w:val="005F2FAA"/>
    <w:rsid w:val="005F3C72"/>
    <w:rsid w:val="005F4996"/>
    <w:rsid w:val="005F5DC0"/>
    <w:rsid w:val="006008EF"/>
    <w:rsid w:val="0060285C"/>
    <w:rsid w:val="00604A26"/>
    <w:rsid w:val="00607431"/>
    <w:rsid w:val="00611F3E"/>
    <w:rsid w:val="00615088"/>
    <w:rsid w:val="00623896"/>
    <w:rsid w:val="00625359"/>
    <w:rsid w:val="006267B2"/>
    <w:rsid w:val="00630237"/>
    <w:rsid w:val="0063322B"/>
    <w:rsid w:val="00633CFF"/>
    <w:rsid w:val="006358CA"/>
    <w:rsid w:val="0063788D"/>
    <w:rsid w:val="00637B27"/>
    <w:rsid w:val="00641DA7"/>
    <w:rsid w:val="006429EC"/>
    <w:rsid w:val="00644761"/>
    <w:rsid w:val="006462D1"/>
    <w:rsid w:val="0064712C"/>
    <w:rsid w:val="00651AFA"/>
    <w:rsid w:val="006553B4"/>
    <w:rsid w:val="006553C9"/>
    <w:rsid w:val="00656175"/>
    <w:rsid w:val="00657746"/>
    <w:rsid w:val="006577DF"/>
    <w:rsid w:val="006605A1"/>
    <w:rsid w:val="00664C05"/>
    <w:rsid w:val="006660E9"/>
    <w:rsid w:val="006673DE"/>
    <w:rsid w:val="00667A25"/>
    <w:rsid w:val="00667B4E"/>
    <w:rsid w:val="00670519"/>
    <w:rsid w:val="0067293A"/>
    <w:rsid w:val="00674F7C"/>
    <w:rsid w:val="00677802"/>
    <w:rsid w:val="00680611"/>
    <w:rsid w:val="0068221C"/>
    <w:rsid w:val="0068341D"/>
    <w:rsid w:val="0068480A"/>
    <w:rsid w:val="00684D10"/>
    <w:rsid w:val="0068588A"/>
    <w:rsid w:val="00687E1F"/>
    <w:rsid w:val="006943B7"/>
    <w:rsid w:val="006948D3"/>
    <w:rsid w:val="00695649"/>
    <w:rsid w:val="006B1B0C"/>
    <w:rsid w:val="006B25A5"/>
    <w:rsid w:val="006B65E5"/>
    <w:rsid w:val="006B667F"/>
    <w:rsid w:val="006C0C8E"/>
    <w:rsid w:val="006C295B"/>
    <w:rsid w:val="006C2A14"/>
    <w:rsid w:val="006C4774"/>
    <w:rsid w:val="006C5A9C"/>
    <w:rsid w:val="006C5C83"/>
    <w:rsid w:val="006C6D75"/>
    <w:rsid w:val="006C712A"/>
    <w:rsid w:val="006C7B24"/>
    <w:rsid w:val="006D0100"/>
    <w:rsid w:val="006D421B"/>
    <w:rsid w:val="006D5D5F"/>
    <w:rsid w:val="006D600B"/>
    <w:rsid w:val="006D777F"/>
    <w:rsid w:val="006E0003"/>
    <w:rsid w:val="006E162F"/>
    <w:rsid w:val="006E1695"/>
    <w:rsid w:val="006E29AB"/>
    <w:rsid w:val="006F16F5"/>
    <w:rsid w:val="006F1796"/>
    <w:rsid w:val="006F4486"/>
    <w:rsid w:val="006F4FC8"/>
    <w:rsid w:val="006F51C9"/>
    <w:rsid w:val="006F6BAC"/>
    <w:rsid w:val="006F7652"/>
    <w:rsid w:val="007002AA"/>
    <w:rsid w:val="007010C7"/>
    <w:rsid w:val="00702AB4"/>
    <w:rsid w:val="007051FE"/>
    <w:rsid w:val="007078E5"/>
    <w:rsid w:val="00710C98"/>
    <w:rsid w:val="00711B5D"/>
    <w:rsid w:val="00715B67"/>
    <w:rsid w:val="0071752B"/>
    <w:rsid w:val="00717E64"/>
    <w:rsid w:val="00725FC4"/>
    <w:rsid w:val="00730541"/>
    <w:rsid w:val="00730F81"/>
    <w:rsid w:val="00732991"/>
    <w:rsid w:val="00735A8A"/>
    <w:rsid w:val="00737743"/>
    <w:rsid w:val="00743449"/>
    <w:rsid w:val="007447C5"/>
    <w:rsid w:val="007448BA"/>
    <w:rsid w:val="00752648"/>
    <w:rsid w:val="00753C33"/>
    <w:rsid w:val="00754DB7"/>
    <w:rsid w:val="0075642B"/>
    <w:rsid w:val="007616C6"/>
    <w:rsid w:val="007633DB"/>
    <w:rsid w:val="00763CCC"/>
    <w:rsid w:val="0076669E"/>
    <w:rsid w:val="00770A76"/>
    <w:rsid w:val="007733B2"/>
    <w:rsid w:val="00780442"/>
    <w:rsid w:val="00782FDC"/>
    <w:rsid w:val="0078798B"/>
    <w:rsid w:val="007904EE"/>
    <w:rsid w:val="00791DB4"/>
    <w:rsid w:val="00793FFA"/>
    <w:rsid w:val="007942B0"/>
    <w:rsid w:val="00794951"/>
    <w:rsid w:val="00796CA0"/>
    <w:rsid w:val="00797013"/>
    <w:rsid w:val="007971C6"/>
    <w:rsid w:val="00797BE6"/>
    <w:rsid w:val="007B1D86"/>
    <w:rsid w:val="007B5358"/>
    <w:rsid w:val="007B5624"/>
    <w:rsid w:val="007B5E3A"/>
    <w:rsid w:val="007B626E"/>
    <w:rsid w:val="007C0677"/>
    <w:rsid w:val="007C0E09"/>
    <w:rsid w:val="007D1498"/>
    <w:rsid w:val="007D74A2"/>
    <w:rsid w:val="007D7CF1"/>
    <w:rsid w:val="007E0725"/>
    <w:rsid w:val="007E4851"/>
    <w:rsid w:val="007F1BB5"/>
    <w:rsid w:val="007F42B3"/>
    <w:rsid w:val="007F4692"/>
    <w:rsid w:val="00800CCE"/>
    <w:rsid w:val="00801D61"/>
    <w:rsid w:val="00803D18"/>
    <w:rsid w:val="00805387"/>
    <w:rsid w:val="00806781"/>
    <w:rsid w:val="008124B0"/>
    <w:rsid w:val="008172B8"/>
    <w:rsid w:val="00820656"/>
    <w:rsid w:val="0082255A"/>
    <w:rsid w:val="00825B21"/>
    <w:rsid w:val="0082774B"/>
    <w:rsid w:val="0083419C"/>
    <w:rsid w:val="00836DEB"/>
    <w:rsid w:val="00840BAD"/>
    <w:rsid w:val="00841B7F"/>
    <w:rsid w:val="008421A8"/>
    <w:rsid w:val="0084272B"/>
    <w:rsid w:val="00843242"/>
    <w:rsid w:val="00844B12"/>
    <w:rsid w:val="00844D06"/>
    <w:rsid w:val="00850964"/>
    <w:rsid w:val="008549CD"/>
    <w:rsid w:val="00855845"/>
    <w:rsid w:val="00855D35"/>
    <w:rsid w:val="0086063F"/>
    <w:rsid w:val="00861042"/>
    <w:rsid w:val="008614DB"/>
    <w:rsid w:val="00861D2A"/>
    <w:rsid w:val="008710FD"/>
    <w:rsid w:val="0087465D"/>
    <w:rsid w:val="0087603F"/>
    <w:rsid w:val="00877A29"/>
    <w:rsid w:val="00883129"/>
    <w:rsid w:val="00883B80"/>
    <w:rsid w:val="00885C88"/>
    <w:rsid w:val="008910F1"/>
    <w:rsid w:val="00891210"/>
    <w:rsid w:val="0089145C"/>
    <w:rsid w:val="00891C8C"/>
    <w:rsid w:val="008952EF"/>
    <w:rsid w:val="00897A71"/>
    <w:rsid w:val="008A01CD"/>
    <w:rsid w:val="008A2467"/>
    <w:rsid w:val="008A4C7A"/>
    <w:rsid w:val="008A6B26"/>
    <w:rsid w:val="008B0CA1"/>
    <w:rsid w:val="008B13E6"/>
    <w:rsid w:val="008B3024"/>
    <w:rsid w:val="008B55F8"/>
    <w:rsid w:val="008C0994"/>
    <w:rsid w:val="008C1443"/>
    <w:rsid w:val="008C4792"/>
    <w:rsid w:val="008C6A02"/>
    <w:rsid w:val="008D2AD0"/>
    <w:rsid w:val="008D2C03"/>
    <w:rsid w:val="008D2C8A"/>
    <w:rsid w:val="008D4153"/>
    <w:rsid w:val="008E003D"/>
    <w:rsid w:val="008E2AC2"/>
    <w:rsid w:val="008E44C1"/>
    <w:rsid w:val="008E512F"/>
    <w:rsid w:val="008E62C2"/>
    <w:rsid w:val="008F23BC"/>
    <w:rsid w:val="008F7A14"/>
    <w:rsid w:val="009019D1"/>
    <w:rsid w:val="00903CBF"/>
    <w:rsid w:val="00904B97"/>
    <w:rsid w:val="00911640"/>
    <w:rsid w:val="00911E8C"/>
    <w:rsid w:val="00912E5E"/>
    <w:rsid w:val="00925D62"/>
    <w:rsid w:val="0092759F"/>
    <w:rsid w:val="009300E8"/>
    <w:rsid w:val="0093056A"/>
    <w:rsid w:val="00930DD6"/>
    <w:rsid w:val="00931D6A"/>
    <w:rsid w:val="00940498"/>
    <w:rsid w:val="00940A1B"/>
    <w:rsid w:val="00941384"/>
    <w:rsid w:val="00941738"/>
    <w:rsid w:val="00942B1C"/>
    <w:rsid w:val="0094376A"/>
    <w:rsid w:val="00944484"/>
    <w:rsid w:val="009458E7"/>
    <w:rsid w:val="00950807"/>
    <w:rsid w:val="0095261F"/>
    <w:rsid w:val="00955970"/>
    <w:rsid w:val="00955BB7"/>
    <w:rsid w:val="00957D60"/>
    <w:rsid w:val="00966C77"/>
    <w:rsid w:val="00967A14"/>
    <w:rsid w:val="00970470"/>
    <w:rsid w:val="00970912"/>
    <w:rsid w:val="009709B7"/>
    <w:rsid w:val="009736D5"/>
    <w:rsid w:val="009824EB"/>
    <w:rsid w:val="00990A9F"/>
    <w:rsid w:val="00996063"/>
    <w:rsid w:val="00996332"/>
    <w:rsid w:val="009A1481"/>
    <w:rsid w:val="009A3992"/>
    <w:rsid w:val="009A3EC2"/>
    <w:rsid w:val="009A607D"/>
    <w:rsid w:val="009B06E6"/>
    <w:rsid w:val="009B4CB7"/>
    <w:rsid w:val="009B7A53"/>
    <w:rsid w:val="009B7F03"/>
    <w:rsid w:val="009C054C"/>
    <w:rsid w:val="009C5111"/>
    <w:rsid w:val="009C5258"/>
    <w:rsid w:val="009C7F44"/>
    <w:rsid w:val="009D1FF0"/>
    <w:rsid w:val="009D26DA"/>
    <w:rsid w:val="009D2F1F"/>
    <w:rsid w:val="009D5A47"/>
    <w:rsid w:val="009D6C9E"/>
    <w:rsid w:val="009E0A25"/>
    <w:rsid w:val="009E4484"/>
    <w:rsid w:val="009E6FF8"/>
    <w:rsid w:val="009E7E88"/>
    <w:rsid w:val="009F08E6"/>
    <w:rsid w:val="009F1EA0"/>
    <w:rsid w:val="009F31B8"/>
    <w:rsid w:val="009F66F4"/>
    <w:rsid w:val="00A04106"/>
    <w:rsid w:val="00A05105"/>
    <w:rsid w:val="00A05965"/>
    <w:rsid w:val="00A1004F"/>
    <w:rsid w:val="00A106A3"/>
    <w:rsid w:val="00A10807"/>
    <w:rsid w:val="00A1316F"/>
    <w:rsid w:val="00A17C8C"/>
    <w:rsid w:val="00A27FA2"/>
    <w:rsid w:val="00A306DA"/>
    <w:rsid w:val="00A33A2D"/>
    <w:rsid w:val="00A35003"/>
    <w:rsid w:val="00A37E95"/>
    <w:rsid w:val="00A40445"/>
    <w:rsid w:val="00A43934"/>
    <w:rsid w:val="00A4534E"/>
    <w:rsid w:val="00A45C03"/>
    <w:rsid w:val="00A52DED"/>
    <w:rsid w:val="00A57C84"/>
    <w:rsid w:val="00A62F9B"/>
    <w:rsid w:val="00A652FC"/>
    <w:rsid w:val="00A6610C"/>
    <w:rsid w:val="00A764DD"/>
    <w:rsid w:val="00A7799D"/>
    <w:rsid w:val="00A77A36"/>
    <w:rsid w:val="00A82209"/>
    <w:rsid w:val="00A84232"/>
    <w:rsid w:val="00A878EF"/>
    <w:rsid w:val="00A87D56"/>
    <w:rsid w:val="00A91A96"/>
    <w:rsid w:val="00A958D7"/>
    <w:rsid w:val="00A96FEE"/>
    <w:rsid w:val="00A976B9"/>
    <w:rsid w:val="00A97FE4"/>
    <w:rsid w:val="00AA1127"/>
    <w:rsid w:val="00AA4592"/>
    <w:rsid w:val="00AA5A27"/>
    <w:rsid w:val="00AA73CC"/>
    <w:rsid w:val="00AA776A"/>
    <w:rsid w:val="00AA798E"/>
    <w:rsid w:val="00AA7FD7"/>
    <w:rsid w:val="00AB1396"/>
    <w:rsid w:val="00AB5427"/>
    <w:rsid w:val="00AB7C76"/>
    <w:rsid w:val="00AC0ED2"/>
    <w:rsid w:val="00AC6883"/>
    <w:rsid w:val="00AD106C"/>
    <w:rsid w:val="00AD285E"/>
    <w:rsid w:val="00AD5FCB"/>
    <w:rsid w:val="00AE0CAF"/>
    <w:rsid w:val="00AE3C08"/>
    <w:rsid w:val="00AE4B3E"/>
    <w:rsid w:val="00AE582D"/>
    <w:rsid w:val="00AF1300"/>
    <w:rsid w:val="00AF1FB5"/>
    <w:rsid w:val="00AF26C6"/>
    <w:rsid w:val="00AF42A3"/>
    <w:rsid w:val="00AF4644"/>
    <w:rsid w:val="00B00AFB"/>
    <w:rsid w:val="00B01042"/>
    <w:rsid w:val="00B04526"/>
    <w:rsid w:val="00B049A2"/>
    <w:rsid w:val="00B05FB5"/>
    <w:rsid w:val="00B069DE"/>
    <w:rsid w:val="00B06C3B"/>
    <w:rsid w:val="00B11E5B"/>
    <w:rsid w:val="00B14975"/>
    <w:rsid w:val="00B16B1D"/>
    <w:rsid w:val="00B209A3"/>
    <w:rsid w:val="00B20AEC"/>
    <w:rsid w:val="00B20B5E"/>
    <w:rsid w:val="00B21724"/>
    <w:rsid w:val="00B21CAE"/>
    <w:rsid w:val="00B22284"/>
    <w:rsid w:val="00B27823"/>
    <w:rsid w:val="00B27BEE"/>
    <w:rsid w:val="00B31E51"/>
    <w:rsid w:val="00B327E6"/>
    <w:rsid w:val="00B32B8B"/>
    <w:rsid w:val="00B37D65"/>
    <w:rsid w:val="00B40164"/>
    <w:rsid w:val="00B41049"/>
    <w:rsid w:val="00B41BDA"/>
    <w:rsid w:val="00B425ED"/>
    <w:rsid w:val="00B42705"/>
    <w:rsid w:val="00B447B8"/>
    <w:rsid w:val="00B4503F"/>
    <w:rsid w:val="00B519D0"/>
    <w:rsid w:val="00B54FC8"/>
    <w:rsid w:val="00B60FE1"/>
    <w:rsid w:val="00B63B9D"/>
    <w:rsid w:val="00B7089D"/>
    <w:rsid w:val="00B71853"/>
    <w:rsid w:val="00B75985"/>
    <w:rsid w:val="00B76D23"/>
    <w:rsid w:val="00B805A9"/>
    <w:rsid w:val="00B82BF3"/>
    <w:rsid w:val="00B83068"/>
    <w:rsid w:val="00B86873"/>
    <w:rsid w:val="00B86A8A"/>
    <w:rsid w:val="00B916EE"/>
    <w:rsid w:val="00B93715"/>
    <w:rsid w:val="00B958EF"/>
    <w:rsid w:val="00BA34BF"/>
    <w:rsid w:val="00BA3AD0"/>
    <w:rsid w:val="00BA4C57"/>
    <w:rsid w:val="00BA4FC1"/>
    <w:rsid w:val="00BA5065"/>
    <w:rsid w:val="00BB2492"/>
    <w:rsid w:val="00BB4478"/>
    <w:rsid w:val="00BB69E9"/>
    <w:rsid w:val="00BC71A8"/>
    <w:rsid w:val="00BD1DBF"/>
    <w:rsid w:val="00BD2E4A"/>
    <w:rsid w:val="00BD3E33"/>
    <w:rsid w:val="00BD505B"/>
    <w:rsid w:val="00BD6342"/>
    <w:rsid w:val="00BD72F0"/>
    <w:rsid w:val="00BD75A3"/>
    <w:rsid w:val="00BE2AFB"/>
    <w:rsid w:val="00BE2B7F"/>
    <w:rsid w:val="00BE2E70"/>
    <w:rsid w:val="00BE3428"/>
    <w:rsid w:val="00BE4075"/>
    <w:rsid w:val="00BE6141"/>
    <w:rsid w:val="00BE674B"/>
    <w:rsid w:val="00BF0D19"/>
    <w:rsid w:val="00BF2578"/>
    <w:rsid w:val="00BF4392"/>
    <w:rsid w:val="00BF4DF1"/>
    <w:rsid w:val="00C011EB"/>
    <w:rsid w:val="00C02036"/>
    <w:rsid w:val="00C05597"/>
    <w:rsid w:val="00C116B2"/>
    <w:rsid w:val="00C15669"/>
    <w:rsid w:val="00C171D1"/>
    <w:rsid w:val="00C30C19"/>
    <w:rsid w:val="00C33842"/>
    <w:rsid w:val="00C3623F"/>
    <w:rsid w:val="00C427F5"/>
    <w:rsid w:val="00C42EE6"/>
    <w:rsid w:val="00C438D6"/>
    <w:rsid w:val="00C45CFE"/>
    <w:rsid w:val="00C47380"/>
    <w:rsid w:val="00C504E5"/>
    <w:rsid w:val="00C524FF"/>
    <w:rsid w:val="00C55486"/>
    <w:rsid w:val="00C5675B"/>
    <w:rsid w:val="00C61E66"/>
    <w:rsid w:val="00C63ABE"/>
    <w:rsid w:val="00C648E4"/>
    <w:rsid w:val="00C64B6E"/>
    <w:rsid w:val="00C67635"/>
    <w:rsid w:val="00C717B5"/>
    <w:rsid w:val="00C7531E"/>
    <w:rsid w:val="00C763A7"/>
    <w:rsid w:val="00C84DD5"/>
    <w:rsid w:val="00C85F97"/>
    <w:rsid w:val="00C86574"/>
    <w:rsid w:val="00C86FE7"/>
    <w:rsid w:val="00C90642"/>
    <w:rsid w:val="00C928C5"/>
    <w:rsid w:val="00C94FCF"/>
    <w:rsid w:val="00C96A63"/>
    <w:rsid w:val="00C975C1"/>
    <w:rsid w:val="00CA300A"/>
    <w:rsid w:val="00CA4903"/>
    <w:rsid w:val="00CA6A7C"/>
    <w:rsid w:val="00CA6FEC"/>
    <w:rsid w:val="00CB2935"/>
    <w:rsid w:val="00CB4EEF"/>
    <w:rsid w:val="00CC321A"/>
    <w:rsid w:val="00CC63F9"/>
    <w:rsid w:val="00CC684C"/>
    <w:rsid w:val="00CC7D99"/>
    <w:rsid w:val="00CD13B9"/>
    <w:rsid w:val="00CD3A79"/>
    <w:rsid w:val="00CD3F40"/>
    <w:rsid w:val="00CD43CF"/>
    <w:rsid w:val="00CD55AB"/>
    <w:rsid w:val="00CD6EB2"/>
    <w:rsid w:val="00CE7846"/>
    <w:rsid w:val="00CF1D77"/>
    <w:rsid w:val="00CF7B9B"/>
    <w:rsid w:val="00D0421C"/>
    <w:rsid w:val="00D0531E"/>
    <w:rsid w:val="00D10D85"/>
    <w:rsid w:val="00D167BD"/>
    <w:rsid w:val="00D17CA3"/>
    <w:rsid w:val="00D204EE"/>
    <w:rsid w:val="00D23789"/>
    <w:rsid w:val="00D25BD7"/>
    <w:rsid w:val="00D26270"/>
    <w:rsid w:val="00D263D0"/>
    <w:rsid w:val="00D26BEE"/>
    <w:rsid w:val="00D27F4D"/>
    <w:rsid w:val="00D34ECC"/>
    <w:rsid w:val="00D35020"/>
    <w:rsid w:val="00D35BA6"/>
    <w:rsid w:val="00D36A04"/>
    <w:rsid w:val="00D40823"/>
    <w:rsid w:val="00D46903"/>
    <w:rsid w:val="00D46D56"/>
    <w:rsid w:val="00D477EB"/>
    <w:rsid w:val="00D51F8D"/>
    <w:rsid w:val="00D53977"/>
    <w:rsid w:val="00D56601"/>
    <w:rsid w:val="00D60E0A"/>
    <w:rsid w:val="00D6588A"/>
    <w:rsid w:val="00D66CF2"/>
    <w:rsid w:val="00D82AE1"/>
    <w:rsid w:val="00D83212"/>
    <w:rsid w:val="00D83403"/>
    <w:rsid w:val="00D83452"/>
    <w:rsid w:val="00D86DDF"/>
    <w:rsid w:val="00D87DC4"/>
    <w:rsid w:val="00D90DE2"/>
    <w:rsid w:val="00D932C0"/>
    <w:rsid w:val="00D947F0"/>
    <w:rsid w:val="00D962AC"/>
    <w:rsid w:val="00D96B1E"/>
    <w:rsid w:val="00DA07DC"/>
    <w:rsid w:val="00DA1295"/>
    <w:rsid w:val="00DA22E3"/>
    <w:rsid w:val="00DB5257"/>
    <w:rsid w:val="00DB57B1"/>
    <w:rsid w:val="00DB7B6D"/>
    <w:rsid w:val="00DC155C"/>
    <w:rsid w:val="00DC2498"/>
    <w:rsid w:val="00DD1E9C"/>
    <w:rsid w:val="00DD2E9C"/>
    <w:rsid w:val="00DD3B87"/>
    <w:rsid w:val="00DE0D2E"/>
    <w:rsid w:val="00DE3136"/>
    <w:rsid w:val="00DF01BB"/>
    <w:rsid w:val="00DF0225"/>
    <w:rsid w:val="00DF56EE"/>
    <w:rsid w:val="00DF61E3"/>
    <w:rsid w:val="00DF68B1"/>
    <w:rsid w:val="00E02293"/>
    <w:rsid w:val="00E03C03"/>
    <w:rsid w:val="00E04697"/>
    <w:rsid w:val="00E05714"/>
    <w:rsid w:val="00E068D4"/>
    <w:rsid w:val="00E11B98"/>
    <w:rsid w:val="00E15858"/>
    <w:rsid w:val="00E15AC9"/>
    <w:rsid w:val="00E16A73"/>
    <w:rsid w:val="00E179A0"/>
    <w:rsid w:val="00E205AB"/>
    <w:rsid w:val="00E216B7"/>
    <w:rsid w:val="00E21BC3"/>
    <w:rsid w:val="00E23070"/>
    <w:rsid w:val="00E24232"/>
    <w:rsid w:val="00E25726"/>
    <w:rsid w:val="00E26736"/>
    <w:rsid w:val="00E275FE"/>
    <w:rsid w:val="00E346F2"/>
    <w:rsid w:val="00E34DDA"/>
    <w:rsid w:val="00E40EE1"/>
    <w:rsid w:val="00E456FC"/>
    <w:rsid w:val="00E56207"/>
    <w:rsid w:val="00E61B2B"/>
    <w:rsid w:val="00E70455"/>
    <w:rsid w:val="00E708FC"/>
    <w:rsid w:val="00E743B7"/>
    <w:rsid w:val="00E776F5"/>
    <w:rsid w:val="00E816E3"/>
    <w:rsid w:val="00E87EEB"/>
    <w:rsid w:val="00E954DA"/>
    <w:rsid w:val="00E9708D"/>
    <w:rsid w:val="00E9752F"/>
    <w:rsid w:val="00E97D2B"/>
    <w:rsid w:val="00EA09E3"/>
    <w:rsid w:val="00EA5290"/>
    <w:rsid w:val="00EB22D0"/>
    <w:rsid w:val="00EB5223"/>
    <w:rsid w:val="00EB5EA2"/>
    <w:rsid w:val="00EB7580"/>
    <w:rsid w:val="00EB78C1"/>
    <w:rsid w:val="00EC06C6"/>
    <w:rsid w:val="00EC7AF6"/>
    <w:rsid w:val="00EC7DFD"/>
    <w:rsid w:val="00ED1380"/>
    <w:rsid w:val="00ED3F31"/>
    <w:rsid w:val="00EE440A"/>
    <w:rsid w:val="00EF0479"/>
    <w:rsid w:val="00EF6ECE"/>
    <w:rsid w:val="00F0188C"/>
    <w:rsid w:val="00F021B5"/>
    <w:rsid w:val="00F031EE"/>
    <w:rsid w:val="00F03F6C"/>
    <w:rsid w:val="00F06360"/>
    <w:rsid w:val="00F06F02"/>
    <w:rsid w:val="00F12ABF"/>
    <w:rsid w:val="00F134AB"/>
    <w:rsid w:val="00F136DF"/>
    <w:rsid w:val="00F14901"/>
    <w:rsid w:val="00F15E0F"/>
    <w:rsid w:val="00F1797B"/>
    <w:rsid w:val="00F22413"/>
    <w:rsid w:val="00F3248D"/>
    <w:rsid w:val="00F32B8E"/>
    <w:rsid w:val="00F3448E"/>
    <w:rsid w:val="00F41737"/>
    <w:rsid w:val="00F43D5E"/>
    <w:rsid w:val="00F46629"/>
    <w:rsid w:val="00F47990"/>
    <w:rsid w:val="00F52C1F"/>
    <w:rsid w:val="00F5410B"/>
    <w:rsid w:val="00F547BB"/>
    <w:rsid w:val="00F55AA0"/>
    <w:rsid w:val="00F55B20"/>
    <w:rsid w:val="00F602B0"/>
    <w:rsid w:val="00F608A5"/>
    <w:rsid w:val="00F6546B"/>
    <w:rsid w:val="00F66DFD"/>
    <w:rsid w:val="00F74231"/>
    <w:rsid w:val="00F76A18"/>
    <w:rsid w:val="00F803EB"/>
    <w:rsid w:val="00F80EC1"/>
    <w:rsid w:val="00F83031"/>
    <w:rsid w:val="00F86E5B"/>
    <w:rsid w:val="00F87091"/>
    <w:rsid w:val="00F90081"/>
    <w:rsid w:val="00F91E6D"/>
    <w:rsid w:val="00F93E23"/>
    <w:rsid w:val="00FA10F2"/>
    <w:rsid w:val="00FA28DD"/>
    <w:rsid w:val="00FA5817"/>
    <w:rsid w:val="00FB4440"/>
    <w:rsid w:val="00FB5B18"/>
    <w:rsid w:val="00FB6B8C"/>
    <w:rsid w:val="00FC1A43"/>
    <w:rsid w:val="00FC53B1"/>
    <w:rsid w:val="00FE391E"/>
    <w:rsid w:val="00FE3EB6"/>
    <w:rsid w:val="00FE4AFE"/>
    <w:rsid w:val="00FE6988"/>
    <w:rsid w:val="00FE6B00"/>
    <w:rsid w:val="00FF0133"/>
    <w:rsid w:val="00FF3989"/>
    <w:rsid w:val="00FF5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7F82B17C"/>
  <w14:defaultImageDpi w14:val="300"/>
  <w15:docId w15:val="{27889814-9135-EC47-BF02-5FE60415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624"/>
    <w:rPr>
      <w:rFonts w:ascii="Arial" w:eastAsia="Times New Roman" w:hAnsi="Arial" w:cs="Times New Roman"/>
      <w:sz w:val="22"/>
      <w:lang w:val="en-GB" w:eastAsia="en-GB"/>
    </w:rPr>
  </w:style>
  <w:style w:type="paragraph" w:styleId="Heading1">
    <w:name w:val="heading 1"/>
    <w:basedOn w:val="Normal"/>
    <w:next w:val="Normal"/>
    <w:link w:val="Heading1Char"/>
    <w:qFormat/>
    <w:rsid w:val="00084D40"/>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84D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084D4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D40"/>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84D40"/>
    <w:rPr>
      <w:rFonts w:ascii="Arial" w:eastAsia="Times New Roman" w:hAnsi="Arial" w:cs="Arial"/>
      <w:b/>
      <w:bCs/>
      <w:iCs/>
      <w:sz w:val="28"/>
      <w:szCs w:val="28"/>
      <w:lang w:val="en-GB" w:eastAsia="en-GB"/>
    </w:rPr>
  </w:style>
  <w:style w:type="character" w:customStyle="1" w:styleId="Heading3Char">
    <w:name w:val="Heading 3 Char"/>
    <w:basedOn w:val="DefaultParagraphFont"/>
    <w:link w:val="Heading3"/>
    <w:rsid w:val="00084D40"/>
    <w:rPr>
      <w:rFonts w:ascii="Arial" w:eastAsia="Times New Roman" w:hAnsi="Arial" w:cs="Arial"/>
      <w:b/>
      <w:bCs/>
      <w:sz w:val="26"/>
      <w:szCs w:val="26"/>
      <w:lang w:val="en-GB" w:eastAsia="en-GB"/>
    </w:rPr>
  </w:style>
  <w:style w:type="table" w:styleId="TableGrid">
    <w:name w:val="Table Grid"/>
    <w:basedOn w:val="TableNormal"/>
    <w:uiPriority w:val="39"/>
    <w:rsid w:val="00084D40"/>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84D40"/>
    <w:pPr>
      <w:tabs>
        <w:tab w:val="center" w:pos="4153"/>
        <w:tab w:val="right" w:pos="8306"/>
      </w:tabs>
    </w:pPr>
  </w:style>
  <w:style w:type="character" w:customStyle="1" w:styleId="HeaderChar">
    <w:name w:val="Header Char"/>
    <w:basedOn w:val="DefaultParagraphFont"/>
    <w:link w:val="Header"/>
    <w:rsid w:val="00084D40"/>
    <w:rPr>
      <w:rFonts w:ascii="Arial" w:eastAsia="Times New Roman" w:hAnsi="Arial" w:cs="Times New Roman"/>
      <w:sz w:val="22"/>
      <w:lang w:val="en-GB" w:eastAsia="en-GB"/>
    </w:rPr>
  </w:style>
  <w:style w:type="paragraph" w:styleId="Footer">
    <w:name w:val="footer"/>
    <w:basedOn w:val="Normal"/>
    <w:link w:val="FooterChar"/>
    <w:rsid w:val="00084D40"/>
    <w:pPr>
      <w:tabs>
        <w:tab w:val="center" w:pos="4153"/>
        <w:tab w:val="right" w:pos="8306"/>
      </w:tabs>
    </w:pPr>
  </w:style>
  <w:style w:type="character" w:customStyle="1" w:styleId="FooterChar">
    <w:name w:val="Footer Char"/>
    <w:basedOn w:val="DefaultParagraphFont"/>
    <w:link w:val="Footer"/>
    <w:rsid w:val="00084D40"/>
    <w:rPr>
      <w:rFonts w:ascii="Arial" w:eastAsia="Times New Roman" w:hAnsi="Arial" w:cs="Times New Roman"/>
      <w:sz w:val="22"/>
      <w:lang w:val="en-GB" w:eastAsia="en-GB"/>
    </w:rPr>
  </w:style>
  <w:style w:type="character" w:styleId="PageNumber">
    <w:name w:val="page number"/>
    <w:basedOn w:val="DefaultParagraphFont"/>
    <w:rsid w:val="00084D40"/>
  </w:style>
  <w:style w:type="paragraph" w:styleId="TOC1">
    <w:name w:val="toc 1"/>
    <w:basedOn w:val="Normal"/>
    <w:next w:val="Normal"/>
    <w:autoRedefine/>
    <w:uiPriority w:val="39"/>
    <w:rsid w:val="00084D40"/>
  </w:style>
  <w:style w:type="paragraph" w:styleId="TOC2">
    <w:name w:val="toc 2"/>
    <w:basedOn w:val="Normal"/>
    <w:next w:val="Normal"/>
    <w:autoRedefine/>
    <w:semiHidden/>
    <w:rsid w:val="00084D40"/>
    <w:pPr>
      <w:ind w:left="240"/>
    </w:pPr>
  </w:style>
  <w:style w:type="character" w:styleId="Hyperlink">
    <w:name w:val="Hyperlink"/>
    <w:uiPriority w:val="99"/>
    <w:rsid w:val="00084D40"/>
    <w:rPr>
      <w:color w:val="0000FF"/>
      <w:u w:val="single"/>
    </w:rPr>
  </w:style>
  <w:style w:type="paragraph" w:customStyle="1" w:styleId="numbers">
    <w:name w:val="numbers"/>
    <w:basedOn w:val="Normal"/>
    <w:rsid w:val="00084D40"/>
    <w:pPr>
      <w:widowControl w:val="0"/>
      <w:autoSpaceDE w:val="0"/>
      <w:autoSpaceDN w:val="0"/>
      <w:spacing w:before="120" w:after="120"/>
      <w:ind w:left="360" w:hanging="360"/>
    </w:pPr>
    <w:rPr>
      <w:rFonts w:cs="Arial"/>
      <w:b/>
      <w:bCs/>
      <w:i/>
      <w:iCs/>
      <w:sz w:val="20"/>
      <w:szCs w:val="20"/>
      <w:lang w:eastAsia="en-US"/>
    </w:rPr>
  </w:style>
  <w:style w:type="paragraph" w:customStyle="1" w:styleId="fieldsnospace">
    <w:name w:val="fields no space"/>
    <w:basedOn w:val="Normal"/>
    <w:rsid w:val="00084D40"/>
    <w:pPr>
      <w:widowControl w:val="0"/>
      <w:tabs>
        <w:tab w:val="left" w:pos="360"/>
      </w:tabs>
      <w:autoSpaceDE w:val="0"/>
      <w:autoSpaceDN w:val="0"/>
    </w:pPr>
    <w:rPr>
      <w:rFonts w:cs="Arial"/>
      <w:noProof/>
      <w:szCs w:val="22"/>
      <w:lang w:eastAsia="en-US"/>
    </w:rPr>
  </w:style>
  <w:style w:type="paragraph" w:styleId="BalloonText">
    <w:name w:val="Balloon Text"/>
    <w:basedOn w:val="Normal"/>
    <w:link w:val="BalloonTextChar"/>
    <w:semiHidden/>
    <w:rsid w:val="00084D40"/>
    <w:rPr>
      <w:rFonts w:ascii="Tahoma" w:hAnsi="Tahoma" w:cs="Tahoma"/>
      <w:sz w:val="16"/>
      <w:szCs w:val="16"/>
    </w:rPr>
  </w:style>
  <w:style w:type="character" w:customStyle="1" w:styleId="BalloonTextChar">
    <w:name w:val="Balloon Text Char"/>
    <w:basedOn w:val="DefaultParagraphFont"/>
    <w:link w:val="BalloonText"/>
    <w:semiHidden/>
    <w:rsid w:val="00084D40"/>
    <w:rPr>
      <w:rFonts w:ascii="Tahoma" w:eastAsia="Times New Roman" w:hAnsi="Tahoma" w:cs="Tahoma"/>
      <w:sz w:val="16"/>
      <w:szCs w:val="16"/>
      <w:lang w:val="en-GB" w:eastAsia="en-GB"/>
    </w:rPr>
  </w:style>
  <w:style w:type="character" w:styleId="CommentReference">
    <w:name w:val="annotation reference"/>
    <w:uiPriority w:val="99"/>
    <w:semiHidden/>
    <w:rsid w:val="00084D40"/>
    <w:rPr>
      <w:sz w:val="16"/>
      <w:szCs w:val="16"/>
    </w:rPr>
  </w:style>
  <w:style w:type="paragraph" w:styleId="CommentText">
    <w:name w:val="annotation text"/>
    <w:basedOn w:val="Normal"/>
    <w:link w:val="CommentTextChar"/>
    <w:rsid w:val="00084D40"/>
    <w:rPr>
      <w:sz w:val="20"/>
      <w:szCs w:val="20"/>
    </w:rPr>
  </w:style>
  <w:style w:type="character" w:customStyle="1" w:styleId="CommentTextChar">
    <w:name w:val="Comment Text Char"/>
    <w:basedOn w:val="DefaultParagraphFont"/>
    <w:link w:val="CommentText"/>
    <w:rsid w:val="00084D40"/>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semiHidden/>
    <w:rsid w:val="00084D40"/>
    <w:rPr>
      <w:b/>
      <w:bCs/>
    </w:rPr>
  </w:style>
  <w:style w:type="character" w:customStyle="1" w:styleId="CommentSubjectChar">
    <w:name w:val="Comment Subject Char"/>
    <w:basedOn w:val="CommentTextChar"/>
    <w:link w:val="CommentSubject"/>
    <w:semiHidden/>
    <w:rsid w:val="00084D40"/>
    <w:rPr>
      <w:rFonts w:ascii="Arial" w:eastAsia="Times New Roman" w:hAnsi="Arial" w:cs="Times New Roman"/>
      <w:b/>
      <w:bCs/>
      <w:sz w:val="20"/>
      <w:szCs w:val="20"/>
      <w:lang w:val="en-GB" w:eastAsia="en-GB"/>
    </w:rPr>
  </w:style>
  <w:style w:type="paragraph" w:customStyle="1" w:styleId="WW-BodyText2">
    <w:name w:val="WW-Body Text 2"/>
    <w:basedOn w:val="Normal"/>
    <w:rsid w:val="00084D40"/>
    <w:pPr>
      <w:suppressAutoHyphens/>
      <w:jc w:val="both"/>
    </w:pPr>
    <w:rPr>
      <w:sz w:val="20"/>
      <w:lang w:eastAsia="ar-SA"/>
    </w:rPr>
  </w:style>
  <w:style w:type="paragraph" w:styleId="BodyText2">
    <w:name w:val="Body Text 2"/>
    <w:basedOn w:val="Normal"/>
    <w:link w:val="BodyText2Char"/>
    <w:rsid w:val="00084D40"/>
    <w:pPr>
      <w:widowControl w:val="0"/>
      <w:suppressAutoHyphens/>
      <w:spacing w:before="86" w:after="120" w:line="480" w:lineRule="auto"/>
      <w:ind w:left="86" w:right="86"/>
    </w:pPr>
    <w:rPr>
      <w:rFonts w:eastAsia="Arial"/>
      <w:sz w:val="24"/>
      <w:lang w:val="x-none"/>
    </w:rPr>
  </w:style>
  <w:style w:type="character" w:customStyle="1" w:styleId="BodyText2Char">
    <w:name w:val="Body Text 2 Char"/>
    <w:basedOn w:val="DefaultParagraphFont"/>
    <w:link w:val="BodyText2"/>
    <w:rsid w:val="00084D40"/>
    <w:rPr>
      <w:rFonts w:ascii="Arial" w:eastAsia="Arial" w:hAnsi="Arial" w:cs="Times New Roman"/>
      <w:lang w:val="x-none"/>
    </w:rPr>
  </w:style>
  <w:style w:type="paragraph" w:styleId="Revision">
    <w:name w:val="Revision"/>
    <w:hidden/>
    <w:uiPriority w:val="99"/>
    <w:semiHidden/>
    <w:rsid w:val="00084D40"/>
    <w:rPr>
      <w:rFonts w:ascii="Arial" w:eastAsia="Times New Roman" w:hAnsi="Arial" w:cs="Times New Roman"/>
      <w:sz w:val="22"/>
      <w:lang w:val="en-GB" w:eastAsia="en-GB"/>
    </w:rPr>
  </w:style>
  <w:style w:type="paragraph" w:styleId="BodyText">
    <w:name w:val="Body Text"/>
    <w:basedOn w:val="Normal"/>
    <w:link w:val="BodyTextChar"/>
    <w:rsid w:val="00084D40"/>
    <w:pPr>
      <w:spacing w:after="120"/>
    </w:pPr>
    <w:rPr>
      <w:lang w:val="x-none" w:eastAsia="x-none"/>
    </w:rPr>
  </w:style>
  <w:style w:type="character" w:customStyle="1" w:styleId="BodyTextChar">
    <w:name w:val="Body Text Char"/>
    <w:basedOn w:val="DefaultParagraphFont"/>
    <w:link w:val="BodyText"/>
    <w:rsid w:val="00084D40"/>
    <w:rPr>
      <w:rFonts w:ascii="Arial" w:eastAsia="Times New Roman" w:hAnsi="Arial" w:cs="Times New Roman"/>
      <w:sz w:val="22"/>
      <w:lang w:val="x-none" w:eastAsia="x-none"/>
    </w:rPr>
  </w:style>
  <w:style w:type="paragraph" w:customStyle="1" w:styleId="TableContents">
    <w:name w:val="Table Contents"/>
    <w:basedOn w:val="BodyText"/>
    <w:rsid w:val="00084D40"/>
    <w:pPr>
      <w:widowControl w:val="0"/>
      <w:suppressAutoHyphens/>
      <w:spacing w:after="0"/>
    </w:pPr>
    <w:rPr>
      <w:rFonts w:eastAsia="Arial" w:cs="Arial"/>
      <w:sz w:val="24"/>
    </w:rPr>
  </w:style>
  <w:style w:type="character" w:styleId="FootnoteReference">
    <w:name w:val="footnote reference"/>
    <w:uiPriority w:val="99"/>
    <w:unhideWhenUsed/>
    <w:rsid w:val="00084D40"/>
    <w:rPr>
      <w:vertAlign w:val="superscript"/>
    </w:rPr>
  </w:style>
  <w:style w:type="paragraph" w:customStyle="1" w:styleId="Default">
    <w:name w:val="Default"/>
    <w:rsid w:val="00084D40"/>
    <w:pPr>
      <w:autoSpaceDE w:val="0"/>
      <w:autoSpaceDN w:val="0"/>
      <w:adjustRightInd w:val="0"/>
    </w:pPr>
    <w:rPr>
      <w:rFonts w:ascii="Arial" w:eastAsia="Calibri" w:hAnsi="Arial" w:cs="Arial"/>
      <w:color w:val="000000"/>
      <w:lang w:val="en-GB"/>
    </w:rPr>
  </w:style>
  <w:style w:type="paragraph" w:styleId="ListParagraph">
    <w:name w:val="List Paragraph"/>
    <w:basedOn w:val="Normal"/>
    <w:uiPriority w:val="34"/>
    <w:qFormat/>
    <w:rsid w:val="00084D40"/>
    <w:pPr>
      <w:ind w:left="720"/>
      <w:contextualSpacing/>
    </w:pPr>
    <w:rPr>
      <w:rFonts w:ascii="Times New Roman" w:hAnsi="Times New Roman" w:cs="Arial Unicode MS"/>
      <w:sz w:val="24"/>
      <w:lang w:eastAsia="en-US"/>
    </w:rPr>
  </w:style>
  <w:style w:type="paragraph" w:styleId="FootnoteText">
    <w:name w:val="footnote text"/>
    <w:basedOn w:val="Normal"/>
    <w:link w:val="FootnoteTextChar"/>
    <w:uiPriority w:val="99"/>
    <w:unhideWhenUsed/>
    <w:rsid w:val="00084D40"/>
    <w:rPr>
      <w:rFonts w:ascii="Times New Roman" w:hAnsi="Times New Roman" w:cs="Arial Unicode MS"/>
      <w:sz w:val="20"/>
      <w:szCs w:val="20"/>
      <w:lang w:eastAsia="en-US"/>
    </w:rPr>
  </w:style>
  <w:style w:type="character" w:customStyle="1" w:styleId="FootnoteTextChar">
    <w:name w:val="Footnote Text Char"/>
    <w:basedOn w:val="DefaultParagraphFont"/>
    <w:link w:val="FootnoteText"/>
    <w:uiPriority w:val="99"/>
    <w:rsid w:val="00084D40"/>
    <w:rPr>
      <w:rFonts w:ascii="Times New Roman" w:eastAsia="Times New Roman" w:hAnsi="Times New Roman" w:cs="Arial Unicode MS"/>
      <w:sz w:val="20"/>
      <w:szCs w:val="20"/>
      <w:lang w:val="en-GB"/>
    </w:rPr>
  </w:style>
  <w:style w:type="paragraph" w:styleId="Caption">
    <w:name w:val="caption"/>
    <w:basedOn w:val="Normal"/>
    <w:next w:val="Normal"/>
    <w:unhideWhenUsed/>
    <w:qFormat/>
    <w:rsid w:val="00084D40"/>
    <w:rPr>
      <w:b/>
      <w:bCs/>
      <w:sz w:val="20"/>
      <w:szCs w:val="20"/>
    </w:rPr>
  </w:style>
  <w:style w:type="paragraph" w:styleId="BodyText3">
    <w:name w:val="Body Text 3"/>
    <w:basedOn w:val="Normal"/>
    <w:link w:val="BodyText3Char"/>
    <w:uiPriority w:val="99"/>
    <w:semiHidden/>
    <w:unhideWhenUsed/>
    <w:rsid w:val="00A1316F"/>
    <w:pPr>
      <w:spacing w:after="120"/>
    </w:pPr>
    <w:rPr>
      <w:sz w:val="16"/>
      <w:szCs w:val="16"/>
    </w:rPr>
  </w:style>
  <w:style w:type="character" w:customStyle="1" w:styleId="BodyText3Char">
    <w:name w:val="Body Text 3 Char"/>
    <w:basedOn w:val="DefaultParagraphFont"/>
    <w:link w:val="BodyText3"/>
    <w:uiPriority w:val="99"/>
    <w:semiHidden/>
    <w:rsid w:val="00A1316F"/>
    <w:rPr>
      <w:rFonts w:ascii="Arial" w:eastAsia="Times New Roman" w:hAnsi="Arial" w:cs="Times New Roman"/>
      <w:sz w:val="16"/>
      <w:szCs w:val="16"/>
      <w:lang w:val="en-GB" w:eastAsia="en-GB"/>
    </w:rPr>
  </w:style>
  <w:style w:type="character" w:styleId="HTMLCite">
    <w:name w:val="HTML Cite"/>
    <w:basedOn w:val="DefaultParagraphFont"/>
    <w:uiPriority w:val="99"/>
    <w:semiHidden/>
    <w:unhideWhenUsed/>
    <w:rsid w:val="009E0A25"/>
    <w:rPr>
      <w:i/>
      <w:iCs/>
    </w:rPr>
  </w:style>
  <w:style w:type="character" w:customStyle="1" w:styleId="occurrence">
    <w:name w:val="occurrence"/>
    <w:basedOn w:val="DefaultParagraphFont"/>
    <w:rsid w:val="009E0A25"/>
  </w:style>
  <w:style w:type="paragraph" w:customStyle="1" w:styleId="EndNoteBibliographyTitle">
    <w:name w:val="EndNote Bibliography Title"/>
    <w:basedOn w:val="Normal"/>
    <w:link w:val="EndNoteBibliographyTitleChar"/>
    <w:rsid w:val="00844B12"/>
    <w:pPr>
      <w:jc w:val="center"/>
    </w:pPr>
    <w:rPr>
      <w:rFonts w:cs="Arial"/>
      <w:noProof/>
    </w:rPr>
  </w:style>
  <w:style w:type="character" w:customStyle="1" w:styleId="EndNoteBibliographyTitleChar">
    <w:name w:val="EndNote Bibliography Title Char"/>
    <w:basedOn w:val="DefaultParagraphFont"/>
    <w:link w:val="EndNoteBibliographyTitle"/>
    <w:rsid w:val="00844B12"/>
    <w:rPr>
      <w:rFonts w:ascii="Arial" w:eastAsia="Times New Roman" w:hAnsi="Arial" w:cs="Arial"/>
      <w:noProof/>
      <w:sz w:val="22"/>
      <w:lang w:val="en-GB" w:eastAsia="en-GB"/>
    </w:rPr>
  </w:style>
  <w:style w:type="paragraph" w:customStyle="1" w:styleId="EndNoteBibliography">
    <w:name w:val="EndNote Bibliography"/>
    <w:basedOn w:val="Normal"/>
    <w:link w:val="EndNoteBibliographyChar"/>
    <w:rsid w:val="00844B12"/>
    <w:pPr>
      <w:jc w:val="both"/>
    </w:pPr>
    <w:rPr>
      <w:rFonts w:cs="Arial"/>
      <w:noProof/>
    </w:rPr>
  </w:style>
  <w:style w:type="character" w:customStyle="1" w:styleId="EndNoteBibliographyChar">
    <w:name w:val="EndNote Bibliography Char"/>
    <w:basedOn w:val="DefaultParagraphFont"/>
    <w:link w:val="EndNoteBibliography"/>
    <w:rsid w:val="00844B12"/>
    <w:rPr>
      <w:rFonts w:ascii="Arial" w:eastAsia="Times New Roman" w:hAnsi="Arial" w:cs="Arial"/>
      <w:noProof/>
      <w:sz w:val="22"/>
      <w:lang w:val="en-GB" w:eastAsia="en-GB"/>
    </w:rPr>
  </w:style>
  <w:style w:type="paragraph" w:styleId="NormalWeb">
    <w:name w:val="Normal (Web)"/>
    <w:basedOn w:val="Normal"/>
    <w:uiPriority w:val="99"/>
    <w:unhideWhenUsed/>
    <w:rsid w:val="00DD2E9C"/>
    <w:pPr>
      <w:spacing w:before="100" w:beforeAutospacing="1" w:after="100" w:afterAutospacing="1"/>
    </w:pPr>
    <w:rPr>
      <w:rFonts w:ascii="Times" w:eastAsiaTheme="minorEastAsia" w:hAnsi="Times"/>
      <w:sz w:val="20"/>
      <w:szCs w:val="20"/>
      <w:lang w:eastAsia="en-US"/>
    </w:rPr>
  </w:style>
  <w:style w:type="character" w:styleId="FollowedHyperlink">
    <w:name w:val="FollowedHyperlink"/>
    <w:basedOn w:val="DefaultParagraphFont"/>
    <w:uiPriority w:val="99"/>
    <w:semiHidden/>
    <w:unhideWhenUsed/>
    <w:rsid w:val="0089145C"/>
    <w:rPr>
      <w:color w:val="800080" w:themeColor="followedHyperlink"/>
      <w:u w:val="single"/>
    </w:rPr>
  </w:style>
  <w:style w:type="table" w:customStyle="1" w:styleId="TableGrid1">
    <w:name w:val="Table Grid1"/>
    <w:basedOn w:val="TableNormal"/>
    <w:next w:val="TableGrid"/>
    <w:uiPriority w:val="39"/>
    <w:rsid w:val="00423ED7"/>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217">
      <w:bodyDiv w:val="1"/>
      <w:marLeft w:val="0"/>
      <w:marRight w:val="0"/>
      <w:marTop w:val="0"/>
      <w:marBottom w:val="0"/>
      <w:divBdr>
        <w:top w:val="none" w:sz="0" w:space="0" w:color="auto"/>
        <w:left w:val="none" w:sz="0" w:space="0" w:color="auto"/>
        <w:bottom w:val="none" w:sz="0" w:space="0" w:color="auto"/>
        <w:right w:val="none" w:sz="0" w:space="0" w:color="auto"/>
      </w:divBdr>
    </w:div>
    <w:div w:id="21589173">
      <w:bodyDiv w:val="1"/>
      <w:marLeft w:val="0"/>
      <w:marRight w:val="0"/>
      <w:marTop w:val="0"/>
      <w:marBottom w:val="0"/>
      <w:divBdr>
        <w:top w:val="none" w:sz="0" w:space="0" w:color="auto"/>
        <w:left w:val="none" w:sz="0" w:space="0" w:color="auto"/>
        <w:bottom w:val="none" w:sz="0" w:space="0" w:color="auto"/>
        <w:right w:val="none" w:sz="0" w:space="0" w:color="auto"/>
      </w:divBdr>
    </w:div>
    <w:div w:id="67895494">
      <w:bodyDiv w:val="1"/>
      <w:marLeft w:val="0"/>
      <w:marRight w:val="0"/>
      <w:marTop w:val="0"/>
      <w:marBottom w:val="0"/>
      <w:divBdr>
        <w:top w:val="none" w:sz="0" w:space="0" w:color="auto"/>
        <w:left w:val="none" w:sz="0" w:space="0" w:color="auto"/>
        <w:bottom w:val="none" w:sz="0" w:space="0" w:color="auto"/>
        <w:right w:val="none" w:sz="0" w:space="0" w:color="auto"/>
      </w:divBdr>
    </w:div>
    <w:div w:id="243347061">
      <w:bodyDiv w:val="1"/>
      <w:marLeft w:val="0"/>
      <w:marRight w:val="0"/>
      <w:marTop w:val="0"/>
      <w:marBottom w:val="0"/>
      <w:divBdr>
        <w:top w:val="none" w:sz="0" w:space="0" w:color="auto"/>
        <w:left w:val="none" w:sz="0" w:space="0" w:color="auto"/>
        <w:bottom w:val="none" w:sz="0" w:space="0" w:color="auto"/>
        <w:right w:val="none" w:sz="0" w:space="0" w:color="auto"/>
      </w:divBdr>
      <w:divsChild>
        <w:div w:id="827403026">
          <w:marLeft w:val="0"/>
          <w:marRight w:val="0"/>
          <w:marTop w:val="0"/>
          <w:marBottom w:val="0"/>
          <w:divBdr>
            <w:top w:val="none" w:sz="0" w:space="0" w:color="auto"/>
            <w:left w:val="none" w:sz="0" w:space="0" w:color="auto"/>
            <w:bottom w:val="none" w:sz="0" w:space="0" w:color="auto"/>
            <w:right w:val="none" w:sz="0" w:space="0" w:color="auto"/>
          </w:divBdr>
        </w:div>
        <w:div w:id="1772238413">
          <w:marLeft w:val="0"/>
          <w:marRight w:val="0"/>
          <w:marTop w:val="0"/>
          <w:marBottom w:val="0"/>
          <w:divBdr>
            <w:top w:val="none" w:sz="0" w:space="0" w:color="auto"/>
            <w:left w:val="none" w:sz="0" w:space="0" w:color="auto"/>
            <w:bottom w:val="none" w:sz="0" w:space="0" w:color="auto"/>
            <w:right w:val="none" w:sz="0" w:space="0" w:color="auto"/>
          </w:divBdr>
        </w:div>
        <w:div w:id="840512750">
          <w:marLeft w:val="0"/>
          <w:marRight w:val="0"/>
          <w:marTop w:val="0"/>
          <w:marBottom w:val="0"/>
          <w:divBdr>
            <w:top w:val="none" w:sz="0" w:space="0" w:color="auto"/>
            <w:left w:val="none" w:sz="0" w:space="0" w:color="auto"/>
            <w:bottom w:val="none" w:sz="0" w:space="0" w:color="auto"/>
            <w:right w:val="none" w:sz="0" w:space="0" w:color="auto"/>
          </w:divBdr>
        </w:div>
        <w:div w:id="957176808">
          <w:marLeft w:val="0"/>
          <w:marRight w:val="0"/>
          <w:marTop w:val="0"/>
          <w:marBottom w:val="0"/>
          <w:divBdr>
            <w:top w:val="none" w:sz="0" w:space="0" w:color="auto"/>
            <w:left w:val="none" w:sz="0" w:space="0" w:color="auto"/>
            <w:bottom w:val="none" w:sz="0" w:space="0" w:color="auto"/>
            <w:right w:val="none" w:sz="0" w:space="0" w:color="auto"/>
          </w:divBdr>
        </w:div>
        <w:div w:id="7831143">
          <w:marLeft w:val="0"/>
          <w:marRight w:val="0"/>
          <w:marTop w:val="0"/>
          <w:marBottom w:val="0"/>
          <w:divBdr>
            <w:top w:val="none" w:sz="0" w:space="0" w:color="auto"/>
            <w:left w:val="none" w:sz="0" w:space="0" w:color="auto"/>
            <w:bottom w:val="none" w:sz="0" w:space="0" w:color="auto"/>
            <w:right w:val="none" w:sz="0" w:space="0" w:color="auto"/>
          </w:divBdr>
        </w:div>
        <w:div w:id="1772970460">
          <w:marLeft w:val="0"/>
          <w:marRight w:val="0"/>
          <w:marTop w:val="0"/>
          <w:marBottom w:val="0"/>
          <w:divBdr>
            <w:top w:val="none" w:sz="0" w:space="0" w:color="auto"/>
            <w:left w:val="none" w:sz="0" w:space="0" w:color="auto"/>
            <w:bottom w:val="none" w:sz="0" w:space="0" w:color="auto"/>
            <w:right w:val="none" w:sz="0" w:space="0" w:color="auto"/>
          </w:divBdr>
        </w:div>
        <w:div w:id="1295141268">
          <w:marLeft w:val="0"/>
          <w:marRight w:val="0"/>
          <w:marTop w:val="0"/>
          <w:marBottom w:val="0"/>
          <w:divBdr>
            <w:top w:val="none" w:sz="0" w:space="0" w:color="auto"/>
            <w:left w:val="none" w:sz="0" w:space="0" w:color="auto"/>
            <w:bottom w:val="none" w:sz="0" w:space="0" w:color="auto"/>
            <w:right w:val="none" w:sz="0" w:space="0" w:color="auto"/>
          </w:divBdr>
        </w:div>
        <w:div w:id="1099374233">
          <w:marLeft w:val="0"/>
          <w:marRight w:val="0"/>
          <w:marTop w:val="0"/>
          <w:marBottom w:val="0"/>
          <w:divBdr>
            <w:top w:val="none" w:sz="0" w:space="0" w:color="auto"/>
            <w:left w:val="none" w:sz="0" w:space="0" w:color="auto"/>
            <w:bottom w:val="none" w:sz="0" w:space="0" w:color="auto"/>
            <w:right w:val="none" w:sz="0" w:space="0" w:color="auto"/>
          </w:divBdr>
        </w:div>
        <w:div w:id="1702851925">
          <w:marLeft w:val="0"/>
          <w:marRight w:val="0"/>
          <w:marTop w:val="0"/>
          <w:marBottom w:val="0"/>
          <w:divBdr>
            <w:top w:val="none" w:sz="0" w:space="0" w:color="auto"/>
            <w:left w:val="none" w:sz="0" w:space="0" w:color="auto"/>
            <w:bottom w:val="none" w:sz="0" w:space="0" w:color="auto"/>
            <w:right w:val="none" w:sz="0" w:space="0" w:color="auto"/>
          </w:divBdr>
        </w:div>
        <w:div w:id="1556087137">
          <w:marLeft w:val="0"/>
          <w:marRight w:val="0"/>
          <w:marTop w:val="0"/>
          <w:marBottom w:val="0"/>
          <w:divBdr>
            <w:top w:val="none" w:sz="0" w:space="0" w:color="auto"/>
            <w:left w:val="none" w:sz="0" w:space="0" w:color="auto"/>
            <w:bottom w:val="none" w:sz="0" w:space="0" w:color="auto"/>
            <w:right w:val="none" w:sz="0" w:space="0" w:color="auto"/>
          </w:divBdr>
        </w:div>
        <w:div w:id="2072192064">
          <w:marLeft w:val="0"/>
          <w:marRight w:val="0"/>
          <w:marTop w:val="0"/>
          <w:marBottom w:val="0"/>
          <w:divBdr>
            <w:top w:val="none" w:sz="0" w:space="0" w:color="auto"/>
            <w:left w:val="none" w:sz="0" w:space="0" w:color="auto"/>
            <w:bottom w:val="none" w:sz="0" w:space="0" w:color="auto"/>
            <w:right w:val="none" w:sz="0" w:space="0" w:color="auto"/>
          </w:divBdr>
        </w:div>
        <w:div w:id="1139569143">
          <w:marLeft w:val="0"/>
          <w:marRight w:val="0"/>
          <w:marTop w:val="0"/>
          <w:marBottom w:val="0"/>
          <w:divBdr>
            <w:top w:val="none" w:sz="0" w:space="0" w:color="auto"/>
            <w:left w:val="none" w:sz="0" w:space="0" w:color="auto"/>
            <w:bottom w:val="none" w:sz="0" w:space="0" w:color="auto"/>
            <w:right w:val="none" w:sz="0" w:space="0" w:color="auto"/>
          </w:divBdr>
        </w:div>
        <w:div w:id="1188984414">
          <w:marLeft w:val="0"/>
          <w:marRight w:val="0"/>
          <w:marTop w:val="0"/>
          <w:marBottom w:val="0"/>
          <w:divBdr>
            <w:top w:val="none" w:sz="0" w:space="0" w:color="auto"/>
            <w:left w:val="none" w:sz="0" w:space="0" w:color="auto"/>
            <w:bottom w:val="none" w:sz="0" w:space="0" w:color="auto"/>
            <w:right w:val="none" w:sz="0" w:space="0" w:color="auto"/>
          </w:divBdr>
        </w:div>
      </w:divsChild>
    </w:div>
    <w:div w:id="275452822">
      <w:bodyDiv w:val="1"/>
      <w:marLeft w:val="0"/>
      <w:marRight w:val="0"/>
      <w:marTop w:val="0"/>
      <w:marBottom w:val="0"/>
      <w:divBdr>
        <w:top w:val="none" w:sz="0" w:space="0" w:color="auto"/>
        <w:left w:val="none" w:sz="0" w:space="0" w:color="auto"/>
        <w:bottom w:val="none" w:sz="0" w:space="0" w:color="auto"/>
        <w:right w:val="none" w:sz="0" w:space="0" w:color="auto"/>
      </w:divBdr>
    </w:div>
    <w:div w:id="539169107">
      <w:bodyDiv w:val="1"/>
      <w:marLeft w:val="0"/>
      <w:marRight w:val="0"/>
      <w:marTop w:val="0"/>
      <w:marBottom w:val="0"/>
      <w:divBdr>
        <w:top w:val="none" w:sz="0" w:space="0" w:color="auto"/>
        <w:left w:val="none" w:sz="0" w:space="0" w:color="auto"/>
        <w:bottom w:val="none" w:sz="0" w:space="0" w:color="auto"/>
        <w:right w:val="none" w:sz="0" w:space="0" w:color="auto"/>
      </w:divBdr>
    </w:div>
    <w:div w:id="713234152">
      <w:bodyDiv w:val="1"/>
      <w:marLeft w:val="0"/>
      <w:marRight w:val="0"/>
      <w:marTop w:val="0"/>
      <w:marBottom w:val="0"/>
      <w:divBdr>
        <w:top w:val="none" w:sz="0" w:space="0" w:color="auto"/>
        <w:left w:val="none" w:sz="0" w:space="0" w:color="auto"/>
        <w:bottom w:val="none" w:sz="0" w:space="0" w:color="auto"/>
        <w:right w:val="none" w:sz="0" w:space="0" w:color="auto"/>
      </w:divBdr>
    </w:div>
    <w:div w:id="806094177">
      <w:bodyDiv w:val="1"/>
      <w:marLeft w:val="0"/>
      <w:marRight w:val="0"/>
      <w:marTop w:val="0"/>
      <w:marBottom w:val="0"/>
      <w:divBdr>
        <w:top w:val="none" w:sz="0" w:space="0" w:color="auto"/>
        <w:left w:val="none" w:sz="0" w:space="0" w:color="auto"/>
        <w:bottom w:val="none" w:sz="0" w:space="0" w:color="auto"/>
        <w:right w:val="none" w:sz="0" w:space="0" w:color="auto"/>
      </w:divBdr>
    </w:div>
    <w:div w:id="822429572">
      <w:bodyDiv w:val="1"/>
      <w:marLeft w:val="0"/>
      <w:marRight w:val="0"/>
      <w:marTop w:val="0"/>
      <w:marBottom w:val="0"/>
      <w:divBdr>
        <w:top w:val="none" w:sz="0" w:space="0" w:color="auto"/>
        <w:left w:val="none" w:sz="0" w:space="0" w:color="auto"/>
        <w:bottom w:val="none" w:sz="0" w:space="0" w:color="auto"/>
        <w:right w:val="none" w:sz="0" w:space="0" w:color="auto"/>
      </w:divBdr>
    </w:div>
    <w:div w:id="871309842">
      <w:bodyDiv w:val="1"/>
      <w:marLeft w:val="0"/>
      <w:marRight w:val="0"/>
      <w:marTop w:val="0"/>
      <w:marBottom w:val="0"/>
      <w:divBdr>
        <w:top w:val="none" w:sz="0" w:space="0" w:color="auto"/>
        <w:left w:val="none" w:sz="0" w:space="0" w:color="auto"/>
        <w:bottom w:val="none" w:sz="0" w:space="0" w:color="auto"/>
        <w:right w:val="none" w:sz="0" w:space="0" w:color="auto"/>
      </w:divBdr>
    </w:div>
    <w:div w:id="879634359">
      <w:bodyDiv w:val="1"/>
      <w:marLeft w:val="0"/>
      <w:marRight w:val="0"/>
      <w:marTop w:val="0"/>
      <w:marBottom w:val="0"/>
      <w:divBdr>
        <w:top w:val="none" w:sz="0" w:space="0" w:color="auto"/>
        <w:left w:val="none" w:sz="0" w:space="0" w:color="auto"/>
        <w:bottom w:val="none" w:sz="0" w:space="0" w:color="auto"/>
        <w:right w:val="none" w:sz="0" w:space="0" w:color="auto"/>
      </w:divBdr>
    </w:div>
    <w:div w:id="907301529">
      <w:bodyDiv w:val="1"/>
      <w:marLeft w:val="0"/>
      <w:marRight w:val="0"/>
      <w:marTop w:val="0"/>
      <w:marBottom w:val="0"/>
      <w:divBdr>
        <w:top w:val="none" w:sz="0" w:space="0" w:color="auto"/>
        <w:left w:val="none" w:sz="0" w:space="0" w:color="auto"/>
        <w:bottom w:val="none" w:sz="0" w:space="0" w:color="auto"/>
        <w:right w:val="none" w:sz="0" w:space="0" w:color="auto"/>
      </w:divBdr>
    </w:div>
    <w:div w:id="934442207">
      <w:bodyDiv w:val="1"/>
      <w:marLeft w:val="0"/>
      <w:marRight w:val="0"/>
      <w:marTop w:val="0"/>
      <w:marBottom w:val="0"/>
      <w:divBdr>
        <w:top w:val="none" w:sz="0" w:space="0" w:color="auto"/>
        <w:left w:val="none" w:sz="0" w:space="0" w:color="auto"/>
        <w:bottom w:val="none" w:sz="0" w:space="0" w:color="auto"/>
        <w:right w:val="none" w:sz="0" w:space="0" w:color="auto"/>
      </w:divBdr>
      <w:divsChild>
        <w:div w:id="913003513">
          <w:marLeft w:val="0"/>
          <w:marRight w:val="0"/>
          <w:marTop w:val="0"/>
          <w:marBottom w:val="0"/>
          <w:divBdr>
            <w:top w:val="none" w:sz="0" w:space="0" w:color="auto"/>
            <w:left w:val="none" w:sz="0" w:space="0" w:color="auto"/>
            <w:bottom w:val="none" w:sz="0" w:space="0" w:color="auto"/>
            <w:right w:val="none" w:sz="0" w:space="0" w:color="auto"/>
          </w:divBdr>
        </w:div>
        <w:div w:id="162863632">
          <w:marLeft w:val="0"/>
          <w:marRight w:val="0"/>
          <w:marTop w:val="0"/>
          <w:marBottom w:val="0"/>
          <w:divBdr>
            <w:top w:val="none" w:sz="0" w:space="0" w:color="auto"/>
            <w:left w:val="none" w:sz="0" w:space="0" w:color="auto"/>
            <w:bottom w:val="none" w:sz="0" w:space="0" w:color="auto"/>
            <w:right w:val="none" w:sz="0" w:space="0" w:color="auto"/>
          </w:divBdr>
        </w:div>
        <w:div w:id="1427651966">
          <w:marLeft w:val="0"/>
          <w:marRight w:val="0"/>
          <w:marTop w:val="0"/>
          <w:marBottom w:val="0"/>
          <w:divBdr>
            <w:top w:val="none" w:sz="0" w:space="0" w:color="auto"/>
            <w:left w:val="none" w:sz="0" w:space="0" w:color="auto"/>
            <w:bottom w:val="none" w:sz="0" w:space="0" w:color="auto"/>
            <w:right w:val="none" w:sz="0" w:space="0" w:color="auto"/>
          </w:divBdr>
        </w:div>
      </w:divsChild>
    </w:div>
    <w:div w:id="1043948071">
      <w:bodyDiv w:val="1"/>
      <w:marLeft w:val="0"/>
      <w:marRight w:val="0"/>
      <w:marTop w:val="0"/>
      <w:marBottom w:val="0"/>
      <w:divBdr>
        <w:top w:val="none" w:sz="0" w:space="0" w:color="auto"/>
        <w:left w:val="none" w:sz="0" w:space="0" w:color="auto"/>
        <w:bottom w:val="none" w:sz="0" w:space="0" w:color="auto"/>
        <w:right w:val="none" w:sz="0" w:space="0" w:color="auto"/>
      </w:divBdr>
    </w:div>
    <w:div w:id="1144658548">
      <w:bodyDiv w:val="1"/>
      <w:marLeft w:val="0"/>
      <w:marRight w:val="0"/>
      <w:marTop w:val="0"/>
      <w:marBottom w:val="0"/>
      <w:divBdr>
        <w:top w:val="none" w:sz="0" w:space="0" w:color="auto"/>
        <w:left w:val="none" w:sz="0" w:space="0" w:color="auto"/>
        <w:bottom w:val="none" w:sz="0" w:space="0" w:color="auto"/>
        <w:right w:val="none" w:sz="0" w:space="0" w:color="auto"/>
      </w:divBdr>
    </w:div>
    <w:div w:id="1173573365">
      <w:bodyDiv w:val="1"/>
      <w:marLeft w:val="0"/>
      <w:marRight w:val="0"/>
      <w:marTop w:val="0"/>
      <w:marBottom w:val="0"/>
      <w:divBdr>
        <w:top w:val="none" w:sz="0" w:space="0" w:color="auto"/>
        <w:left w:val="none" w:sz="0" w:space="0" w:color="auto"/>
        <w:bottom w:val="none" w:sz="0" w:space="0" w:color="auto"/>
        <w:right w:val="none" w:sz="0" w:space="0" w:color="auto"/>
      </w:divBdr>
    </w:div>
    <w:div w:id="1182360414">
      <w:bodyDiv w:val="1"/>
      <w:marLeft w:val="0"/>
      <w:marRight w:val="0"/>
      <w:marTop w:val="0"/>
      <w:marBottom w:val="0"/>
      <w:divBdr>
        <w:top w:val="none" w:sz="0" w:space="0" w:color="auto"/>
        <w:left w:val="none" w:sz="0" w:space="0" w:color="auto"/>
        <w:bottom w:val="none" w:sz="0" w:space="0" w:color="auto"/>
        <w:right w:val="none" w:sz="0" w:space="0" w:color="auto"/>
      </w:divBdr>
    </w:div>
    <w:div w:id="1416631366">
      <w:bodyDiv w:val="1"/>
      <w:marLeft w:val="0"/>
      <w:marRight w:val="0"/>
      <w:marTop w:val="0"/>
      <w:marBottom w:val="0"/>
      <w:divBdr>
        <w:top w:val="none" w:sz="0" w:space="0" w:color="auto"/>
        <w:left w:val="none" w:sz="0" w:space="0" w:color="auto"/>
        <w:bottom w:val="none" w:sz="0" w:space="0" w:color="auto"/>
        <w:right w:val="none" w:sz="0" w:space="0" w:color="auto"/>
      </w:divBdr>
    </w:div>
    <w:div w:id="1583834556">
      <w:bodyDiv w:val="1"/>
      <w:marLeft w:val="0"/>
      <w:marRight w:val="0"/>
      <w:marTop w:val="0"/>
      <w:marBottom w:val="0"/>
      <w:divBdr>
        <w:top w:val="none" w:sz="0" w:space="0" w:color="auto"/>
        <w:left w:val="none" w:sz="0" w:space="0" w:color="auto"/>
        <w:bottom w:val="none" w:sz="0" w:space="0" w:color="auto"/>
        <w:right w:val="none" w:sz="0" w:space="0" w:color="auto"/>
      </w:divBdr>
    </w:div>
    <w:div w:id="1614823214">
      <w:bodyDiv w:val="1"/>
      <w:marLeft w:val="0"/>
      <w:marRight w:val="0"/>
      <w:marTop w:val="0"/>
      <w:marBottom w:val="0"/>
      <w:divBdr>
        <w:top w:val="none" w:sz="0" w:space="0" w:color="auto"/>
        <w:left w:val="none" w:sz="0" w:space="0" w:color="auto"/>
        <w:bottom w:val="none" w:sz="0" w:space="0" w:color="auto"/>
        <w:right w:val="none" w:sz="0" w:space="0" w:color="auto"/>
      </w:divBdr>
      <w:divsChild>
        <w:div w:id="2069381878">
          <w:marLeft w:val="0"/>
          <w:marRight w:val="0"/>
          <w:marTop w:val="0"/>
          <w:marBottom w:val="0"/>
          <w:divBdr>
            <w:top w:val="none" w:sz="0" w:space="0" w:color="auto"/>
            <w:left w:val="none" w:sz="0" w:space="0" w:color="auto"/>
            <w:bottom w:val="none" w:sz="0" w:space="0" w:color="auto"/>
            <w:right w:val="none" w:sz="0" w:space="0" w:color="auto"/>
          </w:divBdr>
        </w:div>
      </w:divsChild>
    </w:div>
    <w:div w:id="1752581112">
      <w:bodyDiv w:val="1"/>
      <w:marLeft w:val="0"/>
      <w:marRight w:val="0"/>
      <w:marTop w:val="0"/>
      <w:marBottom w:val="0"/>
      <w:divBdr>
        <w:top w:val="none" w:sz="0" w:space="0" w:color="auto"/>
        <w:left w:val="none" w:sz="0" w:space="0" w:color="auto"/>
        <w:bottom w:val="none" w:sz="0" w:space="0" w:color="auto"/>
        <w:right w:val="none" w:sz="0" w:space="0" w:color="auto"/>
      </w:divBdr>
    </w:div>
    <w:div w:id="1807966542">
      <w:bodyDiv w:val="1"/>
      <w:marLeft w:val="0"/>
      <w:marRight w:val="0"/>
      <w:marTop w:val="0"/>
      <w:marBottom w:val="0"/>
      <w:divBdr>
        <w:top w:val="none" w:sz="0" w:space="0" w:color="auto"/>
        <w:left w:val="none" w:sz="0" w:space="0" w:color="auto"/>
        <w:bottom w:val="none" w:sz="0" w:space="0" w:color="auto"/>
        <w:right w:val="none" w:sz="0" w:space="0" w:color="auto"/>
      </w:divBdr>
    </w:div>
    <w:div w:id="1832988401">
      <w:bodyDiv w:val="1"/>
      <w:marLeft w:val="0"/>
      <w:marRight w:val="0"/>
      <w:marTop w:val="0"/>
      <w:marBottom w:val="0"/>
      <w:divBdr>
        <w:top w:val="none" w:sz="0" w:space="0" w:color="auto"/>
        <w:left w:val="none" w:sz="0" w:space="0" w:color="auto"/>
        <w:bottom w:val="none" w:sz="0" w:space="0" w:color="auto"/>
        <w:right w:val="none" w:sz="0" w:space="0" w:color="auto"/>
      </w:divBdr>
      <w:divsChild>
        <w:div w:id="2094738377">
          <w:marLeft w:val="0"/>
          <w:marRight w:val="0"/>
          <w:marTop w:val="0"/>
          <w:marBottom w:val="0"/>
          <w:divBdr>
            <w:top w:val="none" w:sz="0" w:space="0" w:color="auto"/>
            <w:left w:val="none" w:sz="0" w:space="0" w:color="auto"/>
            <w:bottom w:val="none" w:sz="0" w:space="0" w:color="auto"/>
            <w:right w:val="none" w:sz="0" w:space="0" w:color="auto"/>
          </w:divBdr>
        </w:div>
        <w:div w:id="1568032936">
          <w:marLeft w:val="0"/>
          <w:marRight w:val="0"/>
          <w:marTop w:val="0"/>
          <w:marBottom w:val="0"/>
          <w:divBdr>
            <w:top w:val="none" w:sz="0" w:space="0" w:color="auto"/>
            <w:left w:val="none" w:sz="0" w:space="0" w:color="auto"/>
            <w:bottom w:val="none" w:sz="0" w:space="0" w:color="auto"/>
            <w:right w:val="none" w:sz="0" w:space="0" w:color="auto"/>
          </w:divBdr>
        </w:div>
      </w:divsChild>
    </w:div>
    <w:div w:id="1848787191">
      <w:bodyDiv w:val="1"/>
      <w:marLeft w:val="0"/>
      <w:marRight w:val="0"/>
      <w:marTop w:val="0"/>
      <w:marBottom w:val="0"/>
      <w:divBdr>
        <w:top w:val="none" w:sz="0" w:space="0" w:color="auto"/>
        <w:left w:val="none" w:sz="0" w:space="0" w:color="auto"/>
        <w:bottom w:val="none" w:sz="0" w:space="0" w:color="auto"/>
        <w:right w:val="none" w:sz="0" w:space="0" w:color="auto"/>
      </w:divBdr>
    </w:div>
    <w:div w:id="2038698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ates@sheffield.ac.uk" TargetMode="External"/><Relationship Id="rId13" Type="http://schemas.openxmlformats.org/officeDocument/2006/relationships/hyperlink" Target="mailto:m.j.campbell@sheffield.ac.uk" TargetMode="External"/><Relationship Id="rId18" Type="http://schemas.openxmlformats.org/officeDocument/2006/relationships/hyperlink" Target="mailto:c.l.cooper@sheffield.ac.uk" TargetMode="External"/><Relationship Id="rId26" Type="http://schemas.openxmlformats.org/officeDocument/2006/relationships/hyperlink" Target="mailto:zhui2@sheffield.ac.uk" TargetMode="External"/><Relationship Id="rId39" Type="http://schemas.openxmlformats.org/officeDocument/2006/relationships/hyperlink" Target="mailto:l.yardley@soton.ac.uk" TargetMode="External"/><Relationship Id="rId3" Type="http://schemas.openxmlformats.org/officeDocument/2006/relationships/styles" Target="styles.xml"/><Relationship Id="rId21" Type="http://schemas.openxmlformats.org/officeDocument/2006/relationships/hyperlink" Target="mailto:m.eissa@sheffield.ac.uk" TargetMode="External"/><Relationship Id="rId34" Type="http://schemas.openxmlformats.org/officeDocument/2006/relationships/hyperlink" Target="mailto:jspeight@acbrd.org.au" TargetMode="External"/><Relationship Id="rId42" Type="http://schemas.openxmlformats.org/officeDocument/2006/relationships/hyperlink" Target="mailto:s.heller@sheffield.ac.uk" TargetMode="External"/><Relationship Id="rId7" Type="http://schemas.openxmlformats.org/officeDocument/2006/relationships/endnotes" Target="endnotes.xml"/><Relationship Id="rId12" Type="http://schemas.openxmlformats.org/officeDocument/2006/relationships/hyperlink" Target="mailto:a.brennan@sheffield.ac.uk" TargetMode="External"/><Relationship Id="rId17" Type="http://schemas.openxmlformats.org/officeDocument/2006/relationships/hyperlink" Target="mailto:d.cooke@surrey.ac.uk" TargetMode="External"/><Relationship Id="rId25" Type="http://schemas.openxmlformats.org/officeDocument/2006/relationships/hyperlink" Target="mailto:dhopkins3@nhs.net" TargetMode="External"/><Relationship Id="rId33" Type="http://schemas.openxmlformats.org/officeDocument/2006/relationships/hyperlink" Target="mailto:elaine.scott@sheffield.ac.uk" TargetMode="External"/><Relationship Id="rId38" Type="http://schemas.openxmlformats.org/officeDocument/2006/relationships/hyperlink" Target="mailto:n.v.totton@sheffield.ac.uk" TargetMode="External"/><Relationship Id="rId2" Type="http://schemas.openxmlformats.org/officeDocument/2006/relationships/numbering" Target="numbering.xml"/><Relationship Id="rId16" Type="http://schemas.openxmlformats.org/officeDocument/2006/relationships/hyperlink" Target="mailto:pratik.choudhary@kcl.ac.uk" TargetMode="External"/><Relationship Id="rId20" Type="http://schemas.openxmlformats.org/officeDocument/2006/relationships/hyperlink" Target="mailto:ndezoysa@nhs.net" TargetMode="External"/><Relationship Id="rId29" Type="http://schemas.openxmlformats.org/officeDocument/2006/relationships/hyperlink" Target="mailto:s.michie@ucl.ac.uk" TargetMode="External"/><Relationship Id="rId41" Type="http://schemas.openxmlformats.org/officeDocument/2006/relationships/hyperlink" Target="mailto:s.heller@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enaissa@sheffield.ac.uk" TargetMode="External"/><Relationship Id="rId24" Type="http://schemas.openxmlformats.org/officeDocument/2006/relationships/hyperlink" Target="mailto:tim.good@sheffield.ac.uk" TargetMode="External"/><Relationship Id="rId32" Type="http://schemas.openxmlformats.org/officeDocument/2006/relationships/hyperlink" Target="mailto:j.schutter@sheffield.ac.uk" TargetMode="External"/><Relationship Id="rId37" Type="http://schemas.openxmlformats.org/officeDocument/2006/relationships/hyperlink" Target="mailto:gillian.thompson@northumbria-healthcare.nhs.uk" TargetMode="External"/><Relationship Id="rId40" Type="http://schemas.openxmlformats.org/officeDocument/2006/relationships/hyperlink" Target="mailto:a.zaitcev@sheffield.ac.uk" TargetMode="External"/><Relationship Id="rId5" Type="http://schemas.openxmlformats.org/officeDocument/2006/relationships/webSettings" Target="webSettings.xml"/><Relationship Id="rId15" Type="http://schemas.openxmlformats.org/officeDocument/2006/relationships/hyperlink" Target="mailto:t.chater@sheffield.ac.uk" TargetMode="External"/><Relationship Id="rId23" Type="http://schemas.openxmlformats.org/officeDocument/2006/relationships/hyperlink" Target="mailto:carla.gianfrancesco@nhs.net" TargetMode="External"/><Relationship Id="rId28" Type="http://schemas.openxmlformats.org/officeDocument/2006/relationships/hyperlink" Target="mailto:f.lorencatto@ucl.ac.uk" TargetMode="External"/><Relationship Id="rId36" Type="http://schemas.openxmlformats.org/officeDocument/2006/relationships/hyperlink" Target="mailto:carolin.taylor@nhs.net" TargetMode="External"/><Relationship Id="rId10" Type="http://schemas.openxmlformats.org/officeDocument/2006/relationships/hyperlink" Target="mailto:w.o.baird@sheffield.ac.uk" TargetMode="External"/><Relationship Id="rId19" Type="http://schemas.openxmlformats.org/officeDocument/2006/relationships/hyperlink" Target="mailto:e.a.cross@sheffield.ac.uk" TargetMode="External"/><Relationship Id="rId31" Type="http://schemas.openxmlformats.org/officeDocument/2006/relationships/hyperlink" Target="mailto:a.d.rankin@ed.ac.u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phanie.amiel@kcl.ac.uk" TargetMode="External"/><Relationship Id="rId14" Type="http://schemas.openxmlformats.org/officeDocument/2006/relationships/hyperlink" Target="mailto:p.chadwick@ucl.ac.uk" TargetMode="External"/><Relationship Id="rId22" Type="http://schemas.openxmlformats.org/officeDocument/2006/relationships/hyperlink" Target="mailto:j.elliott@sheffield.ac.uk" TargetMode="External"/><Relationship Id="rId27" Type="http://schemas.openxmlformats.org/officeDocument/2006/relationships/hyperlink" Target="mailto:j.lawton@ed.ac.uk" TargetMode="External"/><Relationship Id="rId30" Type="http://schemas.openxmlformats.org/officeDocument/2006/relationships/hyperlink" Target="mailto:d.j.pollard@sheffield.ac.uk" TargetMode="External"/><Relationship Id="rId35" Type="http://schemas.openxmlformats.org/officeDocument/2006/relationships/hyperlink" Target="mailto:stephanie.stanton-fay@ucl.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A483-6CB2-4D87-A00F-103D04C8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28811</Words>
  <Characters>164227</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Sheffield University</Company>
  <LinksUpToDate>false</LinksUpToDate>
  <CharactersWithSpaces>192653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Chater</dc:creator>
  <cp:lastModifiedBy>Lizzie Coates</cp:lastModifiedBy>
  <cp:revision>7</cp:revision>
  <cp:lastPrinted>2020-02-26T14:01:00Z</cp:lastPrinted>
  <dcterms:created xsi:type="dcterms:W3CDTF">2020-11-16T14:07:00Z</dcterms:created>
  <dcterms:modified xsi:type="dcterms:W3CDTF">2020-11-20T08:45:00Z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e96626bd-9795-32f6-a481-31d298de3371</vt:lpwstr>
  </property>
  <property fmtid="{D5CDD505-2E9C-101B-9397-08002B2CF9AE}" pid="4" name="Mendeley Citation Style_1">
    <vt:lpwstr>http://www.zotero.org/styles/bmj-open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http://www.zotero.org/styles/bmj-open</vt:lpwstr>
  </property>
  <property fmtid="{D5CDD505-2E9C-101B-9397-08002B2CF9AE}" pid="10" name="Mendeley Recent Style Name 2_1">
    <vt:lpwstr>BMJ Open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http://www.zotero.org/styles/social-science-and-medicine</vt:lpwstr>
  </property>
  <property fmtid="{D5CDD505-2E9C-101B-9397-08002B2CF9AE}" pid="24" name="Mendeley Recent Style Name 9_1">
    <vt:lpwstr>Social Science &amp; Medicine</vt:lpwstr>
  </property>
</Properties>
</file>