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98BE" w14:textId="77777777" w:rsidR="007E12D3" w:rsidRDefault="007E12D3" w:rsidP="007E12D3">
      <w:pPr>
        <w:pStyle w:val="Heading1"/>
        <w:rPr>
          <w:rFonts w:ascii="Arial" w:hAnsi="Arial" w:cs="Arial"/>
          <w:b/>
          <w:bCs/>
          <w:color w:val="auto"/>
          <w:sz w:val="24"/>
          <w:szCs w:val="24"/>
        </w:rPr>
      </w:pPr>
      <w:r>
        <w:rPr>
          <w:rFonts w:ascii="Arial" w:hAnsi="Arial" w:cs="Arial"/>
          <w:b/>
          <w:bCs/>
          <w:color w:val="auto"/>
          <w:sz w:val="24"/>
          <w:szCs w:val="24"/>
        </w:rPr>
        <w:t xml:space="preserve">Supplementary material 3 – </w:t>
      </w:r>
      <w:r w:rsidRPr="00450CC6">
        <w:rPr>
          <w:rFonts w:ascii="Arial" w:hAnsi="Arial" w:cs="Arial"/>
          <w:b/>
          <w:bCs/>
          <w:color w:val="auto"/>
          <w:sz w:val="24"/>
          <w:szCs w:val="24"/>
        </w:rPr>
        <w:t>Protocol</w:t>
      </w:r>
      <w:r>
        <w:rPr>
          <w:rFonts w:ascii="Arial" w:hAnsi="Arial" w:cs="Arial"/>
          <w:b/>
          <w:bCs/>
          <w:color w:val="auto"/>
          <w:sz w:val="24"/>
          <w:szCs w:val="24"/>
        </w:rPr>
        <w:t xml:space="preserve"> </w:t>
      </w:r>
      <w:r w:rsidRPr="00450CC6">
        <w:rPr>
          <w:rFonts w:ascii="Arial" w:hAnsi="Arial" w:cs="Arial"/>
          <w:b/>
          <w:bCs/>
          <w:color w:val="auto"/>
          <w:sz w:val="24"/>
          <w:szCs w:val="24"/>
        </w:rPr>
        <w:t>for DAFNE</w:t>
      </w:r>
      <w:r w:rsidRPr="00450CC6">
        <w:rPr>
          <w:rFonts w:ascii="Arial" w:hAnsi="Arial" w:cs="Arial"/>
          <w:b/>
          <w:bCs/>
          <w:i/>
          <w:iCs/>
          <w:color w:val="auto"/>
          <w:sz w:val="24"/>
          <w:szCs w:val="24"/>
        </w:rPr>
        <w:t>plus</w:t>
      </w:r>
      <w:r w:rsidRPr="00450CC6">
        <w:rPr>
          <w:rFonts w:ascii="Arial" w:hAnsi="Arial" w:cs="Arial"/>
          <w:b/>
          <w:bCs/>
          <w:color w:val="auto"/>
          <w:sz w:val="24"/>
          <w:szCs w:val="24"/>
        </w:rPr>
        <w:t xml:space="preserve"> Economic Evaluation</w:t>
      </w:r>
    </w:p>
    <w:p w14:paraId="1E268219" w14:textId="77777777" w:rsidR="007E12D3" w:rsidRDefault="007E12D3" w:rsidP="007E12D3"/>
    <w:p w14:paraId="4659C117" w14:textId="77777777" w:rsidR="007E12D3" w:rsidRPr="00450CC6" w:rsidRDefault="007E12D3" w:rsidP="007E12D3">
      <w:pPr>
        <w:spacing w:after="0" w:line="240" w:lineRule="auto"/>
        <w:rPr>
          <w:rFonts w:ascii="Arial" w:hAnsi="Arial" w:cs="Arial"/>
          <w:b/>
          <w:bCs/>
          <w:iCs/>
          <w:sz w:val="24"/>
          <w:szCs w:val="24"/>
        </w:rPr>
      </w:pPr>
      <w:r w:rsidRPr="00450CC6">
        <w:rPr>
          <w:rFonts w:ascii="Arial" w:hAnsi="Arial" w:cs="Arial"/>
          <w:b/>
          <w:bCs/>
          <w:iCs/>
          <w:sz w:val="24"/>
          <w:szCs w:val="24"/>
        </w:rPr>
        <w:t>Aims and perspective</w:t>
      </w:r>
    </w:p>
    <w:p w14:paraId="7C51582F" w14:textId="77777777" w:rsidR="007E12D3" w:rsidRDefault="007E12D3" w:rsidP="007E12D3">
      <w:pPr>
        <w:spacing w:after="0" w:line="240" w:lineRule="auto"/>
        <w:jc w:val="both"/>
        <w:rPr>
          <w:rFonts w:ascii="Arial" w:hAnsi="Arial" w:cs="Arial"/>
          <w:sz w:val="24"/>
          <w:szCs w:val="24"/>
        </w:rPr>
      </w:pPr>
    </w:p>
    <w:p w14:paraId="57B0F231" w14:textId="0C77E37D" w:rsidR="007E12D3" w:rsidRPr="00450CC6" w:rsidRDefault="007E12D3" w:rsidP="007E12D3">
      <w:pPr>
        <w:spacing w:after="0" w:line="240" w:lineRule="auto"/>
        <w:jc w:val="both"/>
        <w:rPr>
          <w:rFonts w:ascii="Arial" w:hAnsi="Arial" w:cs="Arial"/>
          <w:sz w:val="24"/>
          <w:szCs w:val="24"/>
        </w:rPr>
      </w:pPr>
      <w:r w:rsidRPr="00450CC6">
        <w:rPr>
          <w:rFonts w:ascii="Arial" w:hAnsi="Arial" w:cs="Arial"/>
          <w:sz w:val="24"/>
          <w:szCs w:val="24"/>
        </w:rPr>
        <w:t>We will complete an economic evaluation as part of the study so that we are able to understand the cost-effectiveness of DAFNE</w:t>
      </w:r>
      <w:r w:rsidRPr="00450CC6">
        <w:rPr>
          <w:rFonts w:ascii="Arial" w:hAnsi="Arial" w:cs="Arial"/>
          <w:i/>
          <w:sz w:val="24"/>
          <w:szCs w:val="24"/>
        </w:rPr>
        <w:t>plus</w:t>
      </w:r>
      <w:r w:rsidRPr="00450CC6">
        <w:rPr>
          <w:rFonts w:ascii="Arial" w:hAnsi="Arial" w:cs="Arial"/>
          <w:sz w:val="24"/>
          <w:szCs w:val="24"/>
        </w:rPr>
        <w:t xml:space="preserve"> compared to the standard DAFNE programme. The economic evaluation will follow guidance set by the National Institute for Health and Clinical Excellence for its Technology Appraisal process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{"citationItems":[{"id":"ITEM-1","itemData":{"author":[{"dropping-particle":"","family":"National Institute for Health and Care Excellence","given":"","non-dropping-particle":"","parse-names":false,"suffix":""}],"id":"ITEM-1","issued":{"date-parts":[["0"]]},"publisher":"NICE","title":"Guide to the methods of technology appraisal 2013 | Guidance and guidelines | NICE","type":"article-journal"},"uris":["http://www.mendeley.com/documents/?uuid=67cb0c55-b5f8-3966-9681-067d99b05501"]}],"mendeley":{"formattedCitation":"[1]","plainTextFormattedCitation":"[1]","previouslyFormattedCitation":"[1]"},"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[1]</w:t>
      </w:r>
      <w:r w:rsidRPr="00450CC6">
        <w:rPr>
          <w:rFonts w:ascii="Arial" w:hAnsi="Arial" w:cs="Arial"/>
          <w:sz w:val="24"/>
          <w:szCs w:val="24"/>
        </w:rPr>
        <w:fldChar w:fldCharType="end"/>
      </w:r>
      <w:r w:rsidRPr="00450CC6">
        <w:rPr>
          <w:rFonts w:ascii="Arial" w:hAnsi="Arial" w:cs="Arial"/>
          <w:sz w:val="24"/>
          <w:szCs w:val="24"/>
        </w:rPr>
        <w:t xml:space="preserve">. The analysis will take an NHS and personal social services perspective, measure health effects in quality adjusted life years (QALYs), discount future outcomes at 3.5% per annum and consider effects and costs over a lifetime time horizon. </w:t>
      </w:r>
      <w:r>
        <w:rPr>
          <w:rFonts w:ascii="Arial" w:hAnsi="Arial" w:cs="Arial"/>
          <w:sz w:val="24"/>
          <w:szCs w:val="24"/>
        </w:rPr>
        <w:t>The primary analysis will be use</w:t>
      </w:r>
      <w:r w:rsidRPr="00450CC6">
        <w:rPr>
          <w:rFonts w:ascii="Arial" w:hAnsi="Arial" w:cs="Arial"/>
          <w:sz w:val="24"/>
          <w:szCs w:val="24"/>
        </w:rPr>
        <w:t xml:space="preserve"> long-term cost-effectiveness modelling</w:t>
      </w:r>
      <w:r>
        <w:rPr>
          <w:rFonts w:ascii="Arial" w:hAnsi="Arial" w:cs="Arial"/>
          <w:sz w:val="24"/>
          <w:szCs w:val="24"/>
        </w:rPr>
        <w:t>, a secondary analysis will be</w:t>
      </w:r>
      <w:r w:rsidRPr="00450CC6">
        <w:rPr>
          <w:rFonts w:ascii="Arial" w:hAnsi="Arial" w:cs="Arial"/>
          <w:sz w:val="24"/>
          <w:szCs w:val="24"/>
        </w:rPr>
        <w:t xml:space="preserve"> </w:t>
      </w:r>
      <w:r>
        <w:rPr>
          <w:rFonts w:ascii="Arial" w:hAnsi="Arial" w:cs="Arial"/>
          <w:sz w:val="24"/>
          <w:szCs w:val="24"/>
        </w:rPr>
        <w:t>a</w:t>
      </w:r>
      <w:r w:rsidRPr="00450CC6">
        <w:rPr>
          <w:rFonts w:ascii="Arial" w:hAnsi="Arial" w:cs="Arial"/>
          <w:sz w:val="24"/>
          <w:szCs w:val="24"/>
        </w:rPr>
        <w:t>n economic evaluation alongside the clinical trial (EEACT).</w:t>
      </w:r>
      <w:r>
        <w:rPr>
          <w:rFonts w:ascii="Arial" w:hAnsi="Arial" w:cs="Arial"/>
          <w:sz w:val="24"/>
          <w:szCs w:val="24"/>
        </w:rPr>
        <w:t xml:space="preserve"> The analysis population for all health economic analyses will consist of all participants in the DAFNEplus trial</w:t>
      </w:r>
      <w:r w:rsidRPr="00450CC6">
        <w:rPr>
          <w:rFonts w:ascii="Arial" w:hAnsi="Arial" w:cs="Arial"/>
          <w:sz w:val="24"/>
          <w:szCs w:val="24"/>
        </w:rPr>
        <w:t>. A full Health Economic and Decision Modelling Analysis Plan (HEDMAP) will be written and circulated to the Trial Management Group and Programme Steering Committee before being signed-off.</w:t>
      </w:r>
    </w:p>
    <w:p w14:paraId="3A482A07" w14:textId="77777777" w:rsidR="007E12D3" w:rsidRDefault="007E12D3" w:rsidP="007E12D3">
      <w:pPr>
        <w:spacing w:after="0" w:line="240" w:lineRule="auto"/>
        <w:rPr>
          <w:rFonts w:ascii="Arial" w:hAnsi="Arial" w:cs="Arial"/>
          <w:b/>
          <w:sz w:val="24"/>
          <w:szCs w:val="24"/>
        </w:rPr>
      </w:pPr>
    </w:p>
    <w:p w14:paraId="7D811B6A" w14:textId="77777777" w:rsidR="007E12D3" w:rsidRPr="00450CC6" w:rsidRDefault="007E12D3" w:rsidP="007E12D3">
      <w:pPr>
        <w:spacing w:after="0" w:line="240" w:lineRule="auto"/>
        <w:rPr>
          <w:rFonts w:ascii="Arial" w:hAnsi="Arial" w:cs="Arial"/>
          <w:b/>
          <w:sz w:val="24"/>
          <w:szCs w:val="24"/>
        </w:rPr>
      </w:pPr>
      <w:r w:rsidRPr="00450CC6">
        <w:rPr>
          <w:rFonts w:ascii="Arial" w:hAnsi="Arial" w:cs="Arial"/>
          <w:b/>
          <w:sz w:val="24"/>
          <w:szCs w:val="24"/>
        </w:rPr>
        <w:t>Long-term cost-effectiveness modelling</w:t>
      </w:r>
    </w:p>
    <w:p w14:paraId="5D05BFA5" w14:textId="77777777" w:rsidR="007E12D3" w:rsidRDefault="007E12D3" w:rsidP="007E12D3">
      <w:pPr>
        <w:spacing w:after="0" w:line="240" w:lineRule="auto"/>
        <w:jc w:val="both"/>
        <w:rPr>
          <w:rFonts w:ascii="Arial" w:hAnsi="Arial" w:cs="Arial"/>
          <w:sz w:val="24"/>
          <w:szCs w:val="24"/>
        </w:rPr>
      </w:pPr>
    </w:p>
    <w:p w14:paraId="40960CCF" w14:textId="13B72C5E" w:rsidR="007E12D3" w:rsidRPr="005A63D0" w:rsidRDefault="007E12D3" w:rsidP="007E12D3">
      <w:pPr>
        <w:spacing w:after="0" w:line="240" w:lineRule="auto"/>
        <w:jc w:val="both"/>
        <w:rPr>
          <w:rFonts w:ascii="Arial" w:hAnsi="Arial" w:cs="Arial"/>
          <w:sz w:val="24"/>
          <w:szCs w:val="24"/>
        </w:rPr>
      </w:pPr>
      <w:r w:rsidRPr="00450CC6">
        <w:rPr>
          <w:rFonts w:ascii="Arial" w:hAnsi="Arial" w:cs="Arial"/>
          <w:sz w:val="24"/>
          <w:szCs w:val="24"/>
        </w:rPr>
        <w:t xml:space="preserve">In the long-term modelling exercise, the resulting evidence base will be incorporated into an updated Sheffield T1D Diabetes Policy Model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{"citationItems":[{"id":"ITEM-1","itemData":{"DOI":"10.1111/dme.12371","ISSN":"07423071","PMID":"24299192","abstract":"AIMS To build a flexible and comprehensive long-term type 1 diabetes mellitus model incorporating the most up-to-date methodologies to allow a number of cost-effectiveness evaluations. METHODS This paper describes the conceptual modelling, model implementation and model validation of the Sheffield type 1 diabetes policy model (version 1.0), developed through funding by the U.K. National Institute for Health Research as part of the Dose Adjustment for Normal Eating research programme. The model is an individual patient-level simulation model of type 1 diabetes and it includes long-term microvascular (retinopathy, neuropathy and nephropathy) and macrovascular (myocardial infarction, stroke, revascularization and angina) diabetes-related complications and acute adverse events (severe hypoglycaemia and diabetic ketoacidosis). The occurrence of these diabetes-related complications in the model is linked to simulated individual patient-level risk factors, including HbA1c , age, duration of diabetes, lipids and blood pressure. Transition probabilities were modelled based on a combination of existing risk functions, published trials, epidemiological studies and individual-level data from the Dose Adjustment for Normal Eating research programme. RESULTS The model takes a lifetime perspective, estimating the impact of interventions on costs, clinical outcomes, survival and quality-adjusted life years. Validation of the model suggested that, for almost all diabetes-related complications predicted, event rates were within 10% of the normalized rates reported in the studies used to build the model. CONCLUSIONS The model is highly flexible and has broad potential application to evaluate the Dose Adjustment for Normal Eating research programme, other structured diabetes education programmes and other interventions for type 1 diabetes.","author":[{"dropping-particle":"","family":"Thokala","given":"P.","non-dropping-particle":"","parse-names":false,"suffix":""},{"dropping-particle":"","family":"Kruger","given":"J.","non-dropping-particle":"","parse-names":false,"suffix":""},{"dropping-particle":"","family":"Brennan","given":"A.","non-dropping-particle":"","parse-names":false,"suffix":""},{"dropping-particle":"","family":"Basarir","given":"H.","non-dropping-particle":"","parse-names":false,"suffix":""},{"dropping-particle":"","family":"Duenas","given":"A.","non-dropping-particle":"","parse-names":false,"suffix":""},{"dropping-particle":"","family":"Pandor","given":"A.","non-dropping-particle":"","parse-names":false,"suffix":""},{"dropping-particle":"","family":"Gillett","given":"M.","non-dropping-particle":"","parse-names":false,"suffix":""},{"dropping-particle":"","family":"Elliott","given":"J.","non-dropping-particle":"","parse-names":false,"suffix":""},{"dropping-particle":"","family":"Heller","given":"S.","non-dropping-particle":"","parse-names":false,"suffix":""}],"container-title":"Diabetic Medicine","id":"ITEM-1","issue":"4","issued":{"date-parts":[["2014","4"]]},"page":"477-486","title":"Assessing the cost-effectiveness of Type 1 diabetes interventions: the Sheffield Type 1 Diabetes Policy Model","type":"article-journal","volume":"31"},"uris":["http://www.mendeley.com/documents/?uuid=ae950bc0-97ec-30cd-bbe7-effdb1a9ffd6"]}],"mendeley":{"formattedCitation":"[2]","plainTextFormattedCitation":"[2]","previouslyFormattedCitation":"[2]"},"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[2]</w:t>
      </w:r>
      <w:r w:rsidRPr="00450CC6">
        <w:rPr>
          <w:rFonts w:ascii="Arial" w:hAnsi="Arial" w:cs="Arial"/>
          <w:sz w:val="24"/>
          <w:szCs w:val="24"/>
        </w:rPr>
        <w:fldChar w:fldCharType="end"/>
      </w:r>
      <w:r w:rsidRPr="00450CC6">
        <w:rPr>
          <w:rFonts w:ascii="Arial" w:hAnsi="Arial" w:cs="Arial"/>
          <w:sz w:val="24"/>
          <w:szCs w:val="24"/>
        </w:rPr>
        <w:t xml:space="preserve">. </w:t>
      </w:r>
      <w:r>
        <w:rPr>
          <w:rFonts w:ascii="Arial" w:hAnsi="Arial" w:cs="Arial"/>
          <w:sz w:val="24"/>
          <w:szCs w:val="24"/>
        </w:rPr>
        <w:t>This model has been used extensively in the evaluation of education and psychological interventions for people with T1D</w:t>
      </w:r>
      <w:r w:rsidR="00880610">
        <w:rPr>
          <w:rFonts w:ascii="Arial" w:hAnsi="Arial" w:cs="Arial"/>
          <w:sz w:val="24"/>
          <w:szCs w:val="24"/>
        </w:rPr>
        <w:fldChar w:fldCharType="begin" w:fldLock="1"/>
      </w:r>
      <w:r w:rsidR="006324A5">
        <w:rPr>
          <w:rFonts w:ascii="Arial" w:hAnsi="Arial" w:cs="Arial"/>
          <w:sz w:val="24"/>
          <w:szCs w:val="24"/>
        </w:rPr>
        <w:instrText>ADDIN CSL_CITATION {"citationItems":[{"id":"ITEM-1","itemData":{"DOI":"10.1111/dme.12270","ISSN":"07423071","author":[{"dropping-particle":"","family":"Kruger","given":"J.","non-dropping-particle":"","parse-names":false,"suffix":""},{"dropping-particle":"","family":"Brennan","given":"A.","non-dropping-particle":"","parse-names":false,"suffix":""},{"dropping-particle":"","family":"Thokala","given":"P.","non-dropping-particle":"","parse-names":false,"suffix":""},{"dropping-particle":"","family":"Basarir","given":"H.","non-dropping-particle":"","parse-names":false,"suffix":""},{"dropping-particle":"","family":"Jacques","given":"R.","non-dropping-particle":"","parse-names":false,"suffix":""},{"dropping-particle":"","family":"Elliott","given":"J.","non-dropping-particle":"","parse-names":false,"suffix":""},{"dropping-particle":"","family":"Heller","given":"S.","non-dropping-particle":"","parse-names":false,"suffix":""},{"dropping-particle":"","family":"Speight","given":"J.","non-dropping-particle":"","parse-names":false,"suffix":""}],"container-title":"Diabetic Medicine","id":"ITEM-1","issue":"10","issued":{"date-parts":[["2013","10"]]},"page":"1236-1244","title":"The cost-effectiveness of the Dose Adjustment for Normal Eating (DAFNE) structured education programme: an update using the Sheffield Type 1 Diabetes Policy Model","type":"article-journal","volume":"30"},"uris":["http://www.mendeley.com/documents/?uuid=9e1d433d-a383-37f8-b5eb-12db5ed05df3"]},{"id":"ITEM-2","itemData":{"DOI":"10.3310/pgfar02050","ISSN":"2050-4322","author":[{"dropping-particle":"","family":"Heller","given":"Simon","non-dropping-particle":"","parse-names":false,"suffix":""},{"dropping-particle":"","family":"Lawton","given":"Julia","non-dropping-particle":"","parse-names":false,"suffix":""},{"dropping-particle":"","family":"Amiel","given":"Stephanie","non-dropping-particle":"","parse-names":false,"suffix":""},{"dropping-particle":"","family":"Cooke","given":"Debbie","non-dropping-particle":"","parse-names":false,"suffix":""},{"dropping-particle":"","family":"Mansell","given":"Peter","non-dropping-particle":"","parse-names":false,"suffix":""},{"dropping-particle":"","family":"Brennan","given":"Alan","non-dropping-particle":"","parse-names":false,"suffix":""},{"dropping-particle":"","family":"Elliott","given":"Jackie","non-dropping-particle":"","parse-names":false,"suffix":""},{"dropping-particle":"","family":"Boote","given":"Jonathan","non-dropping-particle":"","parse-names":false,"suffix":""},{"dropping-particle":"","family":"Emery","given":"Celia","non-dropping-particle":"","parse-names":false,"suffix":""},{"dropping-particle":"","family":"Baird","given":"Wendy","non-dropping-particle":"","parse-names":false,"suffix":""},{"dropping-particle":"","family":"Basarir","given":"Hasan","non-dropping-particle":"","parse-names":false,"suffix":""},{"dropping-particle":"","family":"Beveridge","given":"Susan","non-dropping-particle":"","parse-names":false,"suffix":""},{"dropping-particle":"","family":"Bond","given":"Rod","non-dropping-particle":"","parse-names":false,"suffix":""},{"dropping-particle":"","family":"Campbell","given":"Mike","non-dropping-particle":"","parse-names":false,"suffix":""},{"dropping-particle":"","family":"Chater","given":"Timothy","non-dropping-particle":"","parse-names":false,"suffix":""},{"dropping-particle":"","family":"Choudhary","given":"Pratik","non-dropping-particle":"","parse-names":false,"suffix":""},{"dropping-particle":"","family":"Clark","given":"Marie","non-dropping-particle":"","parse-names":false,"suffix":""},{"dropping-particle":"","family":"Zoysa","given":"Nicole","non-dropping-particle":"de","parse-names":false,"suffix":""},{"dropping-particle":"","family":"Dixon","given":"Simon","non-dropping-particle":"","parse-names":false,"suffix":""},{"dropping-particle":"","family":"Gianfrancesco","given":"Carla","non-dropping-particle":"","parse-names":false,"suffix":""},{"dropping-particle":"","family":"Hopkins","given":"David","non-dropping-particle":"","parse-names":false,"suffix":""},{"dropping-particle":"","family":"Jacques","given":"Richard","non-dropping-particle":"","parse-names":false,"suffix":""},{"dropping-particle":"","family":"Kruger","given":"Jen","non-dropping-particle":"","parse-names":false,"suffix":""},{"dropping-particle":"","family":"Moore","given":"Susan","non-dropping-particle":"","parse-names":false,"suffix":""},{"dropping-particle":"","family":"Oliver","given":"Lindsay","non-dropping-particle":"","parse-names":false,"suffix":""},{"dropping-particle":"","family":"Peasgood","given":"Tessa","non-dropping-particle":"","parse-names":false,"suffix":""},{"dropping-particle":"","family":"Rankin","given":"David","non-dropping-particle":"","parse-names":false,"suffix":""},{"dropping-particle":"","family":"Roberts","given":"Sue","non-dropping-particle":"","parse-names":false,"suffix":""},{"dropping-particle":"","family":"Rogers","given":"Helen","non-dropping-particle":"","parse-names":false,"suffix":""},{"dropping-particle":"","family":"Taylor","given":"Carolin","non-dropping-particle":"","parse-names":false,"suffix":""},{"dropping-particle":"","family":"Thokala","given":"Praveen","non-dropping-particle":"","parse-names":false,"suffix":""},{"dropping-particle":"","family":"Thompson","given":"Gill","non-dropping-particle":"","parse-names":false,"suffix":""},{"dropping-particle":"","family":"Ward","given":"Candice","non-dropping-particle":"","parse-names":false,"suffix":""}],"container-title":"Programme Grants for Applied Research","id":"ITEM-2","issue":"5","issued":{"date-parts":[["2014","12"]]},"page":"1-188","title":"Improving management of type 1 diabetes in the UK: the Dose Adjustment For Normal Eating (DAFNE) programme as a research test-bed. A mixed-method analysis of the barriers to and facilitators of successful diabetes self-management, a health economic analysis, a cluster randomised controlled trial of different models of delivery of an educational intervention and the potential of insulin pumps and additional educator input to improve outcomes","type":"article-journal","volume":"2"},"uris":["http://www.mendeley.com/documents/?uuid=942fc0f4-5731-32fa-bfad-b0deff3619e8"]},{"id":"ITEM-3","itemData":{"DOI":"10.1177/0272989X15590143","ISSN":"0272-989X","abstract":"Background. Health economic modeling has paid limited attention to the effects that patients psychological characteristics have on the effectiveness of treatments. This case study tests 1) the feasibility of incorporating psychological prediction models of treatment response within an economic model of type 1 diabetes, 2) the potential value of providing treatment to a subgroup of patients, and 3) the cost-effectiveness of providing treatment to a subgroup of responders defined using 5 different algorithms. Methods. Multiple linear regressions were used to investigate relationships between patients psychological characteristics and treatment effectiveness. Two psychological prediction models were integrated with a patient-level simulation model of type 1 diabetes. Expected value of individualized care analysis was undertaken. Five different algorithms were used to provide treatment to a subgroup of predicted responders. A cost-effectiveness analysis compared using the algorithms to providing treatment to all patients. Results. The psychological prediction models had low predictive power for treatment effectiveness. Expected value of individualized care results suggested that targeting education at responders could be of value. The cost-effectiveness analysis suggested, for all 5 algorithms, that providing structured education to a subgroup of predicted responders would not be cost-effective. Limitations. The psychological prediction models tested did not have sufficient predictive power to make targeting treatment cost-effective. The psychological prediction models are simple linear models of psychological behavior. Collection of data on additional covariates could potentially increase statistical power. Conclusions. By collecting data on psychological variables before an intervention, we can construct predictive models of treatment response to interventions. These predictive models can be incorporated into health economic models to investigate more complex service delivery and reimbursement strategies.","author":[{"dropping-particle":"","family":"Kruger","given":"Jen","non-dropping-particle":"","parse-names":false,"suffix":""},{"dropping-particle":"","family":"Pollard","given":"Daniel","non-dropping-particle":"","parse-names":false,"suffix":""},{"dropping-particle":"","family":"Basarir","given":"Hasan","non-dropping-particle":"","parse-names":false,"suffix":""},{"dropping-particle":"","family":"Thokala","given":"Praveen","non-dropping-particle":"","parse-names":false,"suffix":""},{"dropping-particle":"","family":"Cooke","given":"Debbie","non-dropping-particle":"","parse-names":false,"suffix":""},{"dropping-particle":"","family":"Clark","given":"Marie","non-dropping-particle":"","parse-names":false,"suffix":""},{"dropping-particle":"","family":"Bond","given":"Rod","non-dropping-particle":"","parse-names":false,"suffix":""},{"dropping-particle":"","family":"Heller","given":"Simon","non-dropping-particle":"","parse-names":false,"suffix":""},{"dropping-particle":"","family":"Brennan","given":"Alan","non-dropping-particle":"","parse-names":false,"suffix":""}],"container-title":"Medical Decision Making","id":"ITEM-3","issue":"7","issued":{"date-parts":[["2015","10","16"]]},"page":"872-887","publisher":"SAGE Publications Inc.","title":"Incorporating Psychological Predictors of Treatment Response into Health Economic Simulation Models","type":"article-journal","volume":"35"},"uris":["http://www.mendeley.com/documents/?uuid=15b50a55-1c1b-3c80-8499-733beba35084"]},{"id":"ITEM-4","itemData":{"DOI":"10.1136/bmjopen-2017-016766","ISSN":"20446055","abstract":"Objectives To assess the long-term cost-effectiveness of insulin pumps and Dose Adjustment for Normal Eating (pumps+DAFNE) compared with multiple daily insulin injections and DAFNE (MDI+DAFNE) for adults with type 1 diabetes mellitus (T1DM) in the UK. Methods We undertook a cost-utility analysis using the Sheffield Type 1 Diabetes Policy Model and data from the Relative Effectiveness of Pumps over Structured Education (REPOSE) trial to estimate the lifetime incidence of diabetic complications, intervention-based resource use and associated effects on costs and quality-adjusted life years (QALYs). All economic analyses took a National Health Service and personal social services perspective and discounted costs and QALYs at 3.5% per annum. A probabilistic sensitivity analysis was performed on the base case. Further uncertainties in the cost of pumps and the evidence used to inform the model were explored using scenario analyses. Setting Eight diabetes centres in England and Scotland. Participants Adults with T1DM who were eligible to receive a structured education course and did not have a strong clinical indication or a preference for a pump. Intervention Pumps+DAFNE. Comparator MDI+DAFNE. Main outcome measures Incremental costs, incremental QALYs gained and incremental cost-effectiveness ratios (ICERs). Results Compared with MDI+DAFNE, pumps+DAFNE was associated with an incremental discounted lifetime cost of +£18 853 (95% CI £6175 to £31 645) and a gain in discounted lifetime QALYs of +0.13 (95% CI-0.70 to +0.96). The base case mean ICER was £142 195 per QALY gained. The probability of pump+DAFNE being cost-effective using a cost-effectiveness threshold of £20 000 per QALY gained was 14.0%. All scenario and subgroup analyses examined indicated that the ICER was unlikely to fall below £30 000 per QALY gained. Conclusions Our analysis of the REPOSE data suggests that routine use of pumps in adults without an immediate clinical need for a pump, as identified by National Institute for Health and Care Excellence, would not be cost-effective. Trial registration number ISRCTN61215213.","author":[{"dropping-particle":"","family":"Pollard","given":"Daniel John","non-dropping-particle":"","parse-names":false,"suffix":""},{"dropping-particle":"","family":"Brennan","given":"Alan","non-dropping-particle":"","parse-names":false,"suffix":""},{"dropping-particle":"","family":"Dixon","given":"Simon","non-dropping-particle":"","parse-names":false,"suffix":""},{"dropping-particle":"","family":"Waugh","given":"Norman","non-dropping-particle":"","parse-names":false,"suffix":""},{"dropping-particle":"","family":"Elliott","given":"Jackie","non-dropping-particle":"","parse-names":false,"suffix":""},{"dropping-particle":"","family":"Heller","given":"Simon","non-dropping-particle":"","parse-names":false,"suffix":""},{"dropping-particle":"","family":"Lee","given":"Ellen","non-dropping-particle":"","parse-names":false,"suffix":""},{"dropping-particle":"","family":"Campbell","given":"Michael","non-dropping-particle":"","parse-names":false,"suffix":""},{"dropping-particle":"","family":"Basarir","given":"Hasan","non-dropping-particle":"","parse-names":false,"suffix":""},{"dropping-particle":"","family":"White","given":"David","non-dropping-particle":"","parse-names":false,"suffix":""}],"container-title":"BMJ Open","id":"ITEM-4","issue":"4","issued":{"date-parts":[["2018","4","1"]]},"page":"e016766","publisher":"BMJ Publishing Group","title":"Cost-effectiveness of insulin pumps compared with multiple daily injections both provided with structured education for adults with type 1 diabetes: A health economic analysis of the Relative Effectiveness of Pumps over Structured Education (REPOSE) randomised controlled trial","type":"article-journal","volume":"8"},"uris":["http://www.mendeley.com/documents/?uuid=fd40324c-eb4e-397b-a198-1980f52da41a"]}],"mendeley":{"formattedCitation":"[3–6]","plainTextFormattedCitation":"[3–6]","previouslyFormattedCitation":"[3–6]"},"properties":{"noteIndex":0},"schema":"https://github.com/citation-style-language/schema/raw/master/csl-citation.json"}</w:instrText>
      </w:r>
      <w:r w:rsidR="00880610">
        <w:rPr>
          <w:rFonts w:ascii="Arial" w:hAnsi="Arial" w:cs="Arial"/>
          <w:sz w:val="24"/>
          <w:szCs w:val="24"/>
        </w:rPr>
        <w:fldChar w:fldCharType="separate"/>
      </w:r>
      <w:r w:rsidR="006324A5" w:rsidRPr="006324A5">
        <w:rPr>
          <w:rFonts w:ascii="Arial" w:hAnsi="Arial" w:cs="Arial"/>
          <w:noProof/>
          <w:sz w:val="24"/>
          <w:szCs w:val="24"/>
        </w:rPr>
        <w:t>[3–6]</w:t>
      </w:r>
      <w:r w:rsidR="00880610">
        <w:rPr>
          <w:rFonts w:ascii="Arial" w:hAnsi="Arial" w:cs="Arial"/>
          <w:sz w:val="24"/>
          <w:szCs w:val="24"/>
        </w:rPr>
        <w:fldChar w:fldCharType="end"/>
      </w:r>
      <w:r>
        <w:rPr>
          <w:rFonts w:ascii="Arial" w:hAnsi="Arial" w:cs="Arial"/>
          <w:sz w:val="24"/>
          <w:szCs w:val="24"/>
        </w:rPr>
        <w:t>.</w:t>
      </w:r>
      <w:r w:rsidRPr="00450CC6">
        <w:rPr>
          <w:rFonts w:ascii="Arial" w:hAnsi="Arial" w:cs="Arial"/>
          <w:sz w:val="24"/>
          <w:szCs w:val="24"/>
        </w:rPr>
        <w:t xml:space="preserve"> The time horizon of this analysis will be over each simulated individual’s lifetime. As such, the long-term modelling will be considered as the primary health economic analysis. Demographic variables and</w:t>
      </w:r>
      <w:r>
        <w:rPr>
          <w:rFonts w:ascii="Arial" w:hAnsi="Arial" w:cs="Arial"/>
          <w:sz w:val="24"/>
          <w:szCs w:val="24"/>
        </w:rPr>
        <w:t xml:space="preserve"> some key</w:t>
      </w:r>
      <w:r w:rsidRPr="00450CC6">
        <w:rPr>
          <w:rFonts w:ascii="Arial" w:hAnsi="Arial" w:cs="Arial"/>
          <w:sz w:val="24"/>
          <w:szCs w:val="24"/>
        </w:rPr>
        <w:t xml:space="preserve"> resource use</w:t>
      </w:r>
      <w:r>
        <w:rPr>
          <w:rFonts w:ascii="Arial" w:hAnsi="Arial" w:cs="Arial"/>
          <w:sz w:val="24"/>
          <w:szCs w:val="24"/>
        </w:rPr>
        <w:t xml:space="preserve"> data</w:t>
      </w:r>
      <w:r w:rsidRPr="00450CC6">
        <w:rPr>
          <w:rFonts w:ascii="Arial" w:hAnsi="Arial" w:cs="Arial"/>
          <w:sz w:val="24"/>
          <w:szCs w:val="24"/>
        </w:rPr>
        <w:t xml:space="preserve"> (e.g. insulin use, contacts with NHS professionals) will be obtained from the trial data. The Sheffield T1D Diabetes Policy Model will be updated to use statistical models that estimate the clinical effects of DAFNE</w:t>
      </w:r>
      <w:r w:rsidRPr="00450CC6">
        <w:rPr>
          <w:rFonts w:ascii="Arial" w:hAnsi="Arial" w:cs="Arial"/>
          <w:i/>
          <w:sz w:val="24"/>
          <w:szCs w:val="24"/>
        </w:rPr>
        <w:t>plus</w:t>
      </w:r>
      <w:r w:rsidRPr="00450CC6">
        <w:rPr>
          <w:rFonts w:ascii="Arial" w:hAnsi="Arial" w:cs="Arial"/>
          <w:sz w:val="24"/>
          <w:szCs w:val="24"/>
        </w:rPr>
        <w:t xml:space="preserve"> compared to DAFNE on HbA1c, the incidence of severe hypoglycaemia and the incidence of DKA. Two long-term modelling analyses will be conducted, the first will use the data collected by the one-year time point and will be submitted as part of the report to the NIHR on the DAFNE</w:t>
      </w:r>
      <w:r w:rsidRPr="00450CC6">
        <w:rPr>
          <w:rFonts w:ascii="Arial" w:hAnsi="Arial" w:cs="Arial"/>
          <w:i/>
          <w:sz w:val="24"/>
          <w:szCs w:val="24"/>
        </w:rPr>
        <w:t>plus</w:t>
      </w:r>
      <w:r w:rsidRPr="00450CC6">
        <w:rPr>
          <w:rFonts w:ascii="Arial" w:hAnsi="Arial" w:cs="Arial"/>
          <w:sz w:val="24"/>
          <w:szCs w:val="24"/>
        </w:rPr>
        <w:t xml:space="preserve"> programme grant. This analysis will be updated after the two-year data collection is complete to incorporate the statistical analysis of the two-year follow up data. These statistical analyses of the clinical effects of DAFNE</w:t>
      </w:r>
      <w:r w:rsidRPr="00450CC6">
        <w:rPr>
          <w:rFonts w:ascii="Arial" w:hAnsi="Arial" w:cs="Arial"/>
          <w:i/>
          <w:sz w:val="24"/>
          <w:szCs w:val="24"/>
        </w:rPr>
        <w:t xml:space="preserve">plus </w:t>
      </w:r>
      <w:r w:rsidRPr="00450CC6">
        <w:rPr>
          <w:rFonts w:ascii="Arial" w:hAnsi="Arial" w:cs="Arial"/>
          <w:sz w:val="24"/>
          <w:szCs w:val="24"/>
        </w:rPr>
        <w:t xml:space="preserve">compared to DAFNE will be pre-specified in </w:t>
      </w:r>
      <w:r>
        <w:rPr>
          <w:rFonts w:ascii="Arial" w:hAnsi="Arial" w:cs="Arial"/>
          <w:sz w:val="24"/>
          <w:szCs w:val="24"/>
        </w:rPr>
        <w:t>either</w:t>
      </w:r>
      <w:r w:rsidRPr="00450CC6">
        <w:rPr>
          <w:rFonts w:ascii="Arial" w:hAnsi="Arial" w:cs="Arial"/>
          <w:sz w:val="24"/>
          <w:szCs w:val="24"/>
        </w:rPr>
        <w:t xml:space="preserve"> the statistical analysis plan</w:t>
      </w:r>
      <w:r>
        <w:rPr>
          <w:rFonts w:ascii="Arial" w:hAnsi="Arial" w:cs="Arial"/>
          <w:sz w:val="24"/>
          <w:szCs w:val="24"/>
        </w:rPr>
        <w:t xml:space="preserve"> or the HEDMAP</w:t>
      </w:r>
      <w:r w:rsidRPr="00450CC6">
        <w:rPr>
          <w:rFonts w:ascii="Arial" w:hAnsi="Arial" w:cs="Arial"/>
          <w:sz w:val="24"/>
          <w:szCs w:val="24"/>
        </w:rPr>
        <w:t>.</w:t>
      </w:r>
      <w:r>
        <w:rPr>
          <w:rFonts w:ascii="Arial" w:hAnsi="Arial" w:cs="Arial"/>
          <w:sz w:val="24"/>
          <w:szCs w:val="24"/>
        </w:rPr>
        <w:t xml:space="preserve"> The reporting of this evaluation will follow the Palmer </w:t>
      </w:r>
      <w:r>
        <w:rPr>
          <w:rFonts w:ascii="Arial" w:hAnsi="Arial" w:cs="Arial"/>
          <w:i/>
          <w:iCs/>
          <w:sz w:val="24"/>
          <w:szCs w:val="24"/>
        </w:rPr>
        <w:t>et al</w:t>
      </w:r>
      <w:r w:rsidR="006324A5">
        <w:rPr>
          <w:rFonts w:ascii="Arial" w:hAnsi="Arial" w:cs="Arial"/>
          <w:sz w:val="24"/>
          <w:szCs w:val="24"/>
        </w:rPr>
        <w:fldChar w:fldCharType="begin" w:fldLock="1"/>
      </w:r>
      <w:r w:rsidR="006324A5">
        <w:rPr>
          <w:rFonts w:ascii="Arial" w:hAnsi="Arial" w:cs="Arial"/>
          <w:sz w:val="24"/>
          <w:szCs w:val="24"/>
        </w:rPr>
        <w:instrText>ADDIN CSL_CITATION {"citationItems":[{"id":"ITEM-1","itemData":{"DOI":"10.1016/j.jval.2018.02.002","ISSN":"15244733","PMID":"29909878","abstract":"Objectives: The Eighth Mount Hood Challenge (held in St. Gallen, Switzerland, in September 2016) evaluated the transparency of model input documentation from two published health economics studies and developed guidelines for improving transparency in the reporting of input data underlying model-based economic analyses in diabetes. Methods: Participating modeling groups were asked to reproduce the results of two published studies using the input data described in those articles. Gaps in input data were filled with assumptions reported by the modeling groups. Goodness of fit between the results reported in the target studies and the groups’ replicated outputs was evaluated using the slope of linear regression line and the coefficient of determination (R2). After a general discussion of the results, a diabetes-specific checklist for the transparency of model input was developed. Results: Seven groups participated in the transparency challenge. The reporting of key model input parameters in the two studies, including the baseline characteristics of simulated patients, treatment effect and treatment intensification threshold assumptions, treatment effect evolution, prediction of complications and costs data, was inadequately transparent (and often missing altogether). Not surprisingly, goodness of fit was better for the study that reported its input data with more transparency. To improve the transparency in diabetes modeling, the Diabetes Modeling Input Checklist listing the minimal input data required for reproducibility in most diabetes modeling applications was developed. Conclusions: Transparency of diabetes model inputs is important to the reproducibility and credibility of simulation results. In the Eighth Mount Hood Challenge, the Diabetes Modeling Input Checklist was developed with the goal of improving the transparency of input data reporting and reproducibility of diabetes simulation model results.","author":[{"dropping-particle":"","family":"Palmer","given":"Andrew J.","non-dropping-particle":"","parse-names":false,"suffix":""},{"dropping-particle":"","family":"Si","given":"Lei","non-dropping-particle":"","parse-names":false,"suffix":""},{"dropping-particle":"","family":"Tew","given":"Michelle","non-dropping-particle":"","parse-names":false,"suffix":""},{"dropping-particle":"","family":"Hua","given":"Xinyang","non-dropping-particle":"","parse-names":false,"suffix":""},{"dropping-particle":"","family":"Willis","given":"Michael S.","non-dropping-particle":"","parse-names":false,"suffix":""},{"dropping-particle":"","family":"Asseburg","given":"Christian","non-dropping-particle":"","parse-names":false,"suffix":""},{"dropping-particle":"","family":"McEwan","given":"Phil","non-dropping-particle":"","parse-names":false,"suffix":""},{"dropping-particle":"","family":"Leal","given":"José","non-dropping-particle":"","parse-names":false,"suffix":""},{"dropping-particle":"","family":"Gray","given":"Alastair","non-dropping-particle":"","parse-names":false,"suffix":""},{"dropping-particle":"","family":"Foos","given":"Volker","non-dropping-particle":"","parse-names":false,"suffix":""},{"dropping-particle":"","family":"Lamotte","given":"Mark","non-dropping-particle":"","parse-names":false,"suffix":""},{"dropping-particle":"","family":"Feenstra","given":"Talitha","non-dropping-particle":"","parse-names":false,"suffix":""},{"dropping-particle":"","family":"O'Connor","given":"Patrick J.","non-dropping-particle":"","parse-names":false,"suffix":""},{"dropping-particle":"","family":"Brandle","given":"Michael","non-dropping-particle":"","parse-names":false,"suffix":""},{"dropping-particle":"","family":"Smolen","given":"Harry J.","non-dropping-particle":"","parse-names":false,"suffix":""},{"dropping-particle":"","family":"Gahn","given":"James C.","non-dropping-particle":"","parse-names":false,"suffix":""},{"dropping-particle":"","family":"Valentine","given":"William J.","non-dropping-particle":"","parse-names":false,"suffix":""},{"dropping-particle":"","family":"Pollock","given":"Richard F.","non-dropping-particle":"","parse-names":false,"suffix":""},{"dropping-particle":"","family":"Breeze","given":"Penny","non-dropping-particle":"","parse-names":false,"suffix":""},{"dropping-particle":"","family":"Brennan","given":"Alan","non-dropping-particle":"","parse-names":false,"suffix":""},{"dropping-particle":"","family":"Pollard","given":"Daniel","non-dropping-particle":"","parse-names":false,"suffix":""},{"dropping-particle":"","family":"Ye","given":"Wen","non-dropping-particle":"","parse-names":false,"suffix":""},{"dropping-particle":"","family":"Herman","given":"William H.","non-dropping-particle":"","parse-names":false,"suffix":""},{"dropping-particle":"","family":"Isaman","given":"Deanna J.","non-dropping-particle":"","parse-names":false,"suffix":""},{"dropping-particle":"","family":"Kuo","given":"Shihchen","non-dropping-particle":"","parse-names":false,"suffix":""},{"dropping-particle":"","family":"Laiteerapong","given":"Neda","non-dropping-particle":"","parse-names":false,"suffix":""},{"dropping-particle":"","family":"Tran-Duy","given":"An","non-dropping-particle":"","parse-names":false,"suffix":""},{"dropping-particle":"","family":"Clarke","given":"Philip M.","non-dropping-particle":"","parse-names":false,"suffix":""}],"container-title":"Value in Health","id":"ITEM-1","issue":"6","issued":{"date-parts":[["2018","6","1"]]},"page":"724-731","publisher":"Elsevier Ltd","title":"Computer Modeling of Diabetes and Its Transparency: A Report on the Eighth Mount Hood Challenge","type":"article-journal","volume":"21"},"uris":["http://www.mendeley.com/documents/?uuid=df4c2c94-1d4a-38e5-be2b-14f4ef9995c2"]}],"mendeley":{"formattedCitation":"[7]","plainTextFormattedCitation":"[7]","previouslyFormattedCitation":"[7]"},"properties":{"noteIndex":0},"schema":"https://github.com/citation-style-language/schema/raw/master/csl-citation.json"}</w:instrText>
      </w:r>
      <w:r w:rsidR="006324A5">
        <w:rPr>
          <w:rFonts w:ascii="Arial" w:hAnsi="Arial" w:cs="Arial"/>
          <w:sz w:val="24"/>
          <w:szCs w:val="24"/>
        </w:rPr>
        <w:fldChar w:fldCharType="separate"/>
      </w:r>
      <w:r w:rsidR="006324A5" w:rsidRPr="006324A5">
        <w:rPr>
          <w:rFonts w:ascii="Arial" w:hAnsi="Arial" w:cs="Arial"/>
          <w:noProof/>
          <w:sz w:val="24"/>
          <w:szCs w:val="24"/>
        </w:rPr>
        <w:t>[7]</w:t>
      </w:r>
      <w:r w:rsidR="006324A5">
        <w:rPr>
          <w:rFonts w:ascii="Arial" w:hAnsi="Arial" w:cs="Arial"/>
          <w:sz w:val="24"/>
          <w:szCs w:val="24"/>
        </w:rPr>
        <w:fldChar w:fldCharType="end"/>
      </w:r>
      <w:r w:rsidR="006324A5">
        <w:rPr>
          <w:rFonts w:ascii="Arial" w:hAnsi="Arial" w:cs="Arial"/>
          <w:sz w:val="24"/>
          <w:szCs w:val="24"/>
        </w:rPr>
        <w:t xml:space="preserve"> </w:t>
      </w:r>
      <w:r>
        <w:rPr>
          <w:rFonts w:ascii="Arial" w:hAnsi="Arial" w:cs="Arial"/>
          <w:sz w:val="24"/>
          <w:szCs w:val="24"/>
        </w:rPr>
        <w:t>checklist for the reporting of model inputs to diabetes health economic studies.</w:t>
      </w:r>
    </w:p>
    <w:p w14:paraId="5776424E" w14:textId="77777777" w:rsidR="007E12D3" w:rsidRDefault="007E12D3" w:rsidP="007E12D3">
      <w:pPr>
        <w:spacing w:after="0" w:line="240" w:lineRule="auto"/>
        <w:rPr>
          <w:rFonts w:ascii="Arial" w:hAnsi="Arial" w:cs="Arial"/>
          <w:b/>
          <w:bCs/>
          <w:iCs/>
          <w:sz w:val="24"/>
          <w:szCs w:val="24"/>
        </w:rPr>
      </w:pPr>
    </w:p>
    <w:p w14:paraId="6EDA93C2" w14:textId="77777777" w:rsidR="007E12D3" w:rsidRPr="00450CC6" w:rsidRDefault="007E12D3" w:rsidP="007E12D3">
      <w:pPr>
        <w:spacing w:after="0" w:line="240" w:lineRule="auto"/>
        <w:rPr>
          <w:rFonts w:ascii="Arial" w:hAnsi="Arial" w:cs="Arial"/>
          <w:b/>
          <w:bCs/>
          <w:iCs/>
          <w:sz w:val="24"/>
          <w:szCs w:val="24"/>
        </w:rPr>
      </w:pPr>
      <w:r w:rsidRPr="00450CC6">
        <w:rPr>
          <w:rFonts w:ascii="Arial" w:hAnsi="Arial" w:cs="Arial"/>
          <w:b/>
          <w:bCs/>
          <w:iCs/>
          <w:sz w:val="24"/>
          <w:szCs w:val="24"/>
        </w:rPr>
        <w:t>Economic evaluation alongside the clinical trial</w:t>
      </w:r>
    </w:p>
    <w:p w14:paraId="5263691E" w14:textId="77777777" w:rsidR="007E12D3" w:rsidRDefault="007E12D3" w:rsidP="007E12D3">
      <w:pPr>
        <w:spacing w:after="0" w:line="240" w:lineRule="auto"/>
        <w:jc w:val="both"/>
        <w:rPr>
          <w:rFonts w:ascii="Arial" w:hAnsi="Arial" w:cs="Arial"/>
          <w:sz w:val="24"/>
          <w:szCs w:val="24"/>
        </w:rPr>
      </w:pPr>
    </w:p>
    <w:p w14:paraId="4AC4969D" w14:textId="2A4B2DF3" w:rsidR="007E12D3" w:rsidRPr="00450CC6" w:rsidRDefault="007E12D3" w:rsidP="007E12D3">
      <w:pPr>
        <w:spacing w:after="0" w:line="240" w:lineRule="auto"/>
        <w:jc w:val="both"/>
        <w:rPr>
          <w:rFonts w:ascii="Arial" w:hAnsi="Arial" w:cs="Arial"/>
          <w:sz w:val="24"/>
          <w:szCs w:val="24"/>
        </w:rPr>
      </w:pPr>
      <w:r w:rsidRPr="00450CC6">
        <w:rPr>
          <w:rFonts w:ascii="Arial" w:hAnsi="Arial" w:cs="Arial"/>
          <w:sz w:val="24"/>
          <w:szCs w:val="24"/>
        </w:rPr>
        <w:t xml:space="preserve">For the EEACT, we conduct the analysis in line with Ramsey </w:t>
      </w:r>
      <w:r w:rsidRPr="00450CC6">
        <w:rPr>
          <w:rFonts w:ascii="Arial" w:hAnsi="Arial" w:cs="Arial"/>
          <w:i/>
          <w:sz w:val="24"/>
          <w:szCs w:val="24"/>
        </w:rPr>
        <w:t xml:space="preserve">et al’s </w:t>
      </w:r>
      <w:r w:rsidRPr="00450CC6">
        <w:rPr>
          <w:rFonts w:ascii="Arial" w:hAnsi="Arial" w:cs="Arial"/>
          <w:i/>
          <w:sz w:val="24"/>
          <w:szCs w:val="24"/>
        </w:rPr>
        <w:fldChar w:fldCharType="begin" w:fldLock="1"/>
      </w:r>
      <w:r w:rsidR="006324A5">
        <w:rPr>
          <w:rFonts w:ascii="Arial" w:hAnsi="Arial" w:cs="Arial"/>
          <w:i/>
          <w:sz w:val="24"/>
          <w:szCs w:val="24"/>
        </w:rPr>
        <w:instrText>ADDIN CSL_CITATION {"citationItems":[{"id":"ITEM-1","itemData":{"DOI":"10.1016/j.jval.2015.02.001","ISSN":"10983015","PMID":"25773551","abstract":"Clinical trials evaluating medicines, medical devices, and procedures now commonly assess the economic value of these interventions. The growing number of prospective clinical/economic trials reflects both widespread interest in economic information for new technologies and the regulatory and reimbursement requirements of many countries that now consider evidence of economic value along with clinical efficacy. As decision makers increasingly demand evidence of economic value for health care interventions, conducting high-quality economic analyses alongside clinical studies is desirable because they broaden the scope of information available on a particular intervention, and can efficiently provide timely information with high internal and, when designed and analyzed properly, reasonable external validity. In 2005, ISPOR published the Good Research Practices for Cost-Effectiveness Analysis Alongside Clinical Trials: The ISPOR RCT-CEA Task Force report. ISPOR initiated an update of the report in 2014 to include the methodological developments over the last 9 years. This report provides updated recommendations reflecting advances in several areas related to trial design, selecting data elements, database design and management, analysis, and reporting of results. Task force members note that trials should be designed to evaluate effectiveness (rather than efficacy) when possible, should include clinical outcome measures, and should obtain health resource use and health state utilities directly from study subjects. Collection of economic data should be fully integrated into the study. An incremental analysis should be conducted with an intention-to-treat approach, complemented by relevant subgroup analyses. Uncertainty should be characterized. Articles should adhere to established standards for reporting results of cost-effectiveness analyses. Economic studies alongside trials are complementary to other evaluations (e.g., modeling studies) as information for decision makers who consider evidence of economic value along with clinical efficacy when making resource allocation decisions.","author":[{"dropping-particle":"","family":"Ramsey","given":"Scott D.","non-dropping-particle":"","parse-names":false,"suffix":""},{"dropping-particle":"","family":"Willke","given":"Richard J.","non-dropping-particle":"","parse-names":false,"suffix":""},{"dropping-particle":"","family":"Glick","given":"Henry","non-dropping-particle":"","parse-names":false,"suffix":""},{"dropping-particle":"","family":"Reed","given":"Shelby D.","non-dropping-particle":"","parse-names":false,"suffix":""},{"dropping-particle":"","family":"Augustovski","given":"Federico","non-dropping-particle":"","parse-names":false,"suffix":""},{"dropping-particle":"","family":"Jonsson","given":"Bengt","non-dropping-particle":"","parse-names":false,"suffix":""},{"dropping-particle":"","family":"Briggs","given":"Andrew","non-dropping-particle":"","parse-names":false,"suffix":""},{"dropping-particle":"","family":"Sullivan","given":"Sean D.","non-dropping-particle":"","parse-names":false,"suffix":""}],"container-title":"Value in Health","id":"ITEM-1","issue":"2","issued":{"date-parts":[["2015","3"]]},"page":"161-172","title":"Cost-Effectiveness Analysis Alongside Clinical Trials II—An ISPOR Good Research Practices Task Force Report","type":"article-journal","volume":"18"},"uris":["http://www.mendeley.com/documents/?uuid=d4c5a99f-31ae-375a-abc7-afbee3d4068c"]}],"mendeley":{"formattedCitation":"[8]","plainTextFormattedCitation":"[8]","previouslyFormattedCitation":"[8]"},"properties":{"noteIndex":0},"schema":"https://github.com/citation-style-language/schema/raw/master/csl-citation.json"}</w:instrText>
      </w:r>
      <w:r w:rsidRPr="00450CC6">
        <w:rPr>
          <w:rFonts w:ascii="Arial" w:hAnsi="Arial" w:cs="Arial"/>
          <w:i/>
          <w:sz w:val="24"/>
          <w:szCs w:val="24"/>
        </w:rPr>
        <w:fldChar w:fldCharType="separate"/>
      </w:r>
      <w:r w:rsidR="006324A5" w:rsidRPr="006324A5">
        <w:rPr>
          <w:rFonts w:ascii="Arial" w:hAnsi="Arial" w:cs="Arial"/>
          <w:noProof/>
          <w:sz w:val="24"/>
          <w:szCs w:val="24"/>
        </w:rPr>
        <w:t>[8]</w:t>
      </w:r>
      <w:r w:rsidRPr="00450CC6">
        <w:rPr>
          <w:rFonts w:ascii="Arial" w:hAnsi="Arial" w:cs="Arial"/>
          <w:sz w:val="24"/>
          <w:szCs w:val="24"/>
        </w:rPr>
        <w:fldChar w:fldCharType="end"/>
      </w:r>
      <w:r w:rsidRPr="00450CC6">
        <w:rPr>
          <w:rFonts w:ascii="Arial" w:hAnsi="Arial" w:cs="Arial"/>
          <w:sz w:val="24"/>
          <w:szCs w:val="24"/>
        </w:rPr>
        <w:t xml:space="preserve"> recommendations for cost-effectiveness analysis alongside clinical trials. Specifically, we will collect data alongside the trial on intervention costs, associated healthcare resource use and a preference based utility measure: the EQ-5D-5L measure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{"citationItems":[{"id":"ITEM-1","itemData":{"DOI":"10.1007/s11136-011-9903-x","ISSN":"0962-9343","PMID":"21479777","abstract":"PURPOSE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author":[{"dropping-particle":"","family":"Herdman","given":"M.","non-dropping-particle":"","parse-names":false,"suffix":""},{"dropping-particle":"","family":"Gudex","given":"C.","non-dropping-particle":"","parse-names":false,"suffix":""},{"dropping-particle":"","family":"Lloyd","given":"A.","non-dropping-particle":"","parse-names":false,"suffix":""},{"dropping-particle":"","family":"Janssen","given":"M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Research","id":"ITEM-1","issue":"10","issued":{"date-parts":[["2011","12","9"]]},"page":"1727-1736","title":"Development and preliminary testing of the new five-level version of EQ-5D (EQ-5D-5L)","type":"article-journal","volume":"20"},"uris":["http://www.mendeley.com/documents/?uuid=9324ffcf-c58f-3452-9912-1900fc0babd7"]}],"mendeley":{"formattedCitation":"[9]","plainTextFormattedCitation":"[9]","previouslyFormattedCitation":"[9]"},"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[9]</w:t>
      </w:r>
      <w:r w:rsidRPr="00450CC6">
        <w:rPr>
          <w:rFonts w:ascii="Arial" w:hAnsi="Arial" w:cs="Arial"/>
          <w:sz w:val="24"/>
          <w:szCs w:val="24"/>
        </w:rPr>
        <w:fldChar w:fldCharType="end"/>
      </w:r>
      <w:r w:rsidRPr="00450CC6">
        <w:rPr>
          <w:rFonts w:ascii="Arial" w:hAnsi="Arial" w:cs="Arial"/>
          <w:sz w:val="24"/>
          <w:szCs w:val="24"/>
        </w:rPr>
        <w:t xml:space="preserve">. The intervention costing process will include training of educators, resource use, and adherence to structured follow up appointments, professional staff time and the technology component. A standard self-reported resource use questionnaire, used </w:t>
      </w:r>
      <w:r w:rsidRPr="00450CC6">
        <w:rPr>
          <w:rFonts w:ascii="Arial" w:hAnsi="Arial" w:cs="Arial"/>
          <w:sz w:val="24"/>
          <w:szCs w:val="24"/>
        </w:rPr>
        <w:lastRenderedPageBreak/>
        <w:t>previously in the DAFNE</w:t>
      </w:r>
      <w:r w:rsidRPr="00450CC6">
        <w:rPr>
          <w:rFonts w:ascii="Arial" w:hAnsi="Arial" w:cs="Arial"/>
          <w:i/>
          <w:sz w:val="24"/>
          <w:szCs w:val="24"/>
        </w:rPr>
        <w:t>plus</w:t>
      </w:r>
      <w:r w:rsidRPr="00450CC6">
        <w:rPr>
          <w:rFonts w:ascii="Arial" w:hAnsi="Arial" w:cs="Arial"/>
          <w:sz w:val="24"/>
          <w:szCs w:val="24"/>
        </w:rPr>
        <w:t xml:space="preserve"> pilot (as well as the 5x1 DAFNE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{"citationItems":[{"id":"ITEM-1","itemData":{"DOI":"10.1186/1472-6823-12-28","ISSN":"1472-6823","abstract":"Structured education programmes are now established as an essential component to assist effective self-management of diabetes. In the case of Type 1 diabetes, the Dose Adjustment For Normal Eating (DAFNE) programme improves both glycaemic control and quality of life. Traditionally delivered over five consecutive days, this format has been cited as a barrier to participation by some patients, such as those who work full-time. Some centres in the UK have organised structured education programmes to be delivered one day a week over several consecutive weeks. This type of format may add benefit by allowing more time in which to practice skills between sessions, but may suffer as a result of weaker peer support being generated compared to that formed over five consecutive days. We aim to compare DAFNE delivered over five consecutive days (1 week course) with DAFNE delivered one day a week over five weeks (5 week course) in a randomised controlled trial. A total of 213 patients were randomised to attend either a 1 week or a 5 week course delivered in seven participating centres. Study outcomes (measured at baseline, 6 and 12 months post-course) include HbA1c, weight, self-reported rates of severe hypoglycaemia, psychosocial measures of quality of life, and cost-effectiveness. Generalisability was optimised by recruiting patients from DAFNE waiting lists at each centre, and by mailing eligible patients from hospital clinic lists. The inclusion and exclusion criteria were identical to those used to recruit to a standard DAFNE course (e.g., HbA1c &lt;12%, with no lower limit). Qualitative interviews were undertaken with a sub-sample of n=30 patients and their course educators (n=11) to help understand and interpret differences and similarities in outcomes between thetwo arms, and to identify logistical problems and unanticipated issues arising from the adaptation and delivery ofa 5 week course. This trial has been designed to test the hypothesis that the benefits of delivering a structured education programme over 5 weeks are comparable to those observed after a 1 week course. The results of the trial and the qualitative sub-study will both inform the design and delivery of future DAFNE courses, and the development of structured education programmes in other fields of medicine. Clinicaltrials.gov NCT01069393","author":[{"dropping-particle":"","family":"Elliott","given":"Jackie","non-dropping-particle":"","parse-names":false,"suffix":""},{"dropping-particle":"","family":"Lawton","given":"Julia","non-dropping-particle":"","parse-names":false,"suffix":""},{"dropping-particle":"","family":"Rankin","given":"David","non-dropping-particle":"","parse-names":false,"suffix":""},{"dropping-particle":"","family":"Emery","given":"Celia","non-dropping-particle":"","parse-names":false,"suffix":""},{"dropping-particle":"","family":"Campbell","given":"Mike","non-dropping-particle":"","parse-names":false,"suffix":""},{"dropping-particle":"","family":"Dixon","given":"Simon","non-dropping-particle":"","parse-names":false,"suffix":""},{"dropping-particle":"","family":"Heller","given":"Simon","non-dropping-particle":"","parse-names":false,"suffix":""}],"container-title":"BMC Endocrine Disorders","id":"ITEM-1","issue":"1","issued":{"date-parts":[["2012","12","8"]]},"page":"28","publisher":"BioMed Central","title":"The 5x1 DAFNE study protocol: a cluster randomised trial comparing a standard 5 day DAFNE course delivered over 1 week against DAFNE training delivered over 1 day a week for 5 consecutive weeks","type":"article-journal","volume":"12"},"uris":["http://www.mendeley.com/documents/?uuid=0ee34471-7737-317c-80a0-9f8f99e31b5a"]}],"mendeley":{"formattedCitation":"[10]","plainTextFormattedCitation":"[10]","previouslyFormattedCitation":"[10]"},"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[10]</w:t>
      </w:r>
      <w:r w:rsidRPr="00450CC6">
        <w:rPr>
          <w:rFonts w:ascii="Arial" w:hAnsi="Arial" w:cs="Arial"/>
          <w:sz w:val="24"/>
          <w:szCs w:val="24"/>
        </w:rPr>
        <w:fldChar w:fldCharType="end"/>
      </w:r>
      <w:r w:rsidRPr="00450CC6">
        <w:rPr>
          <w:rFonts w:ascii="Arial" w:hAnsi="Arial" w:cs="Arial"/>
          <w:sz w:val="24"/>
          <w:szCs w:val="24"/>
        </w:rPr>
        <w:t xml:space="preserve"> and the REPOSE trials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{"citationItems":[{"id":"ITEM-1","itemData":{"DOI":"10.1136/BMJ.J1285","ISSN":"1756-1833","PMID":"28360027","abstract":"Objective To compare the effectiveness of insulin pumps with multiple daily injections for adults with type 1 diabetes, with both groups receiving equivalent training in flexible insulin treatment.Design Pragmatic, multicentre, open label, parallel group, cluster randomised controlled trial (Relative Effectiveness of Pumps Over MDI and Structured Education (REPOSE) trial).Setting Eight secondary care centres in England and Scotland.Participants Adults with type 1 diabetes who were willing to undertake intensive insulin treatment, with no preference for pumps or multiple daily injections. Participants were allocated a place on established group training courses that taught flexible intensive insulin treatment (\"dose adjustment for normal eating,\" DAFNE). The course groups (the clusters) were then randomly allocated in pairs to either pump or multiple daily injections.Interventions Participants attended training in flexible insulin treatment (using insulin analogues) structured around the use of pump or injections, followed for two years.Main outcome measures The primary outcomes were a change in glycated haemoglobin (HbA1c) values (%) at two years in participants with baseline HbA1c value of ≥7.5% (58 mmol/mol), and the proportion of participants achieving an HbA1c value of &lt;7.5%. Secondary outcomes included body weight, insulin dose, and episodes of moderate and severe hypoglycaemia. Ancillary outcomes included quality of life and treatment satisfaction.Results 317 participants (46 courses) were randomised (156 pump and 161 injections). 267 attended courses and 260 were included in the intention to treat analysis, of which 235 (119 pump and 116 injection) had baseline HbA1c values of ≥7.5%. Glycaemic control and rates of severe hypoglycaemia improved in both groups. The mean change in HbA1c at two years was -0.85% with pump treatment and -0.42% with multiple daily injections. Adjusting for course, centre, age, sex, and accounting for missing values, the difference was -0.24% (-2.7 mmol/mol) in favour of pump users (95% confidence interval -0.53 to 0.05, P=0.10). Most psychosocial measures showed no difference, but pump users showed greater improvement in treatment satisfaction and some quality of life domains (dietary freedom and daily hassle) at 12 and 24 months.Conclusions Both groups showed clinically relevant and long lasting decreases in HbA1c, rates of severe hypoglycaemia, and improved psychological measures, although few participants achieved gl…","author":[{"dropping-particle":"","family":"REPOSE Study Group","given":"The REPOSE Study","non-dropping-particle":"","parse-names":false,"suffix":""}],"container-title":"BMJ (Clinical research ed.)","id":"ITEM-1","issued":{"date-parts":[["2017","3","30"]]},"page":"j1285","publisher":"British Medical Journal Publishing Group","title":"Relative effectiveness of insulin pump treatment over multiple daily injections and structured education during flexible intensive insulin treatment for type 1 diabetes: cluster randomised trial (REPOSE).","type":"article-journal","volume":"356"},"uris":["http://www.mendeley.com/documents/?uuid=ae4ffb52-edee-32e3-b965-0eac7f938211"]}],"mendeley":{"formattedCitation":"[11]","plainTextFormattedCitation":"[11]","previouslyFormattedCitation":"[11]"},"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[11]</w:t>
      </w:r>
      <w:r w:rsidRPr="00450CC6">
        <w:rPr>
          <w:rFonts w:ascii="Arial" w:hAnsi="Arial" w:cs="Arial"/>
          <w:sz w:val="24"/>
          <w:szCs w:val="24"/>
        </w:rPr>
        <w:fldChar w:fldCharType="end"/>
      </w:r>
      <w:r w:rsidRPr="00450CC6">
        <w:rPr>
          <w:rFonts w:ascii="Arial" w:hAnsi="Arial" w:cs="Arial"/>
          <w:sz w:val="24"/>
          <w:szCs w:val="24"/>
        </w:rPr>
        <w:t>), will ascertain NHS usage in terms of GP, community, outpatient, A&amp;E and inpatients, as well as occurrence of DKA and hypoglycaemic events by level of severity. Unit costs will be taken from standard sources (NHS Reference Costs, British National Formulary, PSSRU). The standard self-reported resource use questionnaire and the EQ-5D-5L will be collected at baseline</w:t>
      </w:r>
      <w:r>
        <w:rPr>
          <w:rFonts w:ascii="Arial" w:hAnsi="Arial" w:cs="Arial"/>
          <w:sz w:val="24"/>
          <w:szCs w:val="24"/>
        </w:rPr>
        <w:t xml:space="preserve">, </w:t>
      </w:r>
      <w:r w:rsidRPr="00450CC6">
        <w:rPr>
          <w:rFonts w:ascii="Arial" w:hAnsi="Arial" w:cs="Arial"/>
          <w:sz w:val="24"/>
          <w:szCs w:val="24"/>
        </w:rPr>
        <w:t xml:space="preserve">6 months and 12 months. Course costs (administrative and clinical) will be estimated using a bespoke questionnaire for completion by site staff. Our primary analysis will use the EQ-5D-5L valuation study to generate utility scores at baseline, course completion, 6 months and 12 months for each study participant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{"citationItems":[{"id":"ITEM-1","itemData":{"DOI":"10.1002/hec.3564","ISSN":"10579230","author":[{"dropping-particle":"","family":"Devlin","given":"Nancy J.","non-dropping-particle":"","parse-names":false,"suffix":""},{"dropping-particle":"","family":"Shah","given":"Koonal K.","non-dropping-particle":"","parse-names":false,"suffix":""},{"dropping-particle":"","family":"Feng","given":"Yan","non-dropping-particle":"","parse-names":false,"suffix":""},{"dropping-particle":"","family":"Mulhern","given":"Brendan","non-dropping-particle":"","parse-names":false,"suffix":""},{"dropping-particle":"","family":"Hout","given":"Ben","non-dropping-particle":"van","parse-names":false,"suffix":""}],"container-title":"Health Economics","id":"ITEM-1","issued":{"date-parts":[["2017","8","22"]]},"title":"Valuing health-related quality of life: An EQ-5D-5L value set for England","type":"article-journal"},"uris":["http://www.mendeley.com/documents/?uuid=f89dee59-331b-3770-a748-0d3a7d19ff89"]}],"mendeley":{"formattedCitation":"[12]","plainTextFormattedCitation":"[12]","previouslyFormattedCitation":"[12]"},"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[12]</w:t>
      </w:r>
      <w:r w:rsidRPr="00450CC6">
        <w:rPr>
          <w:rFonts w:ascii="Arial" w:hAnsi="Arial" w:cs="Arial"/>
          <w:sz w:val="24"/>
          <w:szCs w:val="24"/>
        </w:rPr>
        <w:fldChar w:fldCharType="end"/>
      </w:r>
      <w:r w:rsidRPr="00450CC6">
        <w:rPr>
          <w:rFonts w:ascii="Arial" w:hAnsi="Arial" w:cs="Arial"/>
          <w:sz w:val="24"/>
          <w:szCs w:val="24"/>
        </w:rPr>
        <w:t xml:space="preserve">. There are on-going discussions about </w:t>
      </w:r>
      <w:r>
        <w:rPr>
          <w:rFonts w:ascii="Arial" w:hAnsi="Arial" w:cs="Arial"/>
          <w:sz w:val="24"/>
          <w:szCs w:val="24"/>
        </w:rPr>
        <w:t>the</w:t>
      </w:r>
      <w:r w:rsidRPr="00450CC6">
        <w:rPr>
          <w:rFonts w:ascii="Arial" w:hAnsi="Arial" w:cs="Arial"/>
          <w:sz w:val="24"/>
          <w:szCs w:val="24"/>
        </w:rPr>
        <w:t xml:space="preserve"> valuation</w:t>
      </w:r>
      <w:r>
        <w:rPr>
          <w:rFonts w:ascii="Arial" w:hAnsi="Arial" w:cs="Arial"/>
          <w:sz w:val="24"/>
          <w:szCs w:val="24"/>
        </w:rPr>
        <w:t xml:space="preserve"> of the EQ-5D-5L</w:t>
      </w:r>
      <w:r w:rsidRPr="00450CC6">
        <w:rPr>
          <w:rFonts w:ascii="Arial" w:hAnsi="Arial" w:cs="Arial"/>
          <w:sz w:val="24"/>
          <w:szCs w:val="24"/>
        </w:rPr>
        <w:t>, and NICE recently produced a position statement recommending that EQ-5D-5L data should be valued using mapping to the EQ-5D-3L</w:t>
      </w:r>
      <w:r>
        <w:rPr>
          <w:rFonts w:ascii="Arial" w:hAnsi="Arial" w:cs="Arial"/>
          <w:sz w:val="24"/>
          <w:szCs w:val="24"/>
        </w:rPr>
        <w:t xml:space="preserve"> and not the bespoke EQ-5D-5L value set</w:t>
      </w:r>
      <w:r w:rsidRPr="00450CC6">
        <w:rPr>
          <w:rFonts w:ascii="Arial" w:hAnsi="Arial" w:cs="Arial"/>
          <w:sz w:val="24"/>
          <w:szCs w:val="24"/>
        </w:rPr>
        <w:t xml:space="preserve">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{"citationItems":[{"id":"ITEM-1","itemData":{"author":[{"dropping-particle":"","family":"National Institute for Health and Care Excellence","given":"","non-dropping-particle":"","parse-names":false,"suffix":""}],"id":"ITEM-1","issued":{"date-parts":[["0"]]},"title":"NICE's position statement on EQ-5D-5L NATIONAL INSTITUTE FOR HEALTH AND CARE EXCELLENCE Position statement on use of the EQ-5D-5L valuation set","type":"article-journal"},"uris":["http://www.mendeley.com/documents/?uuid=225fa7ae-f42e-386b-bd17-9c0f90baa659"]},{"id":"ITEM-2","itemData":{"DOI":"10.1016/j.jval.2012.02.008","ISSN":"10983015","PMID":"22867780","abstract":"BACKGROUND A five-level version of the EuroQol five-dimensional (EQ-5D) descriptive system (EQ-5D-5L) has been developed, but value sets based on preferences directly elicited from representative general population samples are not yet available. The objective of this study was to develop values sets for the EQ-5D-5L by means of a mapping (\"crosswalk\") approach to the currently available three-level version of the EQ-5D (EQ-5D-3L) values sets. METHODS The EQ-5D-3L and EQ-5D-5L descriptive systems were coadministered to respondents with conditions of varying severity to ensure a broad range of levels of health across EQ-5D questionnaire dimensions. We explored four models to generate value sets for the EQ-5D-5L: linear regression, nonparametric statistics, ordered logistic regression, and item-response theory. Criteria for the preferred model included theoretical background, statistical fit, predictive power, and parsimony. RESULTS A total of 3691 respondents were included. All models had similar fit statistics. Predictive power was slightly better for the nonparametric and ordered logistic regression models. In considering all criteria, the nonparametric model was selected as most suitable for generating values for the EQ-5D-5L. CONCLUSIONS The nonparametric model was preferred for its simplicity while performing similarly to the other models. Being independent of the value set that is used, it can be applied to transform any EQ-5D-3L value set into EQ-5D-5L index values. Strengths of this approach include compatibility with three-level value sets. A limitation of any crosswalk is that the range of index values is restricted to the range of the EQ-5D-3L value sets.","author":[{"dropping-particle":"","family":"Hout","given":"Ben","non-dropping-particle":"van","parse-names":false,"suffix":""},{"dropping-particle":"","family":"Janssen","given":"M.F.","non-dropping-particle":"","parse-names":false,"suffix":""},{"dropping-particle":"","family":"Feng","given":"You-Shan","non-dropping-particle":"","parse-names":false,"suffix":""},{"dropping-particle":"","family":"Kohlmann","given":"Thomas","non-dropping-particle":"","parse-names":false,"suffix":""},{"dropping-particle":"","family":"Busschbach","given":"Jan","non-dropping-particle":"","parse-names":false,"suffix":""},{"dropping-particle":"","family":"Golicki","given":"Dominik","non-dropping-particle":"","parse-names":false,"suffix":""},{"dropping-particle":"","family":"Lloyd","given":"Andrew","non-dropping-particle":"","parse-names":false,"suffix":""},{"dropping-particle":"","family":"Scalone","given":"Luciana","non-dropping-particle":"","parse-names":false,"suffix":""},{"dropping-particle":"","family":"Kind","given":"Paul","non-dropping-particle":"","parse-names":false,"suffix":""},{"dropping-particle":"","family":"Pickard","given":"A. Simon","non-dropping-particle":"","parse-names":false,"suffix":""}],"container-title":"Value in Health","id":"ITEM-2","issue":"5","issued":{"date-parts":[["2012","7"]]},"page":"708-715","title":"Interim Scoring for the EQ-5D-5L: Mapping the EQ-5D-5L to EQ-5D-3L Value Sets","type":"article-journal","volume":"15"},"uris":["http://www.mendeley.com/documents/?uuid=4c9443b5-562c-36aa-a44f-55a9647c9d0d"]}],"mendeley":{"formattedCitation":"[13,14]","plainTextFormattedCitation":"[13,14]","previouslyFormattedCitation":"[13,14]"},"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[13,14]</w:t>
      </w:r>
      <w:r w:rsidRPr="00450CC6">
        <w:rPr>
          <w:rFonts w:ascii="Arial" w:hAnsi="Arial" w:cs="Arial"/>
          <w:sz w:val="24"/>
          <w:szCs w:val="24"/>
        </w:rPr>
        <w:fldChar w:fldCharType="end"/>
      </w:r>
      <w:r>
        <w:rPr>
          <w:rFonts w:ascii="Arial" w:hAnsi="Arial" w:cs="Arial"/>
          <w:sz w:val="24"/>
          <w:szCs w:val="24"/>
        </w:rPr>
        <w:t>.</w:t>
      </w:r>
      <w:r w:rsidRPr="00450CC6">
        <w:rPr>
          <w:rFonts w:ascii="Arial" w:hAnsi="Arial" w:cs="Arial"/>
          <w:sz w:val="24"/>
          <w:szCs w:val="24"/>
        </w:rPr>
        <w:t xml:space="preserve"> </w:t>
      </w:r>
      <w:r>
        <w:rPr>
          <w:rFonts w:ascii="Arial" w:hAnsi="Arial" w:cs="Arial"/>
          <w:sz w:val="24"/>
          <w:szCs w:val="24"/>
        </w:rPr>
        <w:t>Therefore our primary analysis will follow the most recent NICE guidance at the time of analysis, with the other valuation method been used in a sensitivity analysis.</w:t>
      </w:r>
      <w:r w:rsidRPr="00450CC6">
        <w:rPr>
          <w:rFonts w:ascii="Arial" w:hAnsi="Arial" w:cs="Arial"/>
          <w:sz w:val="24"/>
          <w:szCs w:val="24"/>
        </w:rPr>
        <w:t xml:space="preserve"> QALYs for each participant will be estimated by calculating the area under the curve defined by EQ-5D utility score, mortality and length of follow-up.  The base case analysis will use the complete case data. In a scenario analysis, the missing data will be imputed. The time horizon of this analysis will be limited to the one-year time horizon of the trial. </w:t>
      </w:r>
      <w:r>
        <w:rPr>
          <w:rFonts w:ascii="Arial" w:hAnsi="Arial" w:cs="Arial"/>
          <w:sz w:val="24"/>
          <w:szCs w:val="24"/>
        </w:rPr>
        <w:t>T</w:t>
      </w:r>
      <w:r w:rsidRPr="00450CC6">
        <w:rPr>
          <w:rFonts w:ascii="Arial" w:hAnsi="Arial" w:cs="Arial"/>
          <w:sz w:val="24"/>
          <w:szCs w:val="24"/>
        </w:rPr>
        <w:t>his evaluation will be considered as the secondary health economic analysis</w:t>
      </w:r>
      <w:r>
        <w:rPr>
          <w:rFonts w:ascii="Arial" w:hAnsi="Arial" w:cs="Arial"/>
          <w:sz w:val="24"/>
          <w:szCs w:val="24"/>
        </w:rPr>
        <w:t xml:space="preserve"> for two reasons: 1)</w:t>
      </w:r>
      <w:r w:rsidRPr="00450CC6">
        <w:rPr>
          <w:rFonts w:ascii="Arial" w:hAnsi="Arial" w:cs="Arial"/>
          <w:sz w:val="24"/>
          <w:szCs w:val="24"/>
        </w:rPr>
        <w:t xml:space="preserve"> </w:t>
      </w:r>
      <w:r>
        <w:rPr>
          <w:rFonts w:ascii="Arial" w:hAnsi="Arial" w:cs="Arial"/>
          <w:sz w:val="24"/>
          <w:szCs w:val="24"/>
        </w:rPr>
        <w:t>T</w:t>
      </w:r>
      <w:r w:rsidRPr="00450CC6">
        <w:rPr>
          <w:rFonts w:ascii="Arial" w:hAnsi="Arial" w:cs="Arial"/>
          <w:sz w:val="24"/>
          <w:szCs w:val="24"/>
        </w:rPr>
        <w:t>he effects and costs of DAFNE</w:t>
      </w:r>
      <w:r w:rsidRPr="00450CC6">
        <w:rPr>
          <w:rFonts w:ascii="Arial" w:hAnsi="Arial" w:cs="Arial"/>
          <w:i/>
          <w:sz w:val="24"/>
          <w:szCs w:val="24"/>
        </w:rPr>
        <w:t>plus</w:t>
      </w:r>
      <w:r w:rsidRPr="00450CC6">
        <w:rPr>
          <w:rFonts w:ascii="Arial" w:hAnsi="Arial" w:cs="Arial"/>
          <w:sz w:val="24"/>
          <w:szCs w:val="24"/>
        </w:rPr>
        <w:t xml:space="preserve"> may be incurred beyond the one-year trial time horizon (due to expected differences in the time to onset of diabetes related complications</w:t>
      </w:r>
      <w:r>
        <w:rPr>
          <w:rFonts w:ascii="Arial" w:hAnsi="Arial" w:cs="Arial"/>
          <w:sz w:val="24"/>
          <w:szCs w:val="24"/>
        </w:rPr>
        <w:t xml:space="preserve"> and potential maintenance of treatment effects beyond the trial period</w:t>
      </w:r>
      <w:r w:rsidRPr="00450CC6">
        <w:rPr>
          <w:rFonts w:ascii="Arial" w:hAnsi="Arial" w:cs="Arial"/>
          <w:sz w:val="24"/>
          <w:szCs w:val="24"/>
        </w:rPr>
        <w:t>)</w:t>
      </w:r>
      <w:r>
        <w:rPr>
          <w:rFonts w:ascii="Arial" w:hAnsi="Arial" w:cs="Arial"/>
          <w:sz w:val="24"/>
          <w:szCs w:val="24"/>
        </w:rPr>
        <w:t>; and, 2) the DAFNEplus trial is not powered to detect differences in the incidence of long-term diabetes complications</w:t>
      </w:r>
      <w:r w:rsidRPr="00450CC6">
        <w:rPr>
          <w:rFonts w:ascii="Arial" w:hAnsi="Arial" w:cs="Arial"/>
          <w:sz w:val="24"/>
          <w:szCs w:val="24"/>
        </w:rPr>
        <w:t>,</w:t>
      </w:r>
      <w:r>
        <w:rPr>
          <w:rFonts w:ascii="Arial" w:hAnsi="Arial" w:cs="Arial"/>
          <w:sz w:val="24"/>
          <w:szCs w:val="24"/>
        </w:rPr>
        <w:t xml:space="preserve"> as such the estimates of differences in the cost and QALYs between the two trial arms may be misleading</w:t>
      </w:r>
      <w:r w:rsidRPr="00450CC6">
        <w:rPr>
          <w:rFonts w:ascii="Arial" w:hAnsi="Arial" w:cs="Arial"/>
          <w:sz w:val="24"/>
          <w:szCs w:val="24"/>
        </w:rPr>
        <w:t>.</w:t>
      </w:r>
    </w:p>
    <w:p w14:paraId="72D2E265" w14:textId="77777777" w:rsidR="007E12D3" w:rsidRDefault="007E12D3" w:rsidP="007E12D3">
      <w:pPr>
        <w:spacing w:after="0" w:line="240" w:lineRule="auto"/>
        <w:rPr>
          <w:rFonts w:ascii="Arial" w:hAnsi="Arial" w:cs="Arial"/>
          <w:b/>
          <w:sz w:val="24"/>
          <w:szCs w:val="24"/>
        </w:rPr>
      </w:pPr>
    </w:p>
    <w:p w14:paraId="1F4422F9" w14:textId="77777777" w:rsidR="007E12D3" w:rsidRPr="00450CC6" w:rsidRDefault="007E12D3" w:rsidP="007E12D3">
      <w:pPr>
        <w:spacing w:after="0" w:line="240" w:lineRule="auto"/>
        <w:rPr>
          <w:rFonts w:ascii="Arial" w:hAnsi="Arial" w:cs="Arial"/>
          <w:b/>
          <w:sz w:val="24"/>
          <w:szCs w:val="24"/>
        </w:rPr>
      </w:pPr>
      <w:r w:rsidRPr="00450CC6">
        <w:rPr>
          <w:rFonts w:ascii="Arial" w:hAnsi="Arial" w:cs="Arial"/>
          <w:b/>
          <w:sz w:val="24"/>
          <w:szCs w:val="24"/>
        </w:rPr>
        <w:t>Outcome measures and uncertainty analyses</w:t>
      </w:r>
    </w:p>
    <w:p w14:paraId="13FE5BB0" w14:textId="77777777" w:rsidR="007E12D3" w:rsidRDefault="007E12D3" w:rsidP="007E12D3">
      <w:pPr>
        <w:spacing w:after="0" w:line="240" w:lineRule="auto"/>
        <w:jc w:val="both"/>
        <w:rPr>
          <w:rFonts w:ascii="Arial" w:hAnsi="Arial" w:cs="Arial"/>
          <w:sz w:val="24"/>
          <w:szCs w:val="24"/>
        </w:rPr>
      </w:pPr>
    </w:p>
    <w:p w14:paraId="20102F61" w14:textId="4CDA4E20" w:rsidR="007E12D3" w:rsidRPr="00450CC6" w:rsidRDefault="007E12D3" w:rsidP="007E12D3">
      <w:pPr>
        <w:spacing w:after="0" w:line="240" w:lineRule="auto"/>
        <w:jc w:val="both"/>
        <w:rPr>
          <w:rFonts w:ascii="Arial" w:hAnsi="Arial" w:cs="Arial"/>
          <w:sz w:val="24"/>
          <w:szCs w:val="24"/>
        </w:rPr>
      </w:pPr>
      <w:r>
        <w:rPr>
          <w:rFonts w:ascii="Arial" w:hAnsi="Arial" w:cs="Arial"/>
          <w:sz w:val="24"/>
          <w:szCs w:val="24"/>
        </w:rPr>
        <w:t>I</w:t>
      </w:r>
      <w:r w:rsidRPr="00450CC6">
        <w:rPr>
          <w:rFonts w:ascii="Arial" w:hAnsi="Arial" w:cs="Arial"/>
          <w:sz w:val="24"/>
          <w:szCs w:val="24"/>
        </w:rPr>
        <w:t>n both the EEACT and the long term modelling the main outcome of interest will be the comparison of the incremental cost-effectiveness ratio (ICER) of DAFNE</w:t>
      </w:r>
      <w:r w:rsidRPr="00450CC6">
        <w:rPr>
          <w:rFonts w:ascii="Arial" w:hAnsi="Arial" w:cs="Arial"/>
          <w:i/>
          <w:sz w:val="24"/>
          <w:szCs w:val="24"/>
        </w:rPr>
        <w:t>plus</w:t>
      </w:r>
      <w:r w:rsidRPr="00450CC6">
        <w:rPr>
          <w:rFonts w:ascii="Arial" w:hAnsi="Arial" w:cs="Arial"/>
          <w:sz w:val="24"/>
          <w:szCs w:val="24"/>
        </w:rPr>
        <w:t xml:space="preserve"> compared to DAFNE. The ICER will be compared to a maximum acceptable ICER of £20,000 per QALY gained, as this is the lower limit of the ICER range used by NICE to determine if an intervention is cost-effective </w:t>
      </w:r>
      <w:r w:rsidRPr="00450CC6">
        <w:rPr>
          <w:rFonts w:ascii="Arial" w:hAnsi="Arial" w:cs="Arial"/>
          <w:sz w:val="24"/>
          <w:szCs w:val="24"/>
        </w:rPr>
        <w:fldChar w:fldCharType="begin" w:fldLock="1"/>
      </w:r>
      <w:r w:rsidR="006324A5">
        <w:rPr>
          <w:rFonts w:ascii="Arial" w:hAnsi="Arial" w:cs="Arial"/>
          <w:sz w:val="24"/>
          <w:szCs w:val="24"/>
        </w:rPr>
        <w:instrText>ADDIN CSL_CITATION {"citationItems":[{"id":"ITEM-1","itemData":{"author":[{"dropping-particle":"","family":"National Institute for Health and Care Excellence","given":"","non-dropping-particle":"","parse-names":false,"suffix":""}],"id":"ITEM-1","issued":{"date-parts":[["0"]]},"publisher":"NICE","title":"Guide to the methods of technology appraisal 2013 | Guidance and guidelines | NICE","type":"article-journal"},"uris":["http://www.mendeley.com/documents/?uuid=67cb0c55-b5f8-3966-9681-067d99b05501"]}],"mendeley":{"formattedCitation":"[1]","plainTextFormattedCitation":"[1]","previouslyFormattedCitation":"[1]"},"properties":{"noteIndex":0},"schema":"https://github.com/citation-style-language/schema/raw/master/csl-citation.json"}</w:instrText>
      </w:r>
      <w:r w:rsidRPr="00450CC6">
        <w:rPr>
          <w:rFonts w:ascii="Arial" w:hAnsi="Arial" w:cs="Arial"/>
          <w:sz w:val="24"/>
          <w:szCs w:val="24"/>
        </w:rPr>
        <w:fldChar w:fldCharType="separate"/>
      </w:r>
      <w:r w:rsidR="006324A5" w:rsidRPr="006324A5">
        <w:rPr>
          <w:rFonts w:ascii="Arial" w:hAnsi="Arial" w:cs="Arial"/>
          <w:noProof/>
          <w:sz w:val="24"/>
          <w:szCs w:val="24"/>
        </w:rPr>
        <w:t>[1]</w:t>
      </w:r>
      <w:r w:rsidRPr="00450CC6">
        <w:rPr>
          <w:rFonts w:ascii="Arial" w:hAnsi="Arial" w:cs="Arial"/>
          <w:sz w:val="24"/>
          <w:szCs w:val="24"/>
        </w:rPr>
        <w:fldChar w:fldCharType="end"/>
      </w:r>
      <w:r w:rsidRPr="00450CC6">
        <w:rPr>
          <w:rFonts w:ascii="Arial" w:hAnsi="Arial" w:cs="Arial"/>
          <w:sz w:val="24"/>
          <w:szCs w:val="24"/>
        </w:rPr>
        <w:t>. Uncertainty in the ICER will be determined using: scenario analyses, subgroup analyses (pre-specified with the wider DAFNE</w:t>
      </w:r>
      <w:r w:rsidRPr="00450CC6">
        <w:rPr>
          <w:rFonts w:ascii="Arial" w:hAnsi="Arial" w:cs="Arial"/>
          <w:i/>
          <w:sz w:val="24"/>
          <w:szCs w:val="24"/>
        </w:rPr>
        <w:t>plus</w:t>
      </w:r>
      <w:r w:rsidRPr="00450CC6">
        <w:rPr>
          <w:rFonts w:ascii="Arial" w:hAnsi="Arial" w:cs="Arial"/>
          <w:sz w:val="24"/>
          <w:szCs w:val="24"/>
        </w:rPr>
        <w:t xml:space="preserve"> team), probabilistic sensitivity analysis and expected value of information calculations. In particular, uncertainty in the cost-effectiveness of DAFNE</w:t>
      </w:r>
      <w:r w:rsidRPr="00450CC6">
        <w:rPr>
          <w:rFonts w:ascii="Arial" w:hAnsi="Arial" w:cs="Arial"/>
          <w:i/>
          <w:sz w:val="24"/>
          <w:szCs w:val="24"/>
        </w:rPr>
        <w:t>plus</w:t>
      </w:r>
      <w:r w:rsidRPr="00450CC6">
        <w:rPr>
          <w:rFonts w:ascii="Arial" w:hAnsi="Arial" w:cs="Arial"/>
          <w:sz w:val="24"/>
          <w:szCs w:val="24"/>
        </w:rPr>
        <w:t xml:space="preserve"> as used in a wider rollout (compared to as utilised in the trial)</w:t>
      </w:r>
      <w:r>
        <w:rPr>
          <w:rFonts w:ascii="Arial" w:hAnsi="Arial" w:cs="Arial"/>
          <w:sz w:val="24"/>
          <w:szCs w:val="24"/>
        </w:rPr>
        <w:t xml:space="preserve"> and in subgroups of participants with a HbA1c less than 7.5% and greater than or equal to 7.5%</w:t>
      </w:r>
      <w:r w:rsidRPr="00450CC6">
        <w:rPr>
          <w:rFonts w:ascii="Arial" w:hAnsi="Arial" w:cs="Arial"/>
          <w:sz w:val="24"/>
          <w:szCs w:val="24"/>
        </w:rPr>
        <w:t xml:space="preserve"> will be explored in our scenario analyses.</w:t>
      </w:r>
    </w:p>
    <w:p w14:paraId="27F657CF" w14:textId="15217377" w:rsidR="00174D72" w:rsidRPr="006324A5" w:rsidRDefault="00174D72">
      <w:pPr>
        <w:rPr>
          <w:rFonts w:ascii="Arial" w:hAnsi="Arial" w:cs="Arial"/>
          <w:b/>
          <w:sz w:val="24"/>
        </w:rPr>
      </w:pPr>
    </w:p>
    <w:p w14:paraId="3F576A75" w14:textId="03B9B8EE" w:rsidR="006324A5" w:rsidRDefault="006324A5">
      <w:pPr>
        <w:rPr>
          <w:rFonts w:ascii="Arial" w:hAnsi="Arial" w:cs="Arial"/>
          <w:b/>
          <w:sz w:val="24"/>
        </w:rPr>
      </w:pPr>
      <w:r w:rsidRPr="006324A5">
        <w:rPr>
          <w:rFonts w:ascii="Arial" w:hAnsi="Arial" w:cs="Arial"/>
          <w:b/>
          <w:sz w:val="24"/>
        </w:rPr>
        <w:t>References</w:t>
      </w:r>
    </w:p>
    <w:p w14:paraId="37C6230F" w14:textId="698596DF"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Pr>
          <w:rFonts w:ascii="Arial" w:hAnsi="Arial" w:cs="Arial"/>
          <w:b/>
          <w:sz w:val="24"/>
        </w:rPr>
        <w:fldChar w:fldCharType="begin" w:fldLock="1"/>
      </w:r>
      <w:r>
        <w:rPr>
          <w:rFonts w:ascii="Arial" w:hAnsi="Arial" w:cs="Arial"/>
          <w:b/>
          <w:sz w:val="24"/>
        </w:rPr>
        <w:instrText xml:space="preserve">ADDIN Mendeley Bibliography CSL_BIBLIOGRAPHY </w:instrText>
      </w:r>
      <w:r>
        <w:rPr>
          <w:rFonts w:ascii="Arial" w:hAnsi="Arial" w:cs="Arial"/>
          <w:b/>
          <w:sz w:val="24"/>
        </w:rPr>
        <w:fldChar w:fldCharType="separate"/>
      </w:r>
      <w:r w:rsidRPr="006324A5">
        <w:rPr>
          <w:rFonts w:ascii="Arial" w:hAnsi="Arial" w:cs="Arial"/>
          <w:noProof/>
          <w:sz w:val="24"/>
          <w:szCs w:val="24"/>
        </w:rPr>
        <w:t xml:space="preserve">1 </w:t>
      </w:r>
      <w:r w:rsidRPr="006324A5">
        <w:rPr>
          <w:rFonts w:ascii="Arial" w:hAnsi="Arial" w:cs="Arial"/>
          <w:noProof/>
          <w:sz w:val="24"/>
          <w:szCs w:val="24"/>
        </w:rPr>
        <w:tab/>
        <w:t>National Institute for Health and Care Excellence. Guide to the methods of technology appraisal 2013 | Guidance and guidelines | NICE. https://www.nice.org.uk/process/pmg9/chapter/foreword (accessed 30 Jan 2018).</w:t>
      </w:r>
    </w:p>
    <w:p w14:paraId="473BC4AD"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2 </w:t>
      </w:r>
      <w:r w:rsidRPr="006324A5">
        <w:rPr>
          <w:rFonts w:ascii="Arial" w:hAnsi="Arial" w:cs="Arial"/>
          <w:noProof/>
          <w:sz w:val="24"/>
          <w:szCs w:val="24"/>
        </w:rPr>
        <w:tab/>
        <w:t xml:space="preserve">Thokala P, Kruger J, Brennan A, </w:t>
      </w:r>
      <w:r w:rsidRPr="006324A5">
        <w:rPr>
          <w:rFonts w:ascii="Arial" w:hAnsi="Arial" w:cs="Arial"/>
          <w:i/>
          <w:iCs/>
          <w:noProof/>
          <w:sz w:val="24"/>
          <w:szCs w:val="24"/>
        </w:rPr>
        <w:t>et al.</w:t>
      </w:r>
      <w:r w:rsidRPr="006324A5">
        <w:rPr>
          <w:rFonts w:ascii="Arial" w:hAnsi="Arial" w:cs="Arial"/>
          <w:noProof/>
          <w:sz w:val="24"/>
          <w:szCs w:val="24"/>
        </w:rPr>
        <w:t xml:space="preserve"> Assessing the cost-effectiveness of Type 1 diabetes interventions: the Sheffield Type 1 Diabetes Policy Model. </w:t>
      </w:r>
      <w:r w:rsidRPr="006324A5">
        <w:rPr>
          <w:rFonts w:ascii="Arial" w:hAnsi="Arial" w:cs="Arial"/>
          <w:i/>
          <w:iCs/>
          <w:noProof/>
          <w:sz w:val="24"/>
          <w:szCs w:val="24"/>
        </w:rPr>
        <w:t>Diabet Med</w:t>
      </w:r>
      <w:r w:rsidRPr="006324A5">
        <w:rPr>
          <w:rFonts w:ascii="Arial" w:hAnsi="Arial" w:cs="Arial"/>
          <w:noProof/>
          <w:sz w:val="24"/>
          <w:szCs w:val="24"/>
        </w:rPr>
        <w:t xml:space="preserve"> 2014;</w:t>
      </w:r>
      <w:r w:rsidRPr="006324A5">
        <w:rPr>
          <w:rFonts w:ascii="Arial" w:hAnsi="Arial" w:cs="Arial"/>
          <w:b/>
          <w:bCs/>
          <w:noProof/>
          <w:sz w:val="24"/>
          <w:szCs w:val="24"/>
        </w:rPr>
        <w:t>31</w:t>
      </w:r>
      <w:r w:rsidRPr="006324A5">
        <w:rPr>
          <w:rFonts w:ascii="Arial" w:hAnsi="Arial" w:cs="Arial"/>
          <w:noProof/>
          <w:sz w:val="24"/>
          <w:szCs w:val="24"/>
        </w:rPr>
        <w:t>:477–86. doi:10.1111/dme.12371</w:t>
      </w:r>
    </w:p>
    <w:p w14:paraId="5AF4EC99"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lastRenderedPageBreak/>
        <w:t xml:space="preserve">3 </w:t>
      </w:r>
      <w:r w:rsidRPr="006324A5">
        <w:rPr>
          <w:rFonts w:ascii="Arial" w:hAnsi="Arial" w:cs="Arial"/>
          <w:noProof/>
          <w:sz w:val="24"/>
          <w:szCs w:val="24"/>
        </w:rPr>
        <w:tab/>
        <w:t xml:space="preserve">Kruger J, Brennan A, Thokala P, </w:t>
      </w:r>
      <w:r w:rsidRPr="006324A5">
        <w:rPr>
          <w:rFonts w:ascii="Arial" w:hAnsi="Arial" w:cs="Arial"/>
          <w:i/>
          <w:iCs/>
          <w:noProof/>
          <w:sz w:val="24"/>
          <w:szCs w:val="24"/>
        </w:rPr>
        <w:t>et al.</w:t>
      </w:r>
      <w:r w:rsidRPr="006324A5">
        <w:rPr>
          <w:rFonts w:ascii="Arial" w:hAnsi="Arial" w:cs="Arial"/>
          <w:noProof/>
          <w:sz w:val="24"/>
          <w:szCs w:val="24"/>
        </w:rPr>
        <w:t xml:space="preserve"> The cost-effectiveness of the Dose Adjustment for Normal Eating (DAFNE) structured education programme: an update using the Sheffield Type 1 Diabetes Policy Model. </w:t>
      </w:r>
      <w:r w:rsidRPr="006324A5">
        <w:rPr>
          <w:rFonts w:ascii="Arial" w:hAnsi="Arial" w:cs="Arial"/>
          <w:i/>
          <w:iCs/>
          <w:noProof/>
          <w:sz w:val="24"/>
          <w:szCs w:val="24"/>
        </w:rPr>
        <w:t>Diabet Med</w:t>
      </w:r>
      <w:r w:rsidRPr="006324A5">
        <w:rPr>
          <w:rFonts w:ascii="Arial" w:hAnsi="Arial" w:cs="Arial"/>
          <w:noProof/>
          <w:sz w:val="24"/>
          <w:szCs w:val="24"/>
        </w:rPr>
        <w:t xml:space="preserve"> 2013;</w:t>
      </w:r>
      <w:r w:rsidRPr="006324A5">
        <w:rPr>
          <w:rFonts w:ascii="Arial" w:hAnsi="Arial" w:cs="Arial"/>
          <w:b/>
          <w:bCs/>
          <w:noProof/>
          <w:sz w:val="24"/>
          <w:szCs w:val="24"/>
        </w:rPr>
        <w:t>30</w:t>
      </w:r>
      <w:r w:rsidRPr="006324A5">
        <w:rPr>
          <w:rFonts w:ascii="Arial" w:hAnsi="Arial" w:cs="Arial"/>
          <w:noProof/>
          <w:sz w:val="24"/>
          <w:szCs w:val="24"/>
        </w:rPr>
        <w:t>:1236–44. doi:10.1111/dme.12270</w:t>
      </w:r>
    </w:p>
    <w:p w14:paraId="01259BED"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4 </w:t>
      </w:r>
      <w:r w:rsidRPr="006324A5">
        <w:rPr>
          <w:rFonts w:ascii="Arial" w:hAnsi="Arial" w:cs="Arial"/>
          <w:noProof/>
          <w:sz w:val="24"/>
          <w:szCs w:val="24"/>
        </w:rPr>
        <w:tab/>
        <w:t xml:space="preserve">Heller S, Lawton J, Amiel S, </w:t>
      </w:r>
      <w:r w:rsidRPr="006324A5">
        <w:rPr>
          <w:rFonts w:ascii="Arial" w:hAnsi="Arial" w:cs="Arial"/>
          <w:i/>
          <w:iCs/>
          <w:noProof/>
          <w:sz w:val="24"/>
          <w:szCs w:val="24"/>
        </w:rPr>
        <w:t>et al.</w:t>
      </w:r>
      <w:r w:rsidRPr="006324A5">
        <w:rPr>
          <w:rFonts w:ascii="Arial" w:hAnsi="Arial" w:cs="Arial"/>
          <w:noProof/>
          <w:sz w:val="24"/>
          <w:szCs w:val="24"/>
        </w:rPr>
        <w:t xml:space="preserve"> Improving management of type 1 diabetes in the UK: the Dose Adjustment For Normal Eating (DAFNE) programme as a research test-bed. A mixed-method analysis of the barriers to and facilitators of successful diabetes self-management, a health economic analysis, a cluster randomised controlled trial of different models of delivery of an educational intervention and the potential of insulin pumps and additional educator input to improve outcomes. </w:t>
      </w:r>
      <w:r w:rsidRPr="006324A5">
        <w:rPr>
          <w:rFonts w:ascii="Arial" w:hAnsi="Arial" w:cs="Arial"/>
          <w:i/>
          <w:iCs/>
          <w:noProof/>
          <w:sz w:val="24"/>
          <w:szCs w:val="24"/>
        </w:rPr>
        <w:t>Program Grants Appl Res</w:t>
      </w:r>
      <w:r w:rsidRPr="006324A5">
        <w:rPr>
          <w:rFonts w:ascii="Arial" w:hAnsi="Arial" w:cs="Arial"/>
          <w:noProof/>
          <w:sz w:val="24"/>
          <w:szCs w:val="24"/>
        </w:rPr>
        <w:t xml:space="preserve"> 2014;</w:t>
      </w:r>
      <w:r w:rsidRPr="006324A5">
        <w:rPr>
          <w:rFonts w:ascii="Arial" w:hAnsi="Arial" w:cs="Arial"/>
          <w:b/>
          <w:bCs/>
          <w:noProof/>
          <w:sz w:val="24"/>
          <w:szCs w:val="24"/>
        </w:rPr>
        <w:t>2</w:t>
      </w:r>
      <w:r w:rsidRPr="006324A5">
        <w:rPr>
          <w:rFonts w:ascii="Arial" w:hAnsi="Arial" w:cs="Arial"/>
          <w:noProof/>
          <w:sz w:val="24"/>
          <w:szCs w:val="24"/>
        </w:rPr>
        <w:t>:1–188. doi:10.3310/pgfar02050</w:t>
      </w:r>
    </w:p>
    <w:p w14:paraId="1ADB8D9F"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5 </w:t>
      </w:r>
      <w:r w:rsidRPr="006324A5">
        <w:rPr>
          <w:rFonts w:ascii="Arial" w:hAnsi="Arial" w:cs="Arial"/>
          <w:noProof/>
          <w:sz w:val="24"/>
          <w:szCs w:val="24"/>
        </w:rPr>
        <w:tab/>
        <w:t xml:space="preserve">Kruger J, Pollard D, Basarir H, </w:t>
      </w:r>
      <w:r w:rsidRPr="006324A5">
        <w:rPr>
          <w:rFonts w:ascii="Arial" w:hAnsi="Arial" w:cs="Arial"/>
          <w:i/>
          <w:iCs/>
          <w:noProof/>
          <w:sz w:val="24"/>
          <w:szCs w:val="24"/>
        </w:rPr>
        <w:t>et al.</w:t>
      </w:r>
      <w:r w:rsidRPr="006324A5">
        <w:rPr>
          <w:rFonts w:ascii="Arial" w:hAnsi="Arial" w:cs="Arial"/>
          <w:noProof/>
          <w:sz w:val="24"/>
          <w:szCs w:val="24"/>
        </w:rPr>
        <w:t xml:space="preserve"> Incorporating Psychological Predictors of Treatment Response into Health Economic Simulation Models. </w:t>
      </w:r>
      <w:r w:rsidRPr="006324A5">
        <w:rPr>
          <w:rFonts w:ascii="Arial" w:hAnsi="Arial" w:cs="Arial"/>
          <w:i/>
          <w:iCs/>
          <w:noProof/>
          <w:sz w:val="24"/>
          <w:szCs w:val="24"/>
        </w:rPr>
        <w:t>Med Decis Mak</w:t>
      </w:r>
      <w:r w:rsidRPr="006324A5">
        <w:rPr>
          <w:rFonts w:ascii="Arial" w:hAnsi="Arial" w:cs="Arial"/>
          <w:noProof/>
          <w:sz w:val="24"/>
          <w:szCs w:val="24"/>
        </w:rPr>
        <w:t xml:space="preserve"> 2015;</w:t>
      </w:r>
      <w:r w:rsidRPr="006324A5">
        <w:rPr>
          <w:rFonts w:ascii="Arial" w:hAnsi="Arial" w:cs="Arial"/>
          <w:b/>
          <w:bCs/>
          <w:noProof/>
          <w:sz w:val="24"/>
          <w:szCs w:val="24"/>
        </w:rPr>
        <w:t>35</w:t>
      </w:r>
      <w:r w:rsidRPr="006324A5">
        <w:rPr>
          <w:rFonts w:ascii="Arial" w:hAnsi="Arial" w:cs="Arial"/>
          <w:noProof/>
          <w:sz w:val="24"/>
          <w:szCs w:val="24"/>
        </w:rPr>
        <w:t>:872–87. doi:10.1177/0272989X15590143</w:t>
      </w:r>
    </w:p>
    <w:p w14:paraId="73D4BAEA"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6 </w:t>
      </w:r>
      <w:r w:rsidRPr="006324A5">
        <w:rPr>
          <w:rFonts w:ascii="Arial" w:hAnsi="Arial" w:cs="Arial"/>
          <w:noProof/>
          <w:sz w:val="24"/>
          <w:szCs w:val="24"/>
        </w:rPr>
        <w:tab/>
        <w:t xml:space="preserve">Pollard DJ, Brennan A, Dixon S, </w:t>
      </w:r>
      <w:r w:rsidRPr="006324A5">
        <w:rPr>
          <w:rFonts w:ascii="Arial" w:hAnsi="Arial" w:cs="Arial"/>
          <w:i/>
          <w:iCs/>
          <w:noProof/>
          <w:sz w:val="24"/>
          <w:szCs w:val="24"/>
        </w:rPr>
        <w:t>et al.</w:t>
      </w:r>
      <w:r w:rsidRPr="006324A5">
        <w:rPr>
          <w:rFonts w:ascii="Arial" w:hAnsi="Arial" w:cs="Arial"/>
          <w:noProof/>
          <w:sz w:val="24"/>
          <w:szCs w:val="24"/>
        </w:rPr>
        <w:t xml:space="preserve"> Cost-effectiveness of insulin pumps compared with multiple daily injections both provided with structured education for adults with type 1 diabetes: A health economic analysis of the Relative Effectiveness of Pumps over Structured Education (REPOSE) randomised controlled trial. </w:t>
      </w:r>
      <w:r w:rsidRPr="006324A5">
        <w:rPr>
          <w:rFonts w:ascii="Arial" w:hAnsi="Arial" w:cs="Arial"/>
          <w:i/>
          <w:iCs/>
          <w:noProof/>
          <w:sz w:val="24"/>
          <w:szCs w:val="24"/>
        </w:rPr>
        <w:t>BMJ Open</w:t>
      </w:r>
      <w:r w:rsidRPr="006324A5">
        <w:rPr>
          <w:rFonts w:ascii="Arial" w:hAnsi="Arial" w:cs="Arial"/>
          <w:noProof/>
          <w:sz w:val="24"/>
          <w:szCs w:val="24"/>
        </w:rPr>
        <w:t xml:space="preserve"> 2018;</w:t>
      </w:r>
      <w:r w:rsidRPr="006324A5">
        <w:rPr>
          <w:rFonts w:ascii="Arial" w:hAnsi="Arial" w:cs="Arial"/>
          <w:b/>
          <w:bCs/>
          <w:noProof/>
          <w:sz w:val="24"/>
          <w:szCs w:val="24"/>
        </w:rPr>
        <w:t>8</w:t>
      </w:r>
      <w:r w:rsidRPr="006324A5">
        <w:rPr>
          <w:rFonts w:ascii="Arial" w:hAnsi="Arial" w:cs="Arial"/>
          <w:noProof/>
          <w:sz w:val="24"/>
          <w:szCs w:val="24"/>
        </w:rPr>
        <w:t>:e016766. doi:10.1136/bmjopen-2017-016766</w:t>
      </w:r>
    </w:p>
    <w:p w14:paraId="4313AA84"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7 </w:t>
      </w:r>
      <w:r w:rsidRPr="006324A5">
        <w:rPr>
          <w:rFonts w:ascii="Arial" w:hAnsi="Arial" w:cs="Arial"/>
          <w:noProof/>
          <w:sz w:val="24"/>
          <w:szCs w:val="24"/>
        </w:rPr>
        <w:tab/>
        <w:t xml:space="preserve">Palmer AJ, Si L, Tew M, </w:t>
      </w:r>
      <w:r w:rsidRPr="006324A5">
        <w:rPr>
          <w:rFonts w:ascii="Arial" w:hAnsi="Arial" w:cs="Arial"/>
          <w:i/>
          <w:iCs/>
          <w:noProof/>
          <w:sz w:val="24"/>
          <w:szCs w:val="24"/>
        </w:rPr>
        <w:t>et al.</w:t>
      </w:r>
      <w:r w:rsidRPr="006324A5">
        <w:rPr>
          <w:rFonts w:ascii="Arial" w:hAnsi="Arial" w:cs="Arial"/>
          <w:noProof/>
          <w:sz w:val="24"/>
          <w:szCs w:val="24"/>
        </w:rPr>
        <w:t xml:space="preserve"> Computer Modeling of Diabetes and Its Transparency: A Report on the Eighth Mount Hood Challenge. </w:t>
      </w:r>
      <w:r w:rsidRPr="006324A5">
        <w:rPr>
          <w:rFonts w:ascii="Arial" w:hAnsi="Arial" w:cs="Arial"/>
          <w:i/>
          <w:iCs/>
          <w:noProof/>
          <w:sz w:val="24"/>
          <w:szCs w:val="24"/>
        </w:rPr>
        <w:t>Value Heal</w:t>
      </w:r>
      <w:r w:rsidRPr="006324A5">
        <w:rPr>
          <w:rFonts w:ascii="Arial" w:hAnsi="Arial" w:cs="Arial"/>
          <w:noProof/>
          <w:sz w:val="24"/>
          <w:szCs w:val="24"/>
        </w:rPr>
        <w:t xml:space="preserve"> 2018;</w:t>
      </w:r>
      <w:r w:rsidRPr="006324A5">
        <w:rPr>
          <w:rFonts w:ascii="Arial" w:hAnsi="Arial" w:cs="Arial"/>
          <w:b/>
          <w:bCs/>
          <w:noProof/>
          <w:sz w:val="24"/>
          <w:szCs w:val="24"/>
        </w:rPr>
        <w:t>21</w:t>
      </w:r>
      <w:r w:rsidRPr="006324A5">
        <w:rPr>
          <w:rFonts w:ascii="Arial" w:hAnsi="Arial" w:cs="Arial"/>
          <w:noProof/>
          <w:sz w:val="24"/>
          <w:szCs w:val="24"/>
        </w:rPr>
        <w:t>:724–31. doi:10.1016/j.jval.2018.02.002</w:t>
      </w:r>
    </w:p>
    <w:p w14:paraId="648163CA"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8 </w:t>
      </w:r>
      <w:r w:rsidRPr="006324A5">
        <w:rPr>
          <w:rFonts w:ascii="Arial" w:hAnsi="Arial" w:cs="Arial"/>
          <w:noProof/>
          <w:sz w:val="24"/>
          <w:szCs w:val="24"/>
        </w:rPr>
        <w:tab/>
        <w:t xml:space="preserve">Ramsey SD, Willke RJ, Glick H, </w:t>
      </w:r>
      <w:r w:rsidRPr="006324A5">
        <w:rPr>
          <w:rFonts w:ascii="Arial" w:hAnsi="Arial" w:cs="Arial"/>
          <w:i/>
          <w:iCs/>
          <w:noProof/>
          <w:sz w:val="24"/>
          <w:szCs w:val="24"/>
        </w:rPr>
        <w:t>et al.</w:t>
      </w:r>
      <w:r w:rsidRPr="006324A5">
        <w:rPr>
          <w:rFonts w:ascii="Arial" w:hAnsi="Arial" w:cs="Arial"/>
          <w:noProof/>
          <w:sz w:val="24"/>
          <w:szCs w:val="24"/>
        </w:rPr>
        <w:t xml:space="preserve"> Cost-Effectiveness Analysis Alongside Clinical Trials II—An ISPOR Good Research Practices Task Force Report. </w:t>
      </w:r>
      <w:r w:rsidRPr="006324A5">
        <w:rPr>
          <w:rFonts w:ascii="Arial" w:hAnsi="Arial" w:cs="Arial"/>
          <w:i/>
          <w:iCs/>
          <w:noProof/>
          <w:sz w:val="24"/>
          <w:szCs w:val="24"/>
        </w:rPr>
        <w:t>Value Heal</w:t>
      </w:r>
      <w:r w:rsidRPr="006324A5">
        <w:rPr>
          <w:rFonts w:ascii="Arial" w:hAnsi="Arial" w:cs="Arial"/>
          <w:noProof/>
          <w:sz w:val="24"/>
          <w:szCs w:val="24"/>
        </w:rPr>
        <w:t xml:space="preserve"> 2015;</w:t>
      </w:r>
      <w:r w:rsidRPr="006324A5">
        <w:rPr>
          <w:rFonts w:ascii="Arial" w:hAnsi="Arial" w:cs="Arial"/>
          <w:b/>
          <w:bCs/>
          <w:noProof/>
          <w:sz w:val="24"/>
          <w:szCs w:val="24"/>
        </w:rPr>
        <w:t>18</w:t>
      </w:r>
      <w:r w:rsidRPr="006324A5">
        <w:rPr>
          <w:rFonts w:ascii="Arial" w:hAnsi="Arial" w:cs="Arial"/>
          <w:noProof/>
          <w:sz w:val="24"/>
          <w:szCs w:val="24"/>
        </w:rPr>
        <w:t>:161–72. doi:10.1016/j.jval.2015.02.001</w:t>
      </w:r>
    </w:p>
    <w:p w14:paraId="52DE346B"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9 </w:t>
      </w:r>
      <w:r w:rsidRPr="006324A5">
        <w:rPr>
          <w:rFonts w:ascii="Arial" w:hAnsi="Arial" w:cs="Arial"/>
          <w:noProof/>
          <w:sz w:val="24"/>
          <w:szCs w:val="24"/>
        </w:rPr>
        <w:tab/>
        <w:t xml:space="preserve">Herdman M, Gudex C, Lloyd A, </w:t>
      </w:r>
      <w:r w:rsidRPr="006324A5">
        <w:rPr>
          <w:rFonts w:ascii="Arial" w:hAnsi="Arial" w:cs="Arial"/>
          <w:i/>
          <w:iCs/>
          <w:noProof/>
          <w:sz w:val="24"/>
          <w:szCs w:val="24"/>
        </w:rPr>
        <w:t>et al.</w:t>
      </w:r>
      <w:r w:rsidRPr="006324A5">
        <w:rPr>
          <w:rFonts w:ascii="Arial" w:hAnsi="Arial" w:cs="Arial"/>
          <w:noProof/>
          <w:sz w:val="24"/>
          <w:szCs w:val="24"/>
        </w:rPr>
        <w:t xml:space="preserve"> Development and preliminary testing of the new five-level version of EQ-5D (EQ-5D-5L). </w:t>
      </w:r>
      <w:r w:rsidRPr="006324A5">
        <w:rPr>
          <w:rFonts w:ascii="Arial" w:hAnsi="Arial" w:cs="Arial"/>
          <w:i/>
          <w:iCs/>
          <w:noProof/>
          <w:sz w:val="24"/>
          <w:szCs w:val="24"/>
        </w:rPr>
        <w:t>Qual Life Res</w:t>
      </w:r>
      <w:r w:rsidRPr="006324A5">
        <w:rPr>
          <w:rFonts w:ascii="Arial" w:hAnsi="Arial" w:cs="Arial"/>
          <w:noProof/>
          <w:sz w:val="24"/>
          <w:szCs w:val="24"/>
        </w:rPr>
        <w:t xml:space="preserve"> 2011;</w:t>
      </w:r>
      <w:r w:rsidRPr="006324A5">
        <w:rPr>
          <w:rFonts w:ascii="Arial" w:hAnsi="Arial" w:cs="Arial"/>
          <w:b/>
          <w:bCs/>
          <w:noProof/>
          <w:sz w:val="24"/>
          <w:szCs w:val="24"/>
        </w:rPr>
        <w:t>20</w:t>
      </w:r>
      <w:r w:rsidRPr="006324A5">
        <w:rPr>
          <w:rFonts w:ascii="Arial" w:hAnsi="Arial" w:cs="Arial"/>
          <w:noProof/>
          <w:sz w:val="24"/>
          <w:szCs w:val="24"/>
        </w:rPr>
        <w:t>:1727–36. doi:10.1007/s11136-011-9903-x</w:t>
      </w:r>
    </w:p>
    <w:p w14:paraId="318DC643"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10 </w:t>
      </w:r>
      <w:r w:rsidRPr="006324A5">
        <w:rPr>
          <w:rFonts w:ascii="Arial" w:hAnsi="Arial" w:cs="Arial"/>
          <w:noProof/>
          <w:sz w:val="24"/>
          <w:szCs w:val="24"/>
        </w:rPr>
        <w:tab/>
        <w:t xml:space="preserve">Elliott J, Lawton J, Rankin D, </w:t>
      </w:r>
      <w:r w:rsidRPr="006324A5">
        <w:rPr>
          <w:rFonts w:ascii="Arial" w:hAnsi="Arial" w:cs="Arial"/>
          <w:i/>
          <w:iCs/>
          <w:noProof/>
          <w:sz w:val="24"/>
          <w:szCs w:val="24"/>
        </w:rPr>
        <w:t>et al.</w:t>
      </w:r>
      <w:r w:rsidRPr="006324A5">
        <w:rPr>
          <w:rFonts w:ascii="Arial" w:hAnsi="Arial" w:cs="Arial"/>
          <w:noProof/>
          <w:sz w:val="24"/>
          <w:szCs w:val="24"/>
        </w:rPr>
        <w:t xml:space="preserve"> The 5x1 DAFNE study protocol: a cluster randomised trial comparing a standard 5 day DAFNE course delivered over 1 week against DAFNE training delivered over 1 day a week for 5 consecutive weeks. </w:t>
      </w:r>
      <w:r w:rsidRPr="006324A5">
        <w:rPr>
          <w:rFonts w:ascii="Arial" w:hAnsi="Arial" w:cs="Arial"/>
          <w:i/>
          <w:iCs/>
          <w:noProof/>
          <w:sz w:val="24"/>
          <w:szCs w:val="24"/>
        </w:rPr>
        <w:t>BMC Endocr Disord</w:t>
      </w:r>
      <w:r w:rsidRPr="006324A5">
        <w:rPr>
          <w:rFonts w:ascii="Arial" w:hAnsi="Arial" w:cs="Arial"/>
          <w:noProof/>
          <w:sz w:val="24"/>
          <w:szCs w:val="24"/>
        </w:rPr>
        <w:t xml:space="preserve"> 2012;</w:t>
      </w:r>
      <w:r w:rsidRPr="006324A5">
        <w:rPr>
          <w:rFonts w:ascii="Arial" w:hAnsi="Arial" w:cs="Arial"/>
          <w:b/>
          <w:bCs/>
          <w:noProof/>
          <w:sz w:val="24"/>
          <w:szCs w:val="24"/>
        </w:rPr>
        <w:t>12</w:t>
      </w:r>
      <w:r w:rsidRPr="006324A5">
        <w:rPr>
          <w:rFonts w:ascii="Arial" w:hAnsi="Arial" w:cs="Arial"/>
          <w:noProof/>
          <w:sz w:val="24"/>
          <w:szCs w:val="24"/>
        </w:rPr>
        <w:t>:28. doi:10.1186/1472-6823-12-28</w:t>
      </w:r>
    </w:p>
    <w:p w14:paraId="26FBC691"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11 </w:t>
      </w:r>
      <w:r w:rsidRPr="006324A5">
        <w:rPr>
          <w:rFonts w:ascii="Arial" w:hAnsi="Arial" w:cs="Arial"/>
          <w:noProof/>
          <w:sz w:val="24"/>
          <w:szCs w:val="24"/>
        </w:rPr>
        <w:tab/>
        <w:t xml:space="preserve">REPOSE Study Group TRS. Relative effectiveness of insulin pump treatment over multiple daily injections and structured education during flexible intensive insulin treatment for type 1 diabetes: cluster randomised trial (REPOSE). </w:t>
      </w:r>
      <w:r w:rsidRPr="006324A5">
        <w:rPr>
          <w:rFonts w:ascii="Arial" w:hAnsi="Arial" w:cs="Arial"/>
          <w:i/>
          <w:iCs/>
          <w:noProof/>
          <w:sz w:val="24"/>
          <w:szCs w:val="24"/>
        </w:rPr>
        <w:t>BMJ</w:t>
      </w:r>
      <w:r w:rsidRPr="006324A5">
        <w:rPr>
          <w:rFonts w:ascii="Arial" w:hAnsi="Arial" w:cs="Arial"/>
          <w:noProof/>
          <w:sz w:val="24"/>
          <w:szCs w:val="24"/>
        </w:rPr>
        <w:t xml:space="preserve"> 2017;</w:t>
      </w:r>
      <w:r w:rsidRPr="006324A5">
        <w:rPr>
          <w:rFonts w:ascii="Arial" w:hAnsi="Arial" w:cs="Arial"/>
          <w:b/>
          <w:bCs/>
          <w:noProof/>
          <w:sz w:val="24"/>
          <w:szCs w:val="24"/>
        </w:rPr>
        <w:t>356</w:t>
      </w:r>
      <w:r w:rsidRPr="006324A5">
        <w:rPr>
          <w:rFonts w:ascii="Arial" w:hAnsi="Arial" w:cs="Arial"/>
          <w:noProof/>
          <w:sz w:val="24"/>
          <w:szCs w:val="24"/>
        </w:rPr>
        <w:t>:j1285. doi:10.1136/BMJ.J1285</w:t>
      </w:r>
    </w:p>
    <w:p w14:paraId="23FD746E"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12 </w:t>
      </w:r>
      <w:r w:rsidRPr="006324A5">
        <w:rPr>
          <w:rFonts w:ascii="Arial" w:hAnsi="Arial" w:cs="Arial"/>
          <w:noProof/>
          <w:sz w:val="24"/>
          <w:szCs w:val="24"/>
        </w:rPr>
        <w:tab/>
        <w:t xml:space="preserve">Devlin NJ, Shah KK, Feng Y, </w:t>
      </w:r>
      <w:r w:rsidRPr="006324A5">
        <w:rPr>
          <w:rFonts w:ascii="Arial" w:hAnsi="Arial" w:cs="Arial"/>
          <w:i/>
          <w:iCs/>
          <w:noProof/>
          <w:sz w:val="24"/>
          <w:szCs w:val="24"/>
        </w:rPr>
        <w:t>et al.</w:t>
      </w:r>
      <w:r w:rsidRPr="006324A5">
        <w:rPr>
          <w:rFonts w:ascii="Arial" w:hAnsi="Arial" w:cs="Arial"/>
          <w:noProof/>
          <w:sz w:val="24"/>
          <w:szCs w:val="24"/>
        </w:rPr>
        <w:t xml:space="preserve"> Valuing health-related quality of life: An EQ-5D-5L value set for England. </w:t>
      </w:r>
      <w:r w:rsidRPr="006324A5">
        <w:rPr>
          <w:rFonts w:ascii="Arial" w:hAnsi="Arial" w:cs="Arial"/>
          <w:i/>
          <w:iCs/>
          <w:noProof/>
          <w:sz w:val="24"/>
          <w:szCs w:val="24"/>
        </w:rPr>
        <w:t>Health Econ</w:t>
      </w:r>
      <w:r w:rsidRPr="006324A5">
        <w:rPr>
          <w:rFonts w:ascii="Arial" w:hAnsi="Arial" w:cs="Arial"/>
          <w:noProof/>
          <w:sz w:val="24"/>
          <w:szCs w:val="24"/>
        </w:rPr>
        <w:t xml:space="preserve"> Published Online First: 22 August 2017. doi:10.1002/hec.3564</w:t>
      </w:r>
    </w:p>
    <w:p w14:paraId="4D686BF0"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szCs w:val="24"/>
        </w:rPr>
      </w:pPr>
      <w:r w:rsidRPr="006324A5">
        <w:rPr>
          <w:rFonts w:ascii="Arial" w:hAnsi="Arial" w:cs="Arial"/>
          <w:noProof/>
          <w:sz w:val="24"/>
          <w:szCs w:val="24"/>
        </w:rPr>
        <w:t xml:space="preserve">13 </w:t>
      </w:r>
      <w:r w:rsidRPr="006324A5">
        <w:rPr>
          <w:rFonts w:ascii="Arial" w:hAnsi="Arial" w:cs="Arial"/>
          <w:noProof/>
          <w:sz w:val="24"/>
          <w:szCs w:val="24"/>
        </w:rPr>
        <w:tab/>
        <w:t xml:space="preserve">National Institute for Health and Care Excellence. NICE’s position statement on EQ-5D-5L NATIONAL INSTITUTE FOR HEALTH AND CARE EXCELLENCE Position statement on use of the EQ-5D-5L valuation set. </w:t>
      </w:r>
      <w:r w:rsidRPr="006324A5">
        <w:rPr>
          <w:rFonts w:ascii="Arial" w:hAnsi="Arial" w:cs="Arial"/>
          <w:noProof/>
          <w:sz w:val="24"/>
          <w:szCs w:val="24"/>
        </w:rPr>
        <w:lastRenderedPageBreak/>
        <w:t>https://www.nice.org.uk/Media/Default/About/what-we-do/NICE-guidance/NICE-technology-appraisal-guidance/eq5d5l_nice_position_statement.pdf (accessed 30 Jan 2018).</w:t>
      </w:r>
    </w:p>
    <w:p w14:paraId="3A01B712" w14:textId="77777777" w:rsidR="006324A5" w:rsidRPr="006324A5" w:rsidRDefault="006324A5" w:rsidP="006324A5">
      <w:pPr>
        <w:widowControl w:val="0"/>
        <w:autoSpaceDE w:val="0"/>
        <w:autoSpaceDN w:val="0"/>
        <w:adjustRightInd w:val="0"/>
        <w:spacing w:line="240" w:lineRule="auto"/>
        <w:ind w:left="640" w:hanging="640"/>
        <w:rPr>
          <w:rFonts w:ascii="Arial" w:hAnsi="Arial" w:cs="Arial"/>
          <w:noProof/>
          <w:sz w:val="24"/>
        </w:rPr>
      </w:pPr>
      <w:r w:rsidRPr="006324A5">
        <w:rPr>
          <w:rFonts w:ascii="Arial" w:hAnsi="Arial" w:cs="Arial"/>
          <w:noProof/>
          <w:sz w:val="24"/>
          <w:szCs w:val="24"/>
        </w:rPr>
        <w:t xml:space="preserve">14 </w:t>
      </w:r>
      <w:r w:rsidRPr="006324A5">
        <w:rPr>
          <w:rFonts w:ascii="Arial" w:hAnsi="Arial" w:cs="Arial"/>
          <w:noProof/>
          <w:sz w:val="24"/>
          <w:szCs w:val="24"/>
        </w:rPr>
        <w:tab/>
        <w:t xml:space="preserve">van Hout B, Janssen MF, Feng Y-S, </w:t>
      </w:r>
      <w:r w:rsidRPr="006324A5">
        <w:rPr>
          <w:rFonts w:ascii="Arial" w:hAnsi="Arial" w:cs="Arial"/>
          <w:i/>
          <w:iCs/>
          <w:noProof/>
          <w:sz w:val="24"/>
          <w:szCs w:val="24"/>
        </w:rPr>
        <w:t>et al.</w:t>
      </w:r>
      <w:r w:rsidRPr="006324A5">
        <w:rPr>
          <w:rFonts w:ascii="Arial" w:hAnsi="Arial" w:cs="Arial"/>
          <w:noProof/>
          <w:sz w:val="24"/>
          <w:szCs w:val="24"/>
        </w:rPr>
        <w:t xml:space="preserve"> Interim Scoring for the EQ-5D-5L: Mapping the EQ-5D-5L to EQ-5D-3L Value Sets. </w:t>
      </w:r>
      <w:r w:rsidRPr="006324A5">
        <w:rPr>
          <w:rFonts w:ascii="Arial" w:hAnsi="Arial" w:cs="Arial"/>
          <w:i/>
          <w:iCs/>
          <w:noProof/>
          <w:sz w:val="24"/>
          <w:szCs w:val="24"/>
        </w:rPr>
        <w:t>Value Heal</w:t>
      </w:r>
      <w:r w:rsidRPr="006324A5">
        <w:rPr>
          <w:rFonts w:ascii="Arial" w:hAnsi="Arial" w:cs="Arial"/>
          <w:noProof/>
          <w:sz w:val="24"/>
          <w:szCs w:val="24"/>
        </w:rPr>
        <w:t xml:space="preserve"> 2012;</w:t>
      </w:r>
      <w:r w:rsidRPr="006324A5">
        <w:rPr>
          <w:rFonts w:ascii="Arial" w:hAnsi="Arial" w:cs="Arial"/>
          <w:b/>
          <w:bCs/>
          <w:noProof/>
          <w:sz w:val="24"/>
          <w:szCs w:val="24"/>
        </w:rPr>
        <w:t>15</w:t>
      </w:r>
      <w:r w:rsidRPr="006324A5">
        <w:rPr>
          <w:rFonts w:ascii="Arial" w:hAnsi="Arial" w:cs="Arial"/>
          <w:noProof/>
          <w:sz w:val="24"/>
          <w:szCs w:val="24"/>
        </w:rPr>
        <w:t>:708–15. doi:10.1016/j.jval.2012.02.008</w:t>
      </w:r>
    </w:p>
    <w:p w14:paraId="06F82AC7" w14:textId="1630CF18" w:rsidR="006324A5" w:rsidRPr="006324A5" w:rsidRDefault="006324A5">
      <w:pPr>
        <w:rPr>
          <w:rFonts w:ascii="Arial" w:hAnsi="Arial" w:cs="Arial"/>
          <w:b/>
          <w:sz w:val="24"/>
        </w:rPr>
      </w:pPr>
      <w:r>
        <w:rPr>
          <w:rFonts w:ascii="Arial" w:hAnsi="Arial" w:cs="Arial"/>
          <w:b/>
          <w:sz w:val="24"/>
        </w:rPr>
        <w:fldChar w:fldCharType="end"/>
      </w:r>
      <w:bookmarkStart w:id="0" w:name="_GoBack"/>
      <w:bookmarkEnd w:id="0"/>
    </w:p>
    <w:sectPr w:rsidR="006324A5" w:rsidRPr="0063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6A25"/>
    <w:multiLevelType w:val="hybridMultilevel"/>
    <w:tmpl w:val="B8A8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D3"/>
    <w:rsid w:val="00174D72"/>
    <w:rsid w:val="006324A5"/>
    <w:rsid w:val="007E12D3"/>
    <w:rsid w:val="0088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CD74"/>
  <w15:chartTrackingRefBased/>
  <w15:docId w15:val="{82A2B875-AE90-40AF-8696-B723243E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D3"/>
    <w:rPr>
      <w:rFonts w:eastAsiaTheme="minorEastAsia"/>
      <w:lang w:eastAsia="zh-CN"/>
    </w:rPr>
  </w:style>
  <w:style w:type="paragraph" w:styleId="Heading1">
    <w:name w:val="heading 1"/>
    <w:basedOn w:val="Normal"/>
    <w:next w:val="Normal"/>
    <w:link w:val="Heading1Char"/>
    <w:uiPriority w:val="9"/>
    <w:qFormat/>
    <w:rsid w:val="007E1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2D3"/>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uiPriority w:val="34"/>
    <w:qFormat/>
    <w:rsid w:val="007E12D3"/>
    <w:pPr>
      <w:ind w:left="720"/>
      <w:contextualSpacing/>
    </w:pPr>
  </w:style>
  <w:style w:type="character" w:styleId="CommentReference">
    <w:name w:val="annotation reference"/>
    <w:basedOn w:val="DefaultParagraphFont"/>
    <w:uiPriority w:val="99"/>
    <w:semiHidden/>
    <w:unhideWhenUsed/>
    <w:rsid w:val="007E12D3"/>
    <w:rPr>
      <w:sz w:val="16"/>
      <w:szCs w:val="16"/>
    </w:rPr>
  </w:style>
  <w:style w:type="paragraph" w:styleId="CommentText">
    <w:name w:val="annotation text"/>
    <w:basedOn w:val="Normal"/>
    <w:link w:val="CommentTextChar"/>
    <w:uiPriority w:val="99"/>
    <w:semiHidden/>
    <w:unhideWhenUsed/>
    <w:rsid w:val="007E12D3"/>
    <w:pPr>
      <w:spacing w:line="240" w:lineRule="auto"/>
    </w:pPr>
    <w:rPr>
      <w:sz w:val="20"/>
      <w:szCs w:val="20"/>
    </w:rPr>
  </w:style>
  <w:style w:type="character" w:customStyle="1" w:styleId="CommentTextChar">
    <w:name w:val="Comment Text Char"/>
    <w:basedOn w:val="DefaultParagraphFont"/>
    <w:link w:val="CommentText"/>
    <w:uiPriority w:val="99"/>
    <w:semiHidden/>
    <w:rsid w:val="007E12D3"/>
    <w:rPr>
      <w:rFonts w:eastAsiaTheme="minorEastAsia"/>
      <w:sz w:val="20"/>
      <w:szCs w:val="20"/>
      <w:lang w:eastAsia="zh-CN"/>
    </w:rPr>
  </w:style>
  <w:style w:type="character" w:customStyle="1" w:styleId="ng-binding">
    <w:name w:val="ng-binding"/>
    <w:basedOn w:val="DefaultParagraphFont"/>
    <w:rsid w:val="007E12D3"/>
  </w:style>
  <w:style w:type="paragraph" w:styleId="BalloonText">
    <w:name w:val="Balloon Text"/>
    <w:basedOn w:val="Normal"/>
    <w:link w:val="BalloonTextChar"/>
    <w:uiPriority w:val="99"/>
    <w:semiHidden/>
    <w:unhideWhenUsed/>
    <w:rsid w:val="007E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D3"/>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EAB0-695B-4FFB-90DB-5F9BD8E4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8219</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Coates</dc:creator>
  <cp:keywords/>
  <dc:description/>
  <cp:lastModifiedBy>Lizzie Coates</cp:lastModifiedBy>
  <cp:revision>2</cp:revision>
  <dcterms:created xsi:type="dcterms:W3CDTF">2020-05-13T10:30:00Z</dcterms:created>
  <dcterms:modified xsi:type="dcterms:W3CDTF">2020-05-13T10:44:00Z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e96626bd-9795-32f6-a481-31d298de3371</vt:lpwstr>
  </property>
  <property fmtid="{D5CDD505-2E9C-101B-9397-08002B2CF9AE}" pid="24" name="Mendeley Citation Style_1">
    <vt:lpwstr>http://www.zotero.org/styles/bmj-open</vt:lpwstr>
  </property>
</Properties>
</file>