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E98BE" w14:textId="77777777" w:rsidR="007E12D3" w:rsidRDefault="007E12D3" w:rsidP="007E12D3">
      <w:pPr>
        <w:pStyle w:val="Heading1"/>
        <w:rPr>
          <w:rFonts w:ascii="Arial" w:hAnsi="Arial" w:cs="Arial"/>
          <w:b/>
          <w:bCs/>
          <w:color w:val="auto"/>
          <w:sz w:val="24"/>
          <w:szCs w:val="24"/>
        </w:rPr>
      </w:pPr>
      <w:r>
        <w:rPr>
          <w:rFonts w:ascii="Arial" w:hAnsi="Arial" w:cs="Arial"/>
          <w:b/>
          <w:bCs/>
          <w:color w:val="auto"/>
          <w:sz w:val="24"/>
          <w:szCs w:val="24"/>
        </w:rPr>
        <w:t xml:space="preserve">Supplementary material 3 – </w:t>
      </w:r>
      <w:r w:rsidRPr="00450CC6">
        <w:rPr>
          <w:rFonts w:ascii="Arial" w:hAnsi="Arial" w:cs="Arial"/>
          <w:b/>
          <w:bCs/>
          <w:color w:val="auto"/>
          <w:sz w:val="24"/>
          <w:szCs w:val="24"/>
        </w:rPr>
        <w:t>Protocol</w:t>
      </w:r>
      <w:r>
        <w:rPr>
          <w:rFonts w:ascii="Arial" w:hAnsi="Arial" w:cs="Arial"/>
          <w:b/>
          <w:bCs/>
          <w:color w:val="auto"/>
          <w:sz w:val="24"/>
          <w:szCs w:val="24"/>
        </w:rPr>
        <w:t xml:space="preserve"> </w:t>
      </w:r>
      <w:r w:rsidRPr="00450CC6">
        <w:rPr>
          <w:rFonts w:ascii="Arial" w:hAnsi="Arial" w:cs="Arial"/>
          <w:b/>
          <w:bCs/>
          <w:color w:val="auto"/>
          <w:sz w:val="24"/>
          <w:szCs w:val="24"/>
        </w:rPr>
        <w:t>for DAFNE</w:t>
      </w:r>
      <w:r w:rsidRPr="00450CC6">
        <w:rPr>
          <w:rFonts w:ascii="Arial" w:hAnsi="Arial" w:cs="Arial"/>
          <w:b/>
          <w:bCs/>
          <w:i/>
          <w:iCs/>
          <w:color w:val="auto"/>
          <w:sz w:val="24"/>
          <w:szCs w:val="24"/>
        </w:rPr>
        <w:t>plus</w:t>
      </w:r>
      <w:r w:rsidRPr="00450CC6">
        <w:rPr>
          <w:rFonts w:ascii="Arial" w:hAnsi="Arial" w:cs="Arial"/>
          <w:b/>
          <w:bCs/>
          <w:color w:val="auto"/>
          <w:sz w:val="24"/>
          <w:szCs w:val="24"/>
        </w:rPr>
        <w:t xml:space="preserve"> Economic Evaluation</w:t>
      </w:r>
    </w:p>
    <w:p w14:paraId="1E268219" w14:textId="77777777" w:rsidR="007E12D3" w:rsidRDefault="007E12D3" w:rsidP="007E12D3"/>
    <w:p w14:paraId="4659C117" w14:textId="77777777" w:rsidR="007E12D3" w:rsidRPr="00450CC6" w:rsidRDefault="007E12D3" w:rsidP="007E12D3">
      <w:pPr>
        <w:spacing w:after="0" w:line="240" w:lineRule="auto"/>
        <w:rPr>
          <w:rFonts w:ascii="Arial" w:hAnsi="Arial" w:cs="Arial"/>
          <w:b/>
          <w:bCs/>
          <w:iCs/>
          <w:sz w:val="24"/>
          <w:szCs w:val="24"/>
        </w:rPr>
      </w:pPr>
      <w:r w:rsidRPr="00450CC6">
        <w:rPr>
          <w:rFonts w:ascii="Arial" w:hAnsi="Arial" w:cs="Arial"/>
          <w:b/>
          <w:bCs/>
          <w:iCs/>
          <w:sz w:val="24"/>
          <w:szCs w:val="24"/>
        </w:rPr>
        <w:t>Aims and perspective</w:t>
      </w:r>
    </w:p>
    <w:p w14:paraId="7C51582F" w14:textId="77777777" w:rsidR="007E12D3" w:rsidRDefault="007E12D3" w:rsidP="007E12D3">
      <w:pPr>
        <w:spacing w:after="0" w:line="240" w:lineRule="auto"/>
        <w:jc w:val="both"/>
        <w:rPr>
          <w:rFonts w:ascii="Arial" w:hAnsi="Arial" w:cs="Arial"/>
          <w:sz w:val="24"/>
          <w:szCs w:val="24"/>
        </w:rPr>
      </w:pPr>
    </w:p>
    <w:p w14:paraId="57B0F231" w14:textId="0C77E37D" w:rsidR="007E12D3" w:rsidRPr="00450CC6" w:rsidRDefault="007E12D3" w:rsidP="007E12D3">
      <w:pPr>
        <w:spacing w:after="0" w:line="240" w:lineRule="auto"/>
        <w:jc w:val="both"/>
        <w:rPr>
          <w:rFonts w:ascii="Arial" w:hAnsi="Arial" w:cs="Arial"/>
          <w:sz w:val="24"/>
          <w:szCs w:val="24"/>
        </w:rPr>
      </w:pPr>
      <w:r w:rsidRPr="00450CC6">
        <w:rPr>
          <w:rFonts w:ascii="Arial" w:hAnsi="Arial" w:cs="Arial"/>
          <w:sz w:val="24"/>
          <w:szCs w:val="24"/>
        </w:rPr>
        <w:t>We will complete an economic evaluation as part of the study so that we are able to understand the cost-effectiveness of DAFNE</w:t>
      </w:r>
      <w:r w:rsidRPr="00450CC6">
        <w:rPr>
          <w:rFonts w:ascii="Arial" w:hAnsi="Arial" w:cs="Arial"/>
          <w:i/>
          <w:sz w:val="24"/>
          <w:szCs w:val="24"/>
        </w:rPr>
        <w:t>plus</w:t>
      </w:r>
      <w:r w:rsidRPr="00450CC6">
        <w:rPr>
          <w:rFonts w:ascii="Arial" w:hAnsi="Arial" w:cs="Arial"/>
          <w:sz w:val="24"/>
          <w:szCs w:val="24"/>
        </w:rPr>
        <w:t xml:space="preserve"> compared to the standard DAFNE programme. The economic evaluation will follow guidance set by the National Institute for Health and Clinical Excellence for its Technology Appraisal process </w:t>
      </w:r>
      <w:r w:rsidRPr="00450CC6">
        <w:rPr>
          <w:rFonts w:ascii="Arial" w:hAnsi="Arial" w:cs="Arial"/>
          <w:sz w:val="24"/>
          <w:szCs w:val="24"/>
        </w:rPr>
        <w:fldChar w:fldCharType="begin" w:fldLock="1"/>
      </w:r>
      <w:r w:rsidR="006324A5">
        <w:rPr>
          <w:rFonts w:ascii="Arial" w:hAnsi="Arial" w:cs="Arial"/>
          <w:sz w:val="24"/>
          <w:szCs w:val="24"/>
        </w:rPr>
        <w:instrText>ADDIN CSL_CITATION {"citationItems":[{"id":"ITEM-1","itemData":{"author":[{"dropping-particle":"","family":"National Institute for Health and Care Excellence","given":"","non-dropping-particle":"","parse-names":false,"suffix":""}],"id":"ITEM-1","issued":{"date-parts":[["0"]]},"publisher":"NICE","title":"Guide to the methods of technology appraisal 2013 | Guidance and guidelines | NICE","type":"article-journal"},"uris":["http://www.mendeley.com/documents/?uuid=67cb0c55-b5f8-3966-9681-067d99b05501"]}],"mendeley":{"formattedCitation":"[1]","plainTextFormattedCitation":"[1]","previouslyFormattedCitation":"[1]"},"properties":{"noteIndex":0},"schema":"https://github.com/citation-style-language/schema/raw/master/csl-citation.json"}</w:instrText>
      </w:r>
      <w:r w:rsidRPr="00450CC6">
        <w:rPr>
          <w:rFonts w:ascii="Arial" w:hAnsi="Arial" w:cs="Arial"/>
          <w:sz w:val="24"/>
          <w:szCs w:val="24"/>
        </w:rPr>
        <w:fldChar w:fldCharType="separate"/>
      </w:r>
      <w:r w:rsidR="006324A5" w:rsidRPr="006324A5">
        <w:rPr>
          <w:rFonts w:ascii="Arial" w:hAnsi="Arial" w:cs="Arial"/>
          <w:noProof/>
          <w:sz w:val="24"/>
          <w:szCs w:val="24"/>
        </w:rPr>
        <w:t>[1]</w:t>
      </w:r>
      <w:r w:rsidRPr="00450CC6">
        <w:rPr>
          <w:rFonts w:ascii="Arial" w:hAnsi="Arial" w:cs="Arial"/>
          <w:sz w:val="24"/>
          <w:szCs w:val="24"/>
        </w:rPr>
        <w:fldChar w:fldCharType="end"/>
      </w:r>
      <w:r w:rsidRPr="00450CC6">
        <w:rPr>
          <w:rFonts w:ascii="Arial" w:hAnsi="Arial" w:cs="Arial"/>
          <w:sz w:val="24"/>
          <w:szCs w:val="24"/>
        </w:rPr>
        <w:t xml:space="preserve">. The analysis will take an NHS and personal social services perspective, measure health effects in quality adjusted life years (QALYs), discount future outcomes at 3.5% per annum and consider effects and costs over a lifetime time horizon. </w:t>
      </w:r>
      <w:r>
        <w:rPr>
          <w:rFonts w:ascii="Arial" w:hAnsi="Arial" w:cs="Arial"/>
          <w:sz w:val="24"/>
          <w:szCs w:val="24"/>
        </w:rPr>
        <w:t>The primary analysis will be use</w:t>
      </w:r>
      <w:r w:rsidRPr="00450CC6">
        <w:rPr>
          <w:rFonts w:ascii="Arial" w:hAnsi="Arial" w:cs="Arial"/>
          <w:sz w:val="24"/>
          <w:szCs w:val="24"/>
        </w:rPr>
        <w:t xml:space="preserve"> long-term cost-effectiveness modelling</w:t>
      </w:r>
      <w:r>
        <w:rPr>
          <w:rFonts w:ascii="Arial" w:hAnsi="Arial" w:cs="Arial"/>
          <w:sz w:val="24"/>
          <w:szCs w:val="24"/>
        </w:rPr>
        <w:t>, a secondary analysis will be</w:t>
      </w:r>
      <w:r w:rsidRPr="00450CC6">
        <w:rPr>
          <w:rFonts w:ascii="Arial" w:hAnsi="Arial" w:cs="Arial"/>
          <w:sz w:val="24"/>
          <w:szCs w:val="24"/>
        </w:rPr>
        <w:t xml:space="preserve"> </w:t>
      </w:r>
      <w:r>
        <w:rPr>
          <w:rFonts w:ascii="Arial" w:hAnsi="Arial" w:cs="Arial"/>
          <w:sz w:val="24"/>
          <w:szCs w:val="24"/>
        </w:rPr>
        <w:t>a</w:t>
      </w:r>
      <w:r w:rsidRPr="00450CC6">
        <w:rPr>
          <w:rFonts w:ascii="Arial" w:hAnsi="Arial" w:cs="Arial"/>
          <w:sz w:val="24"/>
          <w:szCs w:val="24"/>
        </w:rPr>
        <w:t>n economic evaluation alongside the clinical trial (EEACT).</w:t>
      </w:r>
      <w:r>
        <w:rPr>
          <w:rFonts w:ascii="Arial" w:hAnsi="Arial" w:cs="Arial"/>
          <w:sz w:val="24"/>
          <w:szCs w:val="24"/>
        </w:rPr>
        <w:t xml:space="preserve"> The analysis population for all health economic analyses will consist of all participants in the DAFNEplus trial</w:t>
      </w:r>
      <w:r w:rsidRPr="00450CC6">
        <w:rPr>
          <w:rFonts w:ascii="Arial" w:hAnsi="Arial" w:cs="Arial"/>
          <w:sz w:val="24"/>
          <w:szCs w:val="24"/>
        </w:rPr>
        <w:t>. A full Health Economic and Decision Modelling Analysis Plan (HEDMAP) will be written and circulated to the Trial Management Group and Programme Steering Committee before being signed-off.</w:t>
      </w:r>
    </w:p>
    <w:p w14:paraId="3A482A07" w14:textId="77777777" w:rsidR="007E12D3" w:rsidRDefault="007E12D3" w:rsidP="007E12D3">
      <w:pPr>
        <w:spacing w:after="0" w:line="240" w:lineRule="auto"/>
        <w:rPr>
          <w:rFonts w:ascii="Arial" w:hAnsi="Arial" w:cs="Arial"/>
          <w:b/>
          <w:sz w:val="24"/>
          <w:szCs w:val="24"/>
        </w:rPr>
      </w:pPr>
    </w:p>
    <w:p w14:paraId="7D811B6A" w14:textId="77777777" w:rsidR="007E12D3" w:rsidRPr="00450CC6" w:rsidRDefault="007E12D3" w:rsidP="007E12D3">
      <w:pPr>
        <w:spacing w:after="0" w:line="240" w:lineRule="auto"/>
        <w:rPr>
          <w:rFonts w:ascii="Arial" w:hAnsi="Arial" w:cs="Arial"/>
          <w:b/>
          <w:sz w:val="24"/>
          <w:szCs w:val="24"/>
        </w:rPr>
      </w:pPr>
      <w:r w:rsidRPr="00450CC6">
        <w:rPr>
          <w:rFonts w:ascii="Arial" w:hAnsi="Arial" w:cs="Arial"/>
          <w:b/>
          <w:sz w:val="24"/>
          <w:szCs w:val="24"/>
        </w:rPr>
        <w:t>Long-term cost-effectiveness modelling</w:t>
      </w:r>
    </w:p>
    <w:p w14:paraId="5D05BFA5" w14:textId="77777777" w:rsidR="007E12D3" w:rsidRDefault="007E12D3" w:rsidP="007E12D3">
      <w:pPr>
        <w:spacing w:after="0" w:line="240" w:lineRule="auto"/>
        <w:jc w:val="both"/>
        <w:rPr>
          <w:rFonts w:ascii="Arial" w:hAnsi="Arial" w:cs="Arial"/>
          <w:sz w:val="24"/>
          <w:szCs w:val="24"/>
        </w:rPr>
      </w:pPr>
    </w:p>
    <w:p w14:paraId="40960CCF" w14:textId="13B72C5E" w:rsidR="007E12D3" w:rsidRPr="005A63D0" w:rsidRDefault="007E12D3" w:rsidP="007E12D3">
      <w:pPr>
        <w:spacing w:after="0" w:line="240" w:lineRule="auto"/>
        <w:jc w:val="both"/>
        <w:rPr>
          <w:rFonts w:ascii="Arial" w:hAnsi="Arial" w:cs="Arial"/>
          <w:sz w:val="24"/>
          <w:szCs w:val="24"/>
        </w:rPr>
      </w:pPr>
      <w:r w:rsidRPr="00450CC6">
        <w:rPr>
          <w:rFonts w:ascii="Arial" w:hAnsi="Arial" w:cs="Arial"/>
          <w:sz w:val="24"/>
          <w:szCs w:val="24"/>
        </w:rPr>
        <w:t xml:space="preserve">In the long-term modelling exercise, the resulting evidence base will be incorporated into an updated Sheffield T1D Diabetes Policy Model </w:t>
      </w:r>
      <w:r w:rsidRPr="00450CC6">
        <w:rPr>
          <w:rFonts w:ascii="Arial" w:hAnsi="Arial" w:cs="Arial"/>
          <w:sz w:val="24"/>
          <w:szCs w:val="24"/>
        </w:rPr>
        <w:fldChar w:fldCharType="begin" w:fldLock="1"/>
      </w:r>
      <w:r w:rsidR="006324A5">
        <w:rPr>
          <w:rFonts w:ascii="Arial" w:hAnsi="Arial" w:cs="Arial"/>
          <w:sz w:val="24"/>
          <w:szCs w:val="24"/>
        </w:rPr>
        <w:instrText>ADDIN CSL_CITATION {"citationItems":[{"id":"ITEM-1","itemData":{"DOI":"10.1111/dme.12371","ISSN":"07423071","PMID":"24299192","abstract":"AIMS To build a flexible and comprehensive long-term type 1 diabetes mellitus model incorporating the most up-to-date methodologies to allow a number of cost-effectiveness evaluations. METHODS This paper describes the conceptual modelling, model implementation and model validation of the Sheffield type 1 diabetes policy model (version 1.0), developed through funding by the U.K. National Institute for Health Research as part of the Dose Adjustment for Normal Eating research programme. The model is an individual patient-level simulation model of type 1 diabetes and it includes long-term microvascular (retinopathy, neuropathy and nephropathy) and macrovascular (myocardial infarction, stroke, revascularization and angina) diabetes-related complications and acute adverse events (severe hypoglycaemia and diabetic ketoacidosis). The occurrence of these diabetes-related complications in the model is linked to simulated individual patient-level risk factors, including HbA1c , age, duration of diabetes, lipids and blood pressure. Transition probabilities were modelled based on a combination of existing risk functions, published trials, epidemiological studies and individual-level data from the Dose Adjustment for Normal Eating research programme. RESULTS The model takes a lifetime perspective, estimating the impact of interventions on costs, clinical outcomes, survival and quality-adjusted life years. Validation of the model suggested that, for almost all diabetes-related complications predicted, event rates were within 10% of the normalized rates reported in the studies used to build the model. CONCLUSIONS The model is highly flexible and has broad potential application to evaluate the Dose Adjustment for Normal Eating research programme, other structured diabetes education programmes and other interventions for type 1 diabetes.","author":[{"dropping-particle":"","family":"Thokala","given":"P.","non-dropping-particle":"","parse-names":false,"suffix":""},{"dropping-particle":"","family":"Kruger","given":"J.","non-dropping-particle":"","parse-names":false,"suffix":""},{"dropping-particle":"","family":"Brennan","given":"A.","non-dropping-particle":"","parse-names":false,"suffix":""},{"dropping-particle":"","family":"Basarir","given":"H.","non-dropping-particle":"","parse-names":false,"suffix":""},{"dropping-particle":"","family":"Duenas","given":"A.","non-dropping-particle":"","parse-names":false,"suffix":""},{"dropping-particle":"","family":"Pandor","given":"A.","non-dropping-particle":"","parse-names":false,"suffix":""},{"dropping-particle":"","family":"Gillett","given":"M.","non-dropping-particle":"","parse-names":false,"suffix":""},{"dropping-particle":"","family":"Elliott","given":"J.","non-dropping-particle":"","parse-names":false,"suffix":""},{"dropping-particle":"","family":"Heller","given":"S.","non-dropping-particle":"","parse-names":false,"suffix":""}],"container-title":"Diabetic Medicine","id":"ITEM-1","issue":"4","issued":{"date-parts":[["2014","4"]]},"page":"477-486","title":"Assessing the cost-effectiveness of Type 1 diabetes interventions: the Sheffield Type 1 Diabetes Policy Model","type":"article-journal","volume":"31"},"uris":["http://www.mendeley.com/documents/?uuid=ae950bc0-97ec-30cd-bbe7-effdb1a9ffd6"]}],"mendeley":{"formattedCitation":"[2]","plainTextFormattedCitation":"[2]","previouslyFormattedCitation":"[2]"},"properties":{"noteIndex":0},"schema":"https://github.com/citation-style-language/schema/raw/master/csl-citation.json"}</w:instrText>
      </w:r>
      <w:r w:rsidRPr="00450CC6">
        <w:rPr>
          <w:rFonts w:ascii="Arial" w:hAnsi="Arial" w:cs="Arial"/>
          <w:sz w:val="24"/>
          <w:szCs w:val="24"/>
        </w:rPr>
        <w:fldChar w:fldCharType="separate"/>
      </w:r>
      <w:r w:rsidR="006324A5" w:rsidRPr="006324A5">
        <w:rPr>
          <w:rFonts w:ascii="Arial" w:hAnsi="Arial" w:cs="Arial"/>
          <w:noProof/>
          <w:sz w:val="24"/>
          <w:szCs w:val="24"/>
        </w:rPr>
        <w:t>[2]</w:t>
      </w:r>
      <w:r w:rsidRPr="00450CC6">
        <w:rPr>
          <w:rFonts w:ascii="Arial" w:hAnsi="Arial" w:cs="Arial"/>
          <w:sz w:val="24"/>
          <w:szCs w:val="24"/>
        </w:rPr>
        <w:fldChar w:fldCharType="end"/>
      </w:r>
      <w:r w:rsidRPr="00450CC6">
        <w:rPr>
          <w:rFonts w:ascii="Arial" w:hAnsi="Arial" w:cs="Arial"/>
          <w:sz w:val="24"/>
          <w:szCs w:val="24"/>
        </w:rPr>
        <w:t xml:space="preserve">. </w:t>
      </w:r>
      <w:r>
        <w:rPr>
          <w:rFonts w:ascii="Arial" w:hAnsi="Arial" w:cs="Arial"/>
          <w:sz w:val="24"/>
          <w:szCs w:val="24"/>
        </w:rPr>
        <w:t>This model has been used extensively in the evaluation of education and psychological interventions for people with T1D</w:t>
      </w:r>
      <w:r w:rsidR="00880610">
        <w:rPr>
          <w:rFonts w:ascii="Arial" w:hAnsi="Arial" w:cs="Arial"/>
          <w:sz w:val="24"/>
          <w:szCs w:val="24"/>
        </w:rPr>
        <w:fldChar w:fldCharType="begin" w:fldLock="1"/>
      </w:r>
      <w:r w:rsidR="006324A5">
        <w:rPr>
          <w:rFonts w:ascii="Arial" w:hAnsi="Arial" w:cs="Arial"/>
          <w:sz w:val="24"/>
          <w:szCs w:val="24"/>
        </w:rPr>
        <w:instrText>ADDIN CSL_CITATION {"citationItems":[{"id":"ITEM-1","itemData":{"DOI":"10.1111/dme.12270","ISSN":"07423071","author":[{"dropping-particle":"","family":"Kruger","given":"J.","non-dropping-particle":"","parse-names":false,"suffix":""},{"dropping-particle":"","family":"Brennan","given":"A.","non-dropping-particle":"","parse-names":false,"suffix":""},{"dropping-particle":"","family":"Thokala","given":"P.","non-dropping-particle":"","parse-names":false,"suffix":""},{"dropping-particle":"","family":"Basarir","given":"H.","non-dropping-particle":"","parse-names":false,"suffix":""},{"dropping-particle":"","family":"Jacques","given":"R.","non-dropping-particle":"","parse-names":false,"suffix":""},{"dropping-particle":"","family":"Elliott","given":"J.","non-dropping-particle":"","parse-names":false,"suffix":""},{"dropping-particle":"","family":"Heller","given":"S.","non-dropping-particle":"","parse-names":false,"suffix":""},{"dropping-particle":"","family":"Speight","given":"J.","non-dropping-particle":"","parse-names":false,"suffix":""}],"container-title":"Diabetic Medicine","id":"ITEM-1","issue":"10","issued":{"date-parts":[["2013","10"]]},"page":"1236-1244","title":"The cost-effectiveness of the Dose Adjustment for Normal Eating (DAFNE) structured education programme: an update using the Sheffield Type 1 Diabetes Policy Model","type":"article-journal","volume":"30"},"uris":["http://www.mendeley.com/documents/?uuid=9e1d433d-a383-37f8-b5eb-12db5ed05df3"]},{"id":"ITEM-2","itemData":{"DOI":"10.3310/pgfar02050","ISSN":"2050-4322","author":[{"dropping-particle":"","family":"Heller","given":"Simon","non-dropping-particle":"","parse-names":false,"suffix":""},{"dropping-particle":"","family":"Lawton","given":"Julia","non-dropping-particle":"","parse-names":false,"suffix":""},{"dropping-particle":"","family":"Amiel","given":"Stephanie","non-dropping-particle":"","parse-names":false,"suffix":""},{"dropping-particle":"","family":"Cooke","given":"Debbie","non-dropping-particle":"","parse-names":false,"suffix":""},{"dropping-particle":"","family":"Mansell","given":"Peter","non-dropping-particle":"","parse-names":false,"suffix":""},{"dropping-particle":"","family":"Brennan","given":"Alan","non-dropping-particle":"","parse-names":false,"suffix":""},{"dropping-particle":"","family":"Elliott","given":"Jackie","non-dropping-particle":"","parse-names":false,"suffix":""},{"dropping-particle":"","family":"Boote","given":"Jonathan","non-dropping-particle":"","parse-names":false,"suffix":""},{"dropping-particle":"","family":"Emery","given":"Celia","non-dropping-particle":"","parse-names":false,"suffix":""},{"dropping-particle":"","family":"Baird","given":"Wendy","non-dropping-particle":"","parse-names":false,"suffix":""},{"dropping-particle":"","family":"Basarir","given":"Hasan","non-dropping-particle":"","parse-names":false,"suffix":""},{"dropping-particle":"","family":"Beveridge","given":"Susan","non-dropping-particle":"","parse-names":false,"suffix":""},{"dropping-particle":"","family":"Bond","given":"Rod","non-dropping-particle":"","parse-names":false,"suffix":""},{"dropping-particle":"","family":"Campbell","given":"Mike","non-dropping-particle":"","parse-names":false,"suffix":""},{"dropping-particle":"","family":"Chater","given":"Timothy","non-dropping-particle":"","parse-names":false,"suffix":""},{"dropping-particle":"","family":"Choudhary","given":"Pratik","non-dropping-particle":"","parse-names":false,"suffix":""},{"dropping-particle":"","family":"Clark","given":"Marie","non-dropping-particle":"","parse-names":false,"suffix":""},{"dropping-particle":"","family":"Zoysa","given":"Nicole","non-dropping-particle":"de","parse-names":false,"suffix":""},{"dropping-particle":"","family":"Dixon","given":"Simon","non-dropping-particle":"","parse-names":false,"suffix":""},{"dropping-particle":"","family":"Gianfrancesco","given":"Carla","non-dropping-particle":"","parse-names":false,"suffix":""},{"dropping-particle":"","family":"Hopkins","given":"David","non-dropping-particle":"","parse-names":false,"suffix":""},{"dropping-particle":"","family":"Jacques","given":"Richard","non-dropping-particle":"","parse-names":false,"suffix":""},{"dropping-particle":"","family":"Kruger","given":"Jen","non-dropping-particle":"","parse-names":false,"suffix":""},{"dropping-particle":"","family":"Moore","given":"Susan","non-dropping-particle":"","parse-names":false,"suffix":""},{"dropping-particle":"","family":"Oliver","given":"Lindsay","non-dropping-particle":"","parse-names":false,"suffix":""},{"dropping-particle":"","family":"Peasgood","given":"Tessa","non-dropping-particle":"","parse-names":false,"suffix":""},{"dropping-particle":"","family":"Rankin","given":"David","non-dropping-particle":"","parse-names":false,"suffix":""},{"dropping-particle":"","family":"Roberts","given":"Sue","non-dropping-particle":"","parse-names":false,"suffix":""},{"dropping-particle":"","family":"Rogers","given":"Helen","non-dropping-particle":"","parse-names":false,"suffix":""},{"dropping-particle":"","family":"Taylor","given":"Carolin","non-dropping-particle":"","parse-names":false,"suffix":""},{"dropping-particle":"","family":"Thokala","given":"Praveen","non-dropping-particle":"","parse-names":false,"suffix":""},{"dropping-particle":"","family":"Thompson","given":"Gill","non-dropping-particle":"","parse-names":false,"suffix":""},{"dropping-particle":"","family":"Ward","given":"Candice","non-dropping-particle":"","parse-names":false,"suffix":""}],"container-title":"Programme Grants for Applied Research","id":"ITEM-2","issue":"5","issued":{"date-parts":[["2014","12"]]},"page":"1-188","title":"Improving management of type 1 diabetes in the UK: the Dose Adjustment For Normal Eating (DAFNE) programme as a research test-bed. A mixed-method analysis of the barriers to and facilitators of successful diabetes self-management, a health economic analysis, a cluster randomised controlled trial of different models of delivery of an educational intervention and the potential of insulin pumps and additional educator input to improve outcomes","type":"article-journal","volume":"2"},"uris":["http://www.mendeley.com/documents/?uuid=942fc0f4-5731-32fa-bfad-b0deff3619e8"]},{"id":"ITEM-3","itemData":{"DOI":"10.1177/0272989X15590143","ISSN":"0272-989X","abstract":"Background. Health economic modeling has paid limited attention to the effects that patients psychological characteristics have on the effectiveness of treatments. This case study tests 1) the feasibility of incorporating psychological prediction models of treatment response within an economic model of type 1 diabetes, 2) the potential value of providing treatment to a subgroup of patients, and 3) the cost-effectiveness of providing treatment to a subgroup of responders defined using 5 different algorithms. Methods. Multiple linear regressions were used to investigate relationships between patients psychological characteristics and treatment effectiveness. Two psychological prediction models were integrated with a patient-level simulation model of type 1 diabetes. Expected value of individualized care analysis was undertaken. Five different algorithms were used to provide treatment to a subgroup of predicted responders. A cost-effectiveness analysis compared using the algorithms to providing treatment to all patients. Results. The psychological prediction models had low predictive power for treatment effectiveness. Expected value of individualized care results suggested that targeting education at responders could be of value. The cost-effectiveness analysis suggested, for all 5 algorithms, that providing structured education to a subgroup of predicted responders would not be cost-effective. Limitations. The psychological prediction models tested did not have sufficient predictive power to make targeting treatment cost-effective. The psychological prediction models are simple linear models of psychological behavior. Collection of data on additional covariates could potentially increase statistical power. Conclusions. By collecting data on psychological variables before an intervention, we can construct predictive models of treatment response to interventions. These predictive models can be incorporated into health economic models to investigate more complex service delivery and reimbursement strategies.","author":[{"dropping-particle":"","family":"Kruger","given":"Jen","non-dropping-particle":"","parse-names":false,"suffix":""},{"dropping-particle":"","family":"Pollard","given":"Daniel","non-dropping-particle":"","parse-names":false,"suffix":""},{"dropping-particle":"","family":"Basarir","given":"Hasan","non-dropping-particle":"","parse-names":false,"suffix":""},{"dropping-particle":"","family":"Thokala","given":"Praveen","non-dropping-particle":"","parse-names":false,"suffix":""},{"dropping-particle":"","family":"Cooke","given":"Debbie","non-dropping-particle":"","parse-names":false,"suffix":""},{"dropping-particle":"","family":"Clark","given":"Marie","non-dropping-particle":"","parse-names":false,"suffix":""},{"dropping-particle":"","family":"Bond","given":"Rod","non-dropping-particle":"","parse-names":false,"suffix":""},{"dropping-particle":"","family":"Heller","given":"Simon","non-dropping-particle":"","parse-names":false,"suffix":""},{"dropping-particle":"","family":"Brennan","given":"Alan","non-dropping-particle":"","parse-names":false,"suffix":""}],"container-title":"Medical Decision Making","id":"ITEM-3","issue":"7","issued":{"date-parts":[["2015","10","16"]]},"page":"872-887","publisher":"SAGE Publications Inc.","title":"Incorporating Psychological Predictors of Treatment Response into Health Economic Simulation Models","type":"article-journal","volume":"35"},"uris":["http://www.mendeley.com/documents/?uuid=15b50a55-1c1b-3c80-8499-733beba35084"]},{"id":"ITEM-4","itemData":{"DOI":"10.1136/bmjopen-2017-016766","ISSN":"20446055","abstract":"Objectives To assess the long-term cost-effectiveness of insulin pumps and Dose Adjustment for Normal Eating (pumps+DAFNE) compared with multiple daily insulin injections and DAFNE (MDI+DAFNE) for adults with type 1 diabetes mellitus (T1DM) in the UK. Methods We undertook a cost-utility analysis using the Sheffield Type 1 Diabetes Policy Model and data from the Relative Effectiveness of Pumps over Structured Education (REPOSE) trial to estimate the lifetime incidence of diabetic complications, intervention-based resource use and associated effects on costs and quality-adjusted life years (QALYs). All economic analyses took a National Health Service and personal social services perspective and discounted costs and QALYs at 3.5% per annum. A probabilistic sensitivity analysis was performed on the base case. Further uncertainties in the cost of pumps and the evidence used to inform the model were explored using scenario analyses. Setting Eight diabetes centres in England and Scotland. Participants Adults with T1DM who were eligible to receive a structured education course and did not have a strong clinical indication or a preference for a pump. Intervention Pumps+DAFNE. Comparator MDI+DAFNE. Main outcome measures Incremental costs, incremental QALYs gained and incremental cost-effectiveness ratios (ICERs). Results Compared with MDI+DAFNE, pumps+DAFNE was associated with an incremental discounted lifetime cost of +£18 853 (95% CI £6175 to £31 645) and a gain in discounted lifetime QALYs of +0.13 (95% CI-0.70 to +0.96). The base case mean ICER was £142 195 per QALY gained. The probability of pump+DAFNE being cost-effective using a cost-effectiveness threshold of £20 000 per QALY gained was 14.0%. All scenario and subgroup analyses examined indicated that the ICER was unlikely to fall below £30 000 per QALY gained. Conclusions Our analysis of the REPOSE data suggests that routine use of pumps in adults without an immediate clinical need for a pump, as identified by National Institute for Health and Care Excellence, would not be cost-effective. Trial registration number ISRCTN61215213.","author":[{"dropping-particle":"","family":"Pollard","given":"Daniel John","non-dropping-particle":"","parse-names":false,"suffix":""},{"dropping-particle":"","family":"Brennan","given":"Alan","non-dropping-particle":"","parse-names":false,"suffix":""},{"dropping-particle":"","family":"Dixon","given":"Simon","non-dropping-particle":"","parse-names":false,"suffix":""},{"dropping-particle":"","family":"Waugh","given":"Norman","non-dropping-particle":"","parse-names":false,"suffix":""},{"dropping-particle":"","family":"Elliott","given":"Jackie","non-dropping-particle":"","parse-names":false,"suffix":""},{"dropping-particle":"","family":"Heller","given":"Simon","non-dropping-particle":"","parse-names":false,"suffix":""},{"dropping-particle":"","family":"Lee","given":"Ellen","non-dropping-particle":"","parse-names":false,"suffix":""},{"dropping-particle":"","family":"Campbell","given":"Michael","non-dropping-particle":"","parse-names":false,"suffix":""},{"dropping-particle":"","family":"Basarir","given":"Hasan","non-dropping-particle":"","parse-names":false,"suffix":""},{"dropping-particle":"","family":"White","given":"David","non-dropping-particle":"","parse-names":false,"suffix":""}],"container-title":"BMJ Open","id":"ITEM-4","issue":"4","issued":{"date-parts":[["2018","4","1"]]},"page":"e016766","publisher":"BMJ Publishing Group","title":"Cost-effectiveness of insulin pumps compared with multiple daily injections both provided with structured education for adults with type 1 diabetes: A health economic analysis of the Relative Effectiveness of Pumps over Structured Education (REPOSE) randomised controlled trial","type":"article-journal","volume":"8"},"uris":["http://www.mendeley.com/documents/?uuid=fd40324c-eb4e-397b-a198-1980f52da41a"]}],"mendeley":{"formattedCitation":"[3–6]","plainTextFormattedCitation":"[3–6]","previouslyFormattedCitation":"[3–6]"},"properties":{"noteIndex":0},"schema":"https://github.com/citation-style-language/schema/raw/master/csl-citation.json"}</w:instrText>
      </w:r>
      <w:r w:rsidR="00880610">
        <w:rPr>
          <w:rFonts w:ascii="Arial" w:hAnsi="Arial" w:cs="Arial"/>
          <w:sz w:val="24"/>
          <w:szCs w:val="24"/>
        </w:rPr>
        <w:fldChar w:fldCharType="separate"/>
      </w:r>
      <w:r w:rsidR="006324A5" w:rsidRPr="006324A5">
        <w:rPr>
          <w:rFonts w:ascii="Arial" w:hAnsi="Arial" w:cs="Arial"/>
          <w:noProof/>
          <w:sz w:val="24"/>
          <w:szCs w:val="24"/>
        </w:rPr>
        <w:t>[3–6]</w:t>
      </w:r>
      <w:r w:rsidR="00880610">
        <w:rPr>
          <w:rFonts w:ascii="Arial" w:hAnsi="Arial" w:cs="Arial"/>
          <w:sz w:val="24"/>
          <w:szCs w:val="24"/>
        </w:rPr>
        <w:fldChar w:fldCharType="end"/>
      </w:r>
      <w:r>
        <w:rPr>
          <w:rFonts w:ascii="Arial" w:hAnsi="Arial" w:cs="Arial"/>
          <w:sz w:val="24"/>
          <w:szCs w:val="24"/>
        </w:rPr>
        <w:t>.</w:t>
      </w:r>
      <w:r w:rsidRPr="00450CC6">
        <w:rPr>
          <w:rFonts w:ascii="Arial" w:hAnsi="Arial" w:cs="Arial"/>
          <w:sz w:val="24"/>
          <w:szCs w:val="24"/>
        </w:rPr>
        <w:t xml:space="preserve"> The time horizon of this analysis will be over each simulated individual’s lifetime. As such, the long-term modelling will be considered as the primary health economic analysis. Demographic variables and</w:t>
      </w:r>
      <w:r>
        <w:rPr>
          <w:rFonts w:ascii="Arial" w:hAnsi="Arial" w:cs="Arial"/>
          <w:sz w:val="24"/>
          <w:szCs w:val="24"/>
        </w:rPr>
        <w:t xml:space="preserve"> some key</w:t>
      </w:r>
      <w:r w:rsidRPr="00450CC6">
        <w:rPr>
          <w:rFonts w:ascii="Arial" w:hAnsi="Arial" w:cs="Arial"/>
          <w:sz w:val="24"/>
          <w:szCs w:val="24"/>
        </w:rPr>
        <w:t xml:space="preserve"> resource use</w:t>
      </w:r>
      <w:r>
        <w:rPr>
          <w:rFonts w:ascii="Arial" w:hAnsi="Arial" w:cs="Arial"/>
          <w:sz w:val="24"/>
          <w:szCs w:val="24"/>
        </w:rPr>
        <w:t xml:space="preserve"> data</w:t>
      </w:r>
      <w:r w:rsidRPr="00450CC6">
        <w:rPr>
          <w:rFonts w:ascii="Arial" w:hAnsi="Arial" w:cs="Arial"/>
          <w:sz w:val="24"/>
          <w:szCs w:val="24"/>
        </w:rPr>
        <w:t xml:space="preserve"> (e.g. insulin use, contacts with NHS professionals) will be obtained from the trial data. The Sheffield T1D Diabetes Policy Model will be updated to use statistical models that estimate the clinical effects of DAFNE</w:t>
      </w:r>
      <w:r w:rsidRPr="00450CC6">
        <w:rPr>
          <w:rFonts w:ascii="Arial" w:hAnsi="Arial" w:cs="Arial"/>
          <w:i/>
          <w:sz w:val="24"/>
          <w:szCs w:val="24"/>
        </w:rPr>
        <w:t>plus</w:t>
      </w:r>
      <w:r w:rsidRPr="00450CC6">
        <w:rPr>
          <w:rFonts w:ascii="Arial" w:hAnsi="Arial" w:cs="Arial"/>
          <w:sz w:val="24"/>
          <w:szCs w:val="24"/>
        </w:rPr>
        <w:t xml:space="preserve"> compared to DAFNE on HbA1c, the incidence of severe hypoglycaemia and the incidence of DKA. Two long-term modelling analyses will be conducted, the first will use the data collected by the one-year time point and will be submitted as part of the report to the NIHR on the DAFNE</w:t>
      </w:r>
      <w:r w:rsidRPr="00450CC6">
        <w:rPr>
          <w:rFonts w:ascii="Arial" w:hAnsi="Arial" w:cs="Arial"/>
          <w:i/>
          <w:sz w:val="24"/>
          <w:szCs w:val="24"/>
        </w:rPr>
        <w:t>plus</w:t>
      </w:r>
      <w:r w:rsidRPr="00450CC6">
        <w:rPr>
          <w:rFonts w:ascii="Arial" w:hAnsi="Arial" w:cs="Arial"/>
          <w:sz w:val="24"/>
          <w:szCs w:val="24"/>
        </w:rPr>
        <w:t xml:space="preserve"> programme grant. This analysis will be updated after the two-year data collection is complete to incorporate the statistical analysis of the two-year follow up data. These statistical analyses of the clinical effects of DAFNE</w:t>
      </w:r>
      <w:r w:rsidRPr="00450CC6">
        <w:rPr>
          <w:rFonts w:ascii="Arial" w:hAnsi="Arial" w:cs="Arial"/>
          <w:i/>
          <w:sz w:val="24"/>
          <w:szCs w:val="24"/>
        </w:rPr>
        <w:t xml:space="preserve">plus </w:t>
      </w:r>
      <w:r w:rsidRPr="00450CC6">
        <w:rPr>
          <w:rFonts w:ascii="Arial" w:hAnsi="Arial" w:cs="Arial"/>
          <w:sz w:val="24"/>
          <w:szCs w:val="24"/>
        </w:rPr>
        <w:t xml:space="preserve">compared to DAFNE will be pre-specified in </w:t>
      </w:r>
      <w:r>
        <w:rPr>
          <w:rFonts w:ascii="Arial" w:hAnsi="Arial" w:cs="Arial"/>
          <w:sz w:val="24"/>
          <w:szCs w:val="24"/>
        </w:rPr>
        <w:t>either</w:t>
      </w:r>
      <w:r w:rsidRPr="00450CC6">
        <w:rPr>
          <w:rFonts w:ascii="Arial" w:hAnsi="Arial" w:cs="Arial"/>
          <w:sz w:val="24"/>
          <w:szCs w:val="24"/>
        </w:rPr>
        <w:t xml:space="preserve"> the statistical analysis plan</w:t>
      </w:r>
      <w:r>
        <w:rPr>
          <w:rFonts w:ascii="Arial" w:hAnsi="Arial" w:cs="Arial"/>
          <w:sz w:val="24"/>
          <w:szCs w:val="24"/>
        </w:rPr>
        <w:t xml:space="preserve"> or the HEDMAP</w:t>
      </w:r>
      <w:r w:rsidRPr="00450CC6">
        <w:rPr>
          <w:rFonts w:ascii="Arial" w:hAnsi="Arial" w:cs="Arial"/>
          <w:sz w:val="24"/>
          <w:szCs w:val="24"/>
        </w:rPr>
        <w:t>.</w:t>
      </w:r>
      <w:r>
        <w:rPr>
          <w:rFonts w:ascii="Arial" w:hAnsi="Arial" w:cs="Arial"/>
          <w:sz w:val="24"/>
          <w:szCs w:val="24"/>
        </w:rPr>
        <w:t xml:space="preserve"> The reporting of this evaluation will follow the Palmer </w:t>
      </w:r>
      <w:r>
        <w:rPr>
          <w:rFonts w:ascii="Arial" w:hAnsi="Arial" w:cs="Arial"/>
          <w:i/>
          <w:iCs/>
          <w:sz w:val="24"/>
          <w:szCs w:val="24"/>
        </w:rPr>
        <w:t>et al</w:t>
      </w:r>
      <w:r w:rsidR="006324A5">
        <w:rPr>
          <w:rFonts w:ascii="Arial" w:hAnsi="Arial" w:cs="Arial"/>
          <w:sz w:val="24"/>
          <w:szCs w:val="24"/>
        </w:rPr>
        <w:fldChar w:fldCharType="begin" w:fldLock="1"/>
      </w:r>
      <w:r w:rsidR="006324A5">
        <w:rPr>
          <w:rFonts w:ascii="Arial" w:hAnsi="Arial" w:cs="Arial"/>
          <w:sz w:val="24"/>
          <w:szCs w:val="24"/>
        </w:rPr>
        <w:instrText>ADDIN CSL_CITATION {"citationItems":[{"id":"ITEM-1","itemData":{"DOI":"10.1016/j.jval.2018.02.002","ISSN":"15244733","PMID":"29909878","abstract":"Objectives: The Eighth Mount Hood Challenge (held in St. Gallen, Switzerland, in September 2016) evaluated the transparency of model input documentation from two published health economics studies and developed guidelines for improving transparency in the reporting of input data underlying model-based economic analyses in diabetes. Methods: Participating modeling groups were asked to reproduce the results of two published studies using the input data described in those articles. Gaps in input data were filled with assumptions reported by the modeling groups. Goodness of fit between the results reported in the target studies and the groups’ replicated outputs was evaluated using the slope of linear regression line and the coefficient of determination (R2). After a general discussion of the results, a diabetes-specific checklist for the transparency of model input was developed. Results: Seven groups participated in the transparency challenge. The reporting of key model input parameters in the two studies, including the baseline characteristics of simulated patients, treatment effect and treatment intensification threshold assumptions, treatment effect evolution, prediction of complications and costs data, was inadequately transparent (and often missing altogether). Not surprisingly, goodness of fit was better for the study that reported its input data with more transparency. To improve the transparency in diabetes modeling, the Diabetes Modeling Input Checklist listing the minimal input data required for reproducibility in most diabetes modeling applications was developed. Conclusions: Transparency of diabetes model inputs is important to the reproducibility and credibility of simulation results. In the Eighth Mount Hood Challenge, the Diabetes Modeling Input Checklist was developed with the goal of improving the transparency of input data reporting and reproducibility of diabetes simulation model results.","author":[{"dropping-particle":"","family":"Palmer","given":"Andrew J.","non-dropping-particle":"","parse-names":false,"suffix":""},{"dropping-particle":"","family":"Si","given":"Lei","non-dropping-particle":"","parse-names":false,"suffix":""},{"dropping-particle":"","family":"Tew","given":"Michelle","non-dropping-particle":"","parse-names":false,"suffix":""},{"dropping-particle":"","family":"Hua","given":"Xinyang","non-dropping-particle":"","parse-names":false,"suffix":""},{"dropping-particle":"","family":"Willis","given":"Michael S.","non-dropping-particle":"","parse-names":false,"suffix":""},{"dropping-particle":"","family":"Asseburg","given":"Christian","non-dropping-particle":"","parse-names":false,"suffix":""},{"dropping-particle":"","family":"McEwan","given":"Phil","non-dropping-particle":"","parse-names":false,"suffix":""},{"dropping-particle":"","family":"Leal","given":"José","non-dropping-particle":"","parse-names":false,"suffix":""},{"dropping-particle":"","family":"Gray","given":"Alastair","non-dropping-particle":"","parse-names":false,"suffix":""},{"dropping-particle":"","family":"Foos","given":"Volker","non-dropping-particle":"","parse-names":false,"suffix":""},{"dropping-particle":"","family":"Lamotte","given":"Mark","non-dropping-particle":"","parse-names":false,"suffix":""},{"dropping-particle":"","family":"Feenstra","given":"Talitha","non-dropping-particle":"","parse-names":false,"suffix":""},{"dropping-particle":"","family":"O'Connor","given":"Patrick J.","non-dropping-particle":"","parse-names":false,"suffix":""},{"dropping-particle":"","family":"Brandle","given":"Michael","non-dropping-particle":"","parse-names":false,"suffix":""},{"dropping-particle":"","family":"Smolen","given":"Harry J.","non-dropping-particle":"","parse-names":false,"suffix":""},{"dropping-particle":"","family":"Gahn","given":"James C.","non-dropping-particle":"","parse-names":false,"suffix":""},{"dropping-particle":"","family":"Valentine","given":"William J.","non-dropping-particle":"","parse-names":false,"suffix":""},{"dropping-particle":"","family":"Pollock","given":"Richard F.","non-dropping-particle":"","parse-names":false,"suffix":""},{"dropping-particle":"","family":"Breeze","given":"Penny","non-dropping-particle":"","parse-names":false,"suffix":""},{"dropping-particle":"","family":"Brennan","given":"Alan","non-dropping-particle":"","parse-names":false,"suffix":""},{"dropping-particle":"","family":"Pollard","given":"Daniel","non-dropping-particle":"","parse-names":false,"suffix":""},{"dropping-particle":"","family":"Ye","given":"Wen","non-dropping-particle":"","parse-names":false,"suffix":""},{"dropping-particle":"","family":"Herman","given":"William H.","non-dropping-particle":"","parse-names":false,"suffix":""},{"dropping-particle":"","family":"Isaman","given":"Deanna J.","non-dropping-particle":"","parse-names":false,"suffix":""},{"dropping-particle":"","family":"Kuo","given":"Shihchen","non-dropping-particle":"","parse-names":false,"suffix":""},{"dropping-particle":"","family":"Laiteerapong","given":"Neda","non-dropping-particle":"","parse-names":false,"suffix":""},{"dropping-particle":"","family":"Tran-Duy","given":"An","non-dropping-particle":"","parse-names":false,"suffix":""},{"dropping-particle":"","family":"Clarke","given":"Philip M.","non-dropping-particle":"","parse-names":false,"suffix":""}],"container-title":"Value in Health","id":"ITEM-1","issue":"6","issued":{"date-parts":[["2018","6","1"]]},"page":"724-731","publisher":"Elsevier Ltd","title":"Computer Modeling of Diabetes and Its Transparency: A Report on the Eighth Mount Hood Challenge","type":"article-journal","volume":"21"},"uris":["http://www.mendeley.com/documents/?uuid=df4c2c94-1d4a-38e5-be2b-14f4ef9995c2"]}],"mendeley":{"formattedCitation":"[7]","plainTextFormattedCitation":"[7]","previouslyFormattedCitation":"[7]"},"properties":{"noteIndex":0},"schema":"https://github.com/citation-style-language/schema/raw/master/csl-citation.json"}</w:instrText>
      </w:r>
      <w:r w:rsidR="006324A5">
        <w:rPr>
          <w:rFonts w:ascii="Arial" w:hAnsi="Arial" w:cs="Arial"/>
          <w:sz w:val="24"/>
          <w:szCs w:val="24"/>
        </w:rPr>
        <w:fldChar w:fldCharType="separate"/>
      </w:r>
      <w:r w:rsidR="006324A5" w:rsidRPr="006324A5">
        <w:rPr>
          <w:rFonts w:ascii="Arial" w:hAnsi="Arial" w:cs="Arial"/>
          <w:noProof/>
          <w:sz w:val="24"/>
          <w:szCs w:val="24"/>
        </w:rPr>
        <w:t>[7]</w:t>
      </w:r>
      <w:r w:rsidR="006324A5">
        <w:rPr>
          <w:rFonts w:ascii="Arial" w:hAnsi="Arial" w:cs="Arial"/>
          <w:sz w:val="24"/>
          <w:szCs w:val="24"/>
        </w:rPr>
        <w:fldChar w:fldCharType="end"/>
      </w:r>
      <w:r w:rsidR="006324A5">
        <w:rPr>
          <w:rFonts w:ascii="Arial" w:hAnsi="Arial" w:cs="Arial"/>
          <w:sz w:val="24"/>
          <w:szCs w:val="24"/>
        </w:rPr>
        <w:t xml:space="preserve"> </w:t>
      </w:r>
      <w:r>
        <w:rPr>
          <w:rFonts w:ascii="Arial" w:hAnsi="Arial" w:cs="Arial"/>
          <w:sz w:val="24"/>
          <w:szCs w:val="24"/>
        </w:rPr>
        <w:t>checklist for the reporting of model inputs to diabetes health economic studies.</w:t>
      </w:r>
    </w:p>
    <w:p w14:paraId="5776424E" w14:textId="77777777" w:rsidR="007E12D3" w:rsidRDefault="007E12D3" w:rsidP="007E12D3">
      <w:pPr>
        <w:spacing w:after="0" w:line="240" w:lineRule="auto"/>
        <w:rPr>
          <w:rFonts w:ascii="Arial" w:hAnsi="Arial" w:cs="Arial"/>
          <w:b/>
          <w:bCs/>
          <w:iCs/>
          <w:sz w:val="24"/>
          <w:szCs w:val="24"/>
        </w:rPr>
      </w:pPr>
    </w:p>
    <w:p w14:paraId="6EDA93C2" w14:textId="77777777" w:rsidR="007E12D3" w:rsidRPr="00450CC6" w:rsidRDefault="007E12D3" w:rsidP="007E12D3">
      <w:pPr>
        <w:spacing w:after="0" w:line="240" w:lineRule="auto"/>
        <w:rPr>
          <w:rFonts w:ascii="Arial" w:hAnsi="Arial" w:cs="Arial"/>
          <w:b/>
          <w:bCs/>
          <w:iCs/>
          <w:sz w:val="24"/>
          <w:szCs w:val="24"/>
        </w:rPr>
      </w:pPr>
      <w:r w:rsidRPr="00450CC6">
        <w:rPr>
          <w:rFonts w:ascii="Arial" w:hAnsi="Arial" w:cs="Arial"/>
          <w:b/>
          <w:bCs/>
          <w:iCs/>
          <w:sz w:val="24"/>
          <w:szCs w:val="24"/>
        </w:rPr>
        <w:t>Economic evaluation alongside the clinical trial</w:t>
      </w:r>
    </w:p>
    <w:p w14:paraId="5263691E" w14:textId="77777777" w:rsidR="007E12D3" w:rsidRDefault="007E12D3" w:rsidP="007E12D3">
      <w:pPr>
        <w:spacing w:after="0" w:line="240" w:lineRule="auto"/>
        <w:jc w:val="both"/>
        <w:rPr>
          <w:rFonts w:ascii="Arial" w:hAnsi="Arial" w:cs="Arial"/>
          <w:sz w:val="24"/>
          <w:szCs w:val="24"/>
        </w:rPr>
      </w:pPr>
    </w:p>
    <w:p w14:paraId="4AC4969D" w14:textId="2A4B2DF3" w:rsidR="007E12D3" w:rsidRPr="00450CC6" w:rsidRDefault="007E12D3" w:rsidP="007E12D3">
      <w:pPr>
        <w:spacing w:after="0" w:line="240" w:lineRule="auto"/>
        <w:jc w:val="both"/>
        <w:rPr>
          <w:rFonts w:ascii="Arial" w:hAnsi="Arial" w:cs="Arial"/>
          <w:sz w:val="24"/>
          <w:szCs w:val="24"/>
        </w:rPr>
      </w:pPr>
      <w:r w:rsidRPr="00450CC6">
        <w:rPr>
          <w:rFonts w:ascii="Arial" w:hAnsi="Arial" w:cs="Arial"/>
          <w:sz w:val="24"/>
          <w:szCs w:val="24"/>
        </w:rPr>
        <w:t xml:space="preserve">For the EEACT, we conduct the analysis in line with Ramsey </w:t>
      </w:r>
      <w:r w:rsidRPr="00450CC6">
        <w:rPr>
          <w:rFonts w:ascii="Arial" w:hAnsi="Arial" w:cs="Arial"/>
          <w:i/>
          <w:sz w:val="24"/>
          <w:szCs w:val="24"/>
        </w:rPr>
        <w:t xml:space="preserve">et al’s </w:t>
      </w:r>
      <w:r w:rsidRPr="00450CC6">
        <w:rPr>
          <w:rFonts w:ascii="Arial" w:hAnsi="Arial" w:cs="Arial"/>
          <w:i/>
          <w:sz w:val="24"/>
          <w:szCs w:val="24"/>
        </w:rPr>
        <w:fldChar w:fldCharType="begin" w:fldLock="1"/>
      </w:r>
      <w:r w:rsidR="006324A5">
        <w:rPr>
          <w:rFonts w:ascii="Arial" w:hAnsi="Arial" w:cs="Arial"/>
          <w:i/>
          <w:sz w:val="24"/>
          <w:szCs w:val="24"/>
        </w:rPr>
        <w:instrText>ADDIN CSL_CITATION {"citationItems":[{"id":"ITEM-1","itemData":{"DOI":"10.1016/j.jval.2015.02.001","ISSN":"10983015","PMID":"25773551","abstract":"Clinical trials evaluating medicines, medical devices, and procedures now commonly assess the economic value of these interventions. The growing number of prospective clinical/economic trials reflects both widespread interest in economic information for new technologies and the regulatory and reimbursement requirements of many countries that now consider evidence of economic value along with clinical efficacy. As decision makers increasingly demand evidence of economic value for health care interventions, conducting high-quality economic analyses alongside clinical studies is desirable because they broaden the scope of information available on a particular intervention, and can efficiently provide timely information with high internal and, when designed and analyzed properly, reasonable external validity. In 2005, ISPOR published the Good Research Practices for Cost-Effectiveness Analysis Alongside Clinical Trials: The ISPOR RCT-CEA Task Force report. ISPOR initiated an update of the report in 2014 to include the methodological developments over the last 9 years. This report provides updated recommendations reflecting advances in several areas related to trial design, selecting data elements, database design and management, analysis, and reporting of results. Task force members note that trials should be designed to evaluate effectiveness (rather than efficacy) when possible, should include clinical outcome measures, and should obtain health resource use and health state utilities directly from study subjects. Collection of economic data should be fully integrated into the study. An incremental analysis should be conducted with an intention-to-treat approach, complemented by relevant subgroup analyses. Uncertainty should be characterized. Articles should adhere to established standards for reporting results of cost-effectiveness analyses. Economic studies alongside trials are complementary to other evaluations (e.g., modeling studies) as information for decision makers who consider evidence of economic value along with clinical efficacy when making resource allocation decisions.","author":[{"dropping-particle":"","family":"Ramsey","given":"Scott D.","non-dropping-particle":"","parse-names":false,"suffix":""},{"dropping-particle":"","family":"Willke","given":"Richard J.","non-dropping-particle":"","parse-names":false,"suffix":""},{"dropping-particle":"","family":"Glick","given":"Henry","non-dropping-particle":"","parse-names":false,"suffix":""},{"dropping-particle":"","family":"Reed","given":"Shelby D.","non-dropping-particle":"","parse-names":false,"suffix":""},{"dropping-particle":"","family":"Augustovski","given":"Federico","non-dropping-particle":"","parse-names":false,"suffix":""},{"dropping-particle":"","family":"Jonsson","given":"Bengt","non-dropping-particle":"","parse-names":false,"suffix":""},{"dropping-particle":"","family":"Briggs","given":"Andrew","non-dropping-particle":"","parse-names":false,"suffix":""},{"dropping-particle":"","family":"Sullivan","given":"Sean D.","non-dropping-particle":"","parse-names":false,"suffix":""}],"container-title":"Value in Health","id":"ITEM-1","issue":"2","issued":{"date-parts":[["2015","3"]]},"page":"161-172","title":"Cost-Effectiveness Analysis Alongside Clinical Trials II—An ISPOR Good Research Practices Task Force Report","type":"article-journal","volume":"18"},"uris":["http://www.mendeley.com/documents/?uuid=d4c5a99f-31ae-375a-abc7-afbee3d4068c"]}],"mendeley":{"formattedCitation":"[8]","plainTextFormattedCitation":"[8]","previouslyFormattedCitation":"[8]"},"properties":{"noteIndex":0},"schema":"https://github.com/citation-style-language/schema/raw/master/csl-citation.json"}</w:instrText>
      </w:r>
      <w:r w:rsidRPr="00450CC6">
        <w:rPr>
          <w:rFonts w:ascii="Arial" w:hAnsi="Arial" w:cs="Arial"/>
          <w:i/>
          <w:sz w:val="24"/>
          <w:szCs w:val="24"/>
        </w:rPr>
        <w:fldChar w:fldCharType="separate"/>
      </w:r>
      <w:r w:rsidR="006324A5" w:rsidRPr="006324A5">
        <w:rPr>
          <w:rFonts w:ascii="Arial" w:hAnsi="Arial" w:cs="Arial"/>
          <w:noProof/>
          <w:sz w:val="24"/>
          <w:szCs w:val="24"/>
        </w:rPr>
        <w:t>[8]</w:t>
      </w:r>
      <w:r w:rsidRPr="00450CC6">
        <w:rPr>
          <w:rFonts w:ascii="Arial" w:hAnsi="Arial" w:cs="Arial"/>
          <w:sz w:val="24"/>
          <w:szCs w:val="24"/>
        </w:rPr>
        <w:fldChar w:fldCharType="end"/>
      </w:r>
      <w:r w:rsidRPr="00450CC6">
        <w:rPr>
          <w:rFonts w:ascii="Arial" w:hAnsi="Arial" w:cs="Arial"/>
          <w:sz w:val="24"/>
          <w:szCs w:val="24"/>
        </w:rPr>
        <w:t xml:space="preserve"> recommendations for cost-effectiveness analysis alongside clinical trials. Specifically, we will collect data alongside the trial on intervention costs, associated healthcare resource use and a preference based utility measure: the EQ-5D-5L measure </w:t>
      </w:r>
      <w:r w:rsidRPr="00450CC6">
        <w:rPr>
          <w:rFonts w:ascii="Arial" w:hAnsi="Arial" w:cs="Arial"/>
          <w:sz w:val="24"/>
          <w:szCs w:val="24"/>
        </w:rPr>
        <w:fldChar w:fldCharType="begin" w:fldLock="1"/>
      </w:r>
      <w:r w:rsidR="006324A5">
        <w:rPr>
          <w:rFonts w:ascii="Arial" w:hAnsi="Arial" w:cs="Arial"/>
          <w:sz w:val="24"/>
          <w:szCs w:val="24"/>
        </w:rPr>
        <w:instrText>ADDIN CSL_CITATION {"citationItems":[{"id":"ITEM-1","itemData":{"DOI":"10.1007/s11136-011-9903-x","ISSN":"0962-9343","PMID":"21479777","abstract":"PURPOSE This article introduces the new 5-level EQ-5D (EQ-5D-5L) health status measure. METHODS EQ-5D currently measures health using three levels of severity in five dimensions. A EuroQol Group task force was established to find ways of improving the instrument's sensitivity and reducing ceiling effects by increasing the number of severity levels. The study was performed in the United Kingdom and Spain. Severity labels for 5 levels in each dimension were identified using response scaling. Focus groups were used to investigate the face and content validity of the new versions, including hypothetical health states generated from those versions. RESULTS Selecting labels at approximately the 25th, 50th, and 75th centiles produced two alternative 5-level versions. Focus group work showed a slight preference for the wording 'slight-moderate-severe' problems, with anchors of 'no problems' and 'unable to do' in the EQ-5D functional dimensions. Similar wording was used in the Pain/Discomfort and Anxiety/Depression dimensions. Hypothetical health states were well understood though participants stressed the need for the internal coherence of health states. CONCLUSIONS A 5-level version of the EQ-5D has been developed by the EuroQol Group. Further testing is required to determine whether the new version improves sensitivity and reduces ceiling effects.","author":[{"dropping-particle":"","family":"Herdman","given":"M.","non-dropping-particle":"","parse-names":false,"suffix":""},{"dropping-particle":"","family":"Gudex","given":"C.","non-dropping-particle":"","parse-names":false,"suffix":""},{"dropping-particle":"","family":"Lloyd","given":"A.","non-dropping-particle":"","parse-names":false,"suffix":""},{"dropping-particle":"","family":"Janssen","given":"MF.","non-dropping-particle":"","parse-names":false,"suffix":""},{"dropping-particle":"","family":"Kind","given":"P.","non-dropping-particle":"","parse-names":false,"suffix":""},{"dropping-particle":"","family":"Parkin","given":"D.","non-dropping-particle":"","parse-names":false,"suffix":""},{"dropping-particle":"","family":"Bonsel","given":"G.","non-dropping-particle":"","parse-names":false,"suffix":""},{"dropping-particle":"","family":"Badia","given":"X.","non-dropping-particle":"","parse-names":false,"suffix":""}],"container-title":"Quality of Life Research","id":"ITEM-1","issue":"10","issued":{"date-parts":[["2011","12","9"]]},"page":"1727-1736","title":"Development and preliminary testing of the new five-level version of EQ-5D (EQ-5D-5L)","type":"article-journal","volume":"20"},"uris":["http://www.mendeley.com/documents/?uuid=9324ffcf-c58f-3452-9912-1900fc0babd7"]}],"mendeley":{"formattedCitation":"[9]","plainTextFormattedCitation":"[9]","previouslyFormattedCitation":"[9]"},"properties":{"noteIndex":0},"schema":"https://github.com/citation-style-language/schema/raw/master/csl-citation.json"}</w:instrText>
      </w:r>
      <w:r w:rsidRPr="00450CC6">
        <w:rPr>
          <w:rFonts w:ascii="Arial" w:hAnsi="Arial" w:cs="Arial"/>
          <w:sz w:val="24"/>
          <w:szCs w:val="24"/>
        </w:rPr>
        <w:fldChar w:fldCharType="separate"/>
      </w:r>
      <w:r w:rsidR="006324A5" w:rsidRPr="006324A5">
        <w:rPr>
          <w:rFonts w:ascii="Arial" w:hAnsi="Arial" w:cs="Arial"/>
          <w:noProof/>
          <w:sz w:val="24"/>
          <w:szCs w:val="24"/>
        </w:rPr>
        <w:t>[9]</w:t>
      </w:r>
      <w:r w:rsidRPr="00450CC6">
        <w:rPr>
          <w:rFonts w:ascii="Arial" w:hAnsi="Arial" w:cs="Arial"/>
          <w:sz w:val="24"/>
          <w:szCs w:val="24"/>
        </w:rPr>
        <w:fldChar w:fldCharType="end"/>
      </w:r>
      <w:r w:rsidRPr="00450CC6">
        <w:rPr>
          <w:rFonts w:ascii="Arial" w:hAnsi="Arial" w:cs="Arial"/>
          <w:sz w:val="24"/>
          <w:szCs w:val="24"/>
        </w:rPr>
        <w:t xml:space="preserve">. The intervention costing process will include training of educators, resource use, and adherence to structured follow up appointments, professional staff time and the technology component. A standard self-reported resource use questionnaire, used </w:t>
      </w:r>
      <w:r w:rsidRPr="00450CC6">
        <w:rPr>
          <w:rFonts w:ascii="Arial" w:hAnsi="Arial" w:cs="Arial"/>
          <w:sz w:val="24"/>
          <w:szCs w:val="24"/>
        </w:rPr>
        <w:lastRenderedPageBreak/>
        <w:t>previously in the DAFNE</w:t>
      </w:r>
      <w:r w:rsidRPr="00450CC6">
        <w:rPr>
          <w:rFonts w:ascii="Arial" w:hAnsi="Arial" w:cs="Arial"/>
          <w:i/>
          <w:sz w:val="24"/>
          <w:szCs w:val="24"/>
        </w:rPr>
        <w:t>plus</w:t>
      </w:r>
      <w:r w:rsidRPr="00450CC6">
        <w:rPr>
          <w:rFonts w:ascii="Arial" w:hAnsi="Arial" w:cs="Arial"/>
          <w:sz w:val="24"/>
          <w:szCs w:val="24"/>
        </w:rPr>
        <w:t xml:space="preserve"> pilot (as well as the 5x1 DAFNE </w:t>
      </w:r>
      <w:r w:rsidRPr="00450CC6">
        <w:rPr>
          <w:rFonts w:ascii="Arial" w:hAnsi="Arial" w:cs="Arial"/>
          <w:sz w:val="24"/>
          <w:szCs w:val="24"/>
        </w:rPr>
        <w:fldChar w:fldCharType="begin" w:fldLock="1"/>
      </w:r>
      <w:r w:rsidR="006324A5">
        <w:rPr>
          <w:rFonts w:ascii="Arial" w:hAnsi="Arial" w:cs="Arial"/>
          <w:sz w:val="24"/>
          <w:szCs w:val="24"/>
        </w:rPr>
        <w:instrText>ADDIN CSL_CITATION {"citationItems":[{"id":"ITEM-1","itemData":{"DOI":"10.1186/1472-6823-12-28","ISSN":"1472-6823","abstract":"Structured education programmes are now established as an essential component to assist effective self-management of diabetes. In the case of Type 1 diabetes, the Dose Adjustment For Normal Eating (DAFNE) programme improves both glycaemic control and quality of life. Traditionally delivered over five consecutive days, this format has been cited as a barrier to participation by some patients, such as those who work full-time. Some centres in the UK have organised structured education programmes to be delivered one day a week over several consecutive weeks. This type of format may add benefit by allowing more time in which to practice skills between sessions, but may suffer as a result of weaker peer support being generated compared to that formed over five consecutive days. We aim to compare DAFNE delivered over five consecutive days (1 week course) with DAFNE delivered one day a week over five weeks (5 week course) in a randomised controlled trial. A total of 213 patients were randomised to attend either a 1 week or a 5 week course delivered in seven participating centres. Study outcomes (measured at baseline, 6 and 12 months post-course) include HbA1c, weight, self-reported rates of severe hypoglycaemia, psychosocial measures of quality of life, and cost-effectiveness. Generalisability was optimised by recruiting patients from DAFNE waiting lists at each centre, and by mailing eligible patients from hospital clinic lists. The inclusion and exclusion criteria were identical to those used to recruit to a standard DAFNE course (e.g., HbA1c &lt;12%, with no lower limit). Qualitative interviews were undertaken with a sub-sample of n=30 patients and their course educators (n=11) to help understand and interpret differences and similarities in outcomes between thetwo arms, and to identify logistical problems and unanticipated issues arising from the adaptation and delivery ofa 5 week course. This trial has been designed to test the hypothesis that the benefits of delivering a structured education programme over 5 weeks are comparable to those observed after a 1 week course. The results of the trial and the qualitative sub-study will both inform the design and delivery of future DAFNE courses, and the development of structured education programmes in other fields of medicine. Clinicaltrials.gov NCT01069393","author":[{"dropping-particle":"","family":"Elliott","given":"Jackie","non-dropping-particle":"","parse-names":false,"suffix":""},{"dropping-particle":"","family":"Lawton","given":"Julia","non-dropping-particle":"","parse-names":false,"suffix":""},{"dropping-particle":"","family":"Rankin","given":"David","non-dropping-particle":"","parse-names":false,"suffix":""},{"dropping-particle":"","family":"Emery","given":"Celia","non-dropping-particle":"","parse-names":false,"suffix":""},{"dropping-particle":"","family":"Campbell","given":"Mike","non-dropping-particle":"","parse-names":false,"suffix":""},{"dropping-particle":"","family":"Dixon","given":"Simon","non-dropping-particle":"","parse-names":false,"suffix":""},{"dropping-particle":"","family":"Heller","given":"Simon","non-dropping-particle":"","parse-names":false,"suffix":""}],"container-title":"BMC Endocrine Disorders","id":"ITEM-1","issue":"1","issued":{"date-parts":[["2012","12","8"]]},"page":"28","publisher":"BioMed Central","title":"The 5x1 DAFNE study protocol: a cluster randomised trial comparing a standard 5 day DAFNE course delivered over 1 week against DAFNE training delivered over 1 day a week for 5 consecutive weeks","type":"article-journal","volume":"12"},"uris":["http://www.mendeley.com/documents/?uuid=0ee34471-7737-317c-80a0-9f8f99e31b5a"]}],"mendeley":{"formattedCitation":"[10]","plainTextFormattedCitation":"[10]","previouslyFormattedCitation":"[10]"},"properties":{"noteIndex":0},"schema":"https://github.com/citation-style-language/schema/raw/master/csl-citation.json"}</w:instrText>
      </w:r>
      <w:r w:rsidRPr="00450CC6">
        <w:rPr>
          <w:rFonts w:ascii="Arial" w:hAnsi="Arial" w:cs="Arial"/>
          <w:sz w:val="24"/>
          <w:szCs w:val="24"/>
        </w:rPr>
        <w:fldChar w:fldCharType="separate"/>
      </w:r>
      <w:r w:rsidR="006324A5" w:rsidRPr="006324A5">
        <w:rPr>
          <w:rFonts w:ascii="Arial" w:hAnsi="Arial" w:cs="Arial"/>
          <w:noProof/>
          <w:sz w:val="24"/>
          <w:szCs w:val="24"/>
        </w:rPr>
        <w:t>[10]</w:t>
      </w:r>
      <w:r w:rsidRPr="00450CC6">
        <w:rPr>
          <w:rFonts w:ascii="Arial" w:hAnsi="Arial" w:cs="Arial"/>
          <w:sz w:val="24"/>
          <w:szCs w:val="24"/>
        </w:rPr>
        <w:fldChar w:fldCharType="end"/>
      </w:r>
      <w:r w:rsidRPr="00450CC6">
        <w:rPr>
          <w:rFonts w:ascii="Arial" w:hAnsi="Arial" w:cs="Arial"/>
          <w:sz w:val="24"/>
          <w:szCs w:val="24"/>
        </w:rPr>
        <w:t xml:space="preserve"> and the REPOSE trials </w:t>
      </w:r>
      <w:r w:rsidRPr="00450CC6">
        <w:rPr>
          <w:rFonts w:ascii="Arial" w:hAnsi="Arial" w:cs="Arial"/>
          <w:sz w:val="24"/>
          <w:szCs w:val="24"/>
        </w:rPr>
        <w:fldChar w:fldCharType="begin" w:fldLock="1"/>
      </w:r>
      <w:r w:rsidR="006324A5">
        <w:rPr>
          <w:rFonts w:ascii="Arial" w:hAnsi="Arial" w:cs="Arial"/>
          <w:sz w:val="24"/>
          <w:szCs w:val="24"/>
        </w:rPr>
        <w:instrText>ADDIN CSL_CITATION {"citationItems":[{"id":"ITEM-1","itemData":{"DOI":"10.1136/BMJ.J1285","ISSN":"1756-1833","PMID":"28360027","abstract":"Objective To compare the effectiveness of insulin pumps with multiple daily injections for adults with type 1 diabetes, with both groups receiving equivalent training in flexible insulin treatment.Design Pragmatic, multicentre, open label, parallel group, cluster randomised controlled trial (Relative Effectiveness of Pumps Over MDI and Structured Education (REPOSE) trial).Setting Eight secondary care centres in England and Scotland.Participants Adults with type 1 diabetes who were willing to undertake intensive insulin treatment, with no preference for pumps or multiple daily injections. Participants were allocated a place on established group training courses that taught flexible intensive insulin treatment (\"dose adjustment for normal eating,\" DAFNE). The course groups (the clusters) were then randomly allocated in pairs to either pump or multiple daily injections.Interventions Participants attended training in flexible insulin treatment (using insulin analogues) structured around the use of pump or injections, followed for two years.Main outcome measures The primary outcomes were a change in glycated haemoglobin (HbA1c) values (%) at two years in participants with baseline HbA1c value of ≥7.5% (58 mmol/mol), and the proportion of participants achieving an HbA1c value of &lt;7.5%. Secondary outcomes included body weight, insulin dose, and episodes of moderate and severe hypoglycaemia. Ancillary outcomes included quality of life and treatment satisfaction.Results 317 participants (46 courses) were randomised (156 pump and 161 injections). 267 attended courses and 260 were included in the intention to treat analysis, of which 235 (119 pump and 116 injection) had baseline HbA1c values of ≥7.5%. Glycaemic control and rates of severe hypoglycaemia improved in both groups. The mean change in HbA1c at two years was -0.85% with pump treatment and -0.42% with multiple daily injections. Adjusting for course, centre, age, sex, and accounting for missing values, the difference was -0.24% (-2.7 mmol/mol) in favour of pump users (95% confidence interval -0.53 to 0.05, P=0.10). Most psychosocial measures showed no difference, but pump users showed greater improvement in treatment satisfaction and some quality of life domains (dietary freedom and daily hassle) at 12 and 24 months.Conclusions Both groups showed clinically relevant and long lasting decreases in HbA1c, rates of severe hypoglycaemia, and improved psychological measures, although few participants achieved gl…","author":[{"dropping-particle":"","family":"REPOSE Study Group","given":"The REPOSE Study","non-dropping-particle":"","parse-names":false,"suffix":""}],"container-title":"BMJ (Clinical research ed.)","id":"ITEM-1","issued":{"date-parts":[["2017","3","30"]]},"page":"j1285","publisher":"British Medical Journal Publishing Group","title":"Relative effectiveness of insulin pump treatment over multiple daily injections and structured education during flexible intensive insulin treatment for type 1 diabetes: cluster randomised trial (REPOSE).","type":"article-journal","volume":"356"},"uris":["http://www.mendeley.com/documents/?uuid=ae4ffb52-edee-32e3-b965-0eac7f938211"]}],"mendeley":{"formattedCitation":"[11]","plainTextFormattedCitation":"[11]","previouslyFormattedCitation":"[11]"},"properties":{"noteIndex":0},"schema":"https://github.com/citation-style-language/schema/raw/master/csl-citation.json"}</w:instrText>
      </w:r>
      <w:r w:rsidRPr="00450CC6">
        <w:rPr>
          <w:rFonts w:ascii="Arial" w:hAnsi="Arial" w:cs="Arial"/>
          <w:sz w:val="24"/>
          <w:szCs w:val="24"/>
        </w:rPr>
        <w:fldChar w:fldCharType="separate"/>
      </w:r>
      <w:r w:rsidR="006324A5" w:rsidRPr="006324A5">
        <w:rPr>
          <w:rFonts w:ascii="Arial" w:hAnsi="Arial" w:cs="Arial"/>
          <w:noProof/>
          <w:sz w:val="24"/>
          <w:szCs w:val="24"/>
        </w:rPr>
        <w:t>[11]</w:t>
      </w:r>
      <w:r w:rsidRPr="00450CC6">
        <w:rPr>
          <w:rFonts w:ascii="Arial" w:hAnsi="Arial" w:cs="Arial"/>
          <w:sz w:val="24"/>
          <w:szCs w:val="24"/>
        </w:rPr>
        <w:fldChar w:fldCharType="end"/>
      </w:r>
      <w:r w:rsidRPr="00450CC6">
        <w:rPr>
          <w:rFonts w:ascii="Arial" w:hAnsi="Arial" w:cs="Arial"/>
          <w:sz w:val="24"/>
          <w:szCs w:val="24"/>
        </w:rPr>
        <w:t>), will ascertain NHS usage in terms of GP, community, outpatient, A&amp;E and inpatients, as well as occurrence of DKA and hypoglycaemic events by level of severity. Unit costs will be taken from standard sources (NHS Reference Costs, British National Formulary, PSSRU). The standard self-reported resource use questionnaire and the EQ-5D-5L will be collected at baseline</w:t>
      </w:r>
      <w:r>
        <w:rPr>
          <w:rFonts w:ascii="Arial" w:hAnsi="Arial" w:cs="Arial"/>
          <w:sz w:val="24"/>
          <w:szCs w:val="24"/>
        </w:rPr>
        <w:t xml:space="preserve">, </w:t>
      </w:r>
      <w:r w:rsidRPr="00450CC6">
        <w:rPr>
          <w:rFonts w:ascii="Arial" w:hAnsi="Arial" w:cs="Arial"/>
          <w:sz w:val="24"/>
          <w:szCs w:val="24"/>
        </w:rPr>
        <w:t xml:space="preserve">6 months and 12 months. Course costs (administrative and clinical) will be estimated using a bespoke questionnaire for completion by site staff. Our primary analysis will use the EQ-5D-5L valuation study to generate utility scores at baseline, course completion, 6 months and 12 months for each study participant </w:t>
      </w:r>
      <w:r w:rsidRPr="00450CC6">
        <w:rPr>
          <w:rFonts w:ascii="Arial" w:hAnsi="Arial" w:cs="Arial"/>
          <w:sz w:val="24"/>
          <w:szCs w:val="24"/>
        </w:rPr>
        <w:fldChar w:fldCharType="begin" w:fldLock="1"/>
      </w:r>
      <w:r w:rsidR="006324A5">
        <w:rPr>
          <w:rFonts w:ascii="Arial" w:hAnsi="Arial" w:cs="Arial"/>
          <w:sz w:val="24"/>
          <w:szCs w:val="24"/>
        </w:rPr>
        <w:instrText>ADDIN CSL_CITATION {"citationItems":[{"id":"ITEM-1","itemData":{"DOI":"10.1002/hec.3564","ISSN":"10579230","author":[{"dropping-particle":"","family":"Devlin","given":"Nancy J.","non-dropping-particle":"","parse-names":false,"suffix":""},{"dropping-particle":"","family":"Shah","given":"Koonal K.","non-dropping-particle":"","parse-names":false,"suffix":""},{"dropping-particle":"","family":"Feng","given":"Yan","non-dropping-particle":"","parse-names":false,"suffix":""},{"dropping-particle":"","family":"Mulhern","given":"Brendan","non-dropping-particle":"","parse-names":false,"suffix":""},{"dropping-particle":"","family":"Hout","given":"Ben","non-dropping-particle":"van","parse-names":false,"suffix":""}],"container-title":"Health Economics","id":"ITEM-1","issued":{"date-parts":[["2017","8","22"]]},"title":"Valuing health-related quality of life: An EQ-5D-5L value set for England","type":"article-journal"},"uris":["http://www.mendeley.com/documents/?uuid=f89dee59-331b-3770-a748-0d3a7d19ff89"]}],"mendeley":{"formattedCitation":"[12]","plainTextFormattedCitation":"[12]","previouslyFormattedCitation":"[12]"},"properties":{"noteIndex":0},"schema":"https://github.com/citation-style-language/schema/raw/master/csl-citation.json"}</w:instrText>
      </w:r>
      <w:r w:rsidRPr="00450CC6">
        <w:rPr>
          <w:rFonts w:ascii="Arial" w:hAnsi="Arial" w:cs="Arial"/>
          <w:sz w:val="24"/>
          <w:szCs w:val="24"/>
        </w:rPr>
        <w:fldChar w:fldCharType="separate"/>
      </w:r>
      <w:r w:rsidR="006324A5" w:rsidRPr="006324A5">
        <w:rPr>
          <w:rFonts w:ascii="Arial" w:hAnsi="Arial" w:cs="Arial"/>
          <w:noProof/>
          <w:sz w:val="24"/>
          <w:szCs w:val="24"/>
        </w:rPr>
        <w:t>[12]</w:t>
      </w:r>
      <w:r w:rsidRPr="00450CC6">
        <w:rPr>
          <w:rFonts w:ascii="Arial" w:hAnsi="Arial" w:cs="Arial"/>
          <w:sz w:val="24"/>
          <w:szCs w:val="24"/>
        </w:rPr>
        <w:fldChar w:fldCharType="end"/>
      </w:r>
      <w:r w:rsidRPr="00450CC6">
        <w:rPr>
          <w:rFonts w:ascii="Arial" w:hAnsi="Arial" w:cs="Arial"/>
          <w:sz w:val="24"/>
          <w:szCs w:val="24"/>
        </w:rPr>
        <w:t xml:space="preserve">. There are on-going discussions about </w:t>
      </w:r>
      <w:r>
        <w:rPr>
          <w:rFonts w:ascii="Arial" w:hAnsi="Arial" w:cs="Arial"/>
          <w:sz w:val="24"/>
          <w:szCs w:val="24"/>
        </w:rPr>
        <w:t>the</w:t>
      </w:r>
      <w:r w:rsidRPr="00450CC6">
        <w:rPr>
          <w:rFonts w:ascii="Arial" w:hAnsi="Arial" w:cs="Arial"/>
          <w:sz w:val="24"/>
          <w:szCs w:val="24"/>
        </w:rPr>
        <w:t xml:space="preserve"> valuation</w:t>
      </w:r>
      <w:r>
        <w:rPr>
          <w:rFonts w:ascii="Arial" w:hAnsi="Arial" w:cs="Arial"/>
          <w:sz w:val="24"/>
          <w:szCs w:val="24"/>
        </w:rPr>
        <w:t xml:space="preserve"> of the EQ-5D-5L</w:t>
      </w:r>
      <w:r w:rsidRPr="00450CC6">
        <w:rPr>
          <w:rFonts w:ascii="Arial" w:hAnsi="Arial" w:cs="Arial"/>
          <w:sz w:val="24"/>
          <w:szCs w:val="24"/>
        </w:rPr>
        <w:t>, and NICE recently produced a position statement recommending that EQ-5D-5L data should be valued using mapping to the EQ-5D-3L</w:t>
      </w:r>
      <w:r>
        <w:rPr>
          <w:rFonts w:ascii="Arial" w:hAnsi="Arial" w:cs="Arial"/>
          <w:sz w:val="24"/>
          <w:szCs w:val="24"/>
        </w:rPr>
        <w:t xml:space="preserve"> and not the bespoke EQ-5D-5L value set</w:t>
      </w:r>
      <w:r w:rsidRPr="00450CC6">
        <w:rPr>
          <w:rFonts w:ascii="Arial" w:hAnsi="Arial" w:cs="Arial"/>
          <w:sz w:val="24"/>
          <w:szCs w:val="24"/>
        </w:rPr>
        <w:t xml:space="preserve"> </w:t>
      </w:r>
      <w:r w:rsidRPr="00450CC6">
        <w:rPr>
          <w:rFonts w:ascii="Arial" w:hAnsi="Arial" w:cs="Arial"/>
          <w:sz w:val="24"/>
          <w:szCs w:val="24"/>
        </w:rPr>
        <w:fldChar w:fldCharType="begin" w:fldLock="1"/>
      </w:r>
      <w:r w:rsidR="006324A5">
        <w:rPr>
          <w:rFonts w:ascii="Arial" w:hAnsi="Arial" w:cs="Arial"/>
          <w:sz w:val="24"/>
          <w:szCs w:val="24"/>
        </w:rPr>
        <w:instrText>ADDIN CSL_CITATION {"citationItems":[{"id":"ITEM-1","itemData":{"author":[{"dropping-particle":"","family":"National Institute for Health and Care Excellence","given":"","non-dropping-particle":"","parse-names":false,"suffix":""}],"id":"ITEM-1","issued":{"date-parts":[["0"]]},"title":"NICE's position statement on EQ-5D-5L NATIONAL INSTITUTE FOR HEALTH AND CARE EXCELLENCE Position statement on use of the EQ-5D-5L valuation set","type":"article-journal"},"uris":["http://www.mendeley.com/documents/?uuid=225fa7ae-f42e-386b-bd17-9c0f90baa659"]},{"id":"ITEM-2","itemData":{"DOI":"10.1016/j.jval.2012.02.008","ISSN":"10983015","PMID":"22867780","abstract":"BACKGROUND A five-level version of the EuroQol five-dimensional (EQ-5D) descriptive system (EQ-5D-5L) has been developed, but value sets based on preferences directly elicited from representative general population samples are not yet available. The objective of this study was to develop values sets for the EQ-5D-5L by means of a mapping (\"crosswalk\") approach to the currently available three-level version of the EQ-5D (EQ-5D-3L) values sets. METHODS The EQ-5D-3L and EQ-5D-5L descriptive systems were coadministered to respondents with conditions of varying severity to ensure a broad range of levels of health across EQ-5D questionnaire dimensions. We explored four models to generate value sets for the EQ-5D-5L: linear regression, nonparametric statistics, ordered logistic regression, and item-response theory. Criteria for the preferred model included theoretical background, statistical fit, predictive power, and parsimony. RESULTS A total of 3691 respondents were included. All models had similar fit statistics. Predictive power was slightly better for the nonparametric and ordered logistic regression models. In considering all criteria, the nonparametric model was selected as most suitable for generating values for the EQ-5D-5L. CONCLUSIONS The nonparametric model was preferred for its simplicity while performing similarly to the other models. Being independent of the value set that is used, it can be applied to transform any EQ-5D-3L value set into EQ-5D-5L index values. Strengths of this approach include compatibility with three-level value sets. A limitation of any crosswalk is that the range of index values is restricted to the range of the EQ-5D-3L value sets.","author":[{"dropping-particle":"","family":"Hout","given":"Ben","non-dropping-particle":"van","parse-names":false,"suffix":""},{"dropping-particle":"","family":"Janssen","given":"M.F.","non-dropping-particle":"","parse-names":false,"suffix":""},{"dropping-particle":"","family":"Feng","given":"You-Shan","non-dropping-particle":"","parse-names":false,"suffix":""},{"dropping-particle":"","family":"Kohlmann","given":"Thomas","non-dropping-particle":"","parse-names":false,"suffix":""},{"dropping-particle":"","family":"Busschbach","given":"Jan","non-dropping-particle":"","parse-names":false,"suffix":""},{"dropping-particle":"","family":"Golicki","given":"Dominik","non-dropping-particle":"","parse-names":false,"suffix":""},{"dropping-particle":"","family":"Lloyd","given":"Andrew","non-dropping-particle":"","parse-names":false,"suffix":""},{"dropping-particle":"","family":"Scalone","given":"Luciana","non-dropping-particle":"","parse-names":false,"suffix":""},{"dropping-particle":"","family":"Kind","given":"Paul","non-dropping-particle":"","parse-names":false,"suffix":""},{"dropping-particle":"","family":"Pickard","given":"A. Simon","non-dropping-particle":"","parse-names":false,"suffix":""}],"container-title":"Value in Health","id":"ITEM-2","issue":"5","issued":{"date-parts":[["2012","7"]]},"page":"708-715","title":"Interim Scoring for the EQ-5D-5L: Mapping the EQ-5D-5L to EQ-5D-3L Value Sets","type":"article-journal","volume":"15"},"uris":["http://www.mendeley.com/documents/?uuid=4c9443b5-562c-36aa-a44f-55a9647c9d0d"]}],"mendeley":{"formattedCitation":"[13,14]","plainTextFormattedCitation":"[13,14]","previouslyFormattedCitation":"[13,14]"},"properties":{"noteIndex":0},"schema":"https://github.com/citation-style-language/schema/raw/master/csl-citation.json"}</w:instrText>
      </w:r>
      <w:r w:rsidRPr="00450CC6">
        <w:rPr>
          <w:rFonts w:ascii="Arial" w:hAnsi="Arial" w:cs="Arial"/>
          <w:sz w:val="24"/>
          <w:szCs w:val="24"/>
        </w:rPr>
        <w:fldChar w:fldCharType="separate"/>
      </w:r>
      <w:r w:rsidR="006324A5" w:rsidRPr="006324A5">
        <w:rPr>
          <w:rFonts w:ascii="Arial" w:hAnsi="Arial" w:cs="Arial"/>
          <w:noProof/>
          <w:sz w:val="24"/>
          <w:szCs w:val="24"/>
        </w:rPr>
        <w:t>[13,14]</w:t>
      </w:r>
      <w:r w:rsidRPr="00450CC6">
        <w:rPr>
          <w:rFonts w:ascii="Arial" w:hAnsi="Arial" w:cs="Arial"/>
          <w:sz w:val="24"/>
          <w:szCs w:val="24"/>
        </w:rPr>
        <w:fldChar w:fldCharType="end"/>
      </w:r>
      <w:r>
        <w:rPr>
          <w:rFonts w:ascii="Arial" w:hAnsi="Arial" w:cs="Arial"/>
          <w:sz w:val="24"/>
          <w:szCs w:val="24"/>
        </w:rPr>
        <w:t>.</w:t>
      </w:r>
      <w:r w:rsidRPr="00450CC6">
        <w:rPr>
          <w:rFonts w:ascii="Arial" w:hAnsi="Arial" w:cs="Arial"/>
          <w:sz w:val="24"/>
          <w:szCs w:val="24"/>
        </w:rPr>
        <w:t xml:space="preserve"> </w:t>
      </w:r>
      <w:r>
        <w:rPr>
          <w:rFonts w:ascii="Arial" w:hAnsi="Arial" w:cs="Arial"/>
          <w:sz w:val="24"/>
          <w:szCs w:val="24"/>
        </w:rPr>
        <w:t>Therefore our primary analysis will follow the most recent NICE guidance at the time of analysis, with the other valuation method been used in a sensitivity analysis.</w:t>
      </w:r>
      <w:r w:rsidRPr="00450CC6">
        <w:rPr>
          <w:rFonts w:ascii="Arial" w:hAnsi="Arial" w:cs="Arial"/>
          <w:sz w:val="24"/>
          <w:szCs w:val="24"/>
        </w:rPr>
        <w:t xml:space="preserve"> QALYs for each participant will be estimated by calculating the area under the curve defined by EQ-5D utility score, mortality and length of follow-up.  The base case analysis will use the complete case data. In a scenario analysis, the missing data will be imputed. The time horizon of this analysis will be limited to the one-year time horizon of the trial. </w:t>
      </w:r>
      <w:r>
        <w:rPr>
          <w:rFonts w:ascii="Arial" w:hAnsi="Arial" w:cs="Arial"/>
          <w:sz w:val="24"/>
          <w:szCs w:val="24"/>
        </w:rPr>
        <w:t>T</w:t>
      </w:r>
      <w:r w:rsidRPr="00450CC6">
        <w:rPr>
          <w:rFonts w:ascii="Arial" w:hAnsi="Arial" w:cs="Arial"/>
          <w:sz w:val="24"/>
          <w:szCs w:val="24"/>
        </w:rPr>
        <w:t>his evaluation will be considered as the secondary health economic analysis</w:t>
      </w:r>
      <w:r>
        <w:rPr>
          <w:rFonts w:ascii="Arial" w:hAnsi="Arial" w:cs="Arial"/>
          <w:sz w:val="24"/>
          <w:szCs w:val="24"/>
        </w:rPr>
        <w:t xml:space="preserve"> for two reasons: 1)</w:t>
      </w:r>
      <w:r w:rsidRPr="00450CC6">
        <w:rPr>
          <w:rFonts w:ascii="Arial" w:hAnsi="Arial" w:cs="Arial"/>
          <w:sz w:val="24"/>
          <w:szCs w:val="24"/>
        </w:rPr>
        <w:t xml:space="preserve"> </w:t>
      </w:r>
      <w:r>
        <w:rPr>
          <w:rFonts w:ascii="Arial" w:hAnsi="Arial" w:cs="Arial"/>
          <w:sz w:val="24"/>
          <w:szCs w:val="24"/>
        </w:rPr>
        <w:t>T</w:t>
      </w:r>
      <w:r w:rsidRPr="00450CC6">
        <w:rPr>
          <w:rFonts w:ascii="Arial" w:hAnsi="Arial" w:cs="Arial"/>
          <w:sz w:val="24"/>
          <w:szCs w:val="24"/>
        </w:rPr>
        <w:t>he effects and costs of DAFNE</w:t>
      </w:r>
      <w:r w:rsidRPr="00450CC6">
        <w:rPr>
          <w:rFonts w:ascii="Arial" w:hAnsi="Arial" w:cs="Arial"/>
          <w:i/>
          <w:sz w:val="24"/>
          <w:szCs w:val="24"/>
        </w:rPr>
        <w:t>plus</w:t>
      </w:r>
      <w:r w:rsidRPr="00450CC6">
        <w:rPr>
          <w:rFonts w:ascii="Arial" w:hAnsi="Arial" w:cs="Arial"/>
          <w:sz w:val="24"/>
          <w:szCs w:val="24"/>
        </w:rPr>
        <w:t xml:space="preserve"> may be incurred beyond the one-year trial time horizon (due to expected differences in the time to onset of diabetes related complications</w:t>
      </w:r>
      <w:r>
        <w:rPr>
          <w:rFonts w:ascii="Arial" w:hAnsi="Arial" w:cs="Arial"/>
          <w:sz w:val="24"/>
          <w:szCs w:val="24"/>
        </w:rPr>
        <w:t xml:space="preserve"> and potential maintenance of treatment effects beyond the trial period</w:t>
      </w:r>
      <w:r w:rsidRPr="00450CC6">
        <w:rPr>
          <w:rFonts w:ascii="Arial" w:hAnsi="Arial" w:cs="Arial"/>
          <w:sz w:val="24"/>
          <w:szCs w:val="24"/>
        </w:rPr>
        <w:t>)</w:t>
      </w:r>
      <w:r>
        <w:rPr>
          <w:rFonts w:ascii="Arial" w:hAnsi="Arial" w:cs="Arial"/>
          <w:sz w:val="24"/>
          <w:szCs w:val="24"/>
        </w:rPr>
        <w:t>; and, 2) the DAFNEplus trial is not powered to detect differences in the incidence of long-term diabetes complications</w:t>
      </w:r>
      <w:r w:rsidRPr="00450CC6">
        <w:rPr>
          <w:rFonts w:ascii="Arial" w:hAnsi="Arial" w:cs="Arial"/>
          <w:sz w:val="24"/>
          <w:szCs w:val="24"/>
        </w:rPr>
        <w:t>,</w:t>
      </w:r>
      <w:r>
        <w:rPr>
          <w:rFonts w:ascii="Arial" w:hAnsi="Arial" w:cs="Arial"/>
          <w:sz w:val="24"/>
          <w:szCs w:val="24"/>
        </w:rPr>
        <w:t xml:space="preserve"> as such the estimates of differences in the cost and QALYs between the two trial arms may be misleading</w:t>
      </w:r>
      <w:r w:rsidRPr="00450CC6">
        <w:rPr>
          <w:rFonts w:ascii="Arial" w:hAnsi="Arial" w:cs="Arial"/>
          <w:sz w:val="24"/>
          <w:szCs w:val="24"/>
        </w:rPr>
        <w:t>.</w:t>
      </w:r>
    </w:p>
    <w:p w14:paraId="72D2E265" w14:textId="77777777" w:rsidR="007E12D3" w:rsidRDefault="007E12D3" w:rsidP="007E12D3">
      <w:pPr>
        <w:spacing w:after="0" w:line="240" w:lineRule="auto"/>
        <w:rPr>
          <w:rFonts w:ascii="Arial" w:hAnsi="Arial" w:cs="Arial"/>
          <w:b/>
          <w:sz w:val="24"/>
          <w:szCs w:val="24"/>
        </w:rPr>
      </w:pPr>
    </w:p>
    <w:p w14:paraId="1F4422F9" w14:textId="77777777" w:rsidR="007E12D3" w:rsidRPr="00450CC6" w:rsidRDefault="007E12D3" w:rsidP="007E12D3">
      <w:pPr>
        <w:spacing w:after="0" w:line="240" w:lineRule="auto"/>
        <w:rPr>
          <w:rFonts w:ascii="Arial" w:hAnsi="Arial" w:cs="Arial"/>
          <w:b/>
          <w:sz w:val="24"/>
          <w:szCs w:val="24"/>
        </w:rPr>
      </w:pPr>
      <w:r w:rsidRPr="00450CC6">
        <w:rPr>
          <w:rFonts w:ascii="Arial" w:hAnsi="Arial" w:cs="Arial"/>
          <w:b/>
          <w:sz w:val="24"/>
          <w:szCs w:val="24"/>
        </w:rPr>
        <w:t>Outcome measures and uncertainty analyses</w:t>
      </w:r>
    </w:p>
    <w:p w14:paraId="13FE5BB0" w14:textId="77777777" w:rsidR="007E12D3" w:rsidRDefault="007E12D3" w:rsidP="007E12D3">
      <w:pPr>
        <w:spacing w:after="0" w:line="240" w:lineRule="auto"/>
        <w:jc w:val="both"/>
        <w:rPr>
          <w:rFonts w:ascii="Arial" w:hAnsi="Arial" w:cs="Arial"/>
          <w:sz w:val="24"/>
          <w:szCs w:val="24"/>
        </w:rPr>
      </w:pPr>
    </w:p>
    <w:p w14:paraId="20102F61" w14:textId="4CDA4E20" w:rsidR="007E12D3" w:rsidRPr="00450CC6" w:rsidRDefault="007E12D3" w:rsidP="007E12D3">
      <w:pPr>
        <w:spacing w:after="0" w:line="240" w:lineRule="auto"/>
        <w:jc w:val="both"/>
        <w:rPr>
          <w:rFonts w:ascii="Arial" w:hAnsi="Arial" w:cs="Arial"/>
          <w:sz w:val="24"/>
          <w:szCs w:val="24"/>
        </w:rPr>
      </w:pPr>
      <w:r>
        <w:rPr>
          <w:rFonts w:ascii="Arial" w:hAnsi="Arial" w:cs="Arial"/>
          <w:sz w:val="24"/>
          <w:szCs w:val="24"/>
        </w:rPr>
        <w:t>I</w:t>
      </w:r>
      <w:r w:rsidRPr="00450CC6">
        <w:rPr>
          <w:rFonts w:ascii="Arial" w:hAnsi="Arial" w:cs="Arial"/>
          <w:sz w:val="24"/>
          <w:szCs w:val="24"/>
        </w:rPr>
        <w:t>n both the EEACT and the long term modelling the main outcome of interest will be the comparison of the incremental cost-effectiveness ratio (ICER) of DAFNE</w:t>
      </w:r>
      <w:r w:rsidRPr="00450CC6">
        <w:rPr>
          <w:rFonts w:ascii="Arial" w:hAnsi="Arial" w:cs="Arial"/>
          <w:i/>
          <w:sz w:val="24"/>
          <w:szCs w:val="24"/>
        </w:rPr>
        <w:t>plus</w:t>
      </w:r>
      <w:r w:rsidRPr="00450CC6">
        <w:rPr>
          <w:rFonts w:ascii="Arial" w:hAnsi="Arial" w:cs="Arial"/>
          <w:sz w:val="24"/>
          <w:szCs w:val="24"/>
        </w:rPr>
        <w:t xml:space="preserve"> compared to DAFNE. The ICER will be compared to a maximum acceptable ICER of £20,000 per QALY gained, as this is the lower limit of the ICER range used by NICE to determine if an intervention is cost-effective </w:t>
      </w:r>
      <w:r w:rsidRPr="00450CC6">
        <w:rPr>
          <w:rFonts w:ascii="Arial" w:hAnsi="Arial" w:cs="Arial"/>
          <w:sz w:val="24"/>
          <w:szCs w:val="24"/>
        </w:rPr>
        <w:fldChar w:fldCharType="begin" w:fldLock="1"/>
      </w:r>
      <w:r w:rsidR="006324A5">
        <w:rPr>
          <w:rFonts w:ascii="Arial" w:hAnsi="Arial" w:cs="Arial"/>
          <w:sz w:val="24"/>
          <w:szCs w:val="24"/>
        </w:rPr>
        <w:instrText>ADDIN CSL_CITATION {"citationItems":[{"id":"ITEM-1","itemData":{"author":[{"dropping-particle":"","family":"National Institute for Health and Care Excellence","given":"","non-dropping-particle":"","parse-names":false,"suffix":""}],"id":"ITEM-1","issued":{"date-parts":[["0"]]},"publisher":"NICE","title":"Guide to the methods of technology appraisal 2013 | Guidance and guidelines | NICE","type":"article-journal"},"uris":["http://www.mendeley.com/documents/?uuid=67cb0c55-b5f8-3966-9681-067d99b05501"]}],"mendeley":{"formattedCitation":"[1]","plainTextFormattedCitation":"[1]","previouslyFormattedCitation":"[1]"},"properties":{"noteIndex":0},"schema":"https://github.com/citation-style-language/schema/raw/master/csl-citation.json"}</w:instrText>
      </w:r>
      <w:r w:rsidRPr="00450CC6">
        <w:rPr>
          <w:rFonts w:ascii="Arial" w:hAnsi="Arial" w:cs="Arial"/>
          <w:sz w:val="24"/>
          <w:szCs w:val="24"/>
        </w:rPr>
        <w:fldChar w:fldCharType="separate"/>
      </w:r>
      <w:r w:rsidR="006324A5" w:rsidRPr="006324A5">
        <w:rPr>
          <w:rFonts w:ascii="Arial" w:hAnsi="Arial" w:cs="Arial"/>
          <w:noProof/>
          <w:sz w:val="24"/>
          <w:szCs w:val="24"/>
        </w:rPr>
        <w:t>[1]</w:t>
      </w:r>
      <w:r w:rsidRPr="00450CC6">
        <w:rPr>
          <w:rFonts w:ascii="Arial" w:hAnsi="Arial" w:cs="Arial"/>
          <w:sz w:val="24"/>
          <w:szCs w:val="24"/>
        </w:rPr>
        <w:fldChar w:fldCharType="end"/>
      </w:r>
      <w:r w:rsidRPr="00450CC6">
        <w:rPr>
          <w:rFonts w:ascii="Arial" w:hAnsi="Arial" w:cs="Arial"/>
          <w:sz w:val="24"/>
          <w:szCs w:val="24"/>
        </w:rPr>
        <w:t>. Uncertainty in the ICER will be determined using: scenario analyses, subgroup analyses (pre-specified with the wider DAFNE</w:t>
      </w:r>
      <w:r w:rsidRPr="00450CC6">
        <w:rPr>
          <w:rFonts w:ascii="Arial" w:hAnsi="Arial" w:cs="Arial"/>
          <w:i/>
          <w:sz w:val="24"/>
          <w:szCs w:val="24"/>
        </w:rPr>
        <w:t>plus</w:t>
      </w:r>
      <w:r w:rsidRPr="00450CC6">
        <w:rPr>
          <w:rFonts w:ascii="Arial" w:hAnsi="Arial" w:cs="Arial"/>
          <w:sz w:val="24"/>
          <w:szCs w:val="24"/>
        </w:rPr>
        <w:t xml:space="preserve"> team), probabilistic sensitivity analysis and expected value of information calculations. In particular, uncertainty in the cost-effectiveness of DAFNE</w:t>
      </w:r>
      <w:r w:rsidRPr="00450CC6">
        <w:rPr>
          <w:rFonts w:ascii="Arial" w:hAnsi="Arial" w:cs="Arial"/>
          <w:i/>
          <w:sz w:val="24"/>
          <w:szCs w:val="24"/>
        </w:rPr>
        <w:t>plus</w:t>
      </w:r>
      <w:r w:rsidRPr="00450CC6">
        <w:rPr>
          <w:rFonts w:ascii="Arial" w:hAnsi="Arial" w:cs="Arial"/>
          <w:sz w:val="24"/>
          <w:szCs w:val="24"/>
        </w:rPr>
        <w:t xml:space="preserve"> as used in a wider rollout (compared to as utilised in the trial)</w:t>
      </w:r>
      <w:r>
        <w:rPr>
          <w:rFonts w:ascii="Arial" w:hAnsi="Arial" w:cs="Arial"/>
          <w:sz w:val="24"/>
          <w:szCs w:val="24"/>
        </w:rPr>
        <w:t xml:space="preserve"> and in subgroups of participants with a HbA1c less than 7.5% and greater than or equal to 7.5%</w:t>
      </w:r>
      <w:r w:rsidRPr="00450CC6">
        <w:rPr>
          <w:rFonts w:ascii="Arial" w:hAnsi="Arial" w:cs="Arial"/>
          <w:sz w:val="24"/>
          <w:szCs w:val="24"/>
        </w:rPr>
        <w:t xml:space="preserve"> will be explored in our scenario analyses.</w:t>
      </w:r>
    </w:p>
    <w:p w14:paraId="27F657CF" w14:textId="15217377" w:rsidR="00174D72" w:rsidRPr="006324A5" w:rsidRDefault="00174D72">
      <w:pPr>
        <w:rPr>
          <w:rFonts w:ascii="Arial" w:hAnsi="Arial" w:cs="Arial"/>
          <w:b/>
          <w:sz w:val="24"/>
        </w:rPr>
      </w:pPr>
    </w:p>
    <w:p w14:paraId="3F576A75" w14:textId="03B9B8EE" w:rsidR="006324A5" w:rsidRDefault="006324A5">
      <w:pPr>
        <w:rPr>
          <w:rFonts w:ascii="Arial" w:hAnsi="Arial" w:cs="Arial"/>
          <w:b/>
          <w:sz w:val="24"/>
        </w:rPr>
      </w:pPr>
      <w:r w:rsidRPr="006324A5">
        <w:rPr>
          <w:rFonts w:ascii="Arial" w:hAnsi="Arial" w:cs="Arial"/>
          <w:b/>
          <w:sz w:val="24"/>
        </w:rPr>
        <w:t>References</w:t>
      </w:r>
    </w:p>
    <w:p w14:paraId="37C6230F" w14:textId="698596DF" w:rsidR="006324A5" w:rsidRPr="006324A5" w:rsidRDefault="006324A5" w:rsidP="006324A5">
      <w:pPr>
        <w:widowControl w:val="0"/>
        <w:autoSpaceDE w:val="0"/>
        <w:autoSpaceDN w:val="0"/>
        <w:adjustRightInd w:val="0"/>
        <w:spacing w:line="240" w:lineRule="auto"/>
        <w:ind w:left="640" w:hanging="640"/>
        <w:rPr>
          <w:rFonts w:ascii="Arial" w:hAnsi="Arial" w:cs="Arial"/>
          <w:noProof/>
          <w:sz w:val="24"/>
          <w:szCs w:val="24"/>
        </w:rPr>
      </w:pPr>
      <w:r>
        <w:rPr>
          <w:rFonts w:ascii="Arial" w:hAnsi="Arial" w:cs="Arial"/>
          <w:b/>
          <w:sz w:val="24"/>
        </w:rPr>
        <w:fldChar w:fldCharType="begin" w:fldLock="1"/>
      </w:r>
      <w:r>
        <w:rPr>
          <w:rFonts w:ascii="Arial" w:hAnsi="Arial" w:cs="Arial"/>
          <w:b/>
          <w:sz w:val="24"/>
        </w:rPr>
        <w:instrText xml:space="preserve">ADDIN Mendeley Bibliography CSL_BIBLIOGRAPHY </w:instrText>
      </w:r>
      <w:r>
        <w:rPr>
          <w:rFonts w:ascii="Arial" w:hAnsi="Arial" w:cs="Arial"/>
          <w:b/>
          <w:sz w:val="24"/>
        </w:rPr>
        <w:fldChar w:fldCharType="separate"/>
      </w:r>
      <w:r w:rsidRPr="006324A5">
        <w:rPr>
          <w:rFonts w:ascii="Arial" w:hAnsi="Arial" w:cs="Arial"/>
          <w:noProof/>
          <w:sz w:val="24"/>
          <w:szCs w:val="24"/>
        </w:rPr>
        <w:t xml:space="preserve">1 </w:t>
      </w:r>
      <w:r w:rsidRPr="006324A5">
        <w:rPr>
          <w:rFonts w:ascii="Arial" w:hAnsi="Arial" w:cs="Arial"/>
          <w:noProof/>
          <w:sz w:val="24"/>
          <w:szCs w:val="24"/>
        </w:rPr>
        <w:tab/>
        <w:t>National Institute for Health and Care Excellence. Guide to the methods of technology appraisal 2013 | Guidance and guidelines | NICE. https://www.nice.org.uk/process/pmg9/chapter/foreword (accessed 30 Jan 2018).</w:t>
      </w:r>
    </w:p>
    <w:p w14:paraId="473BC4AD" w14:textId="77777777" w:rsidR="006324A5" w:rsidRPr="006324A5" w:rsidRDefault="006324A5" w:rsidP="006324A5">
      <w:pPr>
        <w:widowControl w:val="0"/>
        <w:autoSpaceDE w:val="0"/>
        <w:autoSpaceDN w:val="0"/>
        <w:adjustRightInd w:val="0"/>
        <w:spacing w:line="240" w:lineRule="auto"/>
        <w:ind w:left="640" w:hanging="640"/>
        <w:rPr>
          <w:rFonts w:ascii="Arial" w:hAnsi="Arial" w:cs="Arial"/>
          <w:noProof/>
          <w:sz w:val="24"/>
          <w:szCs w:val="24"/>
        </w:rPr>
      </w:pPr>
      <w:r w:rsidRPr="006324A5">
        <w:rPr>
          <w:rFonts w:ascii="Arial" w:hAnsi="Arial" w:cs="Arial"/>
          <w:noProof/>
          <w:sz w:val="24"/>
          <w:szCs w:val="24"/>
        </w:rPr>
        <w:t xml:space="preserve">2 </w:t>
      </w:r>
      <w:r w:rsidRPr="006324A5">
        <w:rPr>
          <w:rFonts w:ascii="Arial" w:hAnsi="Arial" w:cs="Arial"/>
          <w:noProof/>
          <w:sz w:val="24"/>
          <w:szCs w:val="24"/>
        </w:rPr>
        <w:tab/>
        <w:t xml:space="preserve">Thokala P, Kruger J, Brennan A, </w:t>
      </w:r>
      <w:r w:rsidRPr="006324A5">
        <w:rPr>
          <w:rFonts w:ascii="Arial" w:hAnsi="Arial" w:cs="Arial"/>
          <w:i/>
          <w:iCs/>
          <w:noProof/>
          <w:sz w:val="24"/>
          <w:szCs w:val="24"/>
        </w:rPr>
        <w:t>et al.</w:t>
      </w:r>
      <w:r w:rsidRPr="006324A5">
        <w:rPr>
          <w:rFonts w:ascii="Arial" w:hAnsi="Arial" w:cs="Arial"/>
          <w:noProof/>
          <w:sz w:val="24"/>
          <w:szCs w:val="24"/>
        </w:rPr>
        <w:t xml:space="preserve"> Assessing the cost-effectiveness of Type 1 diabetes interventions: the Sheffield Type 1 Diabetes Policy Model. </w:t>
      </w:r>
      <w:r w:rsidRPr="006324A5">
        <w:rPr>
          <w:rFonts w:ascii="Arial" w:hAnsi="Arial" w:cs="Arial"/>
          <w:i/>
          <w:iCs/>
          <w:noProof/>
          <w:sz w:val="24"/>
          <w:szCs w:val="24"/>
        </w:rPr>
        <w:t>Diabet Med</w:t>
      </w:r>
      <w:r w:rsidRPr="006324A5">
        <w:rPr>
          <w:rFonts w:ascii="Arial" w:hAnsi="Arial" w:cs="Arial"/>
          <w:noProof/>
          <w:sz w:val="24"/>
          <w:szCs w:val="24"/>
        </w:rPr>
        <w:t xml:space="preserve"> 2014;</w:t>
      </w:r>
      <w:r w:rsidRPr="006324A5">
        <w:rPr>
          <w:rFonts w:ascii="Arial" w:hAnsi="Arial" w:cs="Arial"/>
          <w:b/>
          <w:bCs/>
          <w:noProof/>
          <w:sz w:val="24"/>
          <w:szCs w:val="24"/>
        </w:rPr>
        <w:t>31</w:t>
      </w:r>
      <w:r w:rsidRPr="006324A5">
        <w:rPr>
          <w:rFonts w:ascii="Arial" w:hAnsi="Arial" w:cs="Arial"/>
          <w:noProof/>
          <w:sz w:val="24"/>
          <w:szCs w:val="24"/>
        </w:rPr>
        <w:t>:477–86. doi:10.1111/dme.12371</w:t>
      </w:r>
    </w:p>
    <w:p w14:paraId="5AF4EC99" w14:textId="77777777" w:rsidR="006324A5" w:rsidRPr="006324A5" w:rsidRDefault="006324A5" w:rsidP="006324A5">
      <w:pPr>
        <w:widowControl w:val="0"/>
        <w:autoSpaceDE w:val="0"/>
        <w:autoSpaceDN w:val="0"/>
        <w:adjustRightInd w:val="0"/>
        <w:spacing w:line="240" w:lineRule="auto"/>
        <w:ind w:left="640" w:hanging="640"/>
        <w:rPr>
          <w:rFonts w:ascii="Arial" w:hAnsi="Arial" w:cs="Arial"/>
          <w:noProof/>
          <w:sz w:val="24"/>
          <w:szCs w:val="24"/>
        </w:rPr>
      </w:pPr>
      <w:r w:rsidRPr="006324A5">
        <w:rPr>
          <w:rFonts w:ascii="Arial" w:hAnsi="Arial" w:cs="Arial"/>
          <w:noProof/>
          <w:sz w:val="24"/>
          <w:szCs w:val="24"/>
        </w:rPr>
        <w:lastRenderedPageBreak/>
        <w:t xml:space="preserve">3 </w:t>
      </w:r>
      <w:r w:rsidRPr="006324A5">
        <w:rPr>
          <w:rFonts w:ascii="Arial" w:hAnsi="Arial" w:cs="Arial"/>
          <w:noProof/>
          <w:sz w:val="24"/>
          <w:szCs w:val="24"/>
        </w:rPr>
        <w:tab/>
        <w:t xml:space="preserve">Kruger J, Brennan A, Thokala P, </w:t>
      </w:r>
      <w:r w:rsidRPr="006324A5">
        <w:rPr>
          <w:rFonts w:ascii="Arial" w:hAnsi="Arial" w:cs="Arial"/>
          <w:i/>
          <w:iCs/>
          <w:noProof/>
          <w:sz w:val="24"/>
          <w:szCs w:val="24"/>
        </w:rPr>
        <w:t>et al.</w:t>
      </w:r>
      <w:r w:rsidRPr="006324A5">
        <w:rPr>
          <w:rFonts w:ascii="Arial" w:hAnsi="Arial" w:cs="Arial"/>
          <w:noProof/>
          <w:sz w:val="24"/>
          <w:szCs w:val="24"/>
        </w:rPr>
        <w:t xml:space="preserve"> The cost-effectiveness of the Dose Adjustment for Normal Eating (DAFNE) structured education programme: an update using the Sheffield Type 1 Diabetes Policy Model. </w:t>
      </w:r>
      <w:r w:rsidRPr="006324A5">
        <w:rPr>
          <w:rFonts w:ascii="Arial" w:hAnsi="Arial" w:cs="Arial"/>
          <w:i/>
          <w:iCs/>
          <w:noProof/>
          <w:sz w:val="24"/>
          <w:szCs w:val="24"/>
        </w:rPr>
        <w:t>Diabet Med</w:t>
      </w:r>
      <w:r w:rsidRPr="006324A5">
        <w:rPr>
          <w:rFonts w:ascii="Arial" w:hAnsi="Arial" w:cs="Arial"/>
          <w:noProof/>
          <w:sz w:val="24"/>
          <w:szCs w:val="24"/>
        </w:rPr>
        <w:t xml:space="preserve"> 2013;</w:t>
      </w:r>
      <w:r w:rsidRPr="006324A5">
        <w:rPr>
          <w:rFonts w:ascii="Arial" w:hAnsi="Arial" w:cs="Arial"/>
          <w:b/>
          <w:bCs/>
          <w:noProof/>
          <w:sz w:val="24"/>
          <w:szCs w:val="24"/>
        </w:rPr>
        <w:t>30</w:t>
      </w:r>
      <w:r w:rsidRPr="006324A5">
        <w:rPr>
          <w:rFonts w:ascii="Arial" w:hAnsi="Arial" w:cs="Arial"/>
          <w:noProof/>
          <w:sz w:val="24"/>
          <w:szCs w:val="24"/>
        </w:rPr>
        <w:t>:1236–44. doi:10.1111/dme.12270</w:t>
      </w:r>
    </w:p>
    <w:p w14:paraId="01259BED" w14:textId="77777777" w:rsidR="006324A5" w:rsidRPr="006324A5" w:rsidRDefault="006324A5" w:rsidP="006324A5">
      <w:pPr>
        <w:widowControl w:val="0"/>
        <w:autoSpaceDE w:val="0"/>
        <w:autoSpaceDN w:val="0"/>
        <w:adjustRightInd w:val="0"/>
        <w:spacing w:line="240" w:lineRule="auto"/>
        <w:ind w:left="640" w:hanging="640"/>
        <w:rPr>
          <w:rFonts w:ascii="Arial" w:hAnsi="Arial" w:cs="Arial"/>
          <w:noProof/>
          <w:sz w:val="24"/>
          <w:szCs w:val="24"/>
        </w:rPr>
      </w:pPr>
      <w:r w:rsidRPr="006324A5">
        <w:rPr>
          <w:rFonts w:ascii="Arial" w:hAnsi="Arial" w:cs="Arial"/>
          <w:noProof/>
          <w:sz w:val="24"/>
          <w:szCs w:val="24"/>
        </w:rPr>
        <w:t xml:space="preserve">4 </w:t>
      </w:r>
      <w:r w:rsidRPr="006324A5">
        <w:rPr>
          <w:rFonts w:ascii="Arial" w:hAnsi="Arial" w:cs="Arial"/>
          <w:noProof/>
          <w:sz w:val="24"/>
          <w:szCs w:val="24"/>
        </w:rPr>
        <w:tab/>
        <w:t xml:space="preserve">Heller S, Lawton J, Amiel S, </w:t>
      </w:r>
      <w:r w:rsidRPr="006324A5">
        <w:rPr>
          <w:rFonts w:ascii="Arial" w:hAnsi="Arial" w:cs="Arial"/>
          <w:i/>
          <w:iCs/>
          <w:noProof/>
          <w:sz w:val="24"/>
          <w:szCs w:val="24"/>
        </w:rPr>
        <w:t>et al.</w:t>
      </w:r>
      <w:r w:rsidRPr="006324A5">
        <w:rPr>
          <w:rFonts w:ascii="Arial" w:hAnsi="Arial" w:cs="Arial"/>
          <w:noProof/>
          <w:sz w:val="24"/>
          <w:szCs w:val="24"/>
        </w:rPr>
        <w:t xml:space="preserve"> Improving management of type 1 diabetes in the UK: the Dose Adjustment For Normal Eating (DAFNE) programme as a research test-bed. A mixed-method analysis of the barriers to and facilitators of successful diabetes self-management, a health economic analysis, a cluster randomised controlled trial of different models of delivery of an educational intervention and the potential of insulin pumps and additional educator input to improve outcomes. </w:t>
      </w:r>
      <w:r w:rsidRPr="006324A5">
        <w:rPr>
          <w:rFonts w:ascii="Arial" w:hAnsi="Arial" w:cs="Arial"/>
          <w:i/>
          <w:iCs/>
          <w:noProof/>
          <w:sz w:val="24"/>
          <w:szCs w:val="24"/>
        </w:rPr>
        <w:t>Program Grants Appl Res</w:t>
      </w:r>
      <w:r w:rsidRPr="006324A5">
        <w:rPr>
          <w:rFonts w:ascii="Arial" w:hAnsi="Arial" w:cs="Arial"/>
          <w:noProof/>
          <w:sz w:val="24"/>
          <w:szCs w:val="24"/>
        </w:rPr>
        <w:t xml:space="preserve"> 2014;</w:t>
      </w:r>
      <w:r w:rsidRPr="006324A5">
        <w:rPr>
          <w:rFonts w:ascii="Arial" w:hAnsi="Arial" w:cs="Arial"/>
          <w:b/>
          <w:bCs/>
          <w:noProof/>
          <w:sz w:val="24"/>
          <w:szCs w:val="24"/>
        </w:rPr>
        <w:t>2</w:t>
      </w:r>
      <w:r w:rsidRPr="006324A5">
        <w:rPr>
          <w:rFonts w:ascii="Arial" w:hAnsi="Arial" w:cs="Arial"/>
          <w:noProof/>
          <w:sz w:val="24"/>
          <w:szCs w:val="24"/>
        </w:rPr>
        <w:t>:1–188. doi:10.3310/pgfar02050</w:t>
      </w:r>
    </w:p>
    <w:p w14:paraId="1ADB8D9F" w14:textId="77777777" w:rsidR="006324A5" w:rsidRPr="006324A5" w:rsidRDefault="006324A5" w:rsidP="006324A5">
      <w:pPr>
        <w:widowControl w:val="0"/>
        <w:autoSpaceDE w:val="0"/>
        <w:autoSpaceDN w:val="0"/>
        <w:adjustRightInd w:val="0"/>
        <w:spacing w:line="240" w:lineRule="auto"/>
        <w:ind w:left="640" w:hanging="640"/>
        <w:rPr>
          <w:rFonts w:ascii="Arial" w:hAnsi="Arial" w:cs="Arial"/>
          <w:noProof/>
          <w:sz w:val="24"/>
          <w:szCs w:val="24"/>
        </w:rPr>
      </w:pPr>
      <w:r w:rsidRPr="006324A5">
        <w:rPr>
          <w:rFonts w:ascii="Arial" w:hAnsi="Arial" w:cs="Arial"/>
          <w:noProof/>
          <w:sz w:val="24"/>
          <w:szCs w:val="24"/>
        </w:rPr>
        <w:t xml:space="preserve">5 </w:t>
      </w:r>
      <w:r w:rsidRPr="006324A5">
        <w:rPr>
          <w:rFonts w:ascii="Arial" w:hAnsi="Arial" w:cs="Arial"/>
          <w:noProof/>
          <w:sz w:val="24"/>
          <w:szCs w:val="24"/>
        </w:rPr>
        <w:tab/>
        <w:t xml:space="preserve">Kruger J, Pollard D, Basarir H, </w:t>
      </w:r>
      <w:r w:rsidRPr="006324A5">
        <w:rPr>
          <w:rFonts w:ascii="Arial" w:hAnsi="Arial" w:cs="Arial"/>
          <w:i/>
          <w:iCs/>
          <w:noProof/>
          <w:sz w:val="24"/>
          <w:szCs w:val="24"/>
        </w:rPr>
        <w:t>et al.</w:t>
      </w:r>
      <w:r w:rsidRPr="006324A5">
        <w:rPr>
          <w:rFonts w:ascii="Arial" w:hAnsi="Arial" w:cs="Arial"/>
          <w:noProof/>
          <w:sz w:val="24"/>
          <w:szCs w:val="24"/>
        </w:rPr>
        <w:t xml:space="preserve"> Incorporating Psychological Predictors of Treatment Response into Health Economic Simulation Models. </w:t>
      </w:r>
      <w:r w:rsidRPr="006324A5">
        <w:rPr>
          <w:rFonts w:ascii="Arial" w:hAnsi="Arial" w:cs="Arial"/>
          <w:i/>
          <w:iCs/>
          <w:noProof/>
          <w:sz w:val="24"/>
          <w:szCs w:val="24"/>
        </w:rPr>
        <w:t>Med Decis Mak</w:t>
      </w:r>
      <w:r w:rsidRPr="006324A5">
        <w:rPr>
          <w:rFonts w:ascii="Arial" w:hAnsi="Arial" w:cs="Arial"/>
          <w:noProof/>
          <w:sz w:val="24"/>
          <w:szCs w:val="24"/>
        </w:rPr>
        <w:t xml:space="preserve"> 2015;</w:t>
      </w:r>
      <w:r w:rsidRPr="006324A5">
        <w:rPr>
          <w:rFonts w:ascii="Arial" w:hAnsi="Arial" w:cs="Arial"/>
          <w:b/>
          <w:bCs/>
          <w:noProof/>
          <w:sz w:val="24"/>
          <w:szCs w:val="24"/>
        </w:rPr>
        <w:t>35</w:t>
      </w:r>
      <w:r w:rsidRPr="006324A5">
        <w:rPr>
          <w:rFonts w:ascii="Arial" w:hAnsi="Arial" w:cs="Arial"/>
          <w:noProof/>
          <w:sz w:val="24"/>
          <w:szCs w:val="24"/>
        </w:rPr>
        <w:t>:872–87. doi:10.1177/0272989X15590143</w:t>
      </w:r>
    </w:p>
    <w:p w14:paraId="73D4BAEA" w14:textId="77777777" w:rsidR="006324A5" w:rsidRPr="006324A5" w:rsidRDefault="006324A5" w:rsidP="006324A5">
      <w:pPr>
        <w:widowControl w:val="0"/>
        <w:autoSpaceDE w:val="0"/>
        <w:autoSpaceDN w:val="0"/>
        <w:adjustRightInd w:val="0"/>
        <w:spacing w:line="240" w:lineRule="auto"/>
        <w:ind w:left="640" w:hanging="640"/>
        <w:rPr>
          <w:rFonts w:ascii="Arial" w:hAnsi="Arial" w:cs="Arial"/>
          <w:noProof/>
          <w:sz w:val="24"/>
          <w:szCs w:val="24"/>
        </w:rPr>
      </w:pPr>
      <w:r w:rsidRPr="006324A5">
        <w:rPr>
          <w:rFonts w:ascii="Arial" w:hAnsi="Arial" w:cs="Arial"/>
          <w:noProof/>
          <w:sz w:val="24"/>
          <w:szCs w:val="24"/>
        </w:rPr>
        <w:t xml:space="preserve">6 </w:t>
      </w:r>
      <w:r w:rsidRPr="006324A5">
        <w:rPr>
          <w:rFonts w:ascii="Arial" w:hAnsi="Arial" w:cs="Arial"/>
          <w:noProof/>
          <w:sz w:val="24"/>
          <w:szCs w:val="24"/>
        </w:rPr>
        <w:tab/>
        <w:t xml:space="preserve">Pollard DJ, Brennan A, Dixon S, </w:t>
      </w:r>
      <w:r w:rsidRPr="006324A5">
        <w:rPr>
          <w:rFonts w:ascii="Arial" w:hAnsi="Arial" w:cs="Arial"/>
          <w:i/>
          <w:iCs/>
          <w:noProof/>
          <w:sz w:val="24"/>
          <w:szCs w:val="24"/>
        </w:rPr>
        <w:t>et al.</w:t>
      </w:r>
      <w:r w:rsidRPr="006324A5">
        <w:rPr>
          <w:rFonts w:ascii="Arial" w:hAnsi="Arial" w:cs="Arial"/>
          <w:noProof/>
          <w:sz w:val="24"/>
          <w:szCs w:val="24"/>
        </w:rPr>
        <w:t xml:space="preserve"> Cost-effectiveness of insulin pumps compared with multiple daily injections both provided with structured education for adults with type 1 diabetes: A health economic analysis of the Relative Effectiveness of Pumps over Structured Education (REPOSE) randomised controlled trial. </w:t>
      </w:r>
      <w:r w:rsidRPr="006324A5">
        <w:rPr>
          <w:rFonts w:ascii="Arial" w:hAnsi="Arial" w:cs="Arial"/>
          <w:i/>
          <w:iCs/>
          <w:noProof/>
          <w:sz w:val="24"/>
          <w:szCs w:val="24"/>
        </w:rPr>
        <w:t>BMJ Open</w:t>
      </w:r>
      <w:r w:rsidRPr="006324A5">
        <w:rPr>
          <w:rFonts w:ascii="Arial" w:hAnsi="Arial" w:cs="Arial"/>
          <w:noProof/>
          <w:sz w:val="24"/>
          <w:szCs w:val="24"/>
        </w:rPr>
        <w:t xml:space="preserve"> 2018;</w:t>
      </w:r>
      <w:r w:rsidRPr="006324A5">
        <w:rPr>
          <w:rFonts w:ascii="Arial" w:hAnsi="Arial" w:cs="Arial"/>
          <w:b/>
          <w:bCs/>
          <w:noProof/>
          <w:sz w:val="24"/>
          <w:szCs w:val="24"/>
        </w:rPr>
        <w:t>8</w:t>
      </w:r>
      <w:r w:rsidRPr="006324A5">
        <w:rPr>
          <w:rFonts w:ascii="Arial" w:hAnsi="Arial" w:cs="Arial"/>
          <w:noProof/>
          <w:sz w:val="24"/>
          <w:szCs w:val="24"/>
        </w:rPr>
        <w:t>:e016766. doi:10.1136/bmjopen-2017-016766</w:t>
      </w:r>
    </w:p>
    <w:p w14:paraId="4313AA84" w14:textId="77777777" w:rsidR="006324A5" w:rsidRPr="006324A5" w:rsidRDefault="006324A5" w:rsidP="006324A5">
      <w:pPr>
        <w:widowControl w:val="0"/>
        <w:autoSpaceDE w:val="0"/>
        <w:autoSpaceDN w:val="0"/>
        <w:adjustRightInd w:val="0"/>
        <w:spacing w:line="240" w:lineRule="auto"/>
        <w:ind w:left="640" w:hanging="640"/>
        <w:rPr>
          <w:rFonts w:ascii="Arial" w:hAnsi="Arial" w:cs="Arial"/>
          <w:noProof/>
          <w:sz w:val="24"/>
          <w:szCs w:val="24"/>
        </w:rPr>
      </w:pPr>
      <w:r w:rsidRPr="006324A5">
        <w:rPr>
          <w:rFonts w:ascii="Arial" w:hAnsi="Arial" w:cs="Arial"/>
          <w:noProof/>
          <w:sz w:val="24"/>
          <w:szCs w:val="24"/>
        </w:rPr>
        <w:t xml:space="preserve">7 </w:t>
      </w:r>
      <w:r w:rsidRPr="006324A5">
        <w:rPr>
          <w:rFonts w:ascii="Arial" w:hAnsi="Arial" w:cs="Arial"/>
          <w:noProof/>
          <w:sz w:val="24"/>
          <w:szCs w:val="24"/>
        </w:rPr>
        <w:tab/>
        <w:t xml:space="preserve">Palmer AJ, Si L, Tew M, </w:t>
      </w:r>
      <w:r w:rsidRPr="006324A5">
        <w:rPr>
          <w:rFonts w:ascii="Arial" w:hAnsi="Arial" w:cs="Arial"/>
          <w:i/>
          <w:iCs/>
          <w:noProof/>
          <w:sz w:val="24"/>
          <w:szCs w:val="24"/>
        </w:rPr>
        <w:t>et al.</w:t>
      </w:r>
      <w:r w:rsidRPr="006324A5">
        <w:rPr>
          <w:rFonts w:ascii="Arial" w:hAnsi="Arial" w:cs="Arial"/>
          <w:noProof/>
          <w:sz w:val="24"/>
          <w:szCs w:val="24"/>
        </w:rPr>
        <w:t xml:space="preserve"> Computer Modeling of Diabetes and Its Transparency: A Report on the Eighth Mount Hood Challenge. </w:t>
      </w:r>
      <w:r w:rsidRPr="006324A5">
        <w:rPr>
          <w:rFonts w:ascii="Arial" w:hAnsi="Arial" w:cs="Arial"/>
          <w:i/>
          <w:iCs/>
          <w:noProof/>
          <w:sz w:val="24"/>
          <w:szCs w:val="24"/>
        </w:rPr>
        <w:t>Value Heal</w:t>
      </w:r>
      <w:r w:rsidRPr="006324A5">
        <w:rPr>
          <w:rFonts w:ascii="Arial" w:hAnsi="Arial" w:cs="Arial"/>
          <w:noProof/>
          <w:sz w:val="24"/>
          <w:szCs w:val="24"/>
        </w:rPr>
        <w:t xml:space="preserve"> 2018;</w:t>
      </w:r>
      <w:r w:rsidRPr="006324A5">
        <w:rPr>
          <w:rFonts w:ascii="Arial" w:hAnsi="Arial" w:cs="Arial"/>
          <w:b/>
          <w:bCs/>
          <w:noProof/>
          <w:sz w:val="24"/>
          <w:szCs w:val="24"/>
        </w:rPr>
        <w:t>21</w:t>
      </w:r>
      <w:r w:rsidRPr="006324A5">
        <w:rPr>
          <w:rFonts w:ascii="Arial" w:hAnsi="Arial" w:cs="Arial"/>
          <w:noProof/>
          <w:sz w:val="24"/>
          <w:szCs w:val="24"/>
        </w:rPr>
        <w:t>:724–31. doi:10.1016/j.jval.2018.02.002</w:t>
      </w:r>
    </w:p>
    <w:p w14:paraId="648163CA" w14:textId="77777777" w:rsidR="006324A5" w:rsidRPr="006324A5" w:rsidRDefault="006324A5" w:rsidP="006324A5">
      <w:pPr>
        <w:widowControl w:val="0"/>
        <w:autoSpaceDE w:val="0"/>
        <w:autoSpaceDN w:val="0"/>
        <w:adjustRightInd w:val="0"/>
        <w:spacing w:line="240" w:lineRule="auto"/>
        <w:ind w:left="640" w:hanging="640"/>
        <w:rPr>
          <w:rFonts w:ascii="Arial" w:hAnsi="Arial" w:cs="Arial"/>
          <w:noProof/>
          <w:sz w:val="24"/>
          <w:szCs w:val="24"/>
        </w:rPr>
      </w:pPr>
      <w:r w:rsidRPr="006324A5">
        <w:rPr>
          <w:rFonts w:ascii="Arial" w:hAnsi="Arial" w:cs="Arial"/>
          <w:noProof/>
          <w:sz w:val="24"/>
          <w:szCs w:val="24"/>
        </w:rPr>
        <w:t xml:space="preserve">8 </w:t>
      </w:r>
      <w:r w:rsidRPr="006324A5">
        <w:rPr>
          <w:rFonts w:ascii="Arial" w:hAnsi="Arial" w:cs="Arial"/>
          <w:noProof/>
          <w:sz w:val="24"/>
          <w:szCs w:val="24"/>
        </w:rPr>
        <w:tab/>
        <w:t xml:space="preserve">Ramsey SD, Willke RJ, Glick H, </w:t>
      </w:r>
      <w:r w:rsidRPr="006324A5">
        <w:rPr>
          <w:rFonts w:ascii="Arial" w:hAnsi="Arial" w:cs="Arial"/>
          <w:i/>
          <w:iCs/>
          <w:noProof/>
          <w:sz w:val="24"/>
          <w:szCs w:val="24"/>
        </w:rPr>
        <w:t>et al.</w:t>
      </w:r>
      <w:r w:rsidRPr="006324A5">
        <w:rPr>
          <w:rFonts w:ascii="Arial" w:hAnsi="Arial" w:cs="Arial"/>
          <w:noProof/>
          <w:sz w:val="24"/>
          <w:szCs w:val="24"/>
        </w:rPr>
        <w:t xml:space="preserve"> Cost-Effectiveness Analysis Alongside Clinical Trials II—An ISPOR Good Research Practices Task Force Report. </w:t>
      </w:r>
      <w:r w:rsidRPr="006324A5">
        <w:rPr>
          <w:rFonts w:ascii="Arial" w:hAnsi="Arial" w:cs="Arial"/>
          <w:i/>
          <w:iCs/>
          <w:noProof/>
          <w:sz w:val="24"/>
          <w:szCs w:val="24"/>
        </w:rPr>
        <w:t>Value Heal</w:t>
      </w:r>
      <w:r w:rsidRPr="006324A5">
        <w:rPr>
          <w:rFonts w:ascii="Arial" w:hAnsi="Arial" w:cs="Arial"/>
          <w:noProof/>
          <w:sz w:val="24"/>
          <w:szCs w:val="24"/>
        </w:rPr>
        <w:t xml:space="preserve"> 2015;</w:t>
      </w:r>
      <w:r w:rsidRPr="006324A5">
        <w:rPr>
          <w:rFonts w:ascii="Arial" w:hAnsi="Arial" w:cs="Arial"/>
          <w:b/>
          <w:bCs/>
          <w:noProof/>
          <w:sz w:val="24"/>
          <w:szCs w:val="24"/>
        </w:rPr>
        <w:t>18</w:t>
      </w:r>
      <w:r w:rsidRPr="006324A5">
        <w:rPr>
          <w:rFonts w:ascii="Arial" w:hAnsi="Arial" w:cs="Arial"/>
          <w:noProof/>
          <w:sz w:val="24"/>
          <w:szCs w:val="24"/>
        </w:rPr>
        <w:t>:161–72. doi:10.1016/j.jval.2015.02.001</w:t>
      </w:r>
    </w:p>
    <w:p w14:paraId="52DE346B" w14:textId="77777777" w:rsidR="006324A5" w:rsidRPr="006324A5" w:rsidRDefault="006324A5" w:rsidP="006324A5">
      <w:pPr>
        <w:widowControl w:val="0"/>
        <w:autoSpaceDE w:val="0"/>
        <w:autoSpaceDN w:val="0"/>
        <w:adjustRightInd w:val="0"/>
        <w:spacing w:line="240" w:lineRule="auto"/>
        <w:ind w:left="640" w:hanging="640"/>
        <w:rPr>
          <w:rFonts w:ascii="Arial" w:hAnsi="Arial" w:cs="Arial"/>
          <w:noProof/>
          <w:sz w:val="24"/>
          <w:szCs w:val="24"/>
        </w:rPr>
      </w:pPr>
      <w:r w:rsidRPr="006324A5">
        <w:rPr>
          <w:rFonts w:ascii="Arial" w:hAnsi="Arial" w:cs="Arial"/>
          <w:noProof/>
          <w:sz w:val="24"/>
          <w:szCs w:val="24"/>
        </w:rPr>
        <w:t xml:space="preserve">9 </w:t>
      </w:r>
      <w:r w:rsidRPr="006324A5">
        <w:rPr>
          <w:rFonts w:ascii="Arial" w:hAnsi="Arial" w:cs="Arial"/>
          <w:noProof/>
          <w:sz w:val="24"/>
          <w:szCs w:val="24"/>
        </w:rPr>
        <w:tab/>
        <w:t xml:space="preserve">Herdman M, Gudex C, Lloyd A, </w:t>
      </w:r>
      <w:r w:rsidRPr="006324A5">
        <w:rPr>
          <w:rFonts w:ascii="Arial" w:hAnsi="Arial" w:cs="Arial"/>
          <w:i/>
          <w:iCs/>
          <w:noProof/>
          <w:sz w:val="24"/>
          <w:szCs w:val="24"/>
        </w:rPr>
        <w:t>et al.</w:t>
      </w:r>
      <w:r w:rsidRPr="006324A5">
        <w:rPr>
          <w:rFonts w:ascii="Arial" w:hAnsi="Arial" w:cs="Arial"/>
          <w:noProof/>
          <w:sz w:val="24"/>
          <w:szCs w:val="24"/>
        </w:rPr>
        <w:t xml:space="preserve"> Development and preliminary testing of the new five-level version of EQ-5D (EQ-5D-5L). </w:t>
      </w:r>
      <w:r w:rsidRPr="006324A5">
        <w:rPr>
          <w:rFonts w:ascii="Arial" w:hAnsi="Arial" w:cs="Arial"/>
          <w:i/>
          <w:iCs/>
          <w:noProof/>
          <w:sz w:val="24"/>
          <w:szCs w:val="24"/>
        </w:rPr>
        <w:t>Qual Life Res</w:t>
      </w:r>
      <w:r w:rsidRPr="006324A5">
        <w:rPr>
          <w:rFonts w:ascii="Arial" w:hAnsi="Arial" w:cs="Arial"/>
          <w:noProof/>
          <w:sz w:val="24"/>
          <w:szCs w:val="24"/>
        </w:rPr>
        <w:t xml:space="preserve"> 2011;</w:t>
      </w:r>
      <w:r w:rsidRPr="006324A5">
        <w:rPr>
          <w:rFonts w:ascii="Arial" w:hAnsi="Arial" w:cs="Arial"/>
          <w:b/>
          <w:bCs/>
          <w:noProof/>
          <w:sz w:val="24"/>
          <w:szCs w:val="24"/>
        </w:rPr>
        <w:t>20</w:t>
      </w:r>
      <w:r w:rsidRPr="006324A5">
        <w:rPr>
          <w:rFonts w:ascii="Arial" w:hAnsi="Arial" w:cs="Arial"/>
          <w:noProof/>
          <w:sz w:val="24"/>
          <w:szCs w:val="24"/>
        </w:rPr>
        <w:t>:1727–36. doi:10.1007/s11136-011-9903-x</w:t>
      </w:r>
    </w:p>
    <w:p w14:paraId="318DC643" w14:textId="77777777" w:rsidR="006324A5" w:rsidRPr="006324A5" w:rsidRDefault="006324A5" w:rsidP="006324A5">
      <w:pPr>
        <w:widowControl w:val="0"/>
        <w:autoSpaceDE w:val="0"/>
        <w:autoSpaceDN w:val="0"/>
        <w:adjustRightInd w:val="0"/>
        <w:spacing w:line="240" w:lineRule="auto"/>
        <w:ind w:left="640" w:hanging="640"/>
        <w:rPr>
          <w:rFonts w:ascii="Arial" w:hAnsi="Arial" w:cs="Arial"/>
          <w:noProof/>
          <w:sz w:val="24"/>
          <w:szCs w:val="24"/>
        </w:rPr>
      </w:pPr>
      <w:r w:rsidRPr="006324A5">
        <w:rPr>
          <w:rFonts w:ascii="Arial" w:hAnsi="Arial" w:cs="Arial"/>
          <w:noProof/>
          <w:sz w:val="24"/>
          <w:szCs w:val="24"/>
        </w:rPr>
        <w:t xml:space="preserve">10 </w:t>
      </w:r>
      <w:r w:rsidRPr="006324A5">
        <w:rPr>
          <w:rFonts w:ascii="Arial" w:hAnsi="Arial" w:cs="Arial"/>
          <w:noProof/>
          <w:sz w:val="24"/>
          <w:szCs w:val="24"/>
        </w:rPr>
        <w:tab/>
        <w:t xml:space="preserve">Elliott J, Lawton J, Rankin D, </w:t>
      </w:r>
      <w:r w:rsidRPr="006324A5">
        <w:rPr>
          <w:rFonts w:ascii="Arial" w:hAnsi="Arial" w:cs="Arial"/>
          <w:i/>
          <w:iCs/>
          <w:noProof/>
          <w:sz w:val="24"/>
          <w:szCs w:val="24"/>
        </w:rPr>
        <w:t>et al.</w:t>
      </w:r>
      <w:r w:rsidRPr="006324A5">
        <w:rPr>
          <w:rFonts w:ascii="Arial" w:hAnsi="Arial" w:cs="Arial"/>
          <w:noProof/>
          <w:sz w:val="24"/>
          <w:szCs w:val="24"/>
        </w:rPr>
        <w:t xml:space="preserve"> The 5x1 DAFNE study protocol: a cluster randomised trial comparing a standard 5 day DAFNE course delivered over 1 week against DAFNE training delivered over 1 day a week for 5 consecutive weeks. </w:t>
      </w:r>
      <w:r w:rsidRPr="006324A5">
        <w:rPr>
          <w:rFonts w:ascii="Arial" w:hAnsi="Arial" w:cs="Arial"/>
          <w:i/>
          <w:iCs/>
          <w:noProof/>
          <w:sz w:val="24"/>
          <w:szCs w:val="24"/>
        </w:rPr>
        <w:t>BMC Endocr Disord</w:t>
      </w:r>
      <w:r w:rsidRPr="006324A5">
        <w:rPr>
          <w:rFonts w:ascii="Arial" w:hAnsi="Arial" w:cs="Arial"/>
          <w:noProof/>
          <w:sz w:val="24"/>
          <w:szCs w:val="24"/>
        </w:rPr>
        <w:t xml:space="preserve"> 2012;</w:t>
      </w:r>
      <w:r w:rsidRPr="006324A5">
        <w:rPr>
          <w:rFonts w:ascii="Arial" w:hAnsi="Arial" w:cs="Arial"/>
          <w:b/>
          <w:bCs/>
          <w:noProof/>
          <w:sz w:val="24"/>
          <w:szCs w:val="24"/>
        </w:rPr>
        <w:t>12</w:t>
      </w:r>
      <w:r w:rsidRPr="006324A5">
        <w:rPr>
          <w:rFonts w:ascii="Arial" w:hAnsi="Arial" w:cs="Arial"/>
          <w:noProof/>
          <w:sz w:val="24"/>
          <w:szCs w:val="24"/>
        </w:rPr>
        <w:t>:28. doi:10.1186/1472-6823-12-28</w:t>
      </w:r>
    </w:p>
    <w:p w14:paraId="26FBC691" w14:textId="77777777" w:rsidR="006324A5" w:rsidRPr="006324A5" w:rsidRDefault="006324A5" w:rsidP="006324A5">
      <w:pPr>
        <w:widowControl w:val="0"/>
        <w:autoSpaceDE w:val="0"/>
        <w:autoSpaceDN w:val="0"/>
        <w:adjustRightInd w:val="0"/>
        <w:spacing w:line="240" w:lineRule="auto"/>
        <w:ind w:left="640" w:hanging="640"/>
        <w:rPr>
          <w:rFonts w:ascii="Arial" w:hAnsi="Arial" w:cs="Arial"/>
          <w:noProof/>
          <w:sz w:val="24"/>
          <w:szCs w:val="24"/>
        </w:rPr>
      </w:pPr>
      <w:r w:rsidRPr="006324A5">
        <w:rPr>
          <w:rFonts w:ascii="Arial" w:hAnsi="Arial" w:cs="Arial"/>
          <w:noProof/>
          <w:sz w:val="24"/>
          <w:szCs w:val="24"/>
        </w:rPr>
        <w:t xml:space="preserve">11 </w:t>
      </w:r>
      <w:r w:rsidRPr="006324A5">
        <w:rPr>
          <w:rFonts w:ascii="Arial" w:hAnsi="Arial" w:cs="Arial"/>
          <w:noProof/>
          <w:sz w:val="24"/>
          <w:szCs w:val="24"/>
        </w:rPr>
        <w:tab/>
        <w:t xml:space="preserve">REPOSE Study Group TRS. Relative effectiveness of insulin pump treatment over multiple daily injections and structured education during flexible intensive insulin treatment for type 1 diabetes: cluster randomised trial (REPOSE). </w:t>
      </w:r>
      <w:r w:rsidRPr="006324A5">
        <w:rPr>
          <w:rFonts w:ascii="Arial" w:hAnsi="Arial" w:cs="Arial"/>
          <w:i/>
          <w:iCs/>
          <w:noProof/>
          <w:sz w:val="24"/>
          <w:szCs w:val="24"/>
        </w:rPr>
        <w:t>BMJ</w:t>
      </w:r>
      <w:r w:rsidRPr="006324A5">
        <w:rPr>
          <w:rFonts w:ascii="Arial" w:hAnsi="Arial" w:cs="Arial"/>
          <w:noProof/>
          <w:sz w:val="24"/>
          <w:szCs w:val="24"/>
        </w:rPr>
        <w:t xml:space="preserve"> 2017;</w:t>
      </w:r>
      <w:r w:rsidRPr="006324A5">
        <w:rPr>
          <w:rFonts w:ascii="Arial" w:hAnsi="Arial" w:cs="Arial"/>
          <w:b/>
          <w:bCs/>
          <w:noProof/>
          <w:sz w:val="24"/>
          <w:szCs w:val="24"/>
        </w:rPr>
        <w:t>356</w:t>
      </w:r>
      <w:r w:rsidRPr="006324A5">
        <w:rPr>
          <w:rFonts w:ascii="Arial" w:hAnsi="Arial" w:cs="Arial"/>
          <w:noProof/>
          <w:sz w:val="24"/>
          <w:szCs w:val="24"/>
        </w:rPr>
        <w:t>:j1285. doi:10.1136/BMJ.J1285</w:t>
      </w:r>
    </w:p>
    <w:p w14:paraId="23FD746E" w14:textId="77777777" w:rsidR="006324A5" w:rsidRPr="006324A5" w:rsidRDefault="006324A5" w:rsidP="006324A5">
      <w:pPr>
        <w:widowControl w:val="0"/>
        <w:autoSpaceDE w:val="0"/>
        <w:autoSpaceDN w:val="0"/>
        <w:adjustRightInd w:val="0"/>
        <w:spacing w:line="240" w:lineRule="auto"/>
        <w:ind w:left="640" w:hanging="640"/>
        <w:rPr>
          <w:rFonts w:ascii="Arial" w:hAnsi="Arial" w:cs="Arial"/>
          <w:noProof/>
          <w:sz w:val="24"/>
          <w:szCs w:val="24"/>
        </w:rPr>
      </w:pPr>
      <w:r w:rsidRPr="006324A5">
        <w:rPr>
          <w:rFonts w:ascii="Arial" w:hAnsi="Arial" w:cs="Arial"/>
          <w:noProof/>
          <w:sz w:val="24"/>
          <w:szCs w:val="24"/>
        </w:rPr>
        <w:t xml:space="preserve">12 </w:t>
      </w:r>
      <w:r w:rsidRPr="006324A5">
        <w:rPr>
          <w:rFonts w:ascii="Arial" w:hAnsi="Arial" w:cs="Arial"/>
          <w:noProof/>
          <w:sz w:val="24"/>
          <w:szCs w:val="24"/>
        </w:rPr>
        <w:tab/>
        <w:t xml:space="preserve">Devlin NJ, Shah KK, Feng Y, </w:t>
      </w:r>
      <w:r w:rsidRPr="006324A5">
        <w:rPr>
          <w:rFonts w:ascii="Arial" w:hAnsi="Arial" w:cs="Arial"/>
          <w:i/>
          <w:iCs/>
          <w:noProof/>
          <w:sz w:val="24"/>
          <w:szCs w:val="24"/>
        </w:rPr>
        <w:t>et al.</w:t>
      </w:r>
      <w:r w:rsidRPr="006324A5">
        <w:rPr>
          <w:rFonts w:ascii="Arial" w:hAnsi="Arial" w:cs="Arial"/>
          <w:noProof/>
          <w:sz w:val="24"/>
          <w:szCs w:val="24"/>
        </w:rPr>
        <w:t xml:space="preserve"> Valuing health-related quality of life: An EQ-5D-5L value set for England. </w:t>
      </w:r>
      <w:r w:rsidRPr="006324A5">
        <w:rPr>
          <w:rFonts w:ascii="Arial" w:hAnsi="Arial" w:cs="Arial"/>
          <w:i/>
          <w:iCs/>
          <w:noProof/>
          <w:sz w:val="24"/>
          <w:szCs w:val="24"/>
        </w:rPr>
        <w:t>Health Econ</w:t>
      </w:r>
      <w:r w:rsidRPr="006324A5">
        <w:rPr>
          <w:rFonts w:ascii="Arial" w:hAnsi="Arial" w:cs="Arial"/>
          <w:noProof/>
          <w:sz w:val="24"/>
          <w:szCs w:val="24"/>
        </w:rPr>
        <w:t xml:space="preserve"> Published Online First: 22 August 2017. doi:10.1002/hec.3564</w:t>
      </w:r>
    </w:p>
    <w:p w14:paraId="4D686BF0" w14:textId="77777777" w:rsidR="006324A5" w:rsidRPr="006324A5" w:rsidRDefault="006324A5" w:rsidP="006324A5">
      <w:pPr>
        <w:widowControl w:val="0"/>
        <w:autoSpaceDE w:val="0"/>
        <w:autoSpaceDN w:val="0"/>
        <w:adjustRightInd w:val="0"/>
        <w:spacing w:line="240" w:lineRule="auto"/>
        <w:ind w:left="640" w:hanging="640"/>
        <w:rPr>
          <w:rFonts w:ascii="Arial" w:hAnsi="Arial" w:cs="Arial"/>
          <w:noProof/>
          <w:sz w:val="24"/>
          <w:szCs w:val="24"/>
        </w:rPr>
      </w:pPr>
      <w:r w:rsidRPr="006324A5">
        <w:rPr>
          <w:rFonts w:ascii="Arial" w:hAnsi="Arial" w:cs="Arial"/>
          <w:noProof/>
          <w:sz w:val="24"/>
          <w:szCs w:val="24"/>
        </w:rPr>
        <w:t xml:space="preserve">13 </w:t>
      </w:r>
      <w:r w:rsidRPr="006324A5">
        <w:rPr>
          <w:rFonts w:ascii="Arial" w:hAnsi="Arial" w:cs="Arial"/>
          <w:noProof/>
          <w:sz w:val="24"/>
          <w:szCs w:val="24"/>
        </w:rPr>
        <w:tab/>
        <w:t xml:space="preserve">National Institute for Health and Care Excellence. NICE’s position statement on EQ-5D-5L NATIONAL INSTITUTE FOR HEALTH AND CARE EXCELLENCE Position statement on use of the EQ-5D-5L valuation set. </w:t>
      </w:r>
      <w:r w:rsidRPr="006324A5">
        <w:rPr>
          <w:rFonts w:ascii="Arial" w:hAnsi="Arial" w:cs="Arial"/>
          <w:noProof/>
          <w:sz w:val="24"/>
          <w:szCs w:val="24"/>
        </w:rPr>
        <w:lastRenderedPageBreak/>
        <w:t>https://www.nice.org.uk/Media/Default/About/what-we-do/NICE-guidance/NICE-technology-appraisal-guidance/eq5d5l_nice_position_statement.pdf (accessed 30 Jan 2018).</w:t>
      </w:r>
    </w:p>
    <w:p w14:paraId="3A01B712" w14:textId="77777777" w:rsidR="006324A5" w:rsidRPr="006324A5" w:rsidRDefault="006324A5" w:rsidP="006324A5">
      <w:pPr>
        <w:widowControl w:val="0"/>
        <w:autoSpaceDE w:val="0"/>
        <w:autoSpaceDN w:val="0"/>
        <w:adjustRightInd w:val="0"/>
        <w:spacing w:line="240" w:lineRule="auto"/>
        <w:ind w:left="640" w:hanging="640"/>
        <w:rPr>
          <w:rFonts w:ascii="Arial" w:hAnsi="Arial" w:cs="Arial"/>
          <w:noProof/>
          <w:sz w:val="24"/>
        </w:rPr>
      </w:pPr>
      <w:r w:rsidRPr="006324A5">
        <w:rPr>
          <w:rFonts w:ascii="Arial" w:hAnsi="Arial" w:cs="Arial"/>
          <w:noProof/>
          <w:sz w:val="24"/>
          <w:szCs w:val="24"/>
        </w:rPr>
        <w:t xml:space="preserve">14 </w:t>
      </w:r>
      <w:r w:rsidRPr="006324A5">
        <w:rPr>
          <w:rFonts w:ascii="Arial" w:hAnsi="Arial" w:cs="Arial"/>
          <w:noProof/>
          <w:sz w:val="24"/>
          <w:szCs w:val="24"/>
        </w:rPr>
        <w:tab/>
        <w:t xml:space="preserve">van Hout B, Janssen MF, Feng Y-S, </w:t>
      </w:r>
      <w:r w:rsidRPr="006324A5">
        <w:rPr>
          <w:rFonts w:ascii="Arial" w:hAnsi="Arial" w:cs="Arial"/>
          <w:i/>
          <w:iCs/>
          <w:noProof/>
          <w:sz w:val="24"/>
          <w:szCs w:val="24"/>
        </w:rPr>
        <w:t>et al.</w:t>
      </w:r>
      <w:r w:rsidRPr="006324A5">
        <w:rPr>
          <w:rFonts w:ascii="Arial" w:hAnsi="Arial" w:cs="Arial"/>
          <w:noProof/>
          <w:sz w:val="24"/>
          <w:szCs w:val="24"/>
        </w:rPr>
        <w:t xml:space="preserve"> Interim Scoring for the EQ-5D-5L: Mapping the EQ-5D-5L to EQ-5D-3L Value Sets. </w:t>
      </w:r>
      <w:r w:rsidRPr="006324A5">
        <w:rPr>
          <w:rFonts w:ascii="Arial" w:hAnsi="Arial" w:cs="Arial"/>
          <w:i/>
          <w:iCs/>
          <w:noProof/>
          <w:sz w:val="24"/>
          <w:szCs w:val="24"/>
        </w:rPr>
        <w:t>Value Heal</w:t>
      </w:r>
      <w:r w:rsidRPr="006324A5">
        <w:rPr>
          <w:rFonts w:ascii="Arial" w:hAnsi="Arial" w:cs="Arial"/>
          <w:noProof/>
          <w:sz w:val="24"/>
          <w:szCs w:val="24"/>
        </w:rPr>
        <w:t xml:space="preserve"> 2012;</w:t>
      </w:r>
      <w:r w:rsidRPr="006324A5">
        <w:rPr>
          <w:rFonts w:ascii="Arial" w:hAnsi="Arial" w:cs="Arial"/>
          <w:b/>
          <w:bCs/>
          <w:noProof/>
          <w:sz w:val="24"/>
          <w:szCs w:val="24"/>
        </w:rPr>
        <w:t>15</w:t>
      </w:r>
      <w:r w:rsidRPr="006324A5">
        <w:rPr>
          <w:rFonts w:ascii="Arial" w:hAnsi="Arial" w:cs="Arial"/>
          <w:noProof/>
          <w:sz w:val="24"/>
          <w:szCs w:val="24"/>
        </w:rPr>
        <w:t>:708–15. doi:10.1016/j.jval.2012.02.008</w:t>
      </w:r>
    </w:p>
    <w:p w14:paraId="06F82AC7" w14:textId="1630CF18" w:rsidR="006324A5" w:rsidRPr="006324A5" w:rsidRDefault="006324A5">
      <w:pPr>
        <w:rPr>
          <w:rFonts w:ascii="Arial" w:hAnsi="Arial" w:cs="Arial"/>
          <w:b/>
          <w:sz w:val="24"/>
        </w:rPr>
      </w:pPr>
      <w:r>
        <w:rPr>
          <w:rFonts w:ascii="Arial" w:hAnsi="Arial" w:cs="Arial"/>
          <w:b/>
          <w:sz w:val="24"/>
        </w:rPr>
        <w:fldChar w:fldCharType="end"/>
      </w:r>
      <w:bookmarkStart w:id="0" w:name="_GoBack"/>
      <w:bookmarkEnd w:id="0"/>
    </w:p>
    <w:sectPr w:rsidR="006324A5" w:rsidRPr="006324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236A25"/>
    <w:multiLevelType w:val="hybridMultilevel"/>
    <w:tmpl w:val="B8A877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2D3"/>
    <w:rsid w:val="00174D72"/>
    <w:rsid w:val="006324A5"/>
    <w:rsid w:val="007E12D3"/>
    <w:rsid w:val="008806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5CD74"/>
  <w15:chartTrackingRefBased/>
  <w15:docId w15:val="{82A2B875-AE90-40AF-8696-B723243EF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2D3"/>
    <w:rPr>
      <w:rFonts w:eastAsiaTheme="minorEastAsia"/>
      <w:lang w:eastAsia="zh-CN"/>
    </w:rPr>
  </w:style>
  <w:style w:type="paragraph" w:styleId="Heading1">
    <w:name w:val="heading 1"/>
    <w:basedOn w:val="Normal"/>
    <w:next w:val="Normal"/>
    <w:link w:val="Heading1Char"/>
    <w:uiPriority w:val="9"/>
    <w:qFormat/>
    <w:rsid w:val="007E12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2D3"/>
    <w:rPr>
      <w:rFonts w:asciiTheme="majorHAnsi" w:eastAsiaTheme="majorEastAsia" w:hAnsiTheme="majorHAnsi" w:cstheme="majorBidi"/>
      <w:color w:val="2E74B5" w:themeColor="accent1" w:themeShade="BF"/>
      <w:sz w:val="32"/>
      <w:szCs w:val="32"/>
      <w:lang w:eastAsia="zh-CN"/>
    </w:rPr>
  </w:style>
  <w:style w:type="paragraph" w:styleId="ListParagraph">
    <w:name w:val="List Paragraph"/>
    <w:basedOn w:val="Normal"/>
    <w:uiPriority w:val="34"/>
    <w:qFormat/>
    <w:rsid w:val="007E12D3"/>
    <w:pPr>
      <w:ind w:left="720"/>
      <w:contextualSpacing/>
    </w:pPr>
  </w:style>
  <w:style w:type="character" w:styleId="CommentReference">
    <w:name w:val="annotation reference"/>
    <w:basedOn w:val="DefaultParagraphFont"/>
    <w:uiPriority w:val="99"/>
    <w:semiHidden/>
    <w:unhideWhenUsed/>
    <w:rsid w:val="007E12D3"/>
    <w:rPr>
      <w:sz w:val="16"/>
      <w:szCs w:val="16"/>
    </w:rPr>
  </w:style>
  <w:style w:type="paragraph" w:styleId="CommentText">
    <w:name w:val="annotation text"/>
    <w:basedOn w:val="Normal"/>
    <w:link w:val="CommentTextChar"/>
    <w:uiPriority w:val="99"/>
    <w:semiHidden/>
    <w:unhideWhenUsed/>
    <w:rsid w:val="007E12D3"/>
    <w:pPr>
      <w:spacing w:line="240" w:lineRule="auto"/>
    </w:pPr>
    <w:rPr>
      <w:sz w:val="20"/>
      <w:szCs w:val="20"/>
    </w:rPr>
  </w:style>
  <w:style w:type="character" w:customStyle="1" w:styleId="CommentTextChar">
    <w:name w:val="Comment Text Char"/>
    <w:basedOn w:val="DefaultParagraphFont"/>
    <w:link w:val="CommentText"/>
    <w:uiPriority w:val="99"/>
    <w:semiHidden/>
    <w:rsid w:val="007E12D3"/>
    <w:rPr>
      <w:rFonts w:eastAsiaTheme="minorEastAsia"/>
      <w:sz w:val="20"/>
      <w:szCs w:val="20"/>
      <w:lang w:eastAsia="zh-CN"/>
    </w:rPr>
  </w:style>
  <w:style w:type="character" w:customStyle="1" w:styleId="ng-binding">
    <w:name w:val="ng-binding"/>
    <w:basedOn w:val="DefaultParagraphFont"/>
    <w:rsid w:val="007E12D3"/>
  </w:style>
  <w:style w:type="paragraph" w:styleId="BalloonText">
    <w:name w:val="Balloon Text"/>
    <w:basedOn w:val="Normal"/>
    <w:link w:val="BalloonTextChar"/>
    <w:uiPriority w:val="99"/>
    <w:semiHidden/>
    <w:unhideWhenUsed/>
    <w:rsid w:val="007E12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2D3"/>
    <w:rPr>
      <w:rFonts w:ascii="Segoe UI" w:eastAsiaTheme="minorEastAsia"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EEAB0-695B-4FFB-90DB-5F9BD8E44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8219</Words>
  <Characters>46854</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Coates</dc:creator>
  <cp:keywords/>
  <dc:description/>
  <cp:lastModifiedBy>Lizzie Coates</cp:lastModifiedBy>
  <cp:revision>2</cp:revision>
  <dcterms:created xsi:type="dcterms:W3CDTF">2020-05-13T10:30:00Z</dcterms:created>
  <dcterms:modified xsi:type="dcterms:W3CDTF">2020-05-13T10:44:00Z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http://www.zotero.org/styles/bmj-open</vt:lpwstr>
  </property>
  <property fmtid="{D5CDD505-2E9C-101B-9397-08002B2CF9AE}" pid="7" name="Mendeley Recent Style Name 2_1">
    <vt:lpwstr>BMJ Open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http://www.zotero.org/styles/social-science-and-medicine</vt:lpwstr>
  </property>
  <property fmtid="{D5CDD505-2E9C-101B-9397-08002B2CF9AE}" pid="21" name="Mendeley Recent Style Name 9_1">
    <vt:lpwstr>Social Science &amp; Medicine</vt:lpwstr>
  </property>
  <property fmtid="{D5CDD505-2E9C-101B-9397-08002B2CF9AE}" pid="22" name="Mendeley Document_1">
    <vt:lpwstr>True</vt:lpwstr>
  </property>
  <property fmtid="{D5CDD505-2E9C-101B-9397-08002B2CF9AE}" pid="23" name="Mendeley Unique User Id_1">
    <vt:lpwstr>e96626bd-9795-32f6-a481-31d298de3371</vt:lpwstr>
  </property>
  <property fmtid="{D5CDD505-2E9C-101B-9397-08002B2CF9AE}" pid="24" name="Mendeley Citation Style_1">
    <vt:lpwstr>http://www.zotero.org/styles/bmj-open</vt:lpwstr>
  </property>
</Properties>
</file>