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1CB" w:rsidRPr="00450CC6" w:rsidRDefault="00B941CB" w:rsidP="00B941CB">
      <w:pPr>
        <w:pStyle w:val="Heading1"/>
        <w:spacing w:before="0"/>
        <w:rPr>
          <w:rFonts w:ascii="Arial" w:hAnsi="Arial" w:cs="Arial"/>
          <w:b/>
          <w:bCs/>
          <w:color w:val="auto"/>
          <w:sz w:val="24"/>
          <w:szCs w:val="24"/>
        </w:rPr>
      </w:pPr>
      <w:bookmarkStart w:id="0" w:name="_Toc27560270"/>
      <w:r>
        <w:rPr>
          <w:rFonts w:ascii="Arial" w:hAnsi="Arial" w:cs="Arial"/>
          <w:b/>
          <w:bCs/>
          <w:color w:val="auto"/>
          <w:sz w:val="24"/>
          <w:szCs w:val="24"/>
        </w:rPr>
        <w:t xml:space="preserve">Supplementary material 4 – </w:t>
      </w:r>
      <w:r w:rsidRPr="00450CC6">
        <w:rPr>
          <w:rFonts w:ascii="Arial" w:hAnsi="Arial" w:cs="Arial"/>
          <w:b/>
          <w:bCs/>
          <w:color w:val="auto"/>
          <w:sz w:val="24"/>
          <w:szCs w:val="24"/>
        </w:rPr>
        <w:t>Development</w:t>
      </w:r>
      <w:r>
        <w:rPr>
          <w:rFonts w:ascii="Arial" w:hAnsi="Arial" w:cs="Arial"/>
          <w:b/>
          <w:bCs/>
          <w:color w:val="auto"/>
          <w:sz w:val="24"/>
          <w:szCs w:val="24"/>
        </w:rPr>
        <w:t xml:space="preserve"> </w:t>
      </w:r>
      <w:r w:rsidRPr="00450CC6">
        <w:rPr>
          <w:rFonts w:ascii="Arial" w:hAnsi="Arial" w:cs="Arial"/>
          <w:b/>
          <w:bCs/>
          <w:color w:val="auto"/>
          <w:sz w:val="24"/>
          <w:szCs w:val="24"/>
        </w:rPr>
        <w:t>and modification of questionnaires and individual items</w:t>
      </w:r>
      <w:bookmarkEnd w:id="0"/>
    </w:p>
    <w:p w:rsidR="00D04B00" w:rsidRDefault="00D04B00" w:rsidP="00B941CB">
      <w:pPr>
        <w:spacing w:after="0"/>
        <w:rPr>
          <w:rFonts w:ascii="Arial" w:eastAsia="Calibri" w:hAnsi="Arial" w:cs="Arial"/>
          <w:b/>
          <w:sz w:val="24"/>
          <w:szCs w:val="24"/>
          <w:lang w:eastAsia="en-US"/>
        </w:rPr>
      </w:pPr>
      <w:bookmarkStart w:id="1" w:name="_GoBack"/>
      <w:bookmarkEnd w:id="1"/>
    </w:p>
    <w:p w:rsidR="00B941CB" w:rsidRPr="00450CC6" w:rsidRDefault="00B941CB" w:rsidP="00B941CB">
      <w:pPr>
        <w:spacing w:after="0"/>
        <w:rPr>
          <w:rFonts w:ascii="Arial" w:eastAsia="Calibri" w:hAnsi="Arial" w:cs="Arial"/>
          <w:b/>
          <w:sz w:val="24"/>
          <w:szCs w:val="24"/>
          <w:lang w:eastAsia="en-US"/>
        </w:rPr>
      </w:pPr>
      <w:r w:rsidRPr="00450CC6">
        <w:rPr>
          <w:rFonts w:ascii="Arial" w:eastAsia="Calibri" w:hAnsi="Arial" w:cs="Arial"/>
          <w:b/>
          <w:sz w:val="24"/>
          <w:szCs w:val="24"/>
          <w:lang w:eastAsia="en-US"/>
        </w:rPr>
        <w:t>Confidence in Diabetes Scale (CIDS)</w:t>
      </w:r>
    </w:p>
    <w:p w:rsidR="00B941CB" w:rsidRDefault="00B941CB" w:rsidP="00B941CB">
      <w:pPr>
        <w:spacing w:after="0"/>
        <w:jc w:val="both"/>
        <w:rPr>
          <w:rFonts w:ascii="Arial" w:eastAsia="Calibri" w:hAnsi="Arial" w:cs="Arial"/>
          <w:sz w:val="24"/>
          <w:szCs w:val="24"/>
          <w:lang w:eastAsia="en-US"/>
        </w:rPr>
      </w:pPr>
    </w:p>
    <w:p w:rsidR="00B941CB" w:rsidRPr="00450CC6" w:rsidRDefault="00B941CB" w:rsidP="00B941CB">
      <w:pPr>
        <w:spacing w:after="0"/>
        <w:jc w:val="both"/>
        <w:rPr>
          <w:rFonts w:ascii="Arial" w:eastAsia="Calibri" w:hAnsi="Arial" w:cs="Arial"/>
          <w:sz w:val="24"/>
          <w:szCs w:val="24"/>
          <w:lang w:eastAsia="en-US"/>
        </w:rPr>
      </w:pPr>
      <w:r w:rsidRPr="00450CC6">
        <w:rPr>
          <w:rFonts w:ascii="Arial" w:eastAsia="Calibri" w:hAnsi="Arial" w:cs="Arial"/>
          <w:sz w:val="24"/>
          <w:szCs w:val="24"/>
          <w:lang w:eastAsia="en-US"/>
        </w:rPr>
        <w:t xml:space="preserve">This scale assesses the extent to which an individual believes they can engage in particular behaviours related to their type 1 diabetes treatment regimen (self-efficacy). The scale was published in 2003 and Dr Cooke contacted Prof </w:t>
      </w:r>
      <w:proofErr w:type="spellStart"/>
      <w:r w:rsidRPr="00450CC6">
        <w:rPr>
          <w:rFonts w:ascii="Arial" w:eastAsia="Calibri" w:hAnsi="Arial" w:cs="Arial"/>
          <w:sz w:val="24"/>
          <w:szCs w:val="24"/>
          <w:lang w:eastAsia="en-US"/>
        </w:rPr>
        <w:t>Snoek</w:t>
      </w:r>
      <w:proofErr w:type="spellEnd"/>
      <w:r w:rsidRPr="00450CC6">
        <w:rPr>
          <w:rFonts w:ascii="Arial" w:eastAsia="Calibri" w:hAnsi="Arial" w:cs="Arial"/>
          <w:sz w:val="24"/>
          <w:szCs w:val="24"/>
          <w:lang w:eastAsia="en-US"/>
        </w:rPr>
        <w:t>, the senior author on the original validation paper to seek permission to amend item 3 on the scale (</w:t>
      </w:r>
      <w:r w:rsidRPr="00450CC6">
        <w:rPr>
          <w:rFonts w:ascii="Arial" w:eastAsia="Calibri" w:hAnsi="Arial" w:cs="Arial"/>
          <w:i/>
          <w:sz w:val="24"/>
          <w:szCs w:val="24"/>
          <w:lang w:eastAsia="en-US"/>
        </w:rPr>
        <w:t>I believe I can perform the prescribed number of daily insulin injections</w:t>
      </w:r>
      <w:r w:rsidRPr="00450CC6">
        <w:rPr>
          <w:rFonts w:ascii="Arial" w:eastAsia="Calibri" w:hAnsi="Arial" w:cs="Arial"/>
          <w:sz w:val="24"/>
          <w:szCs w:val="24"/>
          <w:lang w:eastAsia="en-US"/>
        </w:rPr>
        <w:t xml:space="preserve">). He gave his permission for the team to make the following amendment to reflect the more flexible approach to multiple daily insulin treatment regimens, advocated by courses like DAFNE and </w:t>
      </w:r>
      <w:proofErr w:type="spellStart"/>
      <w:r w:rsidRPr="00450CC6">
        <w:rPr>
          <w:rFonts w:ascii="Arial" w:eastAsia="Calibri" w:hAnsi="Arial" w:cs="Arial"/>
          <w:sz w:val="24"/>
          <w:szCs w:val="24"/>
          <w:lang w:eastAsia="en-US"/>
        </w:rPr>
        <w:t>DAFNE</w:t>
      </w:r>
      <w:r w:rsidRPr="00450CC6">
        <w:rPr>
          <w:rFonts w:ascii="Arial" w:eastAsia="Calibri" w:hAnsi="Arial" w:cs="Arial"/>
          <w:i/>
          <w:sz w:val="24"/>
          <w:szCs w:val="24"/>
          <w:lang w:eastAsia="en-US"/>
        </w:rPr>
        <w:t>plus</w:t>
      </w:r>
      <w:proofErr w:type="spellEnd"/>
      <w:r w:rsidRPr="00450CC6">
        <w:rPr>
          <w:rFonts w:ascii="Arial" w:eastAsia="Calibri" w:hAnsi="Arial" w:cs="Arial"/>
          <w:sz w:val="24"/>
          <w:szCs w:val="24"/>
          <w:lang w:eastAsia="en-US"/>
        </w:rPr>
        <w:t xml:space="preserve"> (</w:t>
      </w:r>
      <w:r w:rsidRPr="00450CC6">
        <w:rPr>
          <w:rFonts w:ascii="Arial" w:eastAsia="Calibri" w:hAnsi="Arial" w:cs="Arial"/>
          <w:i/>
          <w:sz w:val="24"/>
          <w:szCs w:val="24"/>
          <w:lang w:eastAsia="en-US"/>
        </w:rPr>
        <w:t>I believe I can perform the number of daily insulin injections I need to</w:t>
      </w:r>
      <w:r w:rsidRPr="00450CC6">
        <w:rPr>
          <w:rFonts w:ascii="Arial" w:eastAsia="Calibri" w:hAnsi="Arial" w:cs="Arial"/>
          <w:sz w:val="24"/>
          <w:szCs w:val="24"/>
          <w:lang w:eastAsia="en-US"/>
        </w:rPr>
        <w:t xml:space="preserve">). </w:t>
      </w:r>
    </w:p>
    <w:p w:rsidR="00B941CB" w:rsidRDefault="00B941CB" w:rsidP="00B941CB">
      <w:pPr>
        <w:spacing w:after="0"/>
        <w:rPr>
          <w:rFonts w:ascii="Arial" w:eastAsia="Calibri" w:hAnsi="Arial" w:cs="Arial"/>
          <w:b/>
          <w:sz w:val="24"/>
          <w:szCs w:val="24"/>
          <w:lang w:val="fr-FR" w:eastAsia="en-US"/>
        </w:rPr>
      </w:pPr>
    </w:p>
    <w:p w:rsidR="00B941CB" w:rsidRPr="00450CC6" w:rsidRDefault="00B941CB" w:rsidP="00B941CB">
      <w:pPr>
        <w:spacing w:after="0"/>
        <w:rPr>
          <w:rFonts w:ascii="Arial" w:eastAsia="Calibri" w:hAnsi="Arial" w:cs="Arial"/>
          <w:b/>
          <w:sz w:val="24"/>
          <w:szCs w:val="24"/>
          <w:lang w:val="fr-FR" w:eastAsia="en-US"/>
        </w:rPr>
      </w:pPr>
      <w:r w:rsidRPr="00450CC6">
        <w:rPr>
          <w:rFonts w:ascii="Arial" w:eastAsia="Calibri" w:hAnsi="Arial" w:cs="Arial"/>
          <w:b/>
          <w:sz w:val="24"/>
          <w:szCs w:val="24"/>
          <w:lang w:val="fr-FR" w:eastAsia="en-US"/>
        </w:rPr>
        <w:t>Self-</w:t>
      </w:r>
      <w:proofErr w:type="spellStart"/>
      <w:r w:rsidRPr="00450CC6">
        <w:rPr>
          <w:rFonts w:ascii="Arial" w:eastAsia="Calibri" w:hAnsi="Arial" w:cs="Arial"/>
          <w:b/>
          <w:sz w:val="24"/>
          <w:szCs w:val="24"/>
          <w:lang w:val="fr-FR" w:eastAsia="en-US"/>
        </w:rPr>
        <w:t>Regulation</w:t>
      </w:r>
      <w:proofErr w:type="spellEnd"/>
      <w:r w:rsidRPr="00450CC6">
        <w:rPr>
          <w:rFonts w:ascii="Arial" w:eastAsia="Calibri" w:hAnsi="Arial" w:cs="Arial"/>
          <w:b/>
          <w:sz w:val="24"/>
          <w:szCs w:val="24"/>
          <w:lang w:val="fr-FR" w:eastAsia="en-US"/>
        </w:rPr>
        <w:t xml:space="preserve"> Questionnaire for Type 1 </w:t>
      </w:r>
      <w:proofErr w:type="spellStart"/>
      <w:r w:rsidRPr="00450CC6">
        <w:rPr>
          <w:rFonts w:ascii="Arial" w:eastAsia="Calibri" w:hAnsi="Arial" w:cs="Arial"/>
          <w:b/>
          <w:sz w:val="24"/>
          <w:szCs w:val="24"/>
          <w:lang w:val="fr-FR" w:eastAsia="en-US"/>
        </w:rPr>
        <w:t>Diabetes</w:t>
      </w:r>
      <w:proofErr w:type="spellEnd"/>
      <w:r w:rsidRPr="00450CC6">
        <w:rPr>
          <w:rFonts w:ascii="Arial" w:eastAsia="Calibri" w:hAnsi="Arial" w:cs="Arial"/>
          <w:b/>
          <w:sz w:val="24"/>
          <w:szCs w:val="24"/>
          <w:lang w:val="fr-FR" w:eastAsia="en-US"/>
        </w:rPr>
        <w:t xml:space="preserve"> (SRQ-T1D)</w:t>
      </w:r>
    </w:p>
    <w:p w:rsidR="00B941CB" w:rsidRDefault="00B941CB" w:rsidP="00B941CB">
      <w:pPr>
        <w:autoSpaceDE w:val="0"/>
        <w:autoSpaceDN w:val="0"/>
        <w:adjustRightInd w:val="0"/>
        <w:spacing w:after="0"/>
        <w:jc w:val="both"/>
        <w:rPr>
          <w:rFonts w:ascii="Arial" w:hAnsi="Arial" w:cs="Arial"/>
          <w:color w:val="000000"/>
          <w:sz w:val="24"/>
          <w:szCs w:val="24"/>
        </w:rPr>
      </w:pPr>
    </w:p>
    <w:p w:rsidR="00B941CB" w:rsidRPr="00450CC6" w:rsidRDefault="00B941CB" w:rsidP="00B941CB">
      <w:pPr>
        <w:autoSpaceDE w:val="0"/>
        <w:autoSpaceDN w:val="0"/>
        <w:adjustRightInd w:val="0"/>
        <w:spacing w:after="0"/>
        <w:jc w:val="both"/>
        <w:rPr>
          <w:rFonts w:ascii="Arial" w:eastAsia="Calibri" w:hAnsi="Arial" w:cs="Arial"/>
          <w:color w:val="000000"/>
          <w:sz w:val="24"/>
          <w:szCs w:val="24"/>
          <w:lang w:eastAsia="en-US"/>
        </w:rPr>
      </w:pPr>
      <w:r w:rsidRPr="00450CC6">
        <w:rPr>
          <w:rFonts w:ascii="Arial" w:hAnsi="Arial" w:cs="Arial"/>
          <w:color w:val="000000"/>
          <w:sz w:val="24"/>
          <w:szCs w:val="24"/>
        </w:rPr>
        <w:t xml:space="preserve">This questionnaire is an adaptation of the Self-Regulation Questionnaire </w:t>
      </w:r>
      <w:r w:rsidR="00520B50">
        <w:rPr>
          <w:rFonts w:ascii="Arial" w:hAnsi="Arial" w:cs="Arial"/>
          <w:color w:val="000000"/>
          <w:sz w:val="24"/>
          <w:szCs w:val="24"/>
        </w:rPr>
        <w:fldChar w:fldCharType="begin" w:fldLock="1"/>
      </w:r>
      <w:r w:rsidR="00520B50">
        <w:rPr>
          <w:rFonts w:ascii="Arial" w:hAnsi="Arial" w:cs="Arial"/>
          <w:color w:val="000000"/>
          <w:sz w:val="24"/>
          <w:szCs w:val="24"/>
        </w:rPr>
        <w:instrText>ADDIN CSL_CITATION {"citationItems":[{"id":"ITEM-1","itemData":{"author":[{"dropping-particle":"","family":"Brown","given":"JM","non-dropping-particle":"","parse-names":false,"suffix":""},{"dropping-particle":"","family":"Miller","given":"WR","non-dropping-particle":"","parse-names":false,"suffix":""},{"dropping-particle":"","family":"LewandowskiLA","given":"","non-dropping-particle":"","parse-names":false,"suffix":""}],"container-title":"Innovations in clinical practice: A source book","editor":[{"dropping-particle":"","family":"Creek, Van de","given":"L","non-dropping-particle":"","parse-names":false,"suffix":""},{"dropping-particle":"","family":"Jackson","given":"TL","non-dropping-particle":"","parse-names":false,"suffix":""}],"id":"ITEM-1","issued":{"date-parts":[["1999"]]},"page":"281-289","publisher":"Professional Resource Press","publisher-place":"Sarasota, Florida","title":"The Self-Regulation Questionnaire","type":"chapter"},"uris":["http://www.mendeley.com/documents/?uuid=6e8e16b7-2b3a-4c84-a459-32dec1bb5a09"]}],"mendeley":{"formattedCitation":"[1]","plainTextFormattedCitation":"[1]","previouslyFormattedCitation":"[1]"},"properties":{"noteIndex":0},"schema":"https://github.com/citation-style-language/schema/raw/master/csl-citation.json"}</w:instrText>
      </w:r>
      <w:r w:rsidR="00520B50">
        <w:rPr>
          <w:rFonts w:ascii="Arial" w:hAnsi="Arial" w:cs="Arial"/>
          <w:color w:val="000000"/>
          <w:sz w:val="24"/>
          <w:szCs w:val="24"/>
        </w:rPr>
        <w:fldChar w:fldCharType="separate"/>
      </w:r>
      <w:r w:rsidR="00520B50" w:rsidRPr="00520B50">
        <w:rPr>
          <w:rFonts w:ascii="Arial" w:hAnsi="Arial" w:cs="Arial"/>
          <w:noProof/>
          <w:color w:val="000000"/>
          <w:sz w:val="24"/>
          <w:szCs w:val="24"/>
        </w:rPr>
        <w:t>[1]</w:t>
      </w:r>
      <w:r w:rsidR="00520B50">
        <w:rPr>
          <w:rFonts w:ascii="Arial" w:hAnsi="Arial" w:cs="Arial"/>
          <w:color w:val="000000"/>
          <w:sz w:val="24"/>
          <w:szCs w:val="24"/>
        </w:rPr>
        <w:fldChar w:fldCharType="end"/>
      </w:r>
      <w:r w:rsidRPr="00450CC6">
        <w:rPr>
          <w:rFonts w:ascii="Arial" w:eastAsia="Calibri" w:hAnsi="Arial" w:cs="Arial"/>
          <w:color w:val="000000"/>
          <w:sz w:val="24"/>
          <w:szCs w:val="24"/>
          <w:lang w:eastAsia="en-US"/>
        </w:rPr>
        <w:t xml:space="preserve">. </w:t>
      </w:r>
      <w:r w:rsidRPr="00450CC6">
        <w:rPr>
          <w:rFonts w:ascii="Arial" w:hAnsi="Arial" w:cs="Arial"/>
          <w:color w:val="000000"/>
          <w:sz w:val="24"/>
          <w:szCs w:val="24"/>
        </w:rPr>
        <w:t xml:space="preserve">Self-regulation is the ability to develop, implement, and flexibly maintain planned behaviour in order to achieve one's goals. The SRQ and our adaptation of this builds on the work of Frederick </w:t>
      </w:r>
      <w:proofErr w:type="spellStart"/>
      <w:r w:rsidRPr="00450CC6">
        <w:rPr>
          <w:rFonts w:ascii="Arial" w:hAnsi="Arial" w:cs="Arial"/>
          <w:color w:val="000000"/>
          <w:sz w:val="24"/>
          <w:szCs w:val="24"/>
        </w:rPr>
        <w:t>Kanfer</w:t>
      </w:r>
      <w:proofErr w:type="spellEnd"/>
      <w:r w:rsidRPr="00450CC6">
        <w:rPr>
          <w:rFonts w:ascii="Arial" w:hAnsi="Arial" w:cs="Arial"/>
          <w:color w:val="000000"/>
          <w:sz w:val="24"/>
          <w:szCs w:val="24"/>
        </w:rPr>
        <w:t xml:space="preserve"> and two researchers who formulated a seven-step model of self-regulation </w:t>
      </w:r>
      <w:r w:rsidR="00520B50">
        <w:rPr>
          <w:rFonts w:ascii="Arial" w:hAnsi="Arial" w:cs="Arial"/>
          <w:color w:val="000000"/>
          <w:sz w:val="24"/>
          <w:szCs w:val="24"/>
        </w:rPr>
        <w:fldChar w:fldCharType="begin" w:fldLock="1"/>
      </w:r>
      <w:r w:rsidR="00520B50">
        <w:rPr>
          <w:rFonts w:ascii="Arial" w:hAnsi="Arial" w:cs="Arial"/>
          <w:color w:val="000000"/>
          <w:sz w:val="24"/>
          <w:szCs w:val="24"/>
        </w:rPr>
        <w:instrText>ADDIN CSL_CITATION {"citationItems":[{"id":"ITEM-1","itemData":{"DOI":"10.1007/978-1-4899-1934-2_5","abstract":"This chapter discusses self-regulation theory as it relates to substance abuse and other addictive behaviors. The chapter begins with a brief overview of self-regulation and 2 important issues in addictions research—delay of gratification and mechanisms of self-change. Research support for self-regulation theory is provided, the processes of self-regulation are outlined, and guidelines for prevention and treatment interventions using a self-regulatory approach are included. (PsycINFO Database Record (c) 2015 APA, all rights reserved)(chapter)","author":[{"dropping-particle":"","family":"Brown","given":"Janice M.","non-dropping-particle":"","parse-names":false,"suffix":""}],"container-title":"Treating Addictive Behaviors","id":"ITEM-1","issued":{"date-parts":[["1998"]]},"page":"61-73","publisher":"Springer US","title":"Self-Regulation and the Addictive Behaviors","type":"chapter"},"uris":["http://www.mendeley.com/documents/?uuid=7dbb8b25-2b9f-302e-b50c-64e4f50f92ab"]},{"id":"ITEM-2","itemData":{"author":[{"dropping-particle":"","family":"Miller","given":"WR","non-dropping-particle":"","parse-names":false,"suffix":""},{"dropping-particle":"","family":"Brown","given":"JM","non-dropping-particle":"","parse-names":false,"suffix":""}],"container-title":"Self-Control and the Addictive Behaviours","editor":[{"dropping-particle":"","family":"Heather","given":"N","non-dropping-particle":"","parse-names":false,"suffix":""},{"dropping-particle":"","family":"Miller","given":"WR","non-dropping-particle":"","parse-names":false,"suffix":""},{"dropping-particle":"","family":"Greenley","given":"J","non-dropping-particle":"","parse-names":false,"suffix":""}],"id":"ITEM-2","issued":{"date-parts":[["1991"]]},"page":"3-79","publisher":"Maxwell MacMillan Publishing Australia","publisher-place":"Sydney","title":"Self-Regulation as a Conceptual Basis for the Prevention and Treatment of Addictive Behaviours","type":"chapter"},"uris":["http://www.mendeley.com/documents/?uuid=04af8b85-5838-4060-aff3-9a311f8279b7"]}],"mendeley":{"formattedCitation":"[2,3]","plainTextFormattedCitation":"[2,3]","previouslyFormattedCitation":"[2,3]"},"properties":{"noteIndex":0},"schema":"https://github.com/citation-style-language/schema/raw/master/csl-citation.json"}</w:instrText>
      </w:r>
      <w:r w:rsidR="00520B50">
        <w:rPr>
          <w:rFonts w:ascii="Arial" w:hAnsi="Arial" w:cs="Arial"/>
          <w:color w:val="000000"/>
          <w:sz w:val="24"/>
          <w:szCs w:val="24"/>
        </w:rPr>
        <w:fldChar w:fldCharType="separate"/>
      </w:r>
      <w:r w:rsidR="00520B50" w:rsidRPr="00520B50">
        <w:rPr>
          <w:rFonts w:ascii="Arial" w:hAnsi="Arial" w:cs="Arial"/>
          <w:noProof/>
          <w:color w:val="000000"/>
          <w:sz w:val="24"/>
          <w:szCs w:val="24"/>
        </w:rPr>
        <w:t>[2,3]</w:t>
      </w:r>
      <w:r w:rsidR="00520B50">
        <w:rPr>
          <w:rFonts w:ascii="Arial" w:hAnsi="Arial" w:cs="Arial"/>
          <w:color w:val="000000"/>
          <w:sz w:val="24"/>
          <w:szCs w:val="24"/>
        </w:rPr>
        <w:fldChar w:fldCharType="end"/>
      </w:r>
      <w:r w:rsidRPr="00450CC6">
        <w:rPr>
          <w:rFonts w:ascii="Arial" w:hAnsi="Arial" w:cs="Arial"/>
          <w:color w:val="000000"/>
          <w:sz w:val="24"/>
          <w:szCs w:val="24"/>
        </w:rPr>
        <w:t>. Although this model was developed specifically to study addictive behaviours, the self-regulatory processes it describes are meant to be general principles of behavioural self-control. In this model, people may have problems managing certain behaviours (behavioural self-regulation) because of challenges at any of these seven steps:</w:t>
      </w:r>
    </w:p>
    <w:p w:rsidR="00B941CB" w:rsidRDefault="00B941CB" w:rsidP="00B941CB">
      <w:pPr>
        <w:spacing w:after="0" w:line="285" w:lineRule="atLeast"/>
        <w:jc w:val="both"/>
        <w:rPr>
          <w:rFonts w:ascii="Arial" w:hAnsi="Arial" w:cs="Arial"/>
          <w:color w:val="000000"/>
          <w:sz w:val="24"/>
          <w:szCs w:val="24"/>
        </w:rPr>
      </w:pPr>
    </w:p>
    <w:p w:rsidR="00B941CB" w:rsidRPr="0002569A" w:rsidRDefault="00B941CB" w:rsidP="00B941CB">
      <w:pPr>
        <w:pStyle w:val="ListParagraph"/>
        <w:numPr>
          <w:ilvl w:val="0"/>
          <w:numId w:val="1"/>
        </w:numPr>
        <w:spacing w:after="0" w:line="285" w:lineRule="atLeast"/>
        <w:jc w:val="both"/>
        <w:rPr>
          <w:rFonts w:ascii="Arial" w:hAnsi="Arial" w:cs="Arial"/>
          <w:color w:val="000000"/>
          <w:sz w:val="24"/>
          <w:szCs w:val="24"/>
        </w:rPr>
      </w:pPr>
      <w:r w:rsidRPr="0002569A">
        <w:rPr>
          <w:rFonts w:ascii="Arial" w:hAnsi="Arial" w:cs="Arial"/>
          <w:b/>
          <w:bCs/>
          <w:color w:val="000000"/>
          <w:sz w:val="24"/>
          <w:szCs w:val="24"/>
        </w:rPr>
        <w:t>Receiving </w:t>
      </w:r>
      <w:r w:rsidRPr="0002569A">
        <w:rPr>
          <w:rFonts w:ascii="Arial" w:hAnsi="Arial" w:cs="Arial"/>
          <w:color w:val="000000"/>
          <w:sz w:val="24"/>
          <w:szCs w:val="24"/>
        </w:rPr>
        <w:t>relevant information</w:t>
      </w:r>
    </w:p>
    <w:p w:rsidR="00B941CB" w:rsidRPr="0002569A" w:rsidRDefault="00B941CB" w:rsidP="00B941CB">
      <w:pPr>
        <w:pStyle w:val="ListParagraph"/>
        <w:numPr>
          <w:ilvl w:val="0"/>
          <w:numId w:val="1"/>
        </w:numPr>
        <w:spacing w:after="0" w:line="285" w:lineRule="atLeast"/>
        <w:jc w:val="both"/>
        <w:rPr>
          <w:rFonts w:ascii="Arial" w:hAnsi="Arial" w:cs="Arial"/>
          <w:color w:val="000000"/>
          <w:sz w:val="24"/>
          <w:szCs w:val="24"/>
        </w:rPr>
      </w:pPr>
      <w:r w:rsidRPr="0002569A">
        <w:rPr>
          <w:rFonts w:ascii="Arial" w:hAnsi="Arial" w:cs="Arial"/>
          <w:b/>
          <w:bCs/>
          <w:color w:val="000000"/>
          <w:sz w:val="24"/>
          <w:szCs w:val="24"/>
        </w:rPr>
        <w:t>Evaluating </w:t>
      </w:r>
      <w:r w:rsidRPr="0002569A">
        <w:rPr>
          <w:rFonts w:ascii="Arial" w:hAnsi="Arial" w:cs="Arial"/>
          <w:color w:val="000000"/>
          <w:sz w:val="24"/>
          <w:szCs w:val="24"/>
        </w:rPr>
        <w:t>the information and comparing it to norms</w:t>
      </w:r>
    </w:p>
    <w:p w:rsidR="00B941CB" w:rsidRPr="0002569A" w:rsidRDefault="00B941CB" w:rsidP="00B941CB">
      <w:pPr>
        <w:pStyle w:val="ListParagraph"/>
        <w:numPr>
          <w:ilvl w:val="0"/>
          <w:numId w:val="1"/>
        </w:numPr>
        <w:spacing w:after="0" w:line="285" w:lineRule="atLeast"/>
        <w:jc w:val="both"/>
        <w:rPr>
          <w:rFonts w:ascii="Arial" w:hAnsi="Arial" w:cs="Arial"/>
          <w:b/>
          <w:bCs/>
          <w:color w:val="000000"/>
          <w:sz w:val="24"/>
          <w:szCs w:val="24"/>
        </w:rPr>
      </w:pPr>
      <w:r w:rsidRPr="0002569A">
        <w:rPr>
          <w:rFonts w:ascii="Arial" w:hAnsi="Arial" w:cs="Arial"/>
          <w:b/>
          <w:bCs/>
          <w:color w:val="000000"/>
          <w:sz w:val="24"/>
          <w:szCs w:val="24"/>
        </w:rPr>
        <w:t>Triggering </w:t>
      </w:r>
      <w:r w:rsidRPr="0002569A">
        <w:rPr>
          <w:rFonts w:ascii="Arial" w:hAnsi="Arial" w:cs="Arial"/>
          <w:color w:val="000000"/>
          <w:sz w:val="24"/>
          <w:szCs w:val="24"/>
        </w:rPr>
        <w:t>change</w:t>
      </w:r>
    </w:p>
    <w:p w:rsidR="00B941CB" w:rsidRPr="0002569A" w:rsidRDefault="00B941CB" w:rsidP="00B941CB">
      <w:pPr>
        <w:pStyle w:val="ListParagraph"/>
        <w:numPr>
          <w:ilvl w:val="0"/>
          <w:numId w:val="1"/>
        </w:numPr>
        <w:spacing w:after="0" w:line="285" w:lineRule="atLeast"/>
        <w:jc w:val="both"/>
        <w:rPr>
          <w:rFonts w:ascii="Arial" w:hAnsi="Arial" w:cs="Arial"/>
          <w:color w:val="000000"/>
          <w:sz w:val="24"/>
          <w:szCs w:val="24"/>
        </w:rPr>
      </w:pPr>
      <w:r w:rsidRPr="0002569A">
        <w:rPr>
          <w:rFonts w:ascii="Arial" w:hAnsi="Arial" w:cs="Arial"/>
          <w:b/>
          <w:bCs/>
          <w:color w:val="000000"/>
          <w:sz w:val="24"/>
          <w:szCs w:val="24"/>
        </w:rPr>
        <w:t>Searching </w:t>
      </w:r>
      <w:r w:rsidRPr="0002569A">
        <w:rPr>
          <w:rFonts w:ascii="Arial" w:hAnsi="Arial" w:cs="Arial"/>
          <w:color w:val="000000"/>
          <w:sz w:val="24"/>
          <w:szCs w:val="24"/>
        </w:rPr>
        <w:t>for options</w:t>
      </w:r>
    </w:p>
    <w:p w:rsidR="00B941CB" w:rsidRPr="0002569A" w:rsidRDefault="00B941CB" w:rsidP="00B941CB">
      <w:pPr>
        <w:pStyle w:val="ListParagraph"/>
        <w:numPr>
          <w:ilvl w:val="0"/>
          <w:numId w:val="1"/>
        </w:numPr>
        <w:spacing w:after="0" w:line="285" w:lineRule="atLeast"/>
        <w:jc w:val="both"/>
        <w:rPr>
          <w:rFonts w:ascii="Arial" w:hAnsi="Arial" w:cs="Arial"/>
          <w:b/>
          <w:bCs/>
          <w:color w:val="000000"/>
          <w:sz w:val="24"/>
          <w:szCs w:val="24"/>
        </w:rPr>
      </w:pPr>
      <w:r w:rsidRPr="0002569A">
        <w:rPr>
          <w:rFonts w:ascii="Arial" w:hAnsi="Arial" w:cs="Arial"/>
          <w:b/>
          <w:bCs/>
          <w:color w:val="000000"/>
          <w:sz w:val="24"/>
          <w:szCs w:val="24"/>
        </w:rPr>
        <w:t>Formulating </w:t>
      </w:r>
      <w:r w:rsidRPr="0002569A">
        <w:rPr>
          <w:rFonts w:ascii="Arial" w:hAnsi="Arial" w:cs="Arial"/>
          <w:color w:val="000000"/>
          <w:sz w:val="24"/>
          <w:szCs w:val="24"/>
        </w:rPr>
        <w:t>a plan</w:t>
      </w:r>
    </w:p>
    <w:p w:rsidR="00B941CB" w:rsidRPr="0002569A" w:rsidRDefault="00B941CB" w:rsidP="00B941CB">
      <w:pPr>
        <w:pStyle w:val="ListParagraph"/>
        <w:numPr>
          <w:ilvl w:val="0"/>
          <w:numId w:val="1"/>
        </w:numPr>
        <w:spacing w:after="0" w:line="270" w:lineRule="atLeast"/>
        <w:jc w:val="both"/>
        <w:rPr>
          <w:rFonts w:ascii="Arial" w:hAnsi="Arial" w:cs="Arial"/>
          <w:b/>
          <w:bCs/>
          <w:color w:val="000000"/>
          <w:sz w:val="24"/>
          <w:szCs w:val="24"/>
        </w:rPr>
      </w:pPr>
      <w:r w:rsidRPr="0002569A">
        <w:rPr>
          <w:rFonts w:ascii="Arial" w:hAnsi="Arial" w:cs="Arial"/>
          <w:b/>
          <w:bCs/>
          <w:color w:val="000000"/>
          <w:sz w:val="24"/>
          <w:szCs w:val="24"/>
        </w:rPr>
        <w:t>Implementing </w:t>
      </w:r>
      <w:r w:rsidRPr="0002569A">
        <w:rPr>
          <w:rFonts w:ascii="Arial" w:hAnsi="Arial" w:cs="Arial"/>
          <w:color w:val="000000"/>
          <w:sz w:val="24"/>
          <w:szCs w:val="24"/>
        </w:rPr>
        <w:t>the plan</w:t>
      </w:r>
    </w:p>
    <w:p w:rsidR="00B941CB" w:rsidRPr="0002569A" w:rsidRDefault="00B941CB" w:rsidP="00B941CB">
      <w:pPr>
        <w:pStyle w:val="ListParagraph"/>
        <w:numPr>
          <w:ilvl w:val="0"/>
          <w:numId w:val="1"/>
        </w:numPr>
        <w:tabs>
          <w:tab w:val="left" w:pos="7536"/>
        </w:tabs>
        <w:spacing w:after="0" w:line="270" w:lineRule="atLeast"/>
        <w:jc w:val="both"/>
        <w:rPr>
          <w:rFonts w:ascii="Arial" w:hAnsi="Arial" w:cs="Arial"/>
          <w:color w:val="000000"/>
          <w:sz w:val="24"/>
          <w:szCs w:val="24"/>
        </w:rPr>
      </w:pPr>
      <w:r w:rsidRPr="0002569A">
        <w:rPr>
          <w:rFonts w:ascii="Arial" w:hAnsi="Arial" w:cs="Arial"/>
          <w:b/>
          <w:bCs/>
          <w:color w:val="000000"/>
          <w:sz w:val="24"/>
          <w:szCs w:val="24"/>
        </w:rPr>
        <w:t>Assessing </w:t>
      </w:r>
      <w:r w:rsidRPr="0002569A">
        <w:rPr>
          <w:rFonts w:ascii="Arial" w:hAnsi="Arial" w:cs="Arial"/>
          <w:color w:val="000000"/>
          <w:sz w:val="24"/>
          <w:szCs w:val="24"/>
        </w:rPr>
        <w:t>the plan's effectiveness (which recycles to steps 1 and 2)</w:t>
      </w:r>
    </w:p>
    <w:p w:rsidR="00B941CB" w:rsidRDefault="00B941CB" w:rsidP="00B941CB">
      <w:pPr>
        <w:tabs>
          <w:tab w:val="left" w:pos="7536"/>
        </w:tabs>
        <w:spacing w:after="0" w:line="270" w:lineRule="atLeast"/>
        <w:jc w:val="both"/>
        <w:rPr>
          <w:rFonts w:ascii="Arial" w:hAnsi="Arial" w:cs="Arial"/>
          <w:color w:val="000000"/>
          <w:sz w:val="24"/>
          <w:szCs w:val="24"/>
        </w:rPr>
      </w:pPr>
    </w:p>
    <w:p w:rsidR="00B941CB" w:rsidRPr="00450CC6" w:rsidRDefault="00B941CB" w:rsidP="00B941CB">
      <w:pPr>
        <w:tabs>
          <w:tab w:val="left" w:pos="7536"/>
        </w:tabs>
        <w:spacing w:after="0" w:line="270" w:lineRule="atLeast"/>
        <w:jc w:val="both"/>
        <w:rPr>
          <w:rFonts w:ascii="Arial" w:hAnsi="Arial" w:cs="Arial"/>
          <w:color w:val="000000"/>
          <w:sz w:val="24"/>
          <w:szCs w:val="24"/>
        </w:rPr>
      </w:pPr>
      <w:r w:rsidRPr="00450CC6">
        <w:rPr>
          <w:rFonts w:ascii="Arial" w:hAnsi="Arial" w:cs="Arial"/>
          <w:color w:val="000000"/>
          <w:sz w:val="24"/>
          <w:szCs w:val="24"/>
        </w:rPr>
        <w:t>The original SRQ has demonstrated reliability, concurrent and discriminant validity in community samples</w:t>
      </w:r>
      <w:r w:rsidR="00520B50">
        <w:rPr>
          <w:rFonts w:ascii="Arial" w:hAnsi="Arial" w:cs="Arial"/>
          <w:color w:val="000000"/>
          <w:sz w:val="24"/>
          <w:szCs w:val="24"/>
        </w:rPr>
        <w:fldChar w:fldCharType="begin" w:fldLock="1"/>
      </w:r>
      <w:r w:rsidR="00520B50">
        <w:rPr>
          <w:rFonts w:ascii="Arial" w:hAnsi="Arial" w:cs="Arial"/>
          <w:color w:val="000000"/>
          <w:sz w:val="24"/>
          <w:szCs w:val="24"/>
        </w:rPr>
        <w:instrText>ADDIN CSL_CITATION {"citationItems":[{"id":"ITEM-1","itemData":{"author":[{"dropping-particle":"","family":"Aubrey","given":"LL","non-dropping-particle":"","parse-names":false,"suffix":""},{"dropping-particle":"","family":"Brown","given":"JM","non-dropping-particle":"","parse-names":false,"suffix":""},{"dropping-particle":"","family":"Research","given":"WR Miller - Alcoholism: Clinical &amp; Experimental","non-dropping-particle":"","parse-names":false,"suffix":""},{"dropping-particle":"","family":"1994","given":"Undefined","non-dropping-particle":"","parse-names":false,"suffix":""}],"container-title":"Alcoholism: Clinical &amp; Experimental Research","id":"ITEM-1","issued":{"date-parts":[["1994"]]},"page":"429","title":"Psychometric properties of a selfregulation questionnaire (SRQ)","type":"article-journal","volume":"18"},"uris":["http://www.mendeley.com/documents/?uuid=02db80fa-4443-3bad-b5b1-3ef61b2396a9"]}],"mendeley":{"formattedCitation":"[4]","plainTextFormattedCitation":"[4]","previouslyFormattedCitation":"[4]"},"properties":{"noteIndex":0},"schema":"https://github.com/citation-style-language/schema/raw/master/csl-citation.json"}</w:instrText>
      </w:r>
      <w:r w:rsidR="00520B50">
        <w:rPr>
          <w:rFonts w:ascii="Arial" w:hAnsi="Arial" w:cs="Arial"/>
          <w:color w:val="000000"/>
          <w:sz w:val="24"/>
          <w:szCs w:val="24"/>
        </w:rPr>
        <w:fldChar w:fldCharType="separate"/>
      </w:r>
      <w:r w:rsidR="00520B50" w:rsidRPr="00520B50">
        <w:rPr>
          <w:rFonts w:ascii="Arial" w:hAnsi="Arial" w:cs="Arial"/>
          <w:noProof/>
          <w:color w:val="000000"/>
          <w:sz w:val="24"/>
          <w:szCs w:val="24"/>
        </w:rPr>
        <w:t>[4]</w:t>
      </w:r>
      <w:r w:rsidR="00520B50">
        <w:rPr>
          <w:rFonts w:ascii="Arial" w:hAnsi="Arial" w:cs="Arial"/>
          <w:color w:val="000000"/>
          <w:sz w:val="24"/>
          <w:szCs w:val="24"/>
        </w:rPr>
        <w:fldChar w:fldCharType="end"/>
      </w:r>
      <w:r w:rsidRPr="00450CC6">
        <w:rPr>
          <w:rFonts w:ascii="Arial" w:hAnsi="Arial" w:cs="Arial"/>
          <w:color w:val="000000"/>
          <w:sz w:val="24"/>
          <w:szCs w:val="24"/>
        </w:rPr>
        <w:t xml:space="preserve">. It consists of 63 items which was too long for our team to use in the </w:t>
      </w:r>
      <w:proofErr w:type="spellStart"/>
      <w:r w:rsidRPr="00450CC6">
        <w:rPr>
          <w:rFonts w:ascii="Arial" w:hAnsi="Arial" w:cs="Arial"/>
          <w:color w:val="000000"/>
          <w:sz w:val="24"/>
          <w:szCs w:val="24"/>
        </w:rPr>
        <w:t>DAFNE</w:t>
      </w:r>
      <w:r w:rsidRPr="00450CC6">
        <w:rPr>
          <w:rFonts w:ascii="Arial" w:hAnsi="Arial" w:cs="Arial"/>
          <w:i/>
          <w:color w:val="000000"/>
          <w:sz w:val="24"/>
          <w:szCs w:val="24"/>
        </w:rPr>
        <w:t>plus</w:t>
      </w:r>
      <w:proofErr w:type="spellEnd"/>
      <w:r w:rsidRPr="00450CC6">
        <w:rPr>
          <w:rFonts w:ascii="Arial" w:hAnsi="Arial" w:cs="Arial"/>
          <w:color w:val="000000"/>
          <w:sz w:val="24"/>
          <w:szCs w:val="24"/>
        </w:rPr>
        <w:t xml:space="preserve"> questionnaire pack, when this is one of several process measures. This measure was reviewed by 3 members from the </w:t>
      </w:r>
      <w:proofErr w:type="spellStart"/>
      <w:r w:rsidRPr="00450CC6">
        <w:rPr>
          <w:rFonts w:ascii="Arial" w:hAnsi="Arial" w:cs="Arial"/>
          <w:color w:val="000000"/>
          <w:sz w:val="24"/>
          <w:szCs w:val="24"/>
        </w:rPr>
        <w:t>DAFNE</w:t>
      </w:r>
      <w:r w:rsidRPr="00450CC6">
        <w:rPr>
          <w:rFonts w:ascii="Arial" w:hAnsi="Arial" w:cs="Arial"/>
          <w:i/>
          <w:color w:val="000000"/>
          <w:sz w:val="24"/>
          <w:szCs w:val="24"/>
        </w:rPr>
        <w:t>plus</w:t>
      </w:r>
      <w:proofErr w:type="spellEnd"/>
      <w:r w:rsidRPr="00450CC6">
        <w:rPr>
          <w:rFonts w:ascii="Arial" w:hAnsi="Arial" w:cs="Arial"/>
          <w:i/>
          <w:color w:val="000000"/>
          <w:sz w:val="24"/>
          <w:szCs w:val="24"/>
        </w:rPr>
        <w:t xml:space="preserve"> </w:t>
      </w:r>
      <w:r w:rsidRPr="00450CC6">
        <w:rPr>
          <w:rFonts w:ascii="Arial" w:hAnsi="Arial" w:cs="Arial"/>
          <w:color w:val="000000"/>
          <w:sz w:val="24"/>
          <w:szCs w:val="24"/>
        </w:rPr>
        <w:t xml:space="preserve">PPI group and by our process evaluation team consisting of clinicians, behavioural scientists, psychologists and social anthropologists, two of whom also have type 1 diabetes. The PPI group strongly recommended altering the wording of the individual items slightly so that these were all framed to be diabetes-specific in focus, rather than generic. Dr Cooke, in discussion with two members of the PPI group amended the wording of some of these items to ensure that they were clear and made sense. The process evaluation team and PPI group selected their top 2-3 items from each of the seven categories (above), rank ordering them. Dr Cooke then reviewed these to select the items from each </w:t>
      </w:r>
      <w:r w:rsidRPr="00450CC6">
        <w:rPr>
          <w:rFonts w:ascii="Arial" w:hAnsi="Arial" w:cs="Arial"/>
          <w:color w:val="000000"/>
          <w:sz w:val="24"/>
          <w:szCs w:val="24"/>
        </w:rPr>
        <w:lastRenderedPageBreak/>
        <w:t xml:space="preserve">category which the majority had agreed should be included within the final questionnaire. </w:t>
      </w:r>
    </w:p>
    <w:p w:rsidR="00B941CB" w:rsidRDefault="00B941CB" w:rsidP="00B941CB">
      <w:pPr>
        <w:tabs>
          <w:tab w:val="left" w:pos="7536"/>
        </w:tabs>
        <w:spacing w:after="0" w:line="270" w:lineRule="atLeast"/>
        <w:jc w:val="both"/>
        <w:rPr>
          <w:rFonts w:ascii="Arial" w:hAnsi="Arial" w:cs="Arial"/>
          <w:b/>
          <w:color w:val="000000"/>
          <w:sz w:val="24"/>
          <w:szCs w:val="24"/>
        </w:rPr>
      </w:pPr>
    </w:p>
    <w:p w:rsidR="00B941CB" w:rsidRPr="00450CC6" w:rsidRDefault="00B941CB" w:rsidP="00B941CB">
      <w:pPr>
        <w:tabs>
          <w:tab w:val="left" w:pos="7536"/>
        </w:tabs>
        <w:spacing w:after="0" w:line="270" w:lineRule="atLeast"/>
        <w:jc w:val="both"/>
        <w:rPr>
          <w:rFonts w:ascii="Arial" w:hAnsi="Arial" w:cs="Arial"/>
          <w:b/>
          <w:color w:val="000000"/>
          <w:sz w:val="24"/>
          <w:szCs w:val="24"/>
        </w:rPr>
      </w:pPr>
      <w:r w:rsidRPr="00450CC6">
        <w:rPr>
          <w:rFonts w:ascii="Arial" w:hAnsi="Arial" w:cs="Arial"/>
          <w:b/>
          <w:color w:val="000000"/>
          <w:sz w:val="24"/>
          <w:szCs w:val="24"/>
        </w:rPr>
        <w:t>Beliefs about Consequences of Diabetes Self-Care Behaviours; Diabetes Support and Routines</w:t>
      </w:r>
    </w:p>
    <w:p w:rsidR="00B941CB" w:rsidRDefault="00B941CB" w:rsidP="00B941CB">
      <w:pPr>
        <w:tabs>
          <w:tab w:val="left" w:pos="7536"/>
        </w:tabs>
        <w:spacing w:after="0" w:line="270" w:lineRule="atLeast"/>
        <w:jc w:val="both"/>
        <w:rPr>
          <w:rFonts w:ascii="Arial" w:hAnsi="Arial" w:cs="Arial"/>
          <w:color w:val="000000"/>
          <w:sz w:val="24"/>
          <w:szCs w:val="24"/>
        </w:rPr>
      </w:pPr>
    </w:p>
    <w:p w:rsidR="00B941CB" w:rsidRPr="00450CC6" w:rsidRDefault="00B941CB" w:rsidP="00B941CB">
      <w:pPr>
        <w:tabs>
          <w:tab w:val="left" w:pos="7536"/>
        </w:tabs>
        <w:spacing w:after="0" w:line="270" w:lineRule="atLeast"/>
        <w:jc w:val="both"/>
        <w:rPr>
          <w:rFonts w:ascii="Arial" w:hAnsi="Arial" w:cs="Arial"/>
          <w:color w:val="000000"/>
          <w:sz w:val="24"/>
          <w:szCs w:val="24"/>
        </w:rPr>
      </w:pPr>
      <w:r w:rsidRPr="00450CC6">
        <w:rPr>
          <w:rFonts w:ascii="Arial" w:hAnsi="Arial" w:cs="Arial"/>
          <w:color w:val="000000"/>
          <w:sz w:val="24"/>
          <w:szCs w:val="24"/>
        </w:rPr>
        <w:t xml:space="preserve">The </w:t>
      </w:r>
      <w:proofErr w:type="spellStart"/>
      <w:r w:rsidRPr="00450CC6">
        <w:rPr>
          <w:rFonts w:ascii="Arial" w:hAnsi="Arial" w:cs="Arial"/>
          <w:color w:val="000000"/>
          <w:sz w:val="24"/>
          <w:szCs w:val="24"/>
        </w:rPr>
        <w:t>DAFNE</w:t>
      </w:r>
      <w:r w:rsidRPr="00450CC6">
        <w:rPr>
          <w:rFonts w:ascii="Arial" w:hAnsi="Arial" w:cs="Arial"/>
          <w:i/>
          <w:color w:val="000000"/>
          <w:sz w:val="24"/>
          <w:szCs w:val="24"/>
        </w:rPr>
        <w:t>plus</w:t>
      </w:r>
      <w:proofErr w:type="spellEnd"/>
      <w:r w:rsidRPr="00450CC6">
        <w:rPr>
          <w:rFonts w:ascii="Arial" w:hAnsi="Arial" w:cs="Arial"/>
          <w:color w:val="000000"/>
          <w:sz w:val="24"/>
          <w:szCs w:val="24"/>
        </w:rPr>
        <w:t xml:space="preserve"> revisions to the original DAFNE curriculum were structured around the Theoretical Domains Framework</w:t>
      </w:r>
      <w:r w:rsidR="00520B50">
        <w:rPr>
          <w:rFonts w:ascii="Arial" w:hAnsi="Arial" w:cs="Arial"/>
          <w:color w:val="000000"/>
          <w:sz w:val="24"/>
          <w:szCs w:val="24"/>
        </w:rPr>
        <w:fldChar w:fldCharType="begin" w:fldLock="1"/>
      </w:r>
      <w:r w:rsidR="00520B50">
        <w:rPr>
          <w:rFonts w:ascii="Arial" w:hAnsi="Arial" w:cs="Arial"/>
          <w:color w:val="000000"/>
          <w:sz w:val="24"/>
          <w:szCs w:val="24"/>
        </w:rPr>
        <w:instrText>ADDIN CSL_CITATION {"citationItems":[{"id":"ITEM-1","itemData":{"DOI":"10.1186/s13012-017-0605-9","ISSN":"17485908","abstract":"Background: Implementing new practices requires changes in the behaviour of relevant actors, and this is facilitated by understanding of the determinants of current and desired behaviours. The Theoretical Domains Framework (TDF) was developed by a collaboration of behavioural scientists and implementation researchers who identified theories relevant to implementation and grouped constructs from these theories into domains. The collaboration aimed to provide a comprehensive, theory-informed approach to identify determinants of behaviour. The first version was published in 2005, and a subsequent version following a validation exercise was published in 2012. This guide offers practical guidance for those who wish to apply the TDF to assess implementation problems and support intervention design. It presents a brief rationale for using a theoretical approach to investigate and address implementation problems, summarises the TDF and its development, and describes how to apply the TDF to achieve implementation objectives. Examples from the implementation research literature are presented to illustrate relevant methods and practical considerations. Methods: Researchers from Canada, the UK and Australia attended a 3-day meeting in December 2012 to build an international collaboration among researchers and decision-makers interested in the advancing use of the TDF. The participants were experienced in using the TDF to assess implementation problems, design interventions, and/or understand change processes. This guide is an output of the meeting and also draws on the authors' collective experience. Examples from the implementation research literature judged by authors to be representative of specific applications of the TDF are included in this guide. Results: We explain and illustrate methods, with a focus on qualitative approaches, for selecting and specifying target behaviours key to implementation, selecting the study design, deciding the sampling strategy, developing study materials, collecting and analysing data, and reporting findings of TDF-based studies. Areas for development include methods for triangulating data, e.g. from interviews, questionnaires and observation and methods for designing interventions based on TDF-based problem analysis. Conclusions: We offer this guide to the implementation community to assist in the application of the TDF to achieve implementation objectives. Benefits of using the TDF include the provision of a theoretical basis f…","author":[{"dropping-particle":"","family":"Atkins","given":"Lou","non-dropping-particle":"","parse-names":false,"suffix":""},{"dropping-particle":"","family":"Francis","given":"Jill","non-dropping-particle":"","parse-names":false,"suffix":""},{"dropping-particle":"","family":"Islam","given":"Rafat","non-dropping-particle":"","parse-names":false,"suffix":""},{"dropping-particle":"","family":"O'Connor","given":"Denise","non-dropping-particle":"","parse-names":false,"suffix":""},{"dropping-particle":"","family":"Patey","given":"Andrea","non-dropping-particle":"","parse-names":false,"suffix":""},{"dropping-particle":"","family":"Ivers","given":"Noah","non-dropping-particle":"","parse-names":false,"suffix":""},{"dropping-particle":"","family":"Foy","given":"Robbie","non-dropping-particle":"","parse-names":false,"suffix":""},{"dropping-particle":"","family":"Duncan","given":"Eilidh M.","non-dropping-particle":"","parse-names":false,"suffix":""},{"dropping-particle":"","family":"Colquhoun","given":"Heather","non-dropping-particle":"","parse-names":false,"suffix":""},{"dropping-particle":"","family":"Grimshaw","given":"Jeremy M.","non-dropping-particle":"","parse-names":false,"suffix":""},{"dropping-particle":"","family":"Lawton","given":"Rebecca","non-dropping-particle":"","parse-names":false,"suffix":""},{"dropping-particle":"","family":"Michie","given":"Susan","non-dropping-particle":"","parse-names":false,"suffix":""}],"container-title":"Implementation Science","id":"ITEM-1","issue":"1","issued":{"date-parts":[["2017","6","21"]]},"page":"77","publisher":"BioMed Central Ltd.","title":"A guide to using the Theoretical Domains Framework of behaviour change to investigate implementation problems","type":"article-journal","volume":"12"},"uris":["http://www.mendeley.com/documents/?uuid=e651365f-1f7e-3494-ae65-8cdac992b720"]}],"mendeley":{"formattedCitation":"[5]","plainTextFormattedCitation":"[5]","previouslyFormattedCitation":"[5]"},"properties":{"noteIndex":0},"schema":"https://github.com/citation-style-language/schema/raw/master/csl-citation.json"}</w:instrText>
      </w:r>
      <w:r w:rsidR="00520B50">
        <w:rPr>
          <w:rFonts w:ascii="Arial" w:hAnsi="Arial" w:cs="Arial"/>
          <w:color w:val="000000"/>
          <w:sz w:val="24"/>
          <w:szCs w:val="24"/>
        </w:rPr>
        <w:fldChar w:fldCharType="separate"/>
      </w:r>
      <w:r w:rsidR="00520B50" w:rsidRPr="00520B50">
        <w:rPr>
          <w:rFonts w:ascii="Arial" w:hAnsi="Arial" w:cs="Arial"/>
          <w:noProof/>
          <w:color w:val="000000"/>
          <w:sz w:val="24"/>
          <w:szCs w:val="24"/>
        </w:rPr>
        <w:t>[5]</w:t>
      </w:r>
      <w:r w:rsidR="00520B50">
        <w:rPr>
          <w:rFonts w:ascii="Arial" w:hAnsi="Arial" w:cs="Arial"/>
          <w:color w:val="000000"/>
          <w:sz w:val="24"/>
          <w:szCs w:val="24"/>
        </w:rPr>
        <w:fldChar w:fldCharType="end"/>
      </w:r>
      <w:r w:rsidRPr="00450CC6">
        <w:rPr>
          <w:rFonts w:ascii="Arial" w:hAnsi="Arial" w:cs="Arial"/>
          <w:color w:val="000000"/>
          <w:sz w:val="24"/>
          <w:szCs w:val="24"/>
        </w:rPr>
        <w:t xml:space="preserve"> hence it is very important to the process evaluation team to assess the constructs that are being targeted within individuals through the content and delivery of the </w:t>
      </w:r>
      <w:proofErr w:type="spellStart"/>
      <w:r w:rsidRPr="00450CC6">
        <w:rPr>
          <w:rFonts w:ascii="Arial" w:hAnsi="Arial" w:cs="Arial"/>
          <w:color w:val="000000"/>
          <w:sz w:val="24"/>
          <w:szCs w:val="24"/>
        </w:rPr>
        <w:t>DAFNE</w:t>
      </w:r>
      <w:r w:rsidRPr="00450CC6">
        <w:rPr>
          <w:rFonts w:ascii="Arial" w:hAnsi="Arial" w:cs="Arial"/>
          <w:i/>
          <w:color w:val="000000"/>
          <w:sz w:val="24"/>
          <w:szCs w:val="24"/>
        </w:rPr>
        <w:t>plus</w:t>
      </w:r>
      <w:proofErr w:type="spellEnd"/>
      <w:r w:rsidRPr="00450CC6">
        <w:rPr>
          <w:rFonts w:ascii="Arial" w:hAnsi="Arial" w:cs="Arial"/>
          <w:color w:val="000000"/>
          <w:sz w:val="24"/>
          <w:szCs w:val="24"/>
        </w:rPr>
        <w:t xml:space="preserve"> course; to assess whether participants in the </w:t>
      </w:r>
      <w:proofErr w:type="spellStart"/>
      <w:r w:rsidRPr="00450CC6">
        <w:rPr>
          <w:rFonts w:ascii="Arial" w:hAnsi="Arial" w:cs="Arial"/>
          <w:color w:val="000000"/>
          <w:sz w:val="24"/>
          <w:szCs w:val="24"/>
        </w:rPr>
        <w:t>DAFNE</w:t>
      </w:r>
      <w:r w:rsidRPr="00450CC6">
        <w:rPr>
          <w:rFonts w:ascii="Arial" w:hAnsi="Arial" w:cs="Arial"/>
          <w:i/>
          <w:color w:val="000000"/>
          <w:sz w:val="24"/>
          <w:szCs w:val="24"/>
        </w:rPr>
        <w:t>plus</w:t>
      </w:r>
      <w:proofErr w:type="spellEnd"/>
      <w:r w:rsidRPr="00450CC6">
        <w:rPr>
          <w:rFonts w:ascii="Arial" w:hAnsi="Arial" w:cs="Arial"/>
          <w:color w:val="000000"/>
          <w:sz w:val="24"/>
          <w:szCs w:val="24"/>
        </w:rPr>
        <w:t xml:space="preserve"> and standard DAFNE groups respond differently on these measures but also whether these constructs explain any differences in outcomes (HbA1c and diabetes-specific quality of life). Three of these constructs are ‘social influences’, ‘beliefs about consequences of diabetes self-care’ and ‘environmental cues and prompts’. The research team have generated 11 diabetes-specific items to assess these constructs and have piloted them with our PPI group. These are </w:t>
      </w:r>
      <w:proofErr w:type="spellStart"/>
      <w:r w:rsidRPr="00450CC6">
        <w:rPr>
          <w:rFonts w:ascii="Arial" w:hAnsi="Arial" w:cs="Arial"/>
          <w:color w:val="000000"/>
          <w:sz w:val="24"/>
          <w:szCs w:val="24"/>
        </w:rPr>
        <w:t>unvalidated</w:t>
      </w:r>
      <w:proofErr w:type="spellEnd"/>
      <w:r w:rsidRPr="00450CC6">
        <w:rPr>
          <w:rFonts w:ascii="Arial" w:hAnsi="Arial" w:cs="Arial"/>
          <w:color w:val="000000"/>
          <w:sz w:val="24"/>
          <w:szCs w:val="24"/>
        </w:rPr>
        <w:t xml:space="preserve"> but once we have collected data at two </w:t>
      </w:r>
      <w:proofErr w:type="spellStart"/>
      <w:r w:rsidRPr="00450CC6">
        <w:rPr>
          <w:rFonts w:ascii="Arial" w:hAnsi="Arial" w:cs="Arial"/>
          <w:color w:val="000000"/>
          <w:sz w:val="24"/>
          <w:szCs w:val="24"/>
        </w:rPr>
        <w:t>timepoints</w:t>
      </w:r>
      <w:proofErr w:type="spellEnd"/>
      <w:r w:rsidRPr="00450CC6">
        <w:rPr>
          <w:rFonts w:ascii="Arial" w:hAnsi="Arial" w:cs="Arial"/>
          <w:color w:val="000000"/>
          <w:sz w:val="24"/>
          <w:szCs w:val="24"/>
        </w:rPr>
        <w:t xml:space="preserve"> (course completion and 3-months follow-up), if these measures are shown not to be psychometrically robust, we will remove these items from the 9-month follow-up point. Please note that we are only collecting these process measures at 3 </w:t>
      </w:r>
      <w:proofErr w:type="spellStart"/>
      <w:r w:rsidRPr="00450CC6">
        <w:rPr>
          <w:rFonts w:ascii="Arial" w:hAnsi="Arial" w:cs="Arial"/>
          <w:color w:val="000000"/>
          <w:sz w:val="24"/>
          <w:szCs w:val="24"/>
        </w:rPr>
        <w:t>timepoints</w:t>
      </w:r>
      <w:proofErr w:type="spellEnd"/>
      <w:r w:rsidRPr="00450CC6">
        <w:rPr>
          <w:rFonts w:ascii="Arial" w:hAnsi="Arial" w:cs="Arial"/>
          <w:color w:val="000000"/>
          <w:sz w:val="24"/>
          <w:szCs w:val="24"/>
        </w:rPr>
        <w:t xml:space="preserve">.  </w:t>
      </w:r>
    </w:p>
    <w:p w:rsidR="00B941CB" w:rsidRPr="0002569A" w:rsidRDefault="00B941CB" w:rsidP="00B941CB">
      <w:pPr>
        <w:tabs>
          <w:tab w:val="left" w:pos="7536"/>
        </w:tabs>
        <w:spacing w:after="0" w:line="270" w:lineRule="atLeast"/>
        <w:jc w:val="both"/>
        <w:rPr>
          <w:rFonts w:ascii="Arial" w:hAnsi="Arial" w:cs="Arial"/>
          <w:b/>
          <w:color w:val="000000"/>
          <w:sz w:val="24"/>
          <w:szCs w:val="24"/>
        </w:rPr>
      </w:pPr>
    </w:p>
    <w:p w:rsidR="00B941CB" w:rsidRPr="0002569A" w:rsidRDefault="00B941CB" w:rsidP="00B941CB">
      <w:pPr>
        <w:tabs>
          <w:tab w:val="left" w:pos="7536"/>
        </w:tabs>
        <w:spacing w:after="0" w:line="270" w:lineRule="atLeast"/>
        <w:jc w:val="both"/>
        <w:rPr>
          <w:rFonts w:ascii="Arial" w:hAnsi="Arial" w:cs="Arial"/>
          <w:b/>
          <w:color w:val="000000"/>
          <w:sz w:val="24"/>
          <w:szCs w:val="24"/>
        </w:rPr>
      </w:pPr>
      <w:r w:rsidRPr="0002569A">
        <w:rPr>
          <w:rFonts w:ascii="Arial" w:hAnsi="Arial" w:cs="Arial"/>
          <w:b/>
          <w:color w:val="000000"/>
          <w:sz w:val="24"/>
          <w:szCs w:val="24"/>
        </w:rPr>
        <w:t>References</w:t>
      </w:r>
    </w:p>
    <w:p w:rsidR="00520B50" w:rsidRPr="00520B50" w:rsidRDefault="00520B50" w:rsidP="00520B50">
      <w:pPr>
        <w:widowControl w:val="0"/>
        <w:autoSpaceDE w:val="0"/>
        <w:autoSpaceDN w:val="0"/>
        <w:adjustRightInd w:val="0"/>
        <w:spacing w:after="0" w:line="240" w:lineRule="auto"/>
        <w:ind w:left="640" w:hanging="640"/>
        <w:rPr>
          <w:rFonts w:ascii="Arial" w:hAnsi="Arial" w:cs="Arial"/>
          <w:noProof/>
          <w:sz w:val="20"/>
          <w:szCs w:val="24"/>
        </w:rPr>
      </w:pPr>
      <w:r>
        <w:rPr>
          <w:rFonts w:ascii="Arial" w:eastAsia="Calibri" w:hAnsi="Arial" w:cs="Arial"/>
          <w:sz w:val="21"/>
          <w:szCs w:val="21"/>
          <w:lang w:eastAsia="en-US"/>
        </w:rPr>
        <w:fldChar w:fldCharType="begin" w:fldLock="1"/>
      </w:r>
      <w:r>
        <w:rPr>
          <w:rFonts w:ascii="Arial" w:eastAsia="Calibri" w:hAnsi="Arial" w:cs="Arial"/>
          <w:sz w:val="21"/>
          <w:szCs w:val="21"/>
          <w:lang w:eastAsia="en-US"/>
        </w:rPr>
        <w:instrText xml:space="preserve">ADDIN Mendeley Bibliography CSL_BIBLIOGRAPHY </w:instrText>
      </w:r>
      <w:r>
        <w:rPr>
          <w:rFonts w:ascii="Arial" w:eastAsia="Calibri" w:hAnsi="Arial" w:cs="Arial"/>
          <w:sz w:val="21"/>
          <w:szCs w:val="21"/>
          <w:lang w:eastAsia="en-US"/>
        </w:rPr>
        <w:fldChar w:fldCharType="separate"/>
      </w:r>
      <w:r w:rsidRPr="00520B50">
        <w:rPr>
          <w:rFonts w:ascii="Arial" w:hAnsi="Arial" w:cs="Arial"/>
          <w:noProof/>
          <w:sz w:val="20"/>
          <w:szCs w:val="24"/>
        </w:rPr>
        <w:t xml:space="preserve">1 </w:t>
      </w:r>
      <w:r w:rsidRPr="00520B50">
        <w:rPr>
          <w:rFonts w:ascii="Arial" w:hAnsi="Arial" w:cs="Arial"/>
          <w:noProof/>
          <w:sz w:val="20"/>
          <w:szCs w:val="24"/>
        </w:rPr>
        <w:tab/>
        <w:t xml:space="preserve">Brown J, Miller W, LewandowskiLA. The Self-Regulation Questionnaire. In: Creek, Van de L, Jackson T, eds. </w:t>
      </w:r>
      <w:r w:rsidRPr="00520B50">
        <w:rPr>
          <w:rFonts w:ascii="Arial" w:hAnsi="Arial" w:cs="Arial"/>
          <w:i/>
          <w:iCs/>
          <w:noProof/>
          <w:sz w:val="20"/>
          <w:szCs w:val="24"/>
        </w:rPr>
        <w:t>Innovations in clinical practice: A source book</w:t>
      </w:r>
      <w:r w:rsidRPr="00520B50">
        <w:rPr>
          <w:rFonts w:ascii="Arial" w:hAnsi="Arial" w:cs="Arial"/>
          <w:noProof/>
          <w:sz w:val="20"/>
          <w:szCs w:val="24"/>
        </w:rPr>
        <w:t>. Sarasota, Florida: : Professional Resource Press 1999. 281–9.</w:t>
      </w:r>
    </w:p>
    <w:p w:rsidR="00520B50" w:rsidRPr="00520B50" w:rsidRDefault="00520B50" w:rsidP="00520B50">
      <w:pPr>
        <w:widowControl w:val="0"/>
        <w:autoSpaceDE w:val="0"/>
        <w:autoSpaceDN w:val="0"/>
        <w:adjustRightInd w:val="0"/>
        <w:spacing w:after="0" w:line="240" w:lineRule="auto"/>
        <w:ind w:left="640" w:hanging="640"/>
        <w:rPr>
          <w:rFonts w:ascii="Arial" w:hAnsi="Arial" w:cs="Arial"/>
          <w:noProof/>
          <w:sz w:val="20"/>
          <w:szCs w:val="24"/>
        </w:rPr>
      </w:pPr>
      <w:r w:rsidRPr="00520B50">
        <w:rPr>
          <w:rFonts w:ascii="Arial" w:hAnsi="Arial" w:cs="Arial"/>
          <w:noProof/>
          <w:sz w:val="20"/>
          <w:szCs w:val="24"/>
        </w:rPr>
        <w:t xml:space="preserve">2 </w:t>
      </w:r>
      <w:r w:rsidRPr="00520B50">
        <w:rPr>
          <w:rFonts w:ascii="Arial" w:hAnsi="Arial" w:cs="Arial"/>
          <w:noProof/>
          <w:sz w:val="20"/>
          <w:szCs w:val="24"/>
        </w:rPr>
        <w:tab/>
        <w:t xml:space="preserve">Brown JM. Self-Regulation and the Addictive Behaviors. In: </w:t>
      </w:r>
      <w:r w:rsidRPr="00520B50">
        <w:rPr>
          <w:rFonts w:ascii="Arial" w:hAnsi="Arial" w:cs="Arial"/>
          <w:i/>
          <w:iCs/>
          <w:noProof/>
          <w:sz w:val="20"/>
          <w:szCs w:val="24"/>
        </w:rPr>
        <w:t>Treating Addictive Behaviors</w:t>
      </w:r>
      <w:r w:rsidRPr="00520B50">
        <w:rPr>
          <w:rFonts w:ascii="Arial" w:hAnsi="Arial" w:cs="Arial"/>
          <w:noProof/>
          <w:sz w:val="20"/>
          <w:szCs w:val="24"/>
        </w:rPr>
        <w:t>. Springer US 1998. 61–73. doi:10.1007/978-1-4899-1934-2_5</w:t>
      </w:r>
    </w:p>
    <w:p w:rsidR="00520B50" w:rsidRPr="00520B50" w:rsidRDefault="00520B50" w:rsidP="00520B50">
      <w:pPr>
        <w:widowControl w:val="0"/>
        <w:autoSpaceDE w:val="0"/>
        <w:autoSpaceDN w:val="0"/>
        <w:adjustRightInd w:val="0"/>
        <w:spacing w:after="0" w:line="240" w:lineRule="auto"/>
        <w:ind w:left="640" w:hanging="640"/>
        <w:rPr>
          <w:rFonts w:ascii="Arial" w:hAnsi="Arial" w:cs="Arial"/>
          <w:noProof/>
          <w:sz w:val="20"/>
          <w:szCs w:val="24"/>
        </w:rPr>
      </w:pPr>
      <w:r w:rsidRPr="00520B50">
        <w:rPr>
          <w:rFonts w:ascii="Arial" w:hAnsi="Arial" w:cs="Arial"/>
          <w:noProof/>
          <w:sz w:val="20"/>
          <w:szCs w:val="24"/>
        </w:rPr>
        <w:t xml:space="preserve">3 </w:t>
      </w:r>
      <w:r w:rsidRPr="00520B50">
        <w:rPr>
          <w:rFonts w:ascii="Arial" w:hAnsi="Arial" w:cs="Arial"/>
          <w:noProof/>
          <w:sz w:val="20"/>
          <w:szCs w:val="24"/>
        </w:rPr>
        <w:tab/>
        <w:t xml:space="preserve">Miller W, Brown J. Self-Regulation as a Conceptual Basis for the Prevention and Treatment of Addictive Behaviours. In: Heather N, Miller W, Greenley J, eds. </w:t>
      </w:r>
      <w:r w:rsidRPr="00520B50">
        <w:rPr>
          <w:rFonts w:ascii="Arial" w:hAnsi="Arial" w:cs="Arial"/>
          <w:i/>
          <w:iCs/>
          <w:noProof/>
          <w:sz w:val="20"/>
          <w:szCs w:val="24"/>
        </w:rPr>
        <w:t>Self-Control and the Addictive Behaviours</w:t>
      </w:r>
      <w:r w:rsidRPr="00520B50">
        <w:rPr>
          <w:rFonts w:ascii="Arial" w:hAnsi="Arial" w:cs="Arial"/>
          <w:noProof/>
          <w:sz w:val="20"/>
          <w:szCs w:val="24"/>
        </w:rPr>
        <w:t>. Sydney: : Maxwell MacMillan Publishing Australia 1991. 3–79.</w:t>
      </w:r>
    </w:p>
    <w:p w:rsidR="00520B50" w:rsidRPr="00520B50" w:rsidRDefault="00520B50" w:rsidP="00520B50">
      <w:pPr>
        <w:widowControl w:val="0"/>
        <w:autoSpaceDE w:val="0"/>
        <w:autoSpaceDN w:val="0"/>
        <w:adjustRightInd w:val="0"/>
        <w:spacing w:after="0" w:line="240" w:lineRule="auto"/>
        <w:ind w:left="640" w:hanging="640"/>
        <w:rPr>
          <w:rFonts w:ascii="Arial" w:hAnsi="Arial" w:cs="Arial"/>
          <w:noProof/>
          <w:sz w:val="20"/>
          <w:szCs w:val="24"/>
        </w:rPr>
      </w:pPr>
      <w:r w:rsidRPr="00520B50">
        <w:rPr>
          <w:rFonts w:ascii="Arial" w:hAnsi="Arial" w:cs="Arial"/>
          <w:noProof/>
          <w:sz w:val="20"/>
          <w:szCs w:val="24"/>
        </w:rPr>
        <w:t xml:space="preserve">4 </w:t>
      </w:r>
      <w:r w:rsidRPr="00520B50">
        <w:rPr>
          <w:rFonts w:ascii="Arial" w:hAnsi="Arial" w:cs="Arial"/>
          <w:noProof/>
          <w:sz w:val="20"/>
          <w:szCs w:val="24"/>
        </w:rPr>
        <w:tab/>
        <w:t xml:space="preserve">Aubrey L, Brown J, Research WM-AC&amp; E, </w:t>
      </w:r>
      <w:r w:rsidRPr="00520B50">
        <w:rPr>
          <w:rFonts w:ascii="Arial" w:hAnsi="Arial" w:cs="Arial"/>
          <w:i/>
          <w:iCs/>
          <w:noProof/>
          <w:sz w:val="20"/>
          <w:szCs w:val="24"/>
        </w:rPr>
        <w:t>et al.</w:t>
      </w:r>
      <w:r w:rsidRPr="00520B50">
        <w:rPr>
          <w:rFonts w:ascii="Arial" w:hAnsi="Arial" w:cs="Arial"/>
          <w:noProof/>
          <w:sz w:val="20"/>
          <w:szCs w:val="24"/>
        </w:rPr>
        <w:t xml:space="preserve"> Psychometric properties of a selfregulation questionnaire (SRQ). </w:t>
      </w:r>
      <w:r w:rsidRPr="00520B50">
        <w:rPr>
          <w:rFonts w:ascii="Arial" w:hAnsi="Arial" w:cs="Arial"/>
          <w:i/>
          <w:iCs/>
          <w:noProof/>
          <w:sz w:val="20"/>
          <w:szCs w:val="24"/>
        </w:rPr>
        <w:t>Alcohol Clin Exp Res</w:t>
      </w:r>
      <w:r w:rsidRPr="00520B50">
        <w:rPr>
          <w:rFonts w:ascii="Arial" w:hAnsi="Arial" w:cs="Arial"/>
          <w:noProof/>
          <w:sz w:val="20"/>
          <w:szCs w:val="24"/>
        </w:rPr>
        <w:t xml:space="preserve"> 1994;</w:t>
      </w:r>
      <w:r w:rsidRPr="00520B50">
        <w:rPr>
          <w:rFonts w:ascii="Arial" w:hAnsi="Arial" w:cs="Arial"/>
          <w:b/>
          <w:bCs/>
          <w:noProof/>
          <w:sz w:val="20"/>
          <w:szCs w:val="24"/>
        </w:rPr>
        <w:t>18</w:t>
      </w:r>
      <w:r w:rsidRPr="00520B50">
        <w:rPr>
          <w:rFonts w:ascii="Arial" w:hAnsi="Arial" w:cs="Arial"/>
          <w:noProof/>
          <w:sz w:val="20"/>
          <w:szCs w:val="24"/>
        </w:rPr>
        <w:t>:429.</w:t>
      </w:r>
    </w:p>
    <w:p w:rsidR="00520B50" w:rsidRPr="00520B50" w:rsidRDefault="00520B50" w:rsidP="00520B50">
      <w:pPr>
        <w:widowControl w:val="0"/>
        <w:autoSpaceDE w:val="0"/>
        <w:autoSpaceDN w:val="0"/>
        <w:adjustRightInd w:val="0"/>
        <w:spacing w:after="0" w:line="240" w:lineRule="auto"/>
        <w:ind w:left="640" w:hanging="640"/>
        <w:rPr>
          <w:rFonts w:ascii="Arial" w:hAnsi="Arial" w:cs="Arial"/>
          <w:noProof/>
          <w:sz w:val="20"/>
        </w:rPr>
      </w:pPr>
      <w:r w:rsidRPr="00520B50">
        <w:rPr>
          <w:rFonts w:ascii="Arial" w:hAnsi="Arial" w:cs="Arial"/>
          <w:noProof/>
          <w:sz w:val="20"/>
          <w:szCs w:val="24"/>
        </w:rPr>
        <w:t xml:space="preserve">5 </w:t>
      </w:r>
      <w:r w:rsidRPr="00520B50">
        <w:rPr>
          <w:rFonts w:ascii="Arial" w:hAnsi="Arial" w:cs="Arial"/>
          <w:noProof/>
          <w:sz w:val="20"/>
          <w:szCs w:val="24"/>
        </w:rPr>
        <w:tab/>
        <w:t xml:space="preserve">Atkins L, Francis J, Islam R, </w:t>
      </w:r>
      <w:r w:rsidRPr="00520B50">
        <w:rPr>
          <w:rFonts w:ascii="Arial" w:hAnsi="Arial" w:cs="Arial"/>
          <w:i/>
          <w:iCs/>
          <w:noProof/>
          <w:sz w:val="20"/>
          <w:szCs w:val="24"/>
        </w:rPr>
        <w:t>et al.</w:t>
      </w:r>
      <w:r w:rsidRPr="00520B50">
        <w:rPr>
          <w:rFonts w:ascii="Arial" w:hAnsi="Arial" w:cs="Arial"/>
          <w:noProof/>
          <w:sz w:val="20"/>
          <w:szCs w:val="24"/>
        </w:rPr>
        <w:t xml:space="preserve"> A guide to using the Theoretical Domains Framework of behaviour change to investigate implementation problems. </w:t>
      </w:r>
      <w:r w:rsidRPr="00520B50">
        <w:rPr>
          <w:rFonts w:ascii="Arial" w:hAnsi="Arial" w:cs="Arial"/>
          <w:i/>
          <w:iCs/>
          <w:noProof/>
          <w:sz w:val="20"/>
          <w:szCs w:val="24"/>
        </w:rPr>
        <w:t>Implement Sci</w:t>
      </w:r>
      <w:r w:rsidRPr="00520B50">
        <w:rPr>
          <w:rFonts w:ascii="Arial" w:hAnsi="Arial" w:cs="Arial"/>
          <w:noProof/>
          <w:sz w:val="20"/>
          <w:szCs w:val="24"/>
        </w:rPr>
        <w:t xml:space="preserve"> 2017;</w:t>
      </w:r>
      <w:r w:rsidRPr="00520B50">
        <w:rPr>
          <w:rFonts w:ascii="Arial" w:hAnsi="Arial" w:cs="Arial"/>
          <w:b/>
          <w:bCs/>
          <w:noProof/>
          <w:sz w:val="20"/>
          <w:szCs w:val="24"/>
        </w:rPr>
        <w:t>12</w:t>
      </w:r>
      <w:r w:rsidRPr="00520B50">
        <w:rPr>
          <w:rFonts w:ascii="Arial" w:hAnsi="Arial" w:cs="Arial"/>
          <w:noProof/>
          <w:sz w:val="20"/>
          <w:szCs w:val="24"/>
        </w:rPr>
        <w:t>:77. doi:10.1186/s13012-017-0605-9</w:t>
      </w:r>
    </w:p>
    <w:p w:rsidR="00B941CB" w:rsidRDefault="00520B50" w:rsidP="00B941CB">
      <w:pPr>
        <w:spacing w:after="0" w:line="240" w:lineRule="auto"/>
        <w:rPr>
          <w:rFonts w:ascii="Arial" w:eastAsia="Calibri" w:hAnsi="Arial" w:cs="Arial"/>
          <w:sz w:val="21"/>
          <w:szCs w:val="21"/>
          <w:lang w:eastAsia="en-US"/>
        </w:rPr>
      </w:pPr>
      <w:r>
        <w:rPr>
          <w:rFonts w:ascii="Arial" w:eastAsia="Calibri" w:hAnsi="Arial" w:cs="Arial"/>
          <w:sz w:val="21"/>
          <w:szCs w:val="21"/>
          <w:lang w:eastAsia="en-US"/>
        </w:rPr>
        <w:fldChar w:fldCharType="end"/>
      </w:r>
    </w:p>
    <w:p w:rsidR="00174D72" w:rsidRDefault="00174D72"/>
    <w:sectPr w:rsidR="00174D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36A25"/>
    <w:multiLevelType w:val="hybridMultilevel"/>
    <w:tmpl w:val="B8A87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1CB"/>
    <w:rsid w:val="00174D72"/>
    <w:rsid w:val="00520B50"/>
    <w:rsid w:val="00B941CB"/>
    <w:rsid w:val="00D04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A4DAC"/>
  <w15:chartTrackingRefBased/>
  <w15:docId w15:val="{598304AB-BADD-4D3B-841B-13FD5A93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1CB"/>
    <w:rPr>
      <w:rFonts w:eastAsiaTheme="minorEastAsia"/>
      <w:lang w:eastAsia="zh-CN"/>
    </w:rPr>
  </w:style>
  <w:style w:type="paragraph" w:styleId="Heading1">
    <w:name w:val="heading 1"/>
    <w:basedOn w:val="Normal"/>
    <w:next w:val="Normal"/>
    <w:link w:val="Heading1Char"/>
    <w:uiPriority w:val="9"/>
    <w:qFormat/>
    <w:rsid w:val="00B941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1CB"/>
    <w:rPr>
      <w:rFonts w:asciiTheme="majorHAnsi" w:eastAsiaTheme="majorEastAsia" w:hAnsiTheme="majorHAnsi" w:cstheme="majorBidi"/>
      <w:color w:val="2E74B5" w:themeColor="accent1" w:themeShade="BF"/>
      <w:sz w:val="32"/>
      <w:szCs w:val="32"/>
      <w:lang w:eastAsia="zh-CN"/>
    </w:rPr>
  </w:style>
  <w:style w:type="paragraph" w:styleId="ListParagraph">
    <w:name w:val="List Paragraph"/>
    <w:basedOn w:val="Normal"/>
    <w:uiPriority w:val="34"/>
    <w:qFormat/>
    <w:rsid w:val="00B94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83D5D-31DF-404D-B7E1-B07F9F835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2190</Words>
  <Characters>12484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Coates</dc:creator>
  <cp:keywords/>
  <dc:description/>
  <cp:lastModifiedBy>Lizzie Coates</cp:lastModifiedBy>
  <cp:revision>3</cp:revision>
  <dcterms:created xsi:type="dcterms:W3CDTF">2020-05-13T10:30:00Z</dcterms:created>
  <dcterms:modified xsi:type="dcterms:W3CDTF">2020-05-13T11:03:00Z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http://www.zotero.org/styles/bmj-open</vt:lpwstr>
  </property>
  <property fmtid="{D5CDD505-2E9C-101B-9397-08002B2CF9AE}" pid="7" name="Mendeley Recent Style Name 2_1">
    <vt:lpwstr>BMJ Open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http://www.zotero.org/styles/social-science-and-medicine</vt:lpwstr>
  </property>
  <property fmtid="{D5CDD505-2E9C-101B-9397-08002B2CF9AE}" pid="21" name="Mendeley Recent Style Name 9_1">
    <vt:lpwstr>Social Science &amp; Medicine</vt:lpwstr>
  </property>
  <property fmtid="{D5CDD505-2E9C-101B-9397-08002B2CF9AE}" pid="22" name="Mendeley Document_1">
    <vt:lpwstr>True</vt:lpwstr>
  </property>
  <property fmtid="{D5CDD505-2E9C-101B-9397-08002B2CF9AE}" pid="23" name="Mendeley Unique User Id_1">
    <vt:lpwstr>e96626bd-9795-32f6-a481-31d298de3371</vt:lpwstr>
  </property>
  <property fmtid="{D5CDD505-2E9C-101B-9397-08002B2CF9AE}" pid="24" name="Mendeley Citation Style_1">
    <vt:lpwstr>http://www.zotero.org/styles/bmj-open</vt:lpwstr>
  </property>
</Properties>
</file>