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A56FC" w14:textId="77777777" w:rsidR="00DA03FF" w:rsidRPr="002E256B" w:rsidRDefault="00DA03FF" w:rsidP="00FE31CF">
      <w:pPr>
        <w:widowControl w:val="0"/>
        <w:autoSpaceDE w:val="0"/>
        <w:autoSpaceDN w:val="0"/>
        <w:adjustRightInd w:val="0"/>
        <w:spacing w:line="360" w:lineRule="auto"/>
        <w:jc w:val="center"/>
        <w:rPr>
          <w:rFonts w:eastAsia="DengXian"/>
          <w:b/>
          <w:sz w:val="28"/>
          <w:szCs w:val="28"/>
          <w:lang w:val="en-GB" w:eastAsia="zh-CN"/>
        </w:rPr>
      </w:pPr>
    </w:p>
    <w:p w14:paraId="1907B95F" w14:textId="77777777" w:rsidR="00EA41A8" w:rsidRPr="002E256B" w:rsidRDefault="00EA41A8" w:rsidP="00FE31CF">
      <w:pPr>
        <w:widowControl w:val="0"/>
        <w:autoSpaceDE w:val="0"/>
        <w:autoSpaceDN w:val="0"/>
        <w:adjustRightInd w:val="0"/>
        <w:spacing w:line="360" w:lineRule="auto"/>
        <w:jc w:val="center"/>
        <w:rPr>
          <w:rFonts w:eastAsia="DengXian"/>
          <w:b/>
          <w:sz w:val="28"/>
          <w:szCs w:val="28"/>
          <w:lang w:val="en-GB" w:eastAsia="zh-CN"/>
        </w:rPr>
      </w:pPr>
    </w:p>
    <w:p w14:paraId="585F315A" w14:textId="2F22C5A4" w:rsidR="00AE7D0D" w:rsidRPr="00B93A5A" w:rsidRDefault="004575D7" w:rsidP="00FE31CF">
      <w:pPr>
        <w:widowControl w:val="0"/>
        <w:autoSpaceDE w:val="0"/>
        <w:autoSpaceDN w:val="0"/>
        <w:adjustRightInd w:val="0"/>
        <w:spacing w:line="360" w:lineRule="auto"/>
        <w:jc w:val="center"/>
        <w:rPr>
          <w:b/>
          <w:sz w:val="28"/>
          <w:szCs w:val="28"/>
          <w:lang w:val="en-GB"/>
        </w:rPr>
      </w:pPr>
      <w:bookmarkStart w:id="0" w:name="_Hlk36112720"/>
      <w:r>
        <w:rPr>
          <w:b/>
          <w:sz w:val="32"/>
          <w:szCs w:val="32"/>
        </w:rPr>
        <w:t xml:space="preserve">The effect of </w:t>
      </w:r>
      <w:r w:rsidR="00A87080">
        <w:rPr>
          <w:b/>
          <w:sz w:val="32"/>
          <w:szCs w:val="32"/>
        </w:rPr>
        <w:t>borrowers with l</w:t>
      </w:r>
      <w:r w:rsidR="0043098D">
        <w:rPr>
          <w:b/>
          <w:sz w:val="32"/>
          <w:szCs w:val="32"/>
        </w:rPr>
        <w:t xml:space="preserve">arge </w:t>
      </w:r>
      <w:r w:rsidR="00A87080">
        <w:rPr>
          <w:b/>
          <w:sz w:val="32"/>
          <w:szCs w:val="32"/>
        </w:rPr>
        <w:t>c</w:t>
      </w:r>
      <w:r w:rsidR="0085199E">
        <w:rPr>
          <w:b/>
          <w:sz w:val="32"/>
          <w:szCs w:val="32"/>
        </w:rPr>
        <w:t>ustomer</w:t>
      </w:r>
      <w:r w:rsidR="00A87080">
        <w:rPr>
          <w:b/>
          <w:sz w:val="32"/>
          <w:szCs w:val="32"/>
        </w:rPr>
        <w:t xml:space="preserve"> and s</w:t>
      </w:r>
      <w:r w:rsidR="0085199E">
        <w:rPr>
          <w:b/>
          <w:sz w:val="32"/>
          <w:szCs w:val="32"/>
        </w:rPr>
        <w:t xml:space="preserve">upplier </w:t>
      </w:r>
      <w:r w:rsidR="00A87080">
        <w:rPr>
          <w:b/>
          <w:sz w:val="32"/>
          <w:szCs w:val="32"/>
        </w:rPr>
        <w:t>l</w:t>
      </w:r>
      <w:r w:rsidR="00036262">
        <w:rPr>
          <w:b/>
          <w:sz w:val="32"/>
          <w:szCs w:val="32"/>
        </w:rPr>
        <w:t>inks</w:t>
      </w:r>
      <w:r w:rsidR="00AE7D0D" w:rsidRPr="00B93A5A">
        <w:rPr>
          <w:b/>
          <w:sz w:val="32"/>
          <w:szCs w:val="32"/>
        </w:rPr>
        <w:t xml:space="preserve"> </w:t>
      </w:r>
      <w:r>
        <w:rPr>
          <w:b/>
          <w:sz w:val="32"/>
          <w:szCs w:val="32"/>
        </w:rPr>
        <w:t xml:space="preserve">on </w:t>
      </w:r>
      <w:r w:rsidR="00636AA7">
        <w:rPr>
          <w:b/>
          <w:sz w:val="32"/>
          <w:szCs w:val="32"/>
        </w:rPr>
        <w:t>s</w:t>
      </w:r>
      <w:r w:rsidRPr="00B93A5A">
        <w:rPr>
          <w:b/>
          <w:sz w:val="32"/>
          <w:szCs w:val="32"/>
        </w:rPr>
        <w:t xml:space="preserve">yndicate </w:t>
      </w:r>
      <w:r>
        <w:rPr>
          <w:b/>
          <w:sz w:val="32"/>
          <w:szCs w:val="32"/>
        </w:rPr>
        <w:t>l</w:t>
      </w:r>
      <w:r w:rsidRPr="00B93A5A">
        <w:rPr>
          <w:b/>
          <w:sz w:val="32"/>
          <w:szCs w:val="32"/>
        </w:rPr>
        <w:t xml:space="preserve">oan </w:t>
      </w:r>
      <w:r>
        <w:rPr>
          <w:b/>
          <w:sz w:val="32"/>
          <w:szCs w:val="32"/>
        </w:rPr>
        <w:t>structure</w:t>
      </w:r>
    </w:p>
    <w:bookmarkEnd w:id="0"/>
    <w:p w14:paraId="56F525BE" w14:textId="77777777" w:rsidR="00AE7D0D" w:rsidRPr="001554F3" w:rsidRDefault="00AE7D0D" w:rsidP="00AE7D0D">
      <w:pPr>
        <w:widowControl w:val="0"/>
        <w:autoSpaceDE w:val="0"/>
        <w:autoSpaceDN w:val="0"/>
        <w:adjustRightInd w:val="0"/>
        <w:spacing w:line="360" w:lineRule="auto"/>
        <w:jc w:val="center"/>
        <w:rPr>
          <w:b/>
          <w:sz w:val="28"/>
          <w:szCs w:val="28"/>
        </w:rPr>
      </w:pPr>
    </w:p>
    <w:p w14:paraId="15B5DCAB" w14:textId="77777777" w:rsidR="00EB2344" w:rsidRPr="001554F3" w:rsidRDefault="00EB2344" w:rsidP="00AE7D0D">
      <w:pPr>
        <w:widowControl w:val="0"/>
        <w:autoSpaceDE w:val="0"/>
        <w:autoSpaceDN w:val="0"/>
        <w:adjustRightInd w:val="0"/>
        <w:spacing w:line="360" w:lineRule="auto"/>
        <w:jc w:val="center"/>
        <w:rPr>
          <w:b/>
          <w:sz w:val="28"/>
          <w:szCs w:val="28"/>
        </w:rPr>
      </w:pPr>
    </w:p>
    <w:p w14:paraId="7CDF3C26" w14:textId="77777777" w:rsidR="00EB2344" w:rsidRPr="001554F3" w:rsidRDefault="00EB2344" w:rsidP="00AE7D0D">
      <w:pPr>
        <w:widowControl w:val="0"/>
        <w:autoSpaceDE w:val="0"/>
        <w:autoSpaceDN w:val="0"/>
        <w:adjustRightInd w:val="0"/>
        <w:spacing w:line="360" w:lineRule="auto"/>
        <w:jc w:val="center"/>
        <w:rPr>
          <w:b/>
          <w:sz w:val="28"/>
          <w:szCs w:val="28"/>
        </w:rPr>
      </w:pPr>
    </w:p>
    <w:p w14:paraId="1B136835" w14:textId="77777777" w:rsidR="00883194" w:rsidRPr="001554F3" w:rsidRDefault="00883194" w:rsidP="00AE7D0D">
      <w:pPr>
        <w:widowControl w:val="0"/>
        <w:autoSpaceDE w:val="0"/>
        <w:autoSpaceDN w:val="0"/>
        <w:adjustRightInd w:val="0"/>
        <w:spacing w:line="360" w:lineRule="auto"/>
        <w:jc w:val="both"/>
        <w:rPr>
          <w:b/>
          <w:szCs w:val="20"/>
        </w:rPr>
      </w:pPr>
    </w:p>
    <w:p w14:paraId="52916A08" w14:textId="77777777" w:rsidR="00AE7D0D" w:rsidRPr="001554F3" w:rsidRDefault="00AE7D0D" w:rsidP="00883194">
      <w:pPr>
        <w:widowControl w:val="0"/>
        <w:autoSpaceDE w:val="0"/>
        <w:autoSpaceDN w:val="0"/>
        <w:adjustRightInd w:val="0"/>
        <w:spacing w:line="360" w:lineRule="auto"/>
        <w:jc w:val="center"/>
        <w:rPr>
          <w:b/>
          <w:szCs w:val="20"/>
        </w:rPr>
      </w:pPr>
      <w:r w:rsidRPr="001554F3">
        <w:rPr>
          <w:b/>
          <w:szCs w:val="20"/>
        </w:rPr>
        <w:t>Abstract</w:t>
      </w:r>
    </w:p>
    <w:p w14:paraId="2F9D9843" w14:textId="2FD7F83A" w:rsidR="0071619A" w:rsidRPr="00275ED7" w:rsidRDefault="0085199E" w:rsidP="00E522BD">
      <w:pPr>
        <w:widowControl w:val="0"/>
        <w:autoSpaceDE w:val="0"/>
        <w:autoSpaceDN w:val="0"/>
        <w:adjustRightInd w:val="0"/>
        <w:spacing w:line="360" w:lineRule="auto"/>
        <w:jc w:val="both"/>
      </w:pPr>
      <w:bookmarkStart w:id="1" w:name="_Hlk36112330"/>
      <w:r>
        <w:t>R</w:t>
      </w:r>
      <w:r w:rsidR="003E25F8" w:rsidRPr="00275ED7">
        <w:t xml:space="preserve">elationships </w:t>
      </w:r>
      <w:r w:rsidR="002C0B06">
        <w:t>between</w:t>
      </w:r>
      <w:r>
        <w:t xml:space="preserve"> </w:t>
      </w:r>
      <w:r w:rsidR="00921B78">
        <w:t>large</w:t>
      </w:r>
      <w:r w:rsidR="00836EB3">
        <w:t xml:space="preserve"> </w:t>
      </w:r>
      <w:r>
        <w:t xml:space="preserve">customers and suppliers </w:t>
      </w:r>
      <w:r w:rsidR="003E25F8" w:rsidRPr="00275ED7">
        <w:t xml:space="preserve">expose lenders to </w:t>
      </w:r>
      <w:r w:rsidR="0037205A" w:rsidRPr="00275ED7">
        <w:t xml:space="preserve">additional </w:t>
      </w:r>
      <w:r w:rsidR="003E25F8" w:rsidRPr="00275ED7">
        <w:t xml:space="preserve">risks. </w:t>
      </w:r>
      <w:r w:rsidR="009D4B28" w:rsidRPr="00275ED7">
        <w:t>Th</w:t>
      </w:r>
      <w:r w:rsidR="009D4B28">
        <w:t>ese risks</w:t>
      </w:r>
      <w:r w:rsidR="009D4B28" w:rsidRPr="00275ED7">
        <w:t xml:space="preserve"> </w:t>
      </w:r>
      <w:r w:rsidR="00BC4676" w:rsidRPr="00275ED7">
        <w:t xml:space="preserve">may </w:t>
      </w:r>
      <w:r w:rsidR="00BC4676" w:rsidRPr="001254C7">
        <w:t xml:space="preserve">force lead </w:t>
      </w:r>
      <w:r w:rsidR="00834D75">
        <w:t>agents</w:t>
      </w:r>
      <w:r w:rsidR="00BC4676" w:rsidRPr="001254C7">
        <w:t xml:space="preserve"> </w:t>
      </w:r>
      <w:r w:rsidR="0037205A" w:rsidRPr="001254C7">
        <w:t>to retain a larger</w:t>
      </w:r>
      <w:r w:rsidR="00BC4676" w:rsidRPr="001254C7">
        <w:t xml:space="preserve"> share of </w:t>
      </w:r>
      <w:r w:rsidR="00527371">
        <w:t xml:space="preserve">syndicated </w:t>
      </w:r>
      <w:r w:rsidR="00BC4676" w:rsidRPr="001254C7">
        <w:t>loans</w:t>
      </w:r>
      <w:r w:rsidR="005B5AA0">
        <w:t xml:space="preserve">, reducing </w:t>
      </w:r>
      <w:r w:rsidR="00662076">
        <w:t xml:space="preserve">loan-level </w:t>
      </w:r>
      <w:r w:rsidR="005B5AA0">
        <w:t>diversification</w:t>
      </w:r>
      <w:r w:rsidR="00561B5D" w:rsidRPr="001254C7">
        <w:t>,</w:t>
      </w:r>
      <w:r w:rsidR="0037205A" w:rsidRPr="001254C7">
        <w:t xml:space="preserve"> and</w:t>
      </w:r>
      <w:r w:rsidR="00561B5D" w:rsidRPr="001254C7">
        <w:t>,</w:t>
      </w:r>
      <w:r w:rsidR="0037205A" w:rsidRPr="001254C7">
        <w:t xml:space="preserve"> in turn</w:t>
      </w:r>
      <w:r w:rsidR="00561B5D" w:rsidRPr="001254C7">
        <w:t>,</w:t>
      </w:r>
      <w:r w:rsidR="0037205A" w:rsidRPr="001254C7">
        <w:t xml:space="preserve"> </w:t>
      </w:r>
      <w:r w:rsidR="00545404">
        <w:t>increasing</w:t>
      </w:r>
      <w:r w:rsidR="0037205A" w:rsidRPr="001254C7">
        <w:t xml:space="preserve"> </w:t>
      </w:r>
      <w:r w:rsidR="00D01339">
        <w:t xml:space="preserve">the </w:t>
      </w:r>
      <w:r w:rsidR="004E7D2D">
        <w:t xml:space="preserve">required </w:t>
      </w:r>
      <w:r w:rsidR="00D01339">
        <w:t>interest rate sprea</w:t>
      </w:r>
      <w:r w:rsidR="004E7D2D">
        <w:t>d.</w:t>
      </w:r>
      <w:r w:rsidR="00561B5D" w:rsidRPr="001254C7">
        <w:t xml:space="preserve"> </w:t>
      </w:r>
      <w:r w:rsidR="003E25F8" w:rsidRPr="00275ED7">
        <w:t xml:space="preserve">Consistent with </w:t>
      </w:r>
      <w:r w:rsidR="00BC4676" w:rsidRPr="00275ED7">
        <w:t>th</w:t>
      </w:r>
      <w:r w:rsidR="00561B5D" w:rsidRPr="00275ED7">
        <w:t>is</w:t>
      </w:r>
      <w:r w:rsidR="00BC4676" w:rsidRPr="00275ED7">
        <w:t xml:space="preserve"> </w:t>
      </w:r>
      <w:r w:rsidR="003E25F8" w:rsidRPr="00275ED7">
        <w:t xml:space="preserve">view, </w:t>
      </w:r>
      <w:r w:rsidR="003E25F8" w:rsidRPr="0012166D">
        <w:t xml:space="preserve">we </w:t>
      </w:r>
      <w:r w:rsidR="00545404">
        <w:t>find</w:t>
      </w:r>
      <w:r w:rsidR="003E25F8" w:rsidRPr="0012166D">
        <w:t xml:space="preserve"> that </w:t>
      </w:r>
      <w:bookmarkStart w:id="2" w:name="_Hlk36110938"/>
      <w:r w:rsidR="006C0A5C">
        <w:t>borrowers’</w:t>
      </w:r>
      <w:r w:rsidR="00DB5271">
        <w:t xml:space="preserve"> </w:t>
      </w:r>
      <w:r w:rsidR="00DB5271" w:rsidRPr="00DB5271">
        <w:t xml:space="preserve">dependence </w:t>
      </w:r>
      <w:r w:rsidR="00785A4A">
        <w:t>on</w:t>
      </w:r>
      <w:r w:rsidR="00785A4A" w:rsidRPr="00DB5271">
        <w:t xml:space="preserve"> </w:t>
      </w:r>
      <w:r w:rsidR="00DB5271" w:rsidRPr="00DB5271">
        <w:t>a few larger customers or suppliers</w:t>
      </w:r>
      <w:r w:rsidR="00DB5271" w:rsidRPr="001254C7">
        <w:t xml:space="preserve"> </w:t>
      </w:r>
      <w:r w:rsidR="003E25F8" w:rsidRPr="001254C7">
        <w:t>positively affect</w:t>
      </w:r>
      <w:r w:rsidR="00785A4A">
        <w:t>s</w:t>
      </w:r>
      <w:r w:rsidR="003E25F8" w:rsidRPr="001254C7">
        <w:t xml:space="preserve"> the cost of the loans </w:t>
      </w:r>
      <w:r w:rsidR="00527371">
        <w:t xml:space="preserve">indirectly </w:t>
      </w:r>
      <w:r w:rsidR="003E25F8" w:rsidRPr="001254C7">
        <w:t>through the loan structure</w:t>
      </w:r>
      <w:bookmarkEnd w:id="2"/>
      <w:r w:rsidR="003E25F8" w:rsidRPr="001254C7">
        <w:t>.</w:t>
      </w:r>
      <w:r w:rsidR="00836EB3">
        <w:t xml:space="preserve"> </w:t>
      </w:r>
      <w:r w:rsidR="00636A13">
        <w:t>Instead</w:t>
      </w:r>
      <w:r w:rsidR="00B94CBB">
        <w:t>, w</w:t>
      </w:r>
      <w:r w:rsidR="003E25F8" w:rsidRPr="001254C7">
        <w:t xml:space="preserve">e do not </w:t>
      </w:r>
      <w:r w:rsidR="00CF305C">
        <w:t xml:space="preserve">observe </w:t>
      </w:r>
      <w:bookmarkStart w:id="3" w:name="_Hlk36110964"/>
      <w:r w:rsidR="00CF305C">
        <w:t>a direct</w:t>
      </w:r>
      <w:r w:rsidR="003E25F8" w:rsidRPr="001254C7">
        <w:t xml:space="preserve"> cost associated with </w:t>
      </w:r>
      <w:r w:rsidR="0043098D">
        <w:t xml:space="preserve">large </w:t>
      </w:r>
      <w:r w:rsidR="00C2325A">
        <w:t>customer</w:t>
      </w:r>
      <w:r w:rsidR="00836EB3">
        <w:t>-supplier links</w:t>
      </w:r>
      <w:r w:rsidR="009934B3">
        <w:t>,</w:t>
      </w:r>
      <w:r w:rsidR="003E25F8" w:rsidRPr="001254C7">
        <w:t xml:space="preserve"> </w:t>
      </w:r>
      <w:r w:rsidR="00056F00">
        <w:t>suggesting</w:t>
      </w:r>
      <w:r w:rsidR="00056F00" w:rsidRPr="00056F00">
        <w:t xml:space="preserve"> </w:t>
      </w:r>
      <w:r w:rsidR="005F007F">
        <w:t xml:space="preserve">that </w:t>
      </w:r>
      <w:bookmarkEnd w:id="3"/>
      <w:r w:rsidR="001E6B79">
        <w:t xml:space="preserve">lead agents do not increase the interest rate spread as </w:t>
      </w:r>
      <w:r w:rsidR="001E6B79" w:rsidRPr="001E6B79">
        <w:t xml:space="preserve">compensation for the additional risks of dealing with borrowers with large </w:t>
      </w:r>
      <w:r w:rsidR="00A96E56">
        <w:t>customer</w:t>
      </w:r>
      <w:r w:rsidR="001E6B79" w:rsidRPr="001E6B79">
        <w:t xml:space="preserve">-supplier links </w:t>
      </w:r>
      <w:r w:rsidR="001E6B79" w:rsidRPr="001E6B79">
        <w:rPr>
          <w:i/>
          <w:iCs/>
        </w:rPr>
        <w:t>per se</w:t>
      </w:r>
      <w:r w:rsidR="003E25F8" w:rsidRPr="001254C7">
        <w:t xml:space="preserve">. </w:t>
      </w:r>
      <w:r w:rsidR="00636A13">
        <w:t>Finally</w:t>
      </w:r>
      <w:r w:rsidR="00275ED7" w:rsidRPr="001254C7">
        <w:t xml:space="preserve">, we </w:t>
      </w:r>
      <w:r w:rsidR="00662076">
        <w:t xml:space="preserve">document an </w:t>
      </w:r>
      <w:r w:rsidR="00662076" w:rsidRPr="00CE1532">
        <w:t>inverted U-shape</w:t>
      </w:r>
      <w:r w:rsidR="00545404" w:rsidRPr="00CE1532">
        <w:t>d</w:t>
      </w:r>
      <w:r w:rsidR="00662076" w:rsidRPr="00CE1532">
        <w:t xml:space="preserve"> relationship between the length of </w:t>
      </w:r>
      <w:r w:rsidR="00CE1532" w:rsidRPr="00CE1532">
        <w:t xml:space="preserve">the </w:t>
      </w:r>
      <w:r w:rsidR="00545404" w:rsidRPr="00CE1532">
        <w:t>large customer-supplier</w:t>
      </w:r>
      <w:r w:rsidR="00DB5271" w:rsidRPr="00CE1532">
        <w:t xml:space="preserve"> </w:t>
      </w:r>
      <w:r w:rsidR="004E7D2D" w:rsidRPr="00CE1532">
        <w:t>link</w:t>
      </w:r>
      <w:r w:rsidR="00662076" w:rsidRPr="00CE1532">
        <w:t xml:space="preserve"> </w:t>
      </w:r>
      <w:r w:rsidR="00766128" w:rsidRPr="00CE1532">
        <w:t xml:space="preserve">and </w:t>
      </w:r>
      <w:r w:rsidR="00662076" w:rsidRPr="00CE1532">
        <w:t xml:space="preserve">the </w:t>
      </w:r>
      <w:r w:rsidR="00545404" w:rsidRPr="00CE1532">
        <w:t xml:space="preserve">loan </w:t>
      </w:r>
      <w:r w:rsidR="00662076" w:rsidRPr="00CE1532">
        <w:t>share held by the lead a</w:t>
      </w:r>
      <w:r w:rsidR="00834D75">
        <w:t>gent</w:t>
      </w:r>
      <w:r w:rsidR="00662076" w:rsidRPr="00CE1532">
        <w:t>.</w:t>
      </w:r>
      <w:r w:rsidR="00662076">
        <w:t xml:space="preserve"> </w:t>
      </w:r>
    </w:p>
    <w:bookmarkEnd w:id="1"/>
    <w:p w14:paraId="4BE716A2" w14:textId="77777777" w:rsidR="00A67023" w:rsidRPr="001554F3" w:rsidRDefault="00A67023" w:rsidP="00CD2EAD">
      <w:pPr>
        <w:widowControl w:val="0"/>
        <w:autoSpaceDE w:val="0"/>
        <w:autoSpaceDN w:val="0"/>
        <w:adjustRightInd w:val="0"/>
        <w:spacing w:line="360" w:lineRule="auto"/>
        <w:jc w:val="both"/>
        <w:rPr>
          <w:b/>
          <w:sz w:val="28"/>
          <w:szCs w:val="28"/>
        </w:rPr>
      </w:pPr>
    </w:p>
    <w:p w14:paraId="7B5C2BF3" w14:textId="77777777" w:rsidR="00763E2B" w:rsidRPr="001554F3" w:rsidRDefault="00763E2B" w:rsidP="00763E2B">
      <w:pPr>
        <w:widowControl w:val="0"/>
        <w:autoSpaceDE w:val="0"/>
        <w:autoSpaceDN w:val="0"/>
        <w:adjustRightInd w:val="0"/>
        <w:spacing w:line="360" w:lineRule="auto"/>
        <w:jc w:val="both"/>
        <w:rPr>
          <w:b/>
        </w:rPr>
      </w:pPr>
      <w:bookmarkStart w:id="4" w:name="_Hlk36112346"/>
      <w:r w:rsidRPr="001554F3">
        <w:rPr>
          <w:b/>
        </w:rPr>
        <w:t xml:space="preserve">Keywords: </w:t>
      </w:r>
      <w:r w:rsidR="00766128">
        <w:rPr>
          <w:i/>
        </w:rPr>
        <w:t>Diversification</w:t>
      </w:r>
      <w:r w:rsidRPr="001554F3">
        <w:rPr>
          <w:i/>
        </w:rPr>
        <w:t xml:space="preserve">, </w:t>
      </w:r>
      <w:r w:rsidR="0043098D">
        <w:rPr>
          <w:i/>
        </w:rPr>
        <w:t>Large</w:t>
      </w:r>
      <w:r w:rsidR="00836EB3">
        <w:rPr>
          <w:i/>
        </w:rPr>
        <w:t xml:space="preserve"> </w:t>
      </w:r>
      <w:r w:rsidR="00C2325A">
        <w:rPr>
          <w:i/>
        </w:rPr>
        <w:t>customer</w:t>
      </w:r>
      <w:r w:rsidR="00836EB3">
        <w:rPr>
          <w:i/>
        </w:rPr>
        <w:t xml:space="preserve">-supplier </w:t>
      </w:r>
      <w:r w:rsidR="0099693E">
        <w:rPr>
          <w:i/>
        </w:rPr>
        <w:t>link</w:t>
      </w:r>
      <w:r w:rsidRPr="001554F3">
        <w:rPr>
          <w:i/>
        </w:rPr>
        <w:t xml:space="preserve">, Loan structure, </w:t>
      </w:r>
      <w:r w:rsidR="00527371">
        <w:rPr>
          <w:i/>
        </w:rPr>
        <w:t>L</w:t>
      </w:r>
      <w:r w:rsidRPr="001554F3">
        <w:rPr>
          <w:i/>
        </w:rPr>
        <w:t>oan pricing</w:t>
      </w:r>
      <w:r w:rsidR="00527371">
        <w:rPr>
          <w:i/>
        </w:rPr>
        <w:t>, Syndicated loan,</w:t>
      </w:r>
    </w:p>
    <w:p w14:paraId="1A0F0716" w14:textId="77777777" w:rsidR="00763E2B" w:rsidRPr="008F5DE1" w:rsidRDefault="00763E2B" w:rsidP="00763E2B">
      <w:pPr>
        <w:widowControl w:val="0"/>
        <w:autoSpaceDE w:val="0"/>
        <w:autoSpaceDN w:val="0"/>
        <w:adjustRightInd w:val="0"/>
        <w:spacing w:line="360" w:lineRule="auto"/>
        <w:jc w:val="both"/>
        <w:rPr>
          <w:rFonts w:eastAsia="DengXian"/>
          <w:lang w:eastAsia="zh-CN"/>
        </w:rPr>
      </w:pPr>
      <w:r w:rsidRPr="001554F3">
        <w:rPr>
          <w:b/>
        </w:rPr>
        <w:t>JEL Classification:</w:t>
      </w:r>
      <w:r w:rsidRPr="001554F3">
        <w:t xml:space="preserve"> G21, G30, L1</w:t>
      </w:r>
    </w:p>
    <w:bookmarkEnd w:id="4"/>
    <w:p w14:paraId="4D8F8991" w14:textId="77777777" w:rsidR="00D51B41" w:rsidRDefault="00D51B41" w:rsidP="00AE7D0D">
      <w:pPr>
        <w:widowControl w:val="0"/>
        <w:autoSpaceDE w:val="0"/>
        <w:autoSpaceDN w:val="0"/>
        <w:adjustRightInd w:val="0"/>
        <w:spacing w:line="360" w:lineRule="auto"/>
        <w:jc w:val="center"/>
        <w:rPr>
          <w:b/>
          <w:sz w:val="28"/>
          <w:szCs w:val="28"/>
        </w:rPr>
        <w:sectPr w:rsidR="00D51B41">
          <w:footerReference w:type="default" r:id="rId8"/>
          <w:pgSz w:w="12240" w:h="15840"/>
          <w:pgMar w:top="1440" w:right="1440" w:bottom="1440" w:left="1440" w:header="720" w:footer="720" w:gutter="0"/>
          <w:cols w:space="720"/>
          <w:noEndnote/>
        </w:sectPr>
      </w:pPr>
    </w:p>
    <w:p w14:paraId="169D70D2" w14:textId="77777777" w:rsidR="007E776F" w:rsidRPr="001554F3" w:rsidRDefault="00482FBD" w:rsidP="00F12FCC">
      <w:pPr>
        <w:widowControl w:val="0"/>
        <w:pBdr>
          <w:top w:val="nil"/>
          <w:left w:val="nil"/>
          <w:bottom w:val="nil"/>
          <w:right w:val="nil"/>
          <w:between w:val="nil"/>
        </w:pBdr>
        <w:spacing w:line="480" w:lineRule="auto"/>
        <w:jc w:val="both"/>
        <w:rPr>
          <w:b/>
          <w:color w:val="000000"/>
          <w:sz w:val="28"/>
        </w:rPr>
      </w:pPr>
      <w:r>
        <w:rPr>
          <w:b/>
          <w:color w:val="000000"/>
          <w:sz w:val="28"/>
        </w:rPr>
        <w:t>1</w:t>
      </w:r>
      <w:r w:rsidR="001D2397">
        <w:rPr>
          <w:b/>
          <w:color w:val="000000"/>
          <w:sz w:val="28"/>
        </w:rPr>
        <w:t xml:space="preserve">. </w:t>
      </w:r>
      <w:r w:rsidR="007E776F" w:rsidRPr="001554F3">
        <w:rPr>
          <w:b/>
          <w:color w:val="000000"/>
          <w:sz w:val="28"/>
        </w:rPr>
        <w:t>Introduction</w:t>
      </w:r>
    </w:p>
    <w:p w14:paraId="30FDE668" w14:textId="4A95B6E3" w:rsidR="009934B3" w:rsidRDefault="002C0B06" w:rsidP="001A6451">
      <w:pPr>
        <w:autoSpaceDE w:val="0"/>
        <w:autoSpaceDN w:val="0"/>
        <w:adjustRightInd w:val="0"/>
        <w:spacing w:line="480" w:lineRule="auto"/>
        <w:jc w:val="both"/>
      </w:pPr>
      <w:bookmarkStart w:id="5" w:name="_Hlk48739414"/>
      <w:r w:rsidRPr="0043098D">
        <w:rPr>
          <w:rFonts w:eastAsia="DengXian"/>
          <w:lang w:val="en-GB" w:eastAsia="zh-CN"/>
        </w:rPr>
        <w:t xml:space="preserve">Among the firms that access the lending market, a significant fraction has a concentrated customer base, i.e. a few large customers are responsible for </w:t>
      </w:r>
      <w:r w:rsidR="005A0160" w:rsidRPr="0043098D">
        <w:rPr>
          <w:rFonts w:eastAsia="DengXian"/>
          <w:lang w:val="en-GB" w:eastAsia="zh-CN"/>
        </w:rPr>
        <w:t xml:space="preserve">a relevant portion of </w:t>
      </w:r>
      <w:r w:rsidRPr="0043098D">
        <w:rPr>
          <w:rFonts w:eastAsia="DengXian"/>
          <w:lang w:val="en-GB" w:eastAsia="zh-CN"/>
        </w:rPr>
        <w:t xml:space="preserve">the firm’s </w:t>
      </w:r>
      <w:r w:rsidR="005A0160" w:rsidRPr="0043098D">
        <w:rPr>
          <w:rFonts w:eastAsia="DengXian"/>
          <w:lang w:val="en-GB" w:eastAsia="zh-CN"/>
        </w:rPr>
        <w:t>sales</w:t>
      </w:r>
      <w:r w:rsidRPr="0043098D">
        <w:rPr>
          <w:rFonts w:eastAsia="DengXian"/>
          <w:lang w:val="en-GB" w:eastAsia="zh-CN"/>
        </w:rPr>
        <w:t xml:space="preserve">, and/or a concentrated supplier base, i.e. a small number of suppliers provide the majority of the inputs the firm needs. The </w:t>
      </w:r>
      <w:r w:rsidR="009934B3">
        <w:rPr>
          <w:rFonts w:eastAsia="DengXian"/>
          <w:lang w:val="en-GB" w:eastAsia="zh-CN"/>
        </w:rPr>
        <w:t>effects</w:t>
      </w:r>
      <w:r w:rsidR="009934B3" w:rsidRPr="0043098D">
        <w:rPr>
          <w:rFonts w:eastAsia="DengXian"/>
          <w:lang w:val="en-GB" w:eastAsia="zh-CN"/>
        </w:rPr>
        <w:t xml:space="preserve"> </w:t>
      </w:r>
      <w:r w:rsidRPr="0043098D">
        <w:rPr>
          <w:rFonts w:eastAsia="DengXian"/>
          <w:lang w:val="en-GB" w:eastAsia="zh-CN"/>
        </w:rPr>
        <w:t xml:space="preserve">of these </w:t>
      </w:r>
      <w:r w:rsidR="005A0160" w:rsidRPr="0043098D">
        <w:t xml:space="preserve">large </w:t>
      </w:r>
      <w:r w:rsidR="00C2325A">
        <w:t>customer</w:t>
      </w:r>
      <w:r w:rsidR="0043098D">
        <w:t>-</w:t>
      </w:r>
      <w:r w:rsidR="005A0160" w:rsidRPr="0043098D">
        <w:t xml:space="preserve">supplier </w:t>
      </w:r>
      <w:r w:rsidR="0043098D">
        <w:t>links</w:t>
      </w:r>
      <w:r w:rsidR="005A0160" w:rsidRPr="0043098D">
        <w:t xml:space="preserve"> </w:t>
      </w:r>
      <w:r w:rsidRPr="0043098D">
        <w:t xml:space="preserve">for a borrower </w:t>
      </w:r>
      <w:r w:rsidR="009934B3">
        <w:t>are</w:t>
      </w:r>
      <w:r w:rsidR="009934B3" w:rsidRPr="0043098D">
        <w:t xml:space="preserve"> </w:t>
      </w:r>
      <w:r w:rsidRPr="0043098D">
        <w:t xml:space="preserve">still </w:t>
      </w:r>
      <w:r w:rsidR="00626E0C" w:rsidRPr="0043098D">
        <w:t xml:space="preserve">debated. While such </w:t>
      </w:r>
      <w:r w:rsidR="0099693E">
        <w:t>link</w:t>
      </w:r>
      <w:r w:rsidR="00626E0C" w:rsidRPr="0043098D">
        <w:t>s may be</w:t>
      </w:r>
      <w:r w:rsidR="005A0160" w:rsidRPr="0043098D">
        <w:t xml:space="preserve"> </w:t>
      </w:r>
      <w:r w:rsidR="008823F6" w:rsidRPr="0043098D">
        <w:t xml:space="preserve">a </w:t>
      </w:r>
      <w:r w:rsidR="005A0160" w:rsidRPr="0043098D">
        <w:t xml:space="preserve">positive factor for </w:t>
      </w:r>
      <w:r w:rsidR="008823F6" w:rsidRPr="0043098D">
        <w:t>borrowers</w:t>
      </w:r>
      <w:r w:rsidR="00626E0C" w:rsidRPr="0043098D">
        <w:t xml:space="preserve"> in the lending market, they can also </w:t>
      </w:r>
      <w:r w:rsidR="00626E0C" w:rsidRPr="0043098D">
        <w:rPr>
          <w:rFonts w:eastAsia="DengXian"/>
          <w:color w:val="000000"/>
          <w:lang w:val="en-GB" w:eastAsia="zh-CN"/>
        </w:rPr>
        <w:t>lead</w:t>
      </w:r>
      <w:r w:rsidR="005A0160" w:rsidRPr="0043098D">
        <w:rPr>
          <w:rFonts w:eastAsia="DengXian"/>
          <w:color w:val="000000"/>
          <w:lang w:val="en-GB" w:eastAsia="zh-CN"/>
        </w:rPr>
        <w:t xml:space="preserve"> to additional costs and risks that may ultimately affect their </w:t>
      </w:r>
      <w:r w:rsidR="008823F6" w:rsidRPr="0043098D">
        <w:rPr>
          <w:rFonts w:eastAsia="DengXian"/>
          <w:color w:val="000000"/>
          <w:lang w:val="en-GB" w:eastAsia="zh-CN"/>
        </w:rPr>
        <w:t xml:space="preserve">lending conditions. In this paper, we </w:t>
      </w:r>
      <w:r w:rsidR="008823F6" w:rsidRPr="0043098D">
        <w:rPr>
          <w:rFonts w:eastAsia="DengXian"/>
          <w:lang w:val="en-GB" w:eastAsia="zh-CN"/>
        </w:rPr>
        <w:t xml:space="preserve">address this issue by exploring whether borrowers with </w:t>
      </w:r>
      <w:r w:rsidR="0043098D">
        <w:rPr>
          <w:rFonts w:eastAsia="DengXian"/>
          <w:lang w:val="en-GB" w:eastAsia="zh-CN"/>
        </w:rPr>
        <w:t>large</w:t>
      </w:r>
      <w:r w:rsidR="008823F6" w:rsidRPr="0043098D">
        <w:rPr>
          <w:rFonts w:eastAsia="DengXian"/>
          <w:lang w:val="en-GB" w:eastAsia="zh-CN"/>
        </w:rPr>
        <w:t xml:space="preserve"> </w:t>
      </w:r>
      <w:r w:rsidR="00C2325A">
        <w:rPr>
          <w:rFonts w:eastAsia="DengXian"/>
          <w:lang w:val="en-GB" w:eastAsia="zh-CN"/>
        </w:rPr>
        <w:t>customer</w:t>
      </w:r>
      <w:r w:rsidR="008823F6" w:rsidRPr="0043098D">
        <w:rPr>
          <w:rFonts w:eastAsia="DengXian"/>
          <w:lang w:val="en-GB" w:eastAsia="zh-CN"/>
        </w:rPr>
        <w:t xml:space="preserve">-supplier </w:t>
      </w:r>
      <w:r w:rsidR="0099693E">
        <w:rPr>
          <w:rFonts w:eastAsia="DengXian"/>
          <w:lang w:val="en-GB" w:eastAsia="zh-CN"/>
        </w:rPr>
        <w:t>link</w:t>
      </w:r>
      <w:r w:rsidR="008823F6" w:rsidRPr="0043098D">
        <w:rPr>
          <w:rFonts w:eastAsia="DengXian"/>
          <w:lang w:val="en-GB" w:eastAsia="zh-CN"/>
        </w:rPr>
        <w:t xml:space="preserve">s require </w:t>
      </w:r>
      <w:r w:rsidR="00181DB7" w:rsidRPr="0043098D">
        <w:rPr>
          <w:rFonts w:eastAsia="DengXian"/>
          <w:lang w:val="en-GB" w:eastAsia="zh-CN"/>
        </w:rPr>
        <w:t xml:space="preserve">more monitoring by </w:t>
      </w:r>
      <w:r w:rsidR="00626E0C">
        <w:rPr>
          <w:rFonts w:eastAsia="DengXian"/>
          <w:lang w:val="en-GB" w:eastAsia="zh-CN"/>
        </w:rPr>
        <w:t>the lending banks, possibly altering the structure of the loan</w:t>
      </w:r>
      <w:r w:rsidR="008823F6" w:rsidRPr="0043098D">
        <w:rPr>
          <w:rFonts w:eastAsia="DengXian"/>
          <w:lang w:val="en-GB" w:eastAsia="zh-CN"/>
        </w:rPr>
        <w:t xml:space="preserve">. </w:t>
      </w:r>
      <w:r w:rsidR="00626E0C">
        <w:t>U</w:t>
      </w:r>
      <w:r w:rsidR="00181DB7" w:rsidRPr="0043098D">
        <w:t xml:space="preserve">sing a sample of </w:t>
      </w:r>
      <w:r w:rsidR="0043098D">
        <w:t xml:space="preserve">large </w:t>
      </w:r>
      <w:r w:rsidR="00181DB7" w:rsidRPr="0043098D">
        <w:t xml:space="preserve">customer-supplier relationships and </w:t>
      </w:r>
      <w:r w:rsidR="00626E0C">
        <w:t xml:space="preserve">syndicated </w:t>
      </w:r>
      <w:r w:rsidR="00181DB7" w:rsidRPr="0043098D">
        <w:t>bank loans, we argue th</w:t>
      </w:r>
      <w:r w:rsidR="00626E0C">
        <w:t>a</w:t>
      </w:r>
      <w:r w:rsidR="00181DB7" w:rsidRPr="0043098D">
        <w:t xml:space="preserve">t </w:t>
      </w:r>
      <w:r w:rsidR="003A6014">
        <w:t xml:space="preserve">a </w:t>
      </w:r>
      <w:r w:rsidR="0043098D">
        <w:t>large</w:t>
      </w:r>
      <w:r w:rsidR="005F5619" w:rsidRPr="0043098D">
        <w:t xml:space="preserve"> </w:t>
      </w:r>
      <w:r w:rsidR="00C2325A">
        <w:t>customer</w:t>
      </w:r>
      <w:r w:rsidR="005F5619" w:rsidRPr="0043098D">
        <w:t>-supplier relationship</w:t>
      </w:r>
      <w:r w:rsidR="00181DB7" w:rsidRPr="0043098D">
        <w:t xml:space="preserve"> has an indirect </w:t>
      </w:r>
      <w:r w:rsidR="00181DB7" w:rsidRPr="00CD520D">
        <w:t>effect on loans pricing</w:t>
      </w:r>
      <w:r w:rsidR="00181DB7" w:rsidRPr="0043098D">
        <w:t xml:space="preserve"> through the </w:t>
      </w:r>
      <w:r w:rsidR="005F007F">
        <w:t>syndicate</w:t>
      </w:r>
      <w:r w:rsidR="009934B3">
        <w:t xml:space="preserve"> </w:t>
      </w:r>
      <w:r w:rsidR="00626E0C">
        <w:t>structure, which depends on the monitoring efforts of the banks</w:t>
      </w:r>
      <w:r w:rsidR="00181DB7" w:rsidRPr="0043098D">
        <w:t>.</w:t>
      </w:r>
      <w:r w:rsidR="00181DB7" w:rsidRPr="001554F3">
        <w:t xml:space="preserve"> </w:t>
      </w:r>
      <w:r w:rsidR="001E6B79">
        <w:t>In fact</w:t>
      </w:r>
      <w:r w:rsidR="007201E5">
        <w:t xml:space="preserve">, </w:t>
      </w:r>
      <w:r w:rsidR="009934B3">
        <w:t xml:space="preserve">participant lenders may </w:t>
      </w:r>
      <w:r w:rsidR="00834D75">
        <w:t xml:space="preserve">demand </w:t>
      </w:r>
      <w:r w:rsidR="00785A4A">
        <w:t xml:space="preserve">that </w:t>
      </w:r>
      <w:r w:rsidR="009934B3">
        <w:t xml:space="preserve">the </w:t>
      </w:r>
      <w:r w:rsidR="007201E5">
        <w:t xml:space="preserve">lead agent, who is responsible for due diligence and monitoring activities, </w:t>
      </w:r>
      <w:r w:rsidR="007201E5" w:rsidRPr="009934B3">
        <w:t>retain</w:t>
      </w:r>
      <w:r w:rsidR="00785A4A">
        <w:t>s</w:t>
      </w:r>
      <w:r w:rsidR="007201E5" w:rsidRPr="009934B3">
        <w:t xml:space="preserve"> </w:t>
      </w:r>
      <w:r w:rsidR="001E6B79">
        <w:t>a larger share of</w:t>
      </w:r>
      <w:r w:rsidR="007201E5" w:rsidRPr="009934B3">
        <w:t xml:space="preserve"> the loan for incentive purposes </w:t>
      </w:r>
      <w:r w:rsidR="00BB7FD5">
        <w:t>as these borrowers</w:t>
      </w:r>
      <w:r w:rsidR="00BB7FD5" w:rsidRPr="0043098D">
        <w:t xml:space="preserve"> </w:t>
      </w:r>
      <w:r w:rsidR="00BB7FD5">
        <w:t>may</w:t>
      </w:r>
      <w:r w:rsidR="00BB7FD5" w:rsidRPr="0043098D">
        <w:t xml:space="preserve"> </w:t>
      </w:r>
      <w:r w:rsidR="00916750">
        <w:t>be</w:t>
      </w:r>
      <w:r w:rsidR="007201E5" w:rsidRPr="009934B3">
        <w:t xml:space="preserve"> </w:t>
      </w:r>
      <w:r w:rsidR="00916750">
        <w:t>risk</w:t>
      </w:r>
      <w:r w:rsidR="00785A4A">
        <w:t>i</w:t>
      </w:r>
      <w:r w:rsidR="00916750">
        <w:t>er</w:t>
      </w:r>
      <w:r w:rsidR="001E6B79">
        <w:t xml:space="preserve"> (Sufi, 2007; Ivashina, 2009; Lin et al.</w:t>
      </w:r>
      <w:r w:rsidR="00785A4A">
        <w:t>,</w:t>
      </w:r>
      <w:r w:rsidR="001E6B79">
        <w:t xml:space="preserve"> 2012)</w:t>
      </w:r>
      <w:r w:rsidR="00BB7FD5">
        <w:t>.</w:t>
      </w:r>
    </w:p>
    <w:p w14:paraId="177CED83" w14:textId="77777777" w:rsidR="00771256" w:rsidRPr="00771256" w:rsidRDefault="00FD5DAA" w:rsidP="00771256">
      <w:pPr>
        <w:autoSpaceDE w:val="0"/>
        <w:autoSpaceDN w:val="0"/>
        <w:adjustRightInd w:val="0"/>
        <w:spacing w:line="480" w:lineRule="auto"/>
        <w:ind w:firstLine="567"/>
        <w:jc w:val="both"/>
      </w:pPr>
      <w:r w:rsidRPr="00771256">
        <w:t xml:space="preserve">The growing literature on syndicate loans offers two main contrasting </w:t>
      </w:r>
      <w:r w:rsidR="00D5577C">
        <w:t>view</w:t>
      </w:r>
      <w:r w:rsidR="00D5577C" w:rsidRPr="00771256">
        <w:t xml:space="preserve">s </w:t>
      </w:r>
      <w:r w:rsidRPr="00771256">
        <w:t xml:space="preserve">on how the credit market values </w:t>
      </w:r>
      <w:r w:rsidR="0085199E" w:rsidRPr="00771256">
        <w:t>concentrated supplier or customer bases</w:t>
      </w:r>
      <w:r w:rsidRPr="00771256">
        <w:t xml:space="preserve">. </w:t>
      </w:r>
      <w:bookmarkStart w:id="6" w:name="_Hlk875862"/>
      <w:r w:rsidR="00771256" w:rsidRPr="00771256">
        <w:t xml:space="preserve">On the one hand, a large strand of the literature suggests that </w:t>
      </w:r>
      <w:r w:rsidR="0043098D">
        <w:t>large</w:t>
      </w:r>
      <w:r w:rsidR="00771256" w:rsidRPr="00771256">
        <w:t xml:space="preserve"> customer</w:t>
      </w:r>
      <w:r w:rsidR="00C60143">
        <w:t>-</w:t>
      </w:r>
      <w:r w:rsidR="00771256" w:rsidRPr="00771256">
        <w:t xml:space="preserve">supplier </w:t>
      </w:r>
      <w:r w:rsidR="0099693E">
        <w:t>link</w:t>
      </w:r>
      <w:r w:rsidR="00771256" w:rsidRPr="00771256">
        <w:t>s expose lenders to additional risks related to more firm-specific investments, liquidity problems, and increased cash flow risks (Banerjee et al</w:t>
      </w:r>
      <w:r w:rsidR="00785A4A">
        <w:t>.</w:t>
      </w:r>
      <w:r w:rsidR="00771256" w:rsidRPr="00771256">
        <w:t xml:space="preserve">, 2008; Campello and Gao, 2017; Cohen and Frazzini, 2008; Dhaliwal et al., 2016; Hertzel et al., 2008; Kale and Shahrur, 2007). </w:t>
      </w:r>
      <w:r w:rsidR="005F007F">
        <w:t>These links</w:t>
      </w:r>
      <w:r w:rsidR="00771256" w:rsidRPr="00771256">
        <w:t xml:space="preserve"> </w:t>
      </w:r>
      <w:r w:rsidR="00785A4A">
        <w:t>limit</w:t>
      </w:r>
      <w:r w:rsidR="00785A4A" w:rsidRPr="00771256">
        <w:t xml:space="preserve"> </w:t>
      </w:r>
      <w:r w:rsidR="00771256" w:rsidRPr="00771256">
        <w:t>firms</w:t>
      </w:r>
      <w:r w:rsidR="00785A4A">
        <w:t>’</w:t>
      </w:r>
      <w:r w:rsidR="00771256" w:rsidRPr="00771256">
        <w:t xml:space="preserve"> power to switch to alternative partners, thereby effectively locking firms into such relationship</w:t>
      </w:r>
      <w:r w:rsidR="00C55DA6">
        <w:t>s</w:t>
      </w:r>
      <w:r w:rsidR="00771256" w:rsidRPr="00771256">
        <w:t xml:space="preserve"> (Rahaman et al., 2020). </w:t>
      </w:r>
      <w:r w:rsidR="00C55DA6">
        <w:t>Because of this</w:t>
      </w:r>
      <w:r w:rsidR="00771256" w:rsidRPr="00771256">
        <w:t xml:space="preserve">, borrowers </w:t>
      </w:r>
      <w:r w:rsidR="00C55DA6">
        <w:t>are</w:t>
      </w:r>
      <w:r w:rsidR="00771256" w:rsidRPr="00771256">
        <w:t xml:space="preserve"> more exposed to supply disruptions and </w:t>
      </w:r>
      <w:r w:rsidR="005F5619">
        <w:t>firm-specific</w:t>
      </w:r>
      <w:r w:rsidR="00771256" w:rsidRPr="00771256">
        <w:t xml:space="preserve"> investments</w:t>
      </w:r>
      <w:r w:rsidR="00C55DA6">
        <w:t>,</w:t>
      </w:r>
      <w:r w:rsidR="00771256" w:rsidRPr="00771256">
        <w:t xml:space="preserve"> which </w:t>
      </w:r>
      <w:r w:rsidR="00C55DA6">
        <w:t>increases their</w:t>
      </w:r>
      <w:r w:rsidR="00771256" w:rsidRPr="00771256">
        <w:t xml:space="preserve"> default risk (</w:t>
      </w:r>
      <w:r w:rsidR="00771256" w:rsidRPr="00BC40D3">
        <w:t>Banerjee et al., 2008; Campello and Gao, 2017; Hertzel et al.</w:t>
      </w:r>
      <w:r w:rsidR="00A96E56" w:rsidRPr="00BC40D3">
        <w:t>,</w:t>
      </w:r>
      <w:r w:rsidR="00771256" w:rsidRPr="00BC40D3">
        <w:t xml:space="preserve"> 2008; Kale and Shahrur, 2007; Rahaman et al., 2020</w:t>
      </w:r>
      <w:r w:rsidR="00771256" w:rsidRPr="00771256">
        <w:t xml:space="preserve">). Therefore, </w:t>
      </w:r>
      <w:r w:rsidR="0043098D">
        <w:t>large</w:t>
      </w:r>
      <w:r w:rsidR="00771256" w:rsidRPr="00771256">
        <w:t xml:space="preserve"> customer</w:t>
      </w:r>
      <w:r w:rsidR="00C60143">
        <w:t>-</w:t>
      </w:r>
      <w:r w:rsidR="00771256" w:rsidRPr="00771256">
        <w:t xml:space="preserve">supplier </w:t>
      </w:r>
      <w:r w:rsidR="0043098D">
        <w:t>links</w:t>
      </w:r>
      <w:r w:rsidR="00771256" w:rsidRPr="00771256">
        <w:t xml:space="preserve"> may </w:t>
      </w:r>
      <w:r w:rsidR="00C55DA6">
        <w:t>increase the cost of borrowing</w:t>
      </w:r>
      <w:r w:rsidR="00771256" w:rsidRPr="00771256">
        <w:t xml:space="preserve">. Consistent with this view, Campello and Gao (2017) show that a more concentrated customer base leads to higher interest rate spreads and more restrictive covenants. </w:t>
      </w:r>
    </w:p>
    <w:p w14:paraId="2EB08A3D" w14:textId="77777777" w:rsidR="0043098D" w:rsidRDefault="00771256" w:rsidP="0043098D">
      <w:pPr>
        <w:spacing w:line="480" w:lineRule="auto"/>
        <w:ind w:firstLine="567"/>
        <w:jc w:val="both"/>
      </w:pPr>
      <w:r w:rsidRPr="00771256">
        <w:t xml:space="preserve">On the other hand, </w:t>
      </w:r>
      <w:r w:rsidR="00D5577C">
        <w:t>a tight integration with</w:t>
      </w:r>
      <w:r w:rsidRPr="00771256">
        <w:t xml:space="preserve"> </w:t>
      </w:r>
      <w:r w:rsidR="0043098D">
        <w:t>large</w:t>
      </w:r>
      <w:r w:rsidRPr="00771256">
        <w:t xml:space="preserve"> customers and/or suppliers may enhance control quality</w:t>
      </w:r>
      <w:r w:rsidR="00D5577C">
        <w:t xml:space="preserve"> and signal favorable information</w:t>
      </w:r>
      <w:r w:rsidRPr="00771256">
        <w:t xml:space="preserve">, </w:t>
      </w:r>
      <w:r w:rsidR="00D5577C" w:rsidRPr="00771256">
        <w:t>mitigat</w:t>
      </w:r>
      <w:r w:rsidR="00D5577C">
        <w:t>ing</w:t>
      </w:r>
      <w:r w:rsidR="00D5577C" w:rsidRPr="00771256">
        <w:t xml:space="preserve"> </w:t>
      </w:r>
      <w:r w:rsidR="00D5577C">
        <w:t>lenders</w:t>
      </w:r>
      <w:r w:rsidR="00D5577C" w:rsidRPr="00771256">
        <w:t>’ asymmetric information problems (</w:t>
      </w:r>
      <w:r w:rsidR="00D5577C" w:rsidRPr="00BC40D3">
        <w:t>Biais and Gollier, 1997</w:t>
      </w:r>
      <w:r w:rsidR="00D5577C" w:rsidRPr="00771256">
        <w:t xml:space="preserve">). </w:t>
      </w:r>
      <w:r w:rsidR="00D5577C">
        <w:t xml:space="preserve">This can </w:t>
      </w:r>
      <w:r w:rsidRPr="00771256">
        <w:t xml:space="preserve">reduce costs and increase profitability </w:t>
      </w:r>
      <w:r w:rsidRPr="00BC40D3">
        <w:t>(Deming, 1986; Patatoukas, 2012</w:t>
      </w:r>
      <w:r w:rsidRPr="00771256">
        <w:t xml:space="preserve">). </w:t>
      </w:r>
      <w:r w:rsidR="00E92C19">
        <w:t>A</w:t>
      </w:r>
      <w:r w:rsidRPr="00771256">
        <w:t xml:space="preserve"> few recent studies (</w:t>
      </w:r>
      <w:r w:rsidRPr="00BC40D3">
        <w:t>Cen et al., 2016</w:t>
      </w:r>
      <w:r w:rsidR="00C60143" w:rsidRPr="00BC40D3">
        <w:t>;</w:t>
      </w:r>
      <w:r w:rsidRPr="00BC40D3">
        <w:t xml:space="preserve"> Hasan et al., 2020</w:t>
      </w:r>
      <w:r w:rsidRPr="00771256">
        <w:t>)</w:t>
      </w:r>
      <w:r w:rsidR="00E92C19">
        <w:t xml:space="preserve"> also</w:t>
      </w:r>
      <w:r w:rsidRPr="00771256">
        <w:t xml:space="preserve"> show that a </w:t>
      </w:r>
      <w:r w:rsidR="001E6B79">
        <w:t xml:space="preserve">long and </w:t>
      </w:r>
      <w:r w:rsidRPr="00771256">
        <w:t>continuing relationship with a principal customer may</w:t>
      </w:r>
      <w:r w:rsidR="000F4092">
        <w:t xml:space="preserve"> convey</w:t>
      </w:r>
      <w:r w:rsidR="000F4092" w:rsidRPr="00F97317">
        <w:t xml:space="preserve"> positive signal</w:t>
      </w:r>
      <w:r w:rsidR="000F4092">
        <w:t>s</w:t>
      </w:r>
      <w:r w:rsidR="000F4092" w:rsidRPr="00F97317">
        <w:t xml:space="preserve"> </w:t>
      </w:r>
      <w:r w:rsidR="00545404">
        <w:t>about</w:t>
      </w:r>
      <w:r w:rsidR="000F4092" w:rsidRPr="00F97317">
        <w:t xml:space="preserve"> the borrower</w:t>
      </w:r>
      <w:r w:rsidR="000F4092">
        <w:t>’s quality</w:t>
      </w:r>
      <w:r w:rsidRPr="00771256">
        <w:t xml:space="preserve">, resulting in lower loan pricing and fewer restrictive covenants for firms with </w:t>
      </w:r>
      <w:r w:rsidR="0043098D">
        <w:t>large</w:t>
      </w:r>
      <w:r w:rsidRPr="00771256">
        <w:t xml:space="preserve"> </w:t>
      </w:r>
      <w:r w:rsidR="001E6B79">
        <w:t xml:space="preserve">long-term </w:t>
      </w:r>
      <w:r w:rsidR="00C2325A">
        <w:t>customer</w:t>
      </w:r>
      <w:r w:rsidRPr="00771256">
        <w:t xml:space="preserve">s. </w:t>
      </w:r>
    </w:p>
    <w:p w14:paraId="45B42339" w14:textId="77777777" w:rsidR="00FD5DAA" w:rsidRPr="00667657" w:rsidRDefault="000F2C9A" w:rsidP="0043098D">
      <w:pPr>
        <w:spacing w:line="480" w:lineRule="auto"/>
        <w:ind w:firstLine="567"/>
        <w:jc w:val="both"/>
      </w:pPr>
      <w:bookmarkStart w:id="7" w:name="_Hlk56688056"/>
      <w:r w:rsidRPr="0043098D">
        <w:t xml:space="preserve">Although a few papers have studied the effect of </w:t>
      </w:r>
      <w:r w:rsidR="0043098D">
        <w:t>large</w:t>
      </w:r>
      <w:r w:rsidR="005F5619" w:rsidRPr="0043098D">
        <w:t xml:space="preserve"> </w:t>
      </w:r>
      <w:r w:rsidR="00C2325A">
        <w:t>customer</w:t>
      </w:r>
      <w:r w:rsidR="005F5619" w:rsidRPr="0043098D">
        <w:t>-supplier relationship</w:t>
      </w:r>
      <w:r w:rsidR="004D44E7" w:rsidRPr="0043098D">
        <w:t>s</w:t>
      </w:r>
      <w:r w:rsidRPr="0043098D">
        <w:t xml:space="preserve"> on pricing conditions in the syndicate loan market</w:t>
      </w:r>
      <w:r w:rsidR="001E6B79">
        <w:t xml:space="preserve"> (e.g.</w:t>
      </w:r>
      <w:r w:rsidR="00785A4A">
        <w:t>,</w:t>
      </w:r>
      <w:r w:rsidR="001E6B79">
        <w:t xml:space="preserve"> </w:t>
      </w:r>
      <w:r w:rsidR="001E6B79" w:rsidRPr="00771256">
        <w:t>Cen et al., 2016</w:t>
      </w:r>
      <w:r w:rsidR="001E6B79">
        <w:t>;</w:t>
      </w:r>
      <w:r w:rsidR="001E6B79" w:rsidRPr="00771256">
        <w:t xml:space="preserve"> Campello and Gao</w:t>
      </w:r>
      <w:r w:rsidR="001E6B79">
        <w:t xml:space="preserve">, </w:t>
      </w:r>
      <w:r w:rsidR="001E6B79" w:rsidRPr="00771256">
        <w:t>2017</w:t>
      </w:r>
      <w:r w:rsidR="001E6B79">
        <w:t xml:space="preserve">; </w:t>
      </w:r>
      <w:r w:rsidR="001E6B79" w:rsidRPr="00771256">
        <w:t>Hasan et al., 2020)</w:t>
      </w:r>
      <w:r w:rsidRPr="0043098D">
        <w:t xml:space="preserve">, not much attention has been paid to the </w:t>
      </w:r>
      <w:r w:rsidR="004D44E7" w:rsidRPr="0043098D">
        <w:t xml:space="preserve">effect of such relationships </w:t>
      </w:r>
      <w:r w:rsidR="00E86D64" w:rsidRPr="0043098D">
        <w:t xml:space="preserve">on the </w:t>
      </w:r>
      <w:r w:rsidR="00D5577C">
        <w:t>loan structure</w:t>
      </w:r>
      <w:r w:rsidRPr="0043098D">
        <w:t xml:space="preserve">. To the best of our knowledge, this is the first paper </w:t>
      </w:r>
      <w:r w:rsidR="004D44E7" w:rsidRPr="0043098D">
        <w:t>that focus</w:t>
      </w:r>
      <w:r w:rsidR="00E86D64" w:rsidRPr="0043098D">
        <w:t>es</w:t>
      </w:r>
      <w:r w:rsidR="004D44E7" w:rsidRPr="0043098D">
        <w:t xml:space="preserve"> on whether borrowers with </w:t>
      </w:r>
      <w:r w:rsidR="0043098D">
        <w:t>large</w:t>
      </w:r>
      <w:r w:rsidR="004D44E7" w:rsidRPr="0043098D">
        <w:t xml:space="preserve"> customer</w:t>
      </w:r>
      <w:r w:rsidR="00197CE1">
        <w:t>-</w:t>
      </w:r>
      <w:r w:rsidR="004D44E7" w:rsidRPr="0043098D">
        <w:t xml:space="preserve">supplier </w:t>
      </w:r>
      <w:r w:rsidR="0099693E">
        <w:t>link</w:t>
      </w:r>
      <w:r w:rsidR="004D44E7" w:rsidRPr="0043098D">
        <w:t>s</w:t>
      </w:r>
      <w:r w:rsidRPr="0043098D">
        <w:t xml:space="preserve"> </w:t>
      </w:r>
      <w:r w:rsidR="004D44E7" w:rsidRPr="0043098D">
        <w:t xml:space="preserve">require </w:t>
      </w:r>
      <w:r w:rsidR="00E86D64" w:rsidRPr="0043098D">
        <w:t>the lead agents to retain a larger fraction of the loan,</w:t>
      </w:r>
      <w:r w:rsidR="004D44E7" w:rsidRPr="0043098D">
        <w:t xml:space="preserve"> which in turn affect</w:t>
      </w:r>
      <w:r w:rsidR="00E86D64" w:rsidRPr="0043098D">
        <w:t>s</w:t>
      </w:r>
      <w:r w:rsidR="004D44E7" w:rsidRPr="0043098D">
        <w:t xml:space="preserve"> lending conditions</w:t>
      </w:r>
      <w:r w:rsidRPr="0043098D">
        <w:t>.</w:t>
      </w:r>
      <w:bookmarkEnd w:id="7"/>
      <w:r w:rsidRPr="007E6B7A">
        <w:rPr>
          <w:color w:val="000000"/>
        </w:rPr>
        <w:t xml:space="preserve"> </w:t>
      </w:r>
      <w:r w:rsidR="00556837">
        <w:rPr>
          <w:color w:val="000000"/>
        </w:rPr>
        <w:t xml:space="preserve">In fact, </w:t>
      </w:r>
      <w:bookmarkStart w:id="8" w:name="_Hlk52893248"/>
      <w:bookmarkStart w:id="9" w:name="_Hlk48739737"/>
      <w:bookmarkEnd w:id="5"/>
      <w:r w:rsidR="00556837">
        <w:t>b</w:t>
      </w:r>
      <w:r w:rsidR="0012043B" w:rsidRPr="00556837">
        <w:t xml:space="preserve">y bearing more risk, </w:t>
      </w:r>
      <w:r w:rsidR="00323DC4" w:rsidRPr="00667657">
        <w:t xml:space="preserve">borrowers with </w:t>
      </w:r>
      <w:r w:rsidR="0043098D">
        <w:t xml:space="preserve">large </w:t>
      </w:r>
      <w:r w:rsidR="00C2325A">
        <w:t>customer</w:t>
      </w:r>
      <w:r w:rsidR="00323DC4" w:rsidRPr="00667657">
        <w:t xml:space="preserve">-supplier </w:t>
      </w:r>
      <w:r w:rsidR="0099693E">
        <w:t>link</w:t>
      </w:r>
      <w:r w:rsidR="00323DC4" w:rsidRPr="00667657">
        <w:t xml:space="preserve">s </w:t>
      </w:r>
      <w:r w:rsidR="00323DC4" w:rsidRPr="00102233">
        <w:t xml:space="preserve">require stricter </w:t>
      </w:r>
      <w:r w:rsidR="000913CB" w:rsidRPr="00102233">
        <w:t>control</w:t>
      </w:r>
      <w:r w:rsidR="00323DC4" w:rsidRPr="00533632">
        <w:t xml:space="preserve"> and due</w:t>
      </w:r>
      <w:r w:rsidR="00323DC4" w:rsidRPr="00556837">
        <w:t xml:space="preserve"> diligence from the lead agent</w:t>
      </w:r>
      <w:r w:rsidR="006B2F33" w:rsidRPr="00556837">
        <w:t xml:space="preserve"> of the syndicate</w:t>
      </w:r>
      <w:r w:rsidR="00323DC4" w:rsidRPr="00556837">
        <w:t xml:space="preserve">, who is responsible for delivering monitoring </w:t>
      </w:r>
      <w:r w:rsidR="00C6492E">
        <w:t>activi</w:t>
      </w:r>
      <w:r w:rsidR="00D62BD1">
        <w:t>ti</w:t>
      </w:r>
      <w:r w:rsidR="00C6492E">
        <w:t>es</w:t>
      </w:r>
      <w:bookmarkEnd w:id="8"/>
      <w:r w:rsidR="00323DC4" w:rsidRPr="00556837">
        <w:t xml:space="preserve">. </w:t>
      </w:r>
      <w:r w:rsidR="000913CB" w:rsidRPr="00556837">
        <w:t>In line with previous studies</w:t>
      </w:r>
      <w:r w:rsidR="00EB3D83" w:rsidRPr="00556837">
        <w:t xml:space="preserve"> (</w:t>
      </w:r>
      <w:r w:rsidR="00545404" w:rsidRPr="00BC40D3">
        <w:t xml:space="preserve">Delis et al., 2020a; </w:t>
      </w:r>
      <w:r w:rsidR="00EB3D83" w:rsidRPr="00BC40D3">
        <w:t>Esty, 2001</w:t>
      </w:r>
      <w:r w:rsidR="00BC40D3">
        <w:t>;</w:t>
      </w:r>
      <w:r w:rsidR="00EB3D83" w:rsidRPr="00BC40D3">
        <w:t xml:space="preserve"> Gustafson et al., 2020</w:t>
      </w:r>
      <w:r w:rsidR="00BC40D3">
        <w:t>;</w:t>
      </w:r>
      <w:r w:rsidR="00BC40D3" w:rsidRPr="00BC40D3">
        <w:t xml:space="preserve"> Ivashina, 2009; Lin et al., 2012</w:t>
      </w:r>
      <w:r w:rsidR="00545404">
        <w:t>;</w:t>
      </w:r>
      <w:r w:rsidR="00545404" w:rsidRPr="00545404">
        <w:t xml:space="preserve"> </w:t>
      </w:r>
      <w:r w:rsidR="00545404">
        <w:t>Sufi, 2007</w:t>
      </w:r>
      <w:r w:rsidR="00EB3D83" w:rsidRPr="00556837">
        <w:t>),</w:t>
      </w:r>
      <w:r w:rsidR="00323DC4" w:rsidRPr="00556837">
        <w:t xml:space="preserve"> </w:t>
      </w:r>
      <w:r w:rsidR="00FD5DAA" w:rsidRPr="00556837">
        <w:t xml:space="preserve">our expectation is that the lead agent </w:t>
      </w:r>
      <w:r w:rsidR="00323DC4" w:rsidRPr="00556837">
        <w:t xml:space="preserve">is </w:t>
      </w:r>
      <w:r w:rsidR="008D2A30" w:rsidRPr="00556837">
        <w:t>required</w:t>
      </w:r>
      <w:r w:rsidR="00323DC4" w:rsidRPr="00556837">
        <w:t xml:space="preserve"> to</w:t>
      </w:r>
      <w:r w:rsidR="0012043B" w:rsidRPr="00556837">
        <w:t xml:space="preserve"> </w:t>
      </w:r>
      <w:r w:rsidR="00FD5DAA" w:rsidRPr="00556837">
        <w:t xml:space="preserve">retain a </w:t>
      </w:r>
      <w:r w:rsidR="008D2A30" w:rsidRPr="00556837">
        <w:t>greater</w:t>
      </w:r>
      <w:r w:rsidR="00FD5DAA" w:rsidRPr="00556837">
        <w:t xml:space="preserve"> loan share to signal </w:t>
      </w:r>
      <w:r w:rsidR="00A32738">
        <w:t>its willingness to screen and monitor</w:t>
      </w:r>
      <w:r w:rsidR="00043C0F">
        <w:t xml:space="preserve"> </w:t>
      </w:r>
      <w:r w:rsidR="00D62BD1">
        <w:t>activities</w:t>
      </w:r>
      <w:r w:rsidR="00FD5DAA" w:rsidRPr="00556837">
        <w:t xml:space="preserve"> to participant lenders that fund part of the </w:t>
      </w:r>
      <w:r w:rsidR="000913CB" w:rsidRPr="00556837">
        <w:t xml:space="preserve">risky </w:t>
      </w:r>
      <w:r w:rsidR="00FD5DAA" w:rsidRPr="00667657">
        <w:t>loan.</w:t>
      </w:r>
      <w:r w:rsidR="00556837" w:rsidRPr="0043098D">
        <w:t xml:space="preserve"> In turn, the lead </w:t>
      </w:r>
      <w:r w:rsidR="00556837" w:rsidRPr="00036262">
        <w:t xml:space="preserve">agent may </w:t>
      </w:r>
      <w:r w:rsidR="00556837" w:rsidRPr="0043098D">
        <w:t xml:space="preserve">demand higher loan pricing </w:t>
      </w:r>
      <w:r w:rsidR="00556837" w:rsidRPr="0043098D">
        <w:rPr>
          <w:rFonts w:eastAsia="DengXian"/>
          <w:lang w:val="en-GB"/>
        </w:rPr>
        <w:t xml:space="preserve">and stricter covenants to </w:t>
      </w:r>
      <w:r w:rsidR="00556837" w:rsidRPr="0043098D">
        <w:t>offset</w:t>
      </w:r>
      <w:r w:rsidR="00BB7FD5">
        <w:t xml:space="preserve"> the higher</w:t>
      </w:r>
      <w:r w:rsidR="00BB7FD5" w:rsidRPr="0043098D">
        <w:t xml:space="preserve"> credit-risk exposur</w:t>
      </w:r>
      <w:r w:rsidR="00BB7FD5">
        <w:t>e</w:t>
      </w:r>
      <w:r w:rsidR="00A96E56">
        <w:t xml:space="preserve"> –</w:t>
      </w:r>
      <w:r w:rsidR="000B58F2">
        <w:t xml:space="preserve"> and therefore lack of diversification</w:t>
      </w:r>
      <w:r w:rsidR="00A96E56">
        <w:t xml:space="preserve"> –</w:t>
      </w:r>
      <w:r w:rsidR="00A32738">
        <w:t xml:space="preserve"> </w:t>
      </w:r>
      <w:r w:rsidR="00BB7FD5">
        <w:t>to such borrowers</w:t>
      </w:r>
      <w:r w:rsidR="00556837" w:rsidRPr="0043098D">
        <w:t>.</w:t>
      </w:r>
      <w:r w:rsidR="00B963EB" w:rsidRPr="0043098D">
        <w:t xml:space="preserve"> Thus, we hypothesize that lenders might demand a higher yield because of the lack of diversification that stems from retaining a larger share of the </w:t>
      </w:r>
      <w:r w:rsidR="00881552" w:rsidRPr="0043098D">
        <w:t>syndicate</w:t>
      </w:r>
      <w:r w:rsidR="00A96E56">
        <w:rPr>
          <w:rFonts w:ascii="SimSun" w:eastAsia="SimSun" w:hAnsi="SimSun" w:cs="SimSun"/>
          <w:lang w:val="en-GB"/>
        </w:rPr>
        <w:t xml:space="preserve"> </w:t>
      </w:r>
      <w:r w:rsidR="00881552" w:rsidRPr="0043098D">
        <w:t>and</w:t>
      </w:r>
      <w:r w:rsidR="00B963EB" w:rsidRPr="0043098D">
        <w:t xml:space="preserve"> not </w:t>
      </w:r>
      <w:r w:rsidR="001E6B79">
        <w:t xml:space="preserve">necessarily </w:t>
      </w:r>
      <w:r w:rsidR="00B963EB" w:rsidRPr="0043098D">
        <w:t xml:space="preserve">as compensation for the additional risks of dealing with </w:t>
      </w:r>
      <w:r w:rsidR="00336DAE">
        <w:t xml:space="preserve">borrowers with large </w:t>
      </w:r>
      <w:r w:rsidR="00A96E56">
        <w:t>customer</w:t>
      </w:r>
      <w:r w:rsidR="00336DAE">
        <w:t xml:space="preserve">-supplier links </w:t>
      </w:r>
      <w:r w:rsidR="00336DAE" w:rsidRPr="00A32738">
        <w:rPr>
          <w:i/>
          <w:iCs/>
        </w:rPr>
        <w:t>per se</w:t>
      </w:r>
      <w:r w:rsidR="00B963EB" w:rsidRPr="0043098D">
        <w:t>.</w:t>
      </w:r>
    </w:p>
    <w:p w14:paraId="2AB80C1D" w14:textId="27BB7FE9" w:rsidR="00FD5DAA" w:rsidRPr="00B963EB" w:rsidRDefault="00A32738" w:rsidP="007E7CB1">
      <w:pPr>
        <w:spacing w:line="480" w:lineRule="auto"/>
        <w:ind w:firstLine="567"/>
        <w:jc w:val="both"/>
      </w:pPr>
      <w:bookmarkStart w:id="10" w:name="_Hlk51318660"/>
      <w:r>
        <w:t>Along these lines</w:t>
      </w:r>
      <w:r w:rsidR="00336DAE">
        <w:t>, we</w:t>
      </w:r>
      <w:r w:rsidR="00E9141C">
        <w:t xml:space="preserve"> expect</w:t>
      </w:r>
      <w:r w:rsidR="00336DAE">
        <w:t xml:space="preserve"> that the</w:t>
      </w:r>
      <w:r w:rsidR="00336DAE" w:rsidRPr="00336DAE">
        <w:t xml:space="preserve"> </w:t>
      </w:r>
      <w:r w:rsidR="00336DAE" w:rsidRPr="00B963EB">
        <w:t xml:space="preserve">lead agent’s </w:t>
      </w:r>
      <w:r>
        <w:t>share of the loan</w:t>
      </w:r>
      <w:r w:rsidR="00336DAE">
        <w:t xml:space="preserve"> </w:t>
      </w:r>
      <w:r w:rsidR="00916750">
        <w:t>increases along with</w:t>
      </w:r>
      <w:r w:rsidR="00336DAE">
        <w:t xml:space="preserve"> </w:t>
      </w:r>
      <w:r w:rsidR="00FD5DAA" w:rsidRPr="00102233">
        <w:t xml:space="preserve">the </w:t>
      </w:r>
      <w:r w:rsidR="00C9333E" w:rsidRPr="00533632">
        <w:t xml:space="preserve">borrower’s dependence </w:t>
      </w:r>
      <w:r w:rsidR="00A96E56">
        <w:t>on</w:t>
      </w:r>
      <w:r w:rsidR="00A96E56" w:rsidRPr="00533632">
        <w:t xml:space="preserve"> </w:t>
      </w:r>
      <w:r w:rsidR="00921B78">
        <w:t>large</w:t>
      </w:r>
      <w:r w:rsidR="00C9333E" w:rsidRPr="00533632">
        <w:t xml:space="preserve"> customer-supplier </w:t>
      </w:r>
      <w:r w:rsidR="0099693E">
        <w:t>link</w:t>
      </w:r>
      <w:r w:rsidR="00C9333E" w:rsidRPr="00533632">
        <w:t>s</w:t>
      </w:r>
      <w:r w:rsidR="00336DAE">
        <w:t>.</w:t>
      </w:r>
      <w:r w:rsidR="00B963EB" w:rsidRPr="0043098D">
        <w:t xml:space="preserve"> </w:t>
      </w:r>
      <w:r w:rsidR="00336DAE">
        <w:t>Indeed, a</w:t>
      </w:r>
      <w:r w:rsidR="00336DAE" w:rsidRPr="0043098D">
        <w:t xml:space="preserve"> </w:t>
      </w:r>
      <w:r w:rsidR="00667657" w:rsidRPr="0043098D">
        <w:t xml:space="preserve">strong reliance of the firm on its </w:t>
      </w:r>
      <w:r w:rsidR="0043098D">
        <w:t xml:space="preserve">large </w:t>
      </w:r>
      <w:r w:rsidR="00C2325A">
        <w:t>customer</w:t>
      </w:r>
      <w:r w:rsidR="00667657" w:rsidRPr="0043098D">
        <w:t>s/</w:t>
      </w:r>
      <w:r w:rsidR="006B2F33" w:rsidRPr="0043098D">
        <w:t>supplier</w:t>
      </w:r>
      <w:r w:rsidR="00667657" w:rsidRPr="0043098D">
        <w:t>s</w:t>
      </w:r>
      <w:r w:rsidR="0028013A" w:rsidRPr="0043098D">
        <w:t xml:space="preserve">, which we </w:t>
      </w:r>
      <w:r w:rsidR="004E7D2D">
        <w:t>measure</w:t>
      </w:r>
      <w:r w:rsidR="004E7D2D" w:rsidRPr="0043098D">
        <w:t xml:space="preserve"> </w:t>
      </w:r>
      <w:r w:rsidR="004E7D2D">
        <w:t xml:space="preserve">by </w:t>
      </w:r>
      <w:r w:rsidR="0028013A" w:rsidRPr="0043098D">
        <w:t>the length of the relationship,</w:t>
      </w:r>
      <w:r w:rsidR="006B2F33" w:rsidRPr="0043098D">
        <w:t xml:space="preserve"> </w:t>
      </w:r>
      <w:r w:rsidR="00667657" w:rsidRPr="0043098D">
        <w:t xml:space="preserve">can exacerbate </w:t>
      </w:r>
      <w:r w:rsidR="00336DAE">
        <w:t>the</w:t>
      </w:r>
      <w:r>
        <w:t xml:space="preserve"> risk associated with the loan</w:t>
      </w:r>
      <w:r w:rsidR="006B2F33" w:rsidRPr="0043098D">
        <w:t>.</w:t>
      </w:r>
      <w:r w:rsidR="006B2F33" w:rsidRPr="00B963EB">
        <w:t xml:space="preserve"> </w:t>
      </w:r>
      <w:r w:rsidR="001E6B79">
        <w:t>However</w:t>
      </w:r>
      <w:r w:rsidR="009B59CB">
        <w:t>, a continuing long-term relationship with a principal customer and</w:t>
      </w:r>
      <w:r w:rsidR="00A3380C">
        <w:t>/</w:t>
      </w:r>
      <w:r w:rsidR="009B59CB">
        <w:t>or supplier</w:t>
      </w:r>
      <w:r w:rsidR="000F4092">
        <w:t xml:space="preserve">, which </w:t>
      </w:r>
      <w:r w:rsidR="000F4092" w:rsidRPr="001554F3">
        <w:t>often entails firm-specific investments</w:t>
      </w:r>
      <w:r w:rsidR="000F4092">
        <w:t>,</w:t>
      </w:r>
      <w:r w:rsidR="000F4092" w:rsidRPr="001B3144">
        <w:t xml:space="preserve"> </w:t>
      </w:r>
      <w:r w:rsidR="000F4092">
        <w:t>is also</w:t>
      </w:r>
      <w:r w:rsidR="000F4092" w:rsidRPr="001B3144">
        <w:t xml:space="preserve"> likely to reflect favorable private information </w:t>
      </w:r>
      <w:r w:rsidR="00A3380C">
        <w:t xml:space="preserve">held </w:t>
      </w:r>
      <w:r w:rsidR="000F4092" w:rsidRPr="001B3144">
        <w:t>by suppliers about their customers and thereby alleviate the bank’s lending problem arising from asymmetric information (</w:t>
      </w:r>
      <w:r w:rsidR="000F4092" w:rsidRPr="00BC40D3">
        <w:t>Biais and Gollier, 1997; Cen et al., 2016; Hasan et al., 2020</w:t>
      </w:r>
      <w:r w:rsidR="000F4092" w:rsidRPr="00890487">
        <w:t>).</w:t>
      </w:r>
      <w:r w:rsidR="00E55A51" w:rsidRPr="00890487">
        <w:t xml:space="preserve"> </w:t>
      </w:r>
      <w:r w:rsidR="001E6B79" w:rsidRPr="00890487">
        <w:t>Since it</w:t>
      </w:r>
      <w:r w:rsidR="00890487" w:rsidRPr="00890487">
        <w:t xml:space="preserve"> takes time to build th</w:t>
      </w:r>
      <w:r w:rsidR="00890487">
        <w:t>is</w:t>
      </w:r>
      <w:r w:rsidR="00890487" w:rsidRPr="00890487">
        <w:t xml:space="preserve"> positive externality</w:t>
      </w:r>
      <w:r w:rsidR="00E55A51" w:rsidRPr="00890487">
        <w:t>, we expect a curvilinear inverted U-shape</w:t>
      </w:r>
      <w:r w:rsidR="00D753F2">
        <w:t>d</w:t>
      </w:r>
      <w:r w:rsidR="00E55A51" w:rsidRPr="00890487">
        <w:t xml:space="preserve"> relationship between the length of </w:t>
      </w:r>
      <w:r w:rsidR="00EF07F1">
        <w:t>large customer-supplier link</w:t>
      </w:r>
      <w:r w:rsidR="00E55A51" w:rsidRPr="00890487">
        <w:t xml:space="preserve"> and the share of the loan held by the lead</w:t>
      </w:r>
      <w:r w:rsidR="00EF07F1">
        <w:t xml:space="preserve"> </w:t>
      </w:r>
      <w:r w:rsidR="00834D75">
        <w:t>agent</w:t>
      </w:r>
      <w:r w:rsidR="00E55A51" w:rsidRPr="00890487">
        <w:t>.</w:t>
      </w:r>
    </w:p>
    <w:bookmarkEnd w:id="6"/>
    <w:bookmarkEnd w:id="9"/>
    <w:bookmarkEnd w:id="10"/>
    <w:p w14:paraId="71B5762B" w14:textId="77777777" w:rsidR="00FD5DAA" w:rsidRDefault="00FD5DAA" w:rsidP="00FD5DAA">
      <w:pPr>
        <w:spacing w:line="480" w:lineRule="auto"/>
        <w:ind w:firstLine="567"/>
        <w:jc w:val="both"/>
      </w:pPr>
      <w:r>
        <w:t>To test these hypotheses, w</w:t>
      </w:r>
      <w:r w:rsidRPr="001554F3">
        <w:t xml:space="preserve">e </w:t>
      </w:r>
      <w:r>
        <w:t>collect</w:t>
      </w:r>
      <w:r w:rsidRPr="001554F3">
        <w:t xml:space="preserve"> information on </w:t>
      </w:r>
      <w:r w:rsidR="0043098D">
        <w:t xml:space="preserve">large </w:t>
      </w:r>
      <w:r w:rsidR="00C2325A">
        <w:t>customer</w:t>
      </w:r>
      <w:r w:rsidR="00636A13">
        <w:t>-supplier</w:t>
      </w:r>
      <w:r w:rsidRPr="001554F3">
        <w:t xml:space="preserve"> relationship</w:t>
      </w:r>
      <w:r>
        <w:t>s</w:t>
      </w:r>
      <w:r w:rsidRPr="001554F3">
        <w:t xml:space="preserve"> </w:t>
      </w:r>
      <w:r>
        <w:t xml:space="preserve">for US listed companies </w:t>
      </w:r>
      <w:r w:rsidRPr="001554F3">
        <w:t>from Compustat Segment Database, data on syndicated loans from LPC</w:t>
      </w:r>
      <w:r>
        <w:t>-</w:t>
      </w:r>
      <w:r w:rsidRPr="00FF66E8">
        <w:t>Dealscan</w:t>
      </w:r>
      <w:r>
        <w:t xml:space="preserve">, and </w:t>
      </w:r>
      <w:r w:rsidRPr="00FF66E8">
        <w:t xml:space="preserve">firm-level fundamentals from Compustat. Our data encompass </w:t>
      </w:r>
      <w:r>
        <w:t>9,</w:t>
      </w:r>
      <w:r w:rsidR="007A1AFC">
        <w:t>307</w:t>
      </w:r>
      <w:r w:rsidRPr="00FF66E8">
        <w:t xml:space="preserve"> loan </w:t>
      </w:r>
      <w:r w:rsidR="00326301">
        <w:t>facilities</w:t>
      </w:r>
      <w:r w:rsidR="00055CF6">
        <w:t>,</w:t>
      </w:r>
      <w:r w:rsidR="007A1AFC">
        <w:t xml:space="preserve"> </w:t>
      </w:r>
      <w:r w:rsidR="00823B4A">
        <w:t xml:space="preserve">nested into </w:t>
      </w:r>
      <w:r w:rsidR="007A1AFC">
        <w:t>7,204 loans</w:t>
      </w:r>
      <w:r w:rsidR="00055CF6">
        <w:t>,</w:t>
      </w:r>
      <w:r w:rsidR="00055CF6" w:rsidRPr="00FF66E8">
        <w:t xml:space="preserve"> </w:t>
      </w:r>
      <w:r w:rsidRPr="009701A0">
        <w:t xml:space="preserve">with </w:t>
      </w:r>
      <w:r w:rsidR="007A1AFC" w:rsidRPr="009701A0">
        <w:t>2,765</w:t>
      </w:r>
      <w:r w:rsidRPr="009701A0">
        <w:t xml:space="preserve"> unique borrowers</w:t>
      </w:r>
      <w:r w:rsidRPr="00FF66E8">
        <w:t xml:space="preserve"> over the period 198</w:t>
      </w:r>
      <w:r>
        <w:t>7</w:t>
      </w:r>
      <w:r w:rsidRPr="00FF66E8">
        <w:t>-</w:t>
      </w:r>
      <w:r w:rsidR="00C9060E">
        <w:t>2018</w:t>
      </w:r>
      <w:r w:rsidRPr="00FF66E8">
        <w:t xml:space="preserve">. </w:t>
      </w:r>
    </w:p>
    <w:p w14:paraId="59835451" w14:textId="3FD08B8D" w:rsidR="000F2C9A" w:rsidRPr="00FC02DF" w:rsidRDefault="000F2C9A" w:rsidP="000F2C9A">
      <w:pPr>
        <w:autoSpaceDE w:val="0"/>
        <w:autoSpaceDN w:val="0"/>
        <w:adjustRightInd w:val="0"/>
        <w:spacing w:line="480" w:lineRule="auto"/>
        <w:ind w:firstLine="567"/>
        <w:jc w:val="both"/>
      </w:pPr>
      <w:r>
        <w:t>O</w:t>
      </w:r>
      <w:r w:rsidRPr="00FF66E8">
        <w:t xml:space="preserve">ur findings </w:t>
      </w:r>
      <w:r w:rsidRPr="007E6B7A">
        <w:t xml:space="preserve">show that the lead agent retains a large fraction of the loan </w:t>
      </w:r>
      <w:r>
        <w:t xml:space="preserve">when lending to </w:t>
      </w:r>
      <w:r w:rsidRPr="007E6B7A">
        <w:t>borrowers</w:t>
      </w:r>
      <w:r>
        <w:t xml:space="preserve"> with </w:t>
      </w:r>
      <w:r w:rsidR="0043098D">
        <w:t xml:space="preserve">large </w:t>
      </w:r>
      <w:r w:rsidR="00C2325A">
        <w:t>customer</w:t>
      </w:r>
      <w:r w:rsidR="005F5619">
        <w:t>-supplier</w:t>
      </w:r>
      <w:r>
        <w:t xml:space="preserve"> relationships.</w:t>
      </w:r>
      <w:r w:rsidRPr="007E6B7A">
        <w:t xml:space="preserve"> </w:t>
      </w:r>
      <w:r>
        <w:t>Furthermore, we find that long-term relationship</w:t>
      </w:r>
      <w:r w:rsidR="00C9060E">
        <w:t>s</w:t>
      </w:r>
      <w:r>
        <w:t xml:space="preserve"> between </w:t>
      </w:r>
      <w:r w:rsidR="0043098D">
        <w:t xml:space="preserve">large </w:t>
      </w:r>
      <w:r w:rsidR="00C9060E">
        <w:t xml:space="preserve">customers and </w:t>
      </w:r>
      <w:r>
        <w:t>supplier</w:t>
      </w:r>
      <w:r w:rsidR="00C9060E">
        <w:t>s</w:t>
      </w:r>
      <w:r>
        <w:t xml:space="preserve"> raise the fraction of the loans held by the lead agent.</w:t>
      </w:r>
      <w:r>
        <w:rPr>
          <w:rFonts w:eastAsia="DengXian"/>
          <w:lang w:val="en-GB" w:eastAsia="zh-CN"/>
        </w:rPr>
        <w:t xml:space="preserve"> This result supports the view that a greater dependence </w:t>
      </w:r>
      <w:r w:rsidRPr="001D0A22">
        <w:t>on larger customers or suppliers require</w:t>
      </w:r>
      <w:r w:rsidR="00A3380C">
        <w:t>s</w:t>
      </w:r>
      <w:r w:rsidRPr="001D0A22">
        <w:t xml:space="preserve"> more monitoring from the lead agent. </w:t>
      </w:r>
      <w:r>
        <w:rPr>
          <w:rFonts w:eastAsia="DengXian"/>
          <w:lang w:val="en-GB" w:eastAsia="zh-CN"/>
        </w:rPr>
        <w:t xml:space="preserve">However, </w:t>
      </w:r>
      <w:r>
        <w:t>w</w:t>
      </w:r>
      <w:r w:rsidRPr="007E6B7A">
        <w:t xml:space="preserve">e also </w:t>
      </w:r>
      <w:r>
        <w:t>document</w:t>
      </w:r>
      <w:r w:rsidRPr="007E6B7A">
        <w:t xml:space="preserve"> </w:t>
      </w:r>
      <w:r>
        <w:t>an</w:t>
      </w:r>
      <w:r w:rsidRPr="007E6B7A">
        <w:t xml:space="preserve"> inverted U-shaped relationship </w:t>
      </w:r>
      <w:r>
        <w:t xml:space="preserve">between </w:t>
      </w:r>
      <w:r w:rsidRPr="007E6B7A">
        <w:t>the lead agent share</w:t>
      </w:r>
      <w:r>
        <w:t xml:space="preserve"> and the length of </w:t>
      </w:r>
      <w:r w:rsidR="00921B78">
        <w:t>large</w:t>
      </w:r>
      <w:r w:rsidRPr="002643DE">
        <w:t xml:space="preserve"> customer</w:t>
      </w:r>
      <w:r w:rsidR="00C33A60">
        <w:t>-</w:t>
      </w:r>
      <w:r w:rsidRPr="002643DE">
        <w:t>supplier</w:t>
      </w:r>
      <w:r>
        <w:t xml:space="preserve"> relationship</w:t>
      </w:r>
      <w:r w:rsidRPr="007E6B7A">
        <w:t xml:space="preserve">. </w:t>
      </w:r>
      <w:r>
        <w:t xml:space="preserve">That is, as the length of the </w:t>
      </w:r>
      <w:r w:rsidR="0043098D">
        <w:t xml:space="preserve">large </w:t>
      </w:r>
      <w:r w:rsidR="00C2325A">
        <w:t>customer</w:t>
      </w:r>
      <w:r w:rsidR="005F5619">
        <w:t>-supplier</w:t>
      </w:r>
      <w:r>
        <w:t xml:space="preserve"> relationship increases</w:t>
      </w:r>
      <w:r w:rsidR="00532599">
        <w:t xml:space="preserve"> above </w:t>
      </w:r>
      <w:r w:rsidR="004B2193">
        <w:t>five</w:t>
      </w:r>
      <w:r w:rsidR="00532599">
        <w:t xml:space="preserve"> years</w:t>
      </w:r>
      <w:r w:rsidR="00A3380C">
        <w:t>,</w:t>
      </w:r>
      <w:r>
        <w:t xml:space="preserve"> </w:t>
      </w:r>
      <w:r w:rsidR="000F4092">
        <w:t>the</w:t>
      </w:r>
      <w:r>
        <w:t xml:space="preserve"> loan share held by the lead </w:t>
      </w:r>
      <w:r w:rsidR="00834D75">
        <w:t>agent</w:t>
      </w:r>
      <w:r>
        <w:t xml:space="preserve"> becomes smaller. </w:t>
      </w:r>
    </w:p>
    <w:p w14:paraId="1E469BA4" w14:textId="77777777" w:rsidR="000F2C9A" w:rsidRPr="001554F3" w:rsidRDefault="00E65701" w:rsidP="000F2C9A">
      <w:pPr>
        <w:spacing w:line="480" w:lineRule="auto"/>
        <w:ind w:firstLine="567"/>
        <w:jc w:val="both"/>
      </w:pPr>
      <w:r>
        <w:t>O</w:t>
      </w:r>
      <w:r w:rsidR="000F2C9A">
        <w:t>ur findings also show that t</w:t>
      </w:r>
      <w:r w:rsidR="000F2C9A" w:rsidRPr="001554F3">
        <w:t>he lead agent demand</w:t>
      </w:r>
      <w:r w:rsidR="00A3380C">
        <w:t>s</w:t>
      </w:r>
      <w:r w:rsidR="000F2C9A" w:rsidRPr="001554F3">
        <w:t xml:space="preserve"> high</w:t>
      </w:r>
      <w:r w:rsidR="000F2C9A">
        <w:t>er</w:t>
      </w:r>
      <w:r w:rsidR="000F2C9A" w:rsidRPr="001554F3">
        <w:t xml:space="preserve"> mark</w:t>
      </w:r>
      <w:r w:rsidR="000F2C9A">
        <w:t>-</w:t>
      </w:r>
      <w:r w:rsidR="000F2C9A" w:rsidRPr="001554F3">
        <w:t xml:space="preserve">ups </w:t>
      </w:r>
      <w:r w:rsidR="000F2C9A">
        <w:t>(i.e. higher pricing</w:t>
      </w:r>
      <w:r w:rsidR="000F2C9A" w:rsidRPr="00F30250">
        <w:t xml:space="preserve"> and </w:t>
      </w:r>
      <w:r w:rsidR="000F2C9A">
        <w:t>more</w:t>
      </w:r>
      <w:r w:rsidR="000F2C9A" w:rsidRPr="00F30250">
        <w:t xml:space="preserve"> restrictive covenants</w:t>
      </w:r>
      <w:r w:rsidR="000F2C9A">
        <w:t>)</w:t>
      </w:r>
      <w:r w:rsidR="000F2C9A" w:rsidRPr="00F30250">
        <w:t xml:space="preserve"> </w:t>
      </w:r>
      <w:r w:rsidR="000F2C9A">
        <w:t xml:space="preserve">for </w:t>
      </w:r>
      <w:r w:rsidR="000F2C9A" w:rsidRPr="001554F3">
        <w:t xml:space="preserve">the </w:t>
      </w:r>
      <w:r w:rsidR="000F2C9A">
        <w:t xml:space="preserve">lack of loan-level </w:t>
      </w:r>
      <w:r w:rsidR="000F2C9A" w:rsidRPr="001554F3">
        <w:t xml:space="preserve">diversification </w:t>
      </w:r>
      <w:r w:rsidR="000F2C9A">
        <w:t xml:space="preserve">caused by </w:t>
      </w:r>
      <w:r w:rsidR="00921B78">
        <w:t>large</w:t>
      </w:r>
      <w:r w:rsidR="000F2C9A" w:rsidRPr="002643DE">
        <w:t xml:space="preserve"> customer–supplier</w:t>
      </w:r>
      <w:r w:rsidR="000F2C9A" w:rsidDel="00876E32">
        <w:t xml:space="preserve"> </w:t>
      </w:r>
      <w:r w:rsidR="00921B78">
        <w:t>links</w:t>
      </w:r>
      <w:r w:rsidR="000F2C9A">
        <w:t xml:space="preserve"> (i.e. indirect effect). </w:t>
      </w:r>
      <w:r w:rsidR="00055CF6">
        <w:t xml:space="preserve">We employ an instrumental variable approach to account for the endogenous nature of the loan share held by the lead agent, which can be affected by credit risk and to explore the indirect effect of large </w:t>
      </w:r>
      <w:r w:rsidR="00A96E56">
        <w:t>customer</w:t>
      </w:r>
      <w:r w:rsidR="00055CF6">
        <w:t xml:space="preserve">-supplier links of pricing terms. We use the </w:t>
      </w:r>
      <w:r w:rsidR="00055CF6" w:rsidRPr="001606AD">
        <w:t xml:space="preserve">syndicate-specific reputation variables </w:t>
      </w:r>
      <w:r w:rsidR="00055CF6">
        <w:t xml:space="preserve">as </w:t>
      </w:r>
      <w:r w:rsidR="00055CF6" w:rsidRPr="001606AD">
        <w:t>instrument</w:t>
      </w:r>
      <w:r w:rsidR="00055CF6">
        <w:t xml:space="preserve"> variables for the</w:t>
      </w:r>
      <w:r w:rsidR="00055CF6" w:rsidRPr="001606AD">
        <w:t xml:space="preserve"> lead agent</w:t>
      </w:r>
      <w:r w:rsidR="00055CF6">
        <w:t>’s</w:t>
      </w:r>
      <w:r w:rsidR="00055CF6" w:rsidRPr="001606AD">
        <w:t xml:space="preserve"> participati</w:t>
      </w:r>
      <w:r w:rsidR="00055CF6">
        <w:t xml:space="preserve">on </w:t>
      </w:r>
      <w:r w:rsidR="00055CF6" w:rsidRPr="001554F3">
        <w:t>in the loan pricing function</w:t>
      </w:r>
      <w:r w:rsidR="00055CF6" w:rsidRPr="00F01680">
        <w:t xml:space="preserve"> </w:t>
      </w:r>
      <w:r w:rsidR="00055CF6">
        <w:t>(</w:t>
      </w:r>
      <w:r w:rsidR="00055CF6" w:rsidRPr="001554F3">
        <w:t>Ivashina</w:t>
      </w:r>
      <w:r w:rsidR="00055CF6">
        <w:t xml:space="preserve">, </w:t>
      </w:r>
      <w:r w:rsidR="00055CF6" w:rsidRPr="001554F3">
        <w:t xml:space="preserve">2009). </w:t>
      </w:r>
      <w:r w:rsidR="000F2C9A">
        <w:t>O</w:t>
      </w:r>
      <w:r w:rsidR="000F2C9A" w:rsidRPr="004E305B">
        <w:t xml:space="preserve">nce </w:t>
      </w:r>
      <w:r w:rsidR="000F2C9A">
        <w:t>we consider th</w:t>
      </w:r>
      <w:r w:rsidR="00055CF6">
        <w:t>e</w:t>
      </w:r>
      <w:r w:rsidR="009B59CB">
        <w:t xml:space="preserve"> </w:t>
      </w:r>
      <w:r w:rsidR="000F2C9A" w:rsidRPr="004E305B">
        <w:t>indirect effect</w:t>
      </w:r>
      <w:r w:rsidR="00055CF6">
        <w:t xml:space="preserve"> of the customer-supplier link through the structure of the loan</w:t>
      </w:r>
      <w:r w:rsidR="000F2C9A">
        <w:t xml:space="preserve">, </w:t>
      </w:r>
      <w:r w:rsidR="00055CF6">
        <w:t xml:space="preserve">we do not observe evidence of a direct effect of </w:t>
      </w:r>
      <w:r w:rsidR="000F2C9A" w:rsidRPr="004E305B">
        <w:t xml:space="preserve">the </w:t>
      </w:r>
      <w:r w:rsidR="00C2325A">
        <w:t>customer</w:t>
      </w:r>
      <w:r w:rsidR="00AE0BA8">
        <w:t xml:space="preserve">-supplier </w:t>
      </w:r>
      <w:r w:rsidR="000F2C9A">
        <w:t xml:space="preserve">variable </w:t>
      </w:r>
      <w:r w:rsidR="00C9060E">
        <w:t>(i.e. direct effect)</w:t>
      </w:r>
      <w:r w:rsidR="000F2C9A" w:rsidRPr="004E305B">
        <w:t xml:space="preserve">. </w:t>
      </w:r>
      <w:r w:rsidR="000F2C9A" w:rsidRPr="001554F3">
        <w:t xml:space="preserve"> </w:t>
      </w:r>
    </w:p>
    <w:p w14:paraId="15CDB1DB" w14:textId="77777777" w:rsidR="000F2C9A" w:rsidRDefault="000F2C9A" w:rsidP="000F2C9A">
      <w:pPr>
        <w:autoSpaceDE w:val="0"/>
        <w:autoSpaceDN w:val="0"/>
        <w:adjustRightInd w:val="0"/>
        <w:spacing w:line="480" w:lineRule="auto"/>
        <w:ind w:firstLine="567"/>
        <w:jc w:val="both"/>
      </w:pPr>
      <w:r w:rsidRPr="0043098D">
        <w:t xml:space="preserve">Finally, we run a battery of robustness tests to verify our findings. </w:t>
      </w:r>
      <w:bookmarkStart w:id="11" w:name="_Hlk48918540"/>
      <w:r w:rsidR="00B963EB">
        <w:t xml:space="preserve">We start alleviating concerns about the endogenous nature of the supplier-customer </w:t>
      </w:r>
      <w:r w:rsidR="00921B78">
        <w:t>links</w:t>
      </w:r>
      <w:r w:rsidR="00B963EB">
        <w:t xml:space="preserve">. </w:t>
      </w:r>
      <w:r w:rsidR="00B963EB" w:rsidRPr="001554F3">
        <w:t>First, we exploit suppliers of services and differentiated products, which are hard to replace because they provide unique or highly customized inputs (</w:t>
      </w:r>
      <w:r w:rsidR="00B963EB" w:rsidRPr="00BC40D3">
        <w:t>Cunat, 2007; Giannetti et al., 2011</w:t>
      </w:r>
      <w:r w:rsidR="00B963EB" w:rsidRPr="001554F3">
        <w:t>).</w:t>
      </w:r>
      <w:r w:rsidR="000F4092">
        <w:rPr>
          <w:rStyle w:val="FootnoteReference"/>
        </w:rPr>
        <w:footnoteReference w:id="1"/>
      </w:r>
      <w:r w:rsidR="0074442B">
        <w:t xml:space="preserve"> </w:t>
      </w:r>
      <w:r w:rsidR="00B963EB">
        <w:t>Second</w:t>
      </w:r>
      <w:r w:rsidR="00B963EB" w:rsidRPr="001554F3">
        <w:t>, we perform our baseline test with a restricte</w:t>
      </w:r>
      <w:r w:rsidR="0043098D">
        <w:t>d</w:t>
      </w:r>
      <w:r w:rsidR="00B963EB" w:rsidRPr="001554F3">
        <w:t xml:space="preserve"> sample of borrowers with principal </w:t>
      </w:r>
      <w:r w:rsidR="00B963EB">
        <w:t>customers</w:t>
      </w:r>
      <w:r w:rsidR="00B963EB" w:rsidRPr="001554F3">
        <w:t xml:space="preserve"> that account for more than 15% of their total sales</w:t>
      </w:r>
      <w:r w:rsidR="00B963EB">
        <w:t>.</w:t>
      </w:r>
      <w:r w:rsidR="00B963EB" w:rsidRPr="001554F3">
        <w:rPr>
          <w:vertAlign w:val="superscript"/>
        </w:rPr>
        <w:footnoteReference w:id="2"/>
      </w:r>
      <w:r w:rsidR="00B963EB" w:rsidRPr="001554F3">
        <w:t xml:space="preserve"> </w:t>
      </w:r>
      <w:r w:rsidR="00C9060E">
        <w:t xml:space="preserve">When the customer’s share of the firm’s sales is close to 10%, </w:t>
      </w:r>
      <w:r w:rsidR="002178D4">
        <w:t xml:space="preserve">some </w:t>
      </w:r>
      <w:r w:rsidR="00C9060E">
        <w:t xml:space="preserve">firms may act strategically to either hide or disclose their </w:t>
      </w:r>
      <w:r w:rsidR="0099693E">
        <w:t>link</w:t>
      </w:r>
      <w:r w:rsidR="00C9060E">
        <w:t xml:space="preserve">s depending on whether the disclosure is deemed to be beneficial. </w:t>
      </w:r>
      <w:bookmarkEnd w:id="11"/>
      <w:r>
        <w:t>Then, we</w:t>
      </w:r>
      <w:r w:rsidRPr="007E6B7A">
        <w:t xml:space="preserve"> </w:t>
      </w:r>
      <w:r w:rsidR="001D0A22">
        <w:t>run additional test to account for the possibili</w:t>
      </w:r>
      <w:r w:rsidR="005E5A20">
        <w:t>ties</w:t>
      </w:r>
      <w:r w:rsidR="001D0A22">
        <w:t xml:space="preserve"> that</w:t>
      </w:r>
      <w:r w:rsidRPr="007E6B7A">
        <w:t xml:space="preserve"> our result</w:t>
      </w:r>
      <w:r>
        <w:t>s</w:t>
      </w:r>
      <w:r w:rsidRPr="007E6B7A">
        <w:t xml:space="preserve"> might be driven by </w:t>
      </w:r>
      <w:r w:rsidR="00102233">
        <w:t xml:space="preserve">omitted variables associated </w:t>
      </w:r>
      <w:r w:rsidR="0036583A">
        <w:t xml:space="preserve">with </w:t>
      </w:r>
      <w:r w:rsidR="00102233" w:rsidRPr="007E6B7A">
        <w:rPr>
          <w:color w:val="000000"/>
        </w:rPr>
        <w:t>the r</w:t>
      </w:r>
      <w:r w:rsidR="00102233" w:rsidRPr="007E6B7A">
        <w:rPr>
          <w:rStyle w:val="highlight"/>
        </w:rPr>
        <w:t>eputation</w:t>
      </w:r>
      <w:r w:rsidR="00102233" w:rsidRPr="007E6B7A">
        <w:t>-signaling</w:t>
      </w:r>
      <w:r w:rsidR="00102233" w:rsidRPr="007E6B7A">
        <w:rPr>
          <w:color w:val="000000"/>
        </w:rPr>
        <w:t xml:space="preserve"> effect of the borrower</w:t>
      </w:r>
      <w:r w:rsidR="00435B98">
        <w:rPr>
          <w:color w:val="000000"/>
        </w:rPr>
        <w:t>,</w:t>
      </w:r>
      <w:r w:rsidR="00102233" w:rsidRPr="007E6B7A">
        <w:rPr>
          <w:color w:val="000000"/>
        </w:rPr>
        <w:t xml:space="preserve"> previous</w:t>
      </w:r>
      <w:r w:rsidR="00102233" w:rsidRPr="007E6B7A">
        <w:t xml:space="preserve"> access to the credit market</w:t>
      </w:r>
      <w:r w:rsidR="00435B98">
        <w:t>,</w:t>
      </w:r>
      <w:r w:rsidR="00102233" w:rsidRPr="007E6B7A">
        <w:t xml:space="preserve"> relationship </w:t>
      </w:r>
      <w:r w:rsidR="00102233">
        <w:t>lending</w:t>
      </w:r>
      <w:r w:rsidR="00435B98">
        <w:t>,</w:t>
      </w:r>
      <w:r w:rsidR="00102233">
        <w:t xml:space="preserve"> </w:t>
      </w:r>
      <w:r w:rsidR="00435B98">
        <w:t xml:space="preserve">and </w:t>
      </w:r>
      <w:r w:rsidR="00102233">
        <w:t>governance links between the lead agent and borrower</w:t>
      </w:r>
      <w:r w:rsidR="00102233" w:rsidRPr="007E6B7A">
        <w:t xml:space="preserve"> (</w:t>
      </w:r>
      <w:r w:rsidR="00102233" w:rsidRPr="00BC40D3">
        <w:t>Bharath et al., 2007, 2011; Hasan et al., 2017</w:t>
      </w:r>
      <w:r w:rsidR="00102233" w:rsidRPr="007E6B7A">
        <w:t>).</w:t>
      </w:r>
      <w:r w:rsidR="00102233">
        <w:t xml:space="preserve"> </w:t>
      </w:r>
      <w:r w:rsidR="00921B78">
        <w:t>Finally</w:t>
      </w:r>
      <w:r>
        <w:t>, we exclude</w:t>
      </w:r>
      <w:r w:rsidRPr="00DC142C">
        <w:t xml:space="preserve"> the years 2007-2009 of the financial crisis</w:t>
      </w:r>
      <w:r w:rsidR="00532599">
        <w:t xml:space="preserve">. </w:t>
      </w:r>
      <w:r w:rsidRPr="007E6B7A">
        <w:t xml:space="preserve">Overall, our findings </w:t>
      </w:r>
      <w:r>
        <w:t>are</w:t>
      </w:r>
      <w:r w:rsidRPr="007E6B7A">
        <w:t xml:space="preserve"> robust to all these tests.</w:t>
      </w:r>
    </w:p>
    <w:p w14:paraId="0F2CD8C8" w14:textId="77777777" w:rsidR="00FD5DAA" w:rsidRPr="00FC02DF" w:rsidRDefault="00FD5DAA" w:rsidP="00FD5DAA">
      <w:pPr>
        <w:autoSpaceDE w:val="0"/>
        <w:autoSpaceDN w:val="0"/>
        <w:adjustRightInd w:val="0"/>
        <w:spacing w:line="480" w:lineRule="auto"/>
        <w:ind w:firstLine="567"/>
        <w:jc w:val="both"/>
        <w:rPr>
          <w:rFonts w:ascii="NJOEM E+ Gulliver" w:eastAsia="DengXian" w:hAnsi="NJOEM E+ Gulliver" w:cs="NJOEM E+ Gulliver"/>
          <w:lang w:eastAsia="zh-CN"/>
        </w:rPr>
      </w:pPr>
      <w:r>
        <w:t>W</w:t>
      </w:r>
      <w:r w:rsidRPr="007E6B7A">
        <w:t xml:space="preserve">e </w:t>
      </w:r>
      <w:r w:rsidR="00AC0FA4">
        <w:t>contribute</w:t>
      </w:r>
      <w:r w:rsidRPr="007E6B7A">
        <w:t xml:space="preserve"> to the existing literature in the following ways.</w:t>
      </w:r>
      <w:r w:rsidR="002178D4">
        <w:t xml:space="preserve"> </w:t>
      </w:r>
      <w:r w:rsidRPr="00DE0237">
        <w:t xml:space="preserve">First, we </w:t>
      </w:r>
      <w:r w:rsidR="002178D4">
        <w:t>add</w:t>
      </w:r>
      <w:r w:rsidRPr="00DE0237">
        <w:t xml:space="preserve"> to the stream of literature that considers the effect of borrowers’ characteristics on </w:t>
      </w:r>
      <w:r>
        <w:t xml:space="preserve">the </w:t>
      </w:r>
      <w:r w:rsidRPr="00DE0237">
        <w:t>syndicate structure (e.g.</w:t>
      </w:r>
      <w:r w:rsidR="00A3380C">
        <w:t>,</w:t>
      </w:r>
      <w:r w:rsidRPr="00DE0237">
        <w:t xml:space="preserve"> </w:t>
      </w:r>
      <w:r w:rsidRPr="00BC40D3">
        <w:t>Esty and Megginson, 2003; Lin et al., 2012; Sufi, 2007</w:t>
      </w:r>
      <w:r w:rsidRPr="00DE0237">
        <w:t xml:space="preserve">). </w:t>
      </w:r>
      <w:r w:rsidR="00663960">
        <w:t>W</w:t>
      </w:r>
      <w:r w:rsidRPr="00DE0237">
        <w:t xml:space="preserve">e empirically show that </w:t>
      </w:r>
      <w:r w:rsidR="00921B78">
        <w:t>large</w:t>
      </w:r>
      <w:r w:rsidRPr="002643DE">
        <w:t xml:space="preserve"> customer</w:t>
      </w:r>
      <w:r w:rsidR="00B6059D">
        <w:t>-</w:t>
      </w:r>
      <w:r w:rsidRPr="002643DE">
        <w:t>supplier</w:t>
      </w:r>
      <w:r w:rsidRPr="00DE0237" w:rsidDel="00876E32">
        <w:t xml:space="preserve"> </w:t>
      </w:r>
      <w:r w:rsidR="00921B78">
        <w:t>links</w:t>
      </w:r>
      <w:r>
        <w:t xml:space="preserve"> </w:t>
      </w:r>
      <w:r w:rsidRPr="00DE0237">
        <w:t xml:space="preserve">affect the syndicate structure by increasing the lead agent’s loan share. Second, our study is related to existing works on the role of </w:t>
      </w:r>
      <w:r w:rsidR="00921B78">
        <w:t>large</w:t>
      </w:r>
      <w:r w:rsidR="00921B78" w:rsidRPr="002643DE">
        <w:t xml:space="preserve"> customer</w:t>
      </w:r>
      <w:r w:rsidR="00B6059D">
        <w:t>-</w:t>
      </w:r>
      <w:r w:rsidR="00921B78" w:rsidRPr="002643DE">
        <w:t>supplier</w:t>
      </w:r>
      <w:r w:rsidR="00921B78" w:rsidRPr="00DE0237" w:rsidDel="00876E32">
        <w:t xml:space="preserve"> </w:t>
      </w:r>
      <w:r w:rsidRPr="00DE0237">
        <w:t xml:space="preserve">relations in the syndicate </w:t>
      </w:r>
      <w:r>
        <w:t xml:space="preserve">loan </w:t>
      </w:r>
      <w:r w:rsidRPr="00DE0237">
        <w:t>market (Banerjee et al.</w:t>
      </w:r>
      <w:r>
        <w:t xml:space="preserve">, </w:t>
      </w:r>
      <w:r w:rsidRPr="00DE0237">
        <w:t>2008</w:t>
      </w:r>
      <w:r>
        <w:t xml:space="preserve">; </w:t>
      </w:r>
      <w:r w:rsidRPr="00DE0237">
        <w:t>Campello and Gao</w:t>
      </w:r>
      <w:r>
        <w:t xml:space="preserve">, </w:t>
      </w:r>
      <w:r w:rsidRPr="00DE0237">
        <w:t>2017</w:t>
      </w:r>
      <w:r>
        <w:t xml:space="preserve">; </w:t>
      </w:r>
      <w:r w:rsidRPr="00DE0237">
        <w:t>Cen et al.</w:t>
      </w:r>
      <w:r>
        <w:t xml:space="preserve">, </w:t>
      </w:r>
      <w:r w:rsidRPr="00DE0237">
        <w:t>2016</w:t>
      </w:r>
      <w:r>
        <w:t>;</w:t>
      </w:r>
      <w:r w:rsidRPr="00DE0237">
        <w:t xml:space="preserve"> </w:t>
      </w:r>
      <w:r w:rsidRPr="00BC40D3">
        <w:t>Dhaliwal et al., 2016; Hasan et al., 2017; Kale and Sharhur, 200</w:t>
      </w:r>
      <w:r w:rsidRPr="00DE0237">
        <w:t xml:space="preserve">7). </w:t>
      </w:r>
      <w:r w:rsidR="00663960" w:rsidRPr="00DE0237">
        <w:t>Th</w:t>
      </w:r>
      <w:r w:rsidR="00663960">
        <w:t>is literature</w:t>
      </w:r>
      <w:r w:rsidR="00663960" w:rsidRPr="00DE0237">
        <w:t xml:space="preserve"> </w:t>
      </w:r>
      <w:r w:rsidRPr="00DE0237">
        <w:t xml:space="preserve">has examined the effect of </w:t>
      </w:r>
      <w:r w:rsidR="00435B98">
        <w:t xml:space="preserve">the </w:t>
      </w:r>
      <w:r w:rsidR="0043098D">
        <w:t xml:space="preserve">large </w:t>
      </w:r>
      <w:r w:rsidR="00C2325A">
        <w:t>customer</w:t>
      </w:r>
      <w:r w:rsidR="00AE0BA8">
        <w:t>-supplier relationship</w:t>
      </w:r>
      <w:r w:rsidRPr="007E6B7A">
        <w:t xml:space="preserve"> in the syndicated loan market </w:t>
      </w:r>
      <w:r w:rsidR="00E9141C">
        <w:t xml:space="preserve">by accounting for </w:t>
      </w:r>
      <w:r w:rsidR="00435B98">
        <w:t xml:space="preserve">the </w:t>
      </w:r>
      <w:r w:rsidRPr="007E6B7A">
        <w:t xml:space="preserve">lending relationship with </w:t>
      </w:r>
      <w:r w:rsidR="00435B98">
        <w:t xml:space="preserve">the </w:t>
      </w:r>
      <w:r w:rsidRPr="007E6B7A">
        <w:t xml:space="preserve">borrower’s </w:t>
      </w:r>
      <w:r w:rsidR="0043098D">
        <w:t xml:space="preserve">large </w:t>
      </w:r>
      <w:r w:rsidR="00C2325A">
        <w:t>customer</w:t>
      </w:r>
      <w:r w:rsidRPr="007E6B7A">
        <w:t xml:space="preserve"> partner</w:t>
      </w:r>
      <w:r w:rsidR="00E9141C">
        <w:t>s</w:t>
      </w:r>
      <w:r w:rsidRPr="007E6B7A">
        <w:t xml:space="preserve"> (Bharath et al.</w:t>
      </w:r>
      <w:r>
        <w:t xml:space="preserve">, </w:t>
      </w:r>
      <w:r w:rsidRPr="007E6B7A">
        <w:t>2007</w:t>
      </w:r>
      <w:r>
        <w:t xml:space="preserve">; </w:t>
      </w:r>
      <w:r w:rsidRPr="007E6B7A">
        <w:t>Hasan et al.</w:t>
      </w:r>
      <w:r>
        <w:t xml:space="preserve">, </w:t>
      </w:r>
      <w:r w:rsidRPr="007E6B7A">
        <w:t xml:space="preserve">2017), </w:t>
      </w:r>
      <w:r w:rsidR="00921B78">
        <w:t xml:space="preserve">large </w:t>
      </w:r>
      <w:r w:rsidRPr="007E6B7A">
        <w:t>customer concentration (Campello and Gao</w:t>
      </w:r>
      <w:r>
        <w:t xml:space="preserve">, </w:t>
      </w:r>
      <w:r w:rsidRPr="007E6B7A">
        <w:t>2017), long-term customer</w:t>
      </w:r>
      <w:r w:rsidR="007030BE">
        <w:t>-supplier</w:t>
      </w:r>
      <w:r w:rsidRPr="007E6B7A">
        <w:t xml:space="preserve"> relationship (Cen et al.</w:t>
      </w:r>
      <w:r>
        <w:t xml:space="preserve">, </w:t>
      </w:r>
      <w:r w:rsidRPr="007E6B7A">
        <w:t xml:space="preserve">2016) </w:t>
      </w:r>
      <w:r>
        <w:t xml:space="preserve">and </w:t>
      </w:r>
      <w:r w:rsidRPr="00FC02DF">
        <w:t xml:space="preserve">supply chain power </w:t>
      </w:r>
      <w:r>
        <w:t>(</w:t>
      </w:r>
      <w:r w:rsidRPr="00FC02DF">
        <w:t xml:space="preserve">Rahaman et al., 2020) </w:t>
      </w:r>
      <w:r w:rsidRPr="007E6B7A">
        <w:t xml:space="preserve">on loan contract terms. </w:t>
      </w:r>
      <w:r w:rsidR="00722AF8">
        <w:t xml:space="preserve">Different from these studies, </w:t>
      </w:r>
      <w:r w:rsidRPr="007E6B7A">
        <w:t xml:space="preserve">we </w:t>
      </w:r>
      <w:r>
        <w:t>explore whether</w:t>
      </w:r>
      <w:r w:rsidRPr="007E6B7A">
        <w:t xml:space="preserve"> </w:t>
      </w:r>
      <w:r w:rsidR="00435B98">
        <w:t xml:space="preserve">a </w:t>
      </w:r>
      <w:r w:rsidR="00921B78">
        <w:t>large</w:t>
      </w:r>
      <w:r w:rsidRPr="002643DE">
        <w:t xml:space="preserve"> customer</w:t>
      </w:r>
      <w:r w:rsidR="001A0B86">
        <w:t>-</w:t>
      </w:r>
      <w:r w:rsidRPr="002643DE">
        <w:t>supplier</w:t>
      </w:r>
      <w:r w:rsidRPr="007E6B7A" w:rsidDel="00876E32">
        <w:t xml:space="preserve"> </w:t>
      </w:r>
      <w:r w:rsidRPr="007E6B7A">
        <w:t xml:space="preserve">relationship can affect </w:t>
      </w:r>
      <w:r>
        <w:t xml:space="preserve">the </w:t>
      </w:r>
      <w:r w:rsidRPr="007E6B7A">
        <w:t>loan pricing</w:t>
      </w:r>
      <w:r w:rsidR="002178D4">
        <w:t xml:space="preserve"> indirectly</w:t>
      </w:r>
      <w:r>
        <w:t xml:space="preserve"> through</w:t>
      </w:r>
      <w:r w:rsidRPr="007E6B7A">
        <w:t xml:space="preserve"> the syndicate loan structure.</w:t>
      </w:r>
      <w:r>
        <w:t xml:space="preserve"> </w:t>
      </w:r>
      <w:r w:rsidRPr="007E6B7A">
        <w:t xml:space="preserve">We further </w:t>
      </w:r>
      <w:r>
        <w:t xml:space="preserve">account for the possibility </w:t>
      </w:r>
      <w:r w:rsidRPr="007E6B7A">
        <w:t xml:space="preserve">that the effect of </w:t>
      </w:r>
      <w:r w:rsidR="00435B98">
        <w:t xml:space="preserve">a </w:t>
      </w:r>
      <w:r w:rsidR="00921B78">
        <w:t>large</w:t>
      </w:r>
      <w:r w:rsidRPr="002643DE">
        <w:t xml:space="preserve"> customer</w:t>
      </w:r>
      <w:r w:rsidR="001A0B86">
        <w:t>-</w:t>
      </w:r>
      <w:r w:rsidRPr="002643DE">
        <w:t>supplier</w:t>
      </w:r>
      <w:r w:rsidRPr="007E6B7A" w:rsidDel="00876E32">
        <w:t xml:space="preserve"> </w:t>
      </w:r>
      <w:r w:rsidRPr="007E6B7A">
        <w:t xml:space="preserve">relationships on the </w:t>
      </w:r>
      <w:r>
        <w:t>lead agent</w:t>
      </w:r>
      <w:r w:rsidR="001A0B86">
        <w:t xml:space="preserve"> </w:t>
      </w:r>
      <w:r>
        <w:t>share, and hence monitoring effort,</w:t>
      </w:r>
      <w:r w:rsidRPr="007E6B7A">
        <w:t xml:space="preserve"> var</w:t>
      </w:r>
      <w:r>
        <w:t>ies</w:t>
      </w:r>
      <w:r w:rsidRPr="007E6B7A">
        <w:t xml:space="preserve"> with the length of such a </w:t>
      </w:r>
      <w:r w:rsidRPr="00FB2F07">
        <w:t>relationship</w:t>
      </w:r>
      <w:r w:rsidR="007030BE" w:rsidRPr="00FB2F07">
        <w:rPr>
          <w:rFonts w:eastAsia="DengXian"/>
          <w:lang w:val="en-GB" w:eastAsia="zh-CN"/>
        </w:rPr>
        <w:t xml:space="preserve">. </w:t>
      </w:r>
      <w:r w:rsidR="007030BE" w:rsidRPr="00921B78">
        <w:t xml:space="preserve">A long </w:t>
      </w:r>
      <w:r w:rsidR="00AE0BA8" w:rsidRPr="00921B78">
        <w:t xml:space="preserve">relationship </w:t>
      </w:r>
      <w:r w:rsidR="002178D4">
        <w:t>is</w:t>
      </w:r>
      <w:r w:rsidR="007030BE" w:rsidRPr="00921B78">
        <w:t xml:space="preserve"> associated </w:t>
      </w:r>
      <w:r w:rsidR="00534D75" w:rsidRPr="00921B78">
        <w:t>with</w:t>
      </w:r>
      <w:r w:rsidR="007030BE" w:rsidRPr="00921B78">
        <w:t xml:space="preserve"> a greater degree of dependence between </w:t>
      </w:r>
      <w:r w:rsidR="00AE0BA8" w:rsidRPr="00921B78">
        <w:t xml:space="preserve">the borrower and </w:t>
      </w:r>
      <w:r w:rsidR="0043098D">
        <w:t xml:space="preserve">large </w:t>
      </w:r>
      <w:r w:rsidR="00C2325A">
        <w:t>customer</w:t>
      </w:r>
      <w:r w:rsidR="00AE0BA8" w:rsidRPr="00921B78">
        <w:t>-supplier</w:t>
      </w:r>
      <w:r w:rsidR="004F55C9" w:rsidRPr="00921B78">
        <w:t xml:space="preserve"> firms</w:t>
      </w:r>
      <w:r w:rsidR="007030BE" w:rsidRPr="00921B78">
        <w:t>, thus increasing cash flow correlations and</w:t>
      </w:r>
      <w:r w:rsidR="00534D75" w:rsidRPr="00921B78">
        <w:t xml:space="preserve"> the</w:t>
      </w:r>
      <w:r w:rsidR="007030BE" w:rsidRPr="00921B78">
        <w:t xml:space="preserve"> borrower’s default risk.</w:t>
      </w:r>
    </w:p>
    <w:p w14:paraId="4685294D" w14:textId="77777777" w:rsidR="00937174" w:rsidRDefault="00FD5DAA" w:rsidP="00937174">
      <w:pPr>
        <w:autoSpaceDE w:val="0"/>
        <w:autoSpaceDN w:val="0"/>
        <w:adjustRightInd w:val="0"/>
        <w:spacing w:line="480" w:lineRule="auto"/>
        <w:ind w:firstLine="567"/>
        <w:jc w:val="both"/>
      </w:pPr>
      <w:r w:rsidRPr="007E6B7A">
        <w:t>Finally, our article contributes to the literature on loan contract terms</w:t>
      </w:r>
      <w:r>
        <w:t xml:space="preserve"> </w:t>
      </w:r>
      <w:r w:rsidRPr="007E6B7A">
        <w:t xml:space="preserve">and </w:t>
      </w:r>
      <w:r w:rsidR="0043098D">
        <w:t xml:space="preserve">large </w:t>
      </w:r>
      <w:r w:rsidR="00C2325A">
        <w:t>customer</w:t>
      </w:r>
      <w:r w:rsidR="004F55C9">
        <w:t>-supplier relationship</w:t>
      </w:r>
      <w:r>
        <w:t xml:space="preserve"> </w:t>
      </w:r>
      <w:r w:rsidRPr="007E6B7A">
        <w:t>(</w:t>
      </w:r>
      <w:bookmarkStart w:id="12" w:name="_Hlk51791498"/>
      <w:r w:rsidRPr="00BC40D3">
        <w:t xml:space="preserve">Banerjee et al., 2008; Campello and Gao, 2017; Cen et al., 2016; Cohen and Frazzini, 2008; </w:t>
      </w:r>
      <w:r w:rsidR="0032443E" w:rsidRPr="00BC40D3">
        <w:t xml:space="preserve">Hasan et al., 2020: </w:t>
      </w:r>
      <w:r w:rsidRPr="00BC40D3">
        <w:t xml:space="preserve">Kale and Shahrur, 2007; Kolay et al., 2016; </w:t>
      </w:r>
      <w:r w:rsidR="0032443E" w:rsidRPr="00BC40D3">
        <w:t xml:space="preserve">Rahaman et al., 2020; </w:t>
      </w:r>
      <w:bookmarkEnd w:id="12"/>
      <w:r w:rsidRPr="00BC40D3">
        <w:t>Titman and Wessels,</w:t>
      </w:r>
      <w:r>
        <w:t xml:space="preserve"> </w:t>
      </w:r>
      <w:r w:rsidRPr="007E6B7A">
        <w:t xml:space="preserve">1988). </w:t>
      </w:r>
      <w:r>
        <w:t>O</w:t>
      </w:r>
      <w:r w:rsidRPr="007E6B7A">
        <w:t xml:space="preserve">ur paper </w:t>
      </w:r>
      <w:r>
        <w:t>examines whether</w:t>
      </w:r>
      <w:r w:rsidRPr="007E6B7A">
        <w:t xml:space="preserve"> lead agent</w:t>
      </w:r>
      <w:r w:rsidR="001A0B86">
        <w:t>s</w:t>
      </w:r>
      <w:r w:rsidRPr="007E6B7A">
        <w:t xml:space="preserve"> demand higher mark-ups</w:t>
      </w:r>
      <w:r>
        <w:t xml:space="preserve"> </w:t>
      </w:r>
      <w:r w:rsidRPr="007E6B7A">
        <w:t xml:space="preserve">and </w:t>
      </w:r>
      <w:r>
        <w:t>more</w:t>
      </w:r>
      <w:r w:rsidRPr="007E6B7A">
        <w:t xml:space="preserve"> restrict</w:t>
      </w:r>
      <w:r>
        <w:t>ive</w:t>
      </w:r>
      <w:r w:rsidRPr="007E6B7A">
        <w:t xml:space="preserve"> covenants for </w:t>
      </w:r>
      <w:r w:rsidR="00663960">
        <w:t>holding a larger share of the loan</w:t>
      </w:r>
      <w:r>
        <w:t xml:space="preserve">. Furthermore, we find that </w:t>
      </w:r>
      <w:r w:rsidR="00350077">
        <w:t xml:space="preserve">the </w:t>
      </w:r>
      <w:r>
        <w:t xml:space="preserve">lead agent </w:t>
      </w:r>
      <w:r w:rsidR="00350077">
        <w:t xml:space="preserve">only </w:t>
      </w:r>
      <w:r>
        <w:t>applies costlier and stricter contractual terms to offset its increasing monitoring effort</w:t>
      </w:r>
      <w:r w:rsidR="00890487">
        <w:t xml:space="preserve"> and lack of diversification</w:t>
      </w:r>
      <w:r w:rsidR="00663960">
        <w:t xml:space="preserve">, not because of the large customer-supplier link </w:t>
      </w:r>
      <w:r w:rsidR="00663960" w:rsidRPr="007E6B7A">
        <w:rPr>
          <w:i/>
        </w:rPr>
        <w:t>per se</w:t>
      </w:r>
      <w:r>
        <w:t xml:space="preserve">. We </w:t>
      </w:r>
      <w:r w:rsidR="00350077">
        <w:t xml:space="preserve">also </w:t>
      </w:r>
      <w:r>
        <w:t xml:space="preserve">show similar results when we account for the length of </w:t>
      </w:r>
      <w:r w:rsidR="0043098D">
        <w:t xml:space="preserve">large </w:t>
      </w:r>
      <w:r w:rsidR="00C2325A">
        <w:t>customer</w:t>
      </w:r>
      <w:r w:rsidR="004F55C9">
        <w:t>-supplier link</w:t>
      </w:r>
      <w:r>
        <w:t xml:space="preserve"> which could enhance banks’ ability to lend to existing borrowers’ </w:t>
      </w:r>
      <w:r w:rsidR="0043098D">
        <w:t xml:space="preserve">large </w:t>
      </w:r>
      <w:r w:rsidR="00C2325A">
        <w:t>customer</w:t>
      </w:r>
      <w:r w:rsidR="004F55C9">
        <w:t xml:space="preserve">-supplier firms </w:t>
      </w:r>
      <w:r>
        <w:t>according to a stream of research (Cen et al., 2016; Hasan et al., 2020).</w:t>
      </w:r>
    </w:p>
    <w:p w14:paraId="7D8E5519" w14:textId="77777777" w:rsidR="00867C77" w:rsidRDefault="00FD5DAA" w:rsidP="00375D3D">
      <w:pPr>
        <w:widowControl w:val="0"/>
        <w:autoSpaceDE w:val="0"/>
        <w:autoSpaceDN w:val="0"/>
        <w:adjustRightInd w:val="0"/>
        <w:spacing w:line="480" w:lineRule="auto"/>
        <w:ind w:firstLine="567"/>
        <w:jc w:val="both"/>
      </w:pPr>
      <w:r w:rsidRPr="007E6B7A">
        <w:t xml:space="preserve">This paper is organized as follows. Section </w:t>
      </w:r>
      <w:r w:rsidR="00663960">
        <w:t>2</w:t>
      </w:r>
      <w:r w:rsidR="00663960" w:rsidRPr="007E6B7A">
        <w:t xml:space="preserve"> </w:t>
      </w:r>
      <w:r w:rsidRPr="007E6B7A">
        <w:t xml:space="preserve">reviews the relevant literature and develops the hypotheses based on the existing literature. Section </w:t>
      </w:r>
      <w:r w:rsidR="00663960">
        <w:t>3</w:t>
      </w:r>
      <w:r w:rsidR="00663960" w:rsidRPr="007E6B7A">
        <w:t xml:space="preserve"> </w:t>
      </w:r>
      <w:r w:rsidRPr="007E6B7A">
        <w:t xml:space="preserve">presents the methodology and the sample construction. Section </w:t>
      </w:r>
      <w:r w:rsidR="00663960">
        <w:t>4</w:t>
      </w:r>
      <w:r w:rsidR="00663960" w:rsidRPr="007E6B7A">
        <w:t xml:space="preserve"> </w:t>
      </w:r>
      <w:r w:rsidRPr="007E6B7A">
        <w:t xml:space="preserve">discusses the main results related to the syndicate structure, loan pricing and number of restricted covenants. Section </w:t>
      </w:r>
      <w:r w:rsidR="00663960">
        <w:t>5</w:t>
      </w:r>
      <w:r w:rsidR="00663960" w:rsidRPr="007E6B7A">
        <w:t xml:space="preserve"> </w:t>
      </w:r>
      <w:r w:rsidRPr="007E6B7A">
        <w:t xml:space="preserve">presents additional tests to address concerns related to the role of relationship </w:t>
      </w:r>
      <w:r>
        <w:t>strength</w:t>
      </w:r>
      <w:r w:rsidRPr="007E6B7A">
        <w:t xml:space="preserve">, endogeneity, type of loans and access to syndicate loans. Finally, Section </w:t>
      </w:r>
      <w:r w:rsidR="00663960">
        <w:t>6</w:t>
      </w:r>
      <w:r w:rsidR="00663960" w:rsidRPr="007E6B7A">
        <w:t xml:space="preserve"> </w:t>
      </w:r>
      <w:r w:rsidRPr="007E6B7A">
        <w:t>concludes.</w:t>
      </w:r>
    </w:p>
    <w:p w14:paraId="58639006" w14:textId="77777777" w:rsidR="002E5C1E" w:rsidRDefault="002E5C1E" w:rsidP="00375D3D">
      <w:pPr>
        <w:widowControl w:val="0"/>
        <w:autoSpaceDE w:val="0"/>
        <w:autoSpaceDN w:val="0"/>
        <w:adjustRightInd w:val="0"/>
        <w:spacing w:line="480" w:lineRule="auto"/>
        <w:ind w:firstLine="567"/>
        <w:jc w:val="both"/>
      </w:pPr>
    </w:p>
    <w:p w14:paraId="7E991E67" w14:textId="77777777" w:rsidR="001B3144" w:rsidRDefault="00482FBD" w:rsidP="00E15D12">
      <w:pPr>
        <w:autoSpaceDE w:val="0"/>
        <w:autoSpaceDN w:val="0"/>
        <w:adjustRightInd w:val="0"/>
        <w:spacing w:line="480" w:lineRule="auto"/>
        <w:jc w:val="both"/>
        <w:rPr>
          <w:b/>
          <w:sz w:val="28"/>
        </w:rPr>
      </w:pPr>
      <w:r>
        <w:rPr>
          <w:b/>
          <w:sz w:val="28"/>
        </w:rPr>
        <w:t>2.</w:t>
      </w:r>
      <w:r w:rsidR="001D2397">
        <w:rPr>
          <w:b/>
          <w:sz w:val="28"/>
        </w:rPr>
        <w:t xml:space="preserve"> </w:t>
      </w:r>
      <w:r w:rsidR="00D37AF8" w:rsidRPr="001554F3">
        <w:rPr>
          <w:b/>
          <w:sz w:val="28"/>
        </w:rPr>
        <w:t xml:space="preserve"> Literature Review and Hypothesis </w:t>
      </w:r>
      <w:r w:rsidR="001D2397">
        <w:rPr>
          <w:b/>
          <w:sz w:val="28"/>
        </w:rPr>
        <w:t>D</w:t>
      </w:r>
      <w:r w:rsidR="00765D7B" w:rsidRPr="001554F3">
        <w:rPr>
          <w:b/>
          <w:sz w:val="28"/>
        </w:rPr>
        <w:t>evelopmen</w:t>
      </w:r>
      <w:r w:rsidR="00B7252B">
        <w:rPr>
          <w:b/>
          <w:sz w:val="28"/>
        </w:rPr>
        <w:t>t</w:t>
      </w:r>
    </w:p>
    <w:p w14:paraId="533048A8" w14:textId="77777777" w:rsidR="00C95C65" w:rsidRDefault="00C401E3" w:rsidP="00F556B4">
      <w:pPr>
        <w:autoSpaceDE w:val="0"/>
        <w:autoSpaceDN w:val="0"/>
        <w:adjustRightInd w:val="0"/>
        <w:spacing w:line="480" w:lineRule="auto"/>
        <w:jc w:val="both"/>
      </w:pPr>
      <w:r>
        <w:t>Previous studies argue that</w:t>
      </w:r>
      <w:r w:rsidR="00884B7D" w:rsidRPr="001554F3">
        <w:t xml:space="preserve"> having </w:t>
      </w:r>
      <w:r w:rsidR="00921B78">
        <w:t>large</w:t>
      </w:r>
      <w:r w:rsidR="00921B78" w:rsidRPr="002643DE">
        <w:t xml:space="preserve"> customer</w:t>
      </w:r>
      <w:r w:rsidR="00115919">
        <w:t>-</w:t>
      </w:r>
      <w:r w:rsidR="00921B78" w:rsidRPr="002643DE">
        <w:t>supplier</w:t>
      </w:r>
      <w:r w:rsidR="00921B78" w:rsidRPr="00DE0237" w:rsidDel="00876E32">
        <w:t xml:space="preserve"> </w:t>
      </w:r>
      <w:r w:rsidR="00921B78">
        <w:t>links</w:t>
      </w:r>
      <w:r w:rsidR="00921B78" w:rsidRPr="001554F3">
        <w:t xml:space="preserve"> </w:t>
      </w:r>
      <w:r w:rsidR="00884B7D" w:rsidRPr="001554F3">
        <w:t>expose</w:t>
      </w:r>
      <w:r w:rsidR="00350077">
        <w:t>s</w:t>
      </w:r>
      <w:r w:rsidR="00884B7D" w:rsidRPr="001554F3">
        <w:t xml:space="preserve"> </w:t>
      </w:r>
      <w:r w:rsidR="00B7252B">
        <w:t>borrowers</w:t>
      </w:r>
      <w:r w:rsidR="00B7252B" w:rsidRPr="001554F3">
        <w:t xml:space="preserve"> </w:t>
      </w:r>
      <w:r w:rsidR="00884B7D" w:rsidRPr="001554F3">
        <w:t>to costs and risks (Campello and Gao</w:t>
      </w:r>
      <w:r w:rsidR="004B1832">
        <w:t xml:space="preserve">, </w:t>
      </w:r>
      <w:r w:rsidR="00884B7D" w:rsidRPr="001554F3">
        <w:t>2017</w:t>
      </w:r>
      <w:r w:rsidR="004B1832">
        <w:t xml:space="preserve">; </w:t>
      </w:r>
      <w:r w:rsidR="0007793D" w:rsidRPr="001554F3">
        <w:t>Hasan</w:t>
      </w:r>
      <w:r w:rsidR="006D76CC">
        <w:t xml:space="preserve"> et al.</w:t>
      </w:r>
      <w:r w:rsidR="004B1832">
        <w:t xml:space="preserve">, </w:t>
      </w:r>
      <w:r w:rsidR="0007793D" w:rsidRPr="001554F3">
        <w:t>2017</w:t>
      </w:r>
      <w:r w:rsidR="00884B7D" w:rsidRPr="001554F3">
        <w:t>).</w:t>
      </w:r>
      <w:r w:rsidR="00122336">
        <w:t xml:space="preserve"> </w:t>
      </w:r>
      <w:r w:rsidR="00286EF8">
        <w:t>Large</w:t>
      </w:r>
      <w:r w:rsidR="00286EF8" w:rsidRPr="00122336">
        <w:t xml:space="preserve"> </w:t>
      </w:r>
      <w:r w:rsidR="00122336" w:rsidRPr="00122336">
        <w:t>customer</w:t>
      </w:r>
      <w:r w:rsidR="00286EF8">
        <w:t>s</w:t>
      </w:r>
      <w:r w:rsidR="003F6976">
        <w:t xml:space="preserve"> </w:t>
      </w:r>
      <w:r w:rsidR="00884B7D" w:rsidRPr="001554F3">
        <w:t xml:space="preserve">could </w:t>
      </w:r>
      <w:r w:rsidR="00930E08">
        <w:t xml:space="preserve">in fact </w:t>
      </w:r>
      <w:r w:rsidR="00AE4B9B">
        <w:t>compel</w:t>
      </w:r>
      <w:r w:rsidR="00AE4B9B" w:rsidRPr="001554F3">
        <w:t xml:space="preserve"> </w:t>
      </w:r>
      <w:r w:rsidR="00884B7D" w:rsidRPr="001554F3">
        <w:t xml:space="preserve">the suppliers to invest in relationship-specific assets </w:t>
      </w:r>
      <w:r w:rsidR="004B37BE" w:rsidRPr="001554F3">
        <w:t xml:space="preserve">over time </w:t>
      </w:r>
      <w:r w:rsidR="00050E2D" w:rsidRPr="001554F3">
        <w:t xml:space="preserve">that have little or no value outside of this relationship </w:t>
      </w:r>
      <w:r w:rsidR="00884B7D" w:rsidRPr="001554F3">
        <w:t>(</w:t>
      </w:r>
      <w:r w:rsidR="00884B7D" w:rsidRPr="00BC40D3">
        <w:t>Allen and Phillips</w:t>
      </w:r>
      <w:r w:rsidR="004B1832" w:rsidRPr="00BC40D3">
        <w:t xml:space="preserve">, </w:t>
      </w:r>
      <w:r w:rsidR="00884B7D" w:rsidRPr="00BC40D3">
        <w:t>2000</w:t>
      </w:r>
      <w:r w:rsidR="004B1832" w:rsidRPr="00BC40D3">
        <w:t>;</w:t>
      </w:r>
      <w:r w:rsidR="00050E2D" w:rsidRPr="00BC40D3">
        <w:t xml:space="preserve"> </w:t>
      </w:r>
      <w:r w:rsidR="004B1832" w:rsidRPr="00BC40D3">
        <w:t xml:space="preserve">Banerjee et al., 2008; </w:t>
      </w:r>
      <w:r w:rsidR="00B54752" w:rsidRPr="00BC40D3">
        <w:t>Kale and Shahrur</w:t>
      </w:r>
      <w:r w:rsidR="004B1832" w:rsidRPr="00BC40D3">
        <w:t xml:space="preserve">, </w:t>
      </w:r>
      <w:r w:rsidR="00B54752" w:rsidRPr="00BC40D3">
        <w:t>2007</w:t>
      </w:r>
      <w:r w:rsidR="0007793D" w:rsidRPr="001554F3">
        <w:t xml:space="preserve">). Moreover, large customers </w:t>
      </w:r>
      <w:r w:rsidR="007F4064">
        <w:t>may</w:t>
      </w:r>
      <w:r w:rsidR="0007793D" w:rsidRPr="001554F3">
        <w:t xml:space="preserve"> exert a higher bargaining power with respect to prices and the timing of payments</w:t>
      </w:r>
      <w:r w:rsidR="007F4064">
        <w:t xml:space="preserve"> </w:t>
      </w:r>
      <w:r w:rsidR="00122336">
        <w:t xml:space="preserve">which could lead to liquidity shortage for suppliers </w:t>
      </w:r>
      <w:r w:rsidR="0007793D" w:rsidRPr="001554F3">
        <w:t>(</w:t>
      </w:r>
      <w:r w:rsidR="0007793D" w:rsidRPr="00BC40D3">
        <w:t>Fee and Thomas</w:t>
      </w:r>
      <w:r w:rsidR="004B1832" w:rsidRPr="00BC40D3">
        <w:t xml:space="preserve">, </w:t>
      </w:r>
      <w:r w:rsidR="0007793D" w:rsidRPr="00BC40D3">
        <w:t>2004</w:t>
      </w:r>
      <w:r w:rsidR="0007793D" w:rsidRPr="001554F3">
        <w:t xml:space="preserve">). </w:t>
      </w:r>
      <w:r w:rsidR="007F4064">
        <w:t xml:space="preserve">More </w:t>
      </w:r>
      <w:r w:rsidR="004B37BE">
        <w:t>generally</w:t>
      </w:r>
      <w:r w:rsidR="00E95379" w:rsidRPr="001554F3">
        <w:t xml:space="preserve">, firms </w:t>
      </w:r>
      <w:r w:rsidR="0007793D" w:rsidRPr="001554F3">
        <w:t xml:space="preserve">are exposed to aggregate sales fluctuations, liquidity problems, and increased cash flow risks via </w:t>
      </w:r>
      <w:r w:rsidR="0043098D">
        <w:t xml:space="preserve">large </w:t>
      </w:r>
      <w:r w:rsidR="00C2325A">
        <w:t>customer</w:t>
      </w:r>
      <w:r w:rsidR="004F55C9">
        <w:t xml:space="preserve">-supplier links </w:t>
      </w:r>
      <w:r w:rsidR="0007793D" w:rsidRPr="001554F3">
        <w:t>(</w:t>
      </w:r>
      <w:r w:rsidR="0007793D" w:rsidRPr="00BC40D3">
        <w:t>Cohen and Frazzini</w:t>
      </w:r>
      <w:r w:rsidR="004B1832" w:rsidRPr="00BC40D3">
        <w:t xml:space="preserve">, </w:t>
      </w:r>
      <w:r w:rsidR="0007793D" w:rsidRPr="00BC40D3">
        <w:t>2008</w:t>
      </w:r>
      <w:r w:rsidR="004B1832" w:rsidRPr="00BC40D3">
        <w:t xml:space="preserve">; </w:t>
      </w:r>
      <w:r w:rsidR="0007793D" w:rsidRPr="00BC40D3">
        <w:t>Di Giovanni</w:t>
      </w:r>
      <w:r w:rsidR="000A7B57" w:rsidRPr="00BC40D3">
        <w:t xml:space="preserve"> et al.</w:t>
      </w:r>
      <w:r w:rsidR="004B1832" w:rsidRPr="00BC40D3">
        <w:t>,</w:t>
      </w:r>
      <w:r w:rsidR="000A7B57" w:rsidRPr="00BC40D3">
        <w:t xml:space="preserve"> </w:t>
      </w:r>
      <w:r w:rsidR="0007793D" w:rsidRPr="00BC40D3">
        <w:t>2014</w:t>
      </w:r>
      <w:r w:rsidR="004B1832" w:rsidRPr="00BC40D3">
        <w:t>;</w:t>
      </w:r>
      <w:r w:rsidR="0007793D" w:rsidRPr="00BC40D3">
        <w:t xml:space="preserve"> Kolay</w:t>
      </w:r>
      <w:r w:rsidR="00AE4B9B" w:rsidRPr="00BC40D3">
        <w:t xml:space="preserve"> et al.</w:t>
      </w:r>
      <w:r w:rsidR="004B1832" w:rsidRPr="00BC40D3">
        <w:t xml:space="preserve">, </w:t>
      </w:r>
      <w:r w:rsidR="0007793D" w:rsidRPr="00BC40D3">
        <w:t>2016</w:t>
      </w:r>
      <w:r w:rsidR="0007793D" w:rsidRPr="001554F3">
        <w:t xml:space="preserve">). All these factors can </w:t>
      </w:r>
      <w:r w:rsidR="004B37BE">
        <w:t>increase</w:t>
      </w:r>
      <w:r w:rsidR="004B37BE" w:rsidRPr="001554F3">
        <w:t xml:space="preserve"> </w:t>
      </w:r>
      <w:r w:rsidR="0007793D" w:rsidRPr="001554F3">
        <w:t>a firm</w:t>
      </w:r>
      <w:r w:rsidR="001D2397">
        <w:t>’</w:t>
      </w:r>
      <w:r w:rsidR="00E95379" w:rsidRPr="001554F3">
        <w:t>s</w:t>
      </w:r>
      <w:r w:rsidR="0007793D" w:rsidRPr="001554F3">
        <w:t xml:space="preserve"> default risk and financial costs. </w:t>
      </w:r>
      <w:r w:rsidR="003D6359">
        <w:t>Consistent with this risk view, previous studies show that</w:t>
      </w:r>
      <w:r w:rsidR="0009211F">
        <w:t xml:space="preserve"> lenders demand higher</w:t>
      </w:r>
      <w:r w:rsidRPr="007E6B7A">
        <w:t xml:space="preserve"> interest rate spreads and </w:t>
      </w:r>
      <w:r w:rsidR="0009211F">
        <w:t xml:space="preserve">more </w:t>
      </w:r>
      <w:r w:rsidRPr="007E6B7A">
        <w:t xml:space="preserve">restrictive </w:t>
      </w:r>
      <w:r w:rsidR="004E7D2D" w:rsidRPr="007E6B7A">
        <w:t>covenants and</w:t>
      </w:r>
      <w:r w:rsidRPr="007E6B7A">
        <w:t xml:space="preserve"> decrease the maturity of those loans</w:t>
      </w:r>
      <w:r w:rsidR="0009211F">
        <w:t xml:space="preserve"> </w:t>
      </w:r>
      <w:r w:rsidR="003D6359">
        <w:t>to offset</w:t>
      </w:r>
      <w:r w:rsidR="0009211F">
        <w:t xml:space="preserve"> the higher risk exposure</w:t>
      </w:r>
      <w:r>
        <w:t xml:space="preserve"> </w:t>
      </w:r>
      <w:r w:rsidRPr="001554F3">
        <w:t>(Campello and Gao</w:t>
      </w:r>
      <w:r w:rsidR="004B1832">
        <w:t xml:space="preserve">, </w:t>
      </w:r>
      <w:r w:rsidRPr="001554F3">
        <w:t>2017</w:t>
      </w:r>
      <w:r w:rsidR="004B1832">
        <w:t xml:space="preserve">; </w:t>
      </w:r>
      <w:r w:rsidRPr="001554F3">
        <w:t>Dhaliwal</w:t>
      </w:r>
      <w:r>
        <w:t xml:space="preserve"> et al.</w:t>
      </w:r>
      <w:r w:rsidR="004B1832">
        <w:t xml:space="preserve">, </w:t>
      </w:r>
      <w:r w:rsidRPr="001554F3">
        <w:t>2016</w:t>
      </w:r>
      <w:r>
        <w:t xml:space="preserve">). </w:t>
      </w:r>
    </w:p>
    <w:p w14:paraId="7E603CF4" w14:textId="77777777" w:rsidR="00621490" w:rsidRPr="00621490" w:rsidRDefault="000B58F2" w:rsidP="00621490">
      <w:pPr>
        <w:autoSpaceDE w:val="0"/>
        <w:autoSpaceDN w:val="0"/>
        <w:adjustRightInd w:val="0"/>
        <w:spacing w:line="480" w:lineRule="auto"/>
        <w:ind w:firstLine="567"/>
        <w:jc w:val="both"/>
        <w:rPr>
          <w:i/>
          <w:iCs/>
        </w:rPr>
      </w:pPr>
      <w:r>
        <w:t>Following these arguments, we conjecture that b</w:t>
      </w:r>
      <w:r w:rsidRPr="00C662B5">
        <w:t xml:space="preserve">orrowers </w:t>
      </w:r>
      <w:r w:rsidR="0009211F" w:rsidRPr="00C662B5">
        <w:t xml:space="preserve">with </w:t>
      </w:r>
      <w:r w:rsidR="00FC36A3">
        <w:t>large customer</w:t>
      </w:r>
      <w:r w:rsidR="0009211F" w:rsidRPr="00C662B5">
        <w:t xml:space="preserve">-supplier </w:t>
      </w:r>
      <w:r w:rsidR="0099693E">
        <w:t>link</w:t>
      </w:r>
      <w:r w:rsidR="0009211F" w:rsidRPr="00C662B5">
        <w:t>s could</w:t>
      </w:r>
      <w:r w:rsidR="00C95C65" w:rsidRPr="00C662B5">
        <w:t xml:space="preserve"> also</w:t>
      </w:r>
      <w:r w:rsidR="0009211F" w:rsidRPr="00C662B5">
        <w:t xml:space="preserve"> require more intense bank monitoring as lenders </w:t>
      </w:r>
      <w:r w:rsidR="00C95C65" w:rsidRPr="00C662B5">
        <w:t>are</w:t>
      </w:r>
      <w:r w:rsidR="0009211F" w:rsidRPr="00C662B5">
        <w:t xml:space="preserve"> exposed to </w:t>
      </w:r>
      <w:r w:rsidR="003D6359" w:rsidRPr="00C662B5">
        <w:t>higher</w:t>
      </w:r>
      <w:r w:rsidR="0009211F" w:rsidRPr="00C662B5">
        <w:t xml:space="preserve"> </w:t>
      </w:r>
      <w:r w:rsidR="0043098D">
        <w:t xml:space="preserve">large </w:t>
      </w:r>
      <w:r w:rsidR="00C2325A">
        <w:t>customer</w:t>
      </w:r>
      <w:r w:rsidR="004F55C9">
        <w:t xml:space="preserve">-supplier </w:t>
      </w:r>
      <w:r w:rsidR="0009211F" w:rsidRPr="00C662B5">
        <w:t>risks</w:t>
      </w:r>
      <w:r w:rsidR="00122336" w:rsidRPr="00C662B5">
        <w:t>.</w:t>
      </w:r>
      <w:r w:rsidR="00AE65F9" w:rsidRPr="00C662B5">
        <w:t xml:space="preserve"> </w:t>
      </w:r>
      <w:bookmarkStart w:id="13" w:name="_Hlk51322272"/>
      <w:bookmarkStart w:id="14" w:name="_Hlk51792815"/>
      <w:r w:rsidR="004B626F">
        <w:t>As discussed above, f</w:t>
      </w:r>
      <w:r w:rsidR="00C662B5" w:rsidRPr="00C662B5">
        <w:t>irms with large customers and/or suppliers are in fact more vulnerable to costs and risks (for example payment delays</w:t>
      </w:r>
      <w:r w:rsidR="00C662B5" w:rsidRPr="00C662B5">
        <w:rPr>
          <w:color w:val="000000"/>
        </w:rPr>
        <w:t xml:space="preserve">, relationship-specific investment, and default contagious risk). </w:t>
      </w:r>
      <w:r w:rsidR="00C662B5" w:rsidRPr="00C662B5">
        <w:t>Therefore</w:t>
      </w:r>
      <w:r w:rsidR="00AE65F9" w:rsidRPr="00C662B5">
        <w:rPr>
          <w:rFonts w:eastAsia="DengXian"/>
          <w:lang w:val="en-GB" w:eastAsia="zh-CN"/>
        </w:rPr>
        <w:t>, the lead agent</w:t>
      </w:r>
      <w:r w:rsidR="00C95C65" w:rsidRPr="00C662B5">
        <w:rPr>
          <w:rFonts w:eastAsia="DengXian"/>
          <w:lang w:val="en-GB" w:eastAsia="zh-CN"/>
        </w:rPr>
        <w:t xml:space="preserve">, who </w:t>
      </w:r>
      <w:r w:rsidR="00AE65F9" w:rsidRPr="00C662B5">
        <w:rPr>
          <w:rFonts w:eastAsia="DengXian"/>
          <w:lang w:val="en-GB" w:eastAsia="zh-CN"/>
        </w:rPr>
        <w:t xml:space="preserve">is the lender responsible for </w:t>
      </w:r>
      <w:r w:rsidR="00890487">
        <w:t>managing</w:t>
      </w:r>
      <w:r w:rsidR="00AE65F9" w:rsidRPr="00C662B5">
        <w:t xml:space="preserve"> the relationship with </w:t>
      </w:r>
      <w:r w:rsidR="00880FFC" w:rsidRPr="00C662B5">
        <w:t xml:space="preserve">the </w:t>
      </w:r>
      <w:r w:rsidR="00AE65F9" w:rsidRPr="00C662B5">
        <w:t>borrower</w:t>
      </w:r>
      <w:r w:rsidR="003D6359" w:rsidRPr="00C662B5">
        <w:t xml:space="preserve"> and</w:t>
      </w:r>
      <w:r w:rsidR="00604CAE" w:rsidRPr="00C662B5">
        <w:t xml:space="preserve"> </w:t>
      </w:r>
      <w:r w:rsidR="00AE65F9" w:rsidRPr="00C662B5">
        <w:t>for monitoring</w:t>
      </w:r>
      <w:r w:rsidR="005E5A20">
        <w:t xml:space="preserve"> </w:t>
      </w:r>
      <w:r w:rsidR="00D62BD1">
        <w:t>activities</w:t>
      </w:r>
      <w:r w:rsidR="004B626F">
        <w:t xml:space="preserve"> in a syndicated loan</w:t>
      </w:r>
      <w:r w:rsidR="00C95C65" w:rsidRPr="00C662B5">
        <w:t>, could be requested to</w:t>
      </w:r>
      <w:r w:rsidR="00C662B5" w:rsidRPr="00C662B5">
        <w:t xml:space="preserve"> increase its monitoring</w:t>
      </w:r>
      <w:r w:rsidR="005E5A20">
        <w:t xml:space="preserve"> </w:t>
      </w:r>
      <w:r w:rsidR="00D62BD1">
        <w:t>activities</w:t>
      </w:r>
      <w:r w:rsidR="00C662B5" w:rsidRPr="00C662B5">
        <w:t xml:space="preserve"> for such borrowers. This will imply that the lead agent could be </w:t>
      </w:r>
      <w:r w:rsidR="004E7D2D">
        <w:t>required</w:t>
      </w:r>
      <w:r w:rsidR="004E7D2D" w:rsidRPr="00C662B5">
        <w:t xml:space="preserve"> </w:t>
      </w:r>
      <w:r w:rsidR="00C662B5" w:rsidRPr="00C662B5">
        <w:t>to</w:t>
      </w:r>
      <w:r w:rsidR="00C95C65" w:rsidRPr="00C662B5">
        <w:t xml:space="preserve"> </w:t>
      </w:r>
      <w:r w:rsidR="004E7D2D">
        <w:t xml:space="preserve">retain </w:t>
      </w:r>
      <w:r w:rsidR="001D0A22" w:rsidRPr="00C662B5">
        <w:t>a large</w:t>
      </w:r>
      <w:r w:rsidR="00C662B5" w:rsidRPr="00C662B5">
        <w:t xml:space="preserve">r loan </w:t>
      </w:r>
      <w:r w:rsidR="001D0A22" w:rsidRPr="00C662B5">
        <w:t>fraction for</w:t>
      </w:r>
      <w:r w:rsidR="00C95C65" w:rsidRPr="00C662B5">
        <w:t xml:space="preserve"> borrowers</w:t>
      </w:r>
      <w:r w:rsidR="00FC2E3E" w:rsidRPr="00C662B5">
        <w:t xml:space="preserve"> with </w:t>
      </w:r>
      <w:r w:rsidR="0043098D">
        <w:t xml:space="preserve">large </w:t>
      </w:r>
      <w:r w:rsidR="00C2325A">
        <w:t>customer</w:t>
      </w:r>
      <w:r w:rsidR="00FC2E3E" w:rsidRPr="00C662B5">
        <w:t xml:space="preserve">-supplier </w:t>
      </w:r>
      <w:r w:rsidR="0099693E">
        <w:t>link</w:t>
      </w:r>
      <w:r w:rsidR="00FC2E3E" w:rsidRPr="00C662B5">
        <w:t>s</w:t>
      </w:r>
      <w:r w:rsidR="00E15D12" w:rsidRPr="00C662B5">
        <w:t xml:space="preserve"> </w:t>
      </w:r>
      <w:r w:rsidR="00C662B5" w:rsidRPr="00C662B5">
        <w:t xml:space="preserve">by other lenders in the syndicate </w:t>
      </w:r>
      <w:r w:rsidR="00AE65F9" w:rsidRPr="00C662B5">
        <w:t>(</w:t>
      </w:r>
      <w:r w:rsidR="00350077" w:rsidRPr="00C662B5">
        <w:t xml:space="preserve">Delis et al., 2020a; </w:t>
      </w:r>
      <w:r w:rsidR="00AE65F9" w:rsidRPr="00C662B5">
        <w:t>Esty, 2001</w:t>
      </w:r>
      <w:r w:rsidR="00350077">
        <w:t>;</w:t>
      </w:r>
      <w:r w:rsidR="00AE65F9" w:rsidRPr="00C662B5">
        <w:t xml:space="preserve"> </w:t>
      </w:r>
      <w:r w:rsidR="00350077" w:rsidRPr="00C662B5">
        <w:t>Gustafson et al., 2020</w:t>
      </w:r>
      <w:r w:rsidR="00350077">
        <w:t xml:space="preserve">; </w:t>
      </w:r>
      <w:r w:rsidR="00AE65F9" w:rsidRPr="00C662B5">
        <w:t>Ivashina, 2009; Lin et al., 2012</w:t>
      </w:r>
      <w:r w:rsidR="00350077">
        <w:t>;</w:t>
      </w:r>
      <w:r w:rsidR="00AE65F9" w:rsidRPr="00C662B5">
        <w:t xml:space="preserve"> </w:t>
      </w:r>
      <w:r w:rsidR="00350077">
        <w:t>Sufi, 2007</w:t>
      </w:r>
      <w:r w:rsidR="00AE65F9" w:rsidRPr="00C662B5">
        <w:t xml:space="preserve">). </w:t>
      </w:r>
      <w:r w:rsidR="003D6359" w:rsidRPr="00C662B5">
        <w:t xml:space="preserve">In the syndicate market, </w:t>
      </w:r>
      <w:r w:rsidR="004B626F">
        <w:t xml:space="preserve">retaining a larger share of the loan </w:t>
      </w:r>
      <w:r w:rsidR="00FD16B9" w:rsidRPr="00C662B5">
        <w:t xml:space="preserve">is </w:t>
      </w:r>
      <w:r w:rsidR="004B626F">
        <w:t xml:space="preserve">seen as </w:t>
      </w:r>
      <w:r w:rsidR="00FD16B9" w:rsidRPr="00C662B5">
        <w:t xml:space="preserve">a mechanism to </w:t>
      </w:r>
      <w:r w:rsidR="004B626F">
        <w:t>incentivize</w:t>
      </w:r>
      <w:r w:rsidR="004B626F" w:rsidRPr="00C662B5">
        <w:t xml:space="preserve"> </w:t>
      </w:r>
      <w:r w:rsidR="00FD16B9" w:rsidRPr="00C662B5">
        <w:t xml:space="preserve">the lead agent to exert </w:t>
      </w:r>
      <w:r w:rsidR="004B626F">
        <w:t>the optimal level of</w:t>
      </w:r>
      <w:r w:rsidR="00FD16B9" w:rsidRPr="00C662B5">
        <w:t xml:space="preserve"> </w:t>
      </w:r>
      <w:r w:rsidR="004B626F">
        <w:t xml:space="preserve">monitoring </w:t>
      </w:r>
      <w:r w:rsidR="00AE65F9" w:rsidRPr="00C662B5">
        <w:t>(</w:t>
      </w:r>
      <w:r w:rsidR="00AE65F9" w:rsidRPr="00BC40D3">
        <w:t xml:space="preserve">Diamond, 1984; </w:t>
      </w:r>
      <w:r w:rsidR="00350077" w:rsidRPr="00BC40D3">
        <w:t xml:space="preserve">Gustafson et al., 2020; </w:t>
      </w:r>
      <w:r w:rsidR="00AE65F9" w:rsidRPr="00BC40D3">
        <w:t>Holmstrom and Tirole, 1997; Lin et al</w:t>
      </w:r>
      <w:r w:rsidR="00350077" w:rsidRPr="00BC40D3">
        <w:t>.</w:t>
      </w:r>
      <w:r w:rsidR="00AE65F9" w:rsidRPr="00BC40D3">
        <w:t>, 2012</w:t>
      </w:r>
      <w:r w:rsidR="00AE65F9" w:rsidRPr="00C662B5">
        <w:t xml:space="preserve">). </w:t>
      </w:r>
      <w:r w:rsidR="00416FAA">
        <w:t>The</w:t>
      </w:r>
      <w:r w:rsidR="006364A8" w:rsidRPr="006364A8">
        <w:t xml:space="preserve"> lead agent's potential loss is </w:t>
      </w:r>
      <w:r w:rsidR="00416FAA">
        <w:t xml:space="preserve">indeed </w:t>
      </w:r>
      <w:r w:rsidR="006364A8" w:rsidRPr="006364A8">
        <w:t xml:space="preserve">increasing in the fraction of the loan it </w:t>
      </w:r>
      <w:r w:rsidR="00416FAA">
        <w:t>keeps</w:t>
      </w:r>
      <w:r w:rsidR="006364A8" w:rsidRPr="006364A8">
        <w:t xml:space="preserve">, and so </w:t>
      </w:r>
      <w:r w:rsidR="00416FAA">
        <w:t>the</w:t>
      </w:r>
      <w:r w:rsidR="006364A8" w:rsidRPr="006364A8">
        <w:t xml:space="preserve"> amount of effort </w:t>
      </w:r>
      <w:r w:rsidR="00416FAA">
        <w:t>provided by the lead agent</w:t>
      </w:r>
      <w:r w:rsidR="006364A8" w:rsidRPr="006364A8">
        <w:t xml:space="preserve"> in due diligence and monitoring is declining in the fraction of the loan it </w:t>
      </w:r>
      <w:r w:rsidR="00FB2F07">
        <w:t>allocated</w:t>
      </w:r>
      <w:r w:rsidR="006364A8" w:rsidRPr="006364A8">
        <w:t xml:space="preserve"> to other lenders (</w:t>
      </w:r>
      <w:r w:rsidR="00FB2F07" w:rsidRPr="00C662B5">
        <w:t>Gustafson et al., 2020</w:t>
      </w:r>
      <w:r w:rsidR="00BC40D3">
        <w:t>;</w:t>
      </w:r>
      <w:r w:rsidR="00BC40D3" w:rsidRPr="00BC40D3">
        <w:t xml:space="preserve"> </w:t>
      </w:r>
      <w:r w:rsidR="00BC40D3" w:rsidRPr="006364A8">
        <w:t>Sufi, 2007</w:t>
      </w:r>
      <w:r w:rsidR="006364A8" w:rsidRPr="006364A8">
        <w:t xml:space="preserve">). </w:t>
      </w:r>
      <w:bookmarkEnd w:id="13"/>
      <w:r w:rsidR="003D6359" w:rsidRPr="00C662B5">
        <w:t xml:space="preserve">Following this line of arguments, </w:t>
      </w:r>
      <w:r w:rsidR="00FD16B9" w:rsidRPr="00C662B5">
        <w:t xml:space="preserve">our expectation is </w:t>
      </w:r>
      <w:r w:rsidR="003D6359" w:rsidRPr="00C662B5">
        <w:t xml:space="preserve">therefore </w:t>
      </w:r>
      <w:r w:rsidR="00FD16B9" w:rsidRPr="00C662B5">
        <w:t xml:space="preserve">that the lead agent </w:t>
      </w:r>
      <w:r w:rsidR="000F1436" w:rsidRPr="00C662B5">
        <w:t>retains</w:t>
      </w:r>
      <w:r w:rsidR="00FD16B9" w:rsidRPr="00C662B5">
        <w:t xml:space="preserve"> higher </w:t>
      </w:r>
      <w:r w:rsidR="000F1436" w:rsidRPr="00C662B5">
        <w:t>participating</w:t>
      </w:r>
      <w:r w:rsidR="00FD16B9" w:rsidRPr="00C662B5">
        <w:t xml:space="preserve"> shares for </w:t>
      </w:r>
      <w:r w:rsidR="00EF4DCD">
        <w:t xml:space="preserve">the </w:t>
      </w:r>
      <w:r w:rsidR="00FD16B9" w:rsidRPr="00C662B5">
        <w:t xml:space="preserve">borrower with large customer-supplier </w:t>
      </w:r>
      <w:r w:rsidR="0099693E">
        <w:t>link</w:t>
      </w:r>
      <w:r w:rsidR="00FD16B9" w:rsidRPr="00C662B5">
        <w:t>s</w:t>
      </w:r>
      <w:r w:rsidR="000F1436" w:rsidRPr="00C662B5">
        <w:t>.</w:t>
      </w:r>
      <w:bookmarkEnd w:id="14"/>
      <w:r w:rsidR="000F1436" w:rsidRPr="00C662B5">
        <w:t xml:space="preserve"> </w:t>
      </w:r>
    </w:p>
    <w:p w14:paraId="4D0F5A5F" w14:textId="7456EBA0" w:rsidR="00621490" w:rsidRDefault="000B58F2" w:rsidP="00E64313">
      <w:pPr>
        <w:autoSpaceDE w:val="0"/>
        <w:autoSpaceDN w:val="0"/>
        <w:adjustRightInd w:val="0"/>
        <w:spacing w:line="480" w:lineRule="auto"/>
        <w:ind w:firstLine="567"/>
        <w:jc w:val="both"/>
      </w:pPr>
      <w:bookmarkStart w:id="15" w:name="_Hlk51792122"/>
      <w:bookmarkStart w:id="16" w:name="_Hlk51318882"/>
      <w:r>
        <w:t xml:space="preserve">We further hypothesize that such </w:t>
      </w:r>
      <w:r w:rsidR="004E7D2D">
        <w:t xml:space="preserve">an </w:t>
      </w:r>
      <w:r w:rsidR="00621490" w:rsidRPr="001B3144">
        <w:t xml:space="preserve">effect </w:t>
      </w:r>
      <w:r w:rsidR="00916750">
        <w:t>is</w:t>
      </w:r>
      <w:r>
        <w:t xml:space="preserve"> </w:t>
      </w:r>
      <w:r w:rsidR="0056078E">
        <w:t>stronger as the</w:t>
      </w:r>
      <w:r>
        <w:t xml:space="preserve"> relationship between large </w:t>
      </w:r>
      <w:r w:rsidR="00A96E56">
        <w:t xml:space="preserve">customer </w:t>
      </w:r>
      <w:r>
        <w:t>and supplier</w:t>
      </w:r>
      <w:r w:rsidR="0056078E">
        <w:t xml:space="preserve"> </w:t>
      </w:r>
      <w:r w:rsidR="004E7D2D">
        <w:t>intensifies</w:t>
      </w:r>
      <w:r>
        <w:t xml:space="preserve">. </w:t>
      </w:r>
      <w:r w:rsidR="00E55A51">
        <w:t>Tighter</w:t>
      </w:r>
      <w:r w:rsidR="00BA74AD" w:rsidRPr="00C74013">
        <w:t xml:space="preserve"> </w:t>
      </w:r>
      <w:r w:rsidR="00E64313" w:rsidRPr="00C74013">
        <w:t>links between large customers and suppliers</w:t>
      </w:r>
      <w:r w:rsidR="009B52D5" w:rsidRPr="00C74013">
        <w:t xml:space="preserve"> </w:t>
      </w:r>
      <w:r w:rsidR="00916750" w:rsidRPr="00C74013">
        <w:t xml:space="preserve">might </w:t>
      </w:r>
      <w:r w:rsidR="003D6359" w:rsidRPr="00C74013">
        <w:t>intensify the</w:t>
      </w:r>
      <w:r w:rsidR="00621490" w:rsidRPr="00C74013">
        <w:t xml:space="preserve"> “hold-up” </w:t>
      </w:r>
      <w:r w:rsidR="003D6359" w:rsidRPr="00C74013">
        <w:t>problem</w:t>
      </w:r>
      <w:r w:rsidR="006F6FB4" w:rsidRPr="00C74013">
        <w:t xml:space="preserve"> and </w:t>
      </w:r>
      <w:r w:rsidR="00BA74AD">
        <w:t xml:space="preserve">increase </w:t>
      </w:r>
      <w:r w:rsidR="006F6FB4" w:rsidRPr="00C74013">
        <w:t>switching costs</w:t>
      </w:r>
      <w:r w:rsidR="00BA74AD">
        <w:t>,</w:t>
      </w:r>
      <w:r w:rsidR="006F6FB4" w:rsidRPr="00C74013">
        <w:t xml:space="preserve"> which </w:t>
      </w:r>
      <w:r w:rsidR="000A41BA" w:rsidRPr="00C74013">
        <w:t>could</w:t>
      </w:r>
      <w:r w:rsidR="006F6FB4" w:rsidRPr="00C74013">
        <w:t xml:space="preserve"> make it difficult to </w:t>
      </w:r>
      <w:r w:rsidR="004E7D2D">
        <w:t>dismantle</w:t>
      </w:r>
      <w:r w:rsidR="006F6FB4" w:rsidRPr="00C74013">
        <w:t xml:space="preserve"> </w:t>
      </w:r>
      <w:r w:rsidR="00B032BB" w:rsidRPr="00C74013">
        <w:t xml:space="preserve">such </w:t>
      </w:r>
      <w:r w:rsidR="006F6FB4" w:rsidRPr="00C74013">
        <w:t xml:space="preserve">relationships </w:t>
      </w:r>
      <w:r w:rsidR="00621490" w:rsidRPr="00C74013">
        <w:t>(</w:t>
      </w:r>
      <w:r w:rsidR="00FB2F07" w:rsidRPr="00BC40D3">
        <w:t xml:space="preserve">Cunat, 2007; </w:t>
      </w:r>
      <w:r w:rsidR="00621490" w:rsidRPr="00BC40D3">
        <w:t>Nagarajan and Bassok, 2008).</w:t>
      </w:r>
      <w:r w:rsidR="00621490" w:rsidRPr="00C74013">
        <w:t xml:space="preserve"> </w:t>
      </w:r>
      <w:r w:rsidR="00856E3A" w:rsidRPr="00C74013">
        <w:t xml:space="preserve">Furthermore, </w:t>
      </w:r>
      <w:r w:rsidRPr="00C74013">
        <w:t>firms could be</w:t>
      </w:r>
      <w:r w:rsidR="00856E3A" w:rsidRPr="00C74013">
        <w:t xml:space="preserve"> more exposed to financial distress spillovers</w:t>
      </w:r>
      <w:r w:rsidR="001C4AA8" w:rsidRPr="00C74013">
        <w:t xml:space="preserve"> due to cash flow correlations</w:t>
      </w:r>
      <w:r w:rsidR="00856E3A" w:rsidRPr="00C74013">
        <w:t xml:space="preserve">. </w:t>
      </w:r>
      <w:r w:rsidR="001C4AA8" w:rsidRPr="00C74013">
        <w:t>Consistently, previous studies show that</w:t>
      </w:r>
      <w:r w:rsidR="002F5B11" w:rsidRPr="00C74013">
        <w:t xml:space="preserve"> c</w:t>
      </w:r>
      <w:r w:rsidR="00621490" w:rsidRPr="00C74013">
        <w:t xml:space="preserve">loser </w:t>
      </w:r>
      <w:r w:rsidR="0099693E" w:rsidRPr="00C74013">
        <w:t>link</w:t>
      </w:r>
      <w:r w:rsidR="00621490" w:rsidRPr="00C74013">
        <w:t xml:space="preserve">s between firms and their </w:t>
      </w:r>
      <w:r w:rsidR="0043098D" w:rsidRPr="00C74013">
        <w:t xml:space="preserve">large </w:t>
      </w:r>
      <w:r w:rsidR="00C2325A" w:rsidRPr="00C74013">
        <w:t>customer</w:t>
      </w:r>
      <w:r w:rsidR="004F55C9" w:rsidRPr="00C74013">
        <w:t xml:space="preserve">-supplier firms </w:t>
      </w:r>
      <w:r w:rsidR="0056078E">
        <w:t>increase</w:t>
      </w:r>
      <w:r w:rsidR="0056078E" w:rsidRPr="00C74013">
        <w:t xml:space="preserve"> </w:t>
      </w:r>
      <w:r w:rsidR="00621490" w:rsidRPr="00C74013">
        <w:t>the contagion effects and liquidity shocks’ spillover when disruptions occur at one or more firms in the chain (</w:t>
      </w:r>
      <w:r w:rsidR="00EF4DCD" w:rsidRPr="00BC40D3">
        <w:t xml:space="preserve">Boissay and Gropp, 2013; </w:t>
      </w:r>
      <w:r w:rsidR="00621490" w:rsidRPr="00BC40D3">
        <w:t>Hertzel et al.</w:t>
      </w:r>
      <w:r w:rsidR="00EF4DCD" w:rsidRPr="00BC40D3">
        <w:t>,</w:t>
      </w:r>
      <w:r w:rsidR="00621490" w:rsidRPr="00BC40D3">
        <w:t xml:space="preserve"> 2008</w:t>
      </w:r>
      <w:r w:rsidR="00621490" w:rsidRPr="00C74013">
        <w:t>).</w:t>
      </w:r>
      <w:r w:rsidR="002F5B11" w:rsidRPr="00C74013">
        <w:t xml:space="preserve"> </w:t>
      </w:r>
      <w:r w:rsidR="004E7D2D">
        <w:t>Such</w:t>
      </w:r>
      <w:r w:rsidR="001C4AA8" w:rsidRPr="00C74013">
        <w:t xml:space="preserve"> occurrences </w:t>
      </w:r>
      <w:r w:rsidR="006F6FB4" w:rsidRPr="00C74013">
        <w:t>may</w:t>
      </w:r>
      <w:r w:rsidR="001C4AA8" w:rsidRPr="00C74013">
        <w:t xml:space="preserve"> therefore</w:t>
      </w:r>
      <w:r w:rsidR="006F6FB4" w:rsidRPr="00C74013">
        <w:t xml:space="preserve"> require closer scrutiny from the lead agent</w:t>
      </w:r>
      <w:r w:rsidR="002F5B11" w:rsidRPr="00C74013">
        <w:t>.</w:t>
      </w:r>
      <w:r w:rsidR="000A41BA" w:rsidRPr="00C74013">
        <w:rPr>
          <w:rFonts w:ascii="CharisSIL" w:eastAsia="DengXian" w:hAnsi="CharisSIL" w:cs="CharisSIL"/>
          <w:sz w:val="16"/>
          <w:szCs w:val="16"/>
          <w:lang w:val="en-GB" w:eastAsia="zh-CN"/>
        </w:rPr>
        <w:t xml:space="preserve"> </w:t>
      </w:r>
      <w:bookmarkEnd w:id="15"/>
      <w:r w:rsidR="0056078E">
        <w:t>However, some studies argue that l</w:t>
      </w:r>
      <w:r w:rsidR="0056078E" w:rsidRPr="006C47B2">
        <w:t>ong-term</w:t>
      </w:r>
      <w:r w:rsidR="0056078E">
        <w:t xml:space="preserve"> and</w:t>
      </w:r>
      <w:r w:rsidR="0056078E" w:rsidRPr="006C47B2">
        <w:t xml:space="preserve"> tightly integrated </w:t>
      </w:r>
      <w:r w:rsidR="0056078E">
        <w:t xml:space="preserve">supply chain </w:t>
      </w:r>
      <w:r w:rsidR="0056078E" w:rsidRPr="006C47B2">
        <w:t>relationship</w:t>
      </w:r>
      <w:r w:rsidR="0056078E">
        <w:t>s</w:t>
      </w:r>
      <w:r w:rsidR="0056078E" w:rsidRPr="006C47B2">
        <w:t xml:space="preserve"> </w:t>
      </w:r>
      <w:r w:rsidR="0056078E">
        <w:t>may</w:t>
      </w:r>
      <w:r w:rsidR="0056078E" w:rsidRPr="006C47B2">
        <w:t xml:space="preserve"> improve quality</w:t>
      </w:r>
      <w:r w:rsidR="0056078E">
        <w:t>,</w:t>
      </w:r>
      <w:r w:rsidR="0056078E" w:rsidRPr="006C47B2">
        <w:t xml:space="preserve"> lower total </w:t>
      </w:r>
      <w:r w:rsidR="00342187" w:rsidRPr="006C47B2">
        <w:t>costs,</w:t>
      </w:r>
      <w:r w:rsidR="0056078E">
        <w:t xml:space="preserve"> and </w:t>
      </w:r>
      <w:r w:rsidR="0056078E">
        <w:rPr>
          <w:rFonts w:eastAsia="DengXian"/>
          <w:lang w:val="en-GB" w:eastAsia="zh-CN"/>
        </w:rPr>
        <w:t>allow banks</w:t>
      </w:r>
      <w:r w:rsidR="0056078E" w:rsidRPr="001B3144">
        <w:rPr>
          <w:rFonts w:eastAsia="DengXian"/>
          <w:lang w:val="en-GB" w:eastAsia="zh-CN"/>
        </w:rPr>
        <w:t xml:space="preserve"> </w:t>
      </w:r>
      <w:r w:rsidR="0056078E">
        <w:rPr>
          <w:rFonts w:eastAsia="DengXian"/>
          <w:lang w:val="en-GB" w:eastAsia="zh-CN"/>
        </w:rPr>
        <w:t xml:space="preserve">to </w:t>
      </w:r>
      <w:r w:rsidR="0056078E" w:rsidRPr="001B3144">
        <w:rPr>
          <w:rFonts w:eastAsia="DengXian"/>
          <w:lang w:val="en-GB" w:eastAsia="zh-CN"/>
        </w:rPr>
        <w:t xml:space="preserve">acquire in-depth knowledge </w:t>
      </w:r>
      <w:r w:rsidR="0056078E">
        <w:rPr>
          <w:rFonts w:eastAsia="DengXian"/>
          <w:lang w:val="en-GB" w:eastAsia="zh-CN"/>
        </w:rPr>
        <w:t xml:space="preserve">on possible </w:t>
      </w:r>
      <w:r w:rsidR="0056078E" w:rsidRPr="001B3144">
        <w:rPr>
          <w:rFonts w:eastAsia="DengXian"/>
          <w:lang w:val="en-GB" w:eastAsia="zh-CN"/>
        </w:rPr>
        <w:t>changes to industry conditions and partner</w:t>
      </w:r>
      <w:r w:rsidR="004E7D2D">
        <w:rPr>
          <w:rFonts w:eastAsia="DengXian"/>
          <w:lang w:val="en-GB" w:eastAsia="zh-CN"/>
        </w:rPr>
        <w:t>s</w:t>
      </w:r>
      <w:r w:rsidR="0056078E" w:rsidRPr="001B3144">
        <w:rPr>
          <w:rFonts w:eastAsia="DengXian"/>
          <w:lang w:val="en-GB" w:eastAsia="zh-CN"/>
        </w:rPr>
        <w:t>’ factors of production</w:t>
      </w:r>
      <w:r w:rsidR="0056078E">
        <w:rPr>
          <w:rFonts w:eastAsia="DengXian"/>
          <w:lang w:val="en-GB" w:eastAsia="zh-CN"/>
        </w:rPr>
        <w:t xml:space="preserve"> (e.g.</w:t>
      </w:r>
      <w:r w:rsidR="00A3380C">
        <w:rPr>
          <w:rFonts w:eastAsia="DengXian"/>
          <w:lang w:val="en-GB" w:eastAsia="zh-CN"/>
        </w:rPr>
        <w:t>,</w:t>
      </w:r>
      <w:r w:rsidR="0056078E">
        <w:rPr>
          <w:rFonts w:eastAsia="DengXian"/>
          <w:lang w:val="en-GB" w:eastAsia="zh-CN"/>
        </w:rPr>
        <w:t xml:space="preserve"> </w:t>
      </w:r>
      <w:r w:rsidR="0056078E" w:rsidRPr="00F672CA">
        <w:rPr>
          <w:rFonts w:eastAsia="DengXian"/>
          <w:lang w:val="en-GB" w:eastAsia="zh-CN"/>
        </w:rPr>
        <w:t xml:space="preserve">Hasan et al., </w:t>
      </w:r>
      <w:r w:rsidR="0056078E" w:rsidRPr="00CA1B3E">
        <w:rPr>
          <w:rFonts w:eastAsia="DengXian"/>
          <w:lang w:val="en-GB" w:eastAsia="zh-CN"/>
        </w:rPr>
        <w:t>2020</w:t>
      </w:r>
      <w:r w:rsidR="0056078E">
        <w:rPr>
          <w:rFonts w:eastAsia="DengXian"/>
          <w:lang w:val="en-GB" w:eastAsia="zh-CN"/>
        </w:rPr>
        <w:t>)</w:t>
      </w:r>
      <w:r w:rsidR="0056078E" w:rsidRPr="00FE42DC">
        <w:t xml:space="preserve">. </w:t>
      </w:r>
      <w:r w:rsidR="0056078E">
        <w:t xml:space="preserve">Since it may take a long time </w:t>
      </w:r>
      <w:r w:rsidR="00342187">
        <w:t xml:space="preserve">to build a credible signal about the firm’s quality through the customer-supplier relationship and </w:t>
      </w:r>
      <w:r w:rsidR="008009C7">
        <w:t>signal the borrower’s quality</w:t>
      </w:r>
      <w:r w:rsidR="00342187">
        <w:t xml:space="preserve"> (Cen et al., 2016), we expect a curvilinear inverted U-shape</w:t>
      </w:r>
      <w:r w:rsidR="00EF4DCD">
        <w:t>d</w:t>
      </w:r>
      <w:r w:rsidR="00342187">
        <w:t xml:space="preserve"> relationship between the length of the relationship and the share of the loan held by the lead</w:t>
      </w:r>
      <w:r w:rsidR="0042227D">
        <w:t xml:space="preserve"> </w:t>
      </w:r>
      <w:r w:rsidR="00834D75">
        <w:t>agent</w:t>
      </w:r>
      <w:r w:rsidR="00342187">
        <w:t xml:space="preserve">. </w:t>
      </w:r>
      <w:r w:rsidR="00297FD3" w:rsidRPr="00C74013">
        <w:t>W</w:t>
      </w:r>
      <w:r w:rsidR="00621490" w:rsidRPr="00C74013">
        <w:t xml:space="preserve">e therefore propose the following testable </w:t>
      </w:r>
      <w:r w:rsidR="001C4AA8" w:rsidRPr="00C74013">
        <w:t>hypothesis</w:t>
      </w:r>
      <w:r w:rsidR="00621490" w:rsidRPr="00C74013">
        <w:t>:</w:t>
      </w:r>
    </w:p>
    <w:p w14:paraId="610AC08E" w14:textId="77777777" w:rsidR="001C4AA8" w:rsidRPr="000A41BA" w:rsidRDefault="001C4AA8" w:rsidP="000B58F2">
      <w:pPr>
        <w:autoSpaceDE w:val="0"/>
        <w:autoSpaceDN w:val="0"/>
        <w:adjustRightInd w:val="0"/>
        <w:spacing w:line="480" w:lineRule="auto"/>
        <w:ind w:firstLine="567"/>
        <w:jc w:val="both"/>
        <w:rPr>
          <w:rFonts w:ascii="CharisSIL" w:eastAsia="DengXian" w:hAnsi="CharisSIL" w:cs="CharisSIL"/>
          <w:sz w:val="16"/>
          <w:szCs w:val="16"/>
          <w:lang w:val="en-GB" w:eastAsia="zh-CN"/>
        </w:rPr>
      </w:pPr>
    </w:p>
    <w:p w14:paraId="748A03D0" w14:textId="78E0D581" w:rsidR="00621490" w:rsidRDefault="00E9141C" w:rsidP="001C4AA8">
      <w:pPr>
        <w:autoSpaceDE w:val="0"/>
        <w:autoSpaceDN w:val="0"/>
        <w:adjustRightInd w:val="0"/>
        <w:spacing w:line="480" w:lineRule="auto"/>
        <w:jc w:val="both"/>
        <w:rPr>
          <w:i/>
          <w:iCs/>
        </w:rPr>
      </w:pPr>
      <w:bookmarkStart w:id="17" w:name="_Hlk56629813"/>
      <w:r w:rsidRPr="00B25EEC">
        <w:rPr>
          <w:i/>
          <w:iCs/>
        </w:rPr>
        <w:t>H</w:t>
      </w:r>
      <w:r w:rsidRPr="00122336">
        <w:rPr>
          <w:i/>
          <w:iCs/>
        </w:rPr>
        <w:t xml:space="preserve">1: The lead agents should retain a larger loan fraction for firms </w:t>
      </w:r>
      <w:r w:rsidRPr="00E15D12">
        <w:rPr>
          <w:i/>
          <w:iCs/>
        </w:rPr>
        <w:t xml:space="preserve">with </w:t>
      </w:r>
      <w:r>
        <w:rPr>
          <w:i/>
          <w:iCs/>
        </w:rPr>
        <w:t>large</w:t>
      </w:r>
      <w:r w:rsidRPr="00E15D12">
        <w:rPr>
          <w:i/>
          <w:iCs/>
        </w:rPr>
        <w:t xml:space="preserve"> customer-supplier </w:t>
      </w:r>
      <w:r>
        <w:rPr>
          <w:i/>
          <w:iCs/>
        </w:rPr>
        <w:t>links</w:t>
      </w:r>
      <w:r w:rsidR="00BA74AD">
        <w:rPr>
          <w:i/>
          <w:iCs/>
        </w:rPr>
        <w:t xml:space="preserve">. </w:t>
      </w:r>
      <w:r w:rsidR="00342187">
        <w:rPr>
          <w:i/>
          <w:iCs/>
        </w:rPr>
        <w:t xml:space="preserve">Due to the costs and benefits associated with a long-term customer-supplier link, </w:t>
      </w:r>
      <w:r w:rsidR="00D44114">
        <w:rPr>
          <w:i/>
          <w:iCs/>
        </w:rPr>
        <w:t>there should be</w:t>
      </w:r>
      <w:r w:rsidR="00342187" w:rsidRPr="00C74013">
        <w:rPr>
          <w:i/>
          <w:iCs/>
        </w:rPr>
        <w:t xml:space="preserve"> a curvilinear inverted U-shape</w:t>
      </w:r>
      <w:r w:rsidR="00D753F2">
        <w:rPr>
          <w:i/>
          <w:iCs/>
        </w:rPr>
        <w:t>d</w:t>
      </w:r>
      <w:r w:rsidR="00342187" w:rsidRPr="00C74013">
        <w:rPr>
          <w:i/>
          <w:iCs/>
        </w:rPr>
        <w:t xml:space="preserve"> relationship between the length of the relationship and the share of the loan held by the lead</w:t>
      </w:r>
      <w:r w:rsidR="0042227D">
        <w:rPr>
          <w:i/>
          <w:iCs/>
        </w:rPr>
        <w:t xml:space="preserve"> </w:t>
      </w:r>
      <w:r w:rsidR="00834D75">
        <w:rPr>
          <w:i/>
          <w:iCs/>
        </w:rPr>
        <w:t>agent</w:t>
      </w:r>
      <w:r w:rsidR="00342187" w:rsidRPr="00C74013">
        <w:rPr>
          <w:i/>
          <w:iCs/>
        </w:rPr>
        <w:t xml:space="preserve">. </w:t>
      </w:r>
      <w:bookmarkEnd w:id="16"/>
    </w:p>
    <w:bookmarkEnd w:id="17"/>
    <w:p w14:paraId="6DC148E8" w14:textId="77777777" w:rsidR="00F47EB0" w:rsidRDefault="00F47EB0" w:rsidP="001C4AA8">
      <w:pPr>
        <w:autoSpaceDE w:val="0"/>
        <w:autoSpaceDN w:val="0"/>
        <w:adjustRightInd w:val="0"/>
        <w:spacing w:line="480" w:lineRule="auto"/>
        <w:jc w:val="both"/>
        <w:rPr>
          <w:i/>
          <w:iCs/>
        </w:rPr>
      </w:pPr>
    </w:p>
    <w:p w14:paraId="2B16E059" w14:textId="43E4C786" w:rsidR="00C1670E" w:rsidRDefault="00327C65" w:rsidP="00DD1BD4">
      <w:pPr>
        <w:autoSpaceDE w:val="0"/>
        <w:autoSpaceDN w:val="0"/>
        <w:adjustRightInd w:val="0"/>
        <w:spacing w:line="480" w:lineRule="auto"/>
        <w:ind w:firstLine="567"/>
        <w:jc w:val="both"/>
      </w:pPr>
      <w:bookmarkStart w:id="18" w:name="_Hlk51792698"/>
      <w:bookmarkStart w:id="19" w:name="_Hlk51321754"/>
      <w:bookmarkStart w:id="20" w:name="_Hlk51319029"/>
      <w:r w:rsidRPr="001554F3">
        <w:t xml:space="preserve">Although the increase of the loan fraction held by the lead </w:t>
      </w:r>
      <w:r w:rsidR="00834D75">
        <w:t xml:space="preserve">agent </w:t>
      </w:r>
      <w:r w:rsidRPr="001554F3">
        <w:t xml:space="preserve">reduces adverse selection concerns in the syndicate, it also </w:t>
      </w:r>
      <w:r w:rsidR="00800F41" w:rsidRPr="001554F3">
        <w:t>results in additional</w:t>
      </w:r>
      <w:r w:rsidRPr="001554F3">
        <w:t xml:space="preserve"> costs for the lead agent.</w:t>
      </w:r>
      <w:r w:rsidR="0063054D">
        <w:t xml:space="preserve"> </w:t>
      </w:r>
      <w:r w:rsidR="001260CA">
        <w:t>In fact, t</w:t>
      </w:r>
      <w:r w:rsidR="00C401E3">
        <w:t xml:space="preserve">he lead agent </w:t>
      </w:r>
      <w:r w:rsidR="00C401E3" w:rsidRPr="00557065">
        <w:t>bears</w:t>
      </w:r>
      <w:r w:rsidR="00C401E3" w:rsidRPr="00557065" w:rsidDel="00557065">
        <w:t xml:space="preserve"> </w:t>
      </w:r>
      <w:r w:rsidR="00C401E3" w:rsidRPr="00557065">
        <w:t>most of the costs for due diligence and monitoring</w:t>
      </w:r>
      <w:r w:rsidR="005E5A20">
        <w:t xml:space="preserve"> </w:t>
      </w:r>
      <w:r w:rsidR="00D62BD1">
        <w:t>activities</w:t>
      </w:r>
      <w:r w:rsidR="00C401E3" w:rsidRPr="00557065">
        <w:t xml:space="preserve">, </w:t>
      </w:r>
      <w:r w:rsidR="00C401E3">
        <w:t>but it</w:t>
      </w:r>
      <w:r w:rsidR="00C401E3" w:rsidRPr="00557065">
        <w:t xml:space="preserve"> only</w:t>
      </w:r>
      <w:r w:rsidR="00C401E3">
        <w:t xml:space="preserve"> </w:t>
      </w:r>
      <w:r w:rsidR="004E7D2D">
        <w:t>retains</w:t>
      </w:r>
      <w:r w:rsidR="00C401E3" w:rsidRPr="00557065">
        <w:t>a fraction of the loan</w:t>
      </w:r>
      <w:r w:rsidR="00C401E3">
        <w:t xml:space="preserve"> (Lin et al., 2012)</w:t>
      </w:r>
      <w:r w:rsidR="00C401E3" w:rsidRPr="00557065">
        <w:t>.</w:t>
      </w:r>
      <w:r w:rsidR="00C401E3" w:rsidRPr="00BE5FB7">
        <w:t xml:space="preserve"> </w:t>
      </w:r>
      <w:r w:rsidR="00EF4DCD">
        <w:t>In fact, a</w:t>
      </w:r>
      <w:r w:rsidR="00BA49A6" w:rsidRPr="001B3144">
        <w:t xml:space="preserve"> larger loan ownership’s dispersion allows the lead agent to benefit from a greater diversification of risk exposure across lenders (Esty and Megginson, 2003).</w:t>
      </w:r>
      <w:r w:rsidR="003A398A" w:rsidRPr="001B3144">
        <w:t xml:space="preserve"> </w:t>
      </w:r>
      <w:r w:rsidR="000A41BA">
        <w:t>By retaining</w:t>
      </w:r>
      <w:r w:rsidR="007976AA" w:rsidRPr="001B3144">
        <w:t xml:space="preserve"> </w:t>
      </w:r>
      <w:r w:rsidR="000A41BA">
        <w:t>a greater loan f</w:t>
      </w:r>
      <w:r w:rsidR="00DF74DA">
        <w:t>r</w:t>
      </w:r>
      <w:r w:rsidR="000A41BA">
        <w:t xml:space="preserve">action, the </w:t>
      </w:r>
      <w:r w:rsidR="007976AA" w:rsidRPr="001B3144">
        <w:t xml:space="preserve">lead agent </w:t>
      </w:r>
      <w:r w:rsidR="00DF74DA">
        <w:t>instead</w:t>
      </w:r>
      <w:r w:rsidR="00867C77">
        <w:t xml:space="preserve"> </w:t>
      </w:r>
      <w:r w:rsidR="007976AA" w:rsidRPr="00D25D4A">
        <w:t>raise</w:t>
      </w:r>
      <w:r w:rsidR="000A41BA">
        <w:t>s</w:t>
      </w:r>
      <w:r w:rsidR="007976AA" w:rsidRPr="00D25D4A">
        <w:t xml:space="preserve"> its credit risk</w:t>
      </w:r>
      <w:r w:rsidR="007C01E0">
        <w:t xml:space="preserve">’s </w:t>
      </w:r>
      <w:r w:rsidR="007976AA" w:rsidRPr="00D25D4A">
        <w:t>exposure to the borrower</w:t>
      </w:r>
      <w:r w:rsidR="00FB2F07">
        <w:t>.</w:t>
      </w:r>
      <w:r w:rsidR="000A41BA">
        <w:rPr>
          <w:rStyle w:val="FootnoteReference"/>
        </w:rPr>
        <w:footnoteReference w:id="3"/>
      </w:r>
      <w:r w:rsidR="007976AA" w:rsidRPr="00D25D4A">
        <w:t xml:space="preserve"> </w:t>
      </w:r>
      <w:r w:rsidR="007C01E0">
        <w:t xml:space="preserve">For this reason, as </w:t>
      </w:r>
      <w:r w:rsidR="000A41BA">
        <w:t>pointed out by</w:t>
      </w:r>
      <w:r w:rsidR="004227E7">
        <w:t xml:space="preserve"> </w:t>
      </w:r>
      <w:r w:rsidR="00180B85">
        <w:t xml:space="preserve">several studies </w:t>
      </w:r>
      <w:r w:rsidR="004227E7">
        <w:t>(</w:t>
      </w:r>
      <w:r w:rsidR="00EF4DCD">
        <w:t xml:space="preserve">e.g., </w:t>
      </w:r>
      <w:r w:rsidR="00EF4DCD" w:rsidRPr="00D25D4A">
        <w:t>Demsetz</w:t>
      </w:r>
      <w:r w:rsidR="00EF4DCD">
        <w:t>, 2000;</w:t>
      </w:r>
      <w:r w:rsidR="00EF4DCD" w:rsidRPr="00EF4DCD">
        <w:t xml:space="preserve"> </w:t>
      </w:r>
      <w:r w:rsidR="00EF4DCD" w:rsidRPr="00D25D4A">
        <w:t>Gorton and Pennacchi</w:t>
      </w:r>
      <w:r w:rsidR="00EF4DCD">
        <w:t xml:space="preserve">, </w:t>
      </w:r>
      <w:r w:rsidR="00EF4DCD" w:rsidRPr="00D25D4A">
        <w:t>1995</w:t>
      </w:r>
      <w:r w:rsidR="00EF4DCD">
        <w:t xml:space="preserve">; </w:t>
      </w:r>
      <w:r w:rsidR="003A398A" w:rsidRPr="00D25D4A">
        <w:t>Pavel</w:t>
      </w:r>
      <w:r w:rsidR="007976AA" w:rsidRPr="00D25D4A">
        <w:t xml:space="preserve"> </w:t>
      </w:r>
      <w:r w:rsidR="003A398A" w:rsidRPr="00D25D4A">
        <w:t>and</w:t>
      </w:r>
      <w:r w:rsidR="007976AA" w:rsidRPr="00D25D4A">
        <w:t xml:space="preserve"> </w:t>
      </w:r>
      <w:r w:rsidR="003A398A" w:rsidRPr="00D25D4A">
        <w:t>Phillis</w:t>
      </w:r>
      <w:r w:rsidR="004227E7">
        <w:t xml:space="preserve">, </w:t>
      </w:r>
      <w:r w:rsidR="003A398A" w:rsidRPr="00D25D4A">
        <w:t>1987</w:t>
      </w:r>
      <w:r w:rsidR="004227E7">
        <w:t>;</w:t>
      </w:r>
      <w:r w:rsidR="003A398A" w:rsidRPr="00D25D4A">
        <w:t xml:space="preserve"> Pennacchi</w:t>
      </w:r>
      <w:r w:rsidR="004227E7">
        <w:t xml:space="preserve">, </w:t>
      </w:r>
      <w:r w:rsidR="003A398A" w:rsidRPr="00D25D4A">
        <w:t>1988)</w:t>
      </w:r>
      <w:r w:rsidR="000A41BA">
        <w:t xml:space="preserve">, </w:t>
      </w:r>
      <w:r w:rsidR="007976AA" w:rsidRPr="00D25D4A">
        <w:t>t</w:t>
      </w:r>
      <w:r w:rsidR="000A41BA">
        <w:t xml:space="preserve">he lead agent </w:t>
      </w:r>
      <w:r w:rsidR="00DF74DA">
        <w:t xml:space="preserve">has </w:t>
      </w:r>
      <w:r w:rsidR="000A41BA">
        <w:t>the incentive to engage in loan selling to achieve a greater</w:t>
      </w:r>
      <w:r w:rsidR="007976AA" w:rsidRPr="00D25D4A">
        <w:t xml:space="preserve"> </w:t>
      </w:r>
      <w:r w:rsidR="004C0287" w:rsidRPr="00D25D4A">
        <w:t>credit</w:t>
      </w:r>
      <w:r w:rsidR="007C01E0">
        <w:t xml:space="preserve"> </w:t>
      </w:r>
      <w:r w:rsidR="004C0287" w:rsidRPr="00D25D4A">
        <w:t>risk diversification</w:t>
      </w:r>
      <w:r w:rsidR="003A398A" w:rsidRPr="00D25D4A">
        <w:t>.</w:t>
      </w:r>
      <w:r w:rsidR="007976AA" w:rsidRPr="00D25D4A">
        <w:t xml:space="preserve"> </w:t>
      </w:r>
      <w:r w:rsidR="00866803">
        <w:t>T</w:t>
      </w:r>
      <w:r w:rsidR="00866803" w:rsidRPr="00866803">
        <w:t>he diversification effect presumes that the lead agent, when forced to retain larger participation shares, demands higher pricing for the larger exposure to credit risk (Ivashina, 2009).</w:t>
      </w:r>
      <w:r w:rsidR="00866803">
        <w:t xml:space="preserve"> </w:t>
      </w:r>
      <w:bookmarkStart w:id="21" w:name="_Hlk51792746"/>
      <w:bookmarkEnd w:id="18"/>
      <w:r w:rsidR="000A41BA" w:rsidRPr="009B59CB">
        <w:t>In line with these arguments</w:t>
      </w:r>
      <w:r w:rsidR="007976AA" w:rsidRPr="009B59CB">
        <w:t xml:space="preserve">, </w:t>
      </w:r>
      <w:r w:rsidR="000A41BA" w:rsidRPr="009B59CB">
        <w:t xml:space="preserve">we hypothesize that </w:t>
      </w:r>
      <w:r w:rsidR="007976AA" w:rsidRPr="009B59CB">
        <w:t>the lead agent</w:t>
      </w:r>
      <w:r w:rsidR="007976AA" w:rsidRPr="00D25D4A">
        <w:t xml:space="preserve"> may </w:t>
      </w:r>
      <w:r w:rsidR="00FB2F07">
        <w:t>impose</w:t>
      </w:r>
      <w:r w:rsidR="00FB2F07" w:rsidRPr="00D25D4A">
        <w:t xml:space="preserve"> </w:t>
      </w:r>
      <w:r w:rsidR="00FB2F07">
        <w:t>high interest rate spreads</w:t>
      </w:r>
      <w:r w:rsidR="007976AA" w:rsidRPr="00D25D4A">
        <w:t xml:space="preserve"> as a compensation for the lack of </w:t>
      </w:r>
      <w:r w:rsidR="00DD1BD4">
        <w:t xml:space="preserve">loan </w:t>
      </w:r>
      <w:r w:rsidR="007976AA" w:rsidRPr="00D25D4A">
        <w:t xml:space="preserve">diversification rather than for </w:t>
      </w:r>
      <w:r w:rsidR="0043098D">
        <w:t xml:space="preserve">large </w:t>
      </w:r>
      <w:r w:rsidR="00C2325A">
        <w:t>customer</w:t>
      </w:r>
      <w:r w:rsidR="004F55C9">
        <w:t xml:space="preserve">-supplier </w:t>
      </w:r>
      <w:r w:rsidR="007976AA" w:rsidRPr="00D25D4A">
        <w:t xml:space="preserve">participation </w:t>
      </w:r>
      <w:r w:rsidR="007976AA" w:rsidRPr="004E7D2D">
        <w:rPr>
          <w:i/>
        </w:rPr>
        <w:t>per se</w:t>
      </w:r>
      <w:r w:rsidR="007976AA" w:rsidRPr="00D25D4A">
        <w:t xml:space="preserve">. </w:t>
      </w:r>
      <w:bookmarkEnd w:id="21"/>
      <w:r w:rsidR="000A41BA">
        <w:t>Thus</w:t>
      </w:r>
      <w:r w:rsidR="00BA49A6" w:rsidRPr="00D25D4A">
        <w:t xml:space="preserve">, </w:t>
      </w:r>
      <w:r w:rsidR="00675773">
        <w:t>we posit the following</w:t>
      </w:r>
      <w:r w:rsidR="00BA49A6" w:rsidRPr="00D25D4A">
        <w:t>:</w:t>
      </w:r>
      <w:bookmarkEnd w:id="19"/>
    </w:p>
    <w:p w14:paraId="27A977BF" w14:textId="77777777" w:rsidR="00FF4A44" w:rsidRPr="00181DB7" w:rsidRDefault="00FF4A44" w:rsidP="00181DB7">
      <w:pPr>
        <w:autoSpaceDE w:val="0"/>
        <w:autoSpaceDN w:val="0"/>
        <w:adjustRightInd w:val="0"/>
        <w:spacing w:line="480" w:lineRule="auto"/>
        <w:ind w:firstLine="567"/>
        <w:jc w:val="both"/>
      </w:pPr>
    </w:p>
    <w:p w14:paraId="2B63A3D1" w14:textId="77777777" w:rsidR="00FF4A44" w:rsidRDefault="000B58F2" w:rsidP="00482FBD">
      <w:pPr>
        <w:autoSpaceDE w:val="0"/>
        <w:autoSpaceDN w:val="0"/>
        <w:adjustRightInd w:val="0"/>
        <w:spacing w:line="480" w:lineRule="auto"/>
        <w:ind w:firstLine="720"/>
        <w:jc w:val="both"/>
        <w:rPr>
          <w:i/>
          <w:iCs/>
        </w:rPr>
      </w:pPr>
      <w:bookmarkStart w:id="22" w:name="_Hlk56629787"/>
      <w:bookmarkEnd w:id="20"/>
      <w:r w:rsidRPr="00E90048">
        <w:rPr>
          <w:i/>
          <w:iCs/>
        </w:rPr>
        <w:t>H</w:t>
      </w:r>
      <w:r>
        <w:rPr>
          <w:i/>
          <w:iCs/>
        </w:rPr>
        <w:t>2</w:t>
      </w:r>
      <w:r w:rsidR="00FF4A44" w:rsidRPr="00E90048">
        <w:rPr>
          <w:i/>
          <w:iCs/>
        </w:rPr>
        <w:t xml:space="preserve">: </w:t>
      </w:r>
      <w:r w:rsidR="009B625C">
        <w:rPr>
          <w:i/>
          <w:iCs/>
        </w:rPr>
        <w:t>The l</w:t>
      </w:r>
      <w:r w:rsidR="00FF4A44">
        <w:rPr>
          <w:i/>
          <w:iCs/>
        </w:rPr>
        <w:t>ead</w:t>
      </w:r>
      <w:r w:rsidR="00FF4A44" w:rsidRPr="00E90048">
        <w:rPr>
          <w:i/>
          <w:iCs/>
        </w:rPr>
        <w:t xml:space="preserve"> agent impose</w:t>
      </w:r>
      <w:r w:rsidR="00FF4A44">
        <w:rPr>
          <w:i/>
          <w:iCs/>
        </w:rPr>
        <w:t>s</w:t>
      </w:r>
      <w:r w:rsidR="00FF4A44" w:rsidRPr="00E90048">
        <w:t xml:space="preserve"> </w:t>
      </w:r>
      <w:r w:rsidR="00FF4A44" w:rsidRPr="00E90048">
        <w:rPr>
          <w:i/>
          <w:iCs/>
        </w:rPr>
        <w:t xml:space="preserve">costlier, stricter loan contract terms because they retain larger participation shares (indirect effect) rather than dealing with borrowers with customer-supplier </w:t>
      </w:r>
      <w:r w:rsidR="00036262">
        <w:rPr>
          <w:i/>
          <w:iCs/>
        </w:rPr>
        <w:t>links</w:t>
      </w:r>
      <w:r w:rsidR="00FF4A44" w:rsidRPr="00E90048">
        <w:rPr>
          <w:i/>
          <w:iCs/>
        </w:rPr>
        <w:t xml:space="preserve"> (direct effect).</w:t>
      </w:r>
    </w:p>
    <w:bookmarkEnd w:id="22"/>
    <w:p w14:paraId="28906311" w14:textId="77777777" w:rsidR="001B3144" w:rsidRDefault="00C662B5" w:rsidP="00C662B5">
      <w:pPr>
        <w:autoSpaceDE w:val="0"/>
        <w:autoSpaceDN w:val="0"/>
        <w:adjustRightInd w:val="0"/>
        <w:spacing w:line="480" w:lineRule="auto"/>
        <w:ind w:firstLine="567"/>
        <w:jc w:val="both"/>
      </w:pPr>
      <w:r>
        <w:t xml:space="preserve"> </w:t>
      </w:r>
    </w:p>
    <w:p w14:paraId="46354A5C" w14:textId="77777777" w:rsidR="00813FD6" w:rsidRDefault="00482FBD" w:rsidP="00CB0498">
      <w:pPr>
        <w:autoSpaceDE w:val="0"/>
        <w:autoSpaceDN w:val="0"/>
        <w:adjustRightInd w:val="0"/>
        <w:spacing w:line="480" w:lineRule="auto"/>
        <w:jc w:val="both"/>
        <w:rPr>
          <w:b/>
          <w:sz w:val="28"/>
        </w:rPr>
      </w:pPr>
      <w:bookmarkStart w:id="23" w:name="_Hlk51792499"/>
      <w:r>
        <w:rPr>
          <w:b/>
          <w:sz w:val="28"/>
        </w:rPr>
        <w:t>3</w:t>
      </w:r>
      <w:r w:rsidR="003736DA" w:rsidRPr="001554F3">
        <w:rPr>
          <w:b/>
          <w:sz w:val="28"/>
        </w:rPr>
        <w:t xml:space="preserve">. </w:t>
      </w:r>
      <w:r w:rsidR="00813FD6" w:rsidRPr="001554F3">
        <w:rPr>
          <w:b/>
          <w:sz w:val="28"/>
        </w:rPr>
        <w:t xml:space="preserve">Sample </w:t>
      </w:r>
      <w:r w:rsidR="002D477C">
        <w:rPr>
          <w:b/>
          <w:sz w:val="28"/>
        </w:rPr>
        <w:t xml:space="preserve">and Methodology </w:t>
      </w:r>
      <w:r w:rsidR="00813FD6" w:rsidRPr="001554F3">
        <w:rPr>
          <w:b/>
          <w:sz w:val="28"/>
        </w:rPr>
        <w:t xml:space="preserve">Construction </w:t>
      </w:r>
    </w:p>
    <w:p w14:paraId="05727455" w14:textId="77777777" w:rsidR="002D477C" w:rsidRPr="001554F3" w:rsidRDefault="009F71DB" w:rsidP="002D477C">
      <w:pPr>
        <w:widowControl w:val="0"/>
        <w:autoSpaceDE w:val="0"/>
        <w:autoSpaceDN w:val="0"/>
        <w:adjustRightInd w:val="0"/>
        <w:spacing w:line="480" w:lineRule="auto"/>
        <w:jc w:val="both"/>
        <w:rPr>
          <w:b/>
        </w:rPr>
      </w:pPr>
      <w:r>
        <w:rPr>
          <w:b/>
        </w:rPr>
        <w:t>3.1</w:t>
      </w:r>
      <w:r w:rsidR="002D477C" w:rsidRPr="001554F3">
        <w:rPr>
          <w:b/>
        </w:rPr>
        <w:t xml:space="preserve"> Sample and Data</w:t>
      </w:r>
    </w:p>
    <w:p w14:paraId="12E58A3E" w14:textId="77777777" w:rsidR="002D477C" w:rsidRPr="00123259" w:rsidRDefault="00CE7D45" w:rsidP="00F556B4">
      <w:pPr>
        <w:widowControl w:val="0"/>
        <w:autoSpaceDE w:val="0"/>
        <w:autoSpaceDN w:val="0"/>
        <w:adjustRightInd w:val="0"/>
        <w:spacing w:line="480" w:lineRule="auto"/>
        <w:jc w:val="both"/>
      </w:pPr>
      <w:r w:rsidRPr="00BA74AD">
        <w:t xml:space="preserve">The data on large customers and suppliers are retrieved from </w:t>
      </w:r>
      <w:r w:rsidR="002D477C" w:rsidRPr="00BA74AD">
        <w:t>Compustat Segment Customer database</w:t>
      </w:r>
      <w:r w:rsidR="004B2193">
        <w:t>,</w:t>
      </w:r>
      <w:r w:rsidR="002D477C" w:rsidRPr="00BA74AD">
        <w:t xml:space="preserve"> </w:t>
      </w:r>
      <w:r w:rsidRPr="00BA74AD">
        <w:t xml:space="preserve">consistent </w:t>
      </w:r>
      <w:r w:rsidR="004B2193">
        <w:t>with</w:t>
      </w:r>
      <w:r w:rsidR="004B2193" w:rsidRPr="00BA74AD">
        <w:t xml:space="preserve"> </w:t>
      </w:r>
      <w:r w:rsidR="002D477C" w:rsidRPr="00BA74AD">
        <w:t>the literature (Campello and Gao, 2017; Cen et al.</w:t>
      </w:r>
      <w:r w:rsidR="002D477C" w:rsidRPr="00BA74AD">
        <w:rPr>
          <w:rFonts w:eastAsia="DengXian"/>
          <w:lang w:eastAsia="zh-CN"/>
        </w:rPr>
        <w:t>, 2016</w:t>
      </w:r>
      <w:r w:rsidR="002D477C" w:rsidRPr="00BA74AD">
        <w:t xml:space="preserve">). </w:t>
      </w:r>
      <w:r w:rsidRPr="00BA74AD">
        <w:t>A</w:t>
      </w:r>
      <w:r w:rsidR="002D477C" w:rsidRPr="00BA74AD">
        <w:t xml:space="preserve">ccording to Regulation S-K and the Statement of Financial Accounting Standard (SFAS) No.14, </w:t>
      </w:r>
      <w:r w:rsidRPr="00BA74AD">
        <w:t xml:space="preserve">firms </w:t>
      </w:r>
      <w:r w:rsidR="002D477C" w:rsidRPr="00BA74AD">
        <w:t>are required to disclose all customers that represent 10% or more of a firm’s total sales</w:t>
      </w:r>
      <w:r w:rsidR="00123259" w:rsidRPr="00BA74AD">
        <w:t xml:space="preserve">. </w:t>
      </w:r>
      <w:r w:rsidR="00123259" w:rsidRPr="000A25FC">
        <w:t>The Segment database collects information including the names</w:t>
      </w:r>
      <w:r w:rsidR="009B52D5" w:rsidRPr="000A25FC">
        <w:t xml:space="preserve"> </w:t>
      </w:r>
      <w:r w:rsidR="00123259" w:rsidRPr="000A25FC">
        <w:t>and sales figures for these large customers</w:t>
      </w:r>
      <w:r w:rsidR="0083424A" w:rsidRPr="000A25FC">
        <w:t>, but not their unique Compustat identifier (GVKEY)</w:t>
      </w:r>
      <w:r w:rsidR="00123259" w:rsidRPr="000A25FC">
        <w:t>.</w:t>
      </w:r>
      <w:r w:rsidR="00916750" w:rsidRPr="000A25FC">
        <w:t xml:space="preserve"> </w:t>
      </w:r>
      <w:r w:rsidR="000A25FC">
        <w:t xml:space="preserve">We associate the names of the customers </w:t>
      </w:r>
      <w:r w:rsidR="004B2193">
        <w:t xml:space="preserve">with </w:t>
      </w:r>
      <w:r w:rsidR="000A25FC">
        <w:t xml:space="preserve">their CRSP and Compustat identifiers </w:t>
      </w:r>
      <w:r w:rsidR="00080433" w:rsidRPr="000A25FC">
        <w:t xml:space="preserve">using the links provided by WRDS following </w:t>
      </w:r>
      <w:r w:rsidR="00080433" w:rsidRPr="009E6E70">
        <w:t>Cohen</w:t>
      </w:r>
      <w:r w:rsidR="00080433" w:rsidRPr="000A25FC">
        <w:t xml:space="preserve"> and Frazzini (2008) and Cen et al. (2017).</w:t>
      </w:r>
      <w:r w:rsidR="00123259" w:rsidRPr="00BA74AD">
        <w:t xml:space="preserve"> The</w:t>
      </w:r>
      <w:r w:rsidRPr="00BA74AD">
        <w:t xml:space="preserve"> reporting firms</w:t>
      </w:r>
      <w:r w:rsidR="00123259" w:rsidRPr="00BA74AD">
        <w:t xml:space="preserve"> of these large customers</w:t>
      </w:r>
      <w:r w:rsidRPr="00BA74AD">
        <w:t xml:space="preserve"> in </w:t>
      </w:r>
      <w:r w:rsidR="00123259" w:rsidRPr="00BA74AD">
        <w:t xml:space="preserve">the </w:t>
      </w:r>
      <w:r w:rsidRPr="00BA74AD">
        <w:t xml:space="preserve">Segment database </w:t>
      </w:r>
      <w:r w:rsidR="00123259" w:rsidRPr="00BA74AD">
        <w:t>are instead identified as</w:t>
      </w:r>
      <w:r w:rsidRPr="00BA74AD">
        <w:t xml:space="preserve"> the suppliers</w:t>
      </w:r>
      <w:r w:rsidR="00123259" w:rsidRPr="00BA74AD">
        <w:t>.</w:t>
      </w:r>
      <w:r w:rsidRPr="00BA74AD">
        <w:t xml:space="preserve"> </w:t>
      </w:r>
      <w:r w:rsidR="00431107" w:rsidRPr="00BA74AD">
        <w:t xml:space="preserve">Once </w:t>
      </w:r>
      <w:r w:rsidR="004B2193">
        <w:t xml:space="preserve">we </w:t>
      </w:r>
      <w:r w:rsidR="00431107" w:rsidRPr="00BA74AD">
        <w:t>identif</w:t>
      </w:r>
      <w:r w:rsidR="004B2193">
        <w:t>y</w:t>
      </w:r>
      <w:r w:rsidR="00431107" w:rsidRPr="00BA74AD">
        <w:t xml:space="preserve"> the list of large customers and suppliers, w</w:t>
      </w:r>
      <w:r w:rsidR="00BC2028" w:rsidRPr="00BA74AD">
        <w:t xml:space="preserve">e consider a borrower having a large </w:t>
      </w:r>
      <w:r w:rsidR="00C2325A" w:rsidRPr="00BA74AD">
        <w:t>customer</w:t>
      </w:r>
      <w:r w:rsidR="00BC2028" w:rsidRPr="00BA74AD">
        <w:t xml:space="preserve">-supplier link if the borrower is either </w:t>
      </w:r>
      <w:r w:rsidR="00431107" w:rsidRPr="00BA74AD">
        <w:t>a large</w:t>
      </w:r>
      <w:r w:rsidR="00BC2028" w:rsidRPr="00BA74AD">
        <w:t xml:space="preserve"> </w:t>
      </w:r>
      <w:r w:rsidR="00C2325A" w:rsidRPr="00BA74AD">
        <w:t>customer</w:t>
      </w:r>
      <w:r w:rsidR="00431107" w:rsidRPr="00BA74AD">
        <w:t xml:space="preserve"> or </w:t>
      </w:r>
      <w:r w:rsidR="00E64313" w:rsidRPr="00BA74AD">
        <w:t xml:space="preserve">a </w:t>
      </w:r>
      <w:r w:rsidR="00431107" w:rsidRPr="00BA74AD">
        <w:t>supplier.</w:t>
      </w:r>
    </w:p>
    <w:p w14:paraId="0AF52A31" w14:textId="77777777" w:rsidR="002D477C" w:rsidRPr="008F5DE1" w:rsidRDefault="002D477C" w:rsidP="00CE7D45">
      <w:pPr>
        <w:widowControl w:val="0"/>
        <w:autoSpaceDE w:val="0"/>
        <w:autoSpaceDN w:val="0"/>
        <w:adjustRightInd w:val="0"/>
        <w:spacing w:line="480" w:lineRule="auto"/>
        <w:ind w:firstLine="567"/>
        <w:jc w:val="both"/>
        <w:rPr>
          <w:rFonts w:eastAsia="DengXian"/>
          <w:lang w:eastAsia="zh-CN"/>
        </w:rPr>
      </w:pPr>
      <w:r w:rsidRPr="001554F3">
        <w:t>We extract bank loan contract information from LPC</w:t>
      </w:r>
      <w:r>
        <w:t>-</w:t>
      </w:r>
      <w:r w:rsidRPr="001554F3">
        <w:t>Dealscan and link</w:t>
      </w:r>
      <w:r w:rsidR="000B51AA">
        <w:t xml:space="preserve"> the</w:t>
      </w:r>
      <w:r w:rsidRPr="001554F3">
        <w:t xml:space="preserve"> loan-level data to Compustat</w:t>
      </w:r>
      <w:r w:rsidR="000B51AA">
        <w:t xml:space="preserve"> to obtain the borrower level identifiers </w:t>
      </w:r>
      <w:r w:rsidRPr="001554F3">
        <w:t xml:space="preserve">following </w:t>
      </w:r>
      <w:r>
        <w:t xml:space="preserve">the procedure from </w:t>
      </w:r>
      <w:r w:rsidRPr="008B4EE6">
        <w:t>Chava and Jarrow (2004</w:t>
      </w:r>
      <w:r w:rsidRPr="001554F3">
        <w:t>)</w:t>
      </w:r>
      <w:r>
        <w:t>,</w:t>
      </w:r>
      <w:r w:rsidRPr="001554F3">
        <w:t xml:space="preserve"> and then us</w:t>
      </w:r>
      <w:r>
        <w:t>e</w:t>
      </w:r>
      <w:r w:rsidRPr="001554F3">
        <w:t xml:space="preserve"> the Dealscan-Compustat Link </w:t>
      </w:r>
      <w:r w:rsidR="00BD7AB0">
        <w:t>provided</w:t>
      </w:r>
      <w:r w:rsidR="00BD7AB0" w:rsidRPr="001554F3">
        <w:t xml:space="preserve"> </w:t>
      </w:r>
      <w:r w:rsidRPr="001554F3">
        <w:t>by Michael Roberts.</w:t>
      </w:r>
      <w:r w:rsidRPr="001554F3">
        <w:rPr>
          <w:rStyle w:val="FootnoteReference"/>
        </w:rPr>
        <w:footnoteReference w:id="4"/>
      </w:r>
      <w:r w:rsidRPr="001554F3">
        <w:t xml:space="preserve"> </w:t>
      </w:r>
      <w:r>
        <w:t xml:space="preserve">Following Campello and Gao (2017), we </w:t>
      </w:r>
      <w:r w:rsidRPr="00CC56C3">
        <w:t xml:space="preserve">consider each loan facility as an independent contract. </w:t>
      </w:r>
      <w:r>
        <w:t xml:space="preserve">As explained </w:t>
      </w:r>
      <w:r w:rsidRPr="00DF3DFE">
        <w:t xml:space="preserve">by Cumming et al. (2020), the loan tranches or </w:t>
      </w:r>
      <w:r w:rsidR="00326301" w:rsidRPr="00DF3DFE">
        <w:t>facilities</w:t>
      </w:r>
      <w:r w:rsidRPr="00DF3DFE">
        <w:t xml:space="preserve"> provide a more accurate picture of the syndicate loan market as the lead agent could offer different contractual terms to participant lenders. In addition, participant lenders could decide to </w:t>
      </w:r>
      <w:r w:rsidR="004B2193" w:rsidRPr="00DF3DFE">
        <w:t xml:space="preserve">only </w:t>
      </w:r>
      <w:r w:rsidRPr="00DF3DFE">
        <w:t>take part in specific tranches. Thus, the lead agent may search for syndicate members not only for speciﬁc loans but also for certain tranches (Cumming et al., 2020). Our dataset</w:t>
      </w:r>
      <w:r w:rsidRPr="00CC56C3">
        <w:t xml:space="preserve"> encompasses data on loan </w:t>
      </w:r>
      <w:r w:rsidR="00326301">
        <w:t>facilities</w:t>
      </w:r>
      <w:r w:rsidRPr="00CC56C3">
        <w:t xml:space="preserve"> from the Deal</w:t>
      </w:r>
      <w:r>
        <w:t>s</w:t>
      </w:r>
      <w:r w:rsidRPr="00CC56C3">
        <w:t>can database</w:t>
      </w:r>
      <w:r w:rsidRPr="008F5DE1">
        <w:rPr>
          <w:rFonts w:eastAsia="DengXian"/>
          <w:lang w:eastAsia="zh-CN"/>
        </w:rPr>
        <w:t xml:space="preserve"> and publicly listed borrowers from Compustat between 1987 and 201</w:t>
      </w:r>
      <w:r>
        <w:rPr>
          <w:rFonts w:eastAsia="DengXian"/>
          <w:lang w:eastAsia="zh-CN"/>
        </w:rPr>
        <w:t>8</w:t>
      </w:r>
      <w:r w:rsidRPr="008F5DE1">
        <w:rPr>
          <w:rFonts w:eastAsia="DengXian"/>
          <w:lang w:eastAsia="zh-CN"/>
        </w:rPr>
        <w:t>.</w:t>
      </w:r>
      <w:r w:rsidRPr="001554F3">
        <w:t xml:space="preserve"> To be included in our sample, </w:t>
      </w:r>
      <w:r w:rsidRPr="008F5DE1">
        <w:rPr>
          <w:rFonts w:eastAsia="DengXian"/>
          <w:lang w:eastAsia="zh-CN"/>
        </w:rPr>
        <w:t xml:space="preserve">we require </w:t>
      </w:r>
      <w:r w:rsidRPr="001554F3">
        <w:t>the availability of all financial</w:t>
      </w:r>
      <w:r w:rsidRPr="008F5DE1">
        <w:rPr>
          <w:rFonts w:eastAsia="DengXian"/>
          <w:lang w:eastAsia="zh-CN"/>
        </w:rPr>
        <w:t xml:space="preserve"> variables from Compustat employed in the study. In addition, </w:t>
      </w:r>
      <w:r w:rsidRPr="00EF0A5F">
        <w:t xml:space="preserve">we </w:t>
      </w:r>
      <w:r>
        <w:t>require that the</w:t>
      </w:r>
      <w:r w:rsidRPr="00EF0A5F">
        <w:t xml:space="preserve"> loan </w:t>
      </w:r>
      <w:r>
        <w:t xml:space="preserve">has at least one of the three </w:t>
      </w:r>
      <w:r w:rsidRPr="00EF0A5F">
        <w:t xml:space="preserve">pricing </w:t>
      </w:r>
      <w:r>
        <w:t>variables</w:t>
      </w:r>
      <w:r w:rsidR="004B2193">
        <w:t xml:space="preserve"> – </w:t>
      </w:r>
      <w:r w:rsidR="00B0095D">
        <w:t xml:space="preserve">i.e. </w:t>
      </w:r>
      <w:r w:rsidR="00BD7AB0">
        <w:t>the all-in</w:t>
      </w:r>
      <w:r w:rsidR="00B0095D">
        <w:t xml:space="preserve"> </w:t>
      </w:r>
      <w:r w:rsidR="00BD7AB0">
        <w:t>spread</w:t>
      </w:r>
      <w:r w:rsidR="00B0095D">
        <w:t xml:space="preserve"> </w:t>
      </w:r>
      <w:r w:rsidR="00BD7AB0">
        <w:t>drawn</w:t>
      </w:r>
      <w:r w:rsidR="00B0095D">
        <w:t xml:space="preserve"> (AISD)</w:t>
      </w:r>
      <w:r w:rsidR="004B2193">
        <w:t>,</w:t>
      </w:r>
      <w:r w:rsidR="00BD7AB0">
        <w:t xml:space="preserve"> the total borrowing cost</w:t>
      </w:r>
      <w:r w:rsidR="00B0095D">
        <w:t xml:space="preserve"> (TBC)</w:t>
      </w:r>
      <w:r w:rsidR="004B2193">
        <w:t>,</w:t>
      </w:r>
      <w:r w:rsidR="00BD7AB0">
        <w:t xml:space="preserve"> </w:t>
      </w:r>
      <w:r w:rsidR="00B0095D">
        <w:t xml:space="preserve">and the </w:t>
      </w:r>
      <w:r w:rsidR="00BD7AB0">
        <w:t>covenant</w:t>
      </w:r>
      <w:r w:rsidR="00B0095D">
        <w:t xml:space="preserve"> index</w:t>
      </w:r>
      <w:r w:rsidR="00BD7AB0">
        <w:t>.</w:t>
      </w:r>
      <w:r w:rsidR="00BD7AB0">
        <w:rPr>
          <w:rStyle w:val="FootnoteReference"/>
        </w:rPr>
        <w:footnoteReference w:id="5"/>
      </w:r>
    </w:p>
    <w:p w14:paraId="7A606015" w14:textId="77777777" w:rsidR="002D477C" w:rsidRDefault="002D477C" w:rsidP="002D477C">
      <w:pPr>
        <w:widowControl w:val="0"/>
        <w:autoSpaceDE w:val="0"/>
        <w:autoSpaceDN w:val="0"/>
        <w:adjustRightInd w:val="0"/>
        <w:spacing w:line="480" w:lineRule="auto"/>
        <w:ind w:firstLine="567"/>
        <w:jc w:val="both"/>
      </w:pPr>
      <w:r w:rsidRPr="001554F3">
        <w:t>Firm-level fundamentals are collected from Compustat. Market information, including equity volatility,</w:t>
      </w:r>
      <w:r w:rsidRPr="008F5DE1">
        <w:rPr>
          <w:rFonts w:ascii="AdvPSSAB-R" w:eastAsia="DengXian" w:hAnsi="AdvPSSAB-R" w:cs="AdvPSSAB-R"/>
          <w:color w:val="000000"/>
          <w:sz w:val="17"/>
          <w:szCs w:val="17"/>
          <w:lang w:eastAsia="zh-CN"/>
        </w:rPr>
        <w:t xml:space="preserve"> </w:t>
      </w:r>
      <w:r w:rsidRPr="001554F3">
        <w:t xml:space="preserve">market volatility and risk-free rate are retrieved from CRSP and linked using the CRSP/Compustat Merged database. Appendix </w:t>
      </w:r>
      <w:r w:rsidR="00866803">
        <w:t xml:space="preserve">A </w:t>
      </w:r>
      <w:r w:rsidRPr="001554F3">
        <w:t xml:space="preserve">offers the definitions of each variable. Loan-related and bank-related information </w:t>
      </w:r>
      <w:r>
        <w:t>is</w:t>
      </w:r>
      <w:r w:rsidRPr="001554F3">
        <w:t xml:space="preserve"> retrieved</w:t>
      </w:r>
      <w:r w:rsidRPr="008F5DE1">
        <w:rPr>
          <w:rFonts w:ascii="AdvPSSAB-R" w:eastAsia="DengXian" w:hAnsi="AdvPSSAB-R" w:cs="AdvPSSAB-R"/>
          <w:color w:val="000000"/>
          <w:sz w:val="17"/>
          <w:szCs w:val="17"/>
          <w:lang w:eastAsia="zh-CN"/>
        </w:rPr>
        <w:t xml:space="preserve"> </w:t>
      </w:r>
      <w:r w:rsidRPr="001554F3">
        <w:t xml:space="preserve">from DealScan. Overall, our sample consists of </w:t>
      </w:r>
      <w:r>
        <w:t>9,</w:t>
      </w:r>
      <w:r w:rsidR="00675773">
        <w:t>307</w:t>
      </w:r>
      <w:r w:rsidRPr="00D859EC">
        <w:t xml:space="preserve"> </w:t>
      </w:r>
      <w:r w:rsidR="00326301">
        <w:t>facilities</w:t>
      </w:r>
      <w:r w:rsidRPr="00D859EC">
        <w:t xml:space="preserve"> </w:t>
      </w:r>
      <w:r w:rsidR="00675773" w:rsidRPr="00675773">
        <w:t xml:space="preserve">(nested into 7,204 loans) </w:t>
      </w:r>
      <w:r w:rsidRPr="00D859EC">
        <w:t xml:space="preserve">with </w:t>
      </w:r>
      <w:r w:rsidRPr="009701A0">
        <w:t>2,7</w:t>
      </w:r>
      <w:r w:rsidR="00675773" w:rsidRPr="009701A0">
        <w:t>65</w:t>
      </w:r>
      <w:r w:rsidRPr="009701A0">
        <w:t xml:space="preserve"> unique borrowers</w:t>
      </w:r>
      <w:r w:rsidRPr="001554F3">
        <w:t xml:space="preserve">. </w:t>
      </w:r>
    </w:p>
    <w:p w14:paraId="5E52EE01" w14:textId="77777777" w:rsidR="002D477C" w:rsidRPr="001554F3" w:rsidRDefault="002D477C" w:rsidP="00CB0498">
      <w:pPr>
        <w:autoSpaceDE w:val="0"/>
        <w:autoSpaceDN w:val="0"/>
        <w:adjustRightInd w:val="0"/>
        <w:spacing w:line="480" w:lineRule="auto"/>
        <w:jc w:val="both"/>
        <w:rPr>
          <w:b/>
          <w:sz w:val="28"/>
        </w:rPr>
      </w:pPr>
    </w:p>
    <w:bookmarkEnd w:id="23"/>
    <w:p w14:paraId="2E817741" w14:textId="77777777" w:rsidR="00E703F7" w:rsidRPr="001554F3" w:rsidRDefault="009F71DB" w:rsidP="00BD7AB0">
      <w:pPr>
        <w:widowControl w:val="0"/>
        <w:autoSpaceDE w:val="0"/>
        <w:autoSpaceDN w:val="0"/>
        <w:adjustRightInd w:val="0"/>
        <w:spacing w:line="480" w:lineRule="auto"/>
        <w:jc w:val="both"/>
        <w:rPr>
          <w:b/>
          <w:szCs w:val="20"/>
        </w:rPr>
      </w:pPr>
      <w:r>
        <w:rPr>
          <w:b/>
          <w:szCs w:val="20"/>
        </w:rPr>
        <w:t>3</w:t>
      </w:r>
      <w:r w:rsidR="002D477C">
        <w:rPr>
          <w:b/>
          <w:szCs w:val="20"/>
        </w:rPr>
        <w:t>.</w:t>
      </w:r>
      <w:r>
        <w:rPr>
          <w:b/>
          <w:szCs w:val="20"/>
        </w:rPr>
        <w:t>2</w:t>
      </w:r>
      <w:r w:rsidR="002D477C">
        <w:rPr>
          <w:b/>
          <w:szCs w:val="20"/>
        </w:rPr>
        <w:t xml:space="preserve"> </w:t>
      </w:r>
      <w:r w:rsidR="00E703F7" w:rsidRPr="001554F3">
        <w:rPr>
          <w:b/>
          <w:szCs w:val="20"/>
        </w:rPr>
        <w:t>Empirical methodology</w:t>
      </w:r>
    </w:p>
    <w:p w14:paraId="37C8B8C1" w14:textId="77777777" w:rsidR="00587FF5" w:rsidRDefault="00435F2D" w:rsidP="00F556B4">
      <w:pPr>
        <w:pStyle w:val="MTDisplayEquation"/>
        <w:ind w:right="4"/>
        <w:rPr>
          <w:szCs w:val="24"/>
        </w:rPr>
      </w:pPr>
      <w:r w:rsidRPr="001554F3">
        <w:t xml:space="preserve">The first step in our empirical analysis is to determine </w:t>
      </w:r>
      <w:r w:rsidR="001B60C7" w:rsidRPr="001554F3">
        <w:t xml:space="preserve">whether </w:t>
      </w:r>
      <w:r w:rsidR="00FF4A44">
        <w:t xml:space="preserve">borrowers with </w:t>
      </w:r>
      <w:r w:rsidR="0043098D">
        <w:t xml:space="preserve">large </w:t>
      </w:r>
      <w:r w:rsidR="00C2325A">
        <w:t>customer</w:t>
      </w:r>
      <w:r w:rsidR="00FF4A44">
        <w:t xml:space="preserve">-supplier </w:t>
      </w:r>
      <w:r w:rsidR="00BC2028">
        <w:t>link</w:t>
      </w:r>
      <w:r w:rsidR="004B2193">
        <w:t>s</w:t>
      </w:r>
      <w:r w:rsidR="001B60C7" w:rsidRPr="001554F3">
        <w:t xml:space="preserve"> require the lead agent to retain a larger </w:t>
      </w:r>
      <w:r w:rsidR="001B60C7" w:rsidRPr="009C4CA1">
        <w:rPr>
          <w:szCs w:val="24"/>
        </w:rPr>
        <w:t>share of the syndicate.</w:t>
      </w:r>
      <w:r w:rsidR="007E6B7A" w:rsidRPr="009C4CA1">
        <w:rPr>
          <w:szCs w:val="24"/>
        </w:rPr>
        <w:t xml:space="preserve"> </w:t>
      </w:r>
      <w:bookmarkStart w:id="24" w:name="_Hlk48913134"/>
      <w:r w:rsidR="00E14852" w:rsidRPr="00DD5868">
        <w:rPr>
          <w:szCs w:val="24"/>
        </w:rPr>
        <w:t xml:space="preserve">To </w:t>
      </w:r>
      <w:r w:rsidR="00B21029" w:rsidRPr="00DD5868">
        <w:rPr>
          <w:szCs w:val="24"/>
        </w:rPr>
        <w:t>identify</w:t>
      </w:r>
      <w:r w:rsidR="00E14852" w:rsidRPr="00DD5868">
        <w:rPr>
          <w:szCs w:val="24"/>
        </w:rPr>
        <w:t xml:space="preserve"> the</w:t>
      </w:r>
      <w:r w:rsidR="00B21029" w:rsidRPr="00DD5868">
        <w:rPr>
          <w:szCs w:val="24"/>
        </w:rPr>
        <w:t xml:space="preserve"> main</w:t>
      </w:r>
      <w:r w:rsidR="00E14852" w:rsidRPr="00DD5868">
        <w:rPr>
          <w:szCs w:val="24"/>
        </w:rPr>
        <w:t xml:space="preserve"> lead agent </w:t>
      </w:r>
      <w:r w:rsidR="00B21029" w:rsidRPr="00DD5868">
        <w:rPr>
          <w:szCs w:val="24"/>
        </w:rPr>
        <w:t>of</w:t>
      </w:r>
      <w:r w:rsidR="00E14852" w:rsidRPr="00FB3456">
        <w:rPr>
          <w:szCs w:val="24"/>
        </w:rPr>
        <w:t xml:space="preserve"> a loan with multiple lenders, we closely follow the procedure </w:t>
      </w:r>
      <w:r w:rsidR="00E1071E" w:rsidRPr="00FB3456">
        <w:rPr>
          <w:szCs w:val="24"/>
        </w:rPr>
        <w:t xml:space="preserve">suggested </w:t>
      </w:r>
      <w:r w:rsidR="00E1071E" w:rsidRPr="00507341">
        <w:rPr>
          <w:szCs w:val="24"/>
        </w:rPr>
        <w:t xml:space="preserve">by </w:t>
      </w:r>
      <w:r w:rsidR="00E1071E" w:rsidRPr="009E6E70">
        <w:rPr>
          <w:szCs w:val="24"/>
        </w:rPr>
        <w:t>Chakraborty</w:t>
      </w:r>
      <w:r w:rsidR="000A7B57" w:rsidRPr="009E6E70">
        <w:rPr>
          <w:szCs w:val="24"/>
        </w:rPr>
        <w:t xml:space="preserve"> et al.</w:t>
      </w:r>
      <w:r w:rsidR="00E1071E" w:rsidRPr="009E6E70" w:rsidDel="00E1071E">
        <w:rPr>
          <w:szCs w:val="24"/>
        </w:rPr>
        <w:t xml:space="preserve"> </w:t>
      </w:r>
      <w:r w:rsidR="00E1071E" w:rsidRPr="009E6E70">
        <w:rPr>
          <w:szCs w:val="24"/>
        </w:rPr>
        <w:t>(2018</w:t>
      </w:r>
      <w:r w:rsidR="00E1071E" w:rsidRPr="00507341">
        <w:rPr>
          <w:szCs w:val="24"/>
        </w:rPr>
        <w:t>)</w:t>
      </w:r>
      <w:r w:rsidR="00625A69" w:rsidRPr="00507341">
        <w:rPr>
          <w:szCs w:val="24"/>
        </w:rPr>
        <w:t>.</w:t>
      </w:r>
      <w:r w:rsidR="00BB2E88" w:rsidRPr="00507341">
        <w:rPr>
          <w:szCs w:val="24"/>
        </w:rPr>
        <w:t xml:space="preserve"> </w:t>
      </w:r>
      <w:bookmarkEnd w:id="24"/>
      <w:r w:rsidR="00BB2E88" w:rsidRPr="003A08D1">
        <w:rPr>
          <w:rFonts w:eastAsia="DengXian"/>
          <w:szCs w:val="24"/>
          <w:lang w:val="en-GB" w:eastAsia="zh-CN"/>
        </w:rPr>
        <w:t>For each facility,</w:t>
      </w:r>
      <w:r w:rsidR="00E1071E" w:rsidRPr="009C4CA1">
        <w:rPr>
          <w:szCs w:val="24"/>
        </w:rPr>
        <w:t xml:space="preserve"> </w:t>
      </w:r>
      <w:r w:rsidR="007C5F2C">
        <w:rPr>
          <w:szCs w:val="24"/>
        </w:rPr>
        <w:t xml:space="preserve">the </w:t>
      </w:r>
      <w:r w:rsidR="00BB2E88" w:rsidRPr="00DD5868">
        <w:rPr>
          <w:szCs w:val="24"/>
        </w:rPr>
        <w:t xml:space="preserve">lead </w:t>
      </w:r>
      <w:r w:rsidR="00E1071E" w:rsidRPr="00DD5868">
        <w:rPr>
          <w:szCs w:val="24"/>
        </w:rPr>
        <w:t xml:space="preserve">agent </w:t>
      </w:r>
      <w:r w:rsidR="002A76AE" w:rsidRPr="00DD5868">
        <w:rPr>
          <w:szCs w:val="24"/>
        </w:rPr>
        <w:t>is</w:t>
      </w:r>
      <w:r w:rsidR="00E1071E" w:rsidRPr="00DD5868">
        <w:rPr>
          <w:szCs w:val="24"/>
        </w:rPr>
        <w:t xml:space="preserve"> identified by </w:t>
      </w:r>
      <w:r w:rsidR="00BB2E88" w:rsidRPr="003A08D1">
        <w:rPr>
          <w:rFonts w:eastAsia="DengXian"/>
          <w:szCs w:val="24"/>
          <w:lang w:val="en-GB" w:eastAsia="zh-CN"/>
        </w:rPr>
        <w:t xml:space="preserve">the lender with the highest </w:t>
      </w:r>
      <w:r w:rsidR="00E64313">
        <w:rPr>
          <w:rFonts w:eastAsia="DengXian"/>
          <w:szCs w:val="24"/>
          <w:lang w:val="en-GB" w:eastAsia="zh-CN"/>
        </w:rPr>
        <w:t>rank</w:t>
      </w:r>
      <w:r w:rsidR="00E64313" w:rsidRPr="003A08D1">
        <w:rPr>
          <w:rFonts w:eastAsia="DengXian"/>
          <w:szCs w:val="24"/>
          <w:lang w:val="en-GB" w:eastAsia="zh-CN"/>
        </w:rPr>
        <w:t xml:space="preserve"> </w:t>
      </w:r>
      <w:r w:rsidR="00E1071E" w:rsidRPr="009C4CA1">
        <w:rPr>
          <w:szCs w:val="24"/>
        </w:rPr>
        <w:t xml:space="preserve">following the </w:t>
      </w:r>
      <w:r w:rsidR="00BB2E88" w:rsidRPr="009C4CA1">
        <w:rPr>
          <w:szCs w:val="24"/>
        </w:rPr>
        <w:t>ten-</w:t>
      </w:r>
      <w:r w:rsidR="00BB2E88" w:rsidRPr="00DD5868">
        <w:rPr>
          <w:szCs w:val="24"/>
        </w:rPr>
        <w:t xml:space="preserve">part </w:t>
      </w:r>
      <w:r w:rsidR="00E1071E" w:rsidRPr="00DD5868">
        <w:rPr>
          <w:szCs w:val="24"/>
        </w:rPr>
        <w:t xml:space="preserve">ranking hierarchy </w:t>
      </w:r>
      <w:r w:rsidR="00BB2E88" w:rsidRPr="00DD5868">
        <w:rPr>
          <w:szCs w:val="24"/>
        </w:rPr>
        <w:t>developed</w:t>
      </w:r>
      <w:r w:rsidR="003A08D1">
        <w:rPr>
          <w:szCs w:val="24"/>
        </w:rPr>
        <w:t xml:space="preserve"> </w:t>
      </w:r>
      <w:r w:rsidR="00E1071E" w:rsidRPr="00DD5868">
        <w:rPr>
          <w:szCs w:val="24"/>
        </w:rPr>
        <w:t xml:space="preserve">by </w:t>
      </w:r>
      <w:r w:rsidR="00411D7B" w:rsidRPr="00DD5868">
        <w:rPr>
          <w:szCs w:val="24"/>
        </w:rPr>
        <w:t>Chakraborty</w:t>
      </w:r>
      <w:r w:rsidR="004672AC" w:rsidRPr="00FB3456">
        <w:rPr>
          <w:szCs w:val="24"/>
        </w:rPr>
        <w:t xml:space="preserve"> et al.</w:t>
      </w:r>
      <w:r w:rsidR="00411D7B" w:rsidRPr="00FB3456" w:rsidDel="00E1071E">
        <w:rPr>
          <w:szCs w:val="24"/>
        </w:rPr>
        <w:t xml:space="preserve"> </w:t>
      </w:r>
      <w:r w:rsidR="00411D7B" w:rsidRPr="00507341">
        <w:rPr>
          <w:szCs w:val="24"/>
        </w:rPr>
        <w:t>(2018)</w:t>
      </w:r>
      <w:r w:rsidR="00DF3159">
        <w:rPr>
          <w:szCs w:val="24"/>
        </w:rPr>
        <w:t>.</w:t>
      </w:r>
      <w:r w:rsidR="00BB2E88" w:rsidRPr="009C4CA1">
        <w:rPr>
          <w:rStyle w:val="FootnoteReference"/>
          <w:szCs w:val="24"/>
        </w:rPr>
        <w:footnoteReference w:id="6"/>
      </w:r>
      <w:r w:rsidR="00E1071E" w:rsidRPr="003A08D1">
        <w:rPr>
          <w:szCs w:val="24"/>
        </w:rPr>
        <w:t xml:space="preserve"> </w:t>
      </w:r>
      <w:r w:rsidR="001B60C7" w:rsidRPr="009C4CA1">
        <w:rPr>
          <w:szCs w:val="24"/>
        </w:rPr>
        <w:t xml:space="preserve">The main variable of </w:t>
      </w:r>
      <w:r w:rsidR="001B60C7" w:rsidRPr="00A612F4">
        <w:rPr>
          <w:szCs w:val="24"/>
        </w:rPr>
        <w:t xml:space="preserve">interest is </w:t>
      </w:r>
      <w:bookmarkStart w:id="25" w:name="_Hlk35893060"/>
      <w:r w:rsidR="00AB7D53" w:rsidRPr="00CE7D45">
        <w:rPr>
          <w:i/>
          <w:iCs/>
        </w:rPr>
        <w:t xml:space="preserve">Large CS </w:t>
      </w:r>
      <w:r w:rsidR="0099693E">
        <w:rPr>
          <w:i/>
          <w:iCs/>
        </w:rPr>
        <w:t>link</w:t>
      </w:r>
      <w:r w:rsidR="00AB7D53" w:rsidRPr="00CE7D45">
        <w:rPr>
          <w:i/>
          <w:iCs/>
        </w:rPr>
        <w:t>s</w:t>
      </w:r>
      <w:r w:rsidR="001B60C7" w:rsidRPr="00A612F4">
        <w:rPr>
          <w:szCs w:val="24"/>
        </w:rPr>
        <w:t xml:space="preserve">, which is equal to 1 if the </w:t>
      </w:r>
      <w:r w:rsidR="002D401C" w:rsidRPr="00A612F4">
        <w:rPr>
          <w:szCs w:val="24"/>
        </w:rPr>
        <w:t>borr</w:t>
      </w:r>
      <w:r w:rsidR="002D401C" w:rsidRPr="00B7463D">
        <w:rPr>
          <w:szCs w:val="24"/>
        </w:rPr>
        <w:t xml:space="preserve">ower has at least </w:t>
      </w:r>
      <w:r w:rsidR="0010204E">
        <w:rPr>
          <w:szCs w:val="24"/>
        </w:rPr>
        <w:t>one</w:t>
      </w:r>
      <w:r w:rsidR="0032443E" w:rsidRPr="00B7463D">
        <w:rPr>
          <w:szCs w:val="24"/>
        </w:rPr>
        <w:t xml:space="preserve"> </w:t>
      </w:r>
      <w:r w:rsidR="00FC36A3">
        <w:t>large customer</w:t>
      </w:r>
      <w:r w:rsidR="000A41BA" w:rsidRPr="009977F2">
        <w:t xml:space="preserve">-supplier </w:t>
      </w:r>
      <w:r w:rsidR="0099693E">
        <w:t>link</w:t>
      </w:r>
      <w:r w:rsidR="002D401C" w:rsidRPr="009977F2">
        <w:t xml:space="preserve"> in the last five years</w:t>
      </w:r>
      <w:r w:rsidR="00E64313">
        <w:t>, which is a standard timeframe in the literature (</w:t>
      </w:r>
      <w:r w:rsidR="00E64313" w:rsidRPr="00BC40D3">
        <w:t>Bharath et al., 2011</w:t>
      </w:r>
      <w:r w:rsidR="00E64313">
        <w:t>),</w:t>
      </w:r>
      <w:r w:rsidR="002D401C" w:rsidRPr="009977F2">
        <w:t xml:space="preserve"> prior receiving the loan, and 0 otherwise</w:t>
      </w:r>
      <w:r w:rsidR="001B60C7" w:rsidRPr="009977F2">
        <w:t>.</w:t>
      </w:r>
      <w:r w:rsidR="00E64313" w:rsidRPr="00A612F4">
        <w:rPr>
          <w:rStyle w:val="FootnoteReference"/>
        </w:rPr>
        <w:footnoteReference w:id="7"/>
      </w:r>
      <w:r w:rsidR="001B60C7" w:rsidRPr="009977F2">
        <w:t xml:space="preserve"> </w:t>
      </w:r>
      <w:r w:rsidR="00B74D31" w:rsidRPr="00A612F4">
        <w:rPr>
          <w:szCs w:val="24"/>
        </w:rPr>
        <w:t>W</w:t>
      </w:r>
      <w:r w:rsidR="00973213" w:rsidRPr="00B7463D">
        <w:rPr>
          <w:szCs w:val="24"/>
        </w:rPr>
        <w:t xml:space="preserve">e </w:t>
      </w:r>
      <w:r w:rsidR="004147F2" w:rsidRPr="00B76115">
        <w:rPr>
          <w:szCs w:val="24"/>
        </w:rPr>
        <w:t xml:space="preserve">also </w:t>
      </w:r>
      <w:r w:rsidR="00973213" w:rsidRPr="00D01339">
        <w:rPr>
          <w:szCs w:val="24"/>
        </w:rPr>
        <w:t xml:space="preserve">construct a continuous-variable </w:t>
      </w:r>
      <w:r w:rsidR="00DB5899" w:rsidRPr="00CE7D45">
        <w:rPr>
          <w:i/>
          <w:iCs/>
        </w:rPr>
        <w:t xml:space="preserve">Length large CS </w:t>
      </w:r>
      <w:r w:rsidR="0099693E">
        <w:rPr>
          <w:i/>
          <w:iCs/>
        </w:rPr>
        <w:t>link</w:t>
      </w:r>
      <w:r w:rsidR="00DB5899" w:rsidRPr="00CE7D45">
        <w:rPr>
          <w:i/>
          <w:iCs/>
        </w:rPr>
        <w:t>s</w:t>
      </w:r>
      <w:r w:rsidR="00AF2C72" w:rsidRPr="00A612F4">
        <w:rPr>
          <w:i/>
          <w:iCs/>
          <w:szCs w:val="24"/>
        </w:rPr>
        <w:t>,</w:t>
      </w:r>
      <w:r w:rsidR="00973213" w:rsidRPr="00A612F4">
        <w:rPr>
          <w:i/>
          <w:iCs/>
          <w:szCs w:val="24"/>
        </w:rPr>
        <w:t xml:space="preserve"> </w:t>
      </w:r>
      <w:r w:rsidR="00973213" w:rsidRPr="00B7463D">
        <w:rPr>
          <w:szCs w:val="24"/>
        </w:rPr>
        <w:t xml:space="preserve">which is </w:t>
      </w:r>
      <w:r w:rsidR="0032443E" w:rsidRPr="00B7463D">
        <w:rPr>
          <w:szCs w:val="24"/>
        </w:rPr>
        <w:t>t</w:t>
      </w:r>
      <w:r w:rsidR="0032443E" w:rsidRPr="00B76115">
        <w:rPr>
          <w:szCs w:val="24"/>
        </w:rPr>
        <w:t>he average length of the borrower’</w:t>
      </w:r>
      <w:r w:rsidR="004B2193">
        <w:rPr>
          <w:szCs w:val="24"/>
        </w:rPr>
        <w:t>s</w:t>
      </w:r>
      <w:r w:rsidR="0032443E" w:rsidRPr="00B76115">
        <w:rPr>
          <w:szCs w:val="24"/>
        </w:rPr>
        <w:t xml:space="preserve"> </w:t>
      </w:r>
      <w:r w:rsidR="0043098D">
        <w:rPr>
          <w:szCs w:val="24"/>
        </w:rPr>
        <w:t xml:space="preserve">large </w:t>
      </w:r>
      <w:r w:rsidR="00C2325A">
        <w:rPr>
          <w:szCs w:val="24"/>
        </w:rPr>
        <w:t>customer</w:t>
      </w:r>
      <w:r w:rsidR="0032443E" w:rsidRPr="00B76115">
        <w:rPr>
          <w:szCs w:val="24"/>
        </w:rPr>
        <w:t xml:space="preserve">-supplier </w:t>
      </w:r>
      <w:r w:rsidR="0099693E">
        <w:rPr>
          <w:szCs w:val="24"/>
        </w:rPr>
        <w:t>link</w:t>
      </w:r>
      <w:r w:rsidR="0032443E" w:rsidRPr="00B76115">
        <w:rPr>
          <w:szCs w:val="24"/>
        </w:rPr>
        <w:t>s starting from the year before the loan origination</w:t>
      </w:r>
      <w:r w:rsidR="000E7C60" w:rsidRPr="00D01339">
        <w:rPr>
          <w:lang w:val="en-GB"/>
        </w:rPr>
        <w:t>.</w:t>
      </w:r>
      <w:r w:rsidR="0009344F" w:rsidRPr="00A612F4">
        <w:rPr>
          <w:rStyle w:val="FootnoteReference"/>
          <w:szCs w:val="24"/>
        </w:rPr>
        <w:footnoteReference w:id="8"/>
      </w:r>
      <w:r w:rsidR="00973213" w:rsidRPr="00A612F4">
        <w:rPr>
          <w:szCs w:val="24"/>
        </w:rPr>
        <w:t xml:space="preserve"> </w:t>
      </w:r>
      <w:bookmarkEnd w:id="25"/>
      <w:r w:rsidR="004147F2" w:rsidRPr="009977F2">
        <w:rPr>
          <w:szCs w:val="24"/>
        </w:rPr>
        <w:t xml:space="preserve">The </w:t>
      </w:r>
      <w:r w:rsidR="004F55C9" w:rsidRPr="00CE7D45">
        <w:rPr>
          <w:i/>
          <w:iCs/>
          <w:szCs w:val="24"/>
        </w:rPr>
        <w:t xml:space="preserve">Large CS </w:t>
      </w:r>
      <w:r w:rsidR="0099693E">
        <w:rPr>
          <w:i/>
          <w:iCs/>
          <w:szCs w:val="24"/>
        </w:rPr>
        <w:t>link</w:t>
      </w:r>
      <w:r w:rsidR="004F55C9" w:rsidRPr="00CE7D45">
        <w:rPr>
          <w:i/>
          <w:iCs/>
          <w:szCs w:val="24"/>
        </w:rPr>
        <w:t>s</w:t>
      </w:r>
      <w:r w:rsidR="00DE5B94" w:rsidRPr="00A612F4">
        <w:rPr>
          <w:szCs w:val="24"/>
        </w:rPr>
        <w:t xml:space="preserve"> dummy allows us to explore </w:t>
      </w:r>
      <w:r w:rsidR="004147F2" w:rsidRPr="00B7463D">
        <w:rPr>
          <w:szCs w:val="24"/>
        </w:rPr>
        <w:t>whether</w:t>
      </w:r>
      <w:r w:rsidR="00DE5B94" w:rsidRPr="00B7463D">
        <w:t xml:space="preserve"> </w:t>
      </w:r>
      <w:r w:rsidR="00FC36A3">
        <w:t>large customer</w:t>
      </w:r>
      <w:r w:rsidR="00E031C5" w:rsidRPr="00B76115">
        <w:t xml:space="preserve">-supplier </w:t>
      </w:r>
      <w:r w:rsidR="0099693E">
        <w:t>link</w:t>
      </w:r>
      <w:r w:rsidR="007B47FB" w:rsidRPr="00D01339">
        <w:t xml:space="preserve">s </w:t>
      </w:r>
      <w:r w:rsidR="00DE5B94" w:rsidRPr="00D01339">
        <w:t>can affect the syndicate loan structure and loan pricing</w:t>
      </w:r>
      <w:r w:rsidR="00DE5B94" w:rsidRPr="003A6014">
        <w:t>.</w:t>
      </w:r>
      <w:r w:rsidR="00DE5B94" w:rsidRPr="00556837">
        <w:rPr>
          <w:szCs w:val="24"/>
        </w:rPr>
        <w:t xml:space="preserve"> </w:t>
      </w:r>
      <w:r w:rsidR="004E7D2D">
        <w:rPr>
          <w:szCs w:val="24"/>
        </w:rPr>
        <w:t>Conversely</w:t>
      </w:r>
      <w:r w:rsidR="00973213" w:rsidRPr="00556837">
        <w:rPr>
          <w:szCs w:val="24"/>
        </w:rPr>
        <w:t xml:space="preserve">, </w:t>
      </w:r>
      <w:r w:rsidR="00DB5899" w:rsidRPr="00CE7D45">
        <w:rPr>
          <w:i/>
          <w:iCs/>
          <w:szCs w:val="24"/>
        </w:rPr>
        <w:t xml:space="preserve">Length large CS </w:t>
      </w:r>
      <w:r w:rsidR="0099693E">
        <w:rPr>
          <w:i/>
          <w:iCs/>
          <w:szCs w:val="24"/>
        </w:rPr>
        <w:t>link</w:t>
      </w:r>
      <w:r w:rsidR="00DB5899" w:rsidRPr="00CE7D45">
        <w:rPr>
          <w:i/>
          <w:iCs/>
          <w:szCs w:val="24"/>
        </w:rPr>
        <w:t>s</w:t>
      </w:r>
      <w:r w:rsidR="007B47FB" w:rsidRPr="00084B87">
        <w:rPr>
          <w:szCs w:val="24"/>
        </w:rPr>
        <w:t xml:space="preserve"> </w:t>
      </w:r>
      <w:r w:rsidR="00973213" w:rsidRPr="00084B87">
        <w:rPr>
          <w:szCs w:val="24"/>
        </w:rPr>
        <w:t>allow</w:t>
      </w:r>
      <w:r w:rsidR="00973213">
        <w:rPr>
          <w:szCs w:val="24"/>
        </w:rPr>
        <w:t>s</w:t>
      </w:r>
      <w:r w:rsidR="00973213" w:rsidRPr="00084B87">
        <w:rPr>
          <w:szCs w:val="24"/>
        </w:rPr>
        <w:t xml:space="preserve"> us</w:t>
      </w:r>
      <w:r w:rsidR="008E66D0">
        <w:rPr>
          <w:szCs w:val="24"/>
        </w:rPr>
        <w:t xml:space="preserve"> also</w:t>
      </w:r>
      <w:r w:rsidR="00973213" w:rsidRPr="00084B87">
        <w:rPr>
          <w:szCs w:val="24"/>
        </w:rPr>
        <w:t xml:space="preserve"> to</w:t>
      </w:r>
      <w:r w:rsidR="007C5F2C">
        <w:rPr>
          <w:szCs w:val="24"/>
        </w:rPr>
        <w:t xml:space="preserve"> </w:t>
      </w:r>
      <w:r w:rsidR="008E66D0">
        <w:rPr>
          <w:szCs w:val="24"/>
        </w:rPr>
        <w:t xml:space="preserve">account for </w:t>
      </w:r>
      <w:r w:rsidR="003D1CD4">
        <w:rPr>
          <w:szCs w:val="24"/>
        </w:rPr>
        <w:t xml:space="preserve">the dependence of the borrower on </w:t>
      </w:r>
      <w:r w:rsidR="00FC36A3">
        <w:rPr>
          <w:szCs w:val="24"/>
        </w:rPr>
        <w:t>large customer</w:t>
      </w:r>
      <w:r w:rsidR="003D1CD4">
        <w:rPr>
          <w:szCs w:val="24"/>
        </w:rPr>
        <w:t>s and suppliers</w:t>
      </w:r>
      <w:r w:rsidR="008E66D0">
        <w:rPr>
          <w:szCs w:val="24"/>
        </w:rPr>
        <w:t>. In fact,</w:t>
      </w:r>
      <w:r w:rsidR="00B2107D">
        <w:rPr>
          <w:szCs w:val="24"/>
        </w:rPr>
        <w:t xml:space="preserve"> </w:t>
      </w:r>
      <w:r w:rsidR="00973213" w:rsidRPr="009D40CE">
        <w:rPr>
          <w:szCs w:val="24"/>
        </w:rPr>
        <w:t>long</w:t>
      </w:r>
      <w:r w:rsidR="00E031C5">
        <w:rPr>
          <w:szCs w:val="24"/>
        </w:rPr>
        <w:t>-term</w:t>
      </w:r>
      <w:r w:rsidR="00973213" w:rsidRPr="009D40CE">
        <w:rPr>
          <w:szCs w:val="24"/>
        </w:rPr>
        <w:t xml:space="preserve"> relationships could expose firms to additional risks</w:t>
      </w:r>
      <w:r w:rsidR="003D1CD4">
        <w:rPr>
          <w:szCs w:val="24"/>
        </w:rPr>
        <w:t>, such as cash flow correlations,</w:t>
      </w:r>
      <w:r w:rsidR="00973213" w:rsidRPr="009D40CE">
        <w:rPr>
          <w:szCs w:val="24"/>
        </w:rPr>
        <w:t xml:space="preserve"> as they </w:t>
      </w:r>
      <w:r w:rsidR="008E66D0" w:rsidRPr="009D40CE">
        <w:rPr>
          <w:szCs w:val="24"/>
        </w:rPr>
        <w:t xml:space="preserve">grow closer </w:t>
      </w:r>
      <w:r w:rsidR="00EE71CC" w:rsidRPr="009D40CE">
        <w:rPr>
          <w:szCs w:val="24"/>
        </w:rPr>
        <w:t>to</w:t>
      </w:r>
      <w:r w:rsidR="00973213" w:rsidRPr="009D40CE">
        <w:rPr>
          <w:szCs w:val="24"/>
        </w:rPr>
        <w:t xml:space="preserve"> each other. </w:t>
      </w:r>
    </w:p>
    <w:p w14:paraId="2A648A2C" w14:textId="77777777" w:rsidR="00375D3D" w:rsidRDefault="00431107" w:rsidP="00375D3D">
      <w:pPr>
        <w:pStyle w:val="MTDisplayEquation"/>
        <w:ind w:right="4" w:firstLine="567"/>
        <w:rPr>
          <w:szCs w:val="24"/>
        </w:rPr>
      </w:pPr>
      <w:r>
        <w:rPr>
          <w:szCs w:val="24"/>
        </w:rPr>
        <w:t>Similar</w:t>
      </w:r>
      <w:r w:rsidR="00587FF5">
        <w:rPr>
          <w:szCs w:val="24"/>
        </w:rPr>
        <w:t xml:space="preserve"> to</w:t>
      </w:r>
      <w:r w:rsidR="00375D3D" w:rsidRPr="00AB7D53">
        <w:rPr>
          <w:szCs w:val="24"/>
        </w:rPr>
        <w:t xml:space="preserve"> previous studies (Campello and Gao, 2017; Cen et al., 2016; Delis et al., 2020a; Hasan et al., 2020; </w:t>
      </w:r>
      <w:r w:rsidR="004B2193" w:rsidRPr="00AB7D53">
        <w:rPr>
          <w:szCs w:val="24"/>
        </w:rPr>
        <w:t xml:space="preserve">Lin et al., 2012; </w:t>
      </w:r>
      <w:r w:rsidR="00375D3D" w:rsidRPr="00AB7D53">
        <w:rPr>
          <w:szCs w:val="24"/>
        </w:rPr>
        <w:t xml:space="preserve">Rahaman et al., 2020), </w:t>
      </w:r>
      <w:r w:rsidR="00A04030">
        <w:rPr>
          <w:szCs w:val="24"/>
        </w:rPr>
        <w:t xml:space="preserve">we consider loan facility as </w:t>
      </w:r>
      <w:r w:rsidR="00375D3D" w:rsidRPr="00AB7D53">
        <w:rPr>
          <w:szCs w:val="24"/>
        </w:rPr>
        <w:t xml:space="preserve">the unit </w:t>
      </w:r>
      <w:r w:rsidR="00866803">
        <w:rPr>
          <w:szCs w:val="24"/>
        </w:rPr>
        <w:t>of</w:t>
      </w:r>
      <w:r w:rsidR="00375D3D" w:rsidRPr="00AB7D53">
        <w:rPr>
          <w:szCs w:val="24"/>
        </w:rPr>
        <w:t xml:space="preserve"> analysis</w:t>
      </w:r>
      <w:r w:rsidR="00A04030">
        <w:rPr>
          <w:szCs w:val="24"/>
        </w:rPr>
        <w:t xml:space="preserve"> for the reason that</w:t>
      </w:r>
      <w:r w:rsidR="00375D3D" w:rsidRPr="00AB7D53">
        <w:rPr>
          <w:szCs w:val="24"/>
        </w:rPr>
        <w:t xml:space="preserve"> </w:t>
      </w:r>
      <w:r w:rsidR="00A04030">
        <w:rPr>
          <w:szCs w:val="24"/>
        </w:rPr>
        <w:t>l</w:t>
      </w:r>
      <w:r w:rsidR="00375D3D" w:rsidRPr="00AB7D53">
        <w:rPr>
          <w:szCs w:val="24"/>
        </w:rPr>
        <w:t xml:space="preserve">oan </w:t>
      </w:r>
      <w:r w:rsidR="00326301">
        <w:rPr>
          <w:szCs w:val="24"/>
        </w:rPr>
        <w:t>facilities</w:t>
      </w:r>
      <w:r w:rsidR="00375D3D" w:rsidRPr="00AB7D53">
        <w:rPr>
          <w:szCs w:val="24"/>
        </w:rPr>
        <w:t xml:space="preserve"> or tranches are individual portions of a deal or package, which may exhibit different starting dates, maturity, pricing, amount, and loan type which in turns can affect the lead agent monitoring effort.</w:t>
      </w:r>
      <w:r w:rsidR="00375D3D" w:rsidRPr="008F4B62">
        <w:rPr>
          <w:szCs w:val="24"/>
        </w:rPr>
        <w:t xml:space="preserve"> </w:t>
      </w:r>
    </w:p>
    <w:p w14:paraId="6E158D74" w14:textId="77777777" w:rsidR="001B60C7" w:rsidRPr="00DE5B94" w:rsidRDefault="00973213" w:rsidP="00DE5B94">
      <w:pPr>
        <w:pStyle w:val="MTDisplayEquation"/>
        <w:ind w:right="4" w:firstLine="567"/>
        <w:rPr>
          <w:szCs w:val="24"/>
        </w:rPr>
      </w:pPr>
      <w:r w:rsidRPr="009D40CE">
        <w:rPr>
          <w:szCs w:val="24"/>
        </w:rPr>
        <w:t>For this analysis, we employ the following model:</w:t>
      </w:r>
      <w:r>
        <w:rPr>
          <w:szCs w:val="24"/>
        </w:rPr>
        <w:t xml:space="preserve"> </w:t>
      </w:r>
    </w:p>
    <w:bookmarkStart w:id="26" w:name="_Hlk20240245"/>
    <w:p w14:paraId="4BE08251" w14:textId="77777777" w:rsidR="00B848E3" w:rsidRDefault="00480CC6" w:rsidP="00B848E3">
      <w:pPr>
        <w:autoSpaceDE w:val="0"/>
        <w:autoSpaceDN w:val="0"/>
        <w:adjustRightInd w:val="0"/>
        <w:spacing w:before="240" w:after="240" w:line="360" w:lineRule="auto"/>
        <w:ind w:right="4"/>
        <w:jc w:val="right"/>
      </w:pPr>
      <w:r w:rsidRPr="00AD5FE7">
        <w:rPr>
          <w:position w:val="-56"/>
        </w:rPr>
        <w:object w:dxaOrig="8140" w:dyaOrig="1180" w14:anchorId="527C1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60pt" o:ole="">
            <v:imagedata r:id="rId9" o:title=""/>
          </v:shape>
          <o:OLEObject Type="Embed" ProgID="Equation.DSMT4" ShapeID="_x0000_i1025" DrawAspect="Content" ObjectID="_1674026358" r:id="rId10"/>
        </w:object>
      </w:r>
      <w:bookmarkEnd w:id="26"/>
      <w:r w:rsidR="00B848E3">
        <w:t xml:space="preserve">     (1) </w:t>
      </w:r>
    </w:p>
    <w:p w14:paraId="7EF43BE8" w14:textId="77777777" w:rsidR="00435F2D" w:rsidRPr="001554F3" w:rsidRDefault="00FD3335" w:rsidP="002B3BA8">
      <w:pPr>
        <w:pStyle w:val="MTDisplayEquation"/>
        <w:ind w:right="4"/>
      </w:pPr>
      <w:r w:rsidRPr="00431107">
        <w:t xml:space="preserve">where </w:t>
      </w:r>
      <w:r w:rsidR="00963D33" w:rsidRPr="00431107">
        <w:rPr>
          <w:i/>
          <w:iCs/>
        </w:rPr>
        <w:t>k</w:t>
      </w:r>
      <w:r w:rsidR="00963D33" w:rsidRPr="00431107">
        <w:t xml:space="preserve"> indicates newly initiated loans and </w:t>
      </w:r>
      <w:r w:rsidR="00963D33" w:rsidRPr="00431107">
        <w:rPr>
          <w:i/>
          <w:iCs/>
        </w:rPr>
        <w:t>t</w:t>
      </w:r>
      <w:r w:rsidR="00963D33" w:rsidRPr="00431107">
        <w:t xml:space="preserve"> indicates the year of the loan </w:t>
      </w:r>
      <w:r w:rsidR="00FF0D34" w:rsidRPr="00431107">
        <w:t>initiation</w:t>
      </w:r>
      <w:r w:rsidR="00963D33" w:rsidRPr="00431107">
        <w:t xml:space="preserve">. </w:t>
      </w:r>
      <w:r w:rsidR="00531906" w:rsidRPr="00431107">
        <w:rPr>
          <w:i/>
        </w:rPr>
        <w:t xml:space="preserve">Lead </w:t>
      </w:r>
      <w:r w:rsidR="00782C38" w:rsidRPr="00431107">
        <w:rPr>
          <w:i/>
        </w:rPr>
        <w:t xml:space="preserve">agent </w:t>
      </w:r>
      <w:r w:rsidR="00531906" w:rsidRPr="00431107">
        <w:rPr>
          <w:i/>
        </w:rPr>
        <w:t>share</w:t>
      </w:r>
      <w:r w:rsidR="00531906" w:rsidRPr="00431107">
        <w:t xml:space="preserve"> </w:t>
      </w:r>
      <w:r w:rsidR="00B14A75" w:rsidRPr="00431107">
        <w:t>indicates</w:t>
      </w:r>
      <w:r w:rsidR="00E1071E" w:rsidRPr="00431107">
        <w:t xml:space="preserve"> </w:t>
      </w:r>
      <w:r w:rsidR="00435F2D" w:rsidRPr="00431107">
        <w:t xml:space="preserve">the percentage retained by the lead </w:t>
      </w:r>
      <w:r w:rsidR="00B14A75" w:rsidRPr="00431107">
        <w:t>agent</w:t>
      </w:r>
      <w:r w:rsidR="00EE42F8">
        <w:t xml:space="preserve"> </w:t>
      </w:r>
      <w:r w:rsidR="00B14193" w:rsidRPr="00F556B4">
        <w:rPr>
          <w:i/>
          <w:iCs/>
        </w:rPr>
        <w:t>j</w:t>
      </w:r>
      <w:r w:rsidR="00A31DF6" w:rsidRPr="00431107">
        <w:t xml:space="preserve"> in each loan </w:t>
      </w:r>
      <w:r w:rsidR="00EE42F8">
        <w:rPr>
          <w:i/>
        </w:rPr>
        <w:t>k</w:t>
      </w:r>
      <w:r w:rsidR="007630FE" w:rsidRPr="00431107">
        <w:t>.</w:t>
      </w:r>
      <w:r w:rsidR="00435F2D" w:rsidRPr="001554F3">
        <w:t xml:space="preserve"> </w:t>
      </w:r>
      <w:r w:rsidR="00973213">
        <w:t>We</w:t>
      </w:r>
      <w:r w:rsidR="001B60C7" w:rsidRPr="001554F3">
        <w:t xml:space="preserve"> control for borrower fundamentals including the logarithm of total asset, return on asset (ROA), cash holding, </w:t>
      </w:r>
      <w:r w:rsidR="001B60C7" w:rsidRPr="00C46862">
        <w:t>leverage, Tobin’s Q and CAPEX</w:t>
      </w:r>
      <w:r w:rsidR="001B60C7" w:rsidRPr="001554F3">
        <w:t xml:space="preserve">. </w:t>
      </w:r>
      <w:bookmarkStart w:id="27" w:name="_Hlk49520112"/>
      <w:r w:rsidR="00495BE8">
        <w:rPr>
          <w:szCs w:val="24"/>
        </w:rPr>
        <w:t>W</w:t>
      </w:r>
      <w:r w:rsidR="002C7734" w:rsidRPr="00AB7D53">
        <w:rPr>
          <w:szCs w:val="24"/>
        </w:rPr>
        <w:t>e</w:t>
      </w:r>
      <w:r w:rsidR="00495BE8">
        <w:rPr>
          <w:szCs w:val="24"/>
        </w:rPr>
        <w:t xml:space="preserve"> also</w:t>
      </w:r>
      <w:r w:rsidR="002C7734" w:rsidRPr="00AB7D53">
        <w:rPr>
          <w:szCs w:val="24"/>
        </w:rPr>
        <w:t xml:space="preserve"> </w:t>
      </w:r>
      <w:r w:rsidR="002C7734" w:rsidRPr="002C7734">
        <w:rPr>
          <w:szCs w:val="24"/>
        </w:rPr>
        <w:t xml:space="preserve">account for the existence of prior lending </w:t>
      </w:r>
      <w:r w:rsidR="002B7E67">
        <w:rPr>
          <w:szCs w:val="24"/>
        </w:rPr>
        <w:t xml:space="preserve">relationship </w:t>
      </w:r>
      <w:r w:rsidR="00E031C5">
        <w:rPr>
          <w:szCs w:val="24"/>
        </w:rPr>
        <w:t xml:space="preserve">between </w:t>
      </w:r>
      <w:r w:rsidR="002C7734" w:rsidRPr="002C7734">
        <w:rPr>
          <w:szCs w:val="24"/>
        </w:rPr>
        <w:t>the same l</w:t>
      </w:r>
      <w:r w:rsidR="002B7E67">
        <w:rPr>
          <w:szCs w:val="24"/>
        </w:rPr>
        <w:t>ead agent</w:t>
      </w:r>
      <w:r w:rsidR="002C7734" w:rsidRPr="002C7734">
        <w:rPr>
          <w:szCs w:val="24"/>
        </w:rPr>
        <w:t xml:space="preserve"> </w:t>
      </w:r>
      <w:r w:rsidR="00E031C5">
        <w:rPr>
          <w:szCs w:val="24"/>
        </w:rPr>
        <w:t>and</w:t>
      </w:r>
      <w:r w:rsidR="002C7734" w:rsidRPr="002C7734">
        <w:rPr>
          <w:szCs w:val="24"/>
        </w:rPr>
        <w:t xml:space="preserve"> the borrower in the past five years. </w:t>
      </w:r>
      <w:r w:rsidR="00495BE8" w:rsidRPr="00B0095D">
        <w:rPr>
          <w:szCs w:val="24"/>
        </w:rPr>
        <w:t>Specifically, f</w:t>
      </w:r>
      <w:r w:rsidR="002C7734" w:rsidRPr="00B0095D">
        <w:rPr>
          <w:szCs w:val="24"/>
        </w:rPr>
        <w:t>ollowing</w:t>
      </w:r>
      <w:r w:rsidR="002C7734" w:rsidRPr="00542E39">
        <w:rPr>
          <w:szCs w:val="24"/>
        </w:rPr>
        <w:t xml:space="preserve"> Bharath et al. (2007, 2011), </w:t>
      </w:r>
      <w:r w:rsidR="002C7734" w:rsidRPr="00200653">
        <w:rPr>
          <w:szCs w:val="24"/>
        </w:rPr>
        <w:t xml:space="preserve">we construct a variable called </w:t>
      </w:r>
      <w:r w:rsidR="002C7734" w:rsidRPr="002E5AC1">
        <w:rPr>
          <w:i/>
          <w:szCs w:val="24"/>
        </w:rPr>
        <w:t>Past lending</w:t>
      </w:r>
      <w:r w:rsidR="002C7734" w:rsidRPr="002E5AC1">
        <w:rPr>
          <w:szCs w:val="24"/>
        </w:rPr>
        <w:t xml:space="preserve"> that </w:t>
      </w:r>
      <w:r w:rsidR="002C7734" w:rsidRPr="00B0095D">
        <w:rPr>
          <w:szCs w:val="24"/>
        </w:rPr>
        <w:t xml:space="preserve">is </w:t>
      </w:r>
      <w:r w:rsidR="002C7734" w:rsidRPr="00C74013">
        <w:rPr>
          <w:szCs w:val="24"/>
        </w:rPr>
        <w:t xml:space="preserve">calculated as the </w:t>
      </w:r>
      <w:r w:rsidR="002C7734" w:rsidRPr="00C74013">
        <w:rPr>
          <w:rFonts w:eastAsia="DengXian"/>
          <w:szCs w:val="24"/>
          <w:lang w:val="en-GB" w:eastAsia="zh-CN"/>
        </w:rPr>
        <w:t xml:space="preserve">number of loans to borrower </w:t>
      </w:r>
      <w:r w:rsidR="002C7734" w:rsidRPr="00C74013">
        <w:rPr>
          <w:rFonts w:eastAsia="DengXian"/>
          <w:i/>
          <w:iCs/>
          <w:szCs w:val="24"/>
          <w:lang w:val="en-GB" w:eastAsia="zh-CN"/>
        </w:rPr>
        <w:t>i</w:t>
      </w:r>
      <w:r w:rsidR="002C7734" w:rsidRPr="00C74013">
        <w:rPr>
          <w:rFonts w:eastAsia="DengXian"/>
          <w:szCs w:val="24"/>
          <w:lang w:val="en-GB" w:eastAsia="zh-CN"/>
        </w:rPr>
        <w:t xml:space="preserve"> by </w:t>
      </w:r>
      <w:r w:rsidR="00DF4596" w:rsidRPr="00C74013">
        <w:rPr>
          <w:rFonts w:eastAsia="DengXian"/>
          <w:szCs w:val="24"/>
          <w:lang w:val="en-GB" w:eastAsia="zh-CN"/>
        </w:rPr>
        <w:t>the lead agent</w:t>
      </w:r>
      <w:r w:rsidR="00B14193">
        <w:rPr>
          <w:rFonts w:eastAsia="DengXian"/>
          <w:szCs w:val="24"/>
          <w:lang w:val="en-GB" w:eastAsia="zh-CN"/>
        </w:rPr>
        <w:t xml:space="preserve"> </w:t>
      </w:r>
      <w:r w:rsidR="00B14193" w:rsidRPr="00F556B4">
        <w:rPr>
          <w:rFonts w:eastAsia="DengXian"/>
          <w:i/>
          <w:iCs/>
          <w:szCs w:val="24"/>
          <w:lang w:val="en-GB" w:eastAsia="zh-CN"/>
        </w:rPr>
        <w:t>j</w:t>
      </w:r>
      <w:r w:rsidR="00DF4596" w:rsidRPr="00C74013">
        <w:rPr>
          <w:rFonts w:eastAsia="DengXian"/>
          <w:szCs w:val="24"/>
          <w:lang w:val="en-GB" w:eastAsia="zh-CN"/>
        </w:rPr>
        <w:t xml:space="preserve"> from facility</w:t>
      </w:r>
      <w:r w:rsidR="002C7734" w:rsidRPr="00C74013">
        <w:rPr>
          <w:rFonts w:eastAsia="DengXian"/>
          <w:szCs w:val="24"/>
          <w:lang w:val="en-GB" w:eastAsia="zh-CN"/>
        </w:rPr>
        <w:t xml:space="preserve"> </w:t>
      </w:r>
      <w:r w:rsidR="00A612F4" w:rsidRPr="00C74013">
        <w:rPr>
          <w:rFonts w:eastAsia="DengXian"/>
          <w:i/>
          <w:iCs/>
          <w:szCs w:val="24"/>
          <w:lang w:val="en-GB" w:eastAsia="zh-CN"/>
        </w:rPr>
        <w:t>k</w:t>
      </w:r>
      <w:r w:rsidR="00A612F4" w:rsidRPr="00C74013">
        <w:rPr>
          <w:rFonts w:eastAsia="DengXian"/>
          <w:szCs w:val="24"/>
          <w:lang w:val="en-GB" w:eastAsia="zh-CN"/>
        </w:rPr>
        <w:t xml:space="preserve"> </w:t>
      </w:r>
      <w:r w:rsidR="002C7734" w:rsidRPr="00C74013">
        <w:rPr>
          <w:rFonts w:eastAsia="DengXian"/>
          <w:szCs w:val="24"/>
          <w:lang w:val="en-GB" w:eastAsia="zh-CN"/>
        </w:rPr>
        <w:t xml:space="preserve">divided by total number of </w:t>
      </w:r>
      <w:r w:rsidR="00DF4596" w:rsidRPr="00C74013">
        <w:rPr>
          <w:rFonts w:eastAsia="DengXian"/>
          <w:szCs w:val="24"/>
          <w:lang w:val="en-GB" w:eastAsia="zh-CN"/>
        </w:rPr>
        <w:t>facilities</w:t>
      </w:r>
      <w:r w:rsidR="002C7734" w:rsidRPr="00C74013">
        <w:rPr>
          <w:rFonts w:eastAsia="DengXian"/>
          <w:szCs w:val="24"/>
          <w:lang w:val="en-GB" w:eastAsia="zh-CN"/>
        </w:rPr>
        <w:t xml:space="preserve"> </w:t>
      </w:r>
      <w:r w:rsidR="00A612F4" w:rsidRPr="00C74013">
        <w:rPr>
          <w:rFonts w:eastAsia="DengXian"/>
          <w:szCs w:val="24"/>
          <w:lang w:val="en-GB" w:eastAsia="zh-CN"/>
        </w:rPr>
        <w:t xml:space="preserve">to </w:t>
      </w:r>
      <w:r w:rsidR="002C7734" w:rsidRPr="00C74013">
        <w:rPr>
          <w:rFonts w:eastAsia="DengXian"/>
          <w:szCs w:val="24"/>
          <w:lang w:val="en-GB" w:eastAsia="zh-CN"/>
        </w:rPr>
        <w:t xml:space="preserve">borrower </w:t>
      </w:r>
      <w:r w:rsidR="002C7734" w:rsidRPr="00C74013">
        <w:rPr>
          <w:rFonts w:eastAsia="DengXian"/>
          <w:i/>
          <w:iCs/>
          <w:szCs w:val="24"/>
          <w:lang w:val="en-GB" w:eastAsia="zh-CN"/>
        </w:rPr>
        <w:t>i</w:t>
      </w:r>
      <w:r w:rsidR="002C7734" w:rsidRPr="00C74013">
        <w:rPr>
          <w:rFonts w:eastAsia="DengXian"/>
          <w:szCs w:val="24"/>
          <w:lang w:val="en-GB" w:eastAsia="zh-CN"/>
        </w:rPr>
        <w:t xml:space="preserve"> in</w:t>
      </w:r>
      <w:r w:rsidR="00431107" w:rsidRPr="00C74013">
        <w:rPr>
          <w:rFonts w:eastAsia="DengXian"/>
          <w:szCs w:val="24"/>
          <w:lang w:val="en-GB" w:eastAsia="zh-CN"/>
        </w:rPr>
        <w:t xml:space="preserve"> </w:t>
      </w:r>
      <w:r w:rsidR="004B2193">
        <w:rPr>
          <w:rFonts w:eastAsia="DengXian"/>
          <w:szCs w:val="24"/>
          <w:lang w:val="en-GB" w:eastAsia="zh-CN"/>
        </w:rPr>
        <w:t>the five</w:t>
      </w:r>
      <w:r w:rsidR="004B2193" w:rsidRPr="00C74013">
        <w:rPr>
          <w:rFonts w:eastAsia="DengXian"/>
          <w:szCs w:val="24"/>
          <w:lang w:val="en-GB" w:eastAsia="zh-CN"/>
        </w:rPr>
        <w:t xml:space="preserve"> </w:t>
      </w:r>
      <w:r w:rsidR="002C7734" w:rsidRPr="00C74013">
        <w:rPr>
          <w:rFonts w:eastAsia="DengXian"/>
          <w:szCs w:val="24"/>
          <w:lang w:val="en-GB" w:eastAsia="zh-CN"/>
        </w:rPr>
        <w:t>years</w:t>
      </w:r>
      <w:r w:rsidR="00431107" w:rsidRPr="00C74013">
        <w:rPr>
          <w:rFonts w:eastAsia="DengXian"/>
          <w:szCs w:val="24"/>
          <w:lang w:val="en-GB" w:eastAsia="zh-CN"/>
        </w:rPr>
        <w:t xml:space="preserve"> </w:t>
      </w:r>
      <w:r w:rsidR="004E7D2D">
        <w:rPr>
          <w:rFonts w:eastAsia="DengXian"/>
          <w:szCs w:val="24"/>
          <w:lang w:val="en-GB" w:eastAsia="zh-CN"/>
        </w:rPr>
        <w:t>prior</w:t>
      </w:r>
      <w:r w:rsidR="004B2193">
        <w:rPr>
          <w:rFonts w:eastAsia="DengXian"/>
          <w:szCs w:val="24"/>
          <w:lang w:val="en-GB" w:eastAsia="zh-CN"/>
        </w:rPr>
        <w:t xml:space="preserve"> </w:t>
      </w:r>
      <w:r w:rsidR="004E7D2D">
        <w:rPr>
          <w:rFonts w:eastAsia="DengXian"/>
          <w:szCs w:val="24"/>
          <w:lang w:val="en-GB" w:eastAsia="zh-CN"/>
        </w:rPr>
        <w:t xml:space="preserve">to </w:t>
      </w:r>
      <w:r w:rsidR="00431107" w:rsidRPr="00C74013">
        <w:rPr>
          <w:rFonts w:eastAsia="DengXian"/>
          <w:szCs w:val="24"/>
          <w:lang w:val="en-GB" w:eastAsia="zh-CN"/>
        </w:rPr>
        <w:t>the loan origination</w:t>
      </w:r>
      <w:r w:rsidR="00431107" w:rsidRPr="00B0095D">
        <w:rPr>
          <w:rFonts w:eastAsia="DengXian"/>
          <w:szCs w:val="24"/>
          <w:lang w:val="en-GB" w:eastAsia="zh-CN"/>
        </w:rPr>
        <w:t>.</w:t>
      </w:r>
      <w:r w:rsidR="002C7734" w:rsidRPr="00AB7D53">
        <w:rPr>
          <w:rFonts w:eastAsia="DengXian"/>
          <w:szCs w:val="24"/>
          <w:lang w:val="en-GB" w:eastAsia="zh-CN"/>
        </w:rPr>
        <w:t xml:space="preserve"> </w:t>
      </w:r>
      <w:r w:rsidR="002C7734" w:rsidRPr="002C7734">
        <w:rPr>
          <w:szCs w:val="24"/>
        </w:rPr>
        <w:t xml:space="preserve">This variable measures the relationship </w:t>
      </w:r>
      <w:r w:rsidR="00AB7D53">
        <w:rPr>
          <w:szCs w:val="24"/>
        </w:rPr>
        <w:t>lending</w:t>
      </w:r>
      <w:r w:rsidR="002C7734" w:rsidRPr="002C7734">
        <w:rPr>
          <w:szCs w:val="24"/>
        </w:rPr>
        <w:t xml:space="preserve"> between the lead agent and the borrower</w:t>
      </w:r>
      <w:r w:rsidR="001B60C7" w:rsidRPr="002C7734">
        <w:rPr>
          <w:szCs w:val="24"/>
        </w:rPr>
        <w:t xml:space="preserve"> </w:t>
      </w:r>
      <w:r w:rsidR="002C7734" w:rsidRPr="002C7734">
        <w:rPr>
          <w:szCs w:val="24"/>
        </w:rPr>
        <w:t>in the syndicate lending market</w:t>
      </w:r>
      <w:r w:rsidR="00AB7D53">
        <w:rPr>
          <w:szCs w:val="24"/>
        </w:rPr>
        <w:t>.</w:t>
      </w:r>
      <w:bookmarkEnd w:id="27"/>
      <w:r w:rsidR="005261C5" w:rsidRPr="005261C5">
        <w:rPr>
          <w:lang w:val="en-GB"/>
        </w:rPr>
        <w:t xml:space="preserve"> </w:t>
      </w:r>
      <w:r w:rsidR="0063510D">
        <w:t>B</w:t>
      </w:r>
      <w:r w:rsidR="003E0928" w:rsidRPr="001554F3">
        <w:t xml:space="preserve">anks could value </w:t>
      </w:r>
      <w:r w:rsidR="0043098D">
        <w:t xml:space="preserve">large </w:t>
      </w:r>
      <w:r w:rsidR="00C2325A">
        <w:t>customer</w:t>
      </w:r>
      <w:r w:rsidR="00AB7D53">
        <w:t>-supplier</w:t>
      </w:r>
      <w:r w:rsidR="003E0928" w:rsidRPr="001554F3">
        <w:t xml:space="preserve"> link</w:t>
      </w:r>
      <w:r w:rsidR="00AB7D53">
        <w:t>s</w:t>
      </w:r>
      <w:r w:rsidR="003E0928" w:rsidRPr="001554F3">
        <w:t xml:space="preserve"> simply because all the firms </w:t>
      </w:r>
      <w:r w:rsidR="003E0928" w:rsidRPr="00CE7D45">
        <w:t xml:space="preserve">in </w:t>
      </w:r>
      <w:r w:rsidR="00AB7D53" w:rsidRPr="00CE7D45">
        <w:t>such relationships</w:t>
      </w:r>
      <w:r w:rsidR="003E0928" w:rsidRPr="00CE7D45">
        <w:t xml:space="preserve"> repeatedly</w:t>
      </w:r>
      <w:r w:rsidR="003E0928" w:rsidRPr="00B7463D">
        <w:t xml:space="preserve"> access</w:t>
      </w:r>
      <w:r w:rsidR="003E0928" w:rsidRPr="001554F3">
        <w:t xml:space="preserve"> the credit market, and therefore are already known to potential leader</w:t>
      </w:r>
      <w:r w:rsidR="004672AC">
        <w:t>s</w:t>
      </w:r>
      <w:r w:rsidR="003E0928" w:rsidRPr="001554F3">
        <w:t xml:space="preserve"> </w:t>
      </w:r>
      <w:r w:rsidR="004939B3" w:rsidRPr="001554F3">
        <w:t>in</w:t>
      </w:r>
      <w:r w:rsidR="003E0928" w:rsidRPr="001554F3">
        <w:t xml:space="preserve"> the syndicate loan</w:t>
      </w:r>
      <w:r w:rsidR="0063510D">
        <w:t xml:space="preserve"> market</w:t>
      </w:r>
      <w:r w:rsidR="003E0928" w:rsidRPr="001554F3">
        <w:t xml:space="preserve">. </w:t>
      </w:r>
      <w:r w:rsidR="006E5C2C" w:rsidRPr="001554F3">
        <w:t>In this case</w:t>
      </w:r>
      <w:r w:rsidR="0063510D">
        <w:t>,</w:t>
      </w:r>
      <w:r w:rsidR="006E5C2C" w:rsidRPr="001554F3">
        <w:t xml:space="preserve"> a lower monitoring and due diligence effort </w:t>
      </w:r>
      <w:r w:rsidR="0063510D">
        <w:t xml:space="preserve">by the lead agent would be required </w:t>
      </w:r>
      <w:r w:rsidR="006E5C2C" w:rsidRPr="001554F3">
        <w:t xml:space="preserve">as asymmetric information </w:t>
      </w:r>
      <w:r w:rsidR="004672AC">
        <w:t>is</w:t>
      </w:r>
      <w:r w:rsidR="004672AC" w:rsidRPr="001554F3">
        <w:t xml:space="preserve"> </w:t>
      </w:r>
      <w:r w:rsidR="006E5C2C" w:rsidRPr="001554F3">
        <w:t>less severe.</w:t>
      </w:r>
      <w:r w:rsidR="007E6B7A">
        <w:t xml:space="preserve"> </w:t>
      </w:r>
      <w:r w:rsidR="00B0095D">
        <w:t xml:space="preserve">We account for both customer and supplier concentration, respectively measured </w:t>
      </w:r>
      <w:r w:rsidR="005A3CD3">
        <w:t xml:space="preserve">as </w:t>
      </w:r>
      <w:r w:rsidR="00B0095D" w:rsidRPr="0052410B">
        <w:rPr>
          <w:i/>
          <w:color w:val="000000"/>
        </w:rPr>
        <w:t>C</w:t>
      </w:r>
      <w:r w:rsidR="00B0095D">
        <w:rPr>
          <w:i/>
          <w:color w:val="000000"/>
        </w:rPr>
        <w:t>ustomer</w:t>
      </w:r>
      <w:r w:rsidR="00B0095D" w:rsidRPr="0052410B">
        <w:rPr>
          <w:i/>
          <w:color w:val="000000"/>
        </w:rPr>
        <w:t xml:space="preserve"> HHI</w:t>
      </w:r>
      <w:r w:rsidR="00B0095D">
        <w:rPr>
          <w:i/>
          <w:color w:val="000000"/>
        </w:rPr>
        <w:t xml:space="preserve"> </w:t>
      </w:r>
      <w:r w:rsidR="00B0095D" w:rsidRPr="00DD5868">
        <w:rPr>
          <w:iCs/>
          <w:color w:val="000000"/>
        </w:rPr>
        <w:t>and</w:t>
      </w:r>
      <w:r w:rsidR="00B0095D">
        <w:rPr>
          <w:i/>
          <w:color w:val="000000"/>
        </w:rPr>
        <w:t xml:space="preserve"> Supplier HHI</w:t>
      </w:r>
      <w:r w:rsidR="00B0095D" w:rsidRPr="008F5DE1">
        <w:rPr>
          <w:color w:val="000000"/>
        </w:rPr>
        <w:t>.</w:t>
      </w:r>
      <w:r w:rsidR="00B0095D" w:rsidRPr="008F5DE1">
        <w:rPr>
          <w:rStyle w:val="FootnoteReference"/>
          <w:color w:val="000000"/>
        </w:rPr>
        <w:footnoteReference w:id="9"/>
      </w:r>
      <w:r w:rsidR="00B0095D" w:rsidRPr="008F5DE1">
        <w:rPr>
          <w:color w:val="000000"/>
        </w:rPr>
        <w:t xml:space="preserve"> </w:t>
      </w:r>
      <w:r w:rsidR="00B0095D" w:rsidRPr="00D843C3">
        <w:t xml:space="preserve">Indeed, the bank may be concerned about lending to borrowers with a high </w:t>
      </w:r>
      <w:r w:rsidR="00B0095D" w:rsidRPr="00D843C3">
        <w:rPr>
          <w:i/>
          <w:color w:val="000000"/>
        </w:rPr>
        <w:t xml:space="preserve">Customer HHI </w:t>
      </w:r>
      <w:r w:rsidR="00B0095D" w:rsidRPr="00D843C3">
        <w:rPr>
          <w:iCs/>
          <w:color w:val="000000"/>
        </w:rPr>
        <w:t xml:space="preserve">and </w:t>
      </w:r>
      <w:r w:rsidR="00B0095D" w:rsidRPr="00D843C3">
        <w:rPr>
          <w:i/>
          <w:color w:val="000000"/>
        </w:rPr>
        <w:t>Supplier HHI</w:t>
      </w:r>
      <w:r w:rsidR="00B0095D" w:rsidRPr="00D843C3" w:rsidDel="00BB2E88">
        <w:t xml:space="preserve"> </w:t>
      </w:r>
      <w:r w:rsidR="00B0095D" w:rsidRPr="00D843C3">
        <w:t>as this can increase borrowers’ exposure to the associated large customer-supplier risks. Borrowers expose</w:t>
      </w:r>
      <w:r w:rsidR="005A3CD3">
        <w:t>d</w:t>
      </w:r>
      <w:r w:rsidR="00B0095D" w:rsidRPr="00D843C3">
        <w:t xml:space="preserve"> to customer and supplier concentration could be subject to higher risk. In this case, the lead agent could be </w:t>
      </w:r>
      <w:r w:rsidR="004E7D2D">
        <w:t>compelled</w:t>
      </w:r>
      <w:r w:rsidR="00B0095D" w:rsidRPr="00D843C3">
        <w:t xml:space="preserve"> to retain a large fraction of the loan to exert more monitoring activities.</w:t>
      </w:r>
      <w:r w:rsidR="00B0095D">
        <w:t xml:space="preserve"> </w:t>
      </w:r>
      <w:r w:rsidR="00DF4596">
        <w:t>W</w:t>
      </w:r>
      <w:r w:rsidR="00A31DF6" w:rsidRPr="001554F3">
        <w:t>e</w:t>
      </w:r>
      <w:r w:rsidR="00DF4596">
        <w:t xml:space="preserve"> also</w:t>
      </w:r>
      <w:r w:rsidR="00A31DF6" w:rsidRPr="001554F3">
        <w:t xml:space="preserve"> include facility-level characteristics, i.e. </w:t>
      </w:r>
      <w:r w:rsidR="00C46862" w:rsidRPr="00C46862">
        <w:rPr>
          <w:i/>
        </w:rPr>
        <w:t>L</w:t>
      </w:r>
      <w:r w:rsidR="00A31DF6" w:rsidRPr="00C46862">
        <w:rPr>
          <w:i/>
        </w:rPr>
        <w:t>og facility amount</w:t>
      </w:r>
      <w:r w:rsidR="00A31DF6" w:rsidRPr="001554F3">
        <w:t xml:space="preserve">, </w:t>
      </w:r>
      <w:r w:rsidR="00A31DF6" w:rsidRPr="00C46862">
        <w:rPr>
          <w:i/>
        </w:rPr>
        <w:t>Log facility duration</w:t>
      </w:r>
      <w:r w:rsidR="00A31DF6" w:rsidRPr="001554F3">
        <w:t xml:space="preserve"> and </w:t>
      </w:r>
      <w:r w:rsidR="00A31DF6" w:rsidRPr="00C46862">
        <w:rPr>
          <w:i/>
        </w:rPr>
        <w:t>Log number of banks</w:t>
      </w:r>
      <w:r w:rsidR="00A31DF6" w:rsidRPr="001554F3">
        <w:t>.</w:t>
      </w:r>
      <w:r w:rsidR="00A31DF6" w:rsidRPr="00A31DF6">
        <w:t xml:space="preserve"> </w:t>
      </w:r>
      <w:r w:rsidR="00DF4596">
        <w:t>In addition, w</w:t>
      </w:r>
      <w:r w:rsidR="00A31DF6" w:rsidRPr="001554F3">
        <w:t xml:space="preserve">e </w:t>
      </w:r>
      <w:r w:rsidR="00DF4596">
        <w:t>incorporate</w:t>
      </w:r>
      <w:r w:rsidR="009D40CE" w:rsidRPr="001554F3">
        <w:t xml:space="preserve"> </w:t>
      </w:r>
      <w:r w:rsidR="00A31DF6" w:rsidRPr="001554F3">
        <w:t>a dummy for the presence of institutional investors as participants in the syndicate</w:t>
      </w:r>
      <w:r w:rsidR="00C46862">
        <w:t xml:space="preserve">, </w:t>
      </w:r>
      <w:r w:rsidR="00C46862" w:rsidRPr="00C46862">
        <w:rPr>
          <w:i/>
        </w:rPr>
        <w:t xml:space="preserve">Institutional </w:t>
      </w:r>
      <w:r w:rsidR="00C46862">
        <w:rPr>
          <w:i/>
        </w:rPr>
        <w:t>i</w:t>
      </w:r>
      <w:r w:rsidR="00C46862" w:rsidRPr="00C46862">
        <w:rPr>
          <w:i/>
        </w:rPr>
        <w:t>nvestor</w:t>
      </w:r>
      <w:r w:rsidR="00A31DF6" w:rsidRPr="001554F3">
        <w:t xml:space="preserve">. The reason is that non-bank institutional lenders typically have higher required rates of return than banks </w:t>
      </w:r>
      <w:r w:rsidR="004672AC">
        <w:t xml:space="preserve">have </w:t>
      </w:r>
      <w:r w:rsidR="00A31DF6" w:rsidRPr="001554F3">
        <w:t>(</w:t>
      </w:r>
      <w:r w:rsidR="00A31DF6" w:rsidRPr="008B4EE6">
        <w:t>Lim</w:t>
      </w:r>
      <w:r w:rsidR="000A7B57">
        <w:t xml:space="preserve"> et al.</w:t>
      </w:r>
      <w:r w:rsidR="00DF3159">
        <w:t xml:space="preserve">, </w:t>
      </w:r>
      <w:r w:rsidR="00A31DF6" w:rsidRPr="001554F3">
        <w:t xml:space="preserve">2014). The presence of institutional investors in </w:t>
      </w:r>
      <w:r w:rsidR="005A3CD3">
        <w:t xml:space="preserve">the </w:t>
      </w:r>
      <w:r w:rsidR="00A31DF6" w:rsidRPr="001554F3">
        <w:t xml:space="preserve">syndicate could </w:t>
      </w:r>
      <w:r w:rsidR="00F44D33">
        <w:t>therefore</w:t>
      </w:r>
      <w:r w:rsidR="00A31DF6" w:rsidRPr="001554F3">
        <w:t xml:space="preserve"> have consequences </w:t>
      </w:r>
      <w:r w:rsidR="004672AC">
        <w:t>for</w:t>
      </w:r>
      <w:r w:rsidR="004672AC" w:rsidRPr="001554F3">
        <w:t xml:space="preserve"> </w:t>
      </w:r>
      <w:r w:rsidR="00A31DF6" w:rsidRPr="001554F3">
        <w:t>the syndicate’s composition as pricing and syndicate structure are join</w:t>
      </w:r>
      <w:r w:rsidR="00801601">
        <w:t>tly</w:t>
      </w:r>
      <w:r w:rsidR="00A31DF6" w:rsidRPr="001554F3">
        <w:t xml:space="preserve"> determined (</w:t>
      </w:r>
      <w:r w:rsidR="00A31DF6" w:rsidRPr="009E6E70">
        <w:t>Focarelli</w:t>
      </w:r>
      <w:r w:rsidR="000A7B57" w:rsidRPr="009E6E70">
        <w:t xml:space="preserve"> et al.</w:t>
      </w:r>
      <w:r w:rsidR="00DF3159" w:rsidRPr="009E6E70">
        <w:t>,</w:t>
      </w:r>
      <w:r w:rsidR="00DF3159">
        <w:t xml:space="preserve"> </w:t>
      </w:r>
      <w:r w:rsidR="00A31DF6" w:rsidRPr="001554F3">
        <w:t xml:space="preserve">2008). </w:t>
      </w:r>
      <w:r w:rsidR="00186905">
        <w:t>W</w:t>
      </w:r>
      <w:r w:rsidR="00A31DF6" w:rsidRPr="001554F3">
        <w:t xml:space="preserve">e </w:t>
      </w:r>
      <w:r w:rsidR="00186905">
        <w:t xml:space="preserve">also </w:t>
      </w:r>
      <w:r w:rsidR="00A31DF6" w:rsidRPr="001554F3">
        <w:t>add a dummy for foreign currency loans</w:t>
      </w:r>
      <w:r w:rsidR="00C46862">
        <w:t xml:space="preserve">, </w:t>
      </w:r>
      <w:r w:rsidR="00C46862" w:rsidRPr="00C46862">
        <w:rPr>
          <w:i/>
        </w:rPr>
        <w:t>Non-US dollar fac</w:t>
      </w:r>
      <w:r w:rsidR="00C46862">
        <w:rPr>
          <w:i/>
        </w:rPr>
        <w:t>il</w:t>
      </w:r>
      <w:r w:rsidR="00C46862" w:rsidRPr="00C46862">
        <w:rPr>
          <w:i/>
        </w:rPr>
        <w:t>ity</w:t>
      </w:r>
      <w:r w:rsidR="00A31DF6" w:rsidRPr="001554F3">
        <w:t>.</w:t>
      </w:r>
      <w:r w:rsidR="0082257D">
        <w:t xml:space="preserve"> Furthermore, we </w:t>
      </w:r>
      <w:r w:rsidR="0076733B">
        <w:t>control for the lead agent’s e</w:t>
      </w:r>
      <w:r w:rsidR="004E7D2D">
        <w:t>xposure</w:t>
      </w:r>
      <w:r w:rsidR="0076733B">
        <w:t xml:space="preserve"> to the borrowing firm</w:t>
      </w:r>
      <w:r w:rsidR="0076733B" w:rsidRPr="007E6B7A">
        <w:rPr>
          <w:i/>
          <w:iCs/>
        </w:rPr>
        <w:t xml:space="preserve">, </w:t>
      </w:r>
      <w:r w:rsidR="00982BB2" w:rsidRPr="007E6B7A">
        <w:rPr>
          <w:i/>
          <w:iCs/>
        </w:rPr>
        <w:t>Loan portfolio exposure</w:t>
      </w:r>
      <w:r w:rsidR="00A612F4">
        <w:rPr>
          <w:i/>
          <w:iCs/>
        </w:rPr>
        <w:t>.</w:t>
      </w:r>
      <w:r w:rsidR="0049138D">
        <w:rPr>
          <w:rStyle w:val="FootnoteReference"/>
          <w:i/>
          <w:iCs/>
        </w:rPr>
        <w:footnoteReference w:id="10"/>
      </w:r>
      <w:r w:rsidR="006405C0">
        <w:t xml:space="preserve"> </w:t>
      </w:r>
      <w:r w:rsidR="001B10BD" w:rsidRPr="001B10BD">
        <w:t xml:space="preserve">Additionally, </w:t>
      </w:r>
      <w:r w:rsidR="0063510D">
        <w:t>following</w:t>
      </w:r>
      <w:r w:rsidR="001B10BD" w:rsidRPr="001B10BD">
        <w:t xml:space="preserve"> Ivashina (2009), </w:t>
      </w:r>
      <w:r w:rsidR="00A62019" w:rsidRPr="001554F3">
        <w:t xml:space="preserve">we consider </w:t>
      </w:r>
      <w:r w:rsidR="005A3CD3">
        <w:t xml:space="preserve">two </w:t>
      </w:r>
      <w:r w:rsidR="00A62019" w:rsidRPr="001554F3">
        <w:t xml:space="preserve">syndicate-specific reputation variables, </w:t>
      </w:r>
      <w:r w:rsidR="00687515" w:rsidRPr="007E6B7A">
        <w:rPr>
          <w:i/>
          <w:iCs/>
        </w:rPr>
        <w:t>Syndicate reputation: lead to participan</w:t>
      </w:r>
      <w:r w:rsidR="00687515" w:rsidRPr="00AB7D53">
        <w:rPr>
          <w:i/>
          <w:iCs/>
        </w:rPr>
        <w:t>t</w:t>
      </w:r>
      <w:r w:rsidR="00687515">
        <w:t xml:space="preserve"> and </w:t>
      </w:r>
      <w:r w:rsidR="00687515" w:rsidRPr="007E6B7A">
        <w:rPr>
          <w:i/>
          <w:iCs/>
        </w:rPr>
        <w:t>Syndicate reputation: reciprocal</w:t>
      </w:r>
      <w:r w:rsidR="00687515">
        <w:t xml:space="preserve">, </w:t>
      </w:r>
      <w:r w:rsidR="00A62019" w:rsidRPr="001554F3">
        <w:t>which refer to previous connections between syndicate members.</w:t>
      </w:r>
      <w:r w:rsidR="00767AE1">
        <w:t xml:space="preserve"> We discuss these variables </w:t>
      </w:r>
      <w:r w:rsidR="00534BBE">
        <w:t xml:space="preserve">in more detail </w:t>
      </w:r>
      <w:r w:rsidR="00767AE1">
        <w:t xml:space="preserve">after Eq </w:t>
      </w:r>
      <w:r w:rsidR="00DD3DFF">
        <w:t>(</w:t>
      </w:r>
      <w:r w:rsidR="00F747C6">
        <w:t>2</w:t>
      </w:r>
      <w:r w:rsidR="00DD3DFF">
        <w:t>)</w:t>
      </w:r>
      <w:r w:rsidR="00767AE1">
        <w:t>.</w:t>
      </w:r>
      <w:r w:rsidR="00A62019" w:rsidRPr="001554F3">
        <w:t xml:space="preserve"> </w:t>
      </w:r>
      <w:r w:rsidR="00C94E63" w:rsidRPr="001554F3">
        <w:t xml:space="preserve">Finally, we incorporate </w:t>
      </w:r>
      <w:r w:rsidR="00466A30">
        <w:t>borrower’</w:t>
      </w:r>
      <w:r w:rsidR="005A3CD3">
        <w:t>s</w:t>
      </w:r>
      <w:r w:rsidR="00466A30">
        <w:t xml:space="preserve"> </w:t>
      </w:r>
      <w:r w:rsidR="00C94E63" w:rsidRPr="001554F3">
        <w:t xml:space="preserve">industry, facility start year and bank </w:t>
      </w:r>
      <w:r w:rsidR="00784BBB" w:rsidRPr="001554F3">
        <w:t>fixed</w:t>
      </w:r>
      <w:r w:rsidR="00784BBB">
        <w:t xml:space="preserve"> effects</w:t>
      </w:r>
      <w:r w:rsidR="00C94E63" w:rsidRPr="001554F3">
        <w:t xml:space="preserve"> in the estimation.</w:t>
      </w:r>
      <w:r w:rsidR="009D40CE">
        <w:t xml:space="preserve"> </w:t>
      </w:r>
      <w:r w:rsidR="009D40CE" w:rsidRPr="001554F3">
        <w:t>The definition</w:t>
      </w:r>
      <w:r w:rsidR="005A3CD3">
        <w:t>s</w:t>
      </w:r>
      <w:r w:rsidR="009D40CE" w:rsidRPr="001554F3">
        <w:t xml:space="preserve"> of the variables </w:t>
      </w:r>
      <w:r w:rsidR="005A3CD3">
        <w:t>are</w:t>
      </w:r>
      <w:r w:rsidR="005A3CD3" w:rsidRPr="001554F3">
        <w:t xml:space="preserve"> </w:t>
      </w:r>
      <w:r w:rsidR="009D40CE" w:rsidRPr="001554F3">
        <w:t>reported in Appendix</w:t>
      </w:r>
      <w:r w:rsidR="00866803">
        <w:t xml:space="preserve"> A</w:t>
      </w:r>
      <w:r w:rsidR="009D40CE" w:rsidRPr="001554F3">
        <w:t>.</w:t>
      </w:r>
    </w:p>
    <w:p w14:paraId="7AAB355A" w14:textId="77777777" w:rsidR="00A62019" w:rsidRDefault="00725B7D" w:rsidP="009104B1">
      <w:pPr>
        <w:widowControl w:val="0"/>
        <w:tabs>
          <w:tab w:val="left" w:pos="2952"/>
        </w:tabs>
        <w:autoSpaceDE w:val="0"/>
        <w:autoSpaceDN w:val="0"/>
        <w:adjustRightInd w:val="0"/>
        <w:spacing w:line="480" w:lineRule="auto"/>
        <w:ind w:firstLine="567"/>
        <w:jc w:val="both"/>
        <w:rPr>
          <w:szCs w:val="20"/>
        </w:rPr>
      </w:pPr>
      <w:r w:rsidRPr="001554F3">
        <w:t xml:space="preserve">The next step of the analysis consists of estimating the impact </w:t>
      </w:r>
      <w:r w:rsidRPr="00B7463D">
        <w:t>of</w:t>
      </w:r>
      <w:r w:rsidRPr="00B7463D">
        <w:rPr>
          <w:szCs w:val="20"/>
        </w:rPr>
        <w:t xml:space="preserve"> </w:t>
      </w:r>
      <w:r w:rsidR="007B47FB" w:rsidRPr="00CE7D45">
        <w:rPr>
          <w:i/>
          <w:iCs/>
        </w:rPr>
        <w:t xml:space="preserve">Large CS </w:t>
      </w:r>
      <w:r w:rsidR="0099693E">
        <w:rPr>
          <w:i/>
          <w:iCs/>
        </w:rPr>
        <w:t>link</w:t>
      </w:r>
      <w:r w:rsidR="007B47FB" w:rsidRPr="00CE7D45">
        <w:rPr>
          <w:i/>
          <w:iCs/>
        </w:rPr>
        <w:t xml:space="preserve">s and </w:t>
      </w:r>
      <w:r w:rsidR="00DB5899" w:rsidRPr="00CE7D45">
        <w:rPr>
          <w:i/>
          <w:iCs/>
        </w:rPr>
        <w:t xml:space="preserve">Length large CS </w:t>
      </w:r>
      <w:r w:rsidR="0099693E">
        <w:rPr>
          <w:i/>
          <w:iCs/>
        </w:rPr>
        <w:t>link</w:t>
      </w:r>
      <w:r w:rsidR="00DB5899" w:rsidRPr="00CE7D45">
        <w:rPr>
          <w:i/>
          <w:iCs/>
        </w:rPr>
        <w:t>s</w:t>
      </w:r>
      <w:r w:rsidR="007B47FB" w:rsidRPr="00B7463D">
        <w:rPr>
          <w:szCs w:val="20"/>
        </w:rPr>
        <w:t xml:space="preserve"> </w:t>
      </w:r>
      <w:r w:rsidRPr="00B7463D">
        <w:rPr>
          <w:szCs w:val="20"/>
        </w:rPr>
        <w:t xml:space="preserve">on </w:t>
      </w:r>
      <w:r w:rsidR="00B71CBE" w:rsidRPr="00B76115">
        <w:rPr>
          <w:szCs w:val="20"/>
        </w:rPr>
        <w:t>pricing</w:t>
      </w:r>
      <w:r w:rsidRPr="00D01339">
        <w:rPr>
          <w:szCs w:val="20"/>
        </w:rPr>
        <w:t xml:space="preserve">, and the number of covenants. </w:t>
      </w:r>
      <w:r w:rsidR="00B2107D" w:rsidRPr="00D01339">
        <w:rPr>
          <w:szCs w:val="20"/>
        </w:rPr>
        <w:t xml:space="preserve">The loan pricing </w:t>
      </w:r>
      <w:r w:rsidR="00186905" w:rsidRPr="003A6014">
        <w:rPr>
          <w:szCs w:val="20"/>
        </w:rPr>
        <w:t>variables</w:t>
      </w:r>
      <w:r w:rsidR="00186905">
        <w:rPr>
          <w:szCs w:val="20"/>
        </w:rPr>
        <w:t xml:space="preserve"> are</w:t>
      </w:r>
      <w:r w:rsidR="00B2107D" w:rsidRPr="001554F3">
        <w:rPr>
          <w:szCs w:val="20"/>
        </w:rPr>
        <w:t xml:space="preserve"> </w:t>
      </w:r>
      <w:r w:rsidR="00DE4427">
        <w:rPr>
          <w:szCs w:val="20"/>
        </w:rPr>
        <w:t xml:space="preserve">the </w:t>
      </w:r>
      <w:r w:rsidR="00DE4427">
        <w:rPr>
          <w:i/>
          <w:iCs/>
          <w:szCs w:val="20"/>
        </w:rPr>
        <w:t>a</w:t>
      </w:r>
      <w:r w:rsidR="00B2107D" w:rsidRPr="00CE7F38">
        <w:rPr>
          <w:i/>
          <w:iCs/>
          <w:szCs w:val="20"/>
        </w:rPr>
        <w:t>ll-in spread drawn</w:t>
      </w:r>
      <w:r w:rsidR="00B2107D">
        <w:rPr>
          <w:szCs w:val="20"/>
        </w:rPr>
        <w:t xml:space="preserve"> (AISD) and </w:t>
      </w:r>
      <w:r w:rsidR="00B2107D" w:rsidRPr="004D184C">
        <w:rPr>
          <w:szCs w:val="20"/>
        </w:rPr>
        <w:t>the</w:t>
      </w:r>
      <w:r w:rsidR="00B2107D" w:rsidRPr="00CE7F38">
        <w:rPr>
          <w:i/>
          <w:iCs/>
          <w:szCs w:val="20"/>
        </w:rPr>
        <w:t xml:space="preserve"> </w:t>
      </w:r>
      <w:r w:rsidR="00B2107D">
        <w:rPr>
          <w:i/>
          <w:iCs/>
          <w:szCs w:val="20"/>
        </w:rPr>
        <w:t>T</w:t>
      </w:r>
      <w:r w:rsidR="00B2107D" w:rsidRPr="00CE7F38">
        <w:rPr>
          <w:i/>
          <w:iCs/>
          <w:szCs w:val="20"/>
        </w:rPr>
        <w:t>otal cost of borrowing</w:t>
      </w:r>
      <w:r w:rsidR="00B2107D">
        <w:rPr>
          <w:i/>
          <w:iCs/>
          <w:szCs w:val="20"/>
        </w:rPr>
        <w:t xml:space="preserve"> (TCB)</w:t>
      </w:r>
      <w:r w:rsidR="00186905">
        <w:rPr>
          <w:szCs w:val="20"/>
        </w:rPr>
        <w:t>, which are</w:t>
      </w:r>
      <w:r w:rsidR="00B2107D" w:rsidRPr="001554F3">
        <w:rPr>
          <w:szCs w:val="20"/>
        </w:rPr>
        <w:t xml:space="preserve"> calculated following Berg</w:t>
      </w:r>
      <w:r w:rsidR="00B2107D">
        <w:rPr>
          <w:szCs w:val="20"/>
        </w:rPr>
        <w:t xml:space="preserve"> et al.</w:t>
      </w:r>
      <w:r w:rsidR="00B2107D" w:rsidRPr="001554F3">
        <w:rPr>
          <w:szCs w:val="20"/>
        </w:rPr>
        <w:t xml:space="preserve"> (2016</w:t>
      </w:r>
      <w:r w:rsidR="00B2107D">
        <w:rPr>
          <w:szCs w:val="20"/>
        </w:rPr>
        <w:t>)</w:t>
      </w:r>
      <w:r w:rsidR="00DD722B">
        <w:rPr>
          <w:szCs w:val="20"/>
        </w:rPr>
        <w:t>.</w:t>
      </w:r>
      <w:r w:rsidR="00537D69">
        <w:rPr>
          <w:szCs w:val="20"/>
        </w:rPr>
        <w:t xml:space="preserve">The </w:t>
      </w:r>
      <w:r w:rsidR="00537D69" w:rsidRPr="007C55A1">
        <w:rPr>
          <w:i/>
          <w:iCs/>
          <w:szCs w:val="20"/>
        </w:rPr>
        <w:t xml:space="preserve">AISD </w:t>
      </w:r>
      <w:r w:rsidR="00537D69" w:rsidRPr="00537D69">
        <w:rPr>
          <w:szCs w:val="20"/>
        </w:rPr>
        <w:t>is the sum of the annual spread paid over LIBOR for each dollar drawn down from the loan and annual fee.</w:t>
      </w:r>
      <w:r w:rsidR="00537D69">
        <w:rPr>
          <w:szCs w:val="20"/>
        </w:rPr>
        <w:t xml:space="preserve"> The </w:t>
      </w:r>
      <w:r w:rsidR="00537D69" w:rsidRPr="007C55A1">
        <w:rPr>
          <w:i/>
          <w:iCs/>
          <w:szCs w:val="20"/>
        </w:rPr>
        <w:t>TCB</w:t>
      </w:r>
      <w:r w:rsidR="00537D69">
        <w:rPr>
          <w:szCs w:val="20"/>
        </w:rPr>
        <w:t xml:space="preserve"> </w:t>
      </w:r>
      <w:r w:rsidR="00537D69" w:rsidRPr="00537D69">
        <w:rPr>
          <w:szCs w:val="20"/>
        </w:rPr>
        <w:t xml:space="preserve">accounts for fees, spreads, and the likelihood that they will have to be paid. </w:t>
      </w:r>
      <w:r w:rsidR="00DD722B">
        <w:rPr>
          <w:szCs w:val="20"/>
        </w:rPr>
        <w:t>Furthermore, f</w:t>
      </w:r>
      <w:r w:rsidR="00DD722B" w:rsidRPr="001554F3">
        <w:rPr>
          <w:szCs w:val="20"/>
        </w:rPr>
        <w:t xml:space="preserve">ollowing Bradley and Roberts (2015), we build a </w:t>
      </w:r>
      <w:r w:rsidR="00DD722B">
        <w:rPr>
          <w:szCs w:val="20"/>
        </w:rPr>
        <w:t>c</w:t>
      </w:r>
      <w:r w:rsidR="00DD722B" w:rsidRPr="00AB7FD0">
        <w:rPr>
          <w:szCs w:val="20"/>
        </w:rPr>
        <w:t>ovenant index</w:t>
      </w:r>
      <w:r w:rsidR="00DD722B" w:rsidRPr="001554F3">
        <w:rPr>
          <w:szCs w:val="20"/>
        </w:rPr>
        <w:t xml:space="preserve"> that considers </w:t>
      </w:r>
      <w:r w:rsidR="00DD722B" w:rsidRPr="008F5DE1">
        <w:rPr>
          <w:rFonts w:ascii="TimesNewRoman" w:eastAsia="DengXian" w:hAnsi="TimesNewRoman" w:cs="TimesNewRoman"/>
          <w:lang w:eastAsia="zh-CN"/>
        </w:rPr>
        <w:t>equity sweeps, debt sweeps, asset sweeps, dividend restrictions, and secured debt. All</w:t>
      </w:r>
      <w:r w:rsidR="00DD722B" w:rsidRPr="001554F3">
        <w:rPr>
          <w:szCs w:val="20"/>
        </w:rPr>
        <w:t xml:space="preserve"> five different covenants are coded as 1, and 0 otherwise, and then </w:t>
      </w:r>
      <w:r w:rsidR="004E7D2D">
        <w:rPr>
          <w:szCs w:val="20"/>
        </w:rPr>
        <w:t>summated</w:t>
      </w:r>
      <w:r w:rsidR="00DD722B" w:rsidRPr="001554F3">
        <w:rPr>
          <w:szCs w:val="20"/>
        </w:rPr>
        <w:t>. Therefore, the</w:t>
      </w:r>
      <w:r w:rsidR="00DD722B" w:rsidRPr="008F5DE1">
        <w:rPr>
          <w:rFonts w:ascii="TimesNewRoman" w:eastAsia="DengXian" w:hAnsi="TimesNewRoman" w:cs="TimesNewRoman"/>
          <w:lang w:eastAsia="zh-CN"/>
        </w:rPr>
        <w:t xml:space="preserve"> index ranges from 0 to 5</w:t>
      </w:r>
      <w:r w:rsidR="00B21029" w:rsidRPr="001554F3">
        <w:t>.</w:t>
      </w:r>
      <w:r w:rsidR="00B21029" w:rsidRPr="001554F3">
        <w:rPr>
          <w:szCs w:val="20"/>
        </w:rPr>
        <w:t xml:space="preserve"> </w:t>
      </w:r>
      <w:r w:rsidRPr="001554F3">
        <w:rPr>
          <w:szCs w:val="20"/>
        </w:rPr>
        <w:t>The test specification is the following:</w:t>
      </w:r>
    </w:p>
    <w:p w14:paraId="152ACA7D" w14:textId="77777777" w:rsidR="00D62228" w:rsidRPr="001554F3" w:rsidRDefault="00480CC6" w:rsidP="007630FE">
      <w:pPr>
        <w:widowControl w:val="0"/>
        <w:autoSpaceDE w:val="0"/>
        <w:autoSpaceDN w:val="0"/>
        <w:adjustRightInd w:val="0"/>
        <w:spacing w:before="240" w:after="240" w:line="360" w:lineRule="auto"/>
        <w:ind w:right="4"/>
        <w:jc w:val="right"/>
        <w:rPr>
          <w:szCs w:val="20"/>
        </w:rPr>
      </w:pPr>
      <w:r w:rsidRPr="00B14193">
        <w:rPr>
          <w:position w:val="-58"/>
        </w:rPr>
        <w:object w:dxaOrig="7360" w:dyaOrig="1240" w14:anchorId="7D5A5263">
          <v:shape id="_x0000_i1026" type="#_x0000_t75" style="width:371.25pt;height:62.25pt" o:ole="">
            <v:imagedata r:id="rId11" o:title=""/>
          </v:shape>
          <o:OLEObject Type="Embed" ProgID="Equation.DSMT4" ShapeID="_x0000_i1026" DrawAspect="Content" ObjectID="_1674026359" r:id="rId12"/>
        </w:object>
      </w:r>
      <w:r w:rsidR="00B848E3">
        <w:t xml:space="preserve">       </w:t>
      </w:r>
      <w:r w:rsidR="00BD30C3">
        <w:t>(</w:t>
      </w:r>
      <w:r w:rsidR="00784BBB">
        <w:t>2</w:t>
      </w:r>
      <w:r w:rsidR="00BD30C3">
        <w:t>)</w:t>
      </w:r>
    </w:p>
    <w:p w14:paraId="25A6DC94" w14:textId="77777777" w:rsidR="00973213" w:rsidRDefault="003555CE" w:rsidP="000E16A6">
      <w:pPr>
        <w:autoSpaceDE w:val="0"/>
        <w:autoSpaceDN w:val="0"/>
        <w:adjustRightInd w:val="0"/>
        <w:spacing w:line="480" w:lineRule="auto"/>
        <w:ind w:firstLine="567"/>
        <w:jc w:val="both"/>
      </w:pPr>
      <w:r w:rsidRPr="001554F3">
        <w:rPr>
          <w:szCs w:val="20"/>
        </w:rPr>
        <w:t xml:space="preserve">As discussed in Section 2, higher </w:t>
      </w:r>
      <w:r w:rsidR="00784BBB">
        <w:rPr>
          <w:szCs w:val="20"/>
        </w:rPr>
        <w:t xml:space="preserve">pricing and </w:t>
      </w:r>
      <w:r w:rsidR="00186905">
        <w:rPr>
          <w:szCs w:val="20"/>
        </w:rPr>
        <w:t>more</w:t>
      </w:r>
      <w:r w:rsidR="00784BBB">
        <w:rPr>
          <w:szCs w:val="20"/>
        </w:rPr>
        <w:t xml:space="preserve"> </w:t>
      </w:r>
      <w:r w:rsidR="00186905">
        <w:rPr>
          <w:szCs w:val="20"/>
        </w:rPr>
        <w:t xml:space="preserve">restrictive </w:t>
      </w:r>
      <w:r w:rsidR="00784BBB">
        <w:rPr>
          <w:szCs w:val="20"/>
        </w:rPr>
        <w:t>covenants</w:t>
      </w:r>
      <w:r w:rsidR="00784BBB" w:rsidRPr="001554F3">
        <w:rPr>
          <w:szCs w:val="20"/>
        </w:rPr>
        <w:t xml:space="preserve"> </w:t>
      </w:r>
      <w:r w:rsidRPr="001554F3">
        <w:rPr>
          <w:szCs w:val="20"/>
        </w:rPr>
        <w:t>could reflect a higher premium demanded by the lead agent for holding a larger loan share</w:t>
      </w:r>
      <w:r w:rsidR="009074EC" w:rsidRPr="001554F3">
        <w:rPr>
          <w:szCs w:val="20"/>
        </w:rPr>
        <w:t xml:space="preserve"> and being less diversified</w:t>
      </w:r>
      <w:r w:rsidRPr="001554F3">
        <w:rPr>
          <w:szCs w:val="20"/>
        </w:rPr>
        <w:t xml:space="preserve">. </w:t>
      </w:r>
      <w:r w:rsidR="00767AE1">
        <w:rPr>
          <w:szCs w:val="20"/>
        </w:rPr>
        <w:t>As noted by Ivashina (2009), under t</w:t>
      </w:r>
      <w:r w:rsidR="00767AE1" w:rsidRPr="00767AE1">
        <w:rPr>
          <w:szCs w:val="20"/>
        </w:rPr>
        <w:t>he</w:t>
      </w:r>
      <w:r w:rsidR="00767AE1">
        <w:rPr>
          <w:szCs w:val="20"/>
        </w:rPr>
        <w:t xml:space="preserve"> </w:t>
      </w:r>
      <w:r w:rsidR="00767AE1" w:rsidRPr="00767AE1">
        <w:rPr>
          <w:szCs w:val="20"/>
        </w:rPr>
        <w:t>diversification</w:t>
      </w:r>
      <w:r w:rsidR="00767AE1">
        <w:rPr>
          <w:szCs w:val="20"/>
        </w:rPr>
        <w:t xml:space="preserve"> </w:t>
      </w:r>
      <w:r w:rsidR="00767AE1" w:rsidRPr="00767AE1">
        <w:rPr>
          <w:szCs w:val="20"/>
        </w:rPr>
        <w:t>effect</w:t>
      </w:r>
      <w:r w:rsidR="00767AE1">
        <w:rPr>
          <w:szCs w:val="20"/>
        </w:rPr>
        <w:t xml:space="preserve">, </w:t>
      </w:r>
      <w:r w:rsidR="00767AE1" w:rsidRPr="00767AE1">
        <w:rPr>
          <w:szCs w:val="20"/>
        </w:rPr>
        <w:t>as</w:t>
      </w:r>
      <w:r w:rsidR="00767AE1">
        <w:rPr>
          <w:szCs w:val="20"/>
        </w:rPr>
        <w:t xml:space="preserve"> </w:t>
      </w:r>
      <w:r w:rsidR="00767AE1" w:rsidRPr="00767AE1">
        <w:rPr>
          <w:szCs w:val="20"/>
        </w:rPr>
        <w:t>the</w:t>
      </w:r>
      <w:r w:rsidR="00767AE1">
        <w:rPr>
          <w:szCs w:val="20"/>
        </w:rPr>
        <w:t xml:space="preserve"> </w:t>
      </w:r>
      <w:r w:rsidR="00767AE1" w:rsidRPr="00767AE1">
        <w:rPr>
          <w:szCs w:val="20"/>
        </w:rPr>
        <w:t>lead bank’s</w:t>
      </w:r>
      <w:r w:rsidR="00767AE1">
        <w:rPr>
          <w:szCs w:val="20"/>
        </w:rPr>
        <w:t xml:space="preserve"> </w:t>
      </w:r>
      <w:r w:rsidR="00767AE1" w:rsidRPr="00767AE1">
        <w:rPr>
          <w:szCs w:val="20"/>
        </w:rPr>
        <w:t>share</w:t>
      </w:r>
      <w:r w:rsidR="00767AE1">
        <w:rPr>
          <w:szCs w:val="20"/>
        </w:rPr>
        <w:t xml:space="preserve"> </w:t>
      </w:r>
      <w:r w:rsidR="00767AE1" w:rsidRPr="00767AE1">
        <w:rPr>
          <w:szCs w:val="20"/>
        </w:rPr>
        <w:t>increases,</w:t>
      </w:r>
      <w:r w:rsidR="00767AE1">
        <w:rPr>
          <w:szCs w:val="20"/>
        </w:rPr>
        <w:t xml:space="preserve"> </w:t>
      </w:r>
      <w:r w:rsidR="00767AE1" w:rsidRPr="00767AE1">
        <w:rPr>
          <w:szCs w:val="20"/>
        </w:rPr>
        <w:t>the</w:t>
      </w:r>
      <w:r w:rsidR="00767AE1">
        <w:rPr>
          <w:szCs w:val="20"/>
        </w:rPr>
        <w:t xml:space="preserve"> </w:t>
      </w:r>
      <w:r w:rsidR="00767AE1" w:rsidRPr="00767AE1">
        <w:rPr>
          <w:szCs w:val="20"/>
        </w:rPr>
        <w:t>bank</w:t>
      </w:r>
      <w:r w:rsidR="00767AE1">
        <w:rPr>
          <w:szCs w:val="20"/>
        </w:rPr>
        <w:t xml:space="preserve"> </w:t>
      </w:r>
      <w:r w:rsidR="00767AE1" w:rsidRPr="00767AE1">
        <w:rPr>
          <w:szCs w:val="20"/>
        </w:rPr>
        <w:t>becomes</w:t>
      </w:r>
      <w:r w:rsidR="00767AE1">
        <w:rPr>
          <w:szCs w:val="20"/>
        </w:rPr>
        <w:t xml:space="preserve"> </w:t>
      </w:r>
      <w:r w:rsidR="00767AE1" w:rsidRPr="00767AE1">
        <w:rPr>
          <w:szCs w:val="20"/>
        </w:rPr>
        <w:t>more</w:t>
      </w:r>
      <w:r w:rsidR="00767AE1">
        <w:rPr>
          <w:szCs w:val="20"/>
        </w:rPr>
        <w:t xml:space="preserve"> </w:t>
      </w:r>
      <w:r w:rsidR="00767AE1" w:rsidRPr="00767AE1">
        <w:rPr>
          <w:szCs w:val="20"/>
        </w:rPr>
        <w:t>exposed</w:t>
      </w:r>
      <w:r w:rsidR="00767AE1">
        <w:rPr>
          <w:szCs w:val="20"/>
        </w:rPr>
        <w:t xml:space="preserve"> </w:t>
      </w:r>
      <w:r w:rsidR="00767AE1" w:rsidRPr="00767AE1">
        <w:rPr>
          <w:szCs w:val="20"/>
        </w:rPr>
        <w:t>to</w:t>
      </w:r>
      <w:r w:rsidR="00767AE1">
        <w:rPr>
          <w:szCs w:val="20"/>
        </w:rPr>
        <w:t xml:space="preserve"> </w:t>
      </w:r>
      <w:r w:rsidR="00767AE1" w:rsidRPr="00767AE1">
        <w:rPr>
          <w:szCs w:val="20"/>
        </w:rPr>
        <w:t>credit</w:t>
      </w:r>
      <w:r w:rsidR="00767AE1">
        <w:rPr>
          <w:szCs w:val="20"/>
        </w:rPr>
        <w:t xml:space="preserve"> </w:t>
      </w:r>
      <w:r w:rsidR="00767AE1" w:rsidRPr="00767AE1">
        <w:rPr>
          <w:szCs w:val="20"/>
        </w:rPr>
        <w:t>risk</w:t>
      </w:r>
      <w:r w:rsidR="00767AE1">
        <w:rPr>
          <w:szCs w:val="20"/>
        </w:rPr>
        <w:t xml:space="preserve"> </w:t>
      </w:r>
      <w:r w:rsidR="00767AE1" w:rsidRPr="00767AE1">
        <w:rPr>
          <w:szCs w:val="20"/>
        </w:rPr>
        <w:t>and</w:t>
      </w:r>
      <w:r w:rsidR="00767AE1">
        <w:rPr>
          <w:szCs w:val="20"/>
        </w:rPr>
        <w:t xml:space="preserve"> </w:t>
      </w:r>
      <w:r w:rsidR="00767AE1" w:rsidRPr="00767AE1">
        <w:rPr>
          <w:szCs w:val="20"/>
        </w:rPr>
        <w:t>will</w:t>
      </w:r>
      <w:r w:rsidR="00767AE1">
        <w:rPr>
          <w:szCs w:val="20"/>
        </w:rPr>
        <w:t xml:space="preserve"> </w:t>
      </w:r>
      <w:r w:rsidR="00767AE1" w:rsidRPr="00767AE1">
        <w:rPr>
          <w:szCs w:val="20"/>
        </w:rPr>
        <w:t>demand</w:t>
      </w:r>
      <w:r w:rsidR="00767AE1">
        <w:rPr>
          <w:szCs w:val="20"/>
        </w:rPr>
        <w:t xml:space="preserve"> </w:t>
      </w:r>
      <w:r w:rsidR="00767AE1" w:rsidRPr="00767AE1">
        <w:rPr>
          <w:szCs w:val="20"/>
        </w:rPr>
        <w:t>a</w:t>
      </w:r>
      <w:r w:rsidR="00767AE1">
        <w:rPr>
          <w:szCs w:val="20"/>
        </w:rPr>
        <w:t xml:space="preserve"> </w:t>
      </w:r>
      <w:r w:rsidR="00767AE1" w:rsidRPr="00767AE1">
        <w:rPr>
          <w:szCs w:val="20"/>
        </w:rPr>
        <w:t>higher</w:t>
      </w:r>
      <w:r w:rsidR="00767AE1">
        <w:rPr>
          <w:szCs w:val="20"/>
        </w:rPr>
        <w:t xml:space="preserve"> </w:t>
      </w:r>
      <w:r w:rsidR="00767AE1" w:rsidRPr="00767AE1">
        <w:rPr>
          <w:szCs w:val="20"/>
        </w:rPr>
        <w:t>spread.</w:t>
      </w:r>
      <w:r w:rsidR="00767AE1">
        <w:rPr>
          <w:szCs w:val="20"/>
        </w:rPr>
        <w:t xml:space="preserve"> The problem is that this diversification effect is not observable. </w:t>
      </w:r>
      <w:r w:rsidR="0070647A" w:rsidRPr="001554F3">
        <w:rPr>
          <w:szCs w:val="20"/>
        </w:rPr>
        <w:t>T</w:t>
      </w:r>
      <w:r w:rsidR="007E206C" w:rsidRPr="001554F3">
        <w:rPr>
          <w:szCs w:val="20"/>
        </w:rPr>
        <w:t>o</w:t>
      </w:r>
      <w:r w:rsidR="004C578C" w:rsidRPr="001554F3">
        <w:rPr>
          <w:szCs w:val="20"/>
        </w:rPr>
        <w:t xml:space="preserve"> </w:t>
      </w:r>
      <w:r w:rsidR="00767AE1">
        <w:rPr>
          <w:szCs w:val="20"/>
        </w:rPr>
        <w:t>identify this</w:t>
      </w:r>
      <w:r w:rsidR="009074EC" w:rsidRPr="001554F3">
        <w:rPr>
          <w:szCs w:val="20"/>
        </w:rPr>
        <w:t xml:space="preserve"> effect</w:t>
      </w:r>
      <w:r w:rsidR="00452281" w:rsidRPr="001554F3">
        <w:rPr>
          <w:szCs w:val="20"/>
        </w:rPr>
        <w:t xml:space="preserve">, </w:t>
      </w:r>
      <w:r w:rsidR="004C578C" w:rsidRPr="001554F3">
        <w:rPr>
          <w:szCs w:val="20"/>
        </w:rPr>
        <w:t xml:space="preserve">we </w:t>
      </w:r>
      <w:r w:rsidR="00271AD0" w:rsidRPr="001554F3">
        <w:rPr>
          <w:szCs w:val="20"/>
        </w:rPr>
        <w:t>follow</w:t>
      </w:r>
      <w:r w:rsidR="00DF3159">
        <w:rPr>
          <w:szCs w:val="20"/>
        </w:rPr>
        <w:t xml:space="preserve"> the procedure suggested by</w:t>
      </w:r>
      <w:r w:rsidR="00271AD0" w:rsidRPr="001554F3">
        <w:rPr>
          <w:szCs w:val="20"/>
        </w:rPr>
        <w:t xml:space="preserve"> </w:t>
      </w:r>
      <w:r w:rsidR="0070647A" w:rsidRPr="001554F3">
        <w:rPr>
          <w:szCs w:val="20"/>
        </w:rPr>
        <w:t>Ivashina</w:t>
      </w:r>
      <w:r w:rsidR="00DF3159">
        <w:rPr>
          <w:szCs w:val="20"/>
        </w:rPr>
        <w:t xml:space="preserve"> </w:t>
      </w:r>
      <w:r w:rsidR="0070647A" w:rsidRPr="001554F3">
        <w:rPr>
          <w:szCs w:val="20"/>
        </w:rPr>
        <w:t>(2009) that consists of</w:t>
      </w:r>
      <w:r w:rsidR="004C578C" w:rsidRPr="001554F3">
        <w:rPr>
          <w:szCs w:val="20"/>
        </w:rPr>
        <w:t xml:space="preserve"> </w:t>
      </w:r>
      <w:r w:rsidR="0070647A" w:rsidRPr="001554F3">
        <w:rPr>
          <w:szCs w:val="20"/>
        </w:rPr>
        <w:t>introducing</w:t>
      </w:r>
      <w:r w:rsidR="004C578C" w:rsidRPr="001554F3">
        <w:rPr>
          <w:szCs w:val="20"/>
        </w:rPr>
        <w:t xml:space="preserve"> instruments that would affect the degree of adverse selection/moral hazard without </w:t>
      </w:r>
      <w:r w:rsidR="00452281" w:rsidRPr="001554F3">
        <w:rPr>
          <w:szCs w:val="20"/>
        </w:rPr>
        <w:t>affecting</w:t>
      </w:r>
      <w:r w:rsidR="004C578C" w:rsidRPr="001554F3">
        <w:rPr>
          <w:szCs w:val="20"/>
        </w:rPr>
        <w:t xml:space="preserve"> the lead</w:t>
      </w:r>
      <w:r w:rsidR="00271AD0" w:rsidRPr="001554F3">
        <w:rPr>
          <w:szCs w:val="20"/>
        </w:rPr>
        <w:t xml:space="preserve"> agent’s</w:t>
      </w:r>
      <w:r w:rsidR="004C578C" w:rsidRPr="001554F3">
        <w:rPr>
          <w:szCs w:val="20"/>
        </w:rPr>
        <w:t xml:space="preserve"> </w:t>
      </w:r>
      <w:r w:rsidR="003817CC">
        <w:rPr>
          <w:szCs w:val="20"/>
        </w:rPr>
        <w:t>credit-risk exposure</w:t>
      </w:r>
      <w:r w:rsidR="004C578C" w:rsidRPr="001554F3">
        <w:rPr>
          <w:szCs w:val="20"/>
        </w:rPr>
        <w:t>.</w:t>
      </w:r>
      <w:r w:rsidR="00452281" w:rsidRPr="001554F3">
        <w:rPr>
          <w:szCs w:val="20"/>
        </w:rPr>
        <w:t xml:space="preserve"> </w:t>
      </w:r>
      <w:r w:rsidR="00C4661B" w:rsidRPr="001554F3">
        <w:rPr>
          <w:szCs w:val="20"/>
        </w:rPr>
        <w:t>Specifically</w:t>
      </w:r>
      <w:r w:rsidR="00801601">
        <w:rPr>
          <w:szCs w:val="20"/>
        </w:rPr>
        <w:t xml:space="preserve">, </w:t>
      </w:r>
      <w:r w:rsidR="00C4661B" w:rsidRPr="001554F3">
        <w:rPr>
          <w:szCs w:val="20"/>
        </w:rPr>
        <w:t xml:space="preserve">we use </w:t>
      </w:r>
      <w:r w:rsidR="00AF6737" w:rsidRPr="001554F3">
        <w:t>syndicate-specific reputation variables</w:t>
      </w:r>
      <w:r w:rsidR="005A3CD3">
        <w:t xml:space="preserve"> as instruments</w:t>
      </w:r>
      <w:r w:rsidR="00AF6737" w:rsidRPr="001554F3">
        <w:t xml:space="preserve"> which refer to previous connections between syndicate members</w:t>
      </w:r>
      <w:r w:rsidR="00E873FE" w:rsidRPr="001554F3">
        <w:t>.</w:t>
      </w:r>
      <w:r w:rsidR="009074EC" w:rsidRPr="001554F3">
        <w:t xml:space="preserve"> </w:t>
      </w:r>
      <w:r w:rsidR="006D46E5">
        <w:t>T</w:t>
      </w:r>
      <w:r w:rsidR="009074EC" w:rsidRPr="001554F3">
        <w:t>he lead bank’s reputation</w:t>
      </w:r>
      <w:r w:rsidR="00717D3C">
        <w:t>,</w:t>
      </w:r>
      <w:r w:rsidR="009074EC" w:rsidRPr="001554F3">
        <w:t xml:space="preserve"> </w:t>
      </w:r>
      <w:r w:rsidR="006D46E5">
        <w:t>in fact</w:t>
      </w:r>
      <w:r w:rsidR="00717D3C">
        <w:t>,</w:t>
      </w:r>
      <w:r w:rsidR="006D46E5">
        <w:t xml:space="preserve"> </w:t>
      </w:r>
      <w:r w:rsidR="009074EC" w:rsidRPr="001554F3">
        <w:t xml:space="preserve">impacts the level of asymmetric information </w:t>
      </w:r>
      <w:r w:rsidR="00806616" w:rsidRPr="001554F3">
        <w:t xml:space="preserve">between the lead and the </w:t>
      </w:r>
      <w:r w:rsidR="00133998" w:rsidRPr="001554F3">
        <w:t>participants</w:t>
      </w:r>
      <w:r w:rsidR="009074EC" w:rsidRPr="001554F3">
        <w:t xml:space="preserve">, but it </w:t>
      </w:r>
      <w:r w:rsidR="00806616" w:rsidRPr="001554F3">
        <w:t xml:space="preserve">is not </w:t>
      </w:r>
      <w:r w:rsidR="003817CC">
        <w:t>part of a credit-risk model</w:t>
      </w:r>
      <w:r w:rsidR="009074EC" w:rsidRPr="001554F3">
        <w:t>.</w:t>
      </w:r>
      <w:r w:rsidR="009B67E2" w:rsidRPr="001554F3">
        <w:t xml:space="preserve"> </w:t>
      </w:r>
    </w:p>
    <w:p w14:paraId="0D68D1F7" w14:textId="77777777" w:rsidR="00180B85" w:rsidRDefault="00973213" w:rsidP="00973213">
      <w:pPr>
        <w:autoSpaceDE w:val="0"/>
        <w:autoSpaceDN w:val="0"/>
        <w:adjustRightInd w:val="0"/>
        <w:spacing w:line="480" w:lineRule="auto"/>
        <w:ind w:firstLine="567"/>
        <w:jc w:val="both"/>
        <w:rPr>
          <w:szCs w:val="20"/>
        </w:rPr>
      </w:pPr>
      <w:r>
        <w:t>Following</w:t>
      </w:r>
      <w:r w:rsidRPr="001554F3">
        <w:t xml:space="preserve"> Ivashina (2009), </w:t>
      </w:r>
      <w:r>
        <w:t xml:space="preserve">as </w:t>
      </w:r>
      <w:r w:rsidRPr="001554F3">
        <w:t>instrument</w:t>
      </w:r>
      <w:r>
        <w:t>al variables</w:t>
      </w:r>
      <w:r w:rsidRPr="00CE7BF0">
        <w:t xml:space="preserve"> </w:t>
      </w:r>
      <w:r>
        <w:t>we use</w:t>
      </w:r>
      <w:r w:rsidRPr="001554F3">
        <w:t xml:space="preserve"> i) the maximum per</w:t>
      </w:r>
      <w:r>
        <w:t xml:space="preserve"> </w:t>
      </w:r>
      <w:r w:rsidRPr="001554F3">
        <w:t>cent number of deals arranged by the same lead agent with the same participa</w:t>
      </w:r>
      <w:r>
        <w:t>n</w:t>
      </w:r>
      <w:r w:rsidRPr="001554F3">
        <w:t xml:space="preserve">t against the total number of deals organized by the lead agent over a five-year horizon </w:t>
      </w:r>
      <w:r w:rsidRPr="001554F3">
        <w:rPr>
          <w:i/>
        </w:rPr>
        <w:t>(</w:t>
      </w:r>
      <w:r w:rsidRPr="001554F3">
        <w:rPr>
          <w:i/>
          <w:lang w:eastAsia="zh-CN"/>
        </w:rPr>
        <w:t>Syndicate reputation: lead to participant)</w:t>
      </w:r>
      <w:r>
        <w:t>,</w:t>
      </w:r>
      <w:r w:rsidRPr="001554F3">
        <w:t xml:space="preserve"> </w:t>
      </w:r>
      <w:r>
        <w:t xml:space="preserve">and </w:t>
      </w:r>
      <w:r w:rsidRPr="001554F3">
        <w:t>ii) a dummy variable that is equal to one if the same lead agent and the same participa</w:t>
      </w:r>
      <w:r>
        <w:t>n</w:t>
      </w:r>
      <w:r w:rsidRPr="001554F3">
        <w:t>t switch role</w:t>
      </w:r>
      <w:r>
        <w:t>s</w:t>
      </w:r>
      <w:r w:rsidRPr="001554F3">
        <w:t xml:space="preserve"> over a five-year horizon prior to the current syndication </w:t>
      </w:r>
      <w:r w:rsidRPr="001554F3">
        <w:rPr>
          <w:i/>
        </w:rPr>
        <w:t>(</w:t>
      </w:r>
      <w:r w:rsidRPr="001554F3">
        <w:rPr>
          <w:i/>
          <w:lang w:eastAsia="zh-CN"/>
        </w:rPr>
        <w:t>Syndicate reputation:</w:t>
      </w:r>
      <w:r w:rsidR="003F6FE6">
        <w:rPr>
          <w:i/>
          <w:lang w:eastAsia="zh-CN"/>
        </w:rPr>
        <w:t xml:space="preserve"> </w:t>
      </w:r>
      <w:r w:rsidRPr="001554F3">
        <w:rPr>
          <w:i/>
          <w:lang w:eastAsia="zh-CN"/>
        </w:rPr>
        <w:t>reciprocal)</w:t>
      </w:r>
      <w:r w:rsidRPr="001554F3">
        <w:t>.</w:t>
      </w:r>
      <w:r>
        <w:t xml:space="preserve"> </w:t>
      </w:r>
      <w:r>
        <w:rPr>
          <w:szCs w:val="20"/>
        </w:rPr>
        <w:t>W</w:t>
      </w:r>
      <w:r w:rsidRPr="001554F3">
        <w:rPr>
          <w:szCs w:val="20"/>
        </w:rPr>
        <w:t xml:space="preserve">e </w:t>
      </w:r>
      <w:r w:rsidRPr="001554F3">
        <w:t>control for borrower-level fundamentals and facility-level characteristics as in Eq (</w:t>
      </w:r>
      <w:r>
        <w:t>1</w:t>
      </w:r>
      <w:r w:rsidRPr="001554F3">
        <w:t xml:space="preserve">). </w:t>
      </w:r>
      <w:r>
        <w:rPr>
          <w:szCs w:val="20"/>
        </w:rPr>
        <w:t>Moreover</w:t>
      </w:r>
      <w:r w:rsidRPr="001554F3">
        <w:rPr>
          <w:szCs w:val="20"/>
        </w:rPr>
        <w:t xml:space="preserve">, we </w:t>
      </w:r>
      <w:r w:rsidR="00DF3159">
        <w:rPr>
          <w:szCs w:val="20"/>
        </w:rPr>
        <w:t>i</w:t>
      </w:r>
      <w:r>
        <w:rPr>
          <w:szCs w:val="20"/>
        </w:rPr>
        <w:t xml:space="preserve">nclude borrowers’ </w:t>
      </w:r>
      <w:r w:rsidRPr="001554F3">
        <w:rPr>
          <w:szCs w:val="20"/>
        </w:rPr>
        <w:t>industry</w:t>
      </w:r>
      <w:r>
        <w:rPr>
          <w:szCs w:val="20"/>
        </w:rPr>
        <w:t xml:space="preserve"> sector</w:t>
      </w:r>
      <w:r w:rsidRPr="001554F3">
        <w:rPr>
          <w:szCs w:val="20"/>
        </w:rPr>
        <w:t xml:space="preserve">, facility start year and </w:t>
      </w:r>
      <w:r>
        <w:rPr>
          <w:szCs w:val="20"/>
        </w:rPr>
        <w:t>lending-</w:t>
      </w:r>
      <w:r w:rsidRPr="001554F3">
        <w:rPr>
          <w:szCs w:val="20"/>
        </w:rPr>
        <w:t>bank fixed</w:t>
      </w:r>
      <w:r>
        <w:rPr>
          <w:szCs w:val="20"/>
        </w:rPr>
        <w:t xml:space="preserve"> effects</w:t>
      </w:r>
      <w:r w:rsidRPr="001554F3">
        <w:rPr>
          <w:szCs w:val="20"/>
        </w:rPr>
        <w:t xml:space="preserve"> in the estimation. </w:t>
      </w:r>
    </w:p>
    <w:p w14:paraId="094BAD0D" w14:textId="77777777" w:rsidR="00973213" w:rsidRDefault="00973213" w:rsidP="00973213">
      <w:pPr>
        <w:autoSpaceDE w:val="0"/>
        <w:autoSpaceDN w:val="0"/>
        <w:adjustRightInd w:val="0"/>
        <w:spacing w:line="480" w:lineRule="auto"/>
        <w:ind w:firstLine="567"/>
        <w:jc w:val="both"/>
      </w:pPr>
      <w:r>
        <w:t xml:space="preserve">We estimate the model </w:t>
      </w:r>
      <w:r w:rsidRPr="001554F3">
        <w:t xml:space="preserve">using </w:t>
      </w:r>
      <w:r w:rsidR="000E16A6">
        <w:t xml:space="preserve">a </w:t>
      </w:r>
      <w:r w:rsidRPr="001554F3">
        <w:t>two</w:t>
      </w:r>
      <w:r w:rsidR="005A3CD3">
        <w:t>-</w:t>
      </w:r>
      <w:r w:rsidRPr="001554F3">
        <w:t>stage least square</w:t>
      </w:r>
      <w:r w:rsidR="005A3CD3">
        <w:t>s</w:t>
      </w:r>
      <w:r w:rsidRPr="001554F3">
        <w:t xml:space="preserve"> (2SLS)</w:t>
      </w:r>
      <w:r>
        <w:t xml:space="preserve"> approach</w:t>
      </w:r>
      <w:r w:rsidRPr="001554F3">
        <w:t xml:space="preserve">. </w:t>
      </w:r>
      <w:r w:rsidR="00B6499C">
        <w:t>In</w:t>
      </w:r>
      <w:r w:rsidRPr="00717D3C">
        <w:t xml:space="preserve"> the first stage the syndicate-specific reputation variables are expected to be negatively related to the lead bank’s loan share. A higher reputation indicates a lower information asymmetry within the syndicate and therefore lower pressure on the lead agent </w:t>
      </w:r>
      <w:r>
        <w:t>to</w:t>
      </w:r>
      <w:r w:rsidRPr="00717D3C">
        <w:t xml:space="preserve"> </w:t>
      </w:r>
      <w:r>
        <w:t>retain</w:t>
      </w:r>
      <w:r w:rsidRPr="00717D3C">
        <w:t xml:space="preserve"> </w:t>
      </w:r>
      <w:r>
        <w:t xml:space="preserve">a </w:t>
      </w:r>
      <w:r w:rsidRPr="00717D3C">
        <w:t>larger loan share. Instead, in the second stage, the instrumented lead bank’</w:t>
      </w:r>
      <w:r>
        <w:t>s</w:t>
      </w:r>
      <w:r w:rsidRPr="00717D3C">
        <w:t xml:space="preserve"> loan share should be positively related to the demanded loan spread. A positive coefficient is consistent with the diversification effect. If the loan spread</w:t>
      </w:r>
      <w:r w:rsidR="00A64575">
        <w:t xml:space="preserve"> demanded</w:t>
      </w:r>
      <w:r w:rsidRPr="00717D3C">
        <w:t xml:space="preserve"> </w:t>
      </w:r>
      <w:r w:rsidR="00B6499C">
        <w:t xml:space="preserve">by participant lenders </w:t>
      </w:r>
      <w:r w:rsidRPr="00717D3C">
        <w:t xml:space="preserve">is also driven by the risk associated </w:t>
      </w:r>
      <w:r>
        <w:t>with</w:t>
      </w:r>
      <w:r w:rsidRPr="00717D3C">
        <w:t xml:space="preserve"> the </w:t>
      </w:r>
      <w:r w:rsidR="0043098D">
        <w:t xml:space="preserve">large </w:t>
      </w:r>
      <w:r w:rsidR="00C2325A">
        <w:t>customer</w:t>
      </w:r>
      <w:r w:rsidR="004F55C9">
        <w:t>-supplier link</w:t>
      </w:r>
      <w:r w:rsidRPr="00717D3C">
        <w:t xml:space="preserve">, then the </w:t>
      </w:r>
      <w:r w:rsidR="00DC7C53" w:rsidRPr="00DC7C53">
        <w:rPr>
          <w:i/>
          <w:iCs/>
        </w:rPr>
        <w:t xml:space="preserve">Large CS </w:t>
      </w:r>
      <w:r w:rsidR="0099693E">
        <w:rPr>
          <w:i/>
          <w:iCs/>
        </w:rPr>
        <w:t>link</w:t>
      </w:r>
      <w:r w:rsidR="00DC7C53" w:rsidRPr="00DC7C53">
        <w:rPr>
          <w:i/>
          <w:iCs/>
        </w:rPr>
        <w:t>s</w:t>
      </w:r>
      <w:r w:rsidR="00DC7C53" w:rsidRPr="00DC7C53">
        <w:t xml:space="preserve"> </w:t>
      </w:r>
      <w:r w:rsidRPr="00717D3C">
        <w:t>dummy should exhibit a positive and significant coefficient in the second stage.</w:t>
      </w:r>
    </w:p>
    <w:p w14:paraId="373A87AB" w14:textId="77777777" w:rsidR="004F6235" w:rsidRDefault="004F6235" w:rsidP="004F6235">
      <w:pPr>
        <w:widowControl w:val="0"/>
        <w:autoSpaceDE w:val="0"/>
        <w:autoSpaceDN w:val="0"/>
        <w:adjustRightInd w:val="0"/>
        <w:spacing w:line="480" w:lineRule="auto"/>
        <w:ind w:firstLine="567"/>
        <w:jc w:val="both"/>
        <w:rPr>
          <w:bCs/>
          <w:iCs/>
        </w:rPr>
      </w:pPr>
      <w:r w:rsidRPr="001554F3">
        <w:t>Table 1 presents summary statistics about the sample of syndicated loans used in the analysis, as well as borrower characteristics.</w:t>
      </w:r>
      <w:r w:rsidRPr="002E256B">
        <w:rPr>
          <w:rFonts w:eastAsia="Calibri"/>
          <w:lang w:eastAsia="en-US"/>
        </w:rPr>
        <w:t xml:space="preserve"> It shows that the mean of lead agent share is around 26% with a standard deviation equal to 19%. The number of participant lenders per syndicate is on average equal to 11 with a standard deviation of 9, suggesting a high variability in terms of syndicate size. Consistent with </w:t>
      </w:r>
      <w:r w:rsidRPr="00E64313">
        <w:t xml:space="preserve">Berg et al. (2016), </w:t>
      </w:r>
      <w:r w:rsidRPr="00E64313">
        <w:rPr>
          <w:bCs/>
          <w:i/>
        </w:rPr>
        <w:t>TCB</w:t>
      </w:r>
      <w:r w:rsidRPr="00E64313">
        <w:rPr>
          <w:bCs/>
          <w:iCs/>
        </w:rPr>
        <w:t xml:space="preserve"> is slightly higher than </w:t>
      </w:r>
      <w:r w:rsidRPr="00E64313">
        <w:rPr>
          <w:bCs/>
          <w:i/>
        </w:rPr>
        <w:t>AISD</w:t>
      </w:r>
      <w:r w:rsidRPr="00E64313">
        <w:rPr>
          <w:bCs/>
          <w:iCs/>
        </w:rPr>
        <w:t xml:space="preserve">. Different from </w:t>
      </w:r>
      <w:r w:rsidRPr="00E64313">
        <w:rPr>
          <w:bCs/>
          <w:i/>
        </w:rPr>
        <w:t>AISD</w:t>
      </w:r>
      <w:r w:rsidRPr="00E64313">
        <w:rPr>
          <w:bCs/>
          <w:iCs/>
        </w:rPr>
        <w:t xml:space="preserve">, </w:t>
      </w:r>
      <w:r w:rsidRPr="00E64313">
        <w:rPr>
          <w:bCs/>
          <w:i/>
        </w:rPr>
        <w:t>TCB</w:t>
      </w:r>
      <w:r w:rsidRPr="00E64313">
        <w:rPr>
          <w:bCs/>
          <w:iCs/>
        </w:rPr>
        <w:t xml:space="preserve"> considers the probability that various fees will be charged by lenders. Table A2 in the Appendix shows the correlation matrix for the variables employed in this analysis.</w:t>
      </w:r>
    </w:p>
    <w:p w14:paraId="5B736A96" w14:textId="77777777" w:rsidR="004F6235" w:rsidRPr="00DE4427" w:rsidRDefault="004F6235" w:rsidP="004F6235">
      <w:pPr>
        <w:widowControl w:val="0"/>
        <w:autoSpaceDE w:val="0"/>
        <w:autoSpaceDN w:val="0"/>
        <w:adjustRightInd w:val="0"/>
        <w:spacing w:line="480" w:lineRule="auto"/>
        <w:ind w:firstLine="567"/>
        <w:jc w:val="both"/>
        <w:rPr>
          <w:bCs/>
          <w:iCs/>
        </w:rPr>
      </w:pPr>
    </w:p>
    <w:p w14:paraId="75CCD08F" w14:textId="77777777" w:rsidR="004F6235" w:rsidRPr="001554F3" w:rsidRDefault="004F6235" w:rsidP="004F6235">
      <w:pPr>
        <w:spacing w:line="480" w:lineRule="auto"/>
        <w:jc w:val="center"/>
        <w:rPr>
          <w:b/>
          <w:i/>
        </w:rPr>
      </w:pPr>
      <w:r w:rsidRPr="001554F3">
        <w:rPr>
          <w:b/>
          <w:i/>
        </w:rPr>
        <w:t>[Insert Table 1 about here]</w:t>
      </w:r>
    </w:p>
    <w:p w14:paraId="4D69F682" w14:textId="77777777" w:rsidR="00E65701" w:rsidRPr="00717D3C" w:rsidRDefault="00E65701" w:rsidP="00080433">
      <w:pPr>
        <w:autoSpaceDE w:val="0"/>
        <w:autoSpaceDN w:val="0"/>
        <w:adjustRightInd w:val="0"/>
        <w:spacing w:line="480" w:lineRule="auto"/>
        <w:jc w:val="both"/>
      </w:pPr>
    </w:p>
    <w:p w14:paraId="7522BD1A" w14:textId="77777777" w:rsidR="007E6B7A" w:rsidRPr="001554F3" w:rsidRDefault="00482FBD" w:rsidP="007E6B7A">
      <w:pPr>
        <w:autoSpaceDE w:val="0"/>
        <w:autoSpaceDN w:val="0"/>
        <w:adjustRightInd w:val="0"/>
        <w:spacing w:line="480" w:lineRule="auto"/>
        <w:rPr>
          <w:b/>
          <w:color w:val="000000"/>
          <w:sz w:val="28"/>
        </w:rPr>
      </w:pPr>
      <w:r>
        <w:rPr>
          <w:b/>
          <w:color w:val="000000"/>
          <w:sz w:val="28"/>
        </w:rPr>
        <w:t>4</w:t>
      </w:r>
      <w:r w:rsidR="007E6B7A" w:rsidRPr="001554F3">
        <w:rPr>
          <w:b/>
          <w:color w:val="000000"/>
          <w:sz w:val="28"/>
        </w:rPr>
        <w:t>. Empirical Analysis</w:t>
      </w:r>
    </w:p>
    <w:p w14:paraId="50BD9384" w14:textId="77777777" w:rsidR="007E6B7A" w:rsidRDefault="007E6B7A" w:rsidP="00F556B4">
      <w:pPr>
        <w:autoSpaceDE w:val="0"/>
        <w:autoSpaceDN w:val="0"/>
        <w:adjustRightInd w:val="0"/>
        <w:spacing w:line="480" w:lineRule="auto"/>
        <w:jc w:val="both"/>
        <w:rPr>
          <w:color w:val="000000"/>
        </w:rPr>
      </w:pPr>
      <w:r w:rsidRPr="001554F3">
        <w:rPr>
          <w:color w:val="000000"/>
        </w:rPr>
        <w:t>In this section, we first analy</w:t>
      </w:r>
      <w:r>
        <w:rPr>
          <w:color w:val="000000"/>
        </w:rPr>
        <w:t>z</w:t>
      </w:r>
      <w:r w:rsidRPr="001554F3">
        <w:rPr>
          <w:color w:val="000000"/>
        </w:rPr>
        <w:t xml:space="preserve">e </w:t>
      </w:r>
      <w:r w:rsidR="008C5A07">
        <w:rPr>
          <w:color w:val="000000"/>
        </w:rPr>
        <w:t xml:space="preserve">whether </w:t>
      </w:r>
      <w:r w:rsidRPr="001554F3">
        <w:rPr>
          <w:color w:val="000000"/>
        </w:rPr>
        <w:t xml:space="preserve">the syndicate structure differs for borrowers with </w:t>
      </w:r>
      <w:r w:rsidR="0043098D">
        <w:rPr>
          <w:color w:val="000000"/>
        </w:rPr>
        <w:t xml:space="preserve">large </w:t>
      </w:r>
      <w:r w:rsidR="00C2325A">
        <w:rPr>
          <w:color w:val="000000"/>
        </w:rPr>
        <w:t>customer</w:t>
      </w:r>
      <w:r w:rsidR="00DC7C53">
        <w:rPr>
          <w:color w:val="000000"/>
        </w:rPr>
        <w:t>-supplier</w:t>
      </w:r>
      <w:r w:rsidRPr="001554F3">
        <w:rPr>
          <w:color w:val="000000"/>
        </w:rPr>
        <w:t xml:space="preserve"> chain participation. </w:t>
      </w:r>
      <w:r>
        <w:t>Then</w:t>
      </w:r>
      <w:r w:rsidRPr="001554F3">
        <w:t xml:space="preserve">, we </w:t>
      </w:r>
      <w:r w:rsidRPr="001554F3">
        <w:rPr>
          <w:color w:val="000000"/>
        </w:rPr>
        <w:t xml:space="preserve">test whether </w:t>
      </w:r>
      <w:r w:rsidR="00BC2028">
        <w:t xml:space="preserve">large </w:t>
      </w:r>
      <w:r w:rsidR="00C2325A">
        <w:t>customer</w:t>
      </w:r>
      <w:r w:rsidR="004F55C9">
        <w:t xml:space="preserve">-supplier links </w:t>
      </w:r>
      <w:r w:rsidRPr="001554F3">
        <w:rPr>
          <w:color w:val="000000"/>
        </w:rPr>
        <w:t>lead to higher mark</w:t>
      </w:r>
      <w:r>
        <w:rPr>
          <w:color w:val="000000"/>
        </w:rPr>
        <w:t>-</w:t>
      </w:r>
      <w:r w:rsidRPr="001554F3">
        <w:rPr>
          <w:color w:val="000000"/>
        </w:rPr>
        <w:t xml:space="preserve">ups and </w:t>
      </w:r>
      <w:r w:rsidR="008C5A07">
        <w:rPr>
          <w:color w:val="000000"/>
        </w:rPr>
        <w:t xml:space="preserve">a </w:t>
      </w:r>
      <w:r w:rsidRPr="001554F3">
        <w:rPr>
          <w:color w:val="000000"/>
        </w:rPr>
        <w:t>stricter covenant</w:t>
      </w:r>
      <w:r w:rsidR="008C5A07">
        <w:rPr>
          <w:color w:val="000000"/>
        </w:rPr>
        <w:t xml:space="preserve"> index</w:t>
      </w:r>
      <w:r>
        <w:rPr>
          <w:color w:val="000000"/>
        </w:rPr>
        <w:t>. Finally, we present additional analysis.</w:t>
      </w:r>
    </w:p>
    <w:p w14:paraId="13D11F93" w14:textId="77777777" w:rsidR="0033129C" w:rsidRDefault="0033129C" w:rsidP="00080433">
      <w:pPr>
        <w:autoSpaceDE w:val="0"/>
        <w:autoSpaceDN w:val="0"/>
        <w:adjustRightInd w:val="0"/>
        <w:spacing w:line="480" w:lineRule="auto"/>
        <w:ind w:firstLine="567"/>
        <w:jc w:val="both"/>
        <w:rPr>
          <w:color w:val="000000"/>
        </w:rPr>
      </w:pPr>
    </w:p>
    <w:p w14:paraId="58B4FE1A" w14:textId="77777777" w:rsidR="007E6B7A" w:rsidRPr="00491B7E" w:rsidRDefault="007C55A1" w:rsidP="00C74013">
      <w:pPr>
        <w:pStyle w:val="ListParagraph"/>
        <w:autoSpaceDE w:val="0"/>
        <w:autoSpaceDN w:val="0"/>
        <w:adjustRightInd w:val="0"/>
        <w:spacing w:line="480" w:lineRule="auto"/>
        <w:ind w:left="0"/>
        <w:rPr>
          <w:b/>
          <w:color w:val="000000"/>
        </w:rPr>
      </w:pPr>
      <w:r>
        <w:rPr>
          <w:b/>
          <w:color w:val="000000"/>
        </w:rPr>
        <w:t xml:space="preserve">4.1 </w:t>
      </w:r>
      <w:r w:rsidR="0043098D" w:rsidRPr="00491B7E">
        <w:rPr>
          <w:b/>
          <w:color w:val="000000"/>
        </w:rPr>
        <w:t xml:space="preserve">Large </w:t>
      </w:r>
      <w:r w:rsidR="00C2325A" w:rsidRPr="00491B7E">
        <w:rPr>
          <w:b/>
          <w:color w:val="000000"/>
        </w:rPr>
        <w:t>customer</w:t>
      </w:r>
      <w:r w:rsidR="004F55C9" w:rsidRPr="00491B7E">
        <w:rPr>
          <w:b/>
          <w:color w:val="000000"/>
        </w:rPr>
        <w:t xml:space="preserve">-supplier </w:t>
      </w:r>
      <w:r w:rsidR="0099693E" w:rsidRPr="00491B7E">
        <w:rPr>
          <w:b/>
          <w:color w:val="000000"/>
        </w:rPr>
        <w:t>link</w:t>
      </w:r>
      <w:r w:rsidR="004F55C9" w:rsidRPr="00491B7E">
        <w:rPr>
          <w:b/>
          <w:color w:val="000000"/>
        </w:rPr>
        <w:t xml:space="preserve">s </w:t>
      </w:r>
      <w:r w:rsidR="007E6B7A" w:rsidRPr="00491B7E">
        <w:rPr>
          <w:b/>
          <w:color w:val="000000"/>
        </w:rPr>
        <w:t>and Syndicated Loan Structure</w:t>
      </w:r>
    </w:p>
    <w:p w14:paraId="32851206" w14:textId="77777777" w:rsidR="007E6B7A" w:rsidRPr="001554F3" w:rsidRDefault="007E6B7A" w:rsidP="00F556B4">
      <w:pPr>
        <w:autoSpaceDE w:val="0"/>
        <w:autoSpaceDN w:val="0"/>
        <w:adjustRightInd w:val="0"/>
        <w:spacing w:line="480" w:lineRule="auto"/>
        <w:jc w:val="both"/>
      </w:pPr>
      <w:r w:rsidRPr="001554F3">
        <w:t xml:space="preserve">In this subsection, we examine whether </w:t>
      </w:r>
      <w:r>
        <w:t>the lead agent</w:t>
      </w:r>
      <w:r w:rsidR="00DF0AA9">
        <w:t>s</w:t>
      </w:r>
      <w:r>
        <w:t xml:space="preserve"> retain larger fraction</w:t>
      </w:r>
      <w:r w:rsidR="00DF0AA9">
        <w:t>s</w:t>
      </w:r>
      <w:r>
        <w:t xml:space="preserve"> of </w:t>
      </w:r>
      <w:r w:rsidR="00DF0AA9">
        <w:t>the</w:t>
      </w:r>
      <w:r>
        <w:t xml:space="preserve"> loan</w:t>
      </w:r>
      <w:r w:rsidR="00DF0AA9">
        <w:t>s</w:t>
      </w:r>
      <w:r>
        <w:t xml:space="preserve"> for </w:t>
      </w:r>
      <w:r w:rsidRPr="001554F3">
        <w:t xml:space="preserve">borrowers with </w:t>
      </w:r>
      <w:r w:rsidR="00FC36A3">
        <w:t>large customer</w:t>
      </w:r>
      <w:r w:rsidR="00E031C5">
        <w:t xml:space="preserve">-supplier </w:t>
      </w:r>
      <w:r w:rsidR="0099693E">
        <w:t>link</w:t>
      </w:r>
      <w:r w:rsidR="00E031C5">
        <w:t>s</w:t>
      </w:r>
      <w:r w:rsidRPr="001554F3">
        <w:t xml:space="preserve"> compared to other borrowers</w:t>
      </w:r>
      <w:r>
        <w:t>.</w:t>
      </w:r>
      <w:r w:rsidR="004E41F9">
        <w:t xml:space="preserve"> </w:t>
      </w:r>
      <w:r w:rsidRPr="00FD763A">
        <w:t xml:space="preserve">According to Sufi (2007), if the borrower requires </w:t>
      </w:r>
      <w:r w:rsidR="00FD763A">
        <w:t xml:space="preserve">more </w:t>
      </w:r>
      <w:r w:rsidRPr="00FD763A">
        <w:t xml:space="preserve">intense monitoring and diligence </w:t>
      </w:r>
      <w:r w:rsidR="00491B7E">
        <w:t>activities</w:t>
      </w:r>
      <w:r w:rsidRPr="00FD763A">
        <w:t xml:space="preserve">, the lead bank </w:t>
      </w:r>
      <w:r w:rsidR="0013378A">
        <w:t xml:space="preserve">should </w:t>
      </w:r>
      <w:r w:rsidRPr="00FD763A">
        <w:t xml:space="preserve">retain a </w:t>
      </w:r>
      <w:r w:rsidR="00FD763A">
        <w:t>larger</w:t>
      </w:r>
      <w:r w:rsidR="00FD763A" w:rsidRPr="00FD763A">
        <w:t xml:space="preserve"> </w:t>
      </w:r>
      <w:r w:rsidRPr="00FD763A">
        <w:t xml:space="preserve">share of the loan and forms a concentrated syndicate. </w:t>
      </w:r>
      <w:r w:rsidR="00FD763A">
        <w:t>Therefore</w:t>
      </w:r>
      <w:r w:rsidR="00BB6A81" w:rsidRPr="00FD763A">
        <w:t>,</w:t>
      </w:r>
      <w:r w:rsidRPr="00FD763A">
        <w:t xml:space="preserve"> </w:t>
      </w:r>
      <w:r w:rsidR="00BB6A81" w:rsidRPr="00FD763A">
        <w:t xml:space="preserve">if </w:t>
      </w:r>
      <w:r w:rsidR="00AA41AD">
        <w:t xml:space="preserve">the borrower with </w:t>
      </w:r>
      <w:r w:rsidR="00FC36A3">
        <w:t>large</w:t>
      </w:r>
      <w:r w:rsidR="00DC7C53">
        <w:t xml:space="preserve"> customer-supplier </w:t>
      </w:r>
      <w:r w:rsidR="00BB6A81" w:rsidRPr="00FD763A">
        <w:t>relationships bear</w:t>
      </w:r>
      <w:r w:rsidR="00AA41AD">
        <w:t>s</w:t>
      </w:r>
      <w:r w:rsidR="00BB6A81" w:rsidRPr="00FD763A">
        <w:t xml:space="preserve"> additional risks, the other participant banks should require the lead agent to retain a greater fraction of the loan.</w:t>
      </w:r>
      <w:r w:rsidR="00BB6A81">
        <w:t xml:space="preserve"> </w:t>
      </w:r>
    </w:p>
    <w:p w14:paraId="36113D35" w14:textId="77777777" w:rsidR="00DC67F3" w:rsidRDefault="007E6B7A" w:rsidP="003D1CD4">
      <w:pPr>
        <w:spacing w:line="480" w:lineRule="auto"/>
        <w:ind w:firstLine="567"/>
        <w:jc w:val="both"/>
      </w:pPr>
      <w:r w:rsidRPr="001554F3">
        <w:t xml:space="preserve">Table </w:t>
      </w:r>
      <w:r w:rsidRPr="00B7463D">
        <w:t xml:space="preserve">2 </w:t>
      </w:r>
      <w:r w:rsidR="00D7000B">
        <w:t>reports</w:t>
      </w:r>
      <w:r w:rsidR="00D7000B" w:rsidRPr="00B76115">
        <w:t xml:space="preserve"> </w:t>
      </w:r>
      <w:r w:rsidRPr="00B76115">
        <w:t xml:space="preserve">the findings for the impact of </w:t>
      </w:r>
      <w:r w:rsidR="00FD763A" w:rsidRPr="00D01339">
        <w:t xml:space="preserve">the </w:t>
      </w:r>
      <w:r w:rsidR="00FC36A3">
        <w:t xml:space="preserve">large </w:t>
      </w:r>
      <w:r w:rsidR="00DC7C53" w:rsidRPr="004E41F9">
        <w:t xml:space="preserve">customer-supplier </w:t>
      </w:r>
      <w:r w:rsidR="00FD763A" w:rsidRPr="004E41F9">
        <w:rPr>
          <w:iCs/>
        </w:rPr>
        <w:t>relationship</w:t>
      </w:r>
      <w:r w:rsidRPr="004E41F9">
        <w:t xml:space="preserve"> on the lead agent’s loan share, </w:t>
      </w:r>
      <w:r w:rsidRPr="004E41F9">
        <w:rPr>
          <w:i/>
        </w:rPr>
        <w:t>Lead agent share</w:t>
      </w:r>
      <w:r w:rsidRPr="004E41F9">
        <w:t>.</w:t>
      </w:r>
      <w:r w:rsidR="00FD763A" w:rsidRPr="00B7463D">
        <w:rPr>
          <w:rStyle w:val="FootnoteReference"/>
        </w:rPr>
        <w:footnoteReference w:id="11"/>
      </w:r>
      <w:r w:rsidR="00542E39">
        <w:t xml:space="preserve"> </w:t>
      </w:r>
      <w:r w:rsidR="00E031C5" w:rsidRPr="00542E39">
        <w:t xml:space="preserve">Consistent with </w:t>
      </w:r>
      <w:r w:rsidR="00F50A2A">
        <w:t>H</w:t>
      </w:r>
      <w:r w:rsidR="00E031C5" w:rsidRPr="00542E39">
        <w:t>1</w:t>
      </w:r>
      <w:r w:rsidRPr="00542E39">
        <w:t>, Table 2</w:t>
      </w:r>
      <w:r w:rsidR="00431107" w:rsidRPr="00542E39">
        <w:t xml:space="preserve"> </w:t>
      </w:r>
      <w:r w:rsidRPr="00542E39">
        <w:t xml:space="preserve">shows that </w:t>
      </w:r>
      <w:r w:rsidR="00E031C5" w:rsidRPr="00542E39">
        <w:rPr>
          <w:iCs/>
        </w:rPr>
        <w:t xml:space="preserve">having a </w:t>
      </w:r>
      <w:r w:rsidR="0043098D" w:rsidRPr="00542E39">
        <w:rPr>
          <w:iCs/>
        </w:rPr>
        <w:t xml:space="preserve">large </w:t>
      </w:r>
      <w:r w:rsidR="00C2325A" w:rsidRPr="00542E39">
        <w:rPr>
          <w:iCs/>
        </w:rPr>
        <w:t>customer</w:t>
      </w:r>
      <w:r w:rsidR="00E031C5" w:rsidRPr="00542E39">
        <w:rPr>
          <w:iCs/>
        </w:rPr>
        <w:t>-supplier link</w:t>
      </w:r>
      <w:r w:rsidR="00BB6A81" w:rsidRPr="00542E39">
        <w:rPr>
          <w:iCs/>
        </w:rPr>
        <w:t xml:space="preserve"> </w:t>
      </w:r>
      <w:r w:rsidRPr="00542E39">
        <w:t xml:space="preserve">has a significant and positive effect on </w:t>
      </w:r>
      <w:r w:rsidRPr="00542E39">
        <w:rPr>
          <w:i/>
        </w:rPr>
        <w:t>Lead agent share</w:t>
      </w:r>
      <w:r w:rsidRPr="00542E39">
        <w:t>. As reported in Column 1</w:t>
      </w:r>
      <w:r w:rsidR="00CE7F38" w:rsidRPr="00542E39">
        <w:t>,</w:t>
      </w:r>
      <w:r w:rsidRPr="00542E39">
        <w:t xml:space="preserve"> the coefficient of </w:t>
      </w:r>
      <w:r w:rsidR="00DC7C53" w:rsidRPr="00542E39">
        <w:rPr>
          <w:i/>
          <w:iCs/>
        </w:rPr>
        <w:t xml:space="preserve">Large CS </w:t>
      </w:r>
      <w:r w:rsidR="0099693E" w:rsidRPr="00542E39">
        <w:rPr>
          <w:i/>
          <w:iCs/>
        </w:rPr>
        <w:t>link</w:t>
      </w:r>
      <w:r w:rsidR="00DC7C53" w:rsidRPr="00542E39">
        <w:rPr>
          <w:i/>
          <w:iCs/>
        </w:rPr>
        <w:t xml:space="preserve">s </w:t>
      </w:r>
      <w:r w:rsidRPr="00542E39">
        <w:t xml:space="preserve">dummy is positive and statistically significant at the 5% level. </w:t>
      </w:r>
      <w:r w:rsidR="00DC67F3" w:rsidRPr="00542E39">
        <w:t>Moreover, consistent with</w:t>
      </w:r>
      <w:r w:rsidR="003D1CD4" w:rsidRPr="00542E39">
        <w:t xml:space="preserve"> </w:t>
      </w:r>
      <w:r w:rsidR="00F50A2A">
        <w:t>H</w:t>
      </w:r>
      <w:r w:rsidR="00DC67F3" w:rsidRPr="00542E39">
        <w:t>1</w:t>
      </w:r>
      <w:r w:rsidR="003D1CD4" w:rsidRPr="00542E39">
        <w:t xml:space="preserve">, we find that the lead agent retains a greater loan fraction when the borrower has a long-term relationship with </w:t>
      </w:r>
      <w:r w:rsidR="00FC36A3" w:rsidRPr="00542E39">
        <w:t>large customer</w:t>
      </w:r>
      <w:r w:rsidR="003D1CD4" w:rsidRPr="00542E39">
        <w:t>s and/or supplier</w:t>
      </w:r>
      <w:r w:rsidR="00DC67F3" w:rsidRPr="00542E39">
        <w:t xml:space="preserve"> as indicated by the positive coefficient of </w:t>
      </w:r>
      <w:r w:rsidR="00DC67F3" w:rsidRPr="00542E39">
        <w:rPr>
          <w:i/>
          <w:iCs/>
        </w:rPr>
        <w:t>Length large CS links</w:t>
      </w:r>
      <w:r w:rsidR="00DC67F3" w:rsidRPr="00542E39">
        <w:t xml:space="preserve"> in Column 2.</w:t>
      </w:r>
      <w:r w:rsidR="003D1CD4" w:rsidRPr="00542E39">
        <w:t xml:space="preserve"> However, </w:t>
      </w:r>
      <w:r w:rsidRPr="00542E39">
        <w:t xml:space="preserve">Column 3 </w:t>
      </w:r>
      <w:r w:rsidR="00DC67F3" w:rsidRPr="00542E39">
        <w:t>also</w:t>
      </w:r>
      <w:r w:rsidR="003D1CD4" w:rsidRPr="00542E39">
        <w:t xml:space="preserve"> </w:t>
      </w:r>
      <w:r w:rsidRPr="00542E39">
        <w:t>show</w:t>
      </w:r>
      <w:r w:rsidR="0036583A">
        <w:t>s</w:t>
      </w:r>
      <w:r w:rsidRPr="00542E39">
        <w:t xml:space="preserve"> that </w:t>
      </w:r>
      <w:r w:rsidR="00DC67F3" w:rsidRPr="00542E39">
        <w:t xml:space="preserve">squared </w:t>
      </w:r>
      <w:r w:rsidR="00DC67F3" w:rsidRPr="00542E39">
        <w:rPr>
          <w:i/>
          <w:iCs/>
        </w:rPr>
        <w:t>Length large CS</w:t>
      </w:r>
      <w:r w:rsidR="00DC67F3" w:rsidRPr="00542E39">
        <w:t xml:space="preserve"> </w:t>
      </w:r>
      <w:r w:rsidR="00DC67F3" w:rsidRPr="00542E39">
        <w:rPr>
          <w:i/>
          <w:iCs/>
        </w:rPr>
        <w:t xml:space="preserve">links </w:t>
      </w:r>
      <w:r w:rsidR="00DC67F3" w:rsidRPr="00542E39">
        <w:t>term has a negative and significant coefficient</w:t>
      </w:r>
      <w:r w:rsidR="00542E39">
        <w:t xml:space="preserve"> </w:t>
      </w:r>
      <w:r w:rsidR="00542E39" w:rsidRPr="00542E39">
        <w:t>(coefficient significant at the 1% level)</w:t>
      </w:r>
      <w:r w:rsidR="00916750" w:rsidRPr="00542E39">
        <w:t xml:space="preserve">, suggesting that </w:t>
      </w:r>
      <w:r w:rsidR="00DB5899" w:rsidRPr="00542E39">
        <w:rPr>
          <w:i/>
          <w:iCs/>
        </w:rPr>
        <w:t xml:space="preserve">Length large CS </w:t>
      </w:r>
      <w:r w:rsidR="0099693E" w:rsidRPr="00542E39">
        <w:rPr>
          <w:i/>
          <w:iCs/>
        </w:rPr>
        <w:t>link</w:t>
      </w:r>
      <w:r w:rsidR="00DB5899" w:rsidRPr="00542E39">
        <w:rPr>
          <w:i/>
          <w:iCs/>
        </w:rPr>
        <w:t>s</w:t>
      </w:r>
      <w:r w:rsidR="00DC7C53" w:rsidRPr="00542E39">
        <w:t xml:space="preserve"> </w:t>
      </w:r>
      <w:r w:rsidR="00DC67F3" w:rsidRPr="00542E39">
        <w:t xml:space="preserve">has a curvilinear effect on </w:t>
      </w:r>
      <w:r w:rsidRPr="00542E39">
        <w:rPr>
          <w:i/>
          <w:iCs/>
        </w:rPr>
        <w:t>Lead agent share</w:t>
      </w:r>
      <w:r w:rsidRPr="00542E39">
        <w:t xml:space="preserve"> (inverted U-shaped)</w:t>
      </w:r>
      <w:r w:rsidR="00916750" w:rsidRPr="00542E39">
        <w:t xml:space="preserve">. </w:t>
      </w:r>
      <w:r w:rsidR="00542E39">
        <w:t>As expected from H1, a tighter relationship between customer and supplier increases the share of the loan held by the lead agent, but at a decreasing rate.</w:t>
      </w:r>
      <w:r w:rsidR="00542E39" w:rsidRPr="00542E39">
        <w:t xml:space="preserve"> </w:t>
      </w:r>
      <w:r w:rsidR="00542E39">
        <w:t>Indeed,</w:t>
      </w:r>
      <w:r w:rsidR="0035100A" w:rsidRPr="00542E39">
        <w:t xml:space="preserve"> </w:t>
      </w:r>
      <w:r w:rsidR="00542E39">
        <w:t>t</w:t>
      </w:r>
      <w:r w:rsidR="00DC67F3" w:rsidRPr="00542E39">
        <w:t xml:space="preserve">he variable </w:t>
      </w:r>
      <w:r w:rsidR="00C52EB4" w:rsidRPr="00542E39">
        <w:rPr>
          <w:i/>
          <w:iCs/>
        </w:rPr>
        <w:t xml:space="preserve">Length large CS </w:t>
      </w:r>
      <w:r w:rsidR="0099693E" w:rsidRPr="00542E39">
        <w:rPr>
          <w:i/>
          <w:iCs/>
        </w:rPr>
        <w:t>link</w:t>
      </w:r>
      <w:r w:rsidR="00C52EB4" w:rsidRPr="00542E39">
        <w:rPr>
          <w:i/>
          <w:iCs/>
        </w:rPr>
        <w:t>s</w:t>
      </w:r>
      <w:r w:rsidR="00C52EB4" w:rsidRPr="00542E39">
        <w:t xml:space="preserve"> </w:t>
      </w:r>
      <w:r w:rsidR="00DC67F3" w:rsidRPr="00542E39">
        <w:t xml:space="preserve">reaches </w:t>
      </w:r>
      <w:r w:rsidR="00763A6E">
        <w:t>its</w:t>
      </w:r>
      <w:r w:rsidR="00DC67F3" w:rsidRPr="00542E39">
        <w:t xml:space="preserve"> </w:t>
      </w:r>
      <w:r w:rsidR="00B50135" w:rsidRPr="00542E39">
        <w:t>peak at</w:t>
      </w:r>
      <w:r w:rsidR="00B50135" w:rsidRPr="00B7463D">
        <w:t xml:space="preserve"> 5.25</w:t>
      </w:r>
      <w:r w:rsidR="00B50135" w:rsidRPr="00FB653D">
        <w:t xml:space="preserve"> years</w:t>
      </w:r>
      <w:r w:rsidR="00B7463D">
        <w:t>,</w:t>
      </w:r>
      <w:r w:rsidR="00FB653D">
        <w:t xml:space="preserve"> </w:t>
      </w:r>
      <w:r w:rsidR="00BB6A81" w:rsidRPr="00FB653D">
        <w:t xml:space="preserve">which corresponds to </w:t>
      </w:r>
      <w:r w:rsidR="004B2193">
        <w:t xml:space="preserve">the </w:t>
      </w:r>
      <w:r w:rsidR="00BB6A81" w:rsidRPr="00FB653D">
        <w:t>85</w:t>
      </w:r>
      <w:r w:rsidR="00B7463D" w:rsidRPr="00CE7D45">
        <w:rPr>
          <w:vertAlign w:val="superscript"/>
        </w:rPr>
        <w:t>th</w:t>
      </w:r>
      <w:r w:rsidR="00B7463D">
        <w:t xml:space="preserve"> percentile</w:t>
      </w:r>
      <w:r w:rsidR="00BB6A81" w:rsidRPr="00FB653D">
        <w:t xml:space="preserve"> of the </w:t>
      </w:r>
      <w:r w:rsidR="00B7463D">
        <w:t>empirical distribution of the variable</w:t>
      </w:r>
      <w:r w:rsidR="00B50135" w:rsidRPr="00FB653D">
        <w:t>.</w:t>
      </w:r>
      <w:r w:rsidRPr="00FB653D">
        <w:rPr>
          <w:rStyle w:val="FootnoteReference"/>
        </w:rPr>
        <w:footnoteReference w:id="12"/>
      </w:r>
      <w:r w:rsidRPr="00B50135">
        <w:t xml:space="preserve"> This result is consistent with the view that</w:t>
      </w:r>
      <w:r w:rsidR="007C55A1">
        <w:t xml:space="preserve">, after a certain amount of time, </w:t>
      </w:r>
      <w:r w:rsidRPr="00B50135">
        <w:t xml:space="preserve">the effect of </w:t>
      </w:r>
      <w:r w:rsidR="0043098D">
        <w:t xml:space="preserve">large </w:t>
      </w:r>
      <w:r w:rsidR="00C2325A">
        <w:t>customer</w:t>
      </w:r>
      <w:r w:rsidR="00DC7C53">
        <w:t>-supplier</w:t>
      </w:r>
      <w:r w:rsidRPr="00B50135">
        <w:t xml:space="preserve"> relationships on the syndicate structure </w:t>
      </w:r>
      <w:r w:rsidR="00B50135">
        <w:t>is partially mitigated by</w:t>
      </w:r>
      <w:r w:rsidRPr="007C3911">
        <w:t xml:space="preserve"> </w:t>
      </w:r>
      <w:r>
        <w:t xml:space="preserve">the </w:t>
      </w:r>
      <w:r w:rsidR="007C55A1">
        <w:t xml:space="preserve">signal sent by the </w:t>
      </w:r>
      <w:r>
        <w:t>length of such a relationship</w:t>
      </w:r>
      <w:r>
        <w:rPr>
          <w:rFonts w:eastAsia="DengXian"/>
          <w:lang w:val="en-GB" w:eastAsia="zh-CN"/>
        </w:rPr>
        <w:t xml:space="preserve">. </w:t>
      </w:r>
      <w:r w:rsidR="007C55A1">
        <w:rPr>
          <w:rFonts w:eastAsia="DengXian"/>
          <w:lang w:val="en-GB" w:eastAsia="zh-CN"/>
        </w:rPr>
        <w:t>Thus</w:t>
      </w:r>
      <w:r>
        <w:rPr>
          <w:rFonts w:eastAsia="DengXian"/>
          <w:lang w:val="en-GB" w:eastAsia="zh-CN"/>
        </w:rPr>
        <w:t xml:space="preserve">, the </w:t>
      </w:r>
      <w:r>
        <w:t xml:space="preserve">lead agent tends to retain a smaller loan fraction </w:t>
      </w:r>
      <w:r w:rsidR="00CE7F38">
        <w:t>if</w:t>
      </w:r>
      <w:r>
        <w:t xml:space="preserve"> the borrower has a continuous relationship with a </w:t>
      </w:r>
      <w:r w:rsidR="0043098D">
        <w:t xml:space="preserve">large </w:t>
      </w:r>
      <w:r w:rsidR="00C2325A">
        <w:t>customer</w:t>
      </w:r>
      <w:r w:rsidR="00DC7C53">
        <w:t>-supplier</w:t>
      </w:r>
      <w:r w:rsidR="00DC7C53" w:rsidRPr="00B50135">
        <w:t xml:space="preserve"> </w:t>
      </w:r>
      <w:r>
        <w:t>partner of at least five years</w:t>
      </w:r>
      <w:r w:rsidR="00AE0AB7">
        <w:t xml:space="preserve">, suggesting a trade-off between the bank monitoring and </w:t>
      </w:r>
      <w:r w:rsidR="00DC7C53">
        <w:t>the positive signal</w:t>
      </w:r>
      <w:r w:rsidR="00AE0AB7">
        <w:t xml:space="preserve"> provided by </w:t>
      </w:r>
      <w:r w:rsidR="0043098D">
        <w:t xml:space="preserve">large </w:t>
      </w:r>
      <w:r w:rsidR="00C2325A">
        <w:t>customer</w:t>
      </w:r>
      <w:r w:rsidR="00DC7C53">
        <w:t xml:space="preserve">-supplier </w:t>
      </w:r>
      <w:r w:rsidR="0099693E">
        <w:t>link</w:t>
      </w:r>
      <w:r w:rsidR="00DC7C53">
        <w:t>s</w:t>
      </w:r>
      <w:r>
        <w:t xml:space="preserve">. </w:t>
      </w:r>
      <w:r w:rsidR="005F488C">
        <w:t>This result is consistent with Chen et al. (2016)</w:t>
      </w:r>
      <w:r w:rsidR="0036583A">
        <w:t>, who</w:t>
      </w:r>
      <w:r w:rsidR="005F488C">
        <w:t xml:space="preserve"> suggest that large customer-supplier links may have a reputational-building role if non-financial institutions are able to engage in a continuative relation for a relative long period.</w:t>
      </w:r>
    </w:p>
    <w:p w14:paraId="4E65E99A" w14:textId="77777777" w:rsidR="007E6B7A" w:rsidRDefault="00AE0AB7" w:rsidP="003D1CD4">
      <w:pPr>
        <w:spacing w:line="480" w:lineRule="auto"/>
        <w:ind w:firstLine="567"/>
        <w:jc w:val="both"/>
      </w:pPr>
      <w:r>
        <w:t xml:space="preserve">If we limit the analysis to observations with a </w:t>
      </w:r>
      <w:r w:rsidR="0043098D">
        <w:t xml:space="preserve">large </w:t>
      </w:r>
      <w:r w:rsidR="00C2325A">
        <w:t>customer</w:t>
      </w:r>
      <w:r w:rsidR="004F55C9">
        <w:t>-supplier link</w:t>
      </w:r>
      <w:r w:rsidR="00431107">
        <w:t xml:space="preserve"> as reported </w:t>
      </w:r>
      <w:r w:rsidR="00F50A2A">
        <w:t xml:space="preserve">in </w:t>
      </w:r>
      <w:r w:rsidR="007E6B7A">
        <w:t>Column 4,</w:t>
      </w:r>
      <w:r w:rsidR="007C55A1">
        <w:rPr>
          <w:rStyle w:val="FootnoteReference"/>
        </w:rPr>
        <w:footnoteReference w:id="13"/>
      </w:r>
      <w:r w:rsidR="007E6B7A">
        <w:t xml:space="preserve"> </w:t>
      </w:r>
      <w:r w:rsidR="00FD763A">
        <w:t xml:space="preserve">we obtain similar results: </w:t>
      </w:r>
      <w:r w:rsidR="007E6B7A">
        <w:t>the</w:t>
      </w:r>
      <w:r w:rsidR="007E6B7A" w:rsidRPr="002F1113">
        <w:t xml:space="preserve"> lead agent’s loan share increases </w:t>
      </w:r>
      <w:r w:rsidR="00B50453">
        <w:t>with</w:t>
      </w:r>
      <w:r w:rsidR="00B50453" w:rsidRPr="002F1113">
        <w:t xml:space="preserve"> </w:t>
      </w:r>
      <w:r w:rsidR="00DB5899">
        <w:rPr>
          <w:i/>
          <w:iCs/>
        </w:rPr>
        <w:t xml:space="preserve">Length large CS </w:t>
      </w:r>
      <w:r w:rsidR="0099693E">
        <w:rPr>
          <w:i/>
          <w:iCs/>
        </w:rPr>
        <w:t>link</w:t>
      </w:r>
      <w:r w:rsidR="00DB5899">
        <w:rPr>
          <w:i/>
          <w:iCs/>
        </w:rPr>
        <w:t>s</w:t>
      </w:r>
      <w:r w:rsidR="00B50453">
        <w:t>, but th</w:t>
      </w:r>
      <w:r w:rsidR="00B50135">
        <w:t>e rate of</w:t>
      </w:r>
      <w:r w:rsidR="007E6B7A" w:rsidRPr="002F1113">
        <w:t xml:space="preserve"> increase</w:t>
      </w:r>
      <w:r w:rsidR="00B50453">
        <w:t xml:space="preserve"> becomes smaller as the length of the relationship increases.</w:t>
      </w:r>
      <w:r w:rsidR="007E6B7A">
        <w:rPr>
          <w:rStyle w:val="FootnoteReference"/>
        </w:rPr>
        <w:footnoteReference w:id="14"/>
      </w:r>
      <w:r w:rsidR="007E6B7A">
        <w:t xml:space="preserve"> </w:t>
      </w:r>
    </w:p>
    <w:p w14:paraId="36BFA07F" w14:textId="77777777" w:rsidR="007E6B7A" w:rsidRPr="00B20A9A" w:rsidRDefault="007E6B7A" w:rsidP="00C42EEB">
      <w:pPr>
        <w:autoSpaceDE w:val="0"/>
        <w:autoSpaceDN w:val="0"/>
        <w:adjustRightInd w:val="0"/>
        <w:spacing w:line="480" w:lineRule="auto"/>
        <w:ind w:firstLine="567"/>
        <w:jc w:val="both"/>
      </w:pPr>
      <w:r w:rsidRPr="003A1CC0">
        <w:t xml:space="preserve">Table 2 also shows that the variables </w:t>
      </w:r>
      <w:r w:rsidR="00B7463D">
        <w:t>associated</w:t>
      </w:r>
      <w:r w:rsidR="00B7463D" w:rsidRPr="003A1CC0">
        <w:t xml:space="preserve"> </w:t>
      </w:r>
      <w:r w:rsidR="0036583A">
        <w:t>with</w:t>
      </w:r>
      <w:r w:rsidR="0036583A" w:rsidRPr="003A1CC0">
        <w:t xml:space="preserve"> </w:t>
      </w:r>
      <w:r w:rsidRPr="003A1CC0">
        <w:t xml:space="preserve">the lead bank’s reputation are both significantly and negatively related to the lead bank’s loan share. A higher lead bank’s reputation within the syndicate will reduce information asymmetry concerns. Therefore, </w:t>
      </w:r>
      <w:r w:rsidR="00B7463D">
        <w:t>a respected</w:t>
      </w:r>
      <w:r w:rsidR="00B7463D" w:rsidRPr="003A1CC0">
        <w:t xml:space="preserve"> </w:t>
      </w:r>
      <w:r w:rsidRPr="003A1CC0">
        <w:t xml:space="preserve">lead agent is required </w:t>
      </w:r>
      <w:r w:rsidR="00F50A2A" w:rsidRPr="003A1CC0">
        <w:t xml:space="preserve">by the other participants </w:t>
      </w:r>
      <w:r w:rsidRPr="003A1CC0">
        <w:t>to hold a lower loan share.</w:t>
      </w:r>
      <w:r w:rsidR="00C42EEB">
        <w:t xml:space="preserve"> </w:t>
      </w:r>
      <w:r w:rsidR="00C42EEB">
        <w:rPr>
          <w:bCs/>
          <w:iCs/>
        </w:rPr>
        <w:t>Regarding</w:t>
      </w:r>
      <w:r w:rsidR="00C42EEB" w:rsidRPr="00771256">
        <w:rPr>
          <w:bCs/>
        </w:rPr>
        <w:t xml:space="preserve"> loan characteristics, </w:t>
      </w:r>
      <w:r w:rsidR="00C42EEB">
        <w:rPr>
          <w:bCs/>
        </w:rPr>
        <w:t>our findings are in line with</w:t>
      </w:r>
      <w:r w:rsidR="00C42EEB" w:rsidRPr="00771256">
        <w:rPr>
          <w:bCs/>
        </w:rPr>
        <w:t xml:space="preserve"> </w:t>
      </w:r>
      <w:r w:rsidR="00C42EEB">
        <w:rPr>
          <w:bCs/>
        </w:rPr>
        <w:t xml:space="preserve">the </w:t>
      </w:r>
      <w:r w:rsidR="00C42EEB" w:rsidRPr="00771256">
        <w:rPr>
          <w:bCs/>
        </w:rPr>
        <w:t>previous studies (e.g.</w:t>
      </w:r>
      <w:r w:rsidR="00A3380C">
        <w:rPr>
          <w:bCs/>
        </w:rPr>
        <w:t>,</w:t>
      </w:r>
      <w:r w:rsidR="00C42EEB" w:rsidRPr="00771256">
        <w:rPr>
          <w:bCs/>
        </w:rPr>
        <w:t xml:space="preserve"> Ivashina, 2009; Lim et al., 2014)</w:t>
      </w:r>
      <w:r w:rsidR="00C42EEB">
        <w:rPr>
          <w:bCs/>
        </w:rPr>
        <w:t>.</w:t>
      </w:r>
      <w:r w:rsidR="00C42EEB" w:rsidRPr="00771256">
        <w:rPr>
          <w:bCs/>
        </w:rPr>
        <w:t xml:space="preserve"> </w:t>
      </w:r>
      <w:r w:rsidR="00C42EEB" w:rsidRPr="00C74013">
        <w:rPr>
          <w:bCs/>
        </w:rPr>
        <w:t xml:space="preserve">Table </w:t>
      </w:r>
      <w:r w:rsidR="00C42EEB">
        <w:rPr>
          <w:bCs/>
        </w:rPr>
        <w:t xml:space="preserve">2 also </w:t>
      </w:r>
      <w:r w:rsidR="00C42EEB" w:rsidRPr="00C74013">
        <w:rPr>
          <w:bCs/>
        </w:rPr>
        <w:t>show</w:t>
      </w:r>
      <w:r w:rsidR="00C42EEB">
        <w:rPr>
          <w:bCs/>
        </w:rPr>
        <w:t>s</w:t>
      </w:r>
      <w:r w:rsidR="00C42EEB" w:rsidRPr="00C74013">
        <w:rPr>
          <w:bCs/>
        </w:rPr>
        <w:t xml:space="preserve"> that the lead agent retains a lower fraction of loans and</w:t>
      </w:r>
      <w:r w:rsidR="00C42EEB">
        <w:rPr>
          <w:bCs/>
        </w:rPr>
        <w:t>,</w:t>
      </w:r>
      <w:r w:rsidR="00C42EEB" w:rsidRPr="00C74013">
        <w:rPr>
          <w:bCs/>
        </w:rPr>
        <w:t xml:space="preserve"> therefore</w:t>
      </w:r>
      <w:r w:rsidR="00C42EEB">
        <w:rPr>
          <w:bCs/>
        </w:rPr>
        <w:t>,</w:t>
      </w:r>
      <w:r w:rsidR="00C42EEB" w:rsidRPr="00C74013">
        <w:rPr>
          <w:bCs/>
        </w:rPr>
        <w:t xml:space="preserve"> monitor</w:t>
      </w:r>
      <w:r w:rsidR="009E6E70">
        <w:rPr>
          <w:bCs/>
        </w:rPr>
        <w:t>s</w:t>
      </w:r>
      <w:r w:rsidR="00C42EEB" w:rsidRPr="00C74013">
        <w:rPr>
          <w:bCs/>
        </w:rPr>
        <w:t xml:space="preserve"> </w:t>
      </w:r>
      <w:r w:rsidR="009E6E70">
        <w:rPr>
          <w:bCs/>
        </w:rPr>
        <w:t>fewer</w:t>
      </w:r>
      <w:r w:rsidR="009E6E70" w:rsidRPr="00C74013">
        <w:rPr>
          <w:bCs/>
        </w:rPr>
        <w:t xml:space="preserve"> </w:t>
      </w:r>
      <w:r w:rsidR="00C42EEB" w:rsidRPr="00C74013">
        <w:rPr>
          <w:bCs/>
        </w:rPr>
        <w:t xml:space="preserve">facilities with a longer maturity. This is consistent with </w:t>
      </w:r>
      <w:bookmarkStart w:id="28" w:name="_Hlk56355219"/>
      <w:r w:rsidR="00C42EEB" w:rsidRPr="00C74013">
        <w:rPr>
          <w:rFonts w:eastAsia="DengXian"/>
          <w:lang w:val="en-GB" w:eastAsia="zh-CN"/>
        </w:rPr>
        <w:t xml:space="preserve">Gustafson et al. (2020), who find </w:t>
      </w:r>
      <w:r w:rsidR="00C42EEB" w:rsidRPr="00C74013">
        <w:rPr>
          <w:bCs/>
        </w:rPr>
        <w:t xml:space="preserve">that the lead agent monitors short maturity loans </w:t>
      </w:r>
      <w:r w:rsidR="009E6E70" w:rsidRPr="00C74013">
        <w:rPr>
          <w:bCs/>
        </w:rPr>
        <w:t xml:space="preserve">more frequently </w:t>
      </w:r>
      <w:r w:rsidR="00C42EEB" w:rsidRPr="00C74013">
        <w:rPr>
          <w:bCs/>
        </w:rPr>
        <w:t xml:space="preserve">as </w:t>
      </w:r>
      <w:r w:rsidR="00C42EEB" w:rsidRPr="00C74013">
        <w:rPr>
          <w:rFonts w:eastAsia="DengXian"/>
          <w:lang w:val="en-GB" w:eastAsia="zh-CN"/>
        </w:rPr>
        <w:t>any information gathered via monitoring could be use</w:t>
      </w:r>
      <w:r w:rsidR="009E6E70">
        <w:rPr>
          <w:rFonts w:eastAsia="DengXian"/>
          <w:lang w:val="en-GB" w:eastAsia="zh-CN"/>
        </w:rPr>
        <w:t>d</w:t>
      </w:r>
      <w:r w:rsidR="00C42EEB" w:rsidRPr="00C74013">
        <w:rPr>
          <w:rFonts w:eastAsia="DengXian"/>
          <w:lang w:val="en-GB" w:eastAsia="zh-CN"/>
        </w:rPr>
        <w:t xml:space="preserve"> in subsequent negotiations</w:t>
      </w:r>
      <w:r w:rsidR="00C42EEB" w:rsidRPr="00C74013">
        <w:rPr>
          <w:bCs/>
        </w:rPr>
        <w:t>.</w:t>
      </w:r>
      <w:r w:rsidR="00C42EEB" w:rsidRPr="000460EF">
        <w:rPr>
          <w:bCs/>
        </w:rPr>
        <w:t xml:space="preserve"> </w:t>
      </w:r>
      <w:bookmarkEnd w:id="28"/>
      <w:r w:rsidR="00C42EEB" w:rsidRPr="000460EF">
        <w:rPr>
          <w:bCs/>
        </w:rPr>
        <w:t xml:space="preserve">In addition, </w:t>
      </w:r>
      <w:r w:rsidR="00C42EEB" w:rsidRPr="00587C81">
        <w:rPr>
          <w:bCs/>
        </w:rPr>
        <w:t>we find that the lead agent retains a lower loan fraction</w:t>
      </w:r>
      <w:r w:rsidR="00C42EEB">
        <w:rPr>
          <w:bCs/>
        </w:rPr>
        <w:t xml:space="preserve"> in </w:t>
      </w:r>
      <w:r w:rsidR="009E6E70">
        <w:rPr>
          <w:bCs/>
        </w:rPr>
        <w:t xml:space="preserve">the </w:t>
      </w:r>
      <w:r w:rsidR="00C42EEB">
        <w:rPr>
          <w:bCs/>
        </w:rPr>
        <w:t xml:space="preserve">case </w:t>
      </w:r>
      <w:r w:rsidR="009E6E70">
        <w:rPr>
          <w:bCs/>
        </w:rPr>
        <w:t xml:space="preserve">that </w:t>
      </w:r>
      <w:r w:rsidR="00C42EEB">
        <w:rPr>
          <w:bCs/>
        </w:rPr>
        <w:t>a higher number of lenders participa</w:t>
      </w:r>
      <w:r w:rsidR="009E6E70">
        <w:rPr>
          <w:bCs/>
        </w:rPr>
        <w:t>te</w:t>
      </w:r>
      <w:r w:rsidR="00C42EEB">
        <w:rPr>
          <w:bCs/>
        </w:rPr>
        <w:t xml:space="preserve"> in the facility. </w:t>
      </w:r>
      <w:r w:rsidR="00C42EEB">
        <w:t>Finally</w:t>
      </w:r>
      <w:r w:rsidR="00C42EEB" w:rsidRPr="003A1CC0">
        <w:t xml:space="preserve">, the lead agent retains a larger loan’ share if it is overly exposed to the borrower, as indicated by the positive and significant coefficient of </w:t>
      </w:r>
      <w:r w:rsidR="00C42EEB" w:rsidRPr="00CE7F38">
        <w:rPr>
          <w:i/>
          <w:iCs/>
        </w:rPr>
        <w:t>Loan portfolio exposure</w:t>
      </w:r>
      <w:r w:rsidR="00C42EEB">
        <w:t xml:space="preserve">, </w:t>
      </w:r>
      <w:r w:rsidR="00C42EEB" w:rsidRPr="00470502">
        <w:rPr>
          <w:bCs/>
        </w:rPr>
        <w:t xml:space="preserve">and for larger loans. </w:t>
      </w:r>
    </w:p>
    <w:p w14:paraId="707D0306" w14:textId="77777777" w:rsidR="007E6B7A" w:rsidRPr="001554F3" w:rsidRDefault="007E6B7A" w:rsidP="007E6B7A">
      <w:pPr>
        <w:spacing w:line="480" w:lineRule="auto"/>
        <w:ind w:firstLine="567"/>
        <w:jc w:val="both"/>
      </w:pPr>
      <w:r>
        <w:t>Overall, our</w:t>
      </w:r>
      <w:r w:rsidRPr="001554F3">
        <w:t xml:space="preserve"> findings suggest that the lead agent </w:t>
      </w:r>
      <w:r>
        <w:t>assures</w:t>
      </w:r>
      <w:r w:rsidRPr="001554F3">
        <w:t xml:space="preserve"> the other participants of the </w:t>
      </w:r>
      <w:r w:rsidR="00200653">
        <w:t xml:space="preserve">quality </w:t>
      </w:r>
      <w:r w:rsidRPr="001554F3">
        <w:t xml:space="preserve">of their screening, monitoring and due diligence </w:t>
      </w:r>
      <w:r w:rsidR="00C6492E">
        <w:t>activities</w:t>
      </w:r>
      <w:r>
        <w:t xml:space="preserve"> by retaining a larger loan share in the case of borrowers with </w:t>
      </w:r>
      <w:r w:rsidR="00FC36A3">
        <w:t>large customer</w:t>
      </w:r>
      <w:r w:rsidR="003D1CD4">
        <w:t xml:space="preserve">-supplier </w:t>
      </w:r>
      <w:r w:rsidR="0099693E">
        <w:t>link</w:t>
      </w:r>
      <w:r w:rsidR="003D1CD4">
        <w:t>s</w:t>
      </w:r>
      <w:r>
        <w:t>.</w:t>
      </w:r>
    </w:p>
    <w:p w14:paraId="06E9E3AF" w14:textId="77777777" w:rsidR="007E6B7A" w:rsidRPr="001554F3" w:rsidRDefault="007E6B7A" w:rsidP="007E6B7A">
      <w:pPr>
        <w:autoSpaceDE w:val="0"/>
        <w:autoSpaceDN w:val="0"/>
        <w:adjustRightInd w:val="0"/>
        <w:spacing w:line="480" w:lineRule="auto"/>
        <w:jc w:val="center"/>
        <w:rPr>
          <w:b/>
          <w:i/>
        </w:rPr>
      </w:pPr>
      <w:r w:rsidRPr="001554F3">
        <w:rPr>
          <w:b/>
          <w:i/>
        </w:rPr>
        <w:t xml:space="preserve">[Insert Table </w:t>
      </w:r>
      <w:r>
        <w:rPr>
          <w:b/>
          <w:i/>
        </w:rPr>
        <w:t>2</w:t>
      </w:r>
      <w:r w:rsidRPr="001554F3">
        <w:rPr>
          <w:b/>
          <w:i/>
        </w:rPr>
        <w:t xml:space="preserve"> about here]</w:t>
      </w:r>
    </w:p>
    <w:p w14:paraId="55D076A2" w14:textId="77777777" w:rsidR="00656E58" w:rsidRPr="001554F3" w:rsidRDefault="00656E58" w:rsidP="007E6B7A">
      <w:pPr>
        <w:autoSpaceDE w:val="0"/>
        <w:autoSpaceDN w:val="0"/>
        <w:adjustRightInd w:val="0"/>
        <w:spacing w:line="480" w:lineRule="auto"/>
        <w:jc w:val="center"/>
        <w:rPr>
          <w:b/>
        </w:rPr>
      </w:pPr>
    </w:p>
    <w:p w14:paraId="3963F853" w14:textId="77777777" w:rsidR="007E6B7A" w:rsidRPr="00DC67F3" w:rsidRDefault="005F488C" w:rsidP="00551D0C">
      <w:pPr>
        <w:pStyle w:val="ListParagraph"/>
        <w:autoSpaceDE w:val="0"/>
        <w:autoSpaceDN w:val="0"/>
        <w:adjustRightInd w:val="0"/>
        <w:spacing w:line="480" w:lineRule="auto"/>
        <w:ind w:left="0"/>
        <w:rPr>
          <w:b/>
          <w:color w:val="000000"/>
        </w:rPr>
      </w:pPr>
      <w:r>
        <w:rPr>
          <w:b/>
          <w:color w:val="000000"/>
        </w:rPr>
        <w:t xml:space="preserve">4.2 </w:t>
      </w:r>
      <w:r w:rsidR="007E6B7A" w:rsidRPr="00DC67F3">
        <w:rPr>
          <w:b/>
          <w:color w:val="000000"/>
        </w:rPr>
        <w:t>Pricing and conditions of bank loans</w:t>
      </w:r>
      <w:r w:rsidR="007E6B7A" w:rsidRPr="00DC67F3">
        <w:rPr>
          <w:b/>
          <w:color w:val="000000"/>
        </w:rPr>
        <w:tab/>
      </w:r>
    </w:p>
    <w:p w14:paraId="4B3A48F7" w14:textId="77777777" w:rsidR="007E6B7A" w:rsidRPr="00FC5526" w:rsidRDefault="007E6B7A" w:rsidP="00551D0C">
      <w:pPr>
        <w:widowControl w:val="0"/>
        <w:autoSpaceDE w:val="0"/>
        <w:autoSpaceDN w:val="0"/>
        <w:adjustRightInd w:val="0"/>
        <w:spacing w:line="480" w:lineRule="auto"/>
        <w:jc w:val="both"/>
      </w:pPr>
      <w:r>
        <w:t xml:space="preserve">Following </w:t>
      </w:r>
      <w:r w:rsidR="00200653">
        <w:t xml:space="preserve">the </w:t>
      </w:r>
      <w:r w:rsidRPr="001554F3">
        <w:t>analy</w:t>
      </w:r>
      <w:r>
        <w:t>sis</w:t>
      </w:r>
      <w:r w:rsidRPr="001554F3">
        <w:t xml:space="preserve"> </w:t>
      </w:r>
      <w:r w:rsidR="00E65701">
        <w:t xml:space="preserve">on </w:t>
      </w:r>
      <w:r w:rsidR="00EB4A47">
        <w:t xml:space="preserve">the structure of </w:t>
      </w:r>
      <w:r w:rsidRPr="001554F3">
        <w:t>the syndicated loan</w:t>
      </w:r>
      <w:r w:rsidR="00551D0C">
        <w:t>s</w:t>
      </w:r>
      <w:r w:rsidRPr="001554F3">
        <w:t>, we turn our attention to the</w:t>
      </w:r>
      <w:r w:rsidR="00551D0C">
        <w:t>ir</w:t>
      </w:r>
      <w:r w:rsidR="003042A9">
        <w:t xml:space="preserve"> </w:t>
      </w:r>
      <w:r w:rsidR="009466CA">
        <w:t>pricing</w:t>
      </w:r>
      <w:r w:rsidRPr="001554F3">
        <w:t xml:space="preserve"> </w:t>
      </w:r>
      <w:r w:rsidR="009466CA">
        <w:t>and contractual provisions</w:t>
      </w:r>
      <w:r w:rsidRPr="001554F3">
        <w:t xml:space="preserve">. In this subsection, we attempt to disentangle the </w:t>
      </w:r>
      <w:r w:rsidR="00DC7C53">
        <w:t xml:space="preserve">indirect </w:t>
      </w:r>
      <w:r w:rsidRPr="001554F3">
        <w:t xml:space="preserve">effect of the syndicate structure on loan pricing from the </w:t>
      </w:r>
      <w:r w:rsidR="00EB4A47">
        <w:t xml:space="preserve">direct </w:t>
      </w:r>
      <w:r w:rsidRPr="001554F3">
        <w:t xml:space="preserve">effect of </w:t>
      </w:r>
      <w:r w:rsidR="0043098D">
        <w:t xml:space="preserve">large </w:t>
      </w:r>
      <w:r w:rsidR="00C2325A">
        <w:t>customer</w:t>
      </w:r>
      <w:r w:rsidR="00DC7C53">
        <w:t xml:space="preserve">-supplier </w:t>
      </w:r>
      <w:r w:rsidR="0099693E">
        <w:t>link</w:t>
      </w:r>
      <w:r w:rsidR="00DC7C53">
        <w:t>s</w:t>
      </w:r>
      <w:r w:rsidR="003D1CD4">
        <w:t xml:space="preserve"> (</w:t>
      </w:r>
      <w:r w:rsidR="00B7463D">
        <w:t>see H</w:t>
      </w:r>
      <w:r w:rsidR="00DC67F3">
        <w:t>2</w:t>
      </w:r>
      <w:r w:rsidR="00DC7C53">
        <w:t>)</w:t>
      </w:r>
      <w:r w:rsidRPr="001554F3">
        <w:t>. The higher mark</w:t>
      </w:r>
      <w:r>
        <w:t>-</w:t>
      </w:r>
      <w:r w:rsidRPr="001554F3">
        <w:t xml:space="preserve">ups associated with </w:t>
      </w:r>
      <w:r w:rsidR="00C2325A">
        <w:t>customer</w:t>
      </w:r>
      <w:r w:rsidR="00DC7C53">
        <w:t xml:space="preserve">-supplier </w:t>
      </w:r>
      <w:r w:rsidR="0099693E">
        <w:t>link</w:t>
      </w:r>
      <w:r w:rsidR="00DC7C53">
        <w:t xml:space="preserve">s </w:t>
      </w:r>
      <w:r w:rsidRPr="001554F3">
        <w:t xml:space="preserve">might be explained by a specific structure of the syndicate </w:t>
      </w:r>
      <w:r w:rsidR="009466CA">
        <w:t>as well as by</w:t>
      </w:r>
      <w:r w:rsidRPr="001554F3">
        <w:t xml:space="preserve"> the </w:t>
      </w:r>
      <w:r w:rsidR="00C2325A">
        <w:t>customer</w:t>
      </w:r>
      <w:r w:rsidR="00DC7C53">
        <w:t xml:space="preserve">-supplier </w:t>
      </w:r>
      <w:r w:rsidR="0099693E">
        <w:t>link</w:t>
      </w:r>
      <w:r w:rsidR="00DC7C53">
        <w:t xml:space="preserve">s </w:t>
      </w:r>
      <w:r w:rsidRPr="001554F3">
        <w:rPr>
          <w:i/>
        </w:rPr>
        <w:t>per se</w:t>
      </w:r>
      <w:r w:rsidRPr="001554F3">
        <w:t xml:space="preserve">. To this end, we follow Ivashina (2009) and instrument the lead </w:t>
      </w:r>
      <w:r>
        <w:t>agent</w:t>
      </w:r>
      <w:r w:rsidR="00763A6E">
        <w:t xml:space="preserve">’s loan </w:t>
      </w:r>
      <w:r w:rsidRPr="001554F3">
        <w:t xml:space="preserve">share to examine whether the </w:t>
      </w:r>
      <w:r w:rsidR="0043098D">
        <w:t xml:space="preserve">large </w:t>
      </w:r>
      <w:r w:rsidR="00C2325A">
        <w:t>customer</w:t>
      </w:r>
      <w:r w:rsidR="004F55C9">
        <w:t>-supplier links affect</w:t>
      </w:r>
      <w:r w:rsidRPr="001554F3">
        <w:t xml:space="preserve"> the conditions of the loan directly or only via its effects on the syndicate structure. </w:t>
      </w:r>
      <w:r>
        <w:rPr>
          <w:szCs w:val="20"/>
        </w:rPr>
        <w:t>W</w:t>
      </w:r>
      <w:r w:rsidRPr="001554F3">
        <w:rPr>
          <w:szCs w:val="20"/>
        </w:rPr>
        <w:t>e estimate the impact of the</w:t>
      </w:r>
      <w:r w:rsidR="00E65701">
        <w:rPr>
          <w:szCs w:val="20"/>
        </w:rPr>
        <w:t xml:space="preserve"> large</w:t>
      </w:r>
      <w:r w:rsidRPr="001554F3">
        <w:rPr>
          <w:szCs w:val="20"/>
        </w:rPr>
        <w:t xml:space="preserve"> </w:t>
      </w:r>
      <w:r w:rsidR="00C2325A">
        <w:t>customer</w:t>
      </w:r>
      <w:r w:rsidR="00DC7C53">
        <w:t xml:space="preserve">-supplier </w:t>
      </w:r>
      <w:r w:rsidRPr="001554F3">
        <w:rPr>
          <w:szCs w:val="20"/>
        </w:rPr>
        <w:t>relationship on loan pricing using Eq</w:t>
      </w:r>
      <w:r w:rsidR="00763A6E">
        <w:rPr>
          <w:szCs w:val="20"/>
        </w:rPr>
        <w:t>.</w:t>
      </w:r>
      <w:r w:rsidR="00B7463D">
        <w:rPr>
          <w:szCs w:val="20"/>
        </w:rPr>
        <w:t xml:space="preserve"> </w:t>
      </w:r>
      <w:r>
        <w:rPr>
          <w:szCs w:val="20"/>
        </w:rPr>
        <w:t>(2)</w:t>
      </w:r>
      <w:r w:rsidRPr="001554F3">
        <w:rPr>
          <w:szCs w:val="20"/>
        </w:rPr>
        <w:t xml:space="preserve">. </w:t>
      </w:r>
      <w:r w:rsidRPr="001554F3">
        <w:t xml:space="preserve">To account for the impact of syndicate structure on the loan pricing, we run a two-stage least squares (2SLS) model to estimate the effect of diversification effect on </w:t>
      </w:r>
      <w:r>
        <w:t xml:space="preserve">the </w:t>
      </w:r>
      <w:r w:rsidRPr="001554F3">
        <w:t xml:space="preserve">lead agent’s required spread. </w:t>
      </w:r>
    </w:p>
    <w:p w14:paraId="160E0A25" w14:textId="77777777" w:rsidR="007E6B7A" w:rsidRDefault="007E6B7A" w:rsidP="007E6B7A">
      <w:pPr>
        <w:autoSpaceDE w:val="0"/>
        <w:autoSpaceDN w:val="0"/>
        <w:adjustRightInd w:val="0"/>
        <w:spacing w:line="480" w:lineRule="auto"/>
        <w:ind w:firstLine="567"/>
        <w:jc w:val="both"/>
        <w:rPr>
          <w:szCs w:val="20"/>
        </w:rPr>
      </w:pPr>
      <w:r w:rsidRPr="001554F3">
        <w:t xml:space="preserve">Table </w:t>
      </w:r>
      <w:r>
        <w:t>3</w:t>
      </w:r>
      <w:r w:rsidRPr="001554F3">
        <w:t xml:space="preserve"> reports </w:t>
      </w:r>
      <w:r w:rsidR="00CE7F38">
        <w:t>the estimates</w:t>
      </w:r>
      <w:r w:rsidRPr="001554F3">
        <w:t xml:space="preserve"> of the </w:t>
      </w:r>
      <w:r>
        <w:t>2SLS</w:t>
      </w:r>
      <w:r w:rsidRPr="001554F3">
        <w:t xml:space="preserve"> model</w:t>
      </w:r>
      <w:r w:rsidR="00A35990">
        <w:t>.</w:t>
      </w:r>
      <w:r w:rsidR="00200653">
        <w:t xml:space="preserve"> </w:t>
      </w:r>
      <w:r w:rsidR="00551D0C">
        <w:t xml:space="preserve">We employ the </w:t>
      </w:r>
      <w:r w:rsidR="00551D0C" w:rsidRPr="00551D0C">
        <w:rPr>
          <w:i/>
          <w:iCs/>
        </w:rPr>
        <w:t>AISD</w:t>
      </w:r>
      <w:r w:rsidR="00551D0C">
        <w:t xml:space="preserve"> as </w:t>
      </w:r>
      <w:r w:rsidR="00F50A2A">
        <w:t xml:space="preserve">the </w:t>
      </w:r>
      <w:r w:rsidR="00551D0C">
        <w:t xml:space="preserve">dependent variable in Panel A. </w:t>
      </w:r>
      <w:r>
        <w:t xml:space="preserve">The results of the first-stage model </w:t>
      </w:r>
      <w:r w:rsidR="00A35990">
        <w:t xml:space="preserve">where the dependent variable is the lead agent’s loan share </w:t>
      </w:r>
      <w:r>
        <w:t>closely mirror those in Table 2 as expected</w:t>
      </w:r>
      <w:r w:rsidR="00551D0C">
        <w:t xml:space="preserve"> (see Columns 1, 3, and 5)</w:t>
      </w:r>
      <w:r>
        <w:t>.</w:t>
      </w:r>
      <w:r w:rsidR="00EB4A47">
        <w:rPr>
          <w:rStyle w:val="FootnoteReference"/>
        </w:rPr>
        <w:footnoteReference w:id="15"/>
      </w:r>
      <w:r>
        <w:t xml:space="preserve"> </w:t>
      </w:r>
      <w:r w:rsidR="00EB4A47">
        <w:t xml:space="preserve">The second-stage models of </w:t>
      </w:r>
      <w:r>
        <w:t xml:space="preserve">Table 3 </w:t>
      </w:r>
      <w:r w:rsidR="00EB4A47">
        <w:t xml:space="preserve">(i.e. Columns 2, 4, and 6) </w:t>
      </w:r>
      <w:r>
        <w:t xml:space="preserve">show </w:t>
      </w:r>
      <w:r w:rsidRPr="001554F3">
        <w:t xml:space="preserve">that the share retained by the lead bank exerts a positive and significant effect </w:t>
      </w:r>
      <w:r w:rsidRPr="00AB7FD0">
        <w:t xml:space="preserve">on the spread required by the lead bank. This result provide support to </w:t>
      </w:r>
      <w:r w:rsidR="000229F2" w:rsidRPr="00763A6E">
        <w:rPr>
          <w:iCs/>
        </w:rPr>
        <w:t>H</w:t>
      </w:r>
      <w:r w:rsidR="00DC67F3" w:rsidRPr="00763A6E">
        <w:rPr>
          <w:iCs/>
        </w:rPr>
        <w:t>2</w:t>
      </w:r>
      <w:r w:rsidR="00A35990">
        <w:t xml:space="preserve"> which states that </w:t>
      </w:r>
      <w:r w:rsidR="00A35990" w:rsidRPr="00200653">
        <w:t>the lead agent imposes</w:t>
      </w:r>
      <w:r w:rsidR="00A35990" w:rsidRPr="00A35990">
        <w:t xml:space="preserve"> </w:t>
      </w:r>
      <w:r w:rsidR="00A35990" w:rsidRPr="00200653">
        <w:t>costlier, stricter loan contract terms because they retain larger participation shares (indirect effect) rather than dealing with borrowers with customer-supplier links (direct effect).</w:t>
      </w:r>
      <w:r w:rsidRPr="00AB7FD0">
        <w:t xml:space="preserve"> In contrast, we notice</w:t>
      </w:r>
      <w:r w:rsidRPr="001554F3">
        <w:t xml:space="preserve"> that </w:t>
      </w:r>
      <w:r w:rsidR="004A7C57">
        <w:t xml:space="preserve">the variables capturing the direct effect of the </w:t>
      </w:r>
      <w:r w:rsidR="0043098D">
        <w:t xml:space="preserve">large </w:t>
      </w:r>
      <w:r w:rsidR="00C2325A">
        <w:t>customer</w:t>
      </w:r>
      <w:r w:rsidR="004F55C9">
        <w:t xml:space="preserve">-supplier </w:t>
      </w:r>
      <w:r w:rsidR="004A7C57">
        <w:t>relationship on pricing</w:t>
      </w:r>
      <w:r w:rsidR="00F50A2A">
        <w:t xml:space="preserve"> –</w:t>
      </w:r>
      <w:r w:rsidR="004A7C57">
        <w:t xml:space="preserve"> i.e. </w:t>
      </w:r>
      <w:r w:rsidR="00DC7C53" w:rsidRPr="00DC7C53">
        <w:rPr>
          <w:i/>
        </w:rPr>
        <w:t xml:space="preserve">Large CS </w:t>
      </w:r>
      <w:r w:rsidR="0099693E">
        <w:rPr>
          <w:i/>
        </w:rPr>
        <w:t>link</w:t>
      </w:r>
      <w:r w:rsidR="00DC7C53" w:rsidRPr="00DC7C53">
        <w:rPr>
          <w:i/>
        </w:rPr>
        <w:t>s</w:t>
      </w:r>
      <w:r w:rsidR="00DC7C53" w:rsidRPr="001554F3">
        <w:t xml:space="preserve">, </w:t>
      </w:r>
      <w:r w:rsidR="00DB5899">
        <w:rPr>
          <w:i/>
          <w:iCs/>
        </w:rPr>
        <w:t xml:space="preserve">Length large CS </w:t>
      </w:r>
      <w:r w:rsidR="0099693E">
        <w:rPr>
          <w:i/>
          <w:iCs/>
        </w:rPr>
        <w:t>link</w:t>
      </w:r>
      <w:r w:rsidR="00DB5899">
        <w:rPr>
          <w:i/>
          <w:iCs/>
        </w:rPr>
        <w:t>s</w:t>
      </w:r>
      <w:r w:rsidR="00DC7C53">
        <w:t xml:space="preserve"> </w:t>
      </w:r>
      <w:r>
        <w:t xml:space="preserve">and the squared </w:t>
      </w:r>
      <w:r w:rsidR="00DB5899">
        <w:rPr>
          <w:i/>
          <w:iCs/>
        </w:rPr>
        <w:t xml:space="preserve">Length large CS </w:t>
      </w:r>
      <w:r w:rsidR="0099693E">
        <w:rPr>
          <w:i/>
          <w:iCs/>
        </w:rPr>
        <w:t>link</w:t>
      </w:r>
      <w:r w:rsidR="00DB5899">
        <w:rPr>
          <w:i/>
          <w:iCs/>
        </w:rPr>
        <w:t>s</w:t>
      </w:r>
      <w:r w:rsidR="00DC7C53">
        <w:t xml:space="preserve"> </w:t>
      </w:r>
      <w:r>
        <w:t>term</w:t>
      </w:r>
      <w:r w:rsidR="00F50A2A">
        <w:t xml:space="preserve"> –</w:t>
      </w:r>
      <w:r>
        <w:t xml:space="preserve"> are</w:t>
      </w:r>
      <w:r w:rsidRPr="001554F3">
        <w:t xml:space="preserve"> not significant in the second-stage regression. </w:t>
      </w:r>
      <w:r>
        <w:t>Therefore,</w:t>
      </w:r>
      <w:r w:rsidRPr="001554F3">
        <w:t xml:space="preserve"> </w:t>
      </w:r>
      <w:r w:rsidR="004A7C57">
        <w:t xml:space="preserve">we do not observe a direct effect on </w:t>
      </w:r>
      <w:r w:rsidR="004A7C57" w:rsidRPr="00350EBC">
        <w:rPr>
          <w:i/>
          <w:iCs/>
        </w:rPr>
        <w:t>AISD</w:t>
      </w:r>
      <w:r w:rsidR="004A7C57">
        <w:t xml:space="preserve"> </w:t>
      </w:r>
      <w:r w:rsidRPr="001554F3">
        <w:t xml:space="preserve">once we account for the endogenous relationship between loan pricing and loan structure, which is also affected by </w:t>
      </w:r>
      <w:r w:rsidR="00DC7C53" w:rsidRPr="00DC7C53">
        <w:rPr>
          <w:i/>
        </w:rPr>
        <w:t xml:space="preserve">Large CS </w:t>
      </w:r>
      <w:r w:rsidR="0099693E">
        <w:rPr>
          <w:i/>
        </w:rPr>
        <w:t>link</w:t>
      </w:r>
      <w:r w:rsidR="00DC7C53" w:rsidRPr="00DC7C53">
        <w:rPr>
          <w:i/>
        </w:rPr>
        <w:t>s</w:t>
      </w:r>
      <w:r w:rsidRPr="001554F3">
        <w:t xml:space="preserve">. </w:t>
      </w:r>
      <w:r w:rsidR="00275AA3">
        <w:t>O</w:t>
      </w:r>
      <w:r w:rsidRPr="001554F3">
        <w:t xml:space="preserve">ur results suggest that banks require higher </w:t>
      </w:r>
      <w:r>
        <w:t>pricing</w:t>
      </w:r>
      <w:r w:rsidRPr="001554F3">
        <w:t xml:space="preserve"> because the lead agent retains a higher share </w:t>
      </w:r>
      <w:r>
        <w:t>for b</w:t>
      </w:r>
      <w:r w:rsidRPr="001554F3">
        <w:t xml:space="preserve">orrowers with </w:t>
      </w:r>
      <w:r w:rsidR="0043098D">
        <w:t xml:space="preserve">large </w:t>
      </w:r>
      <w:r w:rsidR="00C2325A">
        <w:t>customer</w:t>
      </w:r>
      <w:r w:rsidR="00DC7C53">
        <w:t>-supplier</w:t>
      </w:r>
      <w:r w:rsidRPr="001554F3">
        <w:t xml:space="preserve"> participation. To recover the monitoring costs, the lead agent applies a higher mark</w:t>
      </w:r>
      <w:r>
        <w:t>-</w:t>
      </w:r>
      <w:r w:rsidRPr="001554F3">
        <w:t>up that is</w:t>
      </w:r>
      <w:r>
        <w:t>,</w:t>
      </w:r>
      <w:r w:rsidRPr="001554F3">
        <w:t xml:space="preserve"> however</w:t>
      </w:r>
      <w:r w:rsidRPr="00B76115">
        <w:t>, not associ</w:t>
      </w:r>
      <w:r w:rsidRPr="00D01339">
        <w:t>ated with the</w:t>
      </w:r>
      <w:r w:rsidRPr="003A6014">
        <w:t xml:space="preserve"> </w:t>
      </w:r>
      <w:r w:rsidR="0043098D">
        <w:t xml:space="preserve">large </w:t>
      </w:r>
      <w:r w:rsidR="00C2325A">
        <w:t>customer</w:t>
      </w:r>
      <w:r w:rsidR="004F55C9" w:rsidRPr="00556837">
        <w:t xml:space="preserve">-supplier links </w:t>
      </w:r>
      <w:r w:rsidRPr="00556837">
        <w:rPr>
          <w:i/>
        </w:rPr>
        <w:t>per se</w:t>
      </w:r>
      <w:r w:rsidRPr="00556837">
        <w:t xml:space="preserve">. We further extend this analysis by considering </w:t>
      </w:r>
      <w:r w:rsidR="00ED0343" w:rsidRPr="00667657">
        <w:rPr>
          <w:i/>
          <w:iCs/>
        </w:rPr>
        <w:t>TCB</w:t>
      </w:r>
      <w:r w:rsidR="00A35990">
        <w:rPr>
          <w:i/>
          <w:iCs/>
        </w:rPr>
        <w:t xml:space="preserve"> </w:t>
      </w:r>
      <w:r w:rsidR="00A35990" w:rsidRPr="00C74013">
        <w:t>as dependent variable instead of</w:t>
      </w:r>
      <w:r w:rsidR="00A35990">
        <w:rPr>
          <w:i/>
          <w:iCs/>
        </w:rPr>
        <w:t xml:space="preserve"> </w:t>
      </w:r>
      <w:r w:rsidR="00A35990" w:rsidRPr="00A35990">
        <w:rPr>
          <w:i/>
          <w:iCs/>
        </w:rPr>
        <w:t>AISD</w:t>
      </w:r>
      <w:r w:rsidRPr="00667657">
        <w:rPr>
          <w:szCs w:val="20"/>
        </w:rPr>
        <w:t xml:space="preserve">. </w:t>
      </w:r>
      <w:r w:rsidR="00551D0C">
        <w:rPr>
          <w:szCs w:val="20"/>
        </w:rPr>
        <w:t xml:space="preserve">Results are shown in Panel B. </w:t>
      </w:r>
      <w:r w:rsidRPr="00667657">
        <w:rPr>
          <w:szCs w:val="20"/>
        </w:rPr>
        <w:t xml:space="preserve">Again, we find evidence that the lead agent’s loan share drives the loan pricing, while </w:t>
      </w:r>
      <w:r w:rsidR="00771256" w:rsidRPr="00CE7D45">
        <w:rPr>
          <w:i/>
          <w:iCs/>
        </w:rPr>
        <w:t xml:space="preserve">Large CS </w:t>
      </w:r>
      <w:r w:rsidR="0099693E">
        <w:rPr>
          <w:i/>
          <w:iCs/>
        </w:rPr>
        <w:t>link</w:t>
      </w:r>
      <w:r w:rsidR="00771256" w:rsidRPr="00CE7D45">
        <w:rPr>
          <w:i/>
          <w:iCs/>
        </w:rPr>
        <w:t>s</w:t>
      </w:r>
      <w:r w:rsidR="00771256" w:rsidRPr="00CE7D45">
        <w:t xml:space="preserve"> and </w:t>
      </w:r>
      <w:r w:rsidR="00DB5899" w:rsidRPr="00CE7D45">
        <w:rPr>
          <w:i/>
          <w:iCs/>
        </w:rPr>
        <w:t xml:space="preserve">Length large CS </w:t>
      </w:r>
      <w:r w:rsidR="0099693E">
        <w:rPr>
          <w:i/>
          <w:iCs/>
        </w:rPr>
        <w:t>link</w:t>
      </w:r>
      <w:r w:rsidR="00DB5899" w:rsidRPr="00CE7D45">
        <w:rPr>
          <w:i/>
          <w:iCs/>
        </w:rPr>
        <w:t>s</w:t>
      </w:r>
      <w:r w:rsidR="00DC7C53" w:rsidRPr="00B76115">
        <w:rPr>
          <w:szCs w:val="20"/>
        </w:rPr>
        <w:t xml:space="preserve"> </w:t>
      </w:r>
      <w:r w:rsidRPr="00B76115">
        <w:rPr>
          <w:szCs w:val="20"/>
        </w:rPr>
        <w:t>do</w:t>
      </w:r>
      <w:r w:rsidR="009E6E70">
        <w:rPr>
          <w:szCs w:val="20"/>
        </w:rPr>
        <w:t xml:space="preserve"> </w:t>
      </w:r>
      <w:r w:rsidRPr="00B76115">
        <w:rPr>
          <w:szCs w:val="20"/>
        </w:rPr>
        <w:t>not produce any sign</w:t>
      </w:r>
      <w:r w:rsidRPr="00D01339">
        <w:rPr>
          <w:szCs w:val="20"/>
        </w:rPr>
        <w:t>ificant effect on loan pricing.</w:t>
      </w:r>
      <w:r w:rsidRPr="001554F3">
        <w:rPr>
          <w:szCs w:val="20"/>
        </w:rPr>
        <w:t xml:space="preserve"> </w:t>
      </w:r>
    </w:p>
    <w:p w14:paraId="33A7DBD3" w14:textId="77777777" w:rsidR="007E6B7A" w:rsidRPr="00B963EB" w:rsidRDefault="007E6B7A" w:rsidP="00CA37D9">
      <w:pPr>
        <w:autoSpaceDE w:val="0"/>
        <w:autoSpaceDN w:val="0"/>
        <w:adjustRightInd w:val="0"/>
        <w:spacing w:line="480" w:lineRule="auto"/>
        <w:jc w:val="center"/>
        <w:rPr>
          <w:b/>
          <w:i/>
        </w:rPr>
      </w:pPr>
      <w:r w:rsidRPr="00D01339">
        <w:rPr>
          <w:b/>
          <w:i/>
        </w:rPr>
        <w:t>[Insert T</w:t>
      </w:r>
      <w:r w:rsidRPr="00556837">
        <w:rPr>
          <w:b/>
          <w:i/>
        </w:rPr>
        <w:t xml:space="preserve">able </w:t>
      </w:r>
      <w:r w:rsidRPr="00667657">
        <w:rPr>
          <w:b/>
          <w:i/>
        </w:rPr>
        <w:t>3</w:t>
      </w:r>
      <w:r w:rsidRPr="00B963EB">
        <w:rPr>
          <w:b/>
          <w:i/>
        </w:rPr>
        <w:t xml:space="preserve"> about here]</w:t>
      </w:r>
    </w:p>
    <w:p w14:paraId="49A8F1D6" w14:textId="77777777" w:rsidR="007E6B7A" w:rsidRPr="00B963EB" w:rsidRDefault="000460EF" w:rsidP="007E6B7A">
      <w:pPr>
        <w:widowControl w:val="0"/>
        <w:tabs>
          <w:tab w:val="left" w:pos="2952"/>
        </w:tabs>
        <w:autoSpaceDE w:val="0"/>
        <w:autoSpaceDN w:val="0"/>
        <w:adjustRightInd w:val="0"/>
        <w:spacing w:line="480" w:lineRule="auto"/>
        <w:ind w:firstLine="567"/>
        <w:jc w:val="both"/>
        <w:rPr>
          <w:szCs w:val="20"/>
        </w:rPr>
      </w:pPr>
      <w:r>
        <w:t xml:space="preserve">In Table 4, </w:t>
      </w:r>
      <w:r w:rsidR="007E6B7A" w:rsidRPr="00102233">
        <w:t xml:space="preserve">we consider whether </w:t>
      </w:r>
      <w:r w:rsidR="00771256" w:rsidRPr="00CE7D45">
        <w:rPr>
          <w:i/>
          <w:iCs/>
        </w:rPr>
        <w:t xml:space="preserve">Large CS </w:t>
      </w:r>
      <w:r w:rsidR="0099693E">
        <w:rPr>
          <w:i/>
          <w:iCs/>
        </w:rPr>
        <w:t>link</w:t>
      </w:r>
      <w:r w:rsidR="00771256" w:rsidRPr="00CE7D45">
        <w:rPr>
          <w:i/>
          <w:iCs/>
        </w:rPr>
        <w:t>s</w:t>
      </w:r>
      <w:r w:rsidR="00771256" w:rsidRPr="00CE7D45">
        <w:t xml:space="preserve"> and </w:t>
      </w:r>
      <w:r w:rsidR="00DB5899" w:rsidRPr="00CE7D45">
        <w:rPr>
          <w:i/>
          <w:iCs/>
        </w:rPr>
        <w:t xml:space="preserve">Length large CS </w:t>
      </w:r>
      <w:r w:rsidR="0099693E">
        <w:rPr>
          <w:i/>
          <w:iCs/>
        </w:rPr>
        <w:t>link</w:t>
      </w:r>
      <w:r w:rsidR="00DB5899" w:rsidRPr="00CE7D45">
        <w:rPr>
          <w:i/>
          <w:iCs/>
        </w:rPr>
        <w:t>s</w:t>
      </w:r>
      <w:r w:rsidR="00771256" w:rsidRPr="00D01339">
        <w:rPr>
          <w:szCs w:val="20"/>
        </w:rPr>
        <w:t xml:space="preserve"> </w:t>
      </w:r>
      <w:r w:rsidR="007E6B7A" w:rsidRPr="00556837">
        <w:rPr>
          <w:szCs w:val="20"/>
        </w:rPr>
        <w:t>affect the number of restrictive covenants imposed by the lender in the loan contract. Consistent with the diversification effect, we should obser</w:t>
      </w:r>
      <w:r w:rsidR="007E6B7A" w:rsidRPr="00667657">
        <w:rPr>
          <w:szCs w:val="20"/>
        </w:rPr>
        <w:t>ve that the lead agent mi</w:t>
      </w:r>
      <w:r w:rsidR="007E6B7A" w:rsidRPr="00B963EB">
        <w:rPr>
          <w:szCs w:val="20"/>
        </w:rPr>
        <w:t>ght demand a higher number</w:t>
      </w:r>
      <w:r w:rsidR="007E6B7A" w:rsidRPr="00B963EB">
        <w:rPr>
          <w:rFonts w:eastAsia="DengXian"/>
          <w:b/>
          <w:bCs/>
          <w:iCs/>
          <w:lang w:eastAsia="zh-CN"/>
        </w:rPr>
        <w:t xml:space="preserve"> </w:t>
      </w:r>
      <w:r w:rsidR="007E6B7A" w:rsidRPr="00102233">
        <w:rPr>
          <w:rFonts w:eastAsia="DengXian"/>
          <w:bCs/>
          <w:iCs/>
          <w:lang w:eastAsia="zh-CN"/>
        </w:rPr>
        <w:t>of restrictive covenants</w:t>
      </w:r>
      <w:r w:rsidR="007E6B7A" w:rsidRPr="00533632">
        <w:rPr>
          <w:szCs w:val="20"/>
        </w:rPr>
        <w:t xml:space="preserve"> for holding a higher</w:t>
      </w:r>
      <w:r w:rsidR="0063411D" w:rsidRPr="00B76115">
        <w:rPr>
          <w:szCs w:val="20"/>
        </w:rPr>
        <w:t xml:space="preserve"> loan</w:t>
      </w:r>
      <w:r w:rsidR="007E6B7A" w:rsidRPr="00B76115">
        <w:rPr>
          <w:szCs w:val="20"/>
        </w:rPr>
        <w:t xml:space="preserve"> share, while the coefficient</w:t>
      </w:r>
      <w:r w:rsidR="00763A6E">
        <w:rPr>
          <w:szCs w:val="20"/>
        </w:rPr>
        <w:t>s</w:t>
      </w:r>
      <w:r w:rsidR="007E6B7A" w:rsidRPr="00B76115">
        <w:rPr>
          <w:szCs w:val="20"/>
        </w:rPr>
        <w:t xml:space="preserve"> of </w:t>
      </w:r>
      <w:r w:rsidR="00771256" w:rsidRPr="00CE7D45">
        <w:rPr>
          <w:i/>
          <w:iCs/>
        </w:rPr>
        <w:t xml:space="preserve">Large CS </w:t>
      </w:r>
      <w:r w:rsidR="0099693E">
        <w:rPr>
          <w:i/>
          <w:iCs/>
        </w:rPr>
        <w:t>link</w:t>
      </w:r>
      <w:r w:rsidR="00771256" w:rsidRPr="00CE7D45">
        <w:rPr>
          <w:i/>
          <w:iCs/>
        </w:rPr>
        <w:t>s</w:t>
      </w:r>
      <w:r w:rsidR="00771256" w:rsidRPr="00CE7D45">
        <w:t xml:space="preserve"> and </w:t>
      </w:r>
      <w:r w:rsidR="00DB5899" w:rsidRPr="00CE7D45">
        <w:rPr>
          <w:i/>
          <w:iCs/>
        </w:rPr>
        <w:t xml:space="preserve">Length large CS </w:t>
      </w:r>
      <w:r w:rsidR="0099693E">
        <w:rPr>
          <w:i/>
          <w:iCs/>
        </w:rPr>
        <w:t>link</w:t>
      </w:r>
      <w:r w:rsidR="00DB5899" w:rsidRPr="00CE7D45">
        <w:rPr>
          <w:i/>
          <w:iCs/>
        </w:rPr>
        <w:t>s</w:t>
      </w:r>
      <w:r w:rsidR="007E6B7A" w:rsidRPr="00D01339">
        <w:rPr>
          <w:szCs w:val="20"/>
        </w:rPr>
        <w:t xml:space="preserve"> should </w:t>
      </w:r>
      <w:r w:rsidR="007E6B7A" w:rsidRPr="00556837">
        <w:rPr>
          <w:szCs w:val="20"/>
        </w:rPr>
        <w:t xml:space="preserve">not </w:t>
      </w:r>
      <w:r w:rsidR="007E6B7A" w:rsidRPr="00667657">
        <w:rPr>
          <w:szCs w:val="20"/>
        </w:rPr>
        <w:t xml:space="preserve">be significant. </w:t>
      </w:r>
    </w:p>
    <w:p w14:paraId="715283D1" w14:textId="77777777" w:rsidR="00551D0C" w:rsidRDefault="007E6B7A" w:rsidP="007E6B7A">
      <w:pPr>
        <w:widowControl w:val="0"/>
        <w:tabs>
          <w:tab w:val="left" w:pos="2952"/>
        </w:tabs>
        <w:autoSpaceDE w:val="0"/>
        <w:autoSpaceDN w:val="0"/>
        <w:adjustRightInd w:val="0"/>
        <w:spacing w:line="480" w:lineRule="auto"/>
        <w:ind w:firstLine="567"/>
        <w:jc w:val="both"/>
      </w:pPr>
      <w:r w:rsidRPr="00B963EB">
        <w:rPr>
          <w:szCs w:val="20"/>
        </w:rPr>
        <w:t>For this analysis, we use Eq</w:t>
      </w:r>
      <w:r w:rsidR="00763A6E">
        <w:rPr>
          <w:szCs w:val="20"/>
        </w:rPr>
        <w:t>.</w:t>
      </w:r>
      <w:r w:rsidRPr="00B76115">
        <w:rPr>
          <w:szCs w:val="20"/>
        </w:rPr>
        <w:t xml:space="preserve"> </w:t>
      </w:r>
      <w:r w:rsidR="00F50A2A">
        <w:rPr>
          <w:szCs w:val="20"/>
        </w:rPr>
        <w:t>(</w:t>
      </w:r>
      <w:r w:rsidRPr="00B76115">
        <w:rPr>
          <w:szCs w:val="20"/>
        </w:rPr>
        <w:t>2</w:t>
      </w:r>
      <w:r w:rsidR="00F50A2A">
        <w:rPr>
          <w:szCs w:val="20"/>
        </w:rPr>
        <w:t>)</w:t>
      </w:r>
      <w:r w:rsidRPr="00B76115">
        <w:rPr>
          <w:szCs w:val="20"/>
        </w:rPr>
        <w:t xml:space="preserve"> but with </w:t>
      </w:r>
      <w:r w:rsidRPr="00B76115">
        <w:rPr>
          <w:i/>
          <w:szCs w:val="20"/>
        </w:rPr>
        <w:t>Covenant index</w:t>
      </w:r>
      <w:r w:rsidRPr="00B76115">
        <w:rPr>
          <w:szCs w:val="20"/>
        </w:rPr>
        <w:t xml:space="preserve"> as the dependent variable. Column 2, 4 and 6 of </w:t>
      </w:r>
      <w:r w:rsidRPr="00B76115">
        <w:t xml:space="preserve">Table 4 </w:t>
      </w:r>
      <w:r w:rsidRPr="00B76115">
        <w:rPr>
          <w:szCs w:val="20"/>
        </w:rPr>
        <w:t>shows that</w:t>
      </w:r>
      <w:r w:rsidR="00551D0C">
        <w:rPr>
          <w:szCs w:val="20"/>
        </w:rPr>
        <w:t>,</w:t>
      </w:r>
      <w:r w:rsidRPr="00B76115">
        <w:t xml:space="preserve"> </w:t>
      </w:r>
      <w:r w:rsidR="00551D0C">
        <w:t>i</w:t>
      </w:r>
      <w:r w:rsidRPr="00B76115">
        <w:t xml:space="preserve">n line with </w:t>
      </w:r>
      <w:r w:rsidR="00B76115">
        <w:t>H</w:t>
      </w:r>
      <w:r w:rsidR="00551D0C" w:rsidRPr="00763A6E">
        <w:t>2</w:t>
      </w:r>
      <w:r w:rsidRPr="00667657">
        <w:t>, we find that the share retained b</w:t>
      </w:r>
      <w:r w:rsidRPr="00B963EB">
        <w:t xml:space="preserve">y the lead bank exerts a positive and significant effect on the number of required restricted loans. </w:t>
      </w:r>
      <w:r w:rsidR="00551D0C">
        <w:t>On the other hand</w:t>
      </w:r>
      <w:r w:rsidRPr="00B963EB">
        <w:t xml:space="preserve">, </w:t>
      </w:r>
      <w:r w:rsidR="00771256" w:rsidRPr="00CE7D45">
        <w:rPr>
          <w:i/>
          <w:iCs/>
        </w:rPr>
        <w:t xml:space="preserve">Large CS </w:t>
      </w:r>
      <w:r w:rsidR="0099693E">
        <w:rPr>
          <w:i/>
          <w:iCs/>
        </w:rPr>
        <w:t>link</w:t>
      </w:r>
      <w:r w:rsidR="00771256" w:rsidRPr="00CE7D45">
        <w:rPr>
          <w:i/>
          <w:iCs/>
        </w:rPr>
        <w:t>s</w:t>
      </w:r>
      <w:r w:rsidR="00771256" w:rsidRPr="00CE7D45">
        <w:t xml:space="preserve"> and </w:t>
      </w:r>
      <w:r w:rsidR="00DB5899" w:rsidRPr="00CE7D45">
        <w:rPr>
          <w:i/>
          <w:iCs/>
        </w:rPr>
        <w:t xml:space="preserve">Length large CS </w:t>
      </w:r>
      <w:r w:rsidR="0099693E">
        <w:rPr>
          <w:i/>
          <w:iCs/>
        </w:rPr>
        <w:t>link</w:t>
      </w:r>
      <w:r w:rsidR="00DB5899" w:rsidRPr="00CE7D45">
        <w:rPr>
          <w:i/>
          <w:iCs/>
        </w:rPr>
        <w:t>s</w:t>
      </w:r>
      <w:r w:rsidR="00771256" w:rsidRPr="00D01339">
        <w:rPr>
          <w:szCs w:val="20"/>
        </w:rPr>
        <w:t xml:space="preserve"> </w:t>
      </w:r>
      <w:r w:rsidRPr="00556837">
        <w:t xml:space="preserve">and the squared </w:t>
      </w:r>
      <w:r w:rsidR="00DB5899" w:rsidRPr="00CE7D45">
        <w:rPr>
          <w:i/>
          <w:iCs/>
        </w:rPr>
        <w:t xml:space="preserve">Length large CS </w:t>
      </w:r>
      <w:r w:rsidR="0099693E">
        <w:rPr>
          <w:i/>
          <w:iCs/>
        </w:rPr>
        <w:t>link</w:t>
      </w:r>
      <w:r w:rsidR="00DB5899" w:rsidRPr="00CE7D45">
        <w:rPr>
          <w:i/>
          <w:iCs/>
        </w:rPr>
        <w:t>s</w:t>
      </w:r>
      <w:r w:rsidRPr="00D01339">
        <w:t xml:space="preserve"> term are</w:t>
      </w:r>
      <w:r w:rsidRPr="00556837">
        <w:t xml:space="preserve"> not significant.</w:t>
      </w:r>
      <w:r w:rsidR="00551D0C" w:rsidRPr="00551D0C">
        <w:t xml:space="preserve"> </w:t>
      </w:r>
      <w:r w:rsidR="00551D0C">
        <w:t>This confirms that the effect of the customer</w:t>
      </w:r>
      <w:r w:rsidR="00551D0C" w:rsidRPr="00B76115">
        <w:t xml:space="preserve">-supplier relationship </w:t>
      </w:r>
      <w:r w:rsidR="00551D0C">
        <w:t>operates indirectly through the loan structure, and not directly.</w:t>
      </w:r>
    </w:p>
    <w:p w14:paraId="0597EA68" w14:textId="77777777" w:rsidR="007E6B7A" w:rsidRDefault="00551D0C" w:rsidP="007E6B7A">
      <w:pPr>
        <w:widowControl w:val="0"/>
        <w:tabs>
          <w:tab w:val="left" w:pos="2952"/>
        </w:tabs>
        <w:autoSpaceDE w:val="0"/>
        <w:autoSpaceDN w:val="0"/>
        <w:adjustRightInd w:val="0"/>
        <w:spacing w:line="480" w:lineRule="auto"/>
        <w:ind w:firstLine="567"/>
        <w:jc w:val="both"/>
      </w:pPr>
      <w:r>
        <w:t xml:space="preserve"> </w:t>
      </w:r>
    </w:p>
    <w:p w14:paraId="30084676" w14:textId="77777777" w:rsidR="007E6B7A" w:rsidRDefault="007E6B7A" w:rsidP="007E6B7A">
      <w:pPr>
        <w:autoSpaceDE w:val="0"/>
        <w:autoSpaceDN w:val="0"/>
        <w:adjustRightInd w:val="0"/>
        <w:spacing w:line="480" w:lineRule="auto"/>
        <w:jc w:val="center"/>
        <w:rPr>
          <w:b/>
          <w:i/>
        </w:rPr>
      </w:pPr>
      <w:r w:rsidRPr="001554F3">
        <w:rPr>
          <w:b/>
          <w:i/>
        </w:rPr>
        <w:t xml:space="preserve">[Insert Table </w:t>
      </w:r>
      <w:r>
        <w:rPr>
          <w:b/>
          <w:i/>
        </w:rPr>
        <w:t>4</w:t>
      </w:r>
      <w:r w:rsidRPr="001554F3">
        <w:rPr>
          <w:b/>
          <w:i/>
        </w:rPr>
        <w:t xml:space="preserve"> about here]</w:t>
      </w:r>
    </w:p>
    <w:p w14:paraId="4883FCED" w14:textId="77777777" w:rsidR="003B6D9F" w:rsidRDefault="003B6D9F" w:rsidP="0063411D">
      <w:pPr>
        <w:autoSpaceDE w:val="0"/>
        <w:autoSpaceDN w:val="0"/>
        <w:adjustRightInd w:val="0"/>
        <w:spacing w:line="480" w:lineRule="auto"/>
        <w:jc w:val="both"/>
        <w:rPr>
          <w:bCs/>
          <w:iCs/>
        </w:rPr>
      </w:pPr>
      <w:r>
        <w:rPr>
          <w:b/>
          <w:iCs/>
        </w:rPr>
        <w:tab/>
      </w:r>
      <w:r w:rsidR="00103B51">
        <w:rPr>
          <w:bCs/>
          <w:iCs/>
        </w:rPr>
        <w:t xml:space="preserve"> </w:t>
      </w:r>
    </w:p>
    <w:p w14:paraId="0A8AE4B2" w14:textId="77777777" w:rsidR="009B625C" w:rsidRDefault="007E1926" w:rsidP="00037A39">
      <w:pPr>
        <w:autoSpaceDE w:val="0"/>
        <w:autoSpaceDN w:val="0"/>
        <w:adjustRightInd w:val="0"/>
        <w:spacing w:line="480" w:lineRule="auto"/>
        <w:ind w:firstLine="720"/>
        <w:jc w:val="both"/>
        <w:rPr>
          <w:bCs/>
        </w:rPr>
      </w:pPr>
      <w:r w:rsidRPr="00D73FB3">
        <w:rPr>
          <w:bCs/>
        </w:rPr>
        <w:t xml:space="preserve">Finally, </w:t>
      </w:r>
      <w:r w:rsidR="00037A39" w:rsidRPr="00D73FB3">
        <w:rPr>
          <w:bCs/>
        </w:rPr>
        <w:t>in line with previous studies (e.g.</w:t>
      </w:r>
      <w:r w:rsidR="00A3380C">
        <w:rPr>
          <w:bCs/>
        </w:rPr>
        <w:t>,</w:t>
      </w:r>
      <w:r w:rsidR="00037A39" w:rsidRPr="00D73FB3">
        <w:rPr>
          <w:bCs/>
        </w:rPr>
        <w:t xml:space="preserve"> Campello and Gao, 2015; Cen et al., 2016</w:t>
      </w:r>
      <w:r w:rsidR="00A3380C">
        <w:rPr>
          <w:bCs/>
        </w:rPr>
        <w:t>;</w:t>
      </w:r>
      <w:r w:rsidR="00A3380C" w:rsidRPr="00A3380C">
        <w:rPr>
          <w:bCs/>
        </w:rPr>
        <w:t xml:space="preserve"> </w:t>
      </w:r>
      <w:r w:rsidR="00A3380C" w:rsidRPr="00D73FB3">
        <w:rPr>
          <w:bCs/>
        </w:rPr>
        <w:t>Ivashina, 2009</w:t>
      </w:r>
      <w:r w:rsidR="00037A39" w:rsidRPr="00D73FB3">
        <w:rPr>
          <w:bCs/>
        </w:rPr>
        <w:t>)</w:t>
      </w:r>
      <w:r w:rsidR="00E744F6" w:rsidRPr="00D73FB3">
        <w:rPr>
          <w:bCs/>
        </w:rPr>
        <w:t>,</w:t>
      </w:r>
      <w:r w:rsidR="00037A39" w:rsidRPr="00D73FB3">
        <w:rPr>
          <w:bCs/>
        </w:rPr>
        <w:t xml:space="preserve"> Table</w:t>
      </w:r>
      <w:r w:rsidR="00A3380C">
        <w:rPr>
          <w:bCs/>
        </w:rPr>
        <w:t>s</w:t>
      </w:r>
      <w:r w:rsidR="00037A39" w:rsidRPr="00D73FB3">
        <w:rPr>
          <w:bCs/>
        </w:rPr>
        <w:t xml:space="preserve"> 3 and 4 show that borrower’s performance measures and size are negatively and significantly related to pricing, while previous lending relationship and leverage are positively and significantly related to pricing. In addition, the</w:t>
      </w:r>
      <w:r w:rsidR="00472CE8" w:rsidRPr="00D73FB3">
        <w:rPr>
          <w:bCs/>
        </w:rPr>
        <w:t xml:space="preserve"> presence of institutional investors is associated with</w:t>
      </w:r>
      <w:r w:rsidR="005F0486" w:rsidRPr="00D73FB3">
        <w:rPr>
          <w:bCs/>
        </w:rPr>
        <w:t xml:space="preserve"> </w:t>
      </w:r>
      <w:r w:rsidR="00472CE8" w:rsidRPr="00D73FB3">
        <w:rPr>
          <w:bCs/>
        </w:rPr>
        <w:t>higher pricing</w:t>
      </w:r>
      <w:r w:rsidR="005F0486" w:rsidRPr="00D73FB3">
        <w:rPr>
          <w:bCs/>
        </w:rPr>
        <w:t>.</w:t>
      </w:r>
      <w:r w:rsidR="00472CE8" w:rsidRPr="00D73FB3">
        <w:rPr>
          <w:bCs/>
        </w:rPr>
        <w:t xml:space="preserve"> </w:t>
      </w:r>
      <w:r w:rsidR="00F735B5" w:rsidRPr="00D73FB3">
        <w:rPr>
          <w:bCs/>
        </w:rPr>
        <w:t>In line</w:t>
      </w:r>
      <w:r w:rsidR="00B97286" w:rsidRPr="00D73FB3">
        <w:rPr>
          <w:bCs/>
        </w:rPr>
        <w:t xml:space="preserve"> with</w:t>
      </w:r>
      <w:r w:rsidR="00472CE8" w:rsidRPr="00D73FB3">
        <w:rPr>
          <w:bCs/>
        </w:rPr>
        <w:t xml:space="preserve"> </w:t>
      </w:r>
      <w:r w:rsidR="005F0486" w:rsidRPr="00D73FB3">
        <w:rPr>
          <w:bCs/>
        </w:rPr>
        <w:t>Lim et al.</w:t>
      </w:r>
      <w:r w:rsidR="00267BFD">
        <w:rPr>
          <w:bCs/>
        </w:rPr>
        <w:t>’s</w:t>
      </w:r>
      <w:r w:rsidR="005F0486" w:rsidRPr="00D73FB3">
        <w:rPr>
          <w:bCs/>
        </w:rPr>
        <w:t xml:space="preserve"> (2014)</w:t>
      </w:r>
      <w:r w:rsidR="00B97286" w:rsidRPr="00D73FB3">
        <w:rPr>
          <w:bCs/>
        </w:rPr>
        <w:t xml:space="preserve"> arguments, </w:t>
      </w:r>
      <w:r w:rsidR="005F0486" w:rsidRPr="00D73FB3">
        <w:rPr>
          <w:bCs/>
        </w:rPr>
        <w:t xml:space="preserve">institutional lenders </w:t>
      </w:r>
      <w:r w:rsidR="00B97286" w:rsidRPr="00D73FB3">
        <w:rPr>
          <w:bCs/>
        </w:rPr>
        <w:t>may</w:t>
      </w:r>
      <w:r w:rsidR="005F0486" w:rsidRPr="00D73FB3">
        <w:rPr>
          <w:bCs/>
        </w:rPr>
        <w:t xml:space="preserve"> have higher required rates of return than banks</w:t>
      </w:r>
      <w:r w:rsidR="00B97286" w:rsidRPr="00D73FB3">
        <w:rPr>
          <w:bCs/>
        </w:rPr>
        <w:t>. The s</w:t>
      </w:r>
      <w:r w:rsidR="00F735B5" w:rsidRPr="00D73FB3">
        <w:rPr>
          <w:bCs/>
        </w:rPr>
        <w:t>a</w:t>
      </w:r>
      <w:r w:rsidR="00B97286" w:rsidRPr="00D73FB3">
        <w:rPr>
          <w:bCs/>
        </w:rPr>
        <w:t xml:space="preserve">me </w:t>
      </w:r>
      <w:r w:rsidR="00F735B5" w:rsidRPr="00D73FB3">
        <w:rPr>
          <w:bCs/>
        </w:rPr>
        <w:t>effect on pricing</w:t>
      </w:r>
      <w:r w:rsidR="00B97286" w:rsidRPr="00D73FB3">
        <w:rPr>
          <w:bCs/>
        </w:rPr>
        <w:t xml:space="preserve"> can also be observed </w:t>
      </w:r>
      <w:r w:rsidR="00E744F6" w:rsidRPr="00D73FB3">
        <w:rPr>
          <w:bCs/>
        </w:rPr>
        <w:t>for</w:t>
      </w:r>
      <w:r w:rsidR="00B97286" w:rsidRPr="00D73FB3">
        <w:rPr>
          <w:bCs/>
        </w:rPr>
        <w:t xml:space="preserve"> high number of participant lenders</w:t>
      </w:r>
      <w:r w:rsidR="005F0486" w:rsidRPr="00D73FB3">
        <w:rPr>
          <w:bCs/>
        </w:rPr>
        <w:t>.</w:t>
      </w:r>
    </w:p>
    <w:p w14:paraId="0D7436EA" w14:textId="77777777" w:rsidR="00D73FB3" w:rsidRDefault="00D73FB3" w:rsidP="00D73FB3">
      <w:pPr>
        <w:autoSpaceDE w:val="0"/>
        <w:autoSpaceDN w:val="0"/>
        <w:adjustRightInd w:val="0"/>
        <w:spacing w:line="480" w:lineRule="auto"/>
        <w:ind w:firstLine="720"/>
        <w:jc w:val="both"/>
        <w:rPr>
          <w:bCs/>
          <w:iCs/>
        </w:rPr>
      </w:pPr>
      <w:r w:rsidRPr="00701CC1">
        <w:rPr>
          <w:bCs/>
          <w:iCs/>
        </w:rPr>
        <w:t>Overall</w:t>
      </w:r>
      <w:r w:rsidRPr="00D01339">
        <w:rPr>
          <w:bCs/>
          <w:iCs/>
        </w:rPr>
        <w:t>, our analysis suggest</w:t>
      </w:r>
      <w:r w:rsidRPr="00556837">
        <w:rPr>
          <w:bCs/>
          <w:iCs/>
        </w:rPr>
        <w:t>s</w:t>
      </w:r>
      <w:r w:rsidRPr="00667657">
        <w:rPr>
          <w:bCs/>
          <w:iCs/>
        </w:rPr>
        <w:t xml:space="preserve"> that </w:t>
      </w:r>
      <w:r w:rsidRPr="00CE7D45">
        <w:rPr>
          <w:i/>
          <w:iCs/>
        </w:rPr>
        <w:t xml:space="preserve">Large CS </w:t>
      </w:r>
      <w:r>
        <w:rPr>
          <w:i/>
          <w:iCs/>
        </w:rPr>
        <w:t>link</w:t>
      </w:r>
      <w:r w:rsidRPr="00CE7D45">
        <w:rPr>
          <w:i/>
          <w:iCs/>
        </w:rPr>
        <w:t>s</w:t>
      </w:r>
      <w:r w:rsidRPr="00D01339">
        <w:rPr>
          <w:szCs w:val="20"/>
        </w:rPr>
        <w:t xml:space="preserve"> </w:t>
      </w:r>
      <w:r w:rsidRPr="00556837">
        <w:rPr>
          <w:szCs w:val="20"/>
        </w:rPr>
        <w:t xml:space="preserve">and </w:t>
      </w:r>
      <w:r w:rsidRPr="00CE7D45">
        <w:rPr>
          <w:i/>
          <w:iCs/>
        </w:rPr>
        <w:t xml:space="preserve">Length large CS </w:t>
      </w:r>
      <w:r>
        <w:rPr>
          <w:i/>
          <w:iCs/>
        </w:rPr>
        <w:t>link</w:t>
      </w:r>
      <w:r w:rsidRPr="00CE7D45">
        <w:rPr>
          <w:i/>
          <w:iCs/>
        </w:rPr>
        <w:t>s</w:t>
      </w:r>
      <w:r w:rsidRPr="00D01339">
        <w:rPr>
          <w:i/>
          <w:iCs/>
        </w:rPr>
        <w:t xml:space="preserve"> </w:t>
      </w:r>
      <w:r w:rsidRPr="00556837">
        <w:t>both</w:t>
      </w:r>
      <w:r w:rsidRPr="00667657">
        <w:rPr>
          <w:szCs w:val="20"/>
        </w:rPr>
        <w:t xml:space="preserve"> </w:t>
      </w:r>
      <w:r w:rsidRPr="00B963EB">
        <w:rPr>
          <w:bCs/>
          <w:iCs/>
        </w:rPr>
        <w:t xml:space="preserve">affect the pricing </w:t>
      </w:r>
      <w:r w:rsidRPr="00102233">
        <w:rPr>
          <w:bCs/>
          <w:iCs/>
        </w:rPr>
        <w:t>and the contr</w:t>
      </w:r>
      <w:r w:rsidRPr="00533632">
        <w:rPr>
          <w:bCs/>
          <w:iCs/>
        </w:rPr>
        <w:t xml:space="preserve">actual provisions </w:t>
      </w:r>
      <w:r w:rsidRPr="00B76115">
        <w:rPr>
          <w:bCs/>
          <w:iCs/>
        </w:rPr>
        <w:t xml:space="preserve">of a syndicated loan, but not directly. </w:t>
      </w:r>
      <w:r w:rsidR="00267BFD">
        <w:rPr>
          <w:bCs/>
          <w:iCs/>
        </w:rPr>
        <w:t>Their</w:t>
      </w:r>
      <w:r w:rsidR="00267BFD" w:rsidRPr="00B76115">
        <w:rPr>
          <w:bCs/>
          <w:iCs/>
        </w:rPr>
        <w:t xml:space="preserve"> </w:t>
      </w:r>
      <w:r w:rsidRPr="00B76115">
        <w:rPr>
          <w:bCs/>
          <w:iCs/>
        </w:rPr>
        <w:t xml:space="preserve">effect is indirect via the structure of the loan, with lead agents that keep a larger share of the loan to monitor borrowers in a </w:t>
      </w:r>
      <w:r>
        <w:rPr>
          <w:bCs/>
          <w:iCs/>
        </w:rPr>
        <w:t>large customer</w:t>
      </w:r>
      <w:r w:rsidRPr="00B76115">
        <w:rPr>
          <w:bCs/>
          <w:iCs/>
        </w:rPr>
        <w:t xml:space="preserve">-supplier relationship. We also document a trade-off between risks and positive effects provided by </w:t>
      </w:r>
      <w:r w:rsidRPr="00CE7D45">
        <w:rPr>
          <w:i/>
          <w:iCs/>
        </w:rPr>
        <w:t xml:space="preserve">Length large CS </w:t>
      </w:r>
      <w:r>
        <w:rPr>
          <w:i/>
          <w:iCs/>
        </w:rPr>
        <w:t>link</w:t>
      </w:r>
      <w:r w:rsidRPr="00CE7D45">
        <w:rPr>
          <w:i/>
          <w:iCs/>
        </w:rPr>
        <w:t>s</w:t>
      </w:r>
      <w:r w:rsidRPr="00D01339">
        <w:rPr>
          <w:bCs/>
          <w:iCs/>
        </w:rPr>
        <w:t>.</w:t>
      </w:r>
      <w:r>
        <w:rPr>
          <w:bCs/>
          <w:iCs/>
        </w:rPr>
        <w:t xml:space="preserve"> </w:t>
      </w:r>
    </w:p>
    <w:p w14:paraId="3E6B75F7" w14:textId="77777777" w:rsidR="00C77A06" w:rsidRPr="00CE7D45" w:rsidRDefault="00C77A06" w:rsidP="007E6B7A">
      <w:pPr>
        <w:spacing w:line="480" w:lineRule="auto"/>
        <w:jc w:val="both"/>
        <w:rPr>
          <w:bCs/>
        </w:rPr>
      </w:pPr>
    </w:p>
    <w:p w14:paraId="3B995F18" w14:textId="77777777" w:rsidR="007E6B7A" w:rsidRPr="00CE7D45" w:rsidRDefault="00482FBD" w:rsidP="007E6B7A">
      <w:pPr>
        <w:spacing w:line="480" w:lineRule="auto"/>
        <w:jc w:val="both"/>
        <w:rPr>
          <w:b/>
        </w:rPr>
      </w:pPr>
      <w:r>
        <w:rPr>
          <w:b/>
        </w:rPr>
        <w:t>5</w:t>
      </w:r>
      <w:r w:rsidR="007E6B7A" w:rsidRPr="00CE7D45">
        <w:rPr>
          <w:b/>
        </w:rPr>
        <w:t>. Additional Analyses</w:t>
      </w:r>
    </w:p>
    <w:p w14:paraId="05E1F7CF" w14:textId="77777777" w:rsidR="007E6B7A" w:rsidRDefault="007E6B7A" w:rsidP="00F556B4">
      <w:pPr>
        <w:spacing w:line="480" w:lineRule="auto"/>
        <w:jc w:val="both"/>
        <w:rPr>
          <w:bCs/>
        </w:rPr>
      </w:pPr>
      <w:r w:rsidRPr="001F43B1">
        <w:rPr>
          <w:bCs/>
        </w:rPr>
        <w:t xml:space="preserve">This section presents the additional analyses we </w:t>
      </w:r>
      <w:r w:rsidR="00622864" w:rsidRPr="001F43B1">
        <w:rPr>
          <w:bCs/>
        </w:rPr>
        <w:t xml:space="preserve">undertake </w:t>
      </w:r>
      <w:r w:rsidRPr="001F43B1">
        <w:rPr>
          <w:bCs/>
        </w:rPr>
        <w:t xml:space="preserve">to assess the robustness of our </w:t>
      </w:r>
      <w:r w:rsidR="006E33DF" w:rsidRPr="001F43B1">
        <w:rPr>
          <w:bCs/>
        </w:rPr>
        <w:t>findings</w:t>
      </w:r>
      <w:r w:rsidRPr="001F43B1">
        <w:rPr>
          <w:bCs/>
        </w:rPr>
        <w:t xml:space="preserve">. We begin by </w:t>
      </w:r>
      <w:r w:rsidR="00E65701" w:rsidRPr="001F43B1">
        <w:rPr>
          <w:bCs/>
        </w:rPr>
        <w:t>addressing endogeneity concerns related to omitted variables. Then, we analyze</w:t>
      </w:r>
      <w:r w:rsidRPr="001F43B1">
        <w:rPr>
          <w:bCs/>
        </w:rPr>
        <w:t xml:space="preserve"> whether an existing </w:t>
      </w:r>
      <w:r w:rsidR="00E65701" w:rsidRPr="001F43B1">
        <w:rPr>
          <w:bCs/>
        </w:rPr>
        <w:t xml:space="preserve">lending </w:t>
      </w:r>
      <w:r w:rsidRPr="001F43B1">
        <w:rPr>
          <w:bCs/>
        </w:rPr>
        <w:t>relationship between the lender and</w:t>
      </w:r>
      <w:r w:rsidR="00E65701" w:rsidRPr="001F43B1">
        <w:rPr>
          <w:bCs/>
        </w:rPr>
        <w:t xml:space="preserve"> any</w:t>
      </w:r>
      <w:r w:rsidRPr="001F43B1">
        <w:rPr>
          <w:bCs/>
        </w:rPr>
        <w:t xml:space="preserve"> </w:t>
      </w:r>
      <w:r w:rsidR="0043098D" w:rsidRPr="001F43B1">
        <w:rPr>
          <w:bCs/>
        </w:rPr>
        <w:t xml:space="preserve">large </w:t>
      </w:r>
      <w:r w:rsidR="00C2325A" w:rsidRPr="001F43B1">
        <w:rPr>
          <w:bCs/>
        </w:rPr>
        <w:t>customer</w:t>
      </w:r>
      <w:r w:rsidR="00E65701" w:rsidRPr="001F43B1">
        <w:rPr>
          <w:bCs/>
        </w:rPr>
        <w:t xml:space="preserve"> or </w:t>
      </w:r>
      <w:r w:rsidR="007B47FB" w:rsidRPr="001F43B1">
        <w:rPr>
          <w:bCs/>
        </w:rPr>
        <w:t>supplier</w:t>
      </w:r>
      <w:r w:rsidRPr="001F43B1">
        <w:rPr>
          <w:bCs/>
        </w:rPr>
        <w:t xml:space="preserve"> </w:t>
      </w:r>
      <w:r w:rsidR="00E65701" w:rsidRPr="001F43B1">
        <w:rPr>
          <w:bCs/>
        </w:rPr>
        <w:t xml:space="preserve">of the borrower </w:t>
      </w:r>
      <w:r w:rsidRPr="001F43B1">
        <w:rPr>
          <w:bCs/>
        </w:rPr>
        <w:t xml:space="preserve">drives our results. We conclude the section by presenting some additional tests. </w:t>
      </w:r>
    </w:p>
    <w:p w14:paraId="48EC7CBE" w14:textId="77777777" w:rsidR="0074442B" w:rsidRDefault="0074442B" w:rsidP="006A0B03">
      <w:pPr>
        <w:spacing w:line="480" w:lineRule="auto"/>
        <w:ind w:firstLine="567"/>
        <w:jc w:val="both"/>
        <w:rPr>
          <w:bCs/>
        </w:rPr>
      </w:pPr>
    </w:p>
    <w:p w14:paraId="337A55DF" w14:textId="77777777" w:rsidR="007821D6" w:rsidRDefault="007821D6" w:rsidP="006A0B03">
      <w:pPr>
        <w:spacing w:line="480" w:lineRule="auto"/>
        <w:ind w:firstLine="567"/>
        <w:jc w:val="both"/>
        <w:rPr>
          <w:bCs/>
        </w:rPr>
      </w:pPr>
    </w:p>
    <w:p w14:paraId="773D2579" w14:textId="77777777" w:rsidR="007821D6" w:rsidRPr="001F43B1" w:rsidRDefault="007821D6" w:rsidP="006A0B03">
      <w:pPr>
        <w:spacing w:line="480" w:lineRule="auto"/>
        <w:ind w:firstLine="567"/>
        <w:jc w:val="both"/>
        <w:rPr>
          <w:bCs/>
        </w:rPr>
      </w:pPr>
    </w:p>
    <w:p w14:paraId="7FD38E83" w14:textId="77777777" w:rsidR="007E6B7A" w:rsidRDefault="00587C81" w:rsidP="00F556B4">
      <w:pPr>
        <w:autoSpaceDE w:val="0"/>
        <w:autoSpaceDN w:val="0"/>
        <w:adjustRightInd w:val="0"/>
        <w:spacing w:line="480" w:lineRule="auto"/>
        <w:rPr>
          <w:b/>
          <w:color w:val="000000"/>
        </w:rPr>
      </w:pPr>
      <w:r>
        <w:rPr>
          <w:b/>
          <w:color w:val="000000"/>
        </w:rPr>
        <w:t xml:space="preserve">5.1 </w:t>
      </w:r>
      <w:r w:rsidR="0043098D" w:rsidRPr="00C74013">
        <w:rPr>
          <w:b/>
          <w:color w:val="000000"/>
        </w:rPr>
        <w:t xml:space="preserve">Large </w:t>
      </w:r>
      <w:r w:rsidR="00C2325A" w:rsidRPr="00C74013">
        <w:rPr>
          <w:b/>
          <w:color w:val="000000"/>
        </w:rPr>
        <w:t>customer</w:t>
      </w:r>
      <w:r w:rsidR="004F55C9" w:rsidRPr="00C74013">
        <w:rPr>
          <w:b/>
          <w:color w:val="000000"/>
        </w:rPr>
        <w:t xml:space="preserve">-supplier </w:t>
      </w:r>
      <w:r w:rsidR="0099693E" w:rsidRPr="00C74013">
        <w:rPr>
          <w:b/>
          <w:color w:val="000000"/>
        </w:rPr>
        <w:t>link</w:t>
      </w:r>
      <w:r w:rsidR="004F55C9" w:rsidRPr="00C74013">
        <w:rPr>
          <w:b/>
          <w:color w:val="000000"/>
        </w:rPr>
        <w:t>s</w:t>
      </w:r>
      <w:r w:rsidR="007E6B7A" w:rsidRPr="00C74013">
        <w:rPr>
          <w:b/>
          <w:color w:val="000000"/>
        </w:rPr>
        <w:t xml:space="preserve"> and participation to the syndicated loan market:</w:t>
      </w:r>
      <w:r w:rsidR="00A53D92" w:rsidRPr="00C74013">
        <w:rPr>
          <w:b/>
          <w:color w:val="000000"/>
        </w:rPr>
        <w:t xml:space="preserve"> </w:t>
      </w:r>
      <w:r w:rsidR="007E6B7A" w:rsidRPr="00C74013">
        <w:rPr>
          <w:b/>
          <w:color w:val="000000"/>
        </w:rPr>
        <w:t>Endogeneity concerns</w:t>
      </w:r>
    </w:p>
    <w:p w14:paraId="720F25A8" w14:textId="77777777" w:rsidR="00D73FB3" w:rsidRPr="00C74013" w:rsidRDefault="00D73FB3" w:rsidP="00F556B4">
      <w:pPr>
        <w:autoSpaceDE w:val="0"/>
        <w:autoSpaceDN w:val="0"/>
        <w:adjustRightInd w:val="0"/>
        <w:spacing w:line="480" w:lineRule="auto"/>
        <w:rPr>
          <w:b/>
          <w:color w:val="000000"/>
        </w:rPr>
      </w:pPr>
    </w:p>
    <w:p w14:paraId="4A2497CA" w14:textId="77777777" w:rsidR="007E6B7A" w:rsidRDefault="007E6B7A" w:rsidP="00F556B4">
      <w:pPr>
        <w:autoSpaceDE w:val="0"/>
        <w:autoSpaceDN w:val="0"/>
        <w:adjustRightInd w:val="0"/>
        <w:spacing w:line="480" w:lineRule="auto"/>
        <w:jc w:val="both"/>
      </w:pPr>
      <w:r w:rsidRPr="00D01339">
        <w:t xml:space="preserve">This section addresses a few concerns associated with the potentially endogenous nature of the </w:t>
      </w:r>
      <w:r w:rsidRPr="00556837">
        <w:t xml:space="preserve">relationship between </w:t>
      </w:r>
      <w:r w:rsidR="0043098D">
        <w:t xml:space="preserve">large </w:t>
      </w:r>
      <w:r w:rsidR="00C2325A">
        <w:t>customer</w:t>
      </w:r>
      <w:r w:rsidR="004F55C9" w:rsidRPr="00556837">
        <w:t>-supplie</w:t>
      </w:r>
      <w:r w:rsidR="004F55C9" w:rsidRPr="00667657">
        <w:t>r relationship</w:t>
      </w:r>
      <w:r w:rsidRPr="00667657">
        <w:t xml:space="preserve"> and loan pricing. </w:t>
      </w:r>
      <w:r w:rsidRPr="00D01339">
        <w:t xml:space="preserve">The first concern </w:t>
      </w:r>
      <w:r w:rsidR="000B6233" w:rsidRPr="00D01339">
        <w:t>we examine</w:t>
      </w:r>
      <w:r w:rsidRPr="003A6014">
        <w:t xml:space="preserve"> is related to </w:t>
      </w:r>
      <w:r w:rsidR="00701CC1" w:rsidRPr="00556837">
        <w:t xml:space="preserve">the borrower’s </w:t>
      </w:r>
      <w:r w:rsidRPr="00556837">
        <w:t>willing</w:t>
      </w:r>
      <w:r w:rsidR="00701CC1" w:rsidRPr="00556837">
        <w:t>ness</w:t>
      </w:r>
      <w:r w:rsidRPr="00667657">
        <w:t xml:space="preserve"> to create</w:t>
      </w:r>
      <w:r w:rsidR="00701CC1" w:rsidRPr="00667657">
        <w:t xml:space="preserve"> or hide</w:t>
      </w:r>
      <w:r w:rsidRPr="00B963EB">
        <w:t xml:space="preserve"> a </w:t>
      </w:r>
      <w:r w:rsidR="00FC36A3">
        <w:rPr>
          <w:szCs w:val="20"/>
        </w:rPr>
        <w:t>large customer</w:t>
      </w:r>
      <w:r w:rsidR="0081781F" w:rsidRPr="00B963EB">
        <w:rPr>
          <w:szCs w:val="20"/>
        </w:rPr>
        <w:t xml:space="preserve"> and/or supplier </w:t>
      </w:r>
      <w:r w:rsidR="0081781F" w:rsidRPr="00102233">
        <w:rPr>
          <w:szCs w:val="20"/>
        </w:rPr>
        <w:t>link</w:t>
      </w:r>
      <w:r w:rsidR="00A53D92">
        <w:rPr>
          <w:szCs w:val="20"/>
        </w:rPr>
        <w:t xml:space="preserve"> </w:t>
      </w:r>
      <w:r w:rsidRPr="00A53D92">
        <w:t xml:space="preserve">to get access to more favorable conditions from the lender. To control for this issue and mitigate endogeneity concerns, we run a battery of tests. We start by only considering the </w:t>
      </w:r>
      <w:r w:rsidR="0043098D">
        <w:t xml:space="preserve">large </w:t>
      </w:r>
      <w:r w:rsidR="00C2325A">
        <w:t>customer</w:t>
      </w:r>
      <w:r w:rsidR="00FB05FD" w:rsidRPr="00A53D92">
        <w:t>-supplier</w:t>
      </w:r>
      <w:r w:rsidRPr="00A53D92">
        <w:t xml:space="preserve"> cases in which </w:t>
      </w:r>
      <w:bookmarkStart w:id="29" w:name="_Hlk527712520"/>
      <w:r w:rsidRPr="00A53D92">
        <w:t>the suppliers provide services and differentiated products</w:t>
      </w:r>
      <w:bookmarkEnd w:id="29"/>
      <w:r w:rsidRPr="00A53D92">
        <w:t xml:space="preserve"> that are unique or highly customized inputs, and where the customers need differentiated and service inputs (</w:t>
      </w:r>
      <w:r w:rsidR="00DF3159" w:rsidRPr="009E6E70">
        <w:t xml:space="preserve">Cunat, 2007; Giannetti et al., 2011; </w:t>
      </w:r>
      <w:r w:rsidRPr="009E6E70">
        <w:t>Rauch</w:t>
      </w:r>
      <w:r w:rsidR="00DF3159" w:rsidRPr="009E6E70">
        <w:t xml:space="preserve">, </w:t>
      </w:r>
      <w:r w:rsidRPr="009E6E70">
        <w:t>1999</w:t>
      </w:r>
      <w:r w:rsidRPr="00A53D92">
        <w:t xml:space="preserve">). Both these suppliers and customers are more difficult to replace. Since these relationships are characterized by high switching costs, it is unlikely that firms create ad hoc </w:t>
      </w:r>
      <w:r w:rsidR="0043098D">
        <w:t xml:space="preserve">large </w:t>
      </w:r>
      <w:r w:rsidR="00C2325A">
        <w:t>customer</w:t>
      </w:r>
      <w:r w:rsidR="007B47FB" w:rsidRPr="00A53D92">
        <w:t>-supplier</w:t>
      </w:r>
      <w:r w:rsidRPr="00A53D92">
        <w:t xml:space="preserve"> links to get access to the lending market. Column 1 of Panel</w:t>
      </w:r>
      <w:r w:rsidR="00267BFD">
        <w:t>s</w:t>
      </w:r>
      <w:r w:rsidRPr="00A53D92">
        <w:t xml:space="preserve"> A, B and C </w:t>
      </w:r>
      <w:r w:rsidR="00D73FB3">
        <w:t xml:space="preserve">of Table 5 </w:t>
      </w:r>
      <w:r w:rsidRPr="00A53D92">
        <w:t xml:space="preserve">shows the </w:t>
      </w:r>
      <w:r w:rsidR="00D73FB3">
        <w:t>estimates</w:t>
      </w:r>
      <w:r w:rsidRPr="00A53D92">
        <w:t xml:space="preserve"> for this test</w:t>
      </w:r>
      <w:r w:rsidR="00D73FB3">
        <w:t xml:space="preserve"> using AISD as </w:t>
      </w:r>
      <w:r w:rsidR="00267BFD">
        <w:t xml:space="preserve">the </w:t>
      </w:r>
      <w:r w:rsidR="00D73FB3">
        <w:t>dependent variable.</w:t>
      </w:r>
      <w:r w:rsidR="00D73FB3" w:rsidRPr="00D01339">
        <w:rPr>
          <w:rStyle w:val="FootnoteReference"/>
          <w:i/>
          <w:iCs/>
        </w:rPr>
        <w:footnoteReference w:id="16"/>
      </w:r>
      <w:r w:rsidR="00D73FB3">
        <w:t xml:space="preserve"> The results</w:t>
      </w:r>
      <w:r w:rsidRPr="00A53D92">
        <w:t xml:space="preserve"> are consistent with our initial findings.</w:t>
      </w:r>
    </w:p>
    <w:p w14:paraId="78E000AA" w14:textId="77777777" w:rsidR="00D73FB3" w:rsidRDefault="00D73FB3" w:rsidP="00F556B4">
      <w:pPr>
        <w:autoSpaceDE w:val="0"/>
        <w:autoSpaceDN w:val="0"/>
        <w:adjustRightInd w:val="0"/>
        <w:spacing w:line="480" w:lineRule="auto"/>
        <w:jc w:val="both"/>
      </w:pPr>
    </w:p>
    <w:p w14:paraId="44866342" w14:textId="77777777" w:rsidR="00D73FB3" w:rsidRDefault="00D73FB3" w:rsidP="00D73FB3">
      <w:pPr>
        <w:autoSpaceDE w:val="0"/>
        <w:autoSpaceDN w:val="0"/>
        <w:adjustRightInd w:val="0"/>
        <w:spacing w:line="480" w:lineRule="auto"/>
        <w:jc w:val="center"/>
        <w:rPr>
          <w:b/>
          <w:i/>
        </w:rPr>
      </w:pPr>
      <w:r w:rsidRPr="001554F3">
        <w:rPr>
          <w:b/>
          <w:i/>
        </w:rPr>
        <w:t xml:space="preserve">[Insert Table </w:t>
      </w:r>
      <w:r>
        <w:rPr>
          <w:b/>
          <w:i/>
        </w:rPr>
        <w:t>5</w:t>
      </w:r>
      <w:r w:rsidRPr="001554F3">
        <w:rPr>
          <w:b/>
          <w:i/>
        </w:rPr>
        <w:t xml:space="preserve"> about here]</w:t>
      </w:r>
    </w:p>
    <w:p w14:paraId="729AAB39" w14:textId="77777777" w:rsidR="00D73FB3" w:rsidRPr="00A53D92" w:rsidRDefault="00D73FB3" w:rsidP="00F556B4">
      <w:pPr>
        <w:autoSpaceDE w:val="0"/>
        <w:autoSpaceDN w:val="0"/>
        <w:adjustRightInd w:val="0"/>
        <w:spacing w:line="480" w:lineRule="auto"/>
        <w:jc w:val="both"/>
      </w:pPr>
    </w:p>
    <w:p w14:paraId="32A79827" w14:textId="77777777" w:rsidR="007E6B7A" w:rsidRPr="00A53D92" w:rsidRDefault="007E6B7A" w:rsidP="007E6B7A">
      <w:pPr>
        <w:autoSpaceDE w:val="0"/>
        <w:autoSpaceDN w:val="0"/>
        <w:adjustRightInd w:val="0"/>
        <w:spacing w:line="480" w:lineRule="auto"/>
        <w:ind w:firstLine="567"/>
        <w:jc w:val="both"/>
      </w:pPr>
      <w:r w:rsidRPr="00A53D92">
        <w:t xml:space="preserve">As a further test, we strengthen the definition of </w:t>
      </w:r>
      <w:r w:rsidR="007B47FB" w:rsidRPr="00CE7D45">
        <w:rPr>
          <w:i/>
          <w:iCs/>
        </w:rPr>
        <w:t xml:space="preserve">Large CS </w:t>
      </w:r>
      <w:r w:rsidR="0099693E">
        <w:rPr>
          <w:i/>
          <w:iCs/>
        </w:rPr>
        <w:t>link</w:t>
      </w:r>
      <w:r w:rsidR="007B47FB" w:rsidRPr="00CE7D45">
        <w:rPr>
          <w:i/>
          <w:iCs/>
        </w:rPr>
        <w:t>s</w:t>
      </w:r>
      <w:r w:rsidRPr="00D01339">
        <w:t>. SFAS No. 14 (before 1997) and SFAS No. 131 (</w:t>
      </w:r>
      <w:r w:rsidRPr="00556837">
        <w:t>after 1997) require firms to disclose large customers representing more than 10% of the total firm revenue</w:t>
      </w:r>
      <w:r w:rsidR="00F47EB0">
        <w:t xml:space="preserve">. This is driven by the fact that </w:t>
      </w:r>
      <w:r w:rsidR="00267BFD">
        <w:t xml:space="preserve">the </w:t>
      </w:r>
      <w:r w:rsidR="00F47EB0">
        <w:t>borrower could be willing</w:t>
      </w:r>
      <w:r w:rsidR="00F47EB0" w:rsidRPr="00764F95">
        <w:t xml:space="preserve"> to create or hide a large customer and/or supplier link to get access to more favorable conditions from lender</w:t>
      </w:r>
      <w:r w:rsidR="00F47EB0">
        <w:t>s</w:t>
      </w:r>
      <w:r w:rsidRPr="00B963EB">
        <w:t xml:space="preserve">. We expect this issue to be more serious around the 10% threshold, where it is easier for firms to strategically create </w:t>
      </w:r>
      <w:r w:rsidR="007B47FB" w:rsidRPr="00102233">
        <w:t>such links</w:t>
      </w:r>
      <w:r w:rsidRPr="00533632">
        <w:t>. To overcome t</w:t>
      </w:r>
      <w:r w:rsidRPr="00A53D92">
        <w:t>his problem, we only consider borrowers with principal customers that account for more than 15% of their total sales (</w:t>
      </w:r>
      <w:r w:rsidRPr="00A53D92">
        <w:rPr>
          <w:i/>
        </w:rPr>
        <w:t>Cus 15%</w:t>
      </w:r>
      <w:r w:rsidRPr="00A53D92">
        <w:t xml:space="preserve">). </w:t>
      </w:r>
      <w:r w:rsidRPr="00A53D92">
        <w:rPr>
          <w:szCs w:val="20"/>
        </w:rPr>
        <w:t xml:space="preserve">In Column </w:t>
      </w:r>
      <w:r w:rsidR="008F36B5" w:rsidRPr="00A53D92">
        <w:rPr>
          <w:szCs w:val="20"/>
        </w:rPr>
        <w:t xml:space="preserve">2 </w:t>
      </w:r>
      <w:r w:rsidR="00D73FB3">
        <w:rPr>
          <w:szCs w:val="20"/>
        </w:rPr>
        <w:t>of Table 5</w:t>
      </w:r>
      <w:r w:rsidRPr="00A53D92">
        <w:t xml:space="preserve">, the </w:t>
      </w:r>
      <w:r w:rsidR="006F4C03" w:rsidRPr="00CE7D45">
        <w:rPr>
          <w:i/>
          <w:iCs/>
        </w:rPr>
        <w:t xml:space="preserve">Large CS </w:t>
      </w:r>
      <w:r w:rsidR="0099693E">
        <w:rPr>
          <w:i/>
          <w:iCs/>
        </w:rPr>
        <w:t>link</w:t>
      </w:r>
      <w:r w:rsidR="006F4C03" w:rsidRPr="00CE7D45">
        <w:rPr>
          <w:i/>
          <w:iCs/>
        </w:rPr>
        <w:t>s</w:t>
      </w:r>
      <w:r w:rsidR="006F4C03" w:rsidRPr="00D01339">
        <w:t xml:space="preserve"> </w:t>
      </w:r>
      <w:r w:rsidRPr="00D01339">
        <w:t xml:space="preserve">dummy takes </w:t>
      </w:r>
      <w:r w:rsidR="002328F4">
        <w:t>the</w:t>
      </w:r>
      <w:r w:rsidRPr="00D01339">
        <w:t xml:space="preserve"> value </w:t>
      </w:r>
      <w:r w:rsidR="002328F4">
        <w:t>of</w:t>
      </w:r>
      <w:r w:rsidRPr="00D01339">
        <w:t xml:space="preserve"> 1 only if the sales percentage from supplier </w:t>
      </w:r>
      <w:r w:rsidRPr="00556837">
        <w:rPr>
          <w:i/>
        </w:rPr>
        <w:t>i</w:t>
      </w:r>
      <w:r w:rsidRPr="00556837">
        <w:t xml:space="preserve"> to custome</w:t>
      </w:r>
      <w:r w:rsidRPr="00667657">
        <w:t xml:space="preserve">r </w:t>
      </w:r>
      <w:r w:rsidRPr="00667657">
        <w:rPr>
          <w:i/>
        </w:rPr>
        <w:t>j</w:t>
      </w:r>
      <w:r w:rsidRPr="00B963EB">
        <w:t xml:space="preserve"> over </w:t>
      </w:r>
      <w:r w:rsidRPr="00B963EB">
        <w:rPr>
          <w:i/>
        </w:rPr>
        <w:t>i</w:t>
      </w:r>
      <w:r w:rsidRPr="00B963EB">
        <w:t xml:space="preserve"> ’s total sales </w:t>
      </w:r>
      <w:r w:rsidRPr="00B963EB">
        <w:rPr>
          <w:color w:val="000000"/>
        </w:rPr>
        <w:t xml:space="preserve">is at least equal to 15%. Results </w:t>
      </w:r>
      <w:r w:rsidR="00D73FB3">
        <w:rPr>
          <w:color w:val="000000"/>
        </w:rPr>
        <w:t xml:space="preserve">for Column 2 </w:t>
      </w:r>
      <w:r w:rsidRPr="00B963EB">
        <w:rPr>
          <w:color w:val="000000"/>
        </w:rPr>
        <w:t xml:space="preserve">of Panels A and B are remarkably </w:t>
      </w:r>
      <w:r w:rsidR="00267BFD">
        <w:rPr>
          <w:color w:val="000000"/>
        </w:rPr>
        <w:t>similar to</w:t>
      </w:r>
      <w:r w:rsidR="00267BFD" w:rsidRPr="00B963EB">
        <w:rPr>
          <w:color w:val="000000"/>
        </w:rPr>
        <w:t xml:space="preserve"> </w:t>
      </w:r>
      <w:r w:rsidRPr="00B963EB">
        <w:rPr>
          <w:color w:val="000000"/>
        </w:rPr>
        <w:t xml:space="preserve">those shown in Column 2 </w:t>
      </w:r>
      <w:r w:rsidRPr="00102233">
        <w:rPr>
          <w:color w:val="000000"/>
        </w:rPr>
        <w:t xml:space="preserve">of Table </w:t>
      </w:r>
      <w:r w:rsidR="00D73FB3">
        <w:rPr>
          <w:color w:val="000000"/>
        </w:rPr>
        <w:t>3</w:t>
      </w:r>
      <w:r w:rsidRPr="00102233">
        <w:rPr>
          <w:color w:val="000000"/>
        </w:rPr>
        <w:t xml:space="preserve">. </w:t>
      </w:r>
      <w:r w:rsidR="00701CC1" w:rsidRPr="00533632">
        <w:rPr>
          <w:color w:val="000000"/>
        </w:rPr>
        <w:t>The only differ</w:t>
      </w:r>
      <w:r w:rsidR="00701CC1" w:rsidRPr="00A53D92">
        <w:rPr>
          <w:color w:val="000000"/>
        </w:rPr>
        <w:t xml:space="preserve">ence is </w:t>
      </w:r>
      <w:r w:rsidRPr="00A53D92">
        <w:rPr>
          <w:color w:val="000000"/>
        </w:rPr>
        <w:t>in Panel C of Column 2</w:t>
      </w:r>
      <w:r w:rsidR="00267BFD">
        <w:rPr>
          <w:color w:val="000000"/>
        </w:rPr>
        <w:t>, where</w:t>
      </w:r>
      <w:r w:rsidRPr="00A53D92">
        <w:rPr>
          <w:color w:val="000000"/>
        </w:rPr>
        <w:t xml:space="preserve"> </w:t>
      </w:r>
      <w:r w:rsidR="00DB5899" w:rsidRPr="00A53D92">
        <w:rPr>
          <w:i/>
          <w:iCs/>
        </w:rPr>
        <w:t xml:space="preserve">Length large CS </w:t>
      </w:r>
      <w:r w:rsidR="0099693E">
        <w:rPr>
          <w:i/>
          <w:iCs/>
        </w:rPr>
        <w:t>link</w:t>
      </w:r>
      <w:r w:rsidR="00DB5899" w:rsidRPr="00A53D92">
        <w:rPr>
          <w:i/>
          <w:iCs/>
        </w:rPr>
        <w:t>s</w:t>
      </w:r>
      <w:r w:rsidR="007B47FB" w:rsidRPr="00A53D92">
        <w:rPr>
          <w:color w:val="000000"/>
        </w:rPr>
        <w:t xml:space="preserve"> </w:t>
      </w:r>
      <w:r w:rsidRPr="00A53D92">
        <w:rPr>
          <w:color w:val="000000"/>
        </w:rPr>
        <w:t xml:space="preserve">and the squared </w:t>
      </w:r>
      <w:r w:rsidR="00DB5899" w:rsidRPr="00A53D92">
        <w:rPr>
          <w:i/>
          <w:iCs/>
        </w:rPr>
        <w:t xml:space="preserve">Length large CS </w:t>
      </w:r>
      <w:r w:rsidR="0099693E">
        <w:rPr>
          <w:i/>
          <w:iCs/>
        </w:rPr>
        <w:t>link</w:t>
      </w:r>
      <w:r w:rsidR="00DB5899" w:rsidRPr="00A53D92">
        <w:rPr>
          <w:i/>
          <w:iCs/>
        </w:rPr>
        <w:t>s</w:t>
      </w:r>
      <w:r w:rsidRPr="00A53D92">
        <w:rPr>
          <w:color w:val="000000"/>
        </w:rPr>
        <w:t xml:space="preserve"> are significantly and positively related to </w:t>
      </w:r>
      <w:r w:rsidR="00B7088E" w:rsidRPr="00A53D92">
        <w:rPr>
          <w:i/>
          <w:iCs/>
          <w:szCs w:val="20"/>
        </w:rPr>
        <w:t>AISD</w:t>
      </w:r>
      <w:r w:rsidRPr="00A53D92">
        <w:t xml:space="preserve">. </w:t>
      </w:r>
    </w:p>
    <w:p w14:paraId="6284E01D" w14:textId="77777777" w:rsidR="007E6B7A" w:rsidRPr="001554F3" w:rsidRDefault="00D73FB3" w:rsidP="007E6B7A">
      <w:pPr>
        <w:autoSpaceDE w:val="0"/>
        <w:autoSpaceDN w:val="0"/>
        <w:adjustRightInd w:val="0"/>
        <w:spacing w:line="480" w:lineRule="auto"/>
        <w:ind w:firstLine="567"/>
        <w:jc w:val="both"/>
        <w:rPr>
          <w:color w:val="000000"/>
        </w:rPr>
      </w:pPr>
      <w:r>
        <w:rPr>
          <w:color w:val="000000"/>
        </w:rPr>
        <w:t>Another concern is</w:t>
      </w:r>
      <w:r w:rsidR="007E6B7A" w:rsidRPr="00A53D92">
        <w:rPr>
          <w:color w:val="000000"/>
        </w:rPr>
        <w:t xml:space="preserve"> related </w:t>
      </w:r>
      <w:r w:rsidR="00267BFD">
        <w:rPr>
          <w:color w:val="000000"/>
        </w:rPr>
        <w:t>to</w:t>
      </w:r>
      <w:r w:rsidR="00267BFD" w:rsidRPr="00A53D92">
        <w:rPr>
          <w:color w:val="000000"/>
        </w:rPr>
        <w:t xml:space="preserve"> </w:t>
      </w:r>
      <w:r w:rsidR="007E6B7A" w:rsidRPr="00A53D92">
        <w:rPr>
          <w:color w:val="000000"/>
        </w:rPr>
        <w:t xml:space="preserve">the fact that </w:t>
      </w:r>
      <w:r w:rsidR="00267BFD">
        <w:rPr>
          <w:color w:val="000000"/>
        </w:rPr>
        <w:t xml:space="preserve">the </w:t>
      </w:r>
      <w:r w:rsidR="0043098D">
        <w:rPr>
          <w:color w:val="000000"/>
        </w:rPr>
        <w:t xml:space="preserve">large </w:t>
      </w:r>
      <w:r w:rsidR="00C2325A">
        <w:rPr>
          <w:color w:val="000000"/>
        </w:rPr>
        <w:t>customer</w:t>
      </w:r>
      <w:r w:rsidR="007B47FB" w:rsidRPr="00A53D92">
        <w:rPr>
          <w:color w:val="000000"/>
        </w:rPr>
        <w:t>-supplier</w:t>
      </w:r>
      <w:r w:rsidR="007E6B7A" w:rsidRPr="00A53D92">
        <w:rPr>
          <w:color w:val="000000"/>
        </w:rPr>
        <w:t xml:space="preserve"> exerts a quality</w:t>
      </w:r>
      <w:r w:rsidR="007E6B7A" w:rsidRPr="00A53D92">
        <w:t>-signaling</w:t>
      </w:r>
      <w:r w:rsidR="007E6B7A" w:rsidRPr="00A53D92">
        <w:rPr>
          <w:color w:val="000000"/>
        </w:rPr>
        <w:t xml:space="preserve"> effect only in the long term</w:t>
      </w:r>
      <w:r w:rsidR="0081781F" w:rsidRPr="00A53D92">
        <w:rPr>
          <w:color w:val="000000"/>
        </w:rPr>
        <w:t xml:space="preserve"> as suggested by Cen et al. (2016)</w:t>
      </w:r>
      <w:r w:rsidR="007E6B7A" w:rsidRPr="00A53D92">
        <w:rPr>
          <w:color w:val="000000"/>
        </w:rPr>
        <w:t xml:space="preserve">. </w:t>
      </w:r>
      <w:r w:rsidR="007E6B7A" w:rsidRPr="00A53D92">
        <w:t xml:space="preserve">We therefore further analyze </w:t>
      </w:r>
      <w:r w:rsidR="00AD1B0F">
        <w:t xml:space="preserve">the role of </w:t>
      </w:r>
      <w:r w:rsidR="007E6B7A" w:rsidRPr="00D01339">
        <w:t xml:space="preserve">the length of the relationship </w:t>
      </w:r>
      <w:r w:rsidR="00AD1B0F">
        <w:t>for</w:t>
      </w:r>
      <w:r w:rsidR="007E6B7A" w:rsidRPr="00D01339">
        <w:t xml:space="preserve"> our results. To this end, we consider only </w:t>
      </w:r>
      <w:r w:rsidR="007E6B7A" w:rsidRPr="00D01339">
        <w:rPr>
          <w:rFonts w:eastAsia="DengXian"/>
          <w:lang w:eastAsia="zh-CN"/>
        </w:rPr>
        <w:t xml:space="preserve">the </w:t>
      </w:r>
      <w:r w:rsidR="0043098D">
        <w:rPr>
          <w:rFonts w:eastAsia="DengXian"/>
          <w:lang w:eastAsia="zh-CN"/>
        </w:rPr>
        <w:t xml:space="preserve">large </w:t>
      </w:r>
      <w:r w:rsidR="00C2325A">
        <w:rPr>
          <w:rFonts w:eastAsia="DengXian"/>
          <w:lang w:eastAsia="zh-CN"/>
        </w:rPr>
        <w:t>customer</w:t>
      </w:r>
      <w:r w:rsidR="00FB05FD" w:rsidRPr="003A6014">
        <w:rPr>
          <w:rFonts w:eastAsia="DengXian"/>
          <w:lang w:eastAsia="zh-CN"/>
        </w:rPr>
        <w:t>-sup</w:t>
      </w:r>
      <w:r w:rsidR="00FB05FD" w:rsidRPr="00556837">
        <w:rPr>
          <w:rFonts w:eastAsia="DengXian"/>
          <w:lang w:eastAsia="zh-CN"/>
        </w:rPr>
        <w:t>plier</w:t>
      </w:r>
      <w:r w:rsidR="007E6B7A" w:rsidRPr="00556837">
        <w:rPr>
          <w:rFonts w:eastAsia="DengXian"/>
          <w:lang w:eastAsia="zh-CN"/>
        </w:rPr>
        <w:t xml:space="preserve"> relationships that last less than three years, </w:t>
      </w:r>
      <w:r w:rsidR="00466373" w:rsidRPr="00466373">
        <w:rPr>
          <w:i/>
          <w:iCs/>
        </w:rPr>
        <w:t>Large CS link &lt;3y</w:t>
      </w:r>
      <w:r w:rsidR="007E6B7A" w:rsidRPr="00D01339">
        <w:rPr>
          <w:rFonts w:eastAsia="DengXian"/>
          <w:i/>
          <w:lang w:eastAsia="zh-CN"/>
        </w:rPr>
        <w:t>,</w:t>
      </w:r>
      <w:r w:rsidR="007E6B7A" w:rsidRPr="00D01339">
        <w:t xml:space="preserve"> and the results hold as shown in Column 3 of Panels A, B and C. We still find</w:t>
      </w:r>
      <w:r w:rsidR="007E6B7A" w:rsidRPr="003A6014">
        <w:t xml:space="preserve"> that </w:t>
      </w:r>
      <w:r w:rsidR="007E6B7A" w:rsidRPr="00556837">
        <w:rPr>
          <w:i/>
        </w:rPr>
        <w:t>Lead agent share</w:t>
      </w:r>
      <w:r w:rsidR="007E6B7A" w:rsidRPr="00556837" w:rsidDel="006C2ECF">
        <w:rPr>
          <w:i/>
        </w:rPr>
        <w:t xml:space="preserve"> </w:t>
      </w:r>
      <w:r w:rsidR="007E6B7A" w:rsidRPr="00556837">
        <w:t xml:space="preserve">is positively and significantly related to </w:t>
      </w:r>
      <w:r w:rsidR="00F21A57" w:rsidRPr="00667657">
        <w:rPr>
          <w:i/>
          <w:iCs/>
        </w:rPr>
        <w:t>AISD</w:t>
      </w:r>
      <w:r w:rsidR="007E6B7A" w:rsidRPr="00667657">
        <w:t xml:space="preserve">, while the coefficients of </w:t>
      </w:r>
      <w:r w:rsidR="007B47FB" w:rsidRPr="00CE7D45">
        <w:rPr>
          <w:i/>
          <w:iCs/>
        </w:rPr>
        <w:t xml:space="preserve">Large CS </w:t>
      </w:r>
      <w:r w:rsidR="0099693E">
        <w:rPr>
          <w:i/>
          <w:iCs/>
        </w:rPr>
        <w:t>link</w:t>
      </w:r>
      <w:r w:rsidR="007B47FB" w:rsidRPr="00CE7D45">
        <w:rPr>
          <w:i/>
          <w:iCs/>
        </w:rPr>
        <w:t>s</w:t>
      </w:r>
      <w:r w:rsidR="007E6B7A" w:rsidRPr="00D01339">
        <w:t xml:space="preserve"> </w:t>
      </w:r>
      <w:r w:rsidR="007E6B7A" w:rsidRPr="00556837">
        <w:t xml:space="preserve">and </w:t>
      </w:r>
      <w:r w:rsidR="00DB5899" w:rsidRPr="00556837">
        <w:rPr>
          <w:i/>
          <w:iCs/>
        </w:rPr>
        <w:t xml:space="preserve">Length large CS </w:t>
      </w:r>
      <w:r w:rsidR="0099693E">
        <w:rPr>
          <w:i/>
          <w:iCs/>
        </w:rPr>
        <w:t>link</w:t>
      </w:r>
      <w:r w:rsidR="00DB5899" w:rsidRPr="00556837">
        <w:rPr>
          <w:i/>
          <w:iCs/>
        </w:rPr>
        <w:t>s</w:t>
      </w:r>
      <w:r w:rsidR="007B47FB" w:rsidRPr="00667657">
        <w:t xml:space="preserve"> </w:t>
      </w:r>
      <w:r w:rsidR="007E6B7A" w:rsidRPr="00667657">
        <w:t>are not significant.</w:t>
      </w:r>
    </w:p>
    <w:p w14:paraId="1E96B179" w14:textId="77777777" w:rsidR="007E6B7A" w:rsidRPr="00DB2748" w:rsidRDefault="00D73FB3" w:rsidP="007E6B7A">
      <w:pPr>
        <w:autoSpaceDE w:val="0"/>
        <w:autoSpaceDN w:val="0"/>
        <w:adjustRightInd w:val="0"/>
        <w:spacing w:line="480" w:lineRule="auto"/>
        <w:ind w:firstLine="567"/>
        <w:jc w:val="both"/>
      </w:pPr>
      <w:r>
        <w:rPr>
          <w:color w:val="000000"/>
        </w:rPr>
        <w:t xml:space="preserve">Finally, </w:t>
      </w:r>
      <w:r w:rsidR="00701CC1">
        <w:rPr>
          <w:color w:val="000000"/>
        </w:rPr>
        <w:t>some</w:t>
      </w:r>
      <w:r w:rsidR="007E6B7A" w:rsidRPr="008F5DE1">
        <w:rPr>
          <w:color w:val="000000"/>
        </w:rPr>
        <w:t xml:space="preserve"> </w:t>
      </w:r>
      <w:r w:rsidR="0043098D">
        <w:rPr>
          <w:color w:val="000000"/>
        </w:rPr>
        <w:t xml:space="preserve">large </w:t>
      </w:r>
      <w:r w:rsidR="00C2325A">
        <w:rPr>
          <w:color w:val="000000"/>
        </w:rPr>
        <w:t>customer</w:t>
      </w:r>
      <w:r w:rsidR="002B570B">
        <w:rPr>
          <w:color w:val="000000"/>
        </w:rPr>
        <w:t xml:space="preserve">-supplier firms </w:t>
      </w:r>
      <w:r w:rsidR="00701CC1">
        <w:rPr>
          <w:color w:val="000000"/>
        </w:rPr>
        <w:t xml:space="preserve">may </w:t>
      </w:r>
      <w:r w:rsidR="007E6B7A" w:rsidRPr="008F5DE1">
        <w:rPr>
          <w:color w:val="000000"/>
        </w:rPr>
        <w:t>exert a</w:t>
      </w:r>
      <w:r w:rsidR="00701CC1">
        <w:rPr>
          <w:color w:val="000000"/>
        </w:rPr>
        <w:t xml:space="preserve"> stronger</w:t>
      </w:r>
      <w:r w:rsidR="007E6B7A" w:rsidRPr="008F5DE1">
        <w:rPr>
          <w:color w:val="000000"/>
        </w:rPr>
        <w:t xml:space="preserve"> r</w:t>
      </w:r>
      <w:r w:rsidR="007E6B7A" w:rsidRPr="001554F3">
        <w:rPr>
          <w:rStyle w:val="highlight"/>
        </w:rPr>
        <w:t>eputation</w:t>
      </w:r>
      <w:r w:rsidR="007E6B7A" w:rsidRPr="001554F3">
        <w:t>-signaling</w:t>
      </w:r>
      <w:r w:rsidR="007E6B7A" w:rsidRPr="008F5DE1">
        <w:rPr>
          <w:color w:val="000000"/>
        </w:rPr>
        <w:t xml:space="preserve"> effect</w:t>
      </w:r>
      <w:r w:rsidR="00701CC1">
        <w:rPr>
          <w:color w:val="000000"/>
        </w:rPr>
        <w:t xml:space="preserve"> that could</w:t>
      </w:r>
      <w:r w:rsidR="007E6B7A" w:rsidRPr="008F5DE1">
        <w:rPr>
          <w:color w:val="000000"/>
        </w:rPr>
        <w:t xml:space="preserve"> reduce the loan spread. To control for this issue, we </w:t>
      </w:r>
      <w:r w:rsidR="007E6B7A" w:rsidRPr="001554F3">
        <w:t>consider a firm exerting a r</w:t>
      </w:r>
      <w:r w:rsidR="007E6B7A" w:rsidRPr="001554F3">
        <w:rPr>
          <w:rStyle w:val="highlight"/>
        </w:rPr>
        <w:t>eputation</w:t>
      </w:r>
      <w:r w:rsidR="007E6B7A" w:rsidRPr="001554F3">
        <w:t>-signaling effect if it belongs to the S&amp;P 500 index</w:t>
      </w:r>
      <w:r w:rsidR="007E6B7A">
        <w:t xml:space="preserve">. For this test, we exclude from the sample borrowers with at least one </w:t>
      </w:r>
      <w:r w:rsidR="0043098D">
        <w:t xml:space="preserve">large </w:t>
      </w:r>
      <w:r w:rsidR="00C2325A">
        <w:t>customer</w:t>
      </w:r>
      <w:r w:rsidR="002B570B">
        <w:t>-supplier</w:t>
      </w:r>
      <w:r w:rsidR="007E6B7A">
        <w:t xml:space="preserve"> firm listed </w:t>
      </w:r>
      <w:r w:rsidR="007E6B7A" w:rsidRPr="000824F6">
        <w:rPr>
          <w:color w:val="000000"/>
        </w:rPr>
        <w:t>in the S&amp;P500 index</w:t>
      </w:r>
      <w:r w:rsidR="007E6B7A">
        <w:rPr>
          <w:color w:val="000000"/>
        </w:rPr>
        <w:t xml:space="preserve">. </w:t>
      </w:r>
      <w:r w:rsidR="007E6B7A" w:rsidRPr="000824F6">
        <w:rPr>
          <w:color w:val="000000"/>
        </w:rPr>
        <w:t xml:space="preserve">The estimates of Column 4 (Panels A, B and C) </w:t>
      </w:r>
      <w:r w:rsidR="008613F8">
        <w:rPr>
          <w:color w:val="000000"/>
        </w:rPr>
        <w:t xml:space="preserve">of Table 5 </w:t>
      </w:r>
      <w:r w:rsidR="007E6B7A" w:rsidRPr="000824F6">
        <w:rPr>
          <w:color w:val="000000"/>
        </w:rPr>
        <w:t xml:space="preserve">are consistent with those of Table </w:t>
      </w:r>
      <w:r>
        <w:rPr>
          <w:color w:val="000000"/>
        </w:rPr>
        <w:t>3</w:t>
      </w:r>
      <w:r w:rsidR="007E6B7A" w:rsidRPr="000824F6">
        <w:rPr>
          <w:color w:val="000000"/>
        </w:rPr>
        <w:t xml:space="preserve"> </w:t>
      </w:r>
      <w:r w:rsidR="007E6B7A" w:rsidRPr="00105309">
        <w:rPr>
          <w:color w:val="000000"/>
        </w:rPr>
        <w:t xml:space="preserve">where the dependent variable is </w:t>
      </w:r>
      <w:r w:rsidR="00902AFF" w:rsidRPr="00902AFF">
        <w:rPr>
          <w:i/>
          <w:iCs/>
        </w:rPr>
        <w:t>AISD</w:t>
      </w:r>
      <w:r w:rsidR="007E6B7A" w:rsidRPr="002F1113">
        <w:t>.</w:t>
      </w:r>
      <w:r w:rsidR="007E6B7A" w:rsidRPr="00105309">
        <w:rPr>
          <w:rStyle w:val="FootnoteReference"/>
        </w:rPr>
        <w:footnoteReference w:id="17"/>
      </w:r>
      <w:r w:rsidR="007E6B7A" w:rsidRPr="00DB2748">
        <w:t xml:space="preserve"> </w:t>
      </w:r>
    </w:p>
    <w:p w14:paraId="162328E1" w14:textId="77777777" w:rsidR="00D73FB3" w:rsidRDefault="00D73FB3" w:rsidP="00E65701">
      <w:pPr>
        <w:spacing w:line="480" w:lineRule="auto"/>
        <w:jc w:val="both"/>
        <w:rPr>
          <w:b/>
        </w:rPr>
      </w:pPr>
      <w:bookmarkStart w:id="30" w:name="_Hlk48913209"/>
    </w:p>
    <w:p w14:paraId="5DE402DF" w14:textId="77777777" w:rsidR="00E65701" w:rsidRPr="001554F3" w:rsidRDefault="00587C81" w:rsidP="00E65701">
      <w:pPr>
        <w:spacing w:line="480" w:lineRule="auto"/>
        <w:jc w:val="both"/>
        <w:rPr>
          <w:b/>
        </w:rPr>
      </w:pPr>
      <w:r>
        <w:rPr>
          <w:b/>
        </w:rPr>
        <w:t>5.2</w:t>
      </w:r>
      <w:r w:rsidR="00E65701">
        <w:rPr>
          <w:b/>
        </w:rPr>
        <w:t xml:space="preserve">. </w:t>
      </w:r>
      <w:r w:rsidR="00E65701" w:rsidRPr="001554F3">
        <w:rPr>
          <w:b/>
        </w:rPr>
        <w:t xml:space="preserve">Relationship </w:t>
      </w:r>
      <w:r w:rsidR="00E65701">
        <w:rPr>
          <w:b/>
        </w:rPr>
        <w:t>lending in the syndicate loan market via large customer-supplier links</w:t>
      </w:r>
    </w:p>
    <w:bookmarkEnd w:id="30"/>
    <w:p w14:paraId="0F4F1BA0" w14:textId="77777777" w:rsidR="00E65701" w:rsidRPr="00556837" w:rsidRDefault="00E65701" w:rsidP="00BB045E">
      <w:pPr>
        <w:autoSpaceDE w:val="0"/>
        <w:autoSpaceDN w:val="0"/>
        <w:adjustRightInd w:val="0"/>
        <w:spacing w:line="480" w:lineRule="auto"/>
        <w:jc w:val="both"/>
      </w:pPr>
      <w:r w:rsidRPr="00D01339">
        <w:t>This section examines whether the results of Tables</w:t>
      </w:r>
      <w:r w:rsidRPr="003A6014">
        <w:t xml:space="preserve"> 2</w:t>
      </w:r>
      <w:r w:rsidRPr="00556837">
        <w:t xml:space="preserve">, 3 and 4 are associated with an existing relationship </w:t>
      </w:r>
      <w:r w:rsidRPr="00587C81">
        <w:t xml:space="preserve">between the </w:t>
      </w:r>
      <w:r w:rsidRPr="00FA6B2B">
        <w:t>borrower</w:t>
      </w:r>
      <w:r w:rsidR="002C1D8D" w:rsidRPr="002E5AC1">
        <w:t>s’</w:t>
      </w:r>
      <w:r w:rsidRPr="002E5AC1">
        <w:t xml:space="preserve"> large customer</w:t>
      </w:r>
      <w:r w:rsidRPr="00587C81">
        <w:t>-supplier firms and lenders in the syndicated loan markets</w:t>
      </w:r>
      <w:r w:rsidR="00FA6B2B">
        <w:t>.</w:t>
      </w:r>
      <w:r w:rsidR="00A35990" w:rsidRPr="00FA6B2B">
        <w:t xml:space="preserve"> </w:t>
      </w:r>
      <w:r w:rsidR="00A35990" w:rsidRPr="00C74013">
        <w:t xml:space="preserve">Specifically, we consider </w:t>
      </w:r>
      <w:r w:rsidR="001F43B1" w:rsidRPr="00C74013">
        <w:t>the possibility that borrowers</w:t>
      </w:r>
      <w:r w:rsidRPr="00C74013">
        <w:t xml:space="preserve"> and </w:t>
      </w:r>
      <w:r w:rsidR="002C1D8D" w:rsidRPr="00C74013">
        <w:t>their</w:t>
      </w:r>
      <w:r w:rsidRPr="00C74013">
        <w:t xml:space="preserve"> </w:t>
      </w:r>
      <w:bookmarkStart w:id="31" w:name="_Hlk48901854"/>
      <w:r w:rsidR="00A35990" w:rsidRPr="00C74013">
        <w:t xml:space="preserve">large </w:t>
      </w:r>
      <w:r w:rsidRPr="00C74013">
        <w:t>customer-supplier partners share the same bank</w:t>
      </w:r>
      <w:bookmarkEnd w:id="31"/>
      <w:r w:rsidRPr="00C74013">
        <w:t>.</w:t>
      </w:r>
      <w:r w:rsidRPr="00587C81">
        <w:t xml:space="preserve"> In</w:t>
      </w:r>
      <w:r w:rsidRPr="00556837">
        <w:t xml:space="preserve"> this case, in line with the arguments of</w:t>
      </w:r>
      <w:r w:rsidRPr="00667657">
        <w:t xml:space="preserve"> Hasan et al. (</w:t>
      </w:r>
      <w:r w:rsidRPr="00622864">
        <w:t>2020), leader</w:t>
      </w:r>
      <w:r w:rsidR="002C1D8D">
        <w:t>s</w:t>
      </w:r>
      <w:r w:rsidRPr="00622864">
        <w:t xml:space="preserve"> and/or other participants of the syndicate loans could acquire private information on the borrower</w:t>
      </w:r>
      <w:r w:rsidR="002C1D8D">
        <w:t>s</w:t>
      </w:r>
      <w:r w:rsidRPr="00622864">
        <w:t xml:space="preserve"> by lending to </w:t>
      </w:r>
      <w:r w:rsidR="002C1D8D">
        <w:t>their</w:t>
      </w:r>
      <w:r w:rsidR="002C1D8D" w:rsidRPr="00622864">
        <w:t xml:space="preserve"> </w:t>
      </w:r>
      <w:r>
        <w:t>large customer</w:t>
      </w:r>
      <w:r w:rsidRPr="00CE7D45">
        <w:t>-suppl</w:t>
      </w:r>
      <w:r w:rsidRPr="00D01339">
        <w:t xml:space="preserve">ier </w:t>
      </w:r>
      <w:r w:rsidRPr="003A6014">
        <w:t>firms</w:t>
      </w:r>
      <w:r w:rsidRPr="00556837">
        <w:t xml:space="preserve">. </w:t>
      </w:r>
    </w:p>
    <w:p w14:paraId="68E39134" w14:textId="77777777" w:rsidR="00E65701" w:rsidRPr="00B963EB" w:rsidRDefault="00E65701" w:rsidP="00E65701">
      <w:pPr>
        <w:autoSpaceDE w:val="0"/>
        <w:autoSpaceDN w:val="0"/>
        <w:adjustRightInd w:val="0"/>
        <w:spacing w:line="480" w:lineRule="auto"/>
        <w:ind w:firstLine="567"/>
        <w:jc w:val="both"/>
      </w:pPr>
      <w:r w:rsidRPr="00667657">
        <w:t xml:space="preserve">On the one hand, lenders may be lenient </w:t>
      </w:r>
      <w:r w:rsidRPr="00B963EB">
        <w:t>with a connected firm because</w:t>
      </w:r>
      <w:r w:rsidR="00AA4108">
        <w:t>,</w:t>
      </w:r>
      <w:r w:rsidRPr="00B963EB">
        <w:t xml:space="preserve"> by doing so</w:t>
      </w:r>
      <w:r w:rsidR="00AA4108">
        <w:t>,</w:t>
      </w:r>
      <w:r w:rsidR="002C1D8D">
        <w:t xml:space="preserve"> </w:t>
      </w:r>
      <w:r w:rsidRPr="00B963EB">
        <w:t xml:space="preserve">they are helping their existing clients. On the other hand, lenders could be overly exposed to </w:t>
      </w:r>
      <w:r>
        <w:t>large customer</w:t>
      </w:r>
      <w:r w:rsidRPr="00CE7D45">
        <w:t>-suppl</w:t>
      </w:r>
      <w:r w:rsidRPr="00D01339">
        <w:t xml:space="preserve">ier </w:t>
      </w:r>
      <w:r w:rsidRPr="003A6014">
        <w:t xml:space="preserve">risks by lending along the </w:t>
      </w:r>
      <w:r>
        <w:t>large customer</w:t>
      </w:r>
      <w:r w:rsidRPr="00556837">
        <w:t>-supplier links. Consequently, lenders could exert more moni</w:t>
      </w:r>
      <w:r w:rsidRPr="00667657">
        <w:t>toring effort</w:t>
      </w:r>
      <w:r w:rsidR="00AB567B">
        <w:t>s</w:t>
      </w:r>
      <w:r w:rsidRPr="00667657">
        <w:t xml:space="preserve"> on these connected firms and increase loan spreads as </w:t>
      </w:r>
      <w:r w:rsidR="00AB567B">
        <w:t>the</w:t>
      </w:r>
      <w:r w:rsidRPr="00667657">
        <w:t xml:space="preserve"> compensation for their additional costs and risks. In this analysis we explore </w:t>
      </w:r>
      <w:r w:rsidR="00AA4108">
        <w:t xml:space="preserve">whether </w:t>
      </w:r>
      <w:r w:rsidR="00FA6B2B">
        <w:t>these</w:t>
      </w:r>
      <w:r w:rsidR="00FA6B2B" w:rsidRPr="00667657">
        <w:t xml:space="preserve"> </w:t>
      </w:r>
      <w:r w:rsidRPr="00667657">
        <w:t>effect</w:t>
      </w:r>
      <w:r w:rsidR="00FA6B2B">
        <w:t>s</w:t>
      </w:r>
      <w:r w:rsidRPr="00667657">
        <w:t xml:space="preserve"> </w:t>
      </w:r>
      <w:r w:rsidR="00FA6B2B">
        <w:t xml:space="preserve">impact the </w:t>
      </w:r>
      <w:r w:rsidR="00F47EB0">
        <w:t xml:space="preserve">results discussed </w:t>
      </w:r>
      <w:r w:rsidR="00FA6B2B">
        <w:t>in Section 4</w:t>
      </w:r>
      <w:r w:rsidRPr="00667657">
        <w:t>.</w:t>
      </w:r>
    </w:p>
    <w:p w14:paraId="7D466E0D" w14:textId="4F5C3DEB" w:rsidR="00E65701" w:rsidRPr="00CE7D45" w:rsidRDefault="00E65701" w:rsidP="00A35990">
      <w:pPr>
        <w:pStyle w:val="FootnoteText"/>
        <w:spacing w:line="480" w:lineRule="auto"/>
        <w:ind w:firstLine="567"/>
        <w:jc w:val="both"/>
        <w:rPr>
          <w:sz w:val="24"/>
          <w:szCs w:val="24"/>
        </w:rPr>
      </w:pPr>
      <w:bookmarkStart w:id="32" w:name="_Hlk49520352"/>
      <w:r w:rsidRPr="00FA6B2B">
        <w:rPr>
          <w:sz w:val="24"/>
          <w:szCs w:val="24"/>
        </w:rPr>
        <w:t xml:space="preserve">For this analysis, we </w:t>
      </w:r>
      <w:r w:rsidR="00AB567B" w:rsidRPr="00C74013">
        <w:rPr>
          <w:sz w:val="24"/>
          <w:szCs w:val="24"/>
        </w:rPr>
        <w:t>follow Bharath et al. (2007, 2011)</w:t>
      </w:r>
      <w:r w:rsidR="00AB567B" w:rsidRPr="00FA6B2B">
        <w:rPr>
          <w:sz w:val="24"/>
          <w:szCs w:val="24"/>
        </w:rPr>
        <w:t xml:space="preserve"> by </w:t>
      </w:r>
      <w:r w:rsidRPr="00FA6B2B">
        <w:rPr>
          <w:sz w:val="24"/>
          <w:szCs w:val="24"/>
        </w:rPr>
        <w:t>account</w:t>
      </w:r>
      <w:r w:rsidR="00AB567B" w:rsidRPr="00FA6B2B">
        <w:rPr>
          <w:sz w:val="24"/>
          <w:szCs w:val="24"/>
        </w:rPr>
        <w:t>ing</w:t>
      </w:r>
      <w:r w:rsidRPr="002E5AC1">
        <w:rPr>
          <w:sz w:val="24"/>
          <w:szCs w:val="24"/>
        </w:rPr>
        <w:t xml:space="preserve"> for the indirect relationship lending between the lead agent and </w:t>
      </w:r>
      <w:r w:rsidR="00AB567B" w:rsidRPr="002E5AC1">
        <w:rPr>
          <w:sz w:val="24"/>
          <w:szCs w:val="24"/>
        </w:rPr>
        <w:t xml:space="preserve">the </w:t>
      </w:r>
      <w:r w:rsidRPr="002E5AC1">
        <w:rPr>
          <w:sz w:val="24"/>
          <w:szCs w:val="24"/>
        </w:rPr>
        <w:t>borrower</w:t>
      </w:r>
      <w:r w:rsidR="00AA4108">
        <w:rPr>
          <w:sz w:val="24"/>
          <w:szCs w:val="24"/>
        </w:rPr>
        <w:t>. We do this</w:t>
      </w:r>
      <w:r w:rsidRPr="002E5AC1">
        <w:rPr>
          <w:sz w:val="24"/>
          <w:szCs w:val="24"/>
        </w:rPr>
        <w:t xml:space="preserve"> considering the number of </w:t>
      </w:r>
      <w:r w:rsidRPr="00C74013">
        <w:rPr>
          <w:sz w:val="24"/>
          <w:szCs w:val="24"/>
        </w:rPr>
        <w:t xml:space="preserve">loans provided by the lead agent to any borrower’s large customer-supplier in </w:t>
      </w:r>
      <w:r w:rsidR="004B2193">
        <w:rPr>
          <w:sz w:val="24"/>
          <w:szCs w:val="24"/>
        </w:rPr>
        <w:t xml:space="preserve">the </w:t>
      </w:r>
      <w:r w:rsidRPr="00C74013">
        <w:rPr>
          <w:sz w:val="24"/>
          <w:szCs w:val="24"/>
        </w:rPr>
        <w:t xml:space="preserve">last </w:t>
      </w:r>
      <w:r w:rsidR="004B2193">
        <w:rPr>
          <w:sz w:val="24"/>
          <w:szCs w:val="24"/>
        </w:rPr>
        <w:t>five</w:t>
      </w:r>
      <w:r w:rsidRPr="00C74013">
        <w:rPr>
          <w:sz w:val="24"/>
          <w:szCs w:val="24"/>
        </w:rPr>
        <w:t xml:space="preserve"> years</w:t>
      </w:r>
      <w:bookmarkEnd w:id="32"/>
      <w:r w:rsidRPr="00C74013">
        <w:rPr>
          <w:sz w:val="24"/>
          <w:szCs w:val="24"/>
        </w:rPr>
        <w:t>.</w:t>
      </w:r>
      <w:r w:rsidR="00D73FB3">
        <w:rPr>
          <w:sz w:val="24"/>
          <w:szCs w:val="24"/>
        </w:rPr>
        <w:t xml:space="preserve"> </w:t>
      </w:r>
      <w:r w:rsidR="00FA6B2B">
        <w:rPr>
          <w:sz w:val="24"/>
          <w:szCs w:val="24"/>
        </w:rPr>
        <w:t>W</w:t>
      </w:r>
      <w:r w:rsidRPr="00CE7D45">
        <w:rPr>
          <w:sz w:val="24"/>
          <w:szCs w:val="24"/>
        </w:rPr>
        <w:t xml:space="preserve">e create </w:t>
      </w:r>
      <w:r w:rsidR="00D73FB3">
        <w:rPr>
          <w:sz w:val="24"/>
          <w:szCs w:val="24"/>
        </w:rPr>
        <w:t>the binary variable</w:t>
      </w:r>
      <w:r w:rsidRPr="00CE7D45">
        <w:rPr>
          <w:sz w:val="24"/>
          <w:szCs w:val="24"/>
        </w:rPr>
        <w:t xml:space="preserve"> </w:t>
      </w:r>
      <w:r w:rsidRPr="00CE7D45">
        <w:rPr>
          <w:i/>
          <w:sz w:val="24"/>
          <w:szCs w:val="24"/>
        </w:rPr>
        <w:t xml:space="preserve">RL via large CS </w:t>
      </w:r>
      <w:r w:rsidR="00352827">
        <w:rPr>
          <w:i/>
          <w:sz w:val="24"/>
          <w:szCs w:val="24"/>
        </w:rPr>
        <w:t xml:space="preserve">links </w:t>
      </w:r>
      <w:r w:rsidRPr="00CE7D45">
        <w:rPr>
          <w:sz w:val="24"/>
          <w:szCs w:val="24"/>
        </w:rPr>
        <w:t xml:space="preserve">that takes the value of 1 if the borrower has a </w:t>
      </w:r>
      <w:r>
        <w:rPr>
          <w:sz w:val="24"/>
          <w:szCs w:val="24"/>
        </w:rPr>
        <w:t>large customer</w:t>
      </w:r>
      <w:r w:rsidRPr="00CE7D45">
        <w:rPr>
          <w:sz w:val="24"/>
          <w:szCs w:val="24"/>
        </w:rPr>
        <w:t xml:space="preserve"> and/or supplier that has received a syndicate loan from the same lender(s) in the past five years. It is equal to 0 if the borrower does not have any </w:t>
      </w:r>
      <w:r>
        <w:rPr>
          <w:sz w:val="24"/>
          <w:szCs w:val="24"/>
        </w:rPr>
        <w:t>large customer</w:t>
      </w:r>
      <w:r w:rsidRPr="00CE7D45">
        <w:rPr>
          <w:sz w:val="24"/>
          <w:szCs w:val="24"/>
        </w:rPr>
        <w:t xml:space="preserve"> and/or supplier that has received a syndicate loan from the same lender(s) over the last five years. It is also equal to 0 if the borrower does not have any </w:t>
      </w:r>
      <w:r>
        <w:rPr>
          <w:sz w:val="24"/>
          <w:szCs w:val="24"/>
        </w:rPr>
        <w:t>large customer</w:t>
      </w:r>
      <w:r w:rsidRPr="00CE7D45">
        <w:rPr>
          <w:sz w:val="24"/>
          <w:szCs w:val="24"/>
        </w:rPr>
        <w:t xml:space="preserve"> and/or supplier that has received a loan.</w:t>
      </w:r>
      <w:r>
        <w:rPr>
          <w:rStyle w:val="FootnoteReference"/>
          <w:sz w:val="24"/>
          <w:szCs w:val="24"/>
        </w:rPr>
        <w:footnoteReference w:id="18"/>
      </w:r>
      <w:r w:rsidRPr="002F1113">
        <w:t xml:space="preserve"> </w:t>
      </w:r>
      <w:r w:rsidR="00AB567B">
        <w:rPr>
          <w:sz w:val="24"/>
          <w:szCs w:val="24"/>
        </w:rPr>
        <w:t xml:space="preserve">This </w:t>
      </w:r>
      <w:r w:rsidR="00AB567B" w:rsidRPr="007821D6">
        <w:rPr>
          <w:sz w:val="24"/>
          <w:szCs w:val="24"/>
        </w:rPr>
        <w:t>m</w:t>
      </w:r>
      <w:r w:rsidRPr="007821D6">
        <w:rPr>
          <w:sz w:val="24"/>
          <w:szCs w:val="24"/>
        </w:rPr>
        <w:t>easure is consistent with the existing literature (for example, Bharath et al., 2007, 2011; Schenone, 2010; Schwert</w:t>
      </w:r>
      <w:r w:rsidRPr="009E6E70">
        <w:rPr>
          <w:sz w:val="24"/>
          <w:szCs w:val="24"/>
        </w:rPr>
        <w:t>, 2018</w:t>
      </w:r>
      <w:r w:rsidRPr="00CE7D45">
        <w:rPr>
          <w:sz w:val="24"/>
          <w:szCs w:val="24"/>
        </w:rPr>
        <w:t xml:space="preserve">), </w:t>
      </w:r>
      <w:r w:rsidR="00AB567B">
        <w:rPr>
          <w:sz w:val="24"/>
          <w:szCs w:val="24"/>
        </w:rPr>
        <w:t xml:space="preserve">but </w:t>
      </w:r>
      <w:r>
        <w:rPr>
          <w:sz w:val="24"/>
          <w:szCs w:val="24"/>
        </w:rPr>
        <w:t xml:space="preserve">we are aware </w:t>
      </w:r>
      <w:r w:rsidR="00AB567B">
        <w:rPr>
          <w:sz w:val="24"/>
          <w:szCs w:val="24"/>
        </w:rPr>
        <w:t xml:space="preserve">of its </w:t>
      </w:r>
      <w:r>
        <w:rPr>
          <w:sz w:val="24"/>
          <w:szCs w:val="24"/>
        </w:rPr>
        <w:t>limitation</w:t>
      </w:r>
      <w:r w:rsidR="00D73FB3">
        <w:rPr>
          <w:sz w:val="24"/>
          <w:szCs w:val="24"/>
        </w:rPr>
        <w:t>. In fact, it</w:t>
      </w:r>
      <w:r>
        <w:rPr>
          <w:sz w:val="24"/>
          <w:szCs w:val="24"/>
        </w:rPr>
        <w:t xml:space="preserve"> establish</w:t>
      </w:r>
      <w:r w:rsidR="00D73FB3">
        <w:rPr>
          <w:sz w:val="24"/>
          <w:szCs w:val="24"/>
        </w:rPr>
        <w:t>es</w:t>
      </w:r>
      <w:r>
        <w:rPr>
          <w:sz w:val="24"/>
          <w:szCs w:val="24"/>
        </w:rPr>
        <w:t xml:space="preserve"> relationship lending using </w:t>
      </w:r>
      <w:r w:rsidR="00AB567B">
        <w:rPr>
          <w:sz w:val="24"/>
          <w:szCs w:val="24"/>
        </w:rPr>
        <w:t xml:space="preserve">data </w:t>
      </w:r>
      <w:r>
        <w:rPr>
          <w:sz w:val="24"/>
          <w:szCs w:val="24"/>
        </w:rPr>
        <w:t>only</w:t>
      </w:r>
      <w:r w:rsidR="00AB567B">
        <w:rPr>
          <w:sz w:val="24"/>
          <w:szCs w:val="24"/>
        </w:rPr>
        <w:t xml:space="preserve"> from the</w:t>
      </w:r>
      <w:r>
        <w:rPr>
          <w:sz w:val="24"/>
          <w:szCs w:val="24"/>
        </w:rPr>
        <w:t xml:space="preserve"> syndicated loan market</w:t>
      </w:r>
      <w:r w:rsidR="00D73FB3">
        <w:rPr>
          <w:sz w:val="24"/>
          <w:szCs w:val="24"/>
        </w:rPr>
        <w:t>, while ignoring other types of loans</w:t>
      </w:r>
      <w:r w:rsidRPr="00CE7D45">
        <w:rPr>
          <w:sz w:val="24"/>
          <w:szCs w:val="24"/>
        </w:rPr>
        <w:t>.</w:t>
      </w:r>
    </w:p>
    <w:p w14:paraId="11F8D3B9" w14:textId="77777777" w:rsidR="00E65701" w:rsidRDefault="00E65701">
      <w:pPr>
        <w:widowControl w:val="0"/>
        <w:autoSpaceDE w:val="0"/>
        <w:autoSpaceDN w:val="0"/>
        <w:adjustRightInd w:val="0"/>
        <w:spacing w:line="480" w:lineRule="auto"/>
        <w:ind w:firstLine="567"/>
        <w:jc w:val="both"/>
        <w:rPr>
          <w:szCs w:val="20"/>
        </w:rPr>
      </w:pPr>
      <w:r w:rsidRPr="00FA6B2B">
        <w:rPr>
          <w:szCs w:val="20"/>
        </w:rPr>
        <w:t>T</w:t>
      </w:r>
      <w:r w:rsidRPr="00FA6B2B">
        <w:t>able</w:t>
      </w:r>
      <w:r w:rsidRPr="002E5AC1">
        <w:t xml:space="preserve"> 6 </w:t>
      </w:r>
      <w:r w:rsidRPr="00C74013">
        <w:t>presents the results.</w:t>
      </w:r>
      <w:r w:rsidRPr="00C74013">
        <w:rPr>
          <w:lang w:eastAsia="zh-CN"/>
        </w:rPr>
        <w:t xml:space="preserve"> </w:t>
      </w:r>
      <w:r w:rsidRPr="00C74013">
        <w:rPr>
          <w:szCs w:val="20"/>
        </w:rPr>
        <w:t xml:space="preserve">Columns 1, 3 and 5 of </w:t>
      </w:r>
      <w:r w:rsidRPr="00C74013">
        <w:t>Table 6</w:t>
      </w:r>
      <w:r w:rsidRPr="00C74013">
        <w:rPr>
          <w:szCs w:val="20"/>
        </w:rPr>
        <w:t xml:space="preserve"> report the results for the first stage of 2SLS (</w:t>
      </w:r>
      <w:r w:rsidRPr="00C74013">
        <w:rPr>
          <w:szCs w:val="20"/>
          <w:lang w:val="en-GB"/>
        </w:rPr>
        <w:t>E</w:t>
      </w:r>
      <w:r w:rsidRPr="00C74013">
        <w:rPr>
          <w:szCs w:val="20"/>
        </w:rPr>
        <w:t xml:space="preserve">q </w:t>
      </w:r>
      <w:r w:rsidR="00F50A2A">
        <w:rPr>
          <w:szCs w:val="20"/>
        </w:rPr>
        <w:t>(</w:t>
      </w:r>
      <w:r w:rsidRPr="00C74013">
        <w:rPr>
          <w:szCs w:val="20"/>
        </w:rPr>
        <w:t>2</w:t>
      </w:r>
      <w:r w:rsidR="00F50A2A">
        <w:rPr>
          <w:szCs w:val="20"/>
        </w:rPr>
        <w:t>)</w:t>
      </w:r>
      <w:r w:rsidRPr="00C74013">
        <w:rPr>
          <w:szCs w:val="20"/>
        </w:rPr>
        <w:t>).</w:t>
      </w:r>
      <w:r w:rsidRPr="00FA6B2B">
        <w:rPr>
          <w:szCs w:val="20"/>
        </w:rPr>
        <w:t xml:space="preserve"> Instead, Columns 2, 4 and 6 show the esti</w:t>
      </w:r>
      <w:r w:rsidRPr="002E5AC1">
        <w:rPr>
          <w:szCs w:val="20"/>
        </w:rPr>
        <w:t>mates for the second stage of the 2SLS where the dependent variables</w:t>
      </w:r>
      <w:r w:rsidRPr="002F1113">
        <w:rPr>
          <w:szCs w:val="20"/>
        </w:rPr>
        <w:t xml:space="preserve"> are respectively </w:t>
      </w:r>
      <w:r>
        <w:rPr>
          <w:i/>
          <w:iCs/>
          <w:szCs w:val="20"/>
        </w:rPr>
        <w:t>AISD</w:t>
      </w:r>
      <w:r w:rsidRPr="002F1113">
        <w:rPr>
          <w:szCs w:val="20"/>
        </w:rPr>
        <w:t xml:space="preserve">, </w:t>
      </w:r>
      <w:r>
        <w:rPr>
          <w:i/>
          <w:iCs/>
          <w:szCs w:val="20"/>
        </w:rPr>
        <w:t>TCB</w:t>
      </w:r>
      <w:r w:rsidRPr="002F1113">
        <w:rPr>
          <w:szCs w:val="20"/>
        </w:rPr>
        <w:t xml:space="preserve"> and </w:t>
      </w:r>
      <w:r w:rsidRPr="002F1113">
        <w:rPr>
          <w:i/>
          <w:iCs/>
          <w:szCs w:val="20"/>
        </w:rPr>
        <w:t>Covenant</w:t>
      </w:r>
      <w:r>
        <w:rPr>
          <w:i/>
          <w:iCs/>
          <w:szCs w:val="20"/>
        </w:rPr>
        <w:t xml:space="preserve"> Index</w:t>
      </w:r>
      <w:r w:rsidRPr="002F1113">
        <w:rPr>
          <w:szCs w:val="20"/>
        </w:rPr>
        <w:t xml:space="preserve">. </w:t>
      </w:r>
      <w:r>
        <w:rPr>
          <w:szCs w:val="20"/>
        </w:rPr>
        <w:t>In</w:t>
      </w:r>
      <w:r w:rsidRPr="002F1113">
        <w:rPr>
          <w:szCs w:val="20"/>
        </w:rPr>
        <w:t xml:space="preserve"> all specifications</w:t>
      </w:r>
      <w:r w:rsidRPr="00D01339">
        <w:rPr>
          <w:szCs w:val="20"/>
        </w:rPr>
        <w:t xml:space="preserve">, the </w:t>
      </w:r>
      <w:r w:rsidRPr="00CE7D45">
        <w:rPr>
          <w:i/>
          <w:iCs/>
        </w:rPr>
        <w:t xml:space="preserve">Large CS </w:t>
      </w:r>
      <w:r>
        <w:rPr>
          <w:i/>
          <w:iCs/>
        </w:rPr>
        <w:t>link</w:t>
      </w:r>
      <w:r w:rsidRPr="00CE7D45">
        <w:rPr>
          <w:i/>
          <w:iCs/>
        </w:rPr>
        <w:t>s</w:t>
      </w:r>
      <w:r w:rsidRPr="002F1113">
        <w:rPr>
          <w:szCs w:val="20"/>
        </w:rPr>
        <w:t xml:space="preserve"> dummy is not significant</w:t>
      </w:r>
      <w:r>
        <w:rPr>
          <w:szCs w:val="20"/>
        </w:rPr>
        <w:t xml:space="preserve">. </w:t>
      </w:r>
      <w:r w:rsidRPr="002F1113">
        <w:rPr>
          <w:szCs w:val="20"/>
        </w:rPr>
        <w:t xml:space="preserve">Therefore, the relationship </w:t>
      </w:r>
      <w:r>
        <w:rPr>
          <w:szCs w:val="20"/>
        </w:rPr>
        <w:t>lending</w:t>
      </w:r>
      <w:r w:rsidRPr="002F1113">
        <w:rPr>
          <w:szCs w:val="20"/>
        </w:rPr>
        <w:t xml:space="preserve"> between the lead agent and at least one of the firms in the borrower’</w:t>
      </w:r>
      <w:r w:rsidR="00AA4108">
        <w:rPr>
          <w:szCs w:val="20"/>
        </w:rPr>
        <w:t>s</w:t>
      </w:r>
      <w:r w:rsidRPr="002F1113">
        <w:rPr>
          <w:szCs w:val="20"/>
        </w:rPr>
        <w:t xml:space="preserve"> </w:t>
      </w:r>
      <w:r>
        <w:t>large customer-supplier</w:t>
      </w:r>
      <w:r w:rsidRPr="002F1113">
        <w:rPr>
          <w:szCs w:val="20"/>
        </w:rPr>
        <w:t xml:space="preserve"> does not affect our findings on loan pricing and covenant</w:t>
      </w:r>
      <w:r>
        <w:rPr>
          <w:szCs w:val="20"/>
        </w:rPr>
        <w:t xml:space="preserve"> index</w:t>
      </w:r>
      <w:r w:rsidRPr="002F1113">
        <w:rPr>
          <w:szCs w:val="20"/>
        </w:rPr>
        <w:t xml:space="preserve">. Table </w:t>
      </w:r>
      <w:r>
        <w:rPr>
          <w:szCs w:val="20"/>
        </w:rPr>
        <w:t>6</w:t>
      </w:r>
      <w:r w:rsidRPr="002F1113">
        <w:rPr>
          <w:szCs w:val="20"/>
        </w:rPr>
        <w:t xml:space="preserve"> still shows that the lead agent demands higher mark-ups and uses more covenants because of the lack of diversification regardless </w:t>
      </w:r>
      <w:r w:rsidR="00AA4108">
        <w:rPr>
          <w:szCs w:val="20"/>
        </w:rPr>
        <w:t xml:space="preserve">of </w:t>
      </w:r>
      <w:r>
        <w:rPr>
          <w:szCs w:val="20"/>
        </w:rPr>
        <w:t xml:space="preserve">the </w:t>
      </w:r>
      <w:r w:rsidRPr="002F1113">
        <w:rPr>
          <w:szCs w:val="20"/>
        </w:rPr>
        <w:t xml:space="preserve">relationship </w:t>
      </w:r>
      <w:r>
        <w:rPr>
          <w:szCs w:val="20"/>
        </w:rPr>
        <w:t>lending</w:t>
      </w:r>
      <w:r w:rsidRPr="002F1113">
        <w:rPr>
          <w:szCs w:val="20"/>
        </w:rPr>
        <w:t xml:space="preserve"> with the borrower via </w:t>
      </w:r>
      <w:r w:rsidR="00AA4108">
        <w:rPr>
          <w:szCs w:val="20"/>
        </w:rPr>
        <w:t xml:space="preserve">the </w:t>
      </w:r>
      <w:r>
        <w:rPr>
          <w:szCs w:val="20"/>
        </w:rPr>
        <w:t>large customer-supplier link</w:t>
      </w:r>
      <w:r w:rsidRPr="002F1113">
        <w:rPr>
          <w:szCs w:val="20"/>
        </w:rPr>
        <w:t>.</w:t>
      </w:r>
      <w:r w:rsidRPr="000B6233">
        <w:rPr>
          <w:iCs/>
        </w:rPr>
        <w:t xml:space="preserve"> </w:t>
      </w:r>
      <w:r w:rsidRPr="002F1113">
        <w:rPr>
          <w:iCs/>
        </w:rPr>
        <w:t>Overall</w:t>
      </w:r>
      <w:r w:rsidRPr="002F1113">
        <w:rPr>
          <w:i/>
        </w:rPr>
        <w:t xml:space="preserve">, </w:t>
      </w:r>
      <w:r w:rsidRPr="002F1113">
        <w:rPr>
          <w:szCs w:val="20"/>
        </w:rPr>
        <w:t xml:space="preserve">the estimates of Table </w:t>
      </w:r>
      <w:r>
        <w:rPr>
          <w:szCs w:val="20"/>
        </w:rPr>
        <w:t>6</w:t>
      </w:r>
      <w:r w:rsidRPr="002F1113">
        <w:rPr>
          <w:szCs w:val="20"/>
        </w:rPr>
        <w:t xml:space="preserve"> are consistent with those reported in </w:t>
      </w:r>
      <w:r w:rsidR="00231053">
        <w:rPr>
          <w:szCs w:val="20"/>
        </w:rPr>
        <w:t>the main tables</w:t>
      </w:r>
      <w:r w:rsidRPr="002F1113">
        <w:rPr>
          <w:szCs w:val="20"/>
        </w:rPr>
        <w:t>.</w:t>
      </w:r>
    </w:p>
    <w:p w14:paraId="11DF225F" w14:textId="77777777" w:rsidR="00231053" w:rsidRPr="00007876" w:rsidRDefault="00231053">
      <w:pPr>
        <w:widowControl w:val="0"/>
        <w:autoSpaceDE w:val="0"/>
        <w:autoSpaceDN w:val="0"/>
        <w:adjustRightInd w:val="0"/>
        <w:spacing w:line="480" w:lineRule="auto"/>
        <w:ind w:firstLine="567"/>
        <w:jc w:val="both"/>
        <w:rPr>
          <w:szCs w:val="20"/>
        </w:rPr>
      </w:pPr>
    </w:p>
    <w:p w14:paraId="383658E6" w14:textId="77777777" w:rsidR="00E65701" w:rsidRDefault="00E65701" w:rsidP="00E65701">
      <w:pPr>
        <w:autoSpaceDE w:val="0"/>
        <w:autoSpaceDN w:val="0"/>
        <w:adjustRightInd w:val="0"/>
        <w:spacing w:line="480" w:lineRule="auto"/>
        <w:jc w:val="center"/>
        <w:rPr>
          <w:b/>
          <w:i/>
        </w:rPr>
      </w:pPr>
      <w:r w:rsidRPr="002F1113">
        <w:rPr>
          <w:b/>
          <w:i/>
        </w:rPr>
        <w:t xml:space="preserve">[Insert Table </w:t>
      </w:r>
      <w:r>
        <w:rPr>
          <w:b/>
          <w:i/>
        </w:rPr>
        <w:t>6</w:t>
      </w:r>
      <w:r w:rsidRPr="002F1113">
        <w:rPr>
          <w:b/>
          <w:i/>
        </w:rPr>
        <w:t xml:space="preserve"> about here]</w:t>
      </w:r>
    </w:p>
    <w:p w14:paraId="17FD46D9" w14:textId="77777777" w:rsidR="00E65701" w:rsidRPr="001554F3" w:rsidRDefault="00E65701" w:rsidP="00CA37D9">
      <w:pPr>
        <w:autoSpaceDE w:val="0"/>
        <w:autoSpaceDN w:val="0"/>
        <w:adjustRightInd w:val="0"/>
        <w:spacing w:line="480" w:lineRule="auto"/>
        <w:jc w:val="center"/>
        <w:rPr>
          <w:b/>
          <w:i/>
        </w:rPr>
      </w:pPr>
    </w:p>
    <w:p w14:paraId="6A93BDC2" w14:textId="77777777" w:rsidR="007E6B7A" w:rsidRPr="001554F3" w:rsidRDefault="00FA6B2B" w:rsidP="007E6B7A">
      <w:pPr>
        <w:autoSpaceDE w:val="0"/>
        <w:autoSpaceDN w:val="0"/>
        <w:adjustRightInd w:val="0"/>
        <w:spacing w:line="480" w:lineRule="auto"/>
        <w:rPr>
          <w:b/>
        </w:rPr>
      </w:pPr>
      <w:r>
        <w:rPr>
          <w:b/>
        </w:rPr>
        <w:t>5.</w:t>
      </w:r>
      <w:r w:rsidR="00AB567B">
        <w:rPr>
          <w:b/>
        </w:rPr>
        <w:t>3</w:t>
      </w:r>
      <w:r w:rsidR="007E6B7A" w:rsidRPr="001554F3">
        <w:rPr>
          <w:b/>
        </w:rPr>
        <w:t>.</w:t>
      </w:r>
      <w:r w:rsidR="007E6B7A" w:rsidRPr="001554F3">
        <w:rPr>
          <w:b/>
          <w:color w:val="000000"/>
        </w:rPr>
        <w:t xml:space="preserve"> Term loans and revolver loans</w:t>
      </w:r>
    </w:p>
    <w:p w14:paraId="40E3ADE4" w14:textId="77777777" w:rsidR="007E6B7A" w:rsidRPr="008F5DE1" w:rsidRDefault="007E6B7A" w:rsidP="00F556B4">
      <w:pPr>
        <w:autoSpaceDE w:val="0"/>
        <w:autoSpaceDN w:val="0"/>
        <w:adjustRightInd w:val="0"/>
        <w:spacing w:line="480" w:lineRule="auto"/>
        <w:jc w:val="both"/>
        <w:rPr>
          <w:rFonts w:eastAsia="DengXian"/>
          <w:lang w:eastAsia="zh-CN"/>
        </w:rPr>
      </w:pPr>
      <w:r w:rsidRPr="001554F3">
        <w:t>We also control for the l</w:t>
      </w:r>
      <w:r w:rsidRPr="001554F3">
        <w:rPr>
          <w:iCs/>
        </w:rPr>
        <w:t>oan facility type</w:t>
      </w:r>
      <w:r w:rsidRPr="001554F3">
        <w:t xml:space="preserve"> (term, revolver) that could potentially affect the loan pricing conditions (</w:t>
      </w:r>
      <w:r w:rsidR="00DF3159" w:rsidRPr="009E6E70">
        <w:t xml:space="preserve">Delis et al., </w:t>
      </w:r>
      <w:r w:rsidR="002F71FC" w:rsidRPr="009E6E70">
        <w:t>2020b</w:t>
      </w:r>
      <w:r w:rsidR="00DF3159" w:rsidRPr="009E6E70">
        <w:t xml:space="preserve">; </w:t>
      </w:r>
      <w:r w:rsidRPr="009E6E70">
        <w:t>Lim et al.</w:t>
      </w:r>
      <w:r w:rsidR="00DF3159" w:rsidRPr="009E6E70">
        <w:rPr>
          <w:color w:val="211D1E"/>
        </w:rPr>
        <w:t xml:space="preserve">, </w:t>
      </w:r>
      <w:r w:rsidRPr="009E6E70">
        <w:rPr>
          <w:color w:val="211D1E"/>
        </w:rPr>
        <w:t>201</w:t>
      </w:r>
      <w:r w:rsidR="00DF3159" w:rsidRPr="009E6E70">
        <w:rPr>
          <w:color w:val="211D1E"/>
        </w:rPr>
        <w:t>4</w:t>
      </w:r>
      <w:r w:rsidRPr="001554F3">
        <w:t xml:space="preserve">). Specifically, term loan </w:t>
      </w:r>
      <w:r w:rsidR="00326301">
        <w:t>facilities</w:t>
      </w:r>
      <w:r w:rsidRPr="001554F3">
        <w:t xml:space="preserve"> tend to have higher spreads than revolver </w:t>
      </w:r>
      <w:r w:rsidR="00326301">
        <w:t>facilities</w:t>
      </w:r>
      <w:r w:rsidR="00505445">
        <w:t xml:space="preserve">. </w:t>
      </w:r>
      <w:r w:rsidR="00763A6E">
        <w:rPr>
          <w:rFonts w:eastAsia="DengXian"/>
          <w:lang w:eastAsia="zh-CN"/>
        </w:rPr>
        <w:t>To address this concerns</w:t>
      </w:r>
      <w:r w:rsidRPr="008F5DE1">
        <w:rPr>
          <w:rFonts w:eastAsia="DengXian"/>
          <w:lang w:eastAsia="zh-CN"/>
        </w:rPr>
        <w:t>,</w:t>
      </w:r>
      <w:r w:rsidR="00763A6E">
        <w:rPr>
          <w:rFonts w:eastAsia="DengXian"/>
          <w:lang w:eastAsia="zh-CN"/>
        </w:rPr>
        <w:t xml:space="preserve"> </w:t>
      </w:r>
      <w:r w:rsidR="00D3589F">
        <w:rPr>
          <w:rFonts w:eastAsia="DengXian"/>
          <w:lang w:eastAsia="zh-CN"/>
        </w:rPr>
        <w:t>Table 7 control</w:t>
      </w:r>
      <w:r w:rsidR="00763A6E">
        <w:rPr>
          <w:rFonts w:eastAsia="DengXian"/>
          <w:lang w:eastAsia="zh-CN"/>
        </w:rPr>
        <w:t>s</w:t>
      </w:r>
      <w:r w:rsidR="00D3589F">
        <w:rPr>
          <w:rFonts w:eastAsia="DengXian"/>
          <w:lang w:eastAsia="zh-CN"/>
        </w:rPr>
        <w:t xml:space="preserve"> for</w:t>
      </w:r>
      <w:r w:rsidRPr="008F5DE1">
        <w:rPr>
          <w:rFonts w:eastAsia="DengXian"/>
          <w:lang w:eastAsia="zh-CN"/>
        </w:rPr>
        <w:t xml:space="preserve"> the loan facility’s type</w:t>
      </w:r>
      <w:r w:rsidR="00D3589F">
        <w:rPr>
          <w:rFonts w:eastAsia="DengXian"/>
          <w:lang w:eastAsia="zh-CN"/>
        </w:rPr>
        <w:t>s</w:t>
      </w:r>
      <w:r w:rsidRPr="008F5DE1">
        <w:rPr>
          <w:rFonts w:eastAsia="DengXian"/>
          <w:lang w:eastAsia="zh-CN"/>
        </w:rPr>
        <w:t xml:space="preserve">. Specifically, the variable </w:t>
      </w:r>
      <w:r w:rsidRPr="008F5DE1">
        <w:rPr>
          <w:rFonts w:eastAsia="DengXian"/>
          <w:i/>
          <w:lang w:eastAsia="zh-CN"/>
        </w:rPr>
        <w:t>Term loan</w:t>
      </w:r>
      <w:r w:rsidRPr="008F5DE1">
        <w:rPr>
          <w:rFonts w:eastAsia="DengXian"/>
          <w:lang w:eastAsia="zh-CN"/>
        </w:rPr>
        <w:t xml:space="preserve"> is a dummy that is equal to </w:t>
      </w:r>
      <w:r>
        <w:rPr>
          <w:rFonts w:eastAsia="DengXian"/>
          <w:lang w:eastAsia="zh-CN"/>
        </w:rPr>
        <w:t>1</w:t>
      </w:r>
      <w:r w:rsidRPr="008F5DE1">
        <w:rPr>
          <w:rFonts w:eastAsia="DengXian"/>
          <w:lang w:eastAsia="zh-CN"/>
        </w:rPr>
        <w:t xml:space="preserve"> if the </w:t>
      </w:r>
      <w:r w:rsidR="00D3589F">
        <w:rPr>
          <w:rFonts w:eastAsia="DengXian"/>
          <w:lang w:eastAsia="zh-CN"/>
        </w:rPr>
        <w:t xml:space="preserve">type of the </w:t>
      </w:r>
      <w:r w:rsidRPr="008F5DE1">
        <w:rPr>
          <w:rFonts w:eastAsia="DengXian"/>
          <w:lang w:eastAsia="zh-CN"/>
        </w:rPr>
        <w:t>loan facility</w:t>
      </w:r>
      <w:r w:rsidR="00D3589F">
        <w:rPr>
          <w:rFonts w:eastAsia="DengXian"/>
          <w:lang w:eastAsia="zh-CN"/>
        </w:rPr>
        <w:t xml:space="preserve"> </w:t>
      </w:r>
      <w:r w:rsidRPr="008F5DE1">
        <w:rPr>
          <w:rFonts w:eastAsia="DengXian"/>
          <w:lang w:eastAsia="zh-CN"/>
        </w:rPr>
        <w:t xml:space="preserve">is </w:t>
      </w:r>
      <w:r w:rsidR="00D3589F">
        <w:rPr>
          <w:rFonts w:eastAsia="DengXian"/>
          <w:lang w:eastAsia="zh-CN"/>
        </w:rPr>
        <w:t>‘T</w:t>
      </w:r>
      <w:r w:rsidRPr="008F5DE1">
        <w:rPr>
          <w:rFonts w:eastAsia="DengXian"/>
          <w:lang w:eastAsia="zh-CN"/>
        </w:rPr>
        <w:t xml:space="preserve">erm </w:t>
      </w:r>
      <w:r w:rsidR="00D3589F">
        <w:rPr>
          <w:rFonts w:eastAsia="DengXian"/>
          <w:lang w:eastAsia="zh-CN"/>
        </w:rPr>
        <w:t>L</w:t>
      </w:r>
      <w:r w:rsidRPr="008F5DE1">
        <w:rPr>
          <w:rFonts w:eastAsia="DengXian"/>
          <w:lang w:eastAsia="zh-CN"/>
        </w:rPr>
        <w:t>oan A</w:t>
      </w:r>
      <w:r w:rsidR="00D3589F">
        <w:rPr>
          <w:rFonts w:eastAsia="DengXian"/>
          <w:lang w:eastAsia="zh-CN"/>
        </w:rPr>
        <w:t>’</w:t>
      </w:r>
      <w:r w:rsidR="00FA6B2B">
        <w:rPr>
          <w:rFonts w:eastAsia="DengXian"/>
          <w:lang w:eastAsia="zh-CN"/>
        </w:rPr>
        <w:t>,</w:t>
      </w:r>
      <w:r w:rsidRPr="008F5DE1">
        <w:rPr>
          <w:rFonts w:eastAsia="DengXian"/>
          <w:lang w:eastAsia="zh-CN"/>
        </w:rPr>
        <w:t xml:space="preserve"> which is usually amortizing</w:t>
      </w:r>
      <w:r w:rsidR="00AA4108">
        <w:rPr>
          <w:rFonts w:eastAsia="DengXian"/>
          <w:lang w:eastAsia="zh-CN"/>
        </w:rPr>
        <w:t>;</w:t>
      </w:r>
      <w:r w:rsidRPr="008F5DE1">
        <w:rPr>
          <w:rFonts w:eastAsia="DengXian"/>
          <w:lang w:eastAsia="zh-CN"/>
        </w:rPr>
        <w:t xml:space="preserve"> otherwise it is </w:t>
      </w:r>
      <w:r>
        <w:rPr>
          <w:rFonts w:eastAsia="DengXian"/>
          <w:lang w:eastAsia="zh-CN"/>
        </w:rPr>
        <w:t>0</w:t>
      </w:r>
      <w:r w:rsidRPr="008F5DE1">
        <w:rPr>
          <w:rFonts w:eastAsia="DengXian"/>
          <w:lang w:eastAsia="zh-CN"/>
        </w:rPr>
        <w:t xml:space="preserve">. Instead, the variable </w:t>
      </w:r>
      <w:r w:rsidRPr="00034625">
        <w:rPr>
          <w:i/>
        </w:rPr>
        <w:t xml:space="preserve">Revolver </w:t>
      </w:r>
      <w:r w:rsidRPr="008F5DE1">
        <w:rPr>
          <w:rFonts w:eastAsia="DengXian"/>
          <w:lang w:eastAsia="zh-CN"/>
        </w:rPr>
        <w:t xml:space="preserve">is a dummy that is equal to </w:t>
      </w:r>
      <w:r>
        <w:rPr>
          <w:rFonts w:eastAsia="DengXian"/>
          <w:lang w:eastAsia="zh-CN"/>
        </w:rPr>
        <w:t>1</w:t>
      </w:r>
      <w:r w:rsidRPr="008F5DE1">
        <w:rPr>
          <w:rFonts w:eastAsia="DengXian"/>
          <w:lang w:eastAsia="zh-CN"/>
        </w:rPr>
        <w:t xml:space="preserve"> if the </w:t>
      </w:r>
      <w:r w:rsidR="00D3589F">
        <w:rPr>
          <w:rFonts w:eastAsia="DengXian"/>
          <w:lang w:eastAsia="zh-CN"/>
        </w:rPr>
        <w:t>facility</w:t>
      </w:r>
      <w:r w:rsidRPr="008F5DE1">
        <w:rPr>
          <w:rFonts w:eastAsia="DengXian"/>
          <w:lang w:eastAsia="zh-CN"/>
        </w:rPr>
        <w:t xml:space="preserve"> type is </w:t>
      </w:r>
      <w:r w:rsidR="00D3589F">
        <w:rPr>
          <w:rFonts w:eastAsia="DengXian"/>
          <w:lang w:eastAsia="zh-CN"/>
        </w:rPr>
        <w:t>‘R</w:t>
      </w:r>
      <w:r w:rsidRPr="008F5DE1">
        <w:rPr>
          <w:rFonts w:eastAsia="DengXian"/>
          <w:lang w:eastAsia="zh-CN"/>
        </w:rPr>
        <w:t xml:space="preserve">evolver </w:t>
      </w:r>
      <w:r w:rsidR="00D3589F">
        <w:rPr>
          <w:rFonts w:eastAsia="DengXian"/>
          <w:lang w:eastAsia="zh-CN"/>
        </w:rPr>
        <w:t>L</w:t>
      </w:r>
      <w:r w:rsidRPr="008F5DE1">
        <w:rPr>
          <w:rFonts w:eastAsia="DengXian"/>
          <w:lang w:eastAsia="zh-CN"/>
        </w:rPr>
        <w:t>oan</w:t>
      </w:r>
      <w:r w:rsidR="00D3589F">
        <w:rPr>
          <w:rFonts w:eastAsia="DengXian"/>
          <w:lang w:eastAsia="zh-CN"/>
        </w:rPr>
        <w:t>’ and 0</w:t>
      </w:r>
      <w:r w:rsidRPr="008F5DE1">
        <w:rPr>
          <w:rFonts w:eastAsia="DengXian"/>
          <w:lang w:eastAsia="zh-CN"/>
        </w:rPr>
        <w:t xml:space="preserve"> otherwise</w:t>
      </w:r>
      <w:r w:rsidR="00A35990">
        <w:rPr>
          <w:rFonts w:eastAsia="DengXian"/>
          <w:lang w:eastAsia="zh-CN"/>
        </w:rPr>
        <w:t>.</w:t>
      </w:r>
      <w:r w:rsidR="006A0B03">
        <w:rPr>
          <w:rStyle w:val="FootnoteReference"/>
          <w:rFonts w:eastAsia="DengXian"/>
          <w:lang w:eastAsia="zh-CN"/>
        </w:rPr>
        <w:footnoteReference w:id="19"/>
      </w:r>
    </w:p>
    <w:p w14:paraId="7992EBAD" w14:textId="77777777" w:rsidR="007E6B7A" w:rsidRDefault="007E6B7A" w:rsidP="007E6B7A">
      <w:pPr>
        <w:autoSpaceDE w:val="0"/>
        <w:autoSpaceDN w:val="0"/>
        <w:adjustRightInd w:val="0"/>
        <w:spacing w:line="480" w:lineRule="auto"/>
        <w:ind w:firstLine="567"/>
        <w:jc w:val="both"/>
        <w:rPr>
          <w:rFonts w:eastAsia="DengXian"/>
          <w:lang w:eastAsia="zh-CN"/>
        </w:rPr>
      </w:pPr>
      <w:r w:rsidRPr="00822254">
        <w:rPr>
          <w:rFonts w:eastAsia="DengXian"/>
          <w:lang w:eastAsia="zh-CN"/>
        </w:rPr>
        <w:t>The main results hold when we control for th</w:t>
      </w:r>
      <w:r w:rsidR="00D3589F">
        <w:rPr>
          <w:rFonts w:eastAsia="DengXian"/>
          <w:lang w:eastAsia="zh-CN"/>
        </w:rPr>
        <w:t>ese</w:t>
      </w:r>
      <w:r w:rsidRPr="00822254">
        <w:rPr>
          <w:rFonts w:eastAsia="DengXian"/>
          <w:lang w:eastAsia="zh-CN"/>
        </w:rPr>
        <w:t xml:space="preserve"> </w:t>
      </w:r>
      <w:r w:rsidRPr="00822254">
        <w:t>l</w:t>
      </w:r>
      <w:r w:rsidRPr="00822254">
        <w:rPr>
          <w:iCs/>
        </w:rPr>
        <w:t>oan facility</w:t>
      </w:r>
      <w:r w:rsidR="00AA4108">
        <w:rPr>
          <w:iCs/>
        </w:rPr>
        <w:t>-</w:t>
      </w:r>
      <w:r w:rsidR="00D3589F">
        <w:rPr>
          <w:iCs/>
        </w:rPr>
        <w:t>type measures</w:t>
      </w:r>
      <w:r w:rsidRPr="00822254">
        <w:rPr>
          <w:iCs/>
        </w:rPr>
        <w:t>.</w:t>
      </w:r>
      <w:r w:rsidRPr="00822254">
        <w:rPr>
          <w:rFonts w:eastAsia="DengXian"/>
          <w:lang w:eastAsia="zh-CN"/>
        </w:rPr>
        <w:t xml:space="preserve"> </w:t>
      </w:r>
      <w:r w:rsidR="00FC4381">
        <w:rPr>
          <w:rFonts w:eastAsia="DengXian"/>
          <w:lang w:eastAsia="zh-CN"/>
        </w:rPr>
        <w:t>Regarding the type of loan variables, w</w:t>
      </w:r>
      <w:r w:rsidRPr="00822254">
        <w:rPr>
          <w:rFonts w:eastAsia="DengXian"/>
          <w:lang w:eastAsia="zh-CN"/>
        </w:rPr>
        <w:t xml:space="preserve">e find that </w:t>
      </w:r>
      <w:r w:rsidRPr="002F1113">
        <w:rPr>
          <w:rFonts w:eastAsia="DengXian"/>
          <w:i/>
          <w:iCs/>
          <w:lang w:eastAsia="zh-CN"/>
        </w:rPr>
        <w:t>Term loan</w:t>
      </w:r>
      <w:r w:rsidRPr="00822254">
        <w:rPr>
          <w:rFonts w:eastAsia="DengXian"/>
          <w:lang w:eastAsia="zh-CN"/>
        </w:rPr>
        <w:t xml:space="preserve"> is positively and significantly related to </w:t>
      </w:r>
      <w:r w:rsidRPr="002F1113">
        <w:rPr>
          <w:rFonts w:eastAsia="DengXian"/>
          <w:i/>
          <w:iCs/>
          <w:lang w:eastAsia="zh-CN"/>
        </w:rPr>
        <w:t>Lead agent share</w:t>
      </w:r>
      <w:r w:rsidRPr="00822254">
        <w:rPr>
          <w:rFonts w:eastAsia="DengXian"/>
          <w:lang w:eastAsia="zh-CN"/>
        </w:rPr>
        <w:t xml:space="preserve"> and </w:t>
      </w:r>
      <w:r w:rsidR="00F21A57">
        <w:rPr>
          <w:i/>
          <w:iCs/>
        </w:rPr>
        <w:t xml:space="preserve">pricing (AISD, TCB </w:t>
      </w:r>
      <w:r w:rsidR="00F21A57" w:rsidRPr="002742A8">
        <w:t>and</w:t>
      </w:r>
      <w:r w:rsidR="00F21A57">
        <w:rPr>
          <w:i/>
          <w:iCs/>
        </w:rPr>
        <w:t xml:space="preserve"> Covenant Index)</w:t>
      </w:r>
      <w:r w:rsidRPr="00822254">
        <w:rPr>
          <w:rFonts w:eastAsia="DengXian"/>
          <w:lang w:eastAsia="zh-CN"/>
        </w:rPr>
        <w:t xml:space="preserve">, while the </w:t>
      </w:r>
      <w:r w:rsidRPr="002F1113">
        <w:rPr>
          <w:rFonts w:eastAsia="DengXian"/>
          <w:i/>
          <w:iCs/>
          <w:lang w:eastAsia="zh-CN"/>
        </w:rPr>
        <w:t>Revolver</w:t>
      </w:r>
      <w:r w:rsidRPr="00822254">
        <w:rPr>
          <w:rFonts w:eastAsia="DengXian"/>
          <w:lang w:eastAsia="zh-CN"/>
        </w:rPr>
        <w:t xml:space="preserve"> dummy is mainly insignificant with respect to </w:t>
      </w:r>
      <w:r w:rsidR="00F21A57">
        <w:rPr>
          <w:i/>
          <w:iCs/>
        </w:rPr>
        <w:t xml:space="preserve">AISD </w:t>
      </w:r>
      <w:r w:rsidR="00F21A57" w:rsidRPr="00F21A57">
        <w:t>and</w:t>
      </w:r>
      <w:r w:rsidR="00F21A57">
        <w:rPr>
          <w:i/>
          <w:iCs/>
        </w:rPr>
        <w:t xml:space="preserve"> Covenant Index</w:t>
      </w:r>
      <w:r w:rsidR="00F21A57">
        <w:t xml:space="preserve">, </w:t>
      </w:r>
      <w:r w:rsidRPr="002F1113">
        <w:t xml:space="preserve">and positively and significantly related to </w:t>
      </w:r>
      <w:r w:rsidRPr="002F1113">
        <w:rPr>
          <w:rFonts w:eastAsia="DengXian"/>
          <w:i/>
          <w:iCs/>
          <w:lang w:eastAsia="zh-CN"/>
        </w:rPr>
        <w:t>Lead agent share</w:t>
      </w:r>
      <w:r>
        <w:rPr>
          <w:rFonts w:eastAsia="DengXian"/>
          <w:i/>
          <w:iCs/>
          <w:lang w:eastAsia="zh-CN"/>
        </w:rPr>
        <w:t xml:space="preserve">. </w:t>
      </w:r>
    </w:p>
    <w:p w14:paraId="1468429D" w14:textId="77777777" w:rsidR="00FC4381" w:rsidRDefault="00FC4381" w:rsidP="007E6B7A">
      <w:pPr>
        <w:autoSpaceDE w:val="0"/>
        <w:autoSpaceDN w:val="0"/>
        <w:adjustRightInd w:val="0"/>
        <w:spacing w:line="480" w:lineRule="auto"/>
        <w:ind w:firstLine="567"/>
        <w:jc w:val="both"/>
        <w:rPr>
          <w:rFonts w:eastAsia="DengXian"/>
          <w:lang w:eastAsia="zh-CN"/>
        </w:rPr>
      </w:pPr>
    </w:p>
    <w:p w14:paraId="7ED030C3" w14:textId="77777777" w:rsidR="00F52CB8" w:rsidRDefault="007E6B7A" w:rsidP="006953DB">
      <w:pPr>
        <w:autoSpaceDE w:val="0"/>
        <w:autoSpaceDN w:val="0"/>
        <w:adjustRightInd w:val="0"/>
        <w:spacing w:line="480" w:lineRule="auto"/>
        <w:jc w:val="center"/>
        <w:rPr>
          <w:b/>
          <w:i/>
        </w:rPr>
      </w:pPr>
      <w:r w:rsidRPr="001554F3">
        <w:rPr>
          <w:b/>
          <w:i/>
        </w:rPr>
        <w:t xml:space="preserve">[Insert Table </w:t>
      </w:r>
      <w:r>
        <w:rPr>
          <w:b/>
          <w:i/>
        </w:rPr>
        <w:t>7</w:t>
      </w:r>
      <w:r w:rsidRPr="001554F3">
        <w:rPr>
          <w:b/>
          <w:i/>
        </w:rPr>
        <w:t xml:space="preserve"> about here]</w:t>
      </w:r>
    </w:p>
    <w:p w14:paraId="13EB9DBB" w14:textId="77777777" w:rsidR="005D62E5" w:rsidRDefault="005D62E5" w:rsidP="00CA37D9">
      <w:pPr>
        <w:autoSpaceDE w:val="0"/>
        <w:autoSpaceDN w:val="0"/>
        <w:adjustRightInd w:val="0"/>
        <w:spacing w:line="480" w:lineRule="auto"/>
        <w:jc w:val="center"/>
        <w:rPr>
          <w:b/>
          <w:i/>
        </w:rPr>
      </w:pPr>
    </w:p>
    <w:p w14:paraId="510ED032" w14:textId="77777777" w:rsidR="00F52CB8" w:rsidRPr="00887182" w:rsidRDefault="00FA6B2B" w:rsidP="0081781F">
      <w:pPr>
        <w:tabs>
          <w:tab w:val="left" w:pos="2420"/>
        </w:tabs>
        <w:autoSpaceDE w:val="0"/>
        <w:autoSpaceDN w:val="0"/>
        <w:adjustRightInd w:val="0"/>
        <w:spacing w:line="480" w:lineRule="auto"/>
        <w:rPr>
          <w:b/>
          <w:iCs/>
        </w:rPr>
      </w:pPr>
      <w:r>
        <w:rPr>
          <w:b/>
          <w:iCs/>
        </w:rPr>
        <w:t>5.</w:t>
      </w:r>
      <w:r w:rsidR="00AB567B" w:rsidRPr="00887182">
        <w:rPr>
          <w:b/>
          <w:iCs/>
        </w:rPr>
        <w:t>4</w:t>
      </w:r>
      <w:r w:rsidR="00F52CB8" w:rsidRPr="00887182">
        <w:rPr>
          <w:b/>
          <w:iCs/>
        </w:rPr>
        <w:t xml:space="preserve">. </w:t>
      </w:r>
      <w:r w:rsidR="00F2087A" w:rsidRPr="00887182">
        <w:rPr>
          <w:b/>
          <w:iCs/>
        </w:rPr>
        <w:t>Other tests</w:t>
      </w:r>
      <w:r w:rsidR="00505445">
        <w:rPr>
          <w:b/>
          <w:iCs/>
        </w:rPr>
        <w:t>: c</w:t>
      </w:r>
      <w:r w:rsidR="0081781F" w:rsidRPr="00056F00">
        <w:rPr>
          <w:b/>
          <w:iCs/>
        </w:rPr>
        <w:t>onnected directors</w:t>
      </w:r>
      <w:r w:rsidR="00505445">
        <w:rPr>
          <w:b/>
          <w:iCs/>
        </w:rPr>
        <w:t xml:space="preserve"> and</w:t>
      </w:r>
      <w:r>
        <w:rPr>
          <w:b/>
          <w:iCs/>
        </w:rPr>
        <w:t xml:space="preserve"> </w:t>
      </w:r>
      <w:r w:rsidRPr="00056F00">
        <w:rPr>
          <w:b/>
          <w:iCs/>
        </w:rPr>
        <w:t>2007-2009 financial crisis</w:t>
      </w:r>
    </w:p>
    <w:p w14:paraId="4055F005" w14:textId="77777777" w:rsidR="00873653" w:rsidRPr="00FA6B2B" w:rsidRDefault="00887182" w:rsidP="00F556B4">
      <w:pPr>
        <w:autoSpaceDE w:val="0"/>
        <w:autoSpaceDN w:val="0"/>
        <w:adjustRightInd w:val="0"/>
        <w:spacing w:line="480" w:lineRule="auto"/>
        <w:jc w:val="both"/>
      </w:pPr>
      <w:bookmarkStart w:id="33" w:name="_Hlk51491359"/>
      <w:r>
        <w:t xml:space="preserve">Both monitoring </w:t>
      </w:r>
      <w:r w:rsidR="00D62BD1">
        <w:t>activities</w:t>
      </w:r>
      <w:r w:rsidR="009A3BC2">
        <w:t xml:space="preserve"> </w:t>
      </w:r>
      <w:r w:rsidR="002D00B4">
        <w:t xml:space="preserve">and </w:t>
      </w:r>
      <w:r w:rsidR="009A3BC2">
        <w:t xml:space="preserve">lending contractual conditions </w:t>
      </w:r>
      <w:r>
        <w:t>could also reflect possible connections between the directors of t</w:t>
      </w:r>
      <w:r w:rsidR="006D494A">
        <w:t xml:space="preserve">he lead agents </w:t>
      </w:r>
      <w:r>
        <w:t xml:space="preserve">and </w:t>
      </w:r>
      <w:r w:rsidR="006D494A">
        <w:t>borrowers</w:t>
      </w:r>
      <w:r w:rsidR="006A01AB">
        <w:t>.</w:t>
      </w:r>
      <w:r w:rsidR="009A3BC2">
        <w:t xml:space="preserve"> In this case, both the syndicate structur</w:t>
      </w:r>
      <w:r w:rsidR="005632C9">
        <w:t>e</w:t>
      </w:r>
      <w:r w:rsidR="009A3BC2">
        <w:t xml:space="preserve"> and </w:t>
      </w:r>
      <w:r w:rsidR="006A01AB">
        <w:t xml:space="preserve">loan </w:t>
      </w:r>
      <w:r w:rsidR="009A3BC2">
        <w:t xml:space="preserve">pricing would </w:t>
      </w:r>
      <w:r w:rsidR="006A01AB">
        <w:t>be explained by</w:t>
      </w:r>
      <w:r w:rsidR="009A3BC2">
        <w:t xml:space="preserve"> existing connections between lenders and </w:t>
      </w:r>
      <w:r w:rsidR="009A3BC2" w:rsidRPr="00FA6B2B">
        <w:t xml:space="preserve">borrowers rather than </w:t>
      </w:r>
      <w:r w:rsidR="006A01AB" w:rsidRPr="00FA6B2B">
        <w:t>reflect</w:t>
      </w:r>
      <w:r w:rsidR="00AA4108">
        <w:t>ing</w:t>
      </w:r>
      <w:r w:rsidR="009A3BC2" w:rsidRPr="00FA6B2B">
        <w:t xml:space="preserve"> </w:t>
      </w:r>
      <w:r w:rsidR="00CD6CFB" w:rsidRPr="00FA6B2B">
        <w:t xml:space="preserve">the </w:t>
      </w:r>
      <w:r w:rsidR="009A3BC2" w:rsidRPr="00FA6B2B">
        <w:t>borrower</w:t>
      </w:r>
      <w:r w:rsidR="00CD6CFB" w:rsidRPr="002E5AC1">
        <w:t>s</w:t>
      </w:r>
      <w:r w:rsidR="002D00B4" w:rsidRPr="002E5AC1">
        <w:t>’</w:t>
      </w:r>
      <w:r w:rsidR="006A01AB" w:rsidRPr="002E5AC1">
        <w:t xml:space="preserve"> </w:t>
      </w:r>
      <w:r w:rsidR="009A3BC2" w:rsidRPr="002E5AC1">
        <w:t xml:space="preserve">risk profile and </w:t>
      </w:r>
      <w:r w:rsidR="006A01AB" w:rsidRPr="00FA6B2B">
        <w:t xml:space="preserve">syndicates’ characteristics. To control for this eventuality, we create a new variable </w:t>
      </w:r>
      <w:r w:rsidR="002D00B4" w:rsidRPr="00FA6B2B">
        <w:t>entitl</w:t>
      </w:r>
      <w:r w:rsidR="006A01AB" w:rsidRPr="00FA6B2B">
        <w:t xml:space="preserve">ed </w:t>
      </w:r>
      <w:r w:rsidR="00EC3ABE" w:rsidRPr="00FA6B2B">
        <w:rPr>
          <w:i/>
          <w:iCs/>
        </w:rPr>
        <w:t xml:space="preserve">Lender Link </w:t>
      </w:r>
      <w:r w:rsidR="002D00B4" w:rsidRPr="00FA6B2B">
        <w:t>following</w:t>
      </w:r>
      <w:r w:rsidR="006A01AB" w:rsidRPr="00FA6B2B">
        <w:t xml:space="preserve"> </w:t>
      </w:r>
      <w:bookmarkStart w:id="34" w:name="_Hlk51491322"/>
      <w:bookmarkEnd w:id="33"/>
      <w:r w:rsidR="008F5EDB" w:rsidRPr="009E6E70">
        <w:t>Guner et al</w:t>
      </w:r>
      <w:r w:rsidR="008F5EDB" w:rsidRPr="00FA6B2B">
        <w:t xml:space="preserve">. (2008). </w:t>
      </w:r>
      <w:r w:rsidR="006A01AB" w:rsidRPr="00FA6B2B">
        <w:t xml:space="preserve">Specifically, </w:t>
      </w:r>
      <w:r w:rsidR="009C5CEE" w:rsidRPr="00FA6B2B">
        <w:t xml:space="preserve">the binary variable takes a value of </w:t>
      </w:r>
      <w:r w:rsidR="006F4C03" w:rsidRPr="00FA6B2B">
        <w:t xml:space="preserve">1 </w:t>
      </w:r>
      <w:r w:rsidR="006F4C03" w:rsidRPr="00FA6B2B">
        <w:rPr>
          <w:lang w:eastAsia="zh-CN"/>
        </w:rPr>
        <w:t xml:space="preserve">if </w:t>
      </w:r>
      <w:r w:rsidR="009C5CEE" w:rsidRPr="00FA6B2B">
        <w:rPr>
          <w:lang w:eastAsia="zh-CN"/>
        </w:rPr>
        <w:t>there is</w:t>
      </w:r>
      <w:r w:rsidR="00AD1B0F" w:rsidRPr="00FA6B2B">
        <w:rPr>
          <w:lang w:eastAsia="zh-CN"/>
        </w:rPr>
        <w:t xml:space="preserve"> a board interlock between </w:t>
      </w:r>
      <w:r w:rsidR="009C5CEE" w:rsidRPr="00FA6B2B">
        <w:rPr>
          <w:lang w:eastAsia="zh-CN"/>
        </w:rPr>
        <w:t>the borrower and the</w:t>
      </w:r>
      <w:r w:rsidR="006F4C03" w:rsidRPr="00FA6B2B">
        <w:rPr>
          <w:lang w:eastAsia="zh-CN"/>
        </w:rPr>
        <w:t xml:space="preserve"> lead agent</w:t>
      </w:r>
      <w:r w:rsidR="009C5CEE" w:rsidRPr="00FA6B2B">
        <w:rPr>
          <w:lang w:eastAsia="zh-CN"/>
        </w:rPr>
        <w:t xml:space="preserve"> in the 5</w:t>
      </w:r>
      <w:r w:rsidR="00845607">
        <w:rPr>
          <w:lang w:eastAsia="zh-CN"/>
        </w:rPr>
        <w:t>-</w:t>
      </w:r>
      <w:r w:rsidR="009C5CEE" w:rsidRPr="00FA6B2B">
        <w:rPr>
          <w:lang w:eastAsia="zh-CN"/>
        </w:rPr>
        <w:t>year window before receiving the loan</w:t>
      </w:r>
      <w:r w:rsidR="006A01AB" w:rsidRPr="00FA6B2B">
        <w:t xml:space="preserve">. </w:t>
      </w:r>
    </w:p>
    <w:p w14:paraId="3BE5D233" w14:textId="1AF6C28B" w:rsidR="00EC3ABE" w:rsidRPr="00165AEA" w:rsidRDefault="00EC3ABE" w:rsidP="00165AEA">
      <w:pPr>
        <w:autoSpaceDE w:val="0"/>
        <w:autoSpaceDN w:val="0"/>
        <w:adjustRightInd w:val="0"/>
        <w:spacing w:line="480" w:lineRule="auto"/>
        <w:ind w:firstLine="567"/>
        <w:jc w:val="both"/>
      </w:pPr>
      <w:r w:rsidRPr="00FA6B2B">
        <w:t>Table 8</w:t>
      </w:r>
      <w:r w:rsidR="006953DB">
        <w:t xml:space="preserve"> Panel A </w:t>
      </w:r>
      <w:r w:rsidRPr="00FA6B2B">
        <w:t xml:space="preserve">shows the results which are </w:t>
      </w:r>
      <w:r w:rsidR="002D00B4" w:rsidRPr="00FA6B2B">
        <w:t xml:space="preserve">in line with </w:t>
      </w:r>
      <w:r w:rsidRPr="00FA6B2B">
        <w:t xml:space="preserve">those of Tables 3 and 4. In addition, we find that the variable </w:t>
      </w:r>
      <w:r w:rsidRPr="00FA6B2B">
        <w:rPr>
          <w:i/>
          <w:iCs/>
        </w:rPr>
        <w:t xml:space="preserve">Lender Link </w:t>
      </w:r>
      <w:r w:rsidRPr="00FA6B2B">
        <w:t xml:space="preserve">is positively and significantly related to the lead agent’s share. </w:t>
      </w:r>
      <w:r w:rsidR="00FA6B2B">
        <w:t xml:space="preserve">We interpret this result as follows. A connection via board interlock makes it harder for the lead </w:t>
      </w:r>
      <w:r w:rsidR="00834D75">
        <w:t>agent</w:t>
      </w:r>
      <w:r w:rsidR="00FA6B2B">
        <w:t xml:space="preserve"> to credibly commit to monitor the borrower. Therefore, the other participants in the syndicate </w:t>
      </w:r>
      <w:r w:rsidR="00165AEA" w:rsidRPr="00FA6B2B">
        <w:t xml:space="preserve">request that the lead agent </w:t>
      </w:r>
      <w:r w:rsidR="00763A6E">
        <w:t xml:space="preserve">retains </w:t>
      </w:r>
      <w:r w:rsidR="00165AEA" w:rsidRPr="00FA6B2B">
        <w:t>a larger fraction of the loan for incentive purposes.</w:t>
      </w:r>
      <w:r w:rsidR="00234459" w:rsidRPr="00FA6B2B">
        <w:t xml:space="preserve"> </w:t>
      </w:r>
    </w:p>
    <w:p w14:paraId="7ABDB4F5" w14:textId="77777777" w:rsidR="00467D3E" w:rsidRDefault="00FC4381" w:rsidP="00467D3E">
      <w:pPr>
        <w:autoSpaceDE w:val="0"/>
        <w:autoSpaceDN w:val="0"/>
        <w:adjustRightInd w:val="0"/>
        <w:spacing w:line="480" w:lineRule="auto"/>
        <w:ind w:firstLine="567"/>
        <w:jc w:val="both"/>
      </w:pPr>
      <w:r>
        <w:rPr>
          <w:color w:val="000000"/>
        </w:rPr>
        <w:t>Finally, w</w:t>
      </w:r>
      <w:r w:rsidR="00467D3E" w:rsidRPr="00DC142C">
        <w:rPr>
          <w:color w:val="000000"/>
        </w:rPr>
        <w:t xml:space="preserve">e re-run our models </w:t>
      </w:r>
      <w:r w:rsidR="00467D3E" w:rsidRPr="00DC142C">
        <w:t xml:space="preserve">excluding the years 2007-2009 of the financial crisis to make sure that our results are </w:t>
      </w:r>
      <w:r w:rsidR="00447658">
        <w:t xml:space="preserve">not driven by </w:t>
      </w:r>
      <w:r w:rsidR="00467D3E">
        <w:t xml:space="preserve">the financial crisis on </w:t>
      </w:r>
      <w:r w:rsidR="00467D3E" w:rsidRPr="00DC142C">
        <w:t>the supplier-customer relationships</w:t>
      </w:r>
      <w:r w:rsidR="00467D3E">
        <w:t>. Table 8</w:t>
      </w:r>
      <w:r w:rsidR="006953DB">
        <w:t xml:space="preserve"> Panel B shows </w:t>
      </w:r>
      <w:r w:rsidR="00467D3E" w:rsidRPr="00DC142C">
        <w:t xml:space="preserve">that </w:t>
      </w:r>
      <w:r w:rsidR="00467D3E">
        <w:t xml:space="preserve">the exclusion of the crisis period does not alter our results. </w:t>
      </w:r>
    </w:p>
    <w:bookmarkEnd w:id="34"/>
    <w:p w14:paraId="5AD41150" w14:textId="77777777" w:rsidR="00D12A70" w:rsidRDefault="00D12A70" w:rsidP="006F4C03">
      <w:pPr>
        <w:autoSpaceDE w:val="0"/>
        <w:autoSpaceDN w:val="0"/>
        <w:adjustRightInd w:val="0"/>
        <w:spacing w:line="480" w:lineRule="auto"/>
        <w:ind w:firstLine="567"/>
        <w:jc w:val="both"/>
      </w:pPr>
    </w:p>
    <w:p w14:paraId="14A92313" w14:textId="77777777" w:rsidR="00873653" w:rsidRPr="00873653" w:rsidRDefault="00873653" w:rsidP="00873653">
      <w:pPr>
        <w:autoSpaceDE w:val="0"/>
        <w:autoSpaceDN w:val="0"/>
        <w:adjustRightInd w:val="0"/>
        <w:spacing w:line="480" w:lineRule="auto"/>
        <w:jc w:val="center"/>
        <w:rPr>
          <w:b/>
          <w:i/>
        </w:rPr>
      </w:pPr>
      <w:r w:rsidRPr="001554F3">
        <w:rPr>
          <w:b/>
          <w:i/>
        </w:rPr>
        <w:t xml:space="preserve">[Insert Table </w:t>
      </w:r>
      <w:r>
        <w:rPr>
          <w:b/>
          <w:i/>
        </w:rPr>
        <w:t xml:space="preserve">8 </w:t>
      </w:r>
      <w:r w:rsidRPr="001554F3">
        <w:rPr>
          <w:b/>
          <w:i/>
        </w:rPr>
        <w:t>about here]</w:t>
      </w:r>
    </w:p>
    <w:p w14:paraId="37B350CB" w14:textId="77777777" w:rsidR="00447658" w:rsidRDefault="00447658" w:rsidP="00D12A70">
      <w:pPr>
        <w:autoSpaceDE w:val="0"/>
        <w:autoSpaceDN w:val="0"/>
        <w:adjustRightInd w:val="0"/>
        <w:spacing w:line="480" w:lineRule="auto"/>
      </w:pPr>
    </w:p>
    <w:p w14:paraId="752F3AC2" w14:textId="77777777" w:rsidR="007E6B7A" w:rsidRPr="00EB2344" w:rsidRDefault="00482FBD" w:rsidP="007E6B7A">
      <w:pPr>
        <w:spacing w:line="480" w:lineRule="auto"/>
        <w:rPr>
          <w:b/>
          <w:sz w:val="28"/>
        </w:rPr>
      </w:pPr>
      <w:r>
        <w:rPr>
          <w:b/>
          <w:sz w:val="28"/>
        </w:rPr>
        <w:t>6</w:t>
      </w:r>
      <w:r w:rsidR="007E6B7A" w:rsidRPr="00EB2344">
        <w:rPr>
          <w:b/>
          <w:sz w:val="28"/>
        </w:rPr>
        <w:t>. Conclusions</w:t>
      </w:r>
    </w:p>
    <w:p w14:paraId="2FEE1B77" w14:textId="77777777" w:rsidR="007E6B7A" w:rsidRDefault="0043098D" w:rsidP="00F556B4">
      <w:pPr>
        <w:spacing w:line="480" w:lineRule="auto"/>
        <w:jc w:val="both"/>
      </w:pPr>
      <w:r>
        <w:t xml:space="preserve">Large </w:t>
      </w:r>
      <w:r w:rsidR="00C2325A">
        <w:t>customer</w:t>
      </w:r>
      <w:r w:rsidR="006F4C03">
        <w:t>-supplier relationship</w:t>
      </w:r>
      <w:r w:rsidR="00F5316D">
        <w:t>s</w:t>
      </w:r>
      <w:r w:rsidR="007E6B7A" w:rsidRPr="00DC142C">
        <w:t xml:space="preserve"> are becoming </w:t>
      </w:r>
      <w:r w:rsidR="00763A6E">
        <w:t>increasingly</w:t>
      </w:r>
      <w:r w:rsidR="007E6B7A" w:rsidRPr="00DC142C">
        <w:t xml:space="preserve"> relevant </w:t>
      </w:r>
      <w:r w:rsidR="006F4C03">
        <w:t xml:space="preserve">in the lending market </w:t>
      </w:r>
      <w:r w:rsidR="007E6B7A" w:rsidRPr="00DC142C">
        <w:t>(Campello and Gao</w:t>
      </w:r>
      <w:r w:rsidR="00F52C4E">
        <w:t xml:space="preserve">, </w:t>
      </w:r>
      <w:r w:rsidR="007E6B7A" w:rsidRPr="00DC142C">
        <w:t>2017). Using data from the syndicated loan market in the US</w:t>
      </w:r>
      <w:r w:rsidR="007E6B7A">
        <w:t>, this</w:t>
      </w:r>
      <w:r w:rsidR="007E6B7A" w:rsidRPr="00DC142C">
        <w:t xml:space="preserve"> paper provides novel evidence about the impact of </w:t>
      </w:r>
      <w:r>
        <w:t xml:space="preserve">large </w:t>
      </w:r>
      <w:r w:rsidR="00C2325A">
        <w:t>customer</w:t>
      </w:r>
      <w:r w:rsidR="00581E54">
        <w:t>-supplier</w:t>
      </w:r>
      <w:r w:rsidR="007E6B7A" w:rsidRPr="00DC142C">
        <w:t xml:space="preserve"> relationships on the structure of the syndicate</w:t>
      </w:r>
      <w:r w:rsidR="008F6BAC">
        <w:t xml:space="preserve"> loans</w:t>
      </w:r>
      <w:r w:rsidR="00C6393E">
        <w:t xml:space="preserve"> and </w:t>
      </w:r>
      <w:r w:rsidR="00763A6E">
        <w:t>their</w:t>
      </w:r>
      <w:r w:rsidR="00C6393E">
        <w:t xml:space="preserve"> pricing</w:t>
      </w:r>
      <w:r w:rsidR="007E6B7A">
        <w:t>.</w:t>
      </w:r>
      <w:r w:rsidR="00A71B25">
        <w:t xml:space="preserve"> </w:t>
      </w:r>
    </w:p>
    <w:p w14:paraId="5CA068CA" w14:textId="77777777" w:rsidR="00AF163F" w:rsidRDefault="007E6B7A" w:rsidP="00AF163F">
      <w:pPr>
        <w:spacing w:line="480" w:lineRule="auto"/>
        <w:ind w:firstLine="567"/>
        <w:jc w:val="both"/>
        <w:rPr>
          <w:rFonts w:eastAsia="DengXian"/>
          <w:lang w:eastAsia="zh-CN"/>
        </w:rPr>
      </w:pPr>
      <w:r>
        <w:rPr>
          <w:rFonts w:eastAsia="DengXian"/>
          <w:lang w:eastAsia="zh-CN"/>
        </w:rPr>
        <w:t>Our findings</w:t>
      </w:r>
      <w:r w:rsidRPr="008F5DE1">
        <w:rPr>
          <w:rFonts w:eastAsia="DengXian"/>
          <w:lang w:eastAsia="zh-CN"/>
        </w:rPr>
        <w:t xml:space="preserve"> </w:t>
      </w:r>
      <w:r>
        <w:t>show that</w:t>
      </w:r>
      <w:r w:rsidRPr="00DC142C">
        <w:t xml:space="preserve"> the lead agent holds a larger </w:t>
      </w:r>
      <w:r>
        <w:t xml:space="preserve">loan </w:t>
      </w:r>
      <w:r w:rsidRPr="00DC142C">
        <w:t xml:space="preserve">share for borrowers with </w:t>
      </w:r>
      <w:r w:rsidR="0043098D">
        <w:t xml:space="preserve">large </w:t>
      </w:r>
      <w:r w:rsidR="00C2325A">
        <w:t>customer</w:t>
      </w:r>
      <w:r w:rsidR="00F5316D">
        <w:t xml:space="preserve">-supplier </w:t>
      </w:r>
      <w:r w:rsidRPr="00DC142C">
        <w:t>participation. In these syndicates, the lead agent experiences higher credit-risk exposure and as a result implements more monitoring</w:t>
      </w:r>
      <w:r w:rsidR="005E5A20">
        <w:t xml:space="preserve"> </w:t>
      </w:r>
      <w:r w:rsidR="00D62BD1">
        <w:t>activities</w:t>
      </w:r>
      <w:r w:rsidRPr="00DC142C">
        <w:t>. Therefore, following Ivashina (2009), we run a two-stage least squares (2SLS) method to estimate the impact of the lead agent’s share on loan pricing after controlling for possible adverse selection and moral hazard concerns in the syndicate. Our findings show that the lead banks demand higher</w:t>
      </w:r>
      <w:r w:rsidRPr="00DC142C">
        <w:rPr>
          <w:i/>
        </w:rPr>
        <w:t xml:space="preserve"> </w:t>
      </w:r>
      <w:r w:rsidRPr="00DC142C">
        <w:t xml:space="preserve">pricing and </w:t>
      </w:r>
      <w:r w:rsidR="00262755">
        <w:t xml:space="preserve">more </w:t>
      </w:r>
      <w:r w:rsidR="003042A9">
        <w:t xml:space="preserve">restricted </w:t>
      </w:r>
      <w:r w:rsidRPr="00DC142C">
        <w:t>covenant</w:t>
      </w:r>
      <w:r w:rsidR="00262755">
        <w:t>s</w:t>
      </w:r>
      <w:r w:rsidRPr="00DC142C">
        <w:t xml:space="preserve"> for retaining a higher share in the syndicate. However, once controll</w:t>
      </w:r>
      <w:r>
        <w:t>ing</w:t>
      </w:r>
      <w:r w:rsidRPr="00DC142C">
        <w:t xml:space="preserve"> for this diversification effect, </w:t>
      </w:r>
      <w:r w:rsidRPr="00D01339">
        <w:t xml:space="preserve">we show that </w:t>
      </w:r>
      <w:r w:rsidR="0043098D">
        <w:t xml:space="preserve">large </w:t>
      </w:r>
      <w:r w:rsidR="00C2325A">
        <w:t>customer</w:t>
      </w:r>
      <w:r w:rsidR="00F5316D" w:rsidRPr="00D01339">
        <w:t>-supp</w:t>
      </w:r>
      <w:r w:rsidR="00F5316D" w:rsidRPr="003A6014">
        <w:t>lier</w:t>
      </w:r>
      <w:r w:rsidRPr="003A6014">
        <w:t xml:space="preserve"> </w:t>
      </w:r>
      <w:r w:rsidR="00F5316D" w:rsidRPr="00556837">
        <w:t xml:space="preserve">links </w:t>
      </w:r>
      <w:r w:rsidRPr="00556837">
        <w:t xml:space="preserve">are not </w:t>
      </w:r>
      <w:r w:rsidRPr="00667657">
        <w:t xml:space="preserve">directly associated </w:t>
      </w:r>
      <w:r w:rsidR="0036583A">
        <w:t>with</w:t>
      </w:r>
      <w:r w:rsidR="0036583A" w:rsidRPr="00667657">
        <w:t xml:space="preserve"> </w:t>
      </w:r>
      <w:r w:rsidRPr="00667657">
        <w:t>any risk premium.</w:t>
      </w:r>
      <w:r w:rsidR="00F5316D" w:rsidRPr="00B963EB">
        <w:t xml:space="preserve"> We </w:t>
      </w:r>
      <w:r w:rsidR="008872C3">
        <w:t>attain</w:t>
      </w:r>
      <w:r w:rsidR="008872C3" w:rsidRPr="00B963EB">
        <w:t xml:space="preserve"> </w:t>
      </w:r>
      <w:r w:rsidR="00F5316D" w:rsidRPr="00B963EB">
        <w:t xml:space="preserve">the same result once we consider the length of such relationships which is a measure of the borrower’s dependence </w:t>
      </w:r>
      <w:r w:rsidR="00A96E56">
        <w:t>on</w:t>
      </w:r>
      <w:r w:rsidR="00A96E56" w:rsidRPr="00B963EB">
        <w:t xml:space="preserve"> </w:t>
      </w:r>
      <w:r w:rsidR="0043098D">
        <w:t xml:space="preserve">large </w:t>
      </w:r>
      <w:r w:rsidR="00C2325A">
        <w:t>customer</w:t>
      </w:r>
      <w:r w:rsidR="00F5316D" w:rsidRPr="00B963EB">
        <w:t>-supplier firms.</w:t>
      </w:r>
      <w:r w:rsidR="002E5AC1">
        <w:t xml:space="preserve"> </w:t>
      </w:r>
      <w:r w:rsidRPr="00102233">
        <w:t xml:space="preserve">These results are confirmed in a battery </w:t>
      </w:r>
      <w:r w:rsidRPr="00533632">
        <w:t xml:space="preserve">of </w:t>
      </w:r>
      <w:r w:rsidR="002E5AC1">
        <w:t xml:space="preserve">robustness </w:t>
      </w:r>
      <w:r w:rsidRPr="00533632">
        <w:t xml:space="preserve">tests. </w:t>
      </w:r>
    </w:p>
    <w:p w14:paraId="10E0EEF1" w14:textId="77777777" w:rsidR="002B3BA8" w:rsidRDefault="00771256" w:rsidP="00505445">
      <w:pPr>
        <w:spacing w:line="480" w:lineRule="auto"/>
        <w:ind w:firstLine="567"/>
        <w:jc w:val="both"/>
        <w:rPr>
          <w:b/>
          <w:bCs/>
          <w:sz w:val="28"/>
          <w:szCs w:val="28"/>
        </w:rPr>
        <w:sectPr w:rsidR="002B3BA8" w:rsidSect="00D51B41">
          <w:footerReference w:type="default" r:id="rId13"/>
          <w:pgSz w:w="12240" w:h="15840"/>
          <w:pgMar w:top="1440" w:right="1440" w:bottom="1440" w:left="1440" w:header="720" w:footer="720" w:gutter="0"/>
          <w:pgNumType w:start="1"/>
          <w:cols w:space="720"/>
          <w:noEndnote/>
          <w:docGrid w:linePitch="299"/>
        </w:sectPr>
      </w:pPr>
      <w:bookmarkStart w:id="35" w:name="_Hlk56688137"/>
      <w:r w:rsidRPr="00771256">
        <w:rPr>
          <w:rFonts w:eastAsia="DengXian"/>
          <w:color w:val="000000"/>
          <w:lang w:eastAsia="zh-CN"/>
        </w:rPr>
        <w:t>Our findings also have important policy implications by showing how bank monitoring responds to borrowers</w:t>
      </w:r>
      <w:r w:rsidR="00763A6E">
        <w:rPr>
          <w:rFonts w:eastAsia="DengXian"/>
          <w:color w:val="000000"/>
          <w:lang w:eastAsia="zh-CN"/>
        </w:rPr>
        <w:t xml:space="preserve">’ exposure </w:t>
      </w:r>
      <w:r w:rsidRPr="00771256">
        <w:rPr>
          <w:rFonts w:eastAsia="DengXian"/>
          <w:color w:val="000000"/>
          <w:lang w:eastAsia="zh-CN"/>
        </w:rPr>
        <w:t xml:space="preserve">to </w:t>
      </w:r>
      <w:r w:rsidR="00FC36A3">
        <w:rPr>
          <w:rFonts w:eastAsia="DengXian"/>
          <w:color w:val="000000"/>
          <w:lang w:eastAsia="zh-CN"/>
        </w:rPr>
        <w:t>large customer</w:t>
      </w:r>
      <w:r w:rsidRPr="00771256">
        <w:rPr>
          <w:rFonts w:eastAsia="DengXian"/>
          <w:color w:val="000000"/>
          <w:lang w:eastAsia="zh-CN"/>
        </w:rPr>
        <w:t xml:space="preserve">-supplier </w:t>
      </w:r>
      <w:r w:rsidR="0099693E">
        <w:rPr>
          <w:rFonts w:eastAsia="DengXian"/>
          <w:color w:val="000000"/>
          <w:lang w:eastAsia="zh-CN"/>
        </w:rPr>
        <w:t>link</w:t>
      </w:r>
      <w:r w:rsidRPr="00771256">
        <w:rPr>
          <w:rFonts w:eastAsia="DengXian"/>
          <w:color w:val="000000"/>
          <w:lang w:eastAsia="zh-CN"/>
        </w:rPr>
        <w:t xml:space="preserve">s. These changes shed light on the extent of the </w:t>
      </w:r>
      <w:r w:rsidR="0036583A" w:rsidRPr="00771256">
        <w:rPr>
          <w:rFonts w:eastAsia="DengXian"/>
          <w:color w:val="000000"/>
          <w:lang w:eastAsia="zh-CN"/>
        </w:rPr>
        <w:t>adjustment</w:t>
      </w:r>
      <w:r w:rsidR="0036583A">
        <w:rPr>
          <w:rFonts w:eastAsia="DengXian"/>
          <w:color w:val="000000"/>
          <w:lang w:eastAsia="zh-CN"/>
        </w:rPr>
        <w:t xml:space="preserve"> that</w:t>
      </w:r>
      <w:r w:rsidR="0036583A" w:rsidRPr="00771256">
        <w:rPr>
          <w:rFonts w:eastAsia="DengXian"/>
          <w:color w:val="000000"/>
          <w:lang w:eastAsia="zh-CN"/>
        </w:rPr>
        <w:t xml:space="preserve"> </w:t>
      </w:r>
      <w:r w:rsidRPr="00771256">
        <w:rPr>
          <w:rFonts w:eastAsia="DengXian"/>
          <w:color w:val="000000"/>
          <w:lang w:eastAsia="zh-CN"/>
        </w:rPr>
        <w:t xml:space="preserve">banks make to loan pricing in response to the exposure to a risky borrower. </w:t>
      </w:r>
      <w:r w:rsidR="00D01339">
        <w:rPr>
          <w:rFonts w:eastAsia="DengXian"/>
          <w:color w:val="000000"/>
          <w:lang w:eastAsia="zh-CN"/>
        </w:rPr>
        <w:t>T</w:t>
      </w:r>
      <w:r w:rsidRPr="00771256">
        <w:rPr>
          <w:rFonts w:eastAsia="DengXian"/>
          <w:color w:val="000000"/>
          <w:lang w:eastAsia="zh-CN"/>
        </w:rPr>
        <w:t>he paper’s results are consistent with the view that the lead agent demand</w:t>
      </w:r>
      <w:r w:rsidR="0082364B">
        <w:rPr>
          <w:rFonts w:eastAsia="DengXian"/>
          <w:color w:val="000000"/>
          <w:lang w:eastAsia="zh-CN"/>
        </w:rPr>
        <w:t>s</w:t>
      </w:r>
      <w:r w:rsidRPr="00771256">
        <w:rPr>
          <w:rFonts w:eastAsia="DengXian"/>
          <w:color w:val="000000"/>
          <w:lang w:eastAsia="zh-CN"/>
        </w:rPr>
        <w:t xml:space="preserve"> a larger premium as compensation for </w:t>
      </w:r>
      <w:r w:rsidR="00505445">
        <w:rPr>
          <w:rFonts w:eastAsia="DengXian"/>
          <w:color w:val="000000"/>
          <w:lang w:eastAsia="zh-CN"/>
        </w:rPr>
        <w:t>lack of diversification</w:t>
      </w:r>
      <w:r w:rsidRPr="00771256">
        <w:rPr>
          <w:rFonts w:eastAsia="DengXian"/>
          <w:color w:val="000000"/>
          <w:lang w:eastAsia="zh-CN"/>
        </w:rPr>
        <w:t>. In addition, the lead agent’s reputation in the syndicate represents an important mechanism for mitigating information asymmetry problems with the syndicate and</w:t>
      </w:r>
      <w:r w:rsidR="001959D4">
        <w:rPr>
          <w:rFonts w:eastAsia="DengXian"/>
          <w:color w:val="000000"/>
          <w:lang w:eastAsia="zh-CN"/>
        </w:rPr>
        <w:t>,</w:t>
      </w:r>
      <w:r w:rsidRPr="00771256">
        <w:rPr>
          <w:rFonts w:eastAsia="DengXian"/>
          <w:color w:val="000000"/>
          <w:lang w:eastAsia="zh-CN"/>
        </w:rPr>
        <w:t xml:space="preserve"> therefore</w:t>
      </w:r>
      <w:r w:rsidR="001959D4">
        <w:rPr>
          <w:rFonts w:eastAsia="DengXian"/>
          <w:color w:val="000000"/>
          <w:lang w:eastAsia="zh-CN"/>
        </w:rPr>
        <w:t>,</w:t>
      </w:r>
      <w:r w:rsidRPr="00771256">
        <w:rPr>
          <w:rFonts w:eastAsia="DengXian"/>
          <w:color w:val="000000"/>
          <w:lang w:eastAsia="zh-CN"/>
        </w:rPr>
        <w:t xml:space="preserve"> its monitoring effort. Moreover, our results could be useful in understanding that pricing contract terms do not only reflect the borrower’s risk profile, but also the ownership syndicate structure and asymmetric problems within the syndicate. Future research could attempt to disentangle the monitoring</w:t>
      </w:r>
      <w:r w:rsidR="005E5A20">
        <w:rPr>
          <w:rFonts w:eastAsia="DengXian"/>
          <w:color w:val="000000"/>
          <w:lang w:eastAsia="zh-CN"/>
        </w:rPr>
        <w:t xml:space="preserve"> </w:t>
      </w:r>
      <w:r w:rsidR="00D62BD1">
        <w:rPr>
          <w:rFonts w:eastAsia="DengXian"/>
          <w:color w:val="000000"/>
          <w:lang w:eastAsia="zh-CN"/>
        </w:rPr>
        <w:t>activities</w:t>
      </w:r>
      <w:r w:rsidRPr="00771256">
        <w:rPr>
          <w:rFonts w:eastAsia="DengXian"/>
          <w:color w:val="000000"/>
          <w:lang w:eastAsia="zh-CN"/>
        </w:rPr>
        <w:t xml:space="preserve"> (</w:t>
      </w:r>
      <w:r w:rsidR="00F50A2A">
        <w:rPr>
          <w:rFonts w:eastAsia="DengXian"/>
          <w:color w:val="000000"/>
          <w:lang w:eastAsia="zh-CN"/>
        </w:rPr>
        <w:t>in</w:t>
      </w:r>
      <w:r w:rsidR="00F50A2A" w:rsidRPr="00771256">
        <w:rPr>
          <w:rFonts w:eastAsia="DengXian"/>
          <w:color w:val="000000"/>
          <w:lang w:eastAsia="zh-CN"/>
        </w:rPr>
        <w:t xml:space="preserve"> </w:t>
      </w:r>
      <w:r w:rsidRPr="00771256">
        <w:rPr>
          <w:rFonts w:eastAsia="DengXian"/>
          <w:color w:val="000000"/>
          <w:lang w:eastAsia="zh-CN"/>
        </w:rPr>
        <w:t xml:space="preserve">this regard, see </w:t>
      </w:r>
      <w:r w:rsidRPr="00BC40D3">
        <w:rPr>
          <w:rFonts w:eastAsia="DengXian"/>
          <w:color w:val="000000"/>
          <w:lang w:eastAsia="zh-CN"/>
        </w:rPr>
        <w:t>Gustafson et al.,</w:t>
      </w:r>
      <w:r w:rsidRPr="00771256">
        <w:rPr>
          <w:rFonts w:eastAsia="DengXian"/>
          <w:color w:val="000000"/>
          <w:lang w:eastAsia="zh-CN"/>
        </w:rPr>
        <w:t xml:space="preserve"> 2020) undertaken by the lead agent for firms with </w:t>
      </w:r>
      <w:r w:rsidR="0043098D">
        <w:rPr>
          <w:rFonts w:eastAsia="DengXian"/>
          <w:color w:val="000000"/>
          <w:lang w:eastAsia="zh-CN"/>
        </w:rPr>
        <w:t xml:space="preserve">large </w:t>
      </w:r>
      <w:r w:rsidR="00C2325A">
        <w:rPr>
          <w:rFonts w:eastAsia="DengXian"/>
          <w:color w:val="000000"/>
          <w:lang w:eastAsia="zh-CN"/>
        </w:rPr>
        <w:t>customer</w:t>
      </w:r>
      <w:r w:rsidRPr="00771256">
        <w:rPr>
          <w:rFonts w:eastAsia="DengXian"/>
          <w:color w:val="000000"/>
          <w:lang w:eastAsia="zh-CN"/>
        </w:rPr>
        <w:t xml:space="preserve">-supplier </w:t>
      </w:r>
      <w:r w:rsidR="0099693E">
        <w:rPr>
          <w:rFonts w:eastAsia="DengXian"/>
          <w:color w:val="000000"/>
          <w:lang w:eastAsia="zh-CN"/>
        </w:rPr>
        <w:t>link</w:t>
      </w:r>
      <w:r w:rsidRPr="00771256">
        <w:rPr>
          <w:rFonts w:eastAsia="DengXian"/>
          <w:color w:val="000000"/>
          <w:lang w:eastAsia="zh-CN"/>
        </w:rPr>
        <w:t>s as they could result in different contractual conditions for borrowers.</w:t>
      </w:r>
      <w:r w:rsidR="00505445">
        <w:rPr>
          <w:b/>
          <w:bCs/>
          <w:sz w:val="28"/>
          <w:szCs w:val="28"/>
        </w:rPr>
        <w:t xml:space="preserve"> </w:t>
      </w:r>
    </w:p>
    <w:bookmarkEnd w:id="35"/>
    <w:p w14:paraId="203B5A10" w14:textId="77777777" w:rsidR="004251DC" w:rsidRPr="002B3BA8" w:rsidRDefault="004251DC" w:rsidP="004251DC">
      <w:pPr>
        <w:spacing w:line="480" w:lineRule="auto"/>
        <w:ind w:left="284" w:hanging="284"/>
        <w:jc w:val="both"/>
        <w:rPr>
          <w:b/>
          <w:bCs/>
          <w:sz w:val="28"/>
          <w:szCs w:val="28"/>
        </w:rPr>
      </w:pPr>
      <w:r w:rsidRPr="002B3BA8">
        <w:rPr>
          <w:b/>
          <w:bCs/>
          <w:sz w:val="28"/>
          <w:szCs w:val="28"/>
        </w:rPr>
        <w:t>References</w:t>
      </w:r>
    </w:p>
    <w:p w14:paraId="1FFAC85E" w14:textId="77777777" w:rsidR="004251DC" w:rsidRPr="009E6E70" w:rsidRDefault="004251DC" w:rsidP="004251DC">
      <w:pPr>
        <w:spacing w:line="480" w:lineRule="auto"/>
        <w:ind w:left="284" w:hanging="284"/>
        <w:jc w:val="both"/>
      </w:pPr>
      <w:r w:rsidRPr="009E6E70">
        <w:t xml:space="preserve">Allen, J., Phillips, G., 2000. Corporate equity ownership, strategic alliances, and product market relationships. </w:t>
      </w:r>
      <w:r w:rsidRPr="009E6E70">
        <w:rPr>
          <w:i/>
        </w:rPr>
        <w:t>Journal of Finance</w:t>
      </w:r>
      <w:r w:rsidRPr="009E6E70">
        <w:t>. 55, 2791-2815.</w:t>
      </w:r>
    </w:p>
    <w:p w14:paraId="72E58C98" w14:textId="77777777" w:rsidR="004251DC" w:rsidRPr="009E6E70" w:rsidRDefault="004251DC" w:rsidP="004251DC">
      <w:pPr>
        <w:spacing w:line="480" w:lineRule="auto"/>
        <w:ind w:left="284" w:hanging="284"/>
        <w:jc w:val="both"/>
      </w:pPr>
      <w:r w:rsidRPr="009E6E70">
        <w:t>Banerjee, S., Dasgupta, S., Kim, Y., 2008. Buyer-supplier relationships and the stakeholder theory of capital structure</w:t>
      </w:r>
      <w:r w:rsidRPr="009E6E70">
        <w:rPr>
          <w:i/>
        </w:rPr>
        <w:t>. Journal of Finance.</w:t>
      </w:r>
      <w:r w:rsidRPr="009E6E70">
        <w:t xml:space="preserve"> 63, 2507-2552.</w:t>
      </w:r>
    </w:p>
    <w:p w14:paraId="6B4FAA3D" w14:textId="77777777" w:rsidR="004251DC" w:rsidRPr="009E6E70" w:rsidRDefault="004251DC" w:rsidP="004251DC">
      <w:pPr>
        <w:spacing w:line="480" w:lineRule="auto"/>
        <w:ind w:left="284" w:hanging="284"/>
        <w:jc w:val="both"/>
      </w:pPr>
      <w:r w:rsidRPr="009E6E70">
        <w:t xml:space="preserve">Berg, T., Saunders, A., Steffen, S., 2016. The total cost of corporate borrowing in the loan market: Don’t ignore the fees. </w:t>
      </w:r>
      <w:r w:rsidRPr="009E6E70">
        <w:rPr>
          <w:i/>
        </w:rPr>
        <w:t>Journal of Finance.</w:t>
      </w:r>
      <w:r w:rsidRPr="009E6E70">
        <w:t xml:space="preserve"> 71, 1357-1392.</w:t>
      </w:r>
    </w:p>
    <w:p w14:paraId="6A42CC49" w14:textId="77777777" w:rsidR="004251DC" w:rsidRPr="00545404" w:rsidRDefault="004251DC" w:rsidP="004251DC">
      <w:pPr>
        <w:autoSpaceDE w:val="0"/>
        <w:autoSpaceDN w:val="0"/>
        <w:adjustRightInd w:val="0"/>
        <w:spacing w:line="480" w:lineRule="auto"/>
        <w:ind w:left="284" w:hanging="284"/>
        <w:jc w:val="both"/>
      </w:pPr>
      <w:r w:rsidRPr="009E6E70">
        <w:t>Bharath, S., Dahiya, S., Saunders, A., Srinivasan, A., 2007. So What Do I Get? The Bank's View of Lending Relationships.</w:t>
      </w:r>
      <w:r w:rsidRPr="00036991">
        <w:t xml:space="preserve"> </w:t>
      </w:r>
      <w:r w:rsidRPr="001959D4">
        <w:rPr>
          <w:i/>
          <w:iCs/>
        </w:rPr>
        <w:t>Journal of Financial Economics</w:t>
      </w:r>
      <w:r w:rsidRPr="001959D4">
        <w:t xml:space="preserve">. 85(2), </w:t>
      </w:r>
      <w:r w:rsidRPr="007A2E9F">
        <w:t>368-</w:t>
      </w:r>
      <w:r w:rsidRPr="00545404">
        <w:t>419.</w:t>
      </w:r>
    </w:p>
    <w:p w14:paraId="1FA3FC8A" w14:textId="77777777" w:rsidR="004251DC" w:rsidRPr="009E6E70" w:rsidRDefault="004251DC" w:rsidP="004251DC">
      <w:pPr>
        <w:autoSpaceDE w:val="0"/>
        <w:autoSpaceDN w:val="0"/>
        <w:adjustRightInd w:val="0"/>
        <w:spacing w:line="480" w:lineRule="auto"/>
        <w:ind w:left="284" w:hanging="284"/>
        <w:jc w:val="both"/>
      </w:pPr>
      <w:r w:rsidRPr="004E7D2D">
        <w:t>Bharath, S.,</w:t>
      </w:r>
      <w:r w:rsidRPr="009E6E70">
        <w:t xml:space="preserve"> Dahiya, S., Saunders, A., Srinivasan, A., 2011. Lending Relationships and Loan Contract Terms. </w:t>
      </w:r>
      <w:r w:rsidRPr="009E6E70">
        <w:rPr>
          <w:i/>
          <w:iCs/>
        </w:rPr>
        <w:t>Review of Financial Studies</w:t>
      </w:r>
      <w:r w:rsidRPr="009E6E70">
        <w:t>. 24 (4), 1141-1203.</w:t>
      </w:r>
    </w:p>
    <w:p w14:paraId="711C02D0" w14:textId="77777777" w:rsidR="004251DC" w:rsidRPr="009E6E70" w:rsidRDefault="004251DC" w:rsidP="004251DC">
      <w:pPr>
        <w:autoSpaceDE w:val="0"/>
        <w:autoSpaceDN w:val="0"/>
        <w:adjustRightInd w:val="0"/>
        <w:spacing w:line="480" w:lineRule="auto"/>
        <w:ind w:left="284" w:hanging="284"/>
        <w:jc w:val="both"/>
      </w:pPr>
      <w:r w:rsidRPr="009E6E70">
        <w:t xml:space="preserve">Biais, B., Gollier, C., 1997. Trade credit and credit rationing. </w:t>
      </w:r>
      <w:r w:rsidRPr="00CE1532">
        <w:rPr>
          <w:i/>
          <w:iCs/>
        </w:rPr>
        <w:t>Review of Financial Studies</w:t>
      </w:r>
      <w:r w:rsidRPr="009E6E70">
        <w:t>. 10 (4), 903–937.</w:t>
      </w:r>
    </w:p>
    <w:p w14:paraId="5AA4C6BE" w14:textId="77777777" w:rsidR="004251DC" w:rsidRPr="009E6E70" w:rsidRDefault="004251DC" w:rsidP="004251DC">
      <w:pPr>
        <w:autoSpaceDE w:val="0"/>
        <w:autoSpaceDN w:val="0"/>
        <w:adjustRightInd w:val="0"/>
        <w:spacing w:line="480" w:lineRule="auto"/>
        <w:ind w:left="284" w:hanging="284"/>
        <w:jc w:val="both"/>
      </w:pPr>
      <w:r w:rsidRPr="009E6E70">
        <w:t xml:space="preserve">Boissay, F., Gropp, R., 2013. Payment defaults and interfirm liquidity provision. </w:t>
      </w:r>
      <w:r w:rsidRPr="00CE1532">
        <w:rPr>
          <w:i/>
          <w:iCs/>
        </w:rPr>
        <w:t>Review of Finance</w:t>
      </w:r>
      <w:r w:rsidRPr="009E6E70">
        <w:t>. 17, 1–42.</w:t>
      </w:r>
    </w:p>
    <w:p w14:paraId="7E69577D" w14:textId="77777777" w:rsidR="004251DC" w:rsidRPr="009E6E70" w:rsidRDefault="004251DC" w:rsidP="004251DC">
      <w:pPr>
        <w:autoSpaceDE w:val="0"/>
        <w:autoSpaceDN w:val="0"/>
        <w:adjustRightInd w:val="0"/>
        <w:spacing w:line="480" w:lineRule="auto"/>
        <w:ind w:left="284" w:hanging="284"/>
        <w:jc w:val="both"/>
      </w:pPr>
      <w:r w:rsidRPr="009E6E70">
        <w:t xml:space="preserve">Bradley, M., Roberts, M., 2015. The structure and pricing of corporate debt covenants. </w:t>
      </w:r>
      <w:r w:rsidRPr="009E6E70">
        <w:rPr>
          <w:i/>
        </w:rPr>
        <w:t>Quarterly Journal of Finance</w:t>
      </w:r>
      <w:r w:rsidRPr="009E6E70">
        <w:t>. 5(2), 1-37.</w:t>
      </w:r>
    </w:p>
    <w:p w14:paraId="2A4E48E7" w14:textId="77777777" w:rsidR="004251DC" w:rsidRPr="009E6E70" w:rsidRDefault="004251DC" w:rsidP="004251DC">
      <w:pPr>
        <w:autoSpaceDE w:val="0"/>
        <w:autoSpaceDN w:val="0"/>
        <w:adjustRightInd w:val="0"/>
        <w:spacing w:line="480" w:lineRule="auto"/>
        <w:ind w:left="284" w:hanging="284"/>
        <w:jc w:val="both"/>
      </w:pPr>
      <w:r w:rsidRPr="009E6E70">
        <w:t xml:space="preserve">Campello, M., Gao, J., 2017. Customer concentration and loan contract terms. </w:t>
      </w:r>
      <w:r w:rsidRPr="009E6E70">
        <w:rPr>
          <w:i/>
        </w:rPr>
        <w:t>Journal of</w:t>
      </w:r>
      <w:r w:rsidRPr="009E6E70">
        <w:t xml:space="preserve"> </w:t>
      </w:r>
      <w:r w:rsidRPr="009E6E70">
        <w:rPr>
          <w:i/>
        </w:rPr>
        <w:t>Financial Economics</w:t>
      </w:r>
      <w:r w:rsidRPr="009E6E70">
        <w:t>. 123, 108-136.</w:t>
      </w:r>
    </w:p>
    <w:p w14:paraId="184F8E60" w14:textId="77777777" w:rsidR="004251DC" w:rsidRPr="009E6E70" w:rsidRDefault="004251DC" w:rsidP="004251DC">
      <w:pPr>
        <w:autoSpaceDE w:val="0"/>
        <w:autoSpaceDN w:val="0"/>
        <w:adjustRightInd w:val="0"/>
        <w:spacing w:line="480" w:lineRule="auto"/>
        <w:ind w:left="284" w:hanging="284"/>
        <w:jc w:val="both"/>
      </w:pPr>
      <w:r w:rsidRPr="009E6E70">
        <w:t xml:space="preserve">Cen, L., Dasgupta, S., Elkamhi, R., Pungaliya, R., 2016. Reputation and Loan Contract Terms: the role of Principal Customers. </w:t>
      </w:r>
      <w:r w:rsidRPr="009E6E70">
        <w:rPr>
          <w:i/>
        </w:rPr>
        <w:t>Review of Finance</w:t>
      </w:r>
      <w:r w:rsidRPr="009E6E70">
        <w:t>. 20 (2), 501-533.</w:t>
      </w:r>
    </w:p>
    <w:p w14:paraId="3F15C527" w14:textId="77777777" w:rsidR="00080433" w:rsidRPr="009E6E70" w:rsidRDefault="00080433" w:rsidP="004251DC">
      <w:pPr>
        <w:autoSpaceDE w:val="0"/>
        <w:autoSpaceDN w:val="0"/>
        <w:adjustRightInd w:val="0"/>
        <w:spacing w:line="480" w:lineRule="auto"/>
        <w:ind w:left="284" w:hanging="284"/>
        <w:jc w:val="both"/>
      </w:pPr>
      <w:r w:rsidRPr="009E6E70">
        <w:t xml:space="preserve">Cen, L., Maydew, E.L., Zhang, L., Zuo, L., 2017. Customer–supplier relationships and corporate tax avoidance. </w:t>
      </w:r>
      <w:r w:rsidRPr="009E6E70">
        <w:rPr>
          <w:i/>
          <w:iCs/>
        </w:rPr>
        <w:t>Journal of Financial Economics</w:t>
      </w:r>
      <w:r w:rsidRPr="009E6E70">
        <w:t>. 123(2), 377-394.</w:t>
      </w:r>
    </w:p>
    <w:p w14:paraId="41393F8F" w14:textId="77777777" w:rsidR="004251DC" w:rsidRPr="009E6E70" w:rsidRDefault="004251DC" w:rsidP="004251DC">
      <w:pPr>
        <w:autoSpaceDE w:val="0"/>
        <w:autoSpaceDN w:val="0"/>
        <w:adjustRightInd w:val="0"/>
        <w:spacing w:line="480" w:lineRule="auto"/>
        <w:ind w:left="284" w:hanging="284"/>
        <w:jc w:val="both"/>
      </w:pPr>
      <w:r w:rsidRPr="009E6E70">
        <w:t>Chakraborty, I.,</w:t>
      </w:r>
      <w:r w:rsidRPr="00D753F2">
        <w:t xml:space="preserve"> Goldstein, I., Mackinlay, A., 2018.</w:t>
      </w:r>
      <w:r w:rsidRPr="00036991">
        <w:t xml:space="preserve"> Do Asset Price Bubbles have Negative Real Effects?</w:t>
      </w:r>
      <w:r w:rsidRPr="009E6E70">
        <w:t xml:space="preserve"> </w:t>
      </w:r>
      <w:r w:rsidRPr="009E6E70">
        <w:rPr>
          <w:i/>
        </w:rPr>
        <w:t>Review of Financial Studies.</w:t>
      </w:r>
      <w:r w:rsidRPr="009E6E70">
        <w:t xml:space="preserve"> 31(7), 2806-2853.</w:t>
      </w:r>
    </w:p>
    <w:p w14:paraId="4C483B59" w14:textId="77777777" w:rsidR="004251DC" w:rsidRPr="009E6E70" w:rsidRDefault="004251DC" w:rsidP="004251DC">
      <w:pPr>
        <w:spacing w:line="480" w:lineRule="auto"/>
        <w:ind w:left="284" w:hanging="284"/>
        <w:jc w:val="both"/>
      </w:pPr>
      <w:r w:rsidRPr="009E6E70">
        <w:t>Chava, S.,</w:t>
      </w:r>
      <w:r w:rsidRPr="009E6E70">
        <w:rPr>
          <w:rFonts w:eastAsia="DengXian"/>
          <w:lang w:val="en-GB" w:eastAsia="zh-CN"/>
        </w:rPr>
        <w:t xml:space="preserve"> </w:t>
      </w:r>
      <w:r w:rsidRPr="00D753F2">
        <w:t xml:space="preserve">Jarrow, R.A., 2004. Bankruptcy Prediction with Industry Effects. </w:t>
      </w:r>
      <w:r w:rsidRPr="00D753F2">
        <w:rPr>
          <w:i/>
        </w:rPr>
        <w:t>Review of F</w:t>
      </w:r>
      <w:r w:rsidRPr="00036991">
        <w:rPr>
          <w:i/>
        </w:rPr>
        <w:t>inance.</w:t>
      </w:r>
      <w:r w:rsidRPr="00036991">
        <w:t xml:space="preserve"> 8</w:t>
      </w:r>
      <w:r w:rsidRPr="001959D4">
        <w:t xml:space="preserve">, </w:t>
      </w:r>
      <w:r w:rsidRPr="00545404">
        <w:t>537-569</w:t>
      </w:r>
      <w:r w:rsidRPr="009E6E70">
        <w:t>.</w:t>
      </w:r>
    </w:p>
    <w:p w14:paraId="0A199C7A" w14:textId="77777777" w:rsidR="004251DC" w:rsidRDefault="004251DC" w:rsidP="004251DC">
      <w:pPr>
        <w:spacing w:line="480" w:lineRule="auto"/>
        <w:ind w:left="284" w:hanging="284"/>
        <w:jc w:val="both"/>
      </w:pPr>
      <w:r w:rsidRPr="009E6E70">
        <w:t>Cohen, L., Frazzini, A., 2008.</w:t>
      </w:r>
      <w:r w:rsidRPr="00D753F2">
        <w:t xml:space="preserve"> Economic links and predictable returns. </w:t>
      </w:r>
      <w:r w:rsidRPr="00D753F2">
        <w:rPr>
          <w:i/>
          <w:iCs/>
        </w:rPr>
        <w:t>Journal of Financial Economics</w:t>
      </w:r>
      <w:r w:rsidRPr="009E6E70">
        <w:rPr>
          <w:rFonts w:ascii="SimSun" w:eastAsia="SimSun" w:hAnsi="SimSun" w:cs="SimSun"/>
          <w:lang w:val="en-GB" w:eastAsia="zh-CN"/>
        </w:rPr>
        <w:t>.</w:t>
      </w:r>
      <w:r w:rsidRPr="009E6E70">
        <w:t>63(4), 1977-2011.</w:t>
      </w:r>
    </w:p>
    <w:p w14:paraId="1394B151" w14:textId="77777777" w:rsidR="007821D6" w:rsidRPr="009E6E70" w:rsidRDefault="007821D6" w:rsidP="004251DC">
      <w:pPr>
        <w:spacing w:line="480" w:lineRule="auto"/>
        <w:ind w:left="284" w:hanging="284"/>
        <w:jc w:val="both"/>
      </w:pPr>
      <w:r>
        <w:t xml:space="preserve">Cumming, D., </w:t>
      </w:r>
      <w:r w:rsidRPr="007821D6">
        <w:t>Lopez-de-Silanes</w:t>
      </w:r>
      <w:r>
        <w:t xml:space="preserve">, F., </w:t>
      </w:r>
      <w:r w:rsidRPr="007821D6">
        <w:t>McCahery</w:t>
      </w:r>
      <w:r>
        <w:t xml:space="preserve">, J.A., </w:t>
      </w:r>
      <w:r w:rsidRPr="007821D6">
        <w:t>Schwienbacher</w:t>
      </w:r>
      <w:r>
        <w:t xml:space="preserve">, A., 2020. </w:t>
      </w:r>
      <w:r w:rsidRPr="007821D6">
        <w:t>Tranching in the syndicated loan market around the world</w:t>
      </w:r>
      <w:r>
        <w:t xml:space="preserve">. </w:t>
      </w:r>
      <w:r w:rsidRPr="007821D6">
        <w:rPr>
          <w:i/>
          <w:iCs/>
        </w:rPr>
        <w:t>Journal of International Business Studies</w:t>
      </w:r>
      <w:r>
        <w:t>. 51, 95-120.</w:t>
      </w:r>
    </w:p>
    <w:p w14:paraId="4A631E5B" w14:textId="77777777" w:rsidR="004251DC" w:rsidRPr="009E6E70" w:rsidRDefault="004251DC" w:rsidP="004251DC">
      <w:pPr>
        <w:spacing w:line="480" w:lineRule="auto"/>
        <w:ind w:left="284" w:hanging="284"/>
        <w:jc w:val="both"/>
      </w:pPr>
      <w:r w:rsidRPr="009E6E70">
        <w:t xml:space="preserve">Cunat, V. M., 2007. </w:t>
      </w:r>
      <w:r w:rsidRPr="00D753F2">
        <w:t xml:space="preserve">Trade Credit: Suppliers as Debt Collectors and Insurance Providers. </w:t>
      </w:r>
      <w:r w:rsidRPr="00D753F2">
        <w:rPr>
          <w:i/>
        </w:rPr>
        <w:t>Review of Financial</w:t>
      </w:r>
      <w:r w:rsidRPr="009E6E70">
        <w:rPr>
          <w:i/>
        </w:rPr>
        <w:t xml:space="preserve"> Studie</w:t>
      </w:r>
      <w:r w:rsidRPr="009E6E70">
        <w:t>s. 20, 491-527.</w:t>
      </w:r>
    </w:p>
    <w:p w14:paraId="57907029" w14:textId="333B959F" w:rsidR="004251DC" w:rsidRPr="009E6E70" w:rsidRDefault="004251DC" w:rsidP="00CE7D45">
      <w:pPr>
        <w:spacing w:line="480" w:lineRule="auto"/>
        <w:ind w:left="284" w:hanging="284"/>
        <w:jc w:val="both"/>
        <w:rPr>
          <w:rFonts w:eastAsia="DengXian"/>
          <w:lang w:eastAsia="zh-CN"/>
        </w:rPr>
      </w:pPr>
      <w:r w:rsidRPr="009E6E70">
        <w:rPr>
          <w:rFonts w:eastAsia="DengXian"/>
          <w:lang w:eastAsia="zh-CN"/>
        </w:rPr>
        <w:t xml:space="preserve">Delis, M.D., Iosifidi, M., Kokas, S., Xefteris, D., Ongena, S., 2020a. Enforcement actions on banks and the structure of loan syndicates. </w:t>
      </w:r>
      <w:r w:rsidRPr="00CE1532">
        <w:rPr>
          <w:rFonts w:eastAsia="DengXian"/>
          <w:i/>
          <w:iCs/>
          <w:lang w:eastAsia="zh-CN"/>
        </w:rPr>
        <w:t>Journal of Corporate Finance</w:t>
      </w:r>
      <w:r w:rsidRPr="009E6E70">
        <w:rPr>
          <w:rFonts w:eastAsia="DengXian"/>
          <w:lang w:eastAsia="zh-CN"/>
        </w:rPr>
        <w:t xml:space="preserve">. </w:t>
      </w:r>
      <w:r w:rsidR="00CE1532">
        <w:rPr>
          <w:rFonts w:eastAsia="DengXian"/>
          <w:lang w:eastAsia="zh-CN"/>
        </w:rPr>
        <w:t xml:space="preserve">60, </w:t>
      </w:r>
      <w:r w:rsidR="00CE1532" w:rsidRPr="00CE1532">
        <w:rPr>
          <w:rFonts w:eastAsia="DengXian"/>
          <w:lang w:eastAsia="zh-CN"/>
        </w:rPr>
        <w:t>101527</w:t>
      </w:r>
      <w:r w:rsidR="00CE1532">
        <w:rPr>
          <w:rFonts w:eastAsia="DengXian"/>
          <w:lang w:eastAsia="zh-CN"/>
        </w:rPr>
        <w:t>.</w:t>
      </w:r>
    </w:p>
    <w:p w14:paraId="5B2BAC56" w14:textId="77777777" w:rsidR="004251DC" w:rsidRPr="009E6E70" w:rsidRDefault="004251DC" w:rsidP="004251DC">
      <w:pPr>
        <w:spacing w:line="480" w:lineRule="auto"/>
        <w:ind w:left="284" w:hanging="284"/>
        <w:jc w:val="both"/>
        <w:rPr>
          <w:rFonts w:eastAsia="DengXian"/>
          <w:lang w:eastAsia="zh-CN"/>
        </w:rPr>
      </w:pPr>
      <w:r w:rsidRPr="009E6E70">
        <w:rPr>
          <w:rFonts w:eastAsia="DengXian"/>
          <w:lang w:eastAsia="zh-CN"/>
        </w:rPr>
        <w:t xml:space="preserve">Delis, M., Hasan, I., Ongena, S., 2020b. </w:t>
      </w:r>
      <w:r w:rsidRPr="009E6E70">
        <w:rPr>
          <w:lang w:val="en"/>
        </w:rPr>
        <w:t xml:space="preserve">Democracy and credit. </w:t>
      </w:r>
      <w:r w:rsidRPr="009E6E70">
        <w:rPr>
          <w:bCs/>
          <w:i/>
          <w:lang w:val="en"/>
        </w:rPr>
        <w:t>Journal of Financial Economics</w:t>
      </w:r>
      <w:r w:rsidRPr="009E6E70">
        <w:rPr>
          <w:lang w:val="en"/>
        </w:rPr>
        <w:t xml:space="preserve">. </w:t>
      </w:r>
      <w:r w:rsidRPr="009E6E70">
        <w:t>136(2)</w:t>
      </w:r>
      <w:r w:rsidRPr="009E6E70">
        <w:rPr>
          <w:color w:val="2E2E2E"/>
          <w:shd w:val="clear" w:color="auto" w:fill="FFFFFF"/>
        </w:rPr>
        <w:t>, 571-596.</w:t>
      </w:r>
    </w:p>
    <w:p w14:paraId="357F381C" w14:textId="77777777" w:rsidR="004251DC" w:rsidRPr="009E6E70" w:rsidRDefault="004251DC" w:rsidP="004251DC">
      <w:pPr>
        <w:spacing w:line="480" w:lineRule="auto"/>
        <w:ind w:left="284" w:hanging="284"/>
        <w:jc w:val="both"/>
        <w:rPr>
          <w:rFonts w:eastAsia="DengXian"/>
          <w:lang w:eastAsia="zh-CN"/>
        </w:rPr>
      </w:pPr>
      <w:r w:rsidRPr="009E6E70">
        <w:t>Deming, W., 1986. Out of the Crisis. MIT Press, Cambridge, MA.</w:t>
      </w:r>
    </w:p>
    <w:p w14:paraId="6C984DFB" w14:textId="77777777" w:rsidR="004251DC" w:rsidRPr="009E6E70" w:rsidRDefault="004251DC" w:rsidP="004251DC">
      <w:pPr>
        <w:spacing w:line="480" w:lineRule="auto"/>
        <w:ind w:left="284" w:hanging="284"/>
        <w:jc w:val="both"/>
        <w:rPr>
          <w:rFonts w:eastAsia="DengXian"/>
          <w:lang w:eastAsia="zh-CN"/>
        </w:rPr>
      </w:pPr>
      <w:r w:rsidRPr="009E6E70">
        <w:rPr>
          <w:rFonts w:eastAsia="DengXian"/>
          <w:lang w:eastAsia="zh-CN"/>
        </w:rPr>
        <w:t xml:space="preserve">Demsetz, R.S., 2000. Bank loan sales: A new look at the motivations for secondary market activity. </w:t>
      </w:r>
      <w:r w:rsidRPr="009E6E70">
        <w:rPr>
          <w:rFonts w:eastAsia="DengXian"/>
          <w:i/>
          <w:iCs/>
          <w:lang w:eastAsia="zh-CN"/>
        </w:rPr>
        <w:t>Journal of Financial Research.</w:t>
      </w:r>
      <w:r w:rsidRPr="009E6E70">
        <w:rPr>
          <w:rFonts w:eastAsia="DengXian"/>
          <w:lang w:eastAsia="zh-CN"/>
        </w:rPr>
        <w:t xml:space="preserve"> 23 (2), 192–222.</w:t>
      </w:r>
    </w:p>
    <w:p w14:paraId="29F47EC9" w14:textId="77777777" w:rsidR="004251DC" w:rsidRPr="009E6E70" w:rsidRDefault="004251DC" w:rsidP="004251DC">
      <w:pPr>
        <w:spacing w:line="480" w:lineRule="auto"/>
        <w:ind w:left="284" w:hanging="284"/>
        <w:jc w:val="both"/>
        <w:rPr>
          <w:rFonts w:eastAsia="DengXian"/>
          <w:lang w:eastAsia="zh-CN"/>
        </w:rPr>
      </w:pPr>
      <w:r w:rsidRPr="009E6E70">
        <w:rPr>
          <w:rFonts w:eastAsia="DengXian"/>
          <w:lang w:eastAsia="zh-CN"/>
        </w:rPr>
        <w:t>Dhaliwal, D.,</w:t>
      </w:r>
      <w:r w:rsidRPr="00D753F2">
        <w:rPr>
          <w:rFonts w:eastAsia="DengXian"/>
          <w:lang w:eastAsia="zh-CN"/>
        </w:rPr>
        <w:t xml:space="preserve"> Judd, J.S., Serfling, M., </w:t>
      </w:r>
      <w:r w:rsidRPr="00036991">
        <w:rPr>
          <w:rFonts w:eastAsia="DengXian"/>
          <w:lang w:eastAsia="zh-CN"/>
        </w:rPr>
        <w:t>Shaikh, S., 2016. Customer concentration risk and the cost of equity capital</w:t>
      </w:r>
      <w:r w:rsidRPr="009E6E70">
        <w:rPr>
          <w:rFonts w:eastAsia="DengXian"/>
          <w:lang w:eastAsia="zh-CN"/>
        </w:rPr>
        <w:t xml:space="preserve">. </w:t>
      </w:r>
      <w:r w:rsidRPr="009E6E70">
        <w:rPr>
          <w:rFonts w:eastAsia="DengXian"/>
          <w:i/>
          <w:lang w:eastAsia="zh-CN"/>
        </w:rPr>
        <w:t>Journal of Accounting and Economics</w:t>
      </w:r>
      <w:r w:rsidRPr="009E6E70">
        <w:rPr>
          <w:rFonts w:eastAsia="DengXian"/>
          <w:lang w:eastAsia="zh-CN"/>
        </w:rPr>
        <w:t>. 61(1), 23-48.</w:t>
      </w:r>
    </w:p>
    <w:p w14:paraId="23B0AE60" w14:textId="77777777" w:rsidR="004251DC" w:rsidRPr="009E6E70" w:rsidRDefault="004251DC" w:rsidP="004251DC">
      <w:pPr>
        <w:spacing w:line="480" w:lineRule="auto"/>
        <w:ind w:left="284" w:hanging="284"/>
        <w:jc w:val="both"/>
      </w:pPr>
      <w:r w:rsidRPr="009E6E70">
        <w:t xml:space="preserve">Diamond, D., 1984. Financial intermediation and delegated monitoring. </w:t>
      </w:r>
      <w:r w:rsidRPr="00CE1532">
        <w:rPr>
          <w:i/>
          <w:iCs/>
        </w:rPr>
        <w:t>Review of Economic Studies</w:t>
      </w:r>
      <w:r w:rsidRPr="009E6E70">
        <w:t>. 51, 393–414.</w:t>
      </w:r>
    </w:p>
    <w:p w14:paraId="4C1E6C0C" w14:textId="77777777" w:rsidR="004251DC" w:rsidRPr="009E6E70" w:rsidRDefault="004251DC" w:rsidP="004251DC">
      <w:pPr>
        <w:spacing w:line="480" w:lineRule="auto"/>
        <w:ind w:left="284" w:hanging="284"/>
        <w:jc w:val="both"/>
      </w:pPr>
      <w:r w:rsidRPr="009E6E70">
        <w:t xml:space="preserve">Di Giovanni, J., Levchenko, A.A., Mejean, I., 2014. Firms, Destinations, and Aggregate Fluctuations. </w:t>
      </w:r>
      <w:r w:rsidRPr="009E6E70">
        <w:rPr>
          <w:i/>
          <w:iCs/>
        </w:rPr>
        <w:t>Econometrica</w:t>
      </w:r>
      <w:r w:rsidRPr="009E6E70">
        <w:t>. 82, 1303-1340.</w:t>
      </w:r>
    </w:p>
    <w:p w14:paraId="4623D3AA" w14:textId="77777777" w:rsidR="007B1C98" w:rsidRPr="009E6E70" w:rsidRDefault="007B1C98" w:rsidP="004251DC">
      <w:pPr>
        <w:spacing w:line="480" w:lineRule="auto"/>
        <w:ind w:left="284" w:hanging="284"/>
        <w:jc w:val="both"/>
      </w:pPr>
      <w:r w:rsidRPr="009E6E70">
        <w:t xml:space="preserve">Esty, B., 2001, Structuring loan syndicates: A case study of the Hong Kong Disneyland project loan. </w:t>
      </w:r>
      <w:r w:rsidRPr="009E6E70">
        <w:rPr>
          <w:i/>
          <w:iCs/>
        </w:rPr>
        <w:t>Journal of Applied Corporate Finance</w:t>
      </w:r>
      <w:r w:rsidRPr="009E6E70">
        <w:t>. 13, 3-</w:t>
      </w:r>
    </w:p>
    <w:p w14:paraId="677BE949" w14:textId="77777777" w:rsidR="004251DC" w:rsidRPr="009E6E70" w:rsidRDefault="004251DC" w:rsidP="004251DC">
      <w:pPr>
        <w:spacing w:line="480" w:lineRule="auto"/>
        <w:ind w:left="284" w:hanging="284"/>
        <w:jc w:val="both"/>
      </w:pPr>
      <w:r w:rsidRPr="009E6E70">
        <w:t xml:space="preserve">Esty, B., Megginson, W., 2003. Creditor rights, enforcement, and debt ownership structure: evidence from the global syndicated loan market. </w:t>
      </w:r>
      <w:r w:rsidRPr="009E6E70">
        <w:rPr>
          <w:i/>
        </w:rPr>
        <w:t>Journal of Financial and Quantitative Analysis</w:t>
      </w:r>
      <w:r w:rsidRPr="009E6E70">
        <w:t>. 38, 689-721.</w:t>
      </w:r>
    </w:p>
    <w:p w14:paraId="17B18F22" w14:textId="77777777" w:rsidR="00483471" w:rsidRPr="009E6E70" w:rsidRDefault="004251DC" w:rsidP="00483471">
      <w:pPr>
        <w:spacing w:line="480" w:lineRule="auto"/>
        <w:ind w:left="284" w:hanging="284"/>
        <w:jc w:val="both"/>
      </w:pPr>
      <w:r w:rsidRPr="009E6E70">
        <w:t xml:space="preserve">Fee, E., </w:t>
      </w:r>
      <w:r w:rsidRPr="00D753F2">
        <w:t>Thomas, S., 2004. Sources of gains in horizontal mergers: evidence from customer, supplier</w:t>
      </w:r>
      <w:r w:rsidRPr="009E6E70">
        <w:t xml:space="preserve">, and rival firms. </w:t>
      </w:r>
      <w:r w:rsidRPr="00CE1532">
        <w:rPr>
          <w:i/>
          <w:iCs/>
        </w:rPr>
        <w:t>Journal of Financial Economics</w:t>
      </w:r>
      <w:r w:rsidRPr="009E6E70">
        <w:t>. 74, 423-460.</w:t>
      </w:r>
    </w:p>
    <w:p w14:paraId="11CCB743" w14:textId="77777777" w:rsidR="004251DC" w:rsidRPr="009E6E70" w:rsidRDefault="004251DC" w:rsidP="00483471">
      <w:pPr>
        <w:spacing w:line="480" w:lineRule="auto"/>
        <w:ind w:left="284" w:hanging="284"/>
        <w:jc w:val="both"/>
      </w:pPr>
      <w:r w:rsidRPr="009E6E70">
        <w:t>Focarelli, D.</w:t>
      </w:r>
      <w:r w:rsidRPr="00D753F2">
        <w:t>, Pozzolo, A. F., Casolaro</w:t>
      </w:r>
      <w:r w:rsidRPr="00036991">
        <w:t xml:space="preserve">, L., 2008. </w:t>
      </w:r>
      <w:r w:rsidRPr="001959D4">
        <w:t xml:space="preserve">The pricing effect of certification on syndicated loans. </w:t>
      </w:r>
      <w:r w:rsidRPr="001959D4">
        <w:rPr>
          <w:i/>
          <w:iCs/>
        </w:rPr>
        <w:t>Journal</w:t>
      </w:r>
      <w:r w:rsidRPr="009E6E70">
        <w:rPr>
          <w:i/>
          <w:iCs/>
        </w:rPr>
        <w:t xml:space="preserve"> of Monetary Economics</w:t>
      </w:r>
      <w:r w:rsidRPr="009E6E70">
        <w:t>. 55, 335-349.</w:t>
      </w:r>
    </w:p>
    <w:p w14:paraId="759F49BF" w14:textId="77777777" w:rsidR="004251DC" w:rsidRPr="009E6E70" w:rsidRDefault="004251DC" w:rsidP="004251DC">
      <w:pPr>
        <w:spacing w:line="480" w:lineRule="auto"/>
        <w:ind w:left="284" w:hanging="284"/>
        <w:jc w:val="both"/>
      </w:pPr>
      <w:r w:rsidRPr="009E6E70">
        <w:t xml:space="preserve">Giannetti, M., </w:t>
      </w:r>
      <w:r w:rsidRPr="00D753F2">
        <w:t xml:space="preserve">Burkart, </w:t>
      </w:r>
      <w:r w:rsidRPr="00D753F2">
        <w:rPr>
          <w:lang w:val="en-GB"/>
        </w:rPr>
        <w:t xml:space="preserve">M., </w:t>
      </w:r>
      <w:r w:rsidRPr="00D753F2">
        <w:t>Ellingsen</w:t>
      </w:r>
      <w:r w:rsidRPr="00036991">
        <w:t>, T., 2011. What You Sell Is What Y</w:t>
      </w:r>
      <w:r w:rsidRPr="001959D4">
        <w:t>ou Lend? Explaining Trade</w:t>
      </w:r>
      <w:r w:rsidRPr="009E6E70">
        <w:t xml:space="preserve"> Credit Contracts. </w:t>
      </w:r>
      <w:r w:rsidRPr="009E6E70">
        <w:rPr>
          <w:i/>
        </w:rPr>
        <w:t>Review of Financial Studies</w:t>
      </w:r>
      <w:r w:rsidRPr="009E6E70">
        <w:t>. 24, 1261-1298.</w:t>
      </w:r>
    </w:p>
    <w:p w14:paraId="7ADD1E5E" w14:textId="77777777" w:rsidR="004251DC" w:rsidRPr="009E6E70" w:rsidRDefault="004251DC" w:rsidP="004251DC">
      <w:pPr>
        <w:spacing w:line="480" w:lineRule="auto"/>
        <w:ind w:left="284" w:hanging="284"/>
        <w:jc w:val="both"/>
      </w:pPr>
      <w:r w:rsidRPr="009E6E70">
        <w:t xml:space="preserve">Gorton, G., Pennacchi, G., 1995. Banks and Loan Sales: Marketing Nonmarketable Assets. </w:t>
      </w:r>
      <w:r w:rsidRPr="009E6E70">
        <w:rPr>
          <w:i/>
          <w:iCs/>
        </w:rPr>
        <w:t>Journal of Monetary Economics</w:t>
      </w:r>
      <w:r w:rsidRPr="009E6E70">
        <w:t>, 35, 389–411.</w:t>
      </w:r>
    </w:p>
    <w:p w14:paraId="0FE2F144" w14:textId="77777777" w:rsidR="00873EC1" w:rsidRPr="009E6E70" w:rsidRDefault="00873EC1" w:rsidP="004251DC">
      <w:pPr>
        <w:spacing w:line="480" w:lineRule="auto"/>
        <w:ind w:left="284" w:hanging="284"/>
        <w:jc w:val="both"/>
      </w:pPr>
      <w:r w:rsidRPr="009E6E70">
        <w:t xml:space="preserve">Guner, A. B., Malmendier, U., Tate, G. 2008. Financial expertise of directors. </w:t>
      </w:r>
      <w:r w:rsidRPr="009E6E70">
        <w:rPr>
          <w:i/>
          <w:iCs/>
        </w:rPr>
        <w:t>Journal of Financial Economics.</w:t>
      </w:r>
      <w:r w:rsidRPr="009E6E70">
        <w:t xml:space="preserve"> 88, 323–354.</w:t>
      </w:r>
    </w:p>
    <w:p w14:paraId="104E6D96" w14:textId="77777777" w:rsidR="004251DC" w:rsidRPr="009E6E70" w:rsidRDefault="004251DC" w:rsidP="004251DC">
      <w:pPr>
        <w:spacing w:line="480" w:lineRule="auto"/>
        <w:ind w:left="284" w:hanging="284"/>
        <w:jc w:val="both"/>
      </w:pPr>
      <w:r w:rsidRPr="009E6E70">
        <w:t xml:space="preserve">Gustafson, M.T., </w:t>
      </w:r>
      <w:r w:rsidRPr="00D753F2">
        <w:t>Ivanov, I.T., Meisenzahl, R. R.</w:t>
      </w:r>
      <w:r w:rsidRPr="00036991">
        <w:t xml:space="preserve"> 2020.</w:t>
      </w:r>
      <w:r w:rsidRPr="001959D4">
        <w:t xml:space="preserve"> Bank Monitoring: Evidence from Syndicated</w:t>
      </w:r>
      <w:r w:rsidRPr="009E6E70">
        <w:t xml:space="preserve"> Loans. </w:t>
      </w:r>
      <w:r w:rsidRPr="009E6E70">
        <w:rPr>
          <w:i/>
          <w:iCs/>
        </w:rPr>
        <w:t>Journal of Financial Economics</w:t>
      </w:r>
      <w:r w:rsidRPr="009E6E70">
        <w:t>. Forthcoming.</w:t>
      </w:r>
    </w:p>
    <w:p w14:paraId="2BCEC998" w14:textId="593368F5" w:rsidR="004251DC" w:rsidRPr="009E6E70" w:rsidRDefault="004251DC" w:rsidP="004251DC">
      <w:pPr>
        <w:spacing w:line="480" w:lineRule="auto"/>
        <w:ind w:left="284" w:hanging="284"/>
        <w:jc w:val="both"/>
      </w:pPr>
      <w:r w:rsidRPr="009E6E70">
        <w:t xml:space="preserve">Hasan, I., Minnick, K., Raman, K., 2020. Credit allocation when borrowers are economically linked: An empirical analysis of bank loans to corporate customers. </w:t>
      </w:r>
      <w:r w:rsidRPr="009E6E70">
        <w:rPr>
          <w:i/>
          <w:iCs/>
        </w:rPr>
        <w:t>Journal of Corporate Finance</w:t>
      </w:r>
      <w:r w:rsidRPr="009E6E70">
        <w:t xml:space="preserve">. </w:t>
      </w:r>
      <w:r w:rsidR="006A3F11">
        <w:t xml:space="preserve">62, </w:t>
      </w:r>
      <w:r w:rsidR="006A3F11" w:rsidRPr="006A3F11">
        <w:t>101605</w:t>
      </w:r>
      <w:r w:rsidRPr="009E6E70">
        <w:t>.</w:t>
      </w:r>
    </w:p>
    <w:p w14:paraId="3718853D" w14:textId="77777777" w:rsidR="004251DC" w:rsidRPr="005A53F6" w:rsidRDefault="000B0F2B" w:rsidP="005A53F6">
      <w:pPr>
        <w:spacing w:line="480" w:lineRule="auto"/>
        <w:ind w:left="284" w:hanging="284"/>
        <w:jc w:val="both"/>
      </w:pPr>
      <w:r w:rsidRPr="009E6E70">
        <w:t xml:space="preserve">Hertzel, M.G., Officer, M.S., 2012. Industry contagion in loan spreads. </w:t>
      </w:r>
      <w:r w:rsidRPr="009E6E70">
        <w:rPr>
          <w:i/>
          <w:iCs/>
        </w:rPr>
        <w:t>Journal of Financial Economics.</w:t>
      </w:r>
      <w:r w:rsidRPr="009E6E70">
        <w:t xml:space="preserve"> 103, 493–506.</w:t>
      </w:r>
    </w:p>
    <w:p w14:paraId="42BC57C4" w14:textId="77777777" w:rsidR="004251DC" w:rsidRPr="009E6E70" w:rsidRDefault="004251DC" w:rsidP="004251DC">
      <w:pPr>
        <w:spacing w:line="480" w:lineRule="auto"/>
        <w:ind w:left="284" w:hanging="284"/>
        <w:jc w:val="both"/>
      </w:pPr>
      <w:r w:rsidRPr="009E6E70">
        <w:t xml:space="preserve">Holmstrom, B., Tirole, J., 1997. Financial intermediation, loanable funds, and the real sector. </w:t>
      </w:r>
      <w:r w:rsidRPr="00036991">
        <w:rPr>
          <w:i/>
          <w:iCs/>
        </w:rPr>
        <w:t>Quarterly</w:t>
      </w:r>
      <w:r w:rsidRPr="009E6E70">
        <w:rPr>
          <w:i/>
          <w:iCs/>
        </w:rPr>
        <w:t xml:space="preserve"> Journal of Economics</w:t>
      </w:r>
      <w:r w:rsidRPr="009E6E70">
        <w:t>. 112, 663–691.</w:t>
      </w:r>
    </w:p>
    <w:p w14:paraId="4E7FD58A" w14:textId="77777777" w:rsidR="004251DC" w:rsidRPr="009E6E70" w:rsidRDefault="004251DC" w:rsidP="004251DC">
      <w:pPr>
        <w:spacing w:line="480" w:lineRule="auto"/>
        <w:ind w:left="284" w:hanging="284"/>
        <w:jc w:val="both"/>
      </w:pPr>
      <w:r w:rsidRPr="009E6E70">
        <w:t xml:space="preserve">Ivashina, V., 2009. Asymmetric information effects on loan spreads. </w:t>
      </w:r>
      <w:r w:rsidRPr="009E6E70">
        <w:rPr>
          <w:i/>
        </w:rPr>
        <w:t xml:space="preserve">Journal of Financial Economics. </w:t>
      </w:r>
      <w:r w:rsidRPr="009E6E70">
        <w:t>92, 300-319</w:t>
      </w:r>
      <w:r w:rsidRPr="009E6E70">
        <w:rPr>
          <w:sz w:val="27"/>
          <w:szCs w:val="27"/>
        </w:rPr>
        <w:t>.</w:t>
      </w:r>
    </w:p>
    <w:p w14:paraId="192FF916" w14:textId="77777777" w:rsidR="004251DC" w:rsidRPr="009E6E70" w:rsidRDefault="004251DC" w:rsidP="004251DC">
      <w:pPr>
        <w:spacing w:line="480" w:lineRule="auto"/>
        <w:ind w:left="284" w:hanging="284"/>
        <w:jc w:val="both"/>
      </w:pPr>
      <w:r w:rsidRPr="009E6E70">
        <w:t xml:space="preserve">Kale, J., Shahrur, H., 2007. Corporate capital structure and the characteristics of suppliers and customers. </w:t>
      </w:r>
      <w:r w:rsidRPr="009E6E70">
        <w:rPr>
          <w:i/>
        </w:rPr>
        <w:t>Journal of Financial Economics</w:t>
      </w:r>
      <w:r w:rsidRPr="009E6E70">
        <w:t>. 83, 321-365.</w:t>
      </w:r>
    </w:p>
    <w:p w14:paraId="60736E52" w14:textId="77777777" w:rsidR="004251DC" w:rsidRPr="009E6E70" w:rsidRDefault="004251DC" w:rsidP="004251DC">
      <w:pPr>
        <w:spacing w:line="480" w:lineRule="auto"/>
        <w:ind w:left="284" w:hanging="284"/>
        <w:jc w:val="both"/>
      </w:pPr>
      <w:r w:rsidRPr="009E6E70">
        <w:t>Kolay, M.,</w:t>
      </w:r>
      <w:r w:rsidRPr="00D753F2">
        <w:t xml:space="preserve"> Lemmon, M., Tashjian, E., 2016. </w:t>
      </w:r>
      <w:r w:rsidRPr="00036991">
        <w:t>Spreading the misery? S</w:t>
      </w:r>
      <w:r w:rsidRPr="001959D4">
        <w:t xml:space="preserve">ources of bankruptcy spillover in the supply chain. </w:t>
      </w:r>
      <w:r w:rsidRPr="00545404">
        <w:rPr>
          <w:i/>
        </w:rPr>
        <w:t>Journal of Financial and Quantitative Analysis</w:t>
      </w:r>
      <w:r w:rsidRPr="004E7D2D">
        <w:t xml:space="preserve">, </w:t>
      </w:r>
      <w:r w:rsidRPr="004E7D2D">
        <w:rPr>
          <w:bCs/>
        </w:rPr>
        <w:t xml:space="preserve">51(6), </w:t>
      </w:r>
      <w:r w:rsidRPr="004E7D2D">
        <w:rPr>
          <w:bdr w:val="none" w:sz="0" w:space="0" w:color="auto" w:frame="1"/>
        </w:rPr>
        <w:t>1955</w:t>
      </w:r>
      <w:r w:rsidRPr="009E6E70">
        <w:rPr>
          <w:bdr w:val="none" w:sz="0" w:space="0" w:color="auto" w:frame="1"/>
        </w:rPr>
        <w:t>-1990.</w:t>
      </w:r>
    </w:p>
    <w:p w14:paraId="475C3BDF" w14:textId="77777777" w:rsidR="004251DC" w:rsidRPr="009E6E70" w:rsidRDefault="004251DC" w:rsidP="004251DC">
      <w:pPr>
        <w:spacing w:line="480" w:lineRule="auto"/>
        <w:ind w:left="284" w:hanging="284"/>
        <w:jc w:val="both"/>
      </w:pPr>
      <w:r w:rsidRPr="009E6E70">
        <w:t>Leary, M.,</w:t>
      </w:r>
      <w:r w:rsidRPr="00D753F2">
        <w:t xml:space="preserve"> Roberts, M., 2014. Do peer firms affect corporate financial policy? </w:t>
      </w:r>
      <w:r w:rsidRPr="00D753F2">
        <w:rPr>
          <w:i/>
        </w:rPr>
        <w:t>Journal of Finance</w:t>
      </w:r>
      <w:r w:rsidRPr="00D753F2">
        <w:t>.</w:t>
      </w:r>
      <w:r w:rsidRPr="00036991">
        <w:t xml:space="preserve"> 69(1),</w:t>
      </w:r>
      <w:r w:rsidRPr="009E6E70">
        <w:t xml:space="preserve"> 139-178.</w:t>
      </w:r>
    </w:p>
    <w:p w14:paraId="3871AC0F" w14:textId="77777777" w:rsidR="004251DC" w:rsidRPr="009E6E70" w:rsidRDefault="004251DC" w:rsidP="004251DC">
      <w:pPr>
        <w:spacing w:line="480" w:lineRule="auto"/>
        <w:ind w:left="284" w:hanging="284"/>
        <w:jc w:val="both"/>
      </w:pPr>
      <w:r w:rsidRPr="009E6E70">
        <w:t>Lim, J., Minton, B., Weisbach, M., 2014. Syndicated Loan Spreads and the Co</w:t>
      </w:r>
      <w:r w:rsidRPr="00D753F2">
        <w:t>mposition of the Syndicate</w:t>
      </w:r>
      <w:r w:rsidRPr="009E6E70">
        <w:t xml:space="preserve">. </w:t>
      </w:r>
      <w:r w:rsidRPr="009E6E70">
        <w:rPr>
          <w:i/>
        </w:rPr>
        <w:t>Journal of Financial Economics</w:t>
      </w:r>
      <w:r w:rsidRPr="009E6E70">
        <w:t>. 111, 45-69.</w:t>
      </w:r>
    </w:p>
    <w:p w14:paraId="7BE29150" w14:textId="77777777" w:rsidR="004251DC" w:rsidRPr="009E6E70" w:rsidRDefault="004251DC" w:rsidP="004251DC">
      <w:pPr>
        <w:spacing w:line="480" w:lineRule="auto"/>
        <w:ind w:left="284" w:hanging="284"/>
        <w:jc w:val="both"/>
      </w:pPr>
      <w:r w:rsidRPr="009E6E70">
        <w:t xml:space="preserve">Lin, C., Ma, Y., Malatesta, P., Xuan, Y., 2012. Corporate ownership structure and bank loan syndicate structure. </w:t>
      </w:r>
      <w:r w:rsidRPr="009E6E70">
        <w:rPr>
          <w:i/>
        </w:rPr>
        <w:t>Journal of Financial Economics</w:t>
      </w:r>
      <w:r w:rsidRPr="009E6E70">
        <w:t>. 104, 1-22.</w:t>
      </w:r>
    </w:p>
    <w:p w14:paraId="3DEDB069" w14:textId="77777777" w:rsidR="004251DC" w:rsidRPr="009E6E70" w:rsidRDefault="004251DC" w:rsidP="00505445">
      <w:pPr>
        <w:spacing w:line="480" w:lineRule="auto"/>
        <w:ind w:left="284" w:hanging="284"/>
        <w:jc w:val="both"/>
      </w:pPr>
      <w:r w:rsidRPr="009E6E70">
        <w:t>Nagarajan, M</w:t>
      </w:r>
      <w:r w:rsidRPr="00D753F2">
        <w:t>., Bassok, Y., 2008. A bargaining framework in supply chains: the assembly problem.</w:t>
      </w:r>
      <w:r w:rsidRPr="009E6E70">
        <w:t xml:space="preserve"> </w:t>
      </w:r>
      <w:r w:rsidRPr="009E6E70">
        <w:rPr>
          <w:i/>
          <w:iCs/>
        </w:rPr>
        <w:t>Management Science</w:t>
      </w:r>
      <w:r w:rsidRPr="009E6E70">
        <w:t>. 54, 1482–1996</w:t>
      </w:r>
      <w:r w:rsidR="00505445" w:rsidRPr="009E6E70">
        <w:t>.</w:t>
      </w:r>
    </w:p>
    <w:p w14:paraId="629579D8" w14:textId="77777777" w:rsidR="004251DC" w:rsidRPr="009E6E70" w:rsidRDefault="004251DC" w:rsidP="004251DC">
      <w:pPr>
        <w:spacing w:line="480" w:lineRule="auto"/>
        <w:ind w:left="284" w:hanging="284"/>
        <w:jc w:val="both"/>
      </w:pPr>
      <w:r w:rsidRPr="009E6E70">
        <w:t xml:space="preserve">Patatoukas, P.N., 2012. Customer-base concentration: implications for firm performance and capital markets. </w:t>
      </w:r>
      <w:r w:rsidRPr="009E6E70">
        <w:rPr>
          <w:i/>
          <w:iCs/>
        </w:rPr>
        <w:t>Accounting Review</w:t>
      </w:r>
      <w:r w:rsidRPr="009E6E70">
        <w:t>. 87, 363–392.</w:t>
      </w:r>
    </w:p>
    <w:p w14:paraId="1B703B2C" w14:textId="77777777" w:rsidR="004251DC" w:rsidRPr="00545404" w:rsidRDefault="004251DC" w:rsidP="004251DC">
      <w:pPr>
        <w:spacing w:line="480" w:lineRule="auto"/>
        <w:ind w:left="284" w:hanging="284"/>
        <w:jc w:val="both"/>
      </w:pPr>
      <w:r w:rsidRPr="009E6E70">
        <w:t>Pavel, C.</w:t>
      </w:r>
      <w:r w:rsidRPr="00D753F2">
        <w:t xml:space="preserve">, Phillis, D., 1987. Why Commercial Banks Sell Loans: An Empirical Analysis. </w:t>
      </w:r>
      <w:r w:rsidRPr="00036991">
        <w:rPr>
          <w:i/>
          <w:iCs/>
        </w:rPr>
        <w:t>Economic</w:t>
      </w:r>
      <w:r w:rsidRPr="001959D4">
        <w:rPr>
          <w:i/>
          <w:iCs/>
        </w:rPr>
        <w:t xml:space="preserve"> Perspectives</w:t>
      </w:r>
      <w:r w:rsidRPr="007A2E9F">
        <w:t>. 11 (3)</w:t>
      </w:r>
      <w:r w:rsidRPr="00545404">
        <w:t>, 3-14.</w:t>
      </w:r>
    </w:p>
    <w:p w14:paraId="3B9AC972" w14:textId="77777777" w:rsidR="004251DC" w:rsidRPr="009E6E70" w:rsidRDefault="004251DC" w:rsidP="004251DC">
      <w:pPr>
        <w:spacing w:line="480" w:lineRule="auto"/>
        <w:ind w:left="284" w:hanging="284"/>
        <w:jc w:val="both"/>
      </w:pPr>
      <w:r w:rsidRPr="004E7D2D">
        <w:t>Pennacchi, G.,</w:t>
      </w:r>
      <w:r w:rsidRPr="009E6E70">
        <w:t xml:space="preserve"> 1988. Loan Sales and the Cost of Bank Capital. </w:t>
      </w:r>
      <w:r w:rsidRPr="009E6E70">
        <w:rPr>
          <w:i/>
          <w:iCs/>
        </w:rPr>
        <w:t>Journal of Finance</w:t>
      </w:r>
      <w:r w:rsidRPr="009E6E70">
        <w:t>. 43, 375–396.</w:t>
      </w:r>
    </w:p>
    <w:p w14:paraId="3C2EF8AD" w14:textId="77777777" w:rsidR="004251DC" w:rsidRPr="009E6E70" w:rsidRDefault="004251DC" w:rsidP="00CE7D45">
      <w:pPr>
        <w:spacing w:line="480" w:lineRule="auto"/>
        <w:ind w:left="284" w:hanging="284"/>
        <w:jc w:val="both"/>
      </w:pPr>
      <w:r w:rsidRPr="009E6E70">
        <w:t xml:space="preserve">Rahamana, M. M., Rau, M.R., Zaman, A.A., 2020. The effect of supply chain power on bank financing. </w:t>
      </w:r>
      <w:r w:rsidRPr="009E6E70">
        <w:rPr>
          <w:i/>
          <w:iCs/>
        </w:rPr>
        <w:t>Journal of Banking and Finance</w:t>
      </w:r>
      <w:r w:rsidRPr="009E6E70">
        <w:t xml:space="preserve">. 114, </w:t>
      </w:r>
      <w:r w:rsidR="00533632" w:rsidRPr="009E6E70">
        <w:t>105801</w:t>
      </w:r>
      <w:r w:rsidRPr="009E6E70">
        <w:t>.</w:t>
      </w:r>
    </w:p>
    <w:p w14:paraId="7106CBA7" w14:textId="77777777" w:rsidR="00691A27" w:rsidRPr="009E6E70" w:rsidRDefault="004251DC" w:rsidP="00691A27">
      <w:pPr>
        <w:spacing w:line="480" w:lineRule="auto"/>
        <w:ind w:left="284" w:hanging="284"/>
        <w:jc w:val="both"/>
      </w:pPr>
      <w:r w:rsidRPr="009E6E70">
        <w:t xml:space="preserve">Rauch, J. E., 1999. </w:t>
      </w:r>
      <w:r w:rsidRPr="00D753F2">
        <w:t xml:space="preserve">Networks versus Markets in International Trade. </w:t>
      </w:r>
      <w:r w:rsidRPr="00D753F2">
        <w:rPr>
          <w:i/>
        </w:rPr>
        <w:t>Journal of International Economics</w:t>
      </w:r>
      <w:r w:rsidRPr="009E6E70">
        <w:rPr>
          <w:i/>
        </w:rPr>
        <w:t>.</w:t>
      </w:r>
      <w:r w:rsidRPr="009E6E70">
        <w:t xml:space="preserve"> 48, 7-35.</w:t>
      </w:r>
    </w:p>
    <w:p w14:paraId="2CBFB876" w14:textId="77777777" w:rsidR="007E3A75" w:rsidRDefault="007E3A75" w:rsidP="00691A27">
      <w:pPr>
        <w:spacing w:line="480" w:lineRule="auto"/>
        <w:ind w:left="284" w:hanging="284"/>
        <w:jc w:val="both"/>
      </w:pPr>
      <w:r>
        <w:t xml:space="preserve">Schenone, C., 2010. Lending relationships and information rents: do banks exploit their information advantage? </w:t>
      </w:r>
      <w:r w:rsidRPr="007E3A75">
        <w:rPr>
          <w:i/>
          <w:iCs/>
        </w:rPr>
        <w:t>Review of Financial Studies</w:t>
      </w:r>
      <w:r>
        <w:rPr>
          <w:i/>
          <w:iCs/>
        </w:rPr>
        <w:t>.</w:t>
      </w:r>
      <w:r>
        <w:t xml:space="preserve"> 23 (3), 1149–1199</w:t>
      </w:r>
    </w:p>
    <w:p w14:paraId="521444D5" w14:textId="77777777" w:rsidR="00691A27" w:rsidRPr="009E6E70" w:rsidRDefault="00691A27" w:rsidP="00691A27">
      <w:pPr>
        <w:spacing w:line="480" w:lineRule="auto"/>
        <w:ind w:left="284" w:hanging="284"/>
        <w:jc w:val="both"/>
      </w:pPr>
      <w:r w:rsidRPr="009E6E70">
        <w:t xml:space="preserve">Schwert, M. </w:t>
      </w:r>
      <w:r w:rsidRPr="00D753F2">
        <w:t>2018</w:t>
      </w:r>
      <w:r w:rsidRPr="009E6E70">
        <w:t xml:space="preserve">. Bank capital and lending relationships. </w:t>
      </w:r>
      <w:r w:rsidRPr="009E6E70">
        <w:rPr>
          <w:i/>
          <w:iCs/>
        </w:rPr>
        <w:t>Journal of Finance</w:t>
      </w:r>
      <w:r w:rsidRPr="009E6E70">
        <w:t>. 73 (2), 787–830.</w:t>
      </w:r>
    </w:p>
    <w:p w14:paraId="6EA18188" w14:textId="77777777" w:rsidR="004251DC" w:rsidRPr="009E6E70" w:rsidRDefault="004251DC" w:rsidP="00691A27">
      <w:pPr>
        <w:spacing w:line="480" w:lineRule="auto"/>
        <w:ind w:left="284" w:hanging="284"/>
        <w:jc w:val="both"/>
      </w:pPr>
      <w:r w:rsidRPr="009E6E70">
        <w:t xml:space="preserve">Sufi, A., 2007. Information asymmetry and financing arrangements: Evidence from syndicated loans. </w:t>
      </w:r>
      <w:r w:rsidRPr="009E6E70">
        <w:rPr>
          <w:i/>
        </w:rPr>
        <w:t>Journal of Finance</w:t>
      </w:r>
      <w:r w:rsidRPr="009E6E70">
        <w:t xml:space="preserve">. 62(2), 629-668. </w:t>
      </w:r>
    </w:p>
    <w:p w14:paraId="44F33CA9" w14:textId="77777777" w:rsidR="004251DC" w:rsidRDefault="004251DC" w:rsidP="004251DC">
      <w:pPr>
        <w:spacing w:line="480" w:lineRule="auto"/>
        <w:ind w:left="284" w:hanging="284"/>
        <w:jc w:val="both"/>
        <w:sectPr w:rsidR="004251DC" w:rsidSect="008F7C05">
          <w:pgSz w:w="12240" w:h="15840"/>
          <w:pgMar w:top="1440" w:right="1440" w:bottom="1440" w:left="1440" w:header="720" w:footer="720" w:gutter="0"/>
          <w:cols w:space="720"/>
          <w:noEndnote/>
          <w:docGrid w:linePitch="299"/>
        </w:sectPr>
      </w:pPr>
      <w:r w:rsidRPr="009E6E70">
        <w:t xml:space="preserve">Titman, S., </w:t>
      </w:r>
      <w:r w:rsidRPr="00D753F2">
        <w:t xml:space="preserve">Wessels, R., 1988. The Determinants of Capital Structure Choice. </w:t>
      </w:r>
      <w:r w:rsidRPr="00D753F2">
        <w:rPr>
          <w:i/>
        </w:rPr>
        <w:t>Journal of Finance</w:t>
      </w:r>
      <w:r w:rsidRPr="00D753F2">
        <w:t>.</w:t>
      </w:r>
      <w:r w:rsidRPr="00036991">
        <w:t xml:space="preserve"> 43, </w:t>
      </w:r>
      <w:r w:rsidRPr="001959D4">
        <w:t>1</w:t>
      </w:r>
      <w:r w:rsidRPr="007A2E9F">
        <w:t>-</w:t>
      </w:r>
      <w:r w:rsidRPr="009E6E70">
        <w:t>19.</w:t>
      </w:r>
    </w:p>
    <w:p w14:paraId="426AFBC8" w14:textId="77777777" w:rsidR="00470FBE" w:rsidRPr="00070779" w:rsidRDefault="00470FBE" w:rsidP="00470FBE">
      <w:pPr>
        <w:widowControl w:val="0"/>
        <w:autoSpaceDE w:val="0"/>
        <w:autoSpaceDN w:val="0"/>
        <w:adjustRightInd w:val="0"/>
        <w:jc w:val="center"/>
        <w:rPr>
          <w:b/>
          <w:szCs w:val="20"/>
        </w:rPr>
      </w:pPr>
      <w:r w:rsidRPr="00070779">
        <w:rPr>
          <w:b/>
          <w:szCs w:val="20"/>
        </w:rPr>
        <w:t>TABLE 1</w:t>
      </w:r>
    </w:p>
    <w:p w14:paraId="1D4A0013" w14:textId="77777777" w:rsidR="00470FBE" w:rsidRPr="00070779" w:rsidRDefault="00470FBE" w:rsidP="00470FBE">
      <w:pPr>
        <w:widowControl w:val="0"/>
        <w:autoSpaceDE w:val="0"/>
        <w:autoSpaceDN w:val="0"/>
        <w:adjustRightInd w:val="0"/>
        <w:jc w:val="center"/>
        <w:rPr>
          <w:b/>
          <w:szCs w:val="20"/>
        </w:rPr>
      </w:pPr>
      <w:r w:rsidRPr="00070779">
        <w:rPr>
          <w:b/>
          <w:szCs w:val="20"/>
        </w:rPr>
        <w:t>Summary Statistics</w:t>
      </w:r>
    </w:p>
    <w:p w14:paraId="3AF19944" w14:textId="77777777" w:rsidR="00470FBE" w:rsidRDefault="00470FBE" w:rsidP="005F1BE6">
      <w:pPr>
        <w:widowControl w:val="0"/>
        <w:autoSpaceDE w:val="0"/>
        <w:autoSpaceDN w:val="0"/>
        <w:adjustRightInd w:val="0"/>
        <w:ind w:left="-709" w:right="-846"/>
        <w:jc w:val="both"/>
        <w:rPr>
          <w:sz w:val="22"/>
          <w:szCs w:val="22"/>
        </w:rPr>
      </w:pPr>
      <w:r w:rsidRPr="00070779">
        <w:rPr>
          <w:sz w:val="22"/>
          <w:szCs w:val="22"/>
        </w:rPr>
        <w:t>This table presents the summary statistics of the variables related to syndicate loan and borrowers’ characteristics. The sample spans the 1987-201</w:t>
      </w:r>
      <w:r w:rsidR="00801162">
        <w:rPr>
          <w:sz w:val="22"/>
          <w:szCs w:val="22"/>
        </w:rPr>
        <w:t>8</w:t>
      </w:r>
      <w:r w:rsidRPr="00070779">
        <w:rPr>
          <w:sz w:val="22"/>
          <w:szCs w:val="22"/>
        </w:rPr>
        <w:t xml:space="preserve"> window. All continuous variables are winsorized within the 1</w:t>
      </w:r>
      <w:r w:rsidRPr="00070779">
        <w:rPr>
          <w:sz w:val="22"/>
          <w:szCs w:val="22"/>
          <w:vertAlign w:val="superscript"/>
        </w:rPr>
        <w:t>st</w:t>
      </w:r>
      <w:r w:rsidRPr="00070779">
        <w:rPr>
          <w:sz w:val="22"/>
          <w:szCs w:val="22"/>
        </w:rPr>
        <w:t xml:space="preserve"> and 99</w:t>
      </w:r>
      <w:r w:rsidRPr="00070779">
        <w:rPr>
          <w:sz w:val="22"/>
          <w:szCs w:val="22"/>
          <w:vertAlign w:val="superscript"/>
        </w:rPr>
        <w:t>th</w:t>
      </w:r>
      <w:r w:rsidRPr="00070779">
        <w:rPr>
          <w:sz w:val="22"/>
          <w:szCs w:val="22"/>
        </w:rPr>
        <w:t xml:space="preserve"> percentiles. See Table A1 of the Appendix for variable definitions.</w:t>
      </w:r>
    </w:p>
    <w:tbl>
      <w:tblPr>
        <w:tblW w:w="11054" w:type="dxa"/>
        <w:jc w:val="center"/>
        <w:tblLayout w:type="fixed"/>
        <w:tblLook w:val="04A0" w:firstRow="1" w:lastRow="0" w:firstColumn="1" w:lastColumn="0" w:noHBand="0" w:noVBand="1"/>
      </w:tblPr>
      <w:tblGrid>
        <w:gridCol w:w="1417"/>
        <w:gridCol w:w="2552"/>
        <w:gridCol w:w="1417"/>
        <w:gridCol w:w="1417"/>
        <w:gridCol w:w="1417"/>
        <w:gridCol w:w="1417"/>
        <w:gridCol w:w="1417"/>
      </w:tblGrid>
      <w:tr w:rsidR="00AA4E34" w:rsidRPr="00070779" w14:paraId="621ACF23" w14:textId="77777777" w:rsidTr="00234459">
        <w:trPr>
          <w:jc w:val="center"/>
        </w:trPr>
        <w:tc>
          <w:tcPr>
            <w:tcW w:w="3969" w:type="dxa"/>
            <w:gridSpan w:val="2"/>
            <w:tcBorders>
              <w:top w:val="single" w:sz="4" w:space="0" w:color="auto"/>
            </w:tcBorders>
          </w:tcPr>
          <w:p w14:paraId="6191A0AA"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Variables</w:t>
            </w:r>
          </w:p>
        </w:tc>
        <w:tc>
          <w:tcPr>
            <w:tcW w:w="1417" w:type="dxa"/>
            <w:tcBorders>
              <w:top w:val="single" w:sz="4" w:space="0" w:color="auto"/>
            </w:tcBorders>
          </w:tcPr>
          <w:p w14:paraId="2ACD873B" w14:textId="77777777" w:rsidR="00AA4E34" w:rsidRPr="006E724F" w:rsidRDefault="00AA4E34" w:rsidP="00044EEC">
            <w:pPr>
              <w:widowControl w:val="0"/>
              <w:autoSpaceDE w:val="0"/>
              <w:autoSpaceDN w:val="0"/>
              <w:adjustRightInd w:val="0"/>
              <w:jc w:val="center"/>
              <w:rPr>
                <w:sz w:val="22"/>
                <w:szCs w:val="22"/>
              </w:rPr>
            </w:pPr>
          </w:p>
        </w:tc>
        <w:tc>
          <w:tcPr>
            <w:tcW w:w="1417" w:type="dxa"/>
            <w:tcBorders>
              <w:top w:val="single" w:sz="4" w:space="0" w:color="auto"/>
              <w:bottom w:val="single" w:sz="4" w:space="0" w:color="auto"/>
            </w:tcBorders>
            <w:vAlign w:val="center"/>
          </w:tcPr>
          <w:p w14:paraId="29C9A45F"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Mean</w:t>
            </w:r>
          </w:p>
        </w:tc>
        <w:tc>
          <w:tcPr>
            <w:tcW w:w="1417" w:type="dxa"/>
            <w:tcBorders>
              <w:top w:val="single" w:sz="4" w:space="0" w:color="auto"/>
              <w:bottom w:val="single" w:sz="4" w:space="0" w:color="auto"/>
            </w:tcBorders>
            <w:vAlign w:val="center"/>
          </w:tcPr>
          <w:p w14:paraId="37B3A45B"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Std. Dev.</w:t>
            </w:r>
          </w:p>
        </w:tc>
        <w:tc>
          <w:tcPr>
            <w:tcW w:w="1417" w:type="dxa"/>
            <w:tcBorders>
              <w:top w:val="single" w:sz="4" w:space="0" w:color="auto"/>
              <w:bottom w:val="single" w:sz="4" w:space="0" w:color="auto"/>
            </w:tcBorders>
            <w:vAlign w:val="center"/>
          </w:tcPr>
          <w:p w14:paraId="01B51AB8"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Median</w:t>
            </w:r>
          </w:p>
        </w:tc>
        <w:tc>
          <w:tcPr>
            <w:tcW w:w="1417" w:type="dxa"/>
            <w:tcBorders>
              <w:top w:val="single" w:sz="4" w:space="0" w:color="auto"/>
              <w:bottom w:val="single" w:sz="4" w:space="0" w:color="auto"/>
            </w:tcBorders>
          </w:tcPr>
          <w:p w14:paraId="1BCEA84A"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#Obs.</w:t>
            </w:r>
          </w:p>
        </w:tc>
      </w:tr>
      <w:tr w:rsidR="00AA4E34" w:rsidRPr="00070779" w14:paraId="177EBB1D" w14:textId="77777777" w:rsidTr="00234459">
        <w:trPr>
          <w:jc w:val="center"/>
        </w:trPr>
        <w:tc>
          <w:tcPr>
            <w:tcW w:w="1417" w:type="dxa"/>
          </w:tcPr>
          <w:p w14:paraId="398961A9" w14:textId="77777777" w:rsidR="00AA4E34" w:rsidRPr="006E724F" w:rsidRDefault="00AA4E34" w:rsidP="00663995">
            <w:pPr>
              <w:widowControl w:val="0"/>
              <w:autoSpaceDE w:val="0"/>
              <w:autoSpaceDN w:val="0"/>
              <w:adjustRightInd w:val="0"/>
              <w:rPr>
                <w:i/>
                <w:sz w:val="22"/>
                <w:szCs w:val="22"/>
              </w:rPr>
            </w:pPr>
          </w:p>
        </w:tc>
        <w:tc>
          <w:tcPr>
            <w:tcW w:w="9637" w:type="dxa"/>
            <w:gridSpan w:val="6"/>
          </w:tcPr>
          <w:p w14:paraId="6674521B" w14:textId="77777777" w:rsidR="00AA4E34" w:rsidRPr="006E724F" w:rsidRDefault="00AA4E34" w:rsidP="00044EEC">
            <w:pPr>
              <w:widowControl w:val="0"/>
              <w:autoSpaceDE w:val="0"/>
              <w:autoSpaceDN w:val="0"/>
              <w:adjustRightInd w:val="0"/>
              <w:jc w:val="center"/>
              <w:rPr>
                <w:sz w:val="22"/>
                <w:szCs w:val="22"/>
              </w:rPr>
            </w:pPr>
            <w:r w:rsidRPr="006E724F">
              <w:rPr>
                <w:i/>
                <w:sz w:val="22"/>
                <w:szCs w:val="22"/>
              </w:rPr>
              <w:t>Loan characteristics</w:t>
            </w:r>
          </w:p>
        </w:tc>
      </w:tr>
      <w:tr w:rsidR="00AA4E34" w:rsidRPr="00070779" w14:paraId="7099D46D" w14:textId="77777777" w:rsidTr="00234459">
        <w:trPr>
          <w:jc w:val="center"/>
        </w:trPr>
        <w:tc>
          <w:tcPr>
            <w:tcW w:w="3969" w:type="dxa"/>
            <w:gridSpan w:val="2"/>
          </w:tcPr>
          <w:p w14:paraId="73DD1130"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 xml:space="preserve">Facility </w:t>
            </w:r>
            <w:r w:rsidR="004D1B31">
              <w:rPr>
                <w:sz w:val="22"/>
                <w:szCs w:val="22"/>
              </w:rPr>
              <w:t>a</w:t>
            </w:r>
            <w:r w:rsidRPr="006E724F">
              <w:rPr>
                <w:sz w:val="22"/>
                <w:szCs w:val="22"/>
              </w:rPr>
              <w:t>mount (</w:t>
            </w:r>
            <w:r w:rsidR="00234459">
              <w:rPr>
                <w:sz w:val="22"/>
                <w:szCs w:val="22"/>
              </w:rPr>
              <w:t>in million</w:t>
            </w:r>
            <w:r w:rsidRPr="006E724F">
              <w:rPr>
                <w:sz w:val="22"/>
                <w:szCs w:val="22"/>
              </w:rPr>
              <w:t>)</w:t>
            </w:r>
          </w:p>
        </w:tc>
        <w:tc>
          <w:tcPr>
            <w:tcW w:w="1417" w:type="dxa"/>
          </w:tcPr>
          <w:p w14:paraId="02E94D7C"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4B4E4904"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489.56</w:t>
            </w:r>
          </w:p>
        </w:tc>
        <w:tc>
          <w:tcPr>
            <w:tcW w:w="1417" w:type="dxa"/>
            <w:vAlign w:val="center"/>
          </w:tcPr>
          <w:p w14:paraId="1553F66D"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1224.37</w:t>
            </w:r>
          </w:p>
        </w:tc>
        <w:tc>
          <w:tcPr>
            <w:tcW w:w="1417" w:type="dxa"/>
            <w:vAlign w:val="center"/>
          </w:tcPr>
          <w:p w14:paraId="51216127"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170</w:t>
            </w:r>
          </w:p>
        </w:tc>
        <w:tc>
          <w:tcPr>
            <w:tcW w:w="1417" w:type="dxa"/>
          </w:tcPr>
          <w:p w14:paraId="0898FFCB"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4F441A4D" w14:textId="77777777" w:rsidTr="00234459">
        <w:trPr>
          <w:jc w:val="center"/>
        </w:trPr>
        <w:tc>
          <w:tcPr>
            <w:tcW w:w="3969" w:type="dxa"/>
            <w:gridSpan w:val="2"/>
          </w:tcPr>
          <w:p w14:paraId="587756F4"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 xml:space="preserve">Facility </w:t>
            </w:r>
            <w:r w:rsidR="004D1B31">
              <w:rPr>
                <w:sz w:val="22"/>
                <w:szCs w:val="22"/>
              </w:rPr>
              <w:t>m</w:t>
            </w:r>
            <w:r w:rsidRPr="006E724F">
              <w:rPr>
                <w:sz w:val="22"/>
                <w:szCs w:val="22"/>
              </w:rPr>
              <w:t>aturity (</w:t>
            </w:r>
            <w:r w:rsidR="00063F79">
              <w:rPr>
                <w:sz w:val="22"/>
                <w:szCs w:val="22"/>
              </w:rPr>
              <w:t xml:space="preserve">in </w:t>
            </w:r>
            <w:r w:rsidR="006E724F">
              <w:rPr>
                <w:sz w:val="22"/>
                <w:szCs w:val="22"/>
              </w:rPr>
              <w:t>month</w:t>
            </w:r>
            <w:r w:rsidRPr="006E724F">
              <w:rPr>
                <w:sz w:val="22"/>
                <w:szCs w:val="22"/>
              </w:rPr>
              <w:t>)</w:t>
            </w:r>
          </w:p>
        </w:tc>
        <w:tc>
          <w:tcPr>
            <w:tcW w:w="1417" w:type="dxa"/>
          </w:tcPr>
          <w:p w14:paraId="754FA422"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0B588FDC"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45.93</w:t>
            </w:r>
          </w:p>
        </w:tc>
        <w:tc>
          <w:tcPr>
            <w:tcW w:w="1417" w:type="dxa"/>
            <w:vAlign w:val="center"/>
          </w:tcPr>
          <w:p w14:paraId="5F93A6CA"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23.06</w:t>
            </w:r>
          </w:p>
        </w:tc>
        <w:tc>
          <w:tcPr>
            <w:tcW w:w="1417" w:type="dxa"/>
            <w:vAlign w:val="center"/>
          </w:tcPr>
          <w:p w14:paraId="3E72723E"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48</w:t>
            </w:r>
          </w:p>
        </w:tc>
        <w:tc>
          <w:tcPr>
            <w:tcW w:w="1417" w:type="dxa"/>
          </w:tcPr>
          <w:p w14:paraId="47958CB7"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4115339C" w14:textId="77777777" w:rsidTr="00234459">
        <w:trPr>
          <w:jc w:val="center"/>
        </w:trPr>
        <w:tc>
          <w:tcPr>
            <w:tcW w:w="3969" w:type="dxa"/>
            <w:gridSpan w:val="2"/>
          </w:tcPr>
          <w:p w14:paraId="02B1E34E"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 xml:space="preserve">Syndicate </w:t>
            </w:r>
            <w:r w:rsidR="004D1B31">
              <w:rPr>
                <w:sz w:val="22"/>
                <w:szCs w:val="22"/>
              </w:rPr>
              <w:t>s</w:t>
            </w:r>
            <w:r w:rsidRPr="006E724F">
              <w:rPr>
                <w:sz w:val="22"/>
                <w:szCs w:val="22"/>
              </w:rPr>
              <w:t>ize</w:t>
            </w:r>
          </w:p>
        </w:tc>
        <w:tc>
          <w:tcPr>
            <w:tcW w:w="1417" w:type="dxa"/>
          </w:tcPr>
          <w:p w14:paraId="7D69C6F4"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5E027182"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11.14</w:t>
            </w:r>
          </w:p>
        </w:tc>
        <w:tc>
          <w:tcPr>
            <w:tcW w:w="1417" w:type="dxa"/>
            <w:vAlign w:val="center"/>
          </w:tcPr>
          <w:p w14:paraId="1EC9642A"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9.67</w:t>
            </w:r>
          </w:p>
        </w:tc>
        <w:tc>
          <w:tcPr>
            <w:tcW w:w="1417" w:type="dxa"/>
            <w:vAlign w:val="center"/>
          </w:tcPr>
          <w:p w14:paraId="2F14743A"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8</w:t>
            </w:r>
          </w:p>
        </w:tc>
        <w:tc>
          <w:tcPr>
            <w:tcW w:w="1417" w:type="dxa"/>
          </w:tcPr>
          <w:p w14:paraId="3EBBAE2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500B42DA" w14:textId="77777777" w:rsidTr="00234459">
        <w:trPr>
          <w:jc w:val="center"/>
        </w:trPr>
        <w:tc>
          <w:tcPr>
            <w:tcW w:w="3969" w:type="dxa"/>
            <w:gridSpan w:val="2"/>
            <w:shd w:val="clear" w:color="auto" w:fill="auto"/>
          </w:tcPr>
          <w:p w14:paraId="6569C3E8"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 xml:space="preserve">Institutional investor </w:t>
            </w:r>
          </w:p>
        </w:tc>
        <w:tc>
          <w:tcPr>
            <w:tcW w:w="1417" w:type="dxa"/>
          </w:tcPr>
          <w:p w14:paraId="258D8C20"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4245703B"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0.39</w:t>
            </w:r>
          </w:p>
        </w:tc>
        <w:tc>
          <w:tcPr>
            <w:tcW w:w="1417" w:type="dxa"/>
            <w:vAlign w:val="center"/>
          </w:tcPr>
          <w:p w14:paraId="7CEF61A5"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0.49</w:t>
            </w:r>
          </w:p>
        </w:tc>
        <w:tc>
          <w:tcPr>
            <w:tcW w:w="1417" w:type="dxa"/>
            <w:vAlign w:val="center"/>
          </w:tcPr>
          <w:p w14:paraId="0681EB75"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w:t>
            </w:r>
          </w:p>
        </w:tc>
        <w:tc>
          <w:tcPr>
            <w:tcW w:w="1417" w:type="dxa"/>
          </w:tcPr>
          <w:p w14:paraId="4132AC5D"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7C15455F" w14:textId="77777777" w:rsidTr="00234459">
        <w:trPr>
          <w:jc w:val="center"/>
        </w:trPr>
        <w:tc>
          <w:tcPr>
            <w:tcW w:w="3969" w:type="dxa"/>
            <w:gridSpan w:val="2"/>
            <w:shd w:val="clear" w:color="auto" w:fill="auto"/>
          </w:tcPr>
          <w:p w14:paraId="5B108195"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Non-US dollar facility</w:t>
            </w:r>
          </w:p>
        </w:tc>
        <w:tc>
          <w:tcPr>
            <w:tcW w:w="1417" w:type="dxa"/>
          </w:tcPr>
          <w:p w14:paraId="2348098C"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1DA3003A"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0.01</w:t>
            </w:r>
          </w:p>
        </w:tc>
        <w:tc>
          <w:tcPr>
            <w:tcW w:w="1417" w:type="dxa"/>
            <w:vAlign w:val="center"/>
          </w:tcPr>
          <w:p w14:paraId="114C65AC"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0.08</w:t>
            </w:r>
          </w:p>
        </w:tc>
        <w:tc>
          <w:tcPr>
            <w:tcW w:w="1417" w:type="dxa"/>
            <w:vAlign w:val="center"/>
          </w:tcPr>
          <w:p w14:paraId="3AE53E98"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w:t>
            </w:r>
          </w:p>
        </w:tc>
        <w:tc>
          <w:tcPr>
            <w:tcW w:w="1417" w:type="dxa"/>
          </w:tcPr>
          <w:p w14:paraId="079F0F2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0A9E930F" w14:textId="77777777" w:rsidTr="00234459">
        <w:trPr>
          <w:jc w:val="center"/>
        </w:trPr>
        <w:tc>
          <w:tcPr>
            <w:tcW w:w="3969" w:type="dxa"/>
            <w:gridSpan w:val="2"/>
            <w:shd w:val="clear" w:color="auto" w:fill="auto"/>
          </w:tcPr>
          <w:p w14:paraId="57135787" w14:textId="77777777" w:rsidR="00AA4E34" w:rsidRPr="006E724F" w:rsidRDefault="00AA4E34" w:rsidP="00044EEC">
            <w:pPr>
              <w:widowControl w:val="0"/>
              <w:autoSpaceDE w:val="0"/>
              <w:autoSpaceDN w:val="0"/>
              <w:adjustRightInd w:val="0"/>
              <w:jc w:val="center"/>
              <w:rPr>
                <w:sz w:val="22"/>
                <w:szCs w:val="22"/>
              </w:rPr>
            </w:pPr>
            <w:r w:rsidRPr="006E724F">
              <w:rPr>
                <w:rFonts w:eastAsia="DengXian"/>
                <w:sz w:val="22"/>
                <w:szCs w:val="22"/>
                <w:lang w:eastAsia="zh-CN"/>
              </w:rPr>
              <w:t>Loan portfolio exposure</w:t>
            </w:r>
          </w:p>
        </w:tc>
        <w:tc>
          <w:tcPr>
            <w:tcW w:w="1417" w:type="dxa"/>
          </w:tcPr>
          <w:p w14:paraId="1C11C65D"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70F39BF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0.02</w:t>
            </w:r>
          </w:p>
        </w:tc>
        <w:tc>
          <w:tcPr>
            <w:tcW w:w="1417" w:type="dxa"/>
            <w:vAlign w:val="center"/>
          </w:tcPr>
          <w:p w14:paraId="4CB39685"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0.08</w:t>
            </w:r>
          </w:p>
        </w:tc>
        <w:tc>
          <w:tcPr>
            <w:tcW w:w="1417" w:type="dxa"/>
            <w:vAlign w:val="center"/>
          </w:tcPr>
          <w:p w14:paraId="20A237EC"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w:t>
            </w:r>
          </w:p>
        </w:tc>
        <w:tc>
          <w:tcPr>
            <w:tcW w:w="1417" w:type="dxa"/>
          </w:tcPr>
          <w:p w14:paraId="0A4816C7"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5C3482E7" w14:textId="77777777" w:rsidTr="00234459">
        <w:trPr>
          <w:jc w:val="center"/>
        </w:trPr>
        <w:tc>
          <w:tcPr>
            <w:tcW w:w="3969" w:type="dxa"/>
            <w:gridSpan w:val="2"/>
            <w:shd w:val="clear" w:color="auto" w:fill="auto"/>
          </w:tcPr>
          <w:p w14:paraId="007C53DC"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Term loan</w:t>
            </w:r>
          </w:p>
        </w:tc>
        <w:tc>
          <w:tcPr>
            <w:tcW w:w="1417" w:type="dxa"/>
          </w:tcPr>
          <w:p w14:paraId="3CA9D53F"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5A669FD0"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0.22</w:t>
            </w:r>
          </w:p>
        </w:tc>
        <w:tc>
          <w:tcPr>
            <w:tcW w:w="1417" w:type="dxa"/>
            <w:vAlign w:val="center"/>
          </w:tcPr>
          <w:p w14:paraId="2E0DD045"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0.41</w:t>
            </w:r>
          </w:p>
        </w:tc>
        <w:tc>
          <w:tcPr>
            <w:tcW w:w="1417" w:type="dxa"/>
            <w:vAlign w:val="center"/>
          </w:tcPr>
          <w:p w14:paraId="62FBBB82"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w:t>
            </w:r>
          </w:p>
        </w:tc>
        <w:tc>
          <w:tcPr>
            <w:tcW w:w="1417" w:type="dxa"/>
          </w:tcPr>
          <w:p w14:paraId="6E555F43"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5F5D57A9" w14:textId="77777777" w:rsidTr="00234459">
        <w:trPr>
          <w:jc w:val="center"/>
        </w:trPr>
        <w:tc>
          <w:tcPr>
            <w:tcW w:w="3969" w:type="dxa"/>
            <w:gridSpan w:val="2"/>
            <w:tcBorders>
              <w:bottom w:val="single" w:sz="4" w:space="0" w:color="auto"/>
            </w:tcBorders>
            <w:shd w:val="clear" w:color="auto" w:fill="auto"/>
          </w:tcPr>
          <w:p w14:paraId="658EB19B"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Revolver</w:t>
            </w:r>
          </w:p>
        </w:tc>
        <w:tc>
          <w:tcPr>
            <w:tcW w:w="1417" w:type="dxa"/>
            <w:tcBorders>
              <w:bottom w:val="single" w:sz="4" w:space="0" w:color="auto"/>
            </w:tcBorders>
          </w:tcPr>
          <w:p w14:paraId="2E407169" w14:textId="77777777" w:rsidR="00AA4E34" w:rsidRPr="006E724F" w:rsidRDefault="00AA4E34" w:rsidP="00044EEC">
            <w:pPr>
              <w:widowControl w:val="0"/>
              <w:autoSpaceDE w:val="0"/>
              <w:autoSpaceDN w:val="0"/>
              <w:adjustRightInd w:val="0"/>
              <w:jc w:val="center"/>
              <w:rPr>
                <w:sz w:val="22"/>
                <w:szCs w:val="22"/>
              </w:rPr>
            </w:pPr>
          </w:p>
        </w:tc>
        <w:tc>
          <w:tcPr>
            <w:tcW w:w="1417" w:type="dxa"/>
            <w:tcBorders>
              <w:bottom w:val="single" w:sz="4" w:space="0" w:color="auto"/>
            </w:tcBorders>
            <w:vAlign w:val="center"/>
          </w:tcPr>
          <w:p w14:paraId="794B846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0.66</w:t>
            </w:r>
          </w:p>
        </w:tc>
        <w:tc>
          <w:tcPr>
            <w:tcW w:w="1417" w:type="dxa"/>
            <w:tcBorders>
              <w:bottom w:val="single" w:sz="4" w:space="0" w:color="auto"/>
            </w:tcBorders>
            <w:vAlign w:val="center"/>
          </w:tcPr>
          <w:p w14:paraId="6123A3FB"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0.47</w:t>
            </w:r>
          </w:p>
        </w:tc>
        <w:tc>
          <w:tcPr>
            <w:tcW w:w="1417" w:type="dxa"/>
            <w:tcBorders>
              <w:bottom w:val="single" w:sz="4" w:space="0" w:color="auto"/>
            </w:tcBorders>
            <w:vAlign w:val="center"/>
          </w:tcPr>
          <w:p w14:paraId="2F56CD7E"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w:t>
            </w:r>
          </w:p>
        </w:tc>
        <w:tc>
          <w:tcPr>
            <w:tcW w:w="1417" w:type="dxa"/>
            <w:tcBorders>
              <w:bottom w:val="single" w:sz="4" w:space="0" w:color="auto"/>
            </w:tcBorders>
          </w:tcPr>
          <w:p w14:paraId="3016378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6E413D43" w14:textId="77777777" w:rsidTr="00234459">
        <w:trPr>
          <w:jc w:val="center"/>
        </w:trPr>
        <w:tc>
          <w:tcPr>
            <w:tcW w:w="1417" w:type="dxa"/>
            <w:tcBorders>
              <w:top w:val="single" w:sz="4" w:space="0" w:color="auto"/>
            </w:tcBorders>
          </w:tcPr>
          <w:p w14:paraId="1AF8E6E2" w14:textId="77777777" w:rsidR="00AA4E34" w:rsidRPr="006E724F" w:rsidRDefault="00AA4E34" w:rsidP="00044EEC">
            <w:pPr>
              <w:widowControl w:val="0"/>
              <w:autoSpaceDE w:val="0"/>
              <w:autoSpaceDN w:val="0"/>
              <w:adjustRightInd w:val="0"/>
              <w:jc w:val="center"/>
              <w:rPr>
                <w:i/>
                <w:sz w:val="22"/>
                <w:szCs w:val="22"/>
              </w:rPr>
            </w:pPr>
          </w:p>
        </w:tc>
        <w:tc>
          <w:tcPr>
            <w:tcW w:w="9637" w:type="dxa"/>
            <w:gridSpan w:val="6"/>
            <w:tcBorders>
              <w:top w:val="single" w:sz="4" w:space="0" w:color="auto"/>
            </w:tcBorders>
          </w:tcPr>
          <w:p w14:paraId="59BE2293" w14:textId="77777777" w:rsidR="00AA4E34" w:rsidRPr="006E724F" w:rsidRDefault="00AA4E34" w:rsidP="00044EEC">
            <w:pPr>
              <w:widowControl w:val="0"/>
              <w:autoSpaceDE w:val="0"/>
              <w:autoSpaceDN w:val="0"/>
              <w:adjustRightInd w:val="0"/>
              <w:jc w:val="center"/>
              <w:rPr>
                <w:sz w:val="22"/>
                <w:szCs w:val="22"/>
              </w:rPr>
            </w:pPr>
            <w:r w:rsidRPr="006E724F">
              <w:rPr>
                <w:i/>
                <w:sz w:val="22"/>
                <w:szCs w:val="22"/>
              </w:rPr>
              <w:t>Syndicate structure</w:t>
            </w:r>
          </w:p>
        </w:tc>
      </w:tr>
      <w:tr w:rsidR="00AA4E34" w:rsidRPr="00070779" w14:paraId="469FAB66" w14:textId="77777777" w:rsidTr="00234459">
        <w:trPr>
          <w:jc w:val="center"/>
        </w:trPr>
        <w:tc>
          <w:tcPr>
            <w:tcW w:w="3969" w:type="dxa"/>
            <w:gridSpan w:val="2"/>
          </w:tcPr>
          <w:p w14:paraId="57D827B4"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Lead agent share</w:t>
            </w:r>
          </w:p>
        </w:tc>
        <w:tc>
          <w:tcPr>
            <w:tcW w:w="1417" w:type="dxa"/>
          </w:tcPr>
          <w:p w14:paraId="1A7801AE"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08E5292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0.26</w:t>
            </w:r>
          </w:p>
        </w:tc>
        <w:tc>
          <w:tcPr>
            <w:tcW w:w="1417" w:type="dxa"/>
            <w:vAlign w:val="center"/>
          </w:tcPr>
          <w:p w14:paraId="5A68BF2B"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0.19</w:t>
            </w:r>
          </w:p>
        </w:tc>
        <w:tc>
          <w:tcPr>
            <w:tcW w:w="1417" w:type="dxa"/>
            <w:vAlign w:val="center"/>
          </w:tcPr>
          <w:p w14:paraId="7F7AB414"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0.19</w:t>
            </w:r>
          </w:p>
        </w:tc>
        <w:tc>
          <w:tcPr>
            <w:tcW w:w="1417" w:type="dxa"/>
          </w:tcPr>
          <w:p w14:paraId="215B4CD7"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3543003E" w14:textId="77777777" w:rsidTr="00234459">
        <w:trPr>
          <w:trHeight w:val="162"/>
          <w:jc w:val="center"/>
        </w:trPr>
        <w:tc>
          <w:tcPr>
            <w:tcW w:w="3969" w:type="dxa"/>
            <w:gridSpan w:val="2"/>
            <w:vAlign w:val="center"/>
          </w:tcPr>
          <w:p w14:paraId="767F32FB" w14:textId="77777777" w:rsidR="00AA4E34" w:rsidRPr="006E724F" w:rsidRDefault="00AA4E34" w:rsidP="00044EEC">
            <w:pPr>
              <w:widowControl w:val="0"/>
              <w:autoSpaceDE w:val="0"/>
              <w:autoSpaceDN w:val="0"/>
              <w:adjustRightInd w:val="0"/>
              <w:jc w:val="center"/>
              <w:rPr>
                <w:sz w:val="22"/>
                <w:szCs w:val="22"/>
              </w:rPr>
            </w:pPr>
            <w:r w:rsidRPr="006E724F">
              <w:rPr>
                <w:rFonts w:eastAsia="DengXian"/>
                <w:sz w:val="22"/>
                <w:szCs w:val="22"/>
                <w:lang w:eastAsia="zh-CN"/>
              </w:rPr>
              <w:t>Syndicate reputation: lead to participant</w:t>
            </w:r>
          </w:p>
        </w:tc>
        <w:tc>
          <w:tcPr>
            <w:tcW w:w="1417" w:type="dxa"/>
          </w:tcPr>
          <w:p w14:paraId="08D3B99A"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3D840A82"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0.29</w:t>
            </w:r>
          </w:p>
        </w:tc>
        <w:tc>
          <w:tcPr>
            <w:tcW w:w="1417" w:type="dxa"/>
            <w:vAlign w:val="center"/>
          </w:tcPr>
          <w:p w14:paraId="0D93F49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0.23</w:t>
            </w:r>
          </w:p>
        </w:tc>
        <w:tc>
          <w:tcPr>
            <w:tcW w:w="1417" w:type="dxa"/>
            <w:vAlign w:val="center"/>
          </w:tcPr>
          <w:p w14:paraId="001B3D1F"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0.27</w:t>
            </w:r>
          </w:p>
        </w:tc>
        <w:tc>
          <w:tcPr>
            <w:tcW w:w="1417" w:type="dxa"/>
          </w:tcPr>
          <w:p w14:paraId="30046FD5"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6B28D227" w14:textId="77777777" w:rsidTr="00663995">
        <w:trPr>
          <w:jc w:val="center"/>
        </w:trPr>
        <w:tc>
          <w:tcPr>
            <w:tcW w:w="3969" w:type="dxa"/>
            <w:gridSpan w:val="2"/>
            <w:tcBorders>
              <w:bottom w:val="single" w:sz="4" w:space="0" w:color="auto"/>
            </w:tcBorders>
            <w:vAlign w:val="center"/>
          </w:tcPr>
          <w:p w14:paraId="666D25C9" w14:textId="77777777" w:rsidR="00AA4E34" w:rsidRPr="006E724F" w:rsidRDefault="00AA4E34" w:rsidP="00044EEC">
            <w:pPr>
              <w:widowControl w:val="0"/>
              <w:autoSpaceDE w:val="0"/>
              <w:autoSpaceDN w:val="0"/>
              <w:adjustRightInd w:val="0"/>
              <w:jc w:val="center"/>
              <w:rPr>
                <w:sz w:val="22"/>
                <w:szCs w:val="22"/>
              </w:rPr>
            </w:pPr>
            <w:r w:rsidRPr="006E724F">
              <w:rPr>
                <w:rFonts w:eastAsia="DengXian"/>
                <w:sz w:val="22"/>
                <w:szCs w:val="22"/>
                <w:lang w:eastAsia="zh-CN"/>
              </w:rPr>
              <w:t>Syndicate reputation: reciprocal</w:t>
            </w:r>
          </w:p>
        </w:tc>
        <w:tc>
          <w:tcPr>
            <w:tcW w:w="1417" w:type="dxa"/>
            <w:tcBorders>
              <w:bottom w:val="single" w:sz="4" w:space="0" w:color="auto"/>
            </w:tcBorders>
          </w:tcPr>
          <w:p w14:paraId="044F7301" w14:textId="77777777" w:rsidR="00AA4E34" w:rsidRPr="006E724F" w:rsidRDefault="00AA4E34" w:rsidP="00044EEC">
            <w:pPr>
              <w:widowControl w:val="0"/>
              <w:autoSpaceDE w:val="0"/>
              <w:autoSpaceDN w:val="0"/>
              <w:adjustRightInd w:val="0"/>
              <w:jc w:val="center"/>
              <w:rPr>
                <w:sz w:val="22"/>
                <w:szCs w:val="22"/>
              </w:rPr>
            </w:pPr>
          </w:p>
        </w:tc>
        <w:tc>
          <w:tcPr>
            <w:tcW w:w="1417" w:type="dxa"/>
            <w:tcBorders>
              <w:bottom w:val="single" w:sz="4" w:space="0" w:color="auto"/>
            </w:tcBorders>
            <w:vAlign w:val="center"/>
          </w:tcPr>
          <w:p w14:paraId="76FB9ED0"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0.75</w:t>
            </w:r>
          </w:p>
        </w:tc>
        <w:tc>
          <w:tcPr>
            <w:tcW w:w="1417" w:type="dxa"/>
            <w:tcBorders>
              <w:bottom w:val="single" w:sz="4" w:space="0" w:color="auto"/>
            </w:tcBorders>
            <w:vAlign w:val="center"/>
          </w:tcPr>
          <w:p w14:paraId="2E088D45"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0.43</w:t>
            </w:r>
          </w:p>
        </w:tc>
        <w:tc>
          <w:tcPr>
            <w:tcW w:w="1417" w:type="dxa"/>
            <w:tcBorders>
              <w:bottom w:val="single" w:sz="4" w:space="0" w:color="auto"/>
            </w:tcBorders>
            <w:vAlign w:val="center"/>
          </w:tcPr>
          <w:p w14:paraId="192065B6"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w:t>
            </w:r>
          </w:p>
        </w:tc>
        <w:tc>
          <w:tcPr>
            <w:tcW w:w="1417" w:type="dxa"/>
            <w:tcBorders>
              <w:bottom w:val="single" w:sz="4" w:space="0" w:color="auto"/>
            </w:tcBorders>
          </w:tcPr>
          <w:p w14:paraId="0AEAC233"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7B75BE06" w14:textId="77777777" w:rsidTr="00663995">
        <w:trPr>
          <w:jc w:val="center"/>
        </w:trPr>
        <w:tc>
          <w:tcPr>
            <w:tcW w:w="1417" w:type="dxa"/>
            <w:tcBorders>
              <w:top w:val="single" w:sz="4" w:space="0" w:color="auto"/>
            </w:tcBorders>
          </w:tcPr>
          <w:p w14:paraId="181301C7" w14:textId="77777777" w:rsidR="00AA4E34" w:rsidRPr="006E724F" w:rsidRDefault="00AA4E34" w:rsidP="00044EEC">
            <w:pPr>
              <w:widowControl w:val="0"/>
              <w:autoSpaceDE w:val="0"/>
              <w:autoSpaceDN w:val="0"/>
              <w:adjustRightInd w:val="0"/>
              <w:jc w:val="center"/>
              <w:rPr>
                <w:i/>
                <w:sz w:val="22"/>
                <w:szCs w:val="22"/>
              </w:rPr>
            </w:pPr>
          </w:p>
        </w:tc>
        <w:tc>
          <w:tcPr>
            <w:tcW w:w="9637" w:type="dxa"/>
            <w:gridSpan w:val="6"/>
            <w:tcBorders>
              <w:top w:val="single" w:sz="4" w:space="0" w:color="auto"/>
            </w:tcBorders>
            <w:vAlign w:val="center"/>
          </w:tcPr>
          <w:p w14:paraId="2C380071" w14:textId="77777777" w:rsidR="00AA4E34" w:rsidRPr="006E724F" w:rsidRDefault="00AA4E34" w:rsidP="00044EEC">
            <w:pPr>
              <w:widowControl w:val="0"/>
              <w:autoSpaceDE w:val="0"/>
              <w:autoSpaceDN w:val="0"/>
              <w:adjustRightInd w:val="0"/>
              <w:jc w:val="center"/>
              <w:rPr>
                <w:sz w:val="22"/>
                <w:szCs w:val="22"/>
              </w:rPr>
            </w:pPr>
            <w:r w:rsidRPr="006E724F">
              <w:rPr>
                <w:i/>
                <w:sz w:val="22"/>
                <w:szCs w:val="22"/>
              </w:rPr>
              <w:t>Price terms</w:t>
            </w:r>
          </w:p>
        </w:tc>
      </w:tr>
      <w:tr w:rsidR="00AA4E34" w:rsidRPr="00070779" w14:paraId="14C10C68" w14:textId="77777777" w:rsidTr="00234459">
        <w:trPr>
          <w:jc w:val="center"/>
        </w:trPr>
        <w:tc>
          <w:tcPr>
            <w:tcW w:w="3969" w:type="dxa"/>
            <w:gridSpan w:val="2"/>
          </w:tcPr>
          <w:p w14:paraId="6F07D740"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AISD</w:t>
            </w:r>
          </w:p>
        </w:tc>
        <w:tc>
          <w:tcPr>
            <w:tcW w:w="1417" w:type="dxa"/>
          </w:tcPr>
          <w:p w14:paraId="1AD9A1D2"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2A21BA9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156.47</w:t>
            </w:r>
          </w:p>
        </w:tc>
        <w:tc>
          <w:tcPr>
            <w:tcW w:w="1417" w:type="dxa"/>
            <w:vAlign w:val="center"/>
          </w:tcPr>
          <w:p w14:paraId="6B005A18"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113.83</w:t>
            </w:r>
          </w:p>
        </w:tc>
        <w:tc>
          <w:tcPr>
            <w:tcW w:w="1417" w:type="dxa"/>
            <w:vAlign w:val="center"/>
          </w:tcPr>
          <w:p w14:paraId="078D34BF"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137.5</w:t>
            </w:r>
          </w:p>
        </w:tc>
        <w:tc>
          <w:tcPr>
            <w:tcW w:w="1417" w:type="dxa"/>
          </w:tcPr>
          <w:p w14:paraId="4F2D37C3"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8,708</w:t>
            </w:r>
          </w:p>
        </w:tc>
      </w:tr>
      <w:tr w:rsidR="00AA4E34" w:rsidRPr="00070779" w14:paraId="5D40D330" w14:textId="77777777" w:rsidTr="00234459">
        <w:trPr>
          <w:jc w:val="center"/>
        </w:trPr>
        <w:tc>
          <w:tcPr>
            <w:tcW w:w="3969" w:type="dxa"/>
            <w:gridSpan w:val="2"/>
          </w:tcPr>
          <w:p w14:paraId="4D05C015"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TCB</w:t>
            </w:r>
          </w:p>
        </w:tc>
        <w:tc>
          <w:tcPr>
            <w:tcW w:w="1417" w:type="dxa"/>
          </w:tcPr>
          <w:p w14:paraId="70A6B859"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46FB1C8D"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123.81</w:t>
            </w:r>
          </w:p>
        </w:tc>
        <w:tc>
          <w:tcPr>
            <w:tcW w:w="1417" w:type="dxa"/>
            <w:vAlign w:val="center"/>
          </w:tcPr>
          <w:p w14:paraId="2A832E8E"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93.37</w:t>
            </w:r>
          </w:p>
        </w:tc>
        <w:tc>
          <w:tcPr>
            <w:tcW w:w="1417" w:type="dxa"/>
            <w:vAlign w:val="center"/>
          </w:tcPr>
          <w:p w14:paraId="059DD58E"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102.12</w:t>
            </w:r>
          </w:p>
        </w:tc>
        <w:tc>
          <w:tcPr>
            <w:tcW w:w="1417" w:type="dxa"/>
          </w:tcPr>
          <w:p w14:paraId="13166581"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6,140</w:t>
            </w:r>
          </w:p>
        </w:tc>
      </w:tr>
      <w:tr w:rsidR="00AA4E34" w:rsidRPr="00070779" w14:paraId="42D00D83" w14:textId="77777777" w:rsidTr="00234459">
        <w:trPr>
          <w:jc w:val="center"/>
        </w:trPr>
        <w:tc>
          <w:tcPr>
            <w:tcW w:w="3969" w:type="dxa"/>
            <w:gridSpan w:val="2"/>
            <w:tcBorders>
              <w:bottom w:val="single" w:sz="4" w:space="0" w:color="auto"/>
            </w:tcBorders>
          </w:tcPr>
          <w:p w14:paraId="1AF2C3AA"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Covenant index</w:t>
            </w:r>
          </w:p>
        </w:tc>
        <w:tc>
          <w:tcPr>
            <w:tcW w:w="1417" w:type="dxa"/>
            <w:tcBorders>
              <w:bottom w:val="single" w:sz="4" w:space="0" w:color="auto"/>
            </w:tcBorders>
          </w:tcPr>
          <w:p w14:paraId="6E490175" w14:textId="77777777" w:rsidR="00AA4E34" w:rsidRPr="006E724F" w:rsidRDefault="00AA4E34" w:rsidP="00044EEC">
            <w:pPr>
              <w:widowControl w:val="0"/>
              <w:autoSpaceDE w:val="0"/>
              <w:autoSpaceDN w:val="0"/>
              <w:adjustRightInd w:val="0"/>
              <w:jc w:val="center"/>
              <w:rPr>
                <w:sz w:val="22"/>
                <w:szCs w:val="22"/>
              </w:rPr>
            </w:pPr>
          </w:p>
        </w:tc>
        <w:tc>
          <w:tcPr>
            <w:tcW w:w="1417" w:type="dxa"/>
            <w:tcBorders>
              <w:bottom w:val="single" w:sz="4" w:space="0" w:color="auto"/>
            </w:tcBorders>
            <w:vAlign w:val="center"/>
          </w:tcPr>
          <w:p w14:paraId="01C9E842"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1.13</w:t>
            </w:r>
          </w:p>
        </w:tc>
        <w:tc>
          <w:tcPr>
            <w:tcW w:w="1417" w:type="dxa"/>
            <w:tcBorders>
              <w:bottom w:val="single" w:sz="4" w:space="0" w:color="auto"/>
            </w:tcBorders>
            <w:vAlign w:val="center"/>
          </w:tcPr>
          <w:p w14:paraId="39DFDE1B"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1.50</w:t>
            </w:r>
          </w:p>
        </w:tc>
        <w:tc>
          <w:tcPr>
            <w:tcW w:w="1417" w:type="dxa"/>
            <w:tcBorders>
              <w:bottom w:val="single" w:sz="4" w:space="0" w:color="auto"/>
            </w:tcBorders>
            <w:vAlign w:val="center"/>
          </w:tcPr>
          <w:p w14:paraId="5C587924"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w:t>
            </w:r>
          </w:p>
        </w:tc>
        <w:tc>
          <w:tcPr>
            <w:tcW w:w="1417" w:type="dxa"/>
            <w:tcBorders>
              <w:bottom w:val="single" w:sz="4" w:space="0" w:color="auto"/>
            </w:tcBorders>
          </w:tcPr>
          <w:p w14:paraId="492C47EC"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0AEEDE14" w14:textId="77777777" w:rsidTr="00234459">
        <w:trPr>
          <w:jc w:val="center"/>
        </w:trPr>
        <w:tc>
          <w:tcPr>
            <w:tcW w:w="1417" w:type="dxa"/>
            <w:tcBorders>
              <w:top w:val="single" w:sz="4" w:space="0" w:color="auto"/>
            </w:tcBorders>
          </w:tcPr>
          <w:p w14:paraId="42A34031" w14:textId="77777777" w:rsidR="00AA4E34" w:rsidRPr="006E724F" w:rsidRDefault="00AA4E34" w:rsidP="00044EEC">
            <w:pPr>
              <w:widowControl w:val="0"/>
              <w:autoSpaceDE w:val="0"/>
              <w:autoSpaceDN w:val="0"/>
              <w:adjustRightInd w:val="0"/>
              <w:jc w:val="center"/>
              <w:rPr>
                <w:i/>
                <w:sz w:val="22"/>
                <w:szCs w:val="22"/>
              </w:rPr>
            </w:pPr>
          </w:p>
        </w:tc>
        <w:tc>
          <w:tcPr>
            <w:tcW w:w="9637" w:type="dxa"/>
            <w:gridSpan w:val="6"/>
            <w:tcBorders>
              <w:top w:val="single" w:sz="4" w:space="0" w:color="auto"/>
            </w:tcBorders>
          </w:tcPr>
          <w:p w14:paraId="0BE27D55" w14:textId="77777777" w:rsidR="00AA4E34" w:rsidRPr="006E724F" w:rsidRDefault="00AA4E34" w:rsidP="00044EEC">
            <w:pPr>
              <w:widowControl w:val="0"/>
              <w:autoSpaceDE w:val="0"/>
              <w:autoSpaceDN w:val="0"/>
              <w:adjustRightInd w:val="0"/>
              <w:jc w:val="center"/>
              <w:rPr>
                <w:sz w:val="22"/>
                <w:szCs w:val="22"/>
              </w:rPr>
            </w:pPr>
            <w:r w:rsidRPr="006E724F">
              <w:rPr>
                <w:i/>
                <w:sz w:val="22"/>
                <w:szCs w:val="22"/>
              </w:rPr>
              <w:t>Borrower characteristics</w:t>
            </w:r>
          </w:p>
        </w:tc>
      </w:tr>
      <w:tr w:rsidR="00AA4E34" w:rsidRPr="00070779" w14:paraId="2DF6A507" w14:textId="77777777" w:rsidTr="00234459">
        <w:trPr>
          <w:jc w:val="center"/>
        </w:trPr>
        <w:tc>
          <w:tcPr>
            <w:tcW w:w="3969" w:type="dxa"/>
            <w:gridSpan w:val="2"/>
          </w:tcPr>
          <w:p w14:paraId="08CA6196"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Total asset (</w:t>
            </w:r>
            <w:r w:rsidR="00063F79">
              <w:rPr>
                <w:sz w:val="22"/>
                <w:szCs w:val="22"/>
              </w:rPr>
              <w:t>in million</w:t>
            </w:r>
            <w:r w:rsidRPr="006E724F">
              <w:rPr>
                <w:sz w:val="22"/>
                <w:szCs w:val="22"/>
              </w:rPr>
              <w:t>)</w:t>
            </w:r>
          </w:p>
        </w:tc>
        <w:tc>
          <w:tcPr>
            <w:tcW w:w="1417" w:type="dxa"/>
          </w:tcPr>
          <w:p w14:paraId="570E736F"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606F4F26"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7113.27</w:t>
            </w:r>
          </w:p>
        </w:tc>
        <w:tc>
          <w:tcPr>
            <w:tcW w:w="1417" w:type="dxa"/>
            <w:vAlign w:val="center"/>
          </w:tcPr>
          <w:p w14:paraId="293C5F3D"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22788.85</w:t>
            </w:r>
          </w:p>
        </w:tc>
        <w:tc>
          <w:tcPr>
            <w:tcW w:w="1417" w:type="dxa"/>
            <w:vAlign w:val="center"/>
          </w:tcPr>
          <w:p w14:paraId="0C1E795C"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1013.58</w:t>
            </w:r>
          </w:p>
        </w:tc>
        <w:tc>
          <w:tcPr>
            <w:tcW w:w="1417" w:type="dxa"/>
          </w:tcPr>
          <w:p w14:paraId="08227BDE"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3707D92F" w14:textId="77777777" w:rsidTr="00234459">
        <w:trPr>
          <w:jc w:val="center"/>
        </w:trPr>
        <w:tc>
          <w:tcPr>
            <w:tcW w:w="3969" w:type="dxa"/>
            <w:gridSpan w:val="2"/>
          </w:tcPr>
          <w:p w14:paraId="6A25CBEA" w14:textId="77777777" w:rsidR="00AA4E34" w:rsidRPr="001815E5" w:rsidRDefault="00AA4E34" w:rsidP="00044EEC">
            <w:pPr>
              <w:widowControl w:val="0"/>
              <w:autoSpaceDE w:val="0"/>
              <w:autoSpaceDN w:val="0"/>
              <w:adjustRightInd w:val="0"/>
              <w:jc w:val="center"/>
              <w:rPr>
                <w:sz w:val="22"/>
                <w:szCs w:val="22"/>
              </w:rPr>
            </w:pPr>
            <w:r w:rsidRPr="001815E5">
              <w:rPr>
                <w:sz w:val="22"/>
                <w:szCs w:val="22"/>
              </w:rPr>
              <w:t>ROA</w:t>
            </w:r>
          </w:p>
        </w:tc>
        <w:tc>
          <w:tcPr>
            <w:tcW w:w="1417" w:type="dxa"/>
          </w:tcPr>
          <w:p w14:paraId="470CD00F"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5196B98C"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0.09</w:t>
            </w:r>
          </w:p>
        </w:tc>
        <w:tc>
          <w:tcPr>
            <w:tcW w:w="1417" w:type="dxa"/>
            <w:vAlign w:val="center"/>
          </w:tcPr>
          <w:p w14:paraId="1E59117E"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0.08</w:t>
            </w:r>
          </w:p>
        </w:tc>
        <w:tc>
          <w:tcPr>
            <w:tcW w:w="1417" w:type="dxa"/>
            <w:vAlign w:val="center"/>
          </w:tcPr>
          <w:p w14:paraId="5A00DC3F"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0.08</w:t>
            </w:r>
          </w:p>
        </w:tc>
        <w:tc>
          <w:tcPr>
            <w:tcW w:w="1417" w:type="dxa"/>
          </w:tcPr>
          <w:p w14:paraId="6E0E560B"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778156E4" w14:textId="77777777" w:rsidTr="00234459">
        <w:trPr>
          <w:jc w:val="center"/>
        </w:trPr>
        <w:tc>
          <w:tcPr>
            <w:tcW w:w="3969" w:type="dxa"/>
            <w:gridSpan w:val="2"/>
          </w:tcPr>
          <w:p w14:paraId="4323BD36" w14:textId="77777777" w:rsidR="00AA4E34" w:rsidRPr="001815E5" w:rsidRDefault="00AA4E34" w:rsidP="00044EEC">
            <w:pPr>
              <w:widowControl w:val="0"/>
              <w:autoSpaceDE w:val="0"/>
              <w:autoSpaceDN w:val="0"/>
              <w:adjustRightInd w:val="0"/>
              <w:jc w:val="center"/>
              <w:rPr>
                <w:sz w:val="22"/>
                <w:szCs w:val="22"/>
              </w:rPr>
            </w:pPr>
            <w:r w:rsidRPr="001815E5">
              <w:rPr>
                <w:sz w:val="22"/>
                <w:szCs w:val="22"/>
              </w:rPr>
              <w:t>Tobin’s Q</w:t>
            </w:r>
          </w:p>
        </w:tc>
        <w:tc>
          <w:tcPr>
            <w:tcW w:w="1417" w:type="dxa"/>
          </w:tcPr>
          <w:p w14:paraId="4D1E91FD"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28D37ACB"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1.45</w:t>
            </w:r>
          </w:p>
        </w:tc>
        <w:tc>
          <w:tcPr>
            <w:tcW w:w="1417" w:type="dxa"/>
            <w:vAlign w:val="center"/>
          </w:tcPr>
          <w:p w14:paraId="541A7617"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0.64</w:t>
            </w:r>
          </w:p>
        </w:tc>
        <w:tc>
          <w:tcPr>
            <w:tcW w:w="1417" w:type="dxa"/>
            <w:vAlign w:val="center"/>
          </w:tcPr>
          <w:p w14:paraId="163140FA"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1.28</w:t>
            </w:r>
          </w:p>
        </w:tc>
        <w:tc>
          <w:tcPr>
            <w:tcW w:w="1417" w:type="dxa"/>
          </w:tcPr>
          <w:p w14:paraId="7A966A85"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255172AD" w14:textId="77777777" w:rsidTr="00234459">
        <w:trPr>
          <w:jc w:val="center"/>
        </w:trPr>
        <w:tc>
          <w:tcPr>
            <w:tcW w:w="3969" w:type="dxa"/>
            <w:gridSpan w:val="2"/>
          </w:tcPr>
          <w:p w14:paraId="37EF5C4B" w14:textId="77777777" w:rsidR="00AA4E34" w:rsidRPr="001815E5" w:rsidRDefault="00AA4E34" w:rsidP="00044EEC">
            <w:pPr>
              <w:widowControl w:val="0"/>
              <w:autoSpaceDE w:val="0"/>
              <w:autoSpaceDN w:val="0"/>
              <w:adjustRightInd w:val="0"/>
              <w:jc w:val="center"/>
              <w:rPr>
                <w:sz w:val="22"/>
                <w:szCs w:val="22"/>
              </w:rPr>
            </w:pPr>
            <w:r w:rsidRPr="001815E5">
              <w:rPr>
                <w:sz w:val="22"/>
                <w:szCs w:val="22"/>
              </w:rPr>
              <w:t>Cash</w:t>
            </w:r>
          </w:p>
        </w:tc>
        <w:tc>
          <w:tcPr>
            <w:tcW w:w="1417" w:type="dxa"/>
          </w:tcPr>
          <w:p w14:paraId="74B47FA3"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4B917A9D"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0.08</w:t>
            </w:r>
          </w:p>
        </w:tc>
        <w:tc>
          <w:tcPr>
            <w:tcW w:w="1417" w:type="dxa"/>
            <w:vAlign w:val="center"/>
          </w:tcPr>
          <w:p w14:paraId="2719B02E"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0.10</w:t>
            </w:r>
          </w:p>
        </w:tc>
        <w:tc>
          <w:tcPr>
            <w:tcW w:w="1417" w:type="dxa"/>
            <w:vAlign w:val="center"/>
          </w:tcPr>
          <w:p w14:paraId="1F8891B4"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0.04</w:t>
            </w:r>
          </w:p>
        </w:tc>
        <w:tc>
          <w:tcPr>
            <w:tcW w:w="1417" w:type="dxa"/>
          </w:tcPr>
          <w:p w14:paraId="554A7AAF"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1CBFC47E" w14:textId="77777777" w:rsidTr="00234459">
        <w:trPr>
          <w:jc w:val="center"/>
        </w:trPr>
        <w:tc>
          <w:tcPr>
            <w:tcW w:w="3969" w:type="dxa"/>
            <w:gridSpan w:val="2"/>
          </w:tcPr>
          <w:p w14:paraId="40A92E4A" w14:textId="77777777" w:rsidR="00AA4E34" w:rsidRPr="001815E5" w:rsidRDefault="00AA4E34" w:rsidP="00044EEC">
            <w:pPr>
              <w:widowControl w:val="0"/>
              <w:autoSpaceDE w:val="0"/>
              <w:autoSpaceDN w:val="0"/>
              <w:adjustRightInd w:val="0"/>
              <w:jc w:val="center"/>
              <w:rPr>
                <w:sz w:val="22"/>
                <w:szCs w:val="22"/>
              </w:rPr>
            </w:pPr>
            <w:r w:rsidRPr="001815E5">
              <w:rPr>
                <w:sz w:val="22"/>
                <w:szCs w:val="22"/>
              </w:rPr>
              <w:t>Leverage</w:t>
            </w:r>
          </w:p>
        </w:tc>
        <w:tc>
          <w:tcPr>
            <w:tcW w:w="1417" w:type="dxa"/>
          </w:tcPr>
          <w:p w14:paraId="3561A5C0"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7E207A8E"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0.32</w:t>
            </w:r>
          </w:p>
        </w:tc>
        <w:tc>
          <w:tcPr>
            <w:tcW w:w="1417" w:type="dxa"/>
            <w:vAlign w:val="center"/>
          </w:tcPr>
          <w:p w14:paraId="3F0AA88D"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0.22</w:t>
            </w:r>
          </w:p>
        </w:tc>
        <w:tc>
          <w:tcPr>
            <w:tcW w:w="1417" w:type="dxa"/>
            <w:vAlign w:val="center"/>
          </w:tcPr>
          <w:p w14:paraId="16F0F295"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0.30</w:t>
            </w:r>
          </w:p>
        </w:tc>
        <w:tc>
          <w:tcPr>
            <w:tcW w:w="1417" w:type="dxa"/>
          </w:tcPr>
          <w:p w14:paraId="3496EAF0"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286A9AE6" w14:textId="77777777" w:rsidTr="00234459">
        <w:trPr>
          <w:jc w:val="center"/>
        </w:trPr>
        <w:tc>
          <w:tcPr>
            <w:tcW w:w="3969" w:type="dxa"/>
            <w:gridSpan w:val="2"/>
          </w:tcPr>
          <w:p w14:paraId="03E1DE4F" w14:textId="77777777" w:rsidR="00AA4E34" w:rsidRPr="001815E5" w:rsidRDefault="00AA4E34" w:rsidP="00044EEC">
            <w:pPr>
              <w:widowControl w:val="0"/>
              <w:autoSpaceDE w:val="0"/>
              <w:autoSpaceDN w:val="0"/>
              <w:adjustRightInd w:val="0"/>
              <w:jc w:val="center"/>
              <w:rPr>
                <w:sz w:val="22"/>
                <w:szCs w:val="22"/>
              </w:rPr>
            </w:pPr>
            <w:r w:rsidRPr="001815E5">
              <w:rPr>
                <w:sz w:val="22"/>
                <w:szCs w:val="22"/>
              </w:rPr>
              <w:t>CAPX</w:t>
            </w:r>
          </w:p>
        </w:tc>
        <w:tc>
          <w:tcPr>
            <w:tcW w:w="1417" w:type="dxa"/>
          </w:tcPr>
          <w:p w14:paraId="0B1A2996"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05BA0B67"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286.78</w:t>
            </w:r>
          </w:p>
        </w:tc>
        <w:tc>
          <w:tcPr>
            <w:tcW w:w="1417" w:type="dxa"/>
            <w:vAlign w:val="center"/>
          </w:tcPr>
          <w:p w14:paraId="4D5432D4"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753.39</w:t>
            </w:r>
          </w:p>
        </w:tc>
        <w:tc>
          <w:tcPr>
            <w:tcW w:w="1417" w:type="dxa"/>
            <w:vAlign w:val="center"/>
          </w:tcPr>
          <w:p w14:paraId="322EC2A3"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43.62</w:t>
            </w:r>
          </w:p>
        </w:tc>
        <w:tc>
          <w:tcPr>
            <w:tcW w:w="1417" w:type="dxa"/>
          </w:tcPr>
          <w:p w14:paraId="46EDB5F7"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5E9E2426" w14:textId="77777777" w:rsidTr="00234459">
        <w:trPr>
          <w:jc w:val="center"/>
        </w:trPr>
        <w:tc>
          <w:tcPr>
            <w:tcW w:w="3969" w:type="dxa"/>
            <w:gridSpan w:val="2"/>
          </w:tcPr>
          <w:p w14:paraId="1CC53F0D" w14:textId="77777777" w:rsidR="00AA4E34" w:rsidRPr="001815E5" w:rsidRDefault="00AA4E34" w:rsidP="00044EEC">
            <w:pPr>
              <w:widowControl w:val="0"/>
              <w:autoSpaceDE w:val="0"/>
              <w:autoSpaceDN w:val="0"/>
              <w:adjustRightInd w:val="0"/>
              <w:jc w:val="center"/>
              <w:rPr>
                <w:sz w:val="22"/>
                <w:szCs w:val="22"/>
              </w:rPr>
            </w:pPr>
            <w:r w:rsidRPr="001815E5">
              <w:rPr>
                <w:sz w:val="22"/>
                <w:szCs w:val="22"/>
              </w:rPr>
              <w:t>Past lending</w:t>
            </w:r>
          </w:p>
        </w:tc>
        <w:tc>
          <w:tcPr>
            <w:tcW w:w="1417" w:type="dxa"/>
          </w:tcPr>
          <w:p w14:paraId="561092DD"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54DF0A84"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3.13</w:t>
            </w:r>
          </w:p>
        </w:tc>
        <w:tc>
          <w:tcPr>
            <w:tcW w:w="1417" w:type="dxa"/>
            <w:vAlign w:val="center"/>
          </w:tcPr>
          <w:p w14:paraId="0BA348D1"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3.31</w:t>
            </w:r>
          </w:p>
        </w:tc>
        <w:tc>
          <w:tcPr>
            <w:tcW w:w="1417" w:type="dxa"/>
            <w:vAlign w:val="center"/>
          </w:tcPr>
          <w:p w14:paraId="122D2BC2"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2</w:t>
            </w:r>
          </w:p>
        </w:tc>
        <w:tc>
          <w:tcPr>
            <w:tcW w:w="1417" w:type="dxa"/>
          </w:tcPr>
          <w:p w14:paraId="69F45CEF"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428CED07" w14:textId="77777777" w:rsidTr="00234459">
        <w:trPr>
          <w:jc w:val="center"/>
        </w:trPr>
        <w:tc>
          <w:tcPr>
            <w:tcW w:w="3969" w:type="dxa"/>
            <w:gridSpan w:val="2"/>
          </w:tcPr>
          <w:p w14:paraId="73DDB226" w14:textId="77777777" w:rsidR="00AA4E34" w:rsidRPr="001815E5" w:rsidRDefault="00AA4E34" w:rsidP="00044EEC">
            <w:pPr>
              <w:widowControl w:val="0"/>
              <w:autoSpaceDE w:val="0"/>
              <w:autoSpaceDN w:val="0"/>
              <w:adjustRightInd w:val="0"/>
              <w:jc w:val="center"/>
              <w:rPr>
                <w:sz w:val="22"/>
                <w:szCs w:val="22"/>
              </w:rPr>
            </w:pPr>
            <w:r w:rsidRPr="001815E5">
              <w:rPr>
                <w:sz w:val="22"/>
                <w:szCs w:val="22"/>
              </w:rPr>
              <w:t xml:space="preserve">Large CS links </w:t>
            </w:r>
          </w:p>
        </w:tc>
        <w:tc>
          <w:tcPr>
            <w:tcW w:w="1417" w:type="dxa"/>
          </w:tcPr>
          <w:p w14:paraId="1B084EAC"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28BEE17F"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0.55</w:t>
            </w:r>
          </w:p>
        </w:tc>
        <w:tc>
          <w:tcPr>
            <w:tcW w:w="1417" w:type="dxa"/>
            <w:vAlign w:val="center"/>
          </w:tcPr>
          <w:p w14:paraId="3DDD83C7"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0.50</w:t>
            </w:r>
          </w:p>
        </w:tc>
        <w:tc>
          <w:tcPr>
            <w:tcW w:w="1417" w:type="dxa"/>
            <w:vAlign w:val="center"/>
          </w:tcPr>
          <w:p w14:paraId="76153D6F"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w:t>
            </w:r>
          </w:p>
        </w:tc>
        <w:tc>
          <w:tcPr>
            <w:tcW w:w="1417" w:type="dxa"/>
          </w:tcPr>
          <w:p w14:paraId="27E2CADB"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3536B1BC" w14:textId="77777777" w:rsidTr="00234459">
        <w:trPr>
          <w:jc w:val="center"/>
        </w:trPr>
        <w:tc>
          <w:tcPr>
            <w:tcW w:w="3969" w:type="dxa"/>
            <w:gridSpan w:val="2"/>
          </w:tcPr>
          <w:p w14:paraId="336E0B9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Length large CS links (</w:t>
            </w:r>
            <w:r w:rsidR="00063F79">
              <w:rPr>
                <w:sz w:val="22"/>
                <w:szCs w:val="22"/>
              </w:rPr>
              <w:t>in year</w:t>
            </w:r>
            <w:r w:rsidRPr="006E724F">
              <w:rPr>
                <w:sz w:val="22"/>
                <w:szCs w:val="22"/>
              </w:rPr>
              <w:t>)</w:t>
            </w:r>
          </w:p>
        </w:tc>
        <w:tc>
          <w:tcPr>
            <w:tcW w:w="1417" w:type="dxa"/>
          </w:tcPr>
          <w:p w14:paraId="1FBFAF32"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17B0D700"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1.20</w:t>
            </w:r>
          </w:p>
        </w:tc>
        <w:tc>
          <w:tcPr>
            <w:tcW w:w="1417" w:type="dxa"/>
            <w:vAlign w:val="center"/>
          </w:tcPr>
          <w:p w14:paraId="7634D990"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2.40</w:t>
            </w:r>
          </w:p>
        </w:tc>
        <w:tc>
          <w:tcPr>
            <w:tcW w:w="1417" w:type="dxa"/>
            <w:vAlign w:val="center"/>
          </w:tcPr>
          <w:p w14:paraId="648B5CDA"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w:t>
            </w:r>
          </w:p>
        </w:tc>
        <w:tc>
          <w:tcPr>
            <w:tcW w:w="1417" w:type="dxa"/>
          </w:tcPr>
          <w:p w14:paraId="5175F4A1"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21230962" w14:textId="77777777" w:rsidTr="00234459">
        <w:trPr>
          <w:jc w:val="center"/>
        </w:trPr>
        <w:tc>
          <w:tcPr>
            <w:tcW w:w="3969" w:type="dxa"/>
            <w:gridSpan w:val="2"/>
          </w:tcPr>
          <w:p w14:paraId="0E4D4CB2"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Supplier HHI</w:t>
            </w:r>
          </w:p>
        </w:tc>
        <w:tc>
          <w:tcPr>
            <w:tcW w:w="1417" w:type="dxa"/>
          </w:tcPr>
          <w:p w14:paraId="46840282" w14:textId="77777777" w:rsidR="00AA4E34" w:rsidRPr="006E724F" w:rsidRDefault="00AA4E34" w:rsidP="00044EEC">
            <w:pPr>
              <w:widowControl w:val="0"/>
              <w:autoSpaceDE w:val="0"/>
              <w:autoSpaceDN w:val="0"/>
              <w:adjustRightInd w:val="0"/>
              <w:jc w:val="center"/>
              <w:rPr>
                <w:sz w:val="22"/>
                <w:szCs w:val="22"/>
              </w:rPr>
            </w:pPr>
          </w:p>
        </w:tc>
        <w:tc>
          <w:tcPr>
            <w:tcW w:w="1417" w:type="dxa"/>
            <w:vAlign w:val="center"/>
          </w:tcPr>
          <w:p w14:paraId="516117C2"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0.17</w:t>
            </w:r>
          </w:p>
        </w:tc>
        <w:tc>
          <w:tcPr>
            <w:tcW w:w="1417" w:type="dxa"/>
            <w:vAlign w:val="center"/>
          </w:tcPr>
          <w:p w14:paraId="14D941D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0.34</w:t>
            </w:r>
          </w:p>
        </w:tc>
        <w:tc>
          <w:tcPr>
            <w:tcW w:w="1417" w:type="dxa"/>
            <w:vAlign w:val="center"/>
          </w:tcPr>
          <w:p w14:paraId="6DBFE989"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w:t>
            </w:r>
          </w:p>
        </w:tc>
        <w:tc>
          <w:tcPr>
            <w:tcW w:w="1417" w:type="dxa"/>
          </w:tcPr>
          <w:p w14:paraId="766F2673"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r w:rsidR="00AA4E34" w:rsidRPr="00070779" w14:paraId="34FBCCC4" w14:textId="77777777" w:rsidTr="00234459">
        <w:trPr>
          <w:jc w:val="center"/>
        </w:trPr>
        <w:tc>
          <w:tcPr>
            <w:tcW w:w="3969" w:type="dxa"/>
            <w:gridSpan w:val="2"/>
            <w:tcBorders>
              <w:bottom w:val="single" w:sz="4" w:space="0" w:color="auto"/>
            </w:tcBorders>
          </w:tcPr>
          <w:p w14:paraId="582BB4F7"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Customer HHI</w:t>
            </w:r>
          </w:p>
        </w:tc>
        <w:tc>
          <w:tcPr>
            <w:tcW w:w="1417" w:type="dxa"/>
            <w:tcBorders>
              <w:bottom w:val="single" w:sz="4" w:space="0" w:color="auto"/>
            </w:tcBorders>
          </w:tcPr>
          <w:p w14:paraId="1FCA42B2" w14:textId="77777777" w:rsidR="00AA4E34" w:rsidRPr="006E724F" w:rsidRDefault="00AA4E34" w:rsidP="00044EEC">
            <w:pPr>
              <w:widowControl w:val="0"/>
              <w:autoSpaceDE w:val="0"/>
              <w:autoSpaceDN w:val="0"/>
              <w:adjustRightInd w:val="0"/>
              <w:jc w:val="center"/>
              <w:rPr>
                <w:sz w:val="22"/>
                <w:szCs w:val="22"/>
              </w:rPr>
            </w:pPr>
          </w:p>
        </w:tc>
        <w:tc>
          <w:tcPr>
            <w:tcW w:w="1417" w:type="dxa"/>
            <w:tcBorders>
              <w:bottom w:val="single" w:sz="4" w:space="0" w:color="auto"/>
            </w:tcBorders>
            <w:vAlign w:val="center"/>
          </w:tcPr>
          <w:p w14:paraId="2D6D6DC6"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0.16</w:t>
            </w:r>
          </w:p>
        </w:tc>
        <w:tc>
          <w:tcPr>
            <w:tcW w:w="1417" w:type="dxa"/>
            <w:tcBorders>
              <w:bottom w:val="single" w:sz="4" w:space="0" w:color="auto"/>
            </w:tcBorders>
            <w:vAlign w:val="center"/>
          </w:tcPr>
          <w:p w14:paraId="5A1906DE"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0.34</w:t>
            </w:r>
          </w:p>
        </w:tc>
        <w:tc>
          <w:tcPr>
            <w:tcW w:w="1417" w:type="dxa"/>
            <w:tcBorders>
              <w:bottom w:val="single" w:sz="4" w:space="0" w:color="auto"/>
            </w:tcBorders>
            <w:vAlign w:val="center"/>
          </w:tcPr>
          <w:p w14:paraId="0D29467F"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0</w:t>
            </w:r>
          </w:p>
        </w:tc>
        <w:tc>
          <w:tcPr>
            <w:tcW w:w="1417" w:type="dxa"/>
            <w:tcBorders>
              <w:bottom w:val="single" w:sz="4" w:space="0" w:color="auto"/>
            </w:tcBorders>
          </w:tcPr>
          <w:p w14:paraId="0382336F" w14:textId="77777777" w:rsidR="00AA4E34" w:rsidRPr="006E724F" w:rsidRDefault="00AA4E34" w:rsidP="00044EEC">
            <w:pPr>
              <w:widowControl w:val="0"/>
              <w:autoSpaceDE w:val="0"/>
              <w:autoSpaceDN w:val="0"/>
              <w:adjustRightInd w:val="0"/>
              <w:jc w:val="center"/>
              <w:rPr>
                <w:sz w:val="22"/>
                <w:szCs w:val="22"/>
              </w:rPr>
            </w:pPr>
            <w:r w:rsidRPr="006E724F">
              <w:rPr>
                <w:sz w:val="22"/>
                <w:szCs w:val="22"/>
              </w:rPr>
              <w:t>9,153</w:t>
            </w:r>
          </w:p>
        </w:tc>
      </w:tr>
    </w:tbl>
    <w:p w14:paraId="3AEB51D2" w14:textId="77777777" w:rsidR="003213DB" w:rsidRDefault="003213DB" w:rsidP="003213DB">
      <w:pPr>
        <w:widowControl w:val="0"/>
        <w:autoSpaceDE w:val="0"/>
        <w:autoSpaceDN w:val="0"/>
        <w:adjustRightInd w:val="0"/>
        <w:ind w:right="-279"/>
        <w:jc w:val="both"/>
        <w:rPr>
          <w:sz w:val="22"/>
          <w:szCs w:val="22"/>
        </w:rPr>
      </w:pPr>
    </w:p>
    <w:p w14:paraId="70AEBE3A" w14:textId="77777777" w:rsidR="003213DB" w:rsidRPr="00070779" w:rsidRDefault="003213DB" w:rsidP="002B3BA8">
      <w:pPr>
        <w:widowControl w:val="0"/>
        <w:autoSpaceDE w:val="0"/>
        <w:autoSpaceDN w:val="0"/>
        <w:adjustRightInd w:val="0"/>
        <w:ind w:right="-279"/>
        <w:jc w:val="both"/>
        <w:rPr>
          <w:sz w:val="22"/>
          <w:szCs w:val="22"/>
        </w:rPr>
      </w:pPr>
    </w:p>
    <w:p w14:paraId="7AC4A835" w14:textId="77777777" w:rsidR="00470FBE" w:rsidRPr="00070779" w:rsidRDefault="00470FBE" w:rsidP="00470FBE">
      <w:pPr>
        <w:widowControl w:val="0"/>
        <w:autoSpaceDE w:val="0"/>
        <w:autoSpaceDN w:val="0"/>
        <w:adjustRightInd w:val="0"/>
        <w:jc w:val="both"/>
        <w:rPr>
          <w:b/>
          <w:szCs w:val="20"/>
        </w:rPr>
      </w:pPr>
    </w:p>
    <w:p w14:paraId="6576043E" w14:textId="77777777" w:rsidR="005B5CDE" w:rsidRDefault="005B5CDE" w:rsidP="00470FBE">
      <w:pPr>
        <w:widowControl w:val="0"/>
        <w:autoSpaceDE w:val="0"/>
        <w:autoSpaceDN w:val="0"/>
        <w:adjustRightInd w:val="0"/>
        <w:rPr>
          <w:b/>
          <w:szCs w:val="20"/>
        </w:rPr>
        <w:sectPr w:rsidR="005B5CDE" w:rsidSect="008F1972">
          <w:pgSz w:w="12240" w:h="15840"/>
          <w:pgMar w:top="1440" w:right="1440" w:bottom="1440" w:left="1440" w:header="720" w:footer="720" w:gutter="0"/>
          <w:cols w:space="720"/>
          <w:noEndnote/>
          <w:docGrid w:linePitch="299"/>
        </w:sectPr>
      </w:pPr>
    </w:p>
    <w:p w14:paraId="7B8DBCA0" w14:textId="77777777" w:rsidR="007F4147" w:rsidRPr="00CE7D45" w:rsidRDefault="00A32897" w:rsidP="007F4147">
      <w:pPr>
        <w:widowControl w:val="0"/>
        <w:autoSpaceDE w:val="0"/>
        <w:autoSpaceDN w:val="0"/>
        <w:adjustRightInd w:val="0"/>
        <w:jc w:val="center"/>
        <w:rPr>
          <w:b/>
          <w:szCs w:val="20"/>
        </w:rPr>
      </w:pPr>
      <w:bookmarkStart w:id="36" w:name="_Hlk789905"/>
      <w:bookmarkStart w:id="37" w:name="_Hlk17116292"/>
      <w:r w:rsidRPr="00CE7D45">
        <w:rPr>
          <w:b/>
          <w:szCs w:val="20"/>
        </w:rPr>
        <w:t>T</w:t>
      </w:r>
      <w:r w:rsidR="006872B3" w:rsidRPr="00CE7D45">
        <w:rPr>
          <w:b/>
          <w:szCs w:val="20"/>
        </w:rPr>
        <w:t xml:space="preserve">ABLE </w:t>
      </w:r>
      <w:r w:rsidR="007530F6" w:rsidRPr="00CE7D45">
        <w:rPr>
          <w:b/>
          <w:szCs w:val="20"/>
        </w:rPr>
        <w:t>2</w:t>
      </w:r>
    </w:p>
    <w:p w14:paraId="078A3ADE" w14:textId="77777777" w:rsidR="00BD0474" w:rsidRPr="00CE7D45" w:rsidRDefault="0043098D" w:rsidP="007F4147">
      <w:pPr>
        <w:widowControl w:val="0"/>
        <w:autoSpaceDE w:val="0"/>
        <w:autoSpaceDN w:val="0"/>
        <w:adjustRightInd w:val="0"/>
        <w:jc w:val="center"/>
        <w:rPr>
          <w:b/>
          <w:szCs w:val="20"/>
        </w:rPr>
      </w:pPr>
      <w:r>
        <w:rPr>
          <w:b/>
          <w:szCs w:val="20"/>
        </w:rPr>
        <w:t xml:space="preserve">Large </w:t>
      </w:r>
      <w:r w:rsidR="00C2325A">
        <w:rPr>
          <w:b/>
          <w:szCs w:val="20"/>
        </w:rPr>
        <w:t>customer</w:t>
      </w:r>
      <w:r w:rsidR="00B339FF" w:rsidRPr="00CE7D45">
        <w:rPr>
          <w:b/>
          <w:szCs w:val="20"/>
        </w:rPr>
        <w:t xml:space="preserve">-supplier </w:t>
      </w:r>
      <w:r w:rsidR="0099693E">
        <w:rPr>
          <w:b/>
          <w:szCs w:val="20"/>
        </w:rPr>
        <w:t>link</w:t>
      </w:r>
      <w:r w:rsidR="00B339FF" w:rsidRPr="00CE7D45">
        <w:rPr>
          <w:b/>
          <w:szCs w:val="20"/>
        </w:rPr>
        <w:t>s</w:t>
      </w:r>
      <w:r w:rsidR="00BD0474" w:rsidRPr="00CE7D45">
        <w:rPr>
          <w:b/>
          <w:szCs w:val="20"/>
        </w:rPr>
        <w:t xml:space="preserve"> </w:t>
      </w:r>
      <w:r w:rsidR="00FC1139" w:rsidRPr="00CE7D45">
        <w:rPr>
          <w:b/>
          <w:szCs w:val="20"/>
        </w:rPr>
        <w:t>and lead agent’s</w:t>
      </w:r>
      <w:r w:rsidR="005143E7" w:rsidRPr="00CE7D45">
        <w:rPr>
          <w:b/>
          <w:szCs w:val="20"/>
        </w:rPr>
        <w:t xml:space="preserve"> loan</w:t>
      </w:r>
      <w:r w:rsidR="00FC1139" w:rsidRPr="00CE7D45">
        <w:rPr>
          <w:b/>
          <w:szCs w:val="20"/>
        </w:rPr>
        <w:t xml:space="preserve"> share</w:t>
      </w:r>
    </w:p>
    <w:p w14:paraId="5D010A1F" w14:textId="77777777" w:rsidR="00BD0474" w:rsidRDefault="00BD0474" w:rsidP="005F1BE6">
      <w:pPr>
        <w:widowControl w:val="0"/>
        <w:autoSpaceDE w:val="0"/>
        <w:autoSpaceDN w:val="0"/>
        <w:adjustRightInd w:val="0"/>
        <w:ind w:left="-142" w:right="-138"/>
        <w:jc w:val="both"/>
        <w:rPr>
          <w:sz w:val="22"/>
          <w:szCs w:val="22"/>
        </w:rPr>
      </w:pPr>
      <w:r w:rsidRPr="00070779">
        <w:rPr>
          <w:sz w:val="22"/>
          <w:szCs w:val="22"/>
        </w:rPr>
        <w:t>This table investigate</w:t>
      </w:r>
      <w:r w:rsidR="00993A48" w:rsidRPr="00070779">
        <w:rPr>
          <w:sz w:val="22"/>
          <w:szCs w:val="22"/>
        </w:rPr>
        <w:t>s</w:t>
      </w:r>
      <w:r w:rsidRPr="00070779">
        <w:rPr>
          <w:sz w:val="22"/>
          <w:szCs w:val="22"/>
        </w:rPr>
        <w:t xml:space="preserve"> the effect of </w:t>
      </w:r>
      <w:r w:rsidR="004D1B31">
        <w:rPr>
          <w:sz w:val="22"/>
          <w:szCs w:val="22"/>
        </w:rPr>
        <w:t>l</w:t>
      </w:r>
      <w:r w:rsidR="00B339FF" w:rsidRPr="00B339FF">
        <w:rPr>
          <w:sz w:val="22"/>
          <w:szCs w:val="22"/>
        </w:rPr>
        <w:t xml:space="preserve">arge CS </w:t>
      </w:r>
      <w:r w:rsidR="0099693E">
        <w:rPr>
          <w:sz w:val="22"/>
          <w:szCs w:val="22"/>
        </w:rPr>
        <w:t>link</w:t>
      </w:r>
      <w:r w:rsidR="00B339FF" w:rsidRPr="00B339FF">
        <w:rPr>
          <w:sz w:val="22"/>
          <w:szCs w:val="22"/>
        </w:rPr>
        <w:t xml:space="preserve">s </w:t>
      </w:r>
      <w:r w:rsidRPr="00070779">
        <w:rPr>
          <w:sz w:val="22"/>
          <w:szCs w:val="22"/>
        </w:rPr>
        <w:t xml:space="preserve">on lead agent’s loan share. </w:t>
      </w:r>
      <w:r w:rsidR="00492AA4">
        <w:rPr>
          <w:sz w:val="22"/>
          <w:szCs w:val="22"/>
        </w:rPr>
        <w:t>T</w:t>
      </w:r>
      <w:r w:rsidR="000E3A16" w:rsidRPr="00070779">
        <w:rPr>
          <w:sz w:val="22"/>
          <w:szCs w:val="22"/>
        </w:rPr>
        <w:t>he dependent</w:t>
      </w:r>
      <w:r w:rsidR="00533632">
        <w:rPr>
          <w:sz w:val="22"/>
          <w:szCs w:val="22"/>
        </w:rPr>
        <w:t xml:space="preserve"> </w:t>
      </w:r>
      <w:r w:rsidR="000E3A16" w:rsidRPr="00070779">
        <w:rPr>
          <w:sz w:val="22"/>
          <w:szCs w:val="22"/>
        </w:rPr>
        <w:t>variable</w:t>
      </w:r>
      <w:r w:rsidR="00932BC9">
        <w:rPr>
          <w:sz w:val="22"/>
          <w:szCs w:val="22"/>
        </w:rPr>
        <w:t xml:space="preserve"> in</w:t>
      </w:r>
      <w:r w:rsidR="00492AA4">
        <w:rPr>
          <w:sz w:val="22"/>
          <w:szCs w:val="22"/>
        </w:rPr>
        <w:t xml:space="preserve"> all columns</w:t>
      </w:r>
      <w:r w:rsidR="000E3A16" w:rsidRPr="00070779">
        <w:rPr>
          <w:sz w:val="22"/>
          <w:szCs w:val="22"/>
        </w:rPr>
        <w:t xml:space="preserve"> </w:t>
      </w:r>
      <w:r w:rsidR="00932BC9">
        <w:rPr>
          <w:sz w:val="22"/>
          <w:szCs w:val="22"/>
        </w:rPr>
        <w:t>is</w:t>
      </w:r>
      <w:r w:rsidR="00932BC9" w:rsidRPr="00070779">
        <w:rPr>
          <w:sz w:val="22"/>
          <w:szCs w:val="22"/>
        </w:rPr>
        <w:t xml:space="preserve"> </w:t>
      </w:r>
      <w:r w:rsidR="00A87B77" w:rsidRPr="00070779">
        <w:rPr>
          <w:sz w:val="22"/>
          <w:szCs w:val="22"/>
        </w:rPr>
        <w:t xml:space="preserve">the </w:t>
      </w:r>
      <w:r w:rsidR="000E3A16" w:rsidRPr="00070779">
        <w:rPr>
          <w:sz w:val="22"/>
          <w:szCs w:val="22"/>
        </w:rPr>
        <w:t>share</w:t>
      </w:r>
      <w:r w:rsidR="00932BC9">
        <w:rPr>
          <w:sz w:val="22"/>
          <w:szCs w:val="22"/>
        </w:rPr>
        <w:t xml:space="preserve"> of the loan</w:t>
      </w:r>
      <w:r w:rsidR="000E3A16" w:rsidRPr="00070779">
        <w:rPr>
          <w:sz w:val="22"/>
          <w:szCs w:val="22"/>
        </w:rPr>
        <w:t xml:space="preserve"> held by the lead agent. </w:t>
      </w:r>
      <w:r w:rsidR="007C7938" w:rsidRPr="00070779">
        <w:rPr>
          <w:sz w:val="22"/>
          <w:szCs w:val="22"/>
        </w:rPr>
        <w:t>Estimations in column</w:t>
      </w:r>
      <w:r w:rsidR="004D1B31">
        <w:rPr>
          <w:sz w:val="22"/>
          <w:szCs w:val="22"/>
        </w:rPr>
        <w:t>s</w:t>
      </w:r>
      <w:r w:rsidR="007C7938" w:rsidRPr="00070779">
        <w:rPr>
          <w:sz w:val="22"/>
          <w:szCs w:val="22"/>
        </w:rPr>
        <w:t xml:space="preserve"> (1) to (3) consider the </w:t>
      </w:r>
      <w:r w:rsidR="00932BC9">
        <w:rPr>
          <w:sz w:val="22"/>
          <w:szCs w:val="22"/>
        </w:rPr>
        <w:t>full</w:t>
      </w:r>
      <w:r w:rsidR="00932BC9" w:rsidRPr="00070779">
        <w:rPr>
          <w:sz w:val="22"/>
          <w:szCs w:val="22"/>
        </w:rPr>
        <w:t xml:space="preserve"> </w:t>
      </w:r>
      <w:r w:rsidR="007C7938" w:rsidRPr="00070779">
        <w:rPr>
          <w:sz w:val="22"/>
          <w:szCs w:val="22"/>
        </w:rPr>
        <w:t xml:space="preserve">sample while column (4) uses the sample of borrowers </w:t>
      </w:r>
      <w:r w:rsidR="00B339FF">
        <w:rPr>
          <w:sz w:val="22"/>
          <w:szCs w:val="22"/>
        </w:rPr>
        <w:t xml:space="preserve">with </w:t>
      </w:r>
      <w:r w:rsidR="0043098D">
        <w:rPr>
          <w:sz w:val="22"/>
          <w:szCs w:val="22"/>
        </w:rPr>
        <w:t xml:space="preserve">large </w:t>
      </w:r>
      <w:r w:rsidR="00C2325A">
        <w:rPr>
          <w:sz w:val="22"/>
          <w:szCs w:val="22"/>
        </w:rPr>
        <w:t>customer</w:t>
      </w:r>
      <w:r w:rsidR="00B339FF" w:rsidRPr="00B339FF">
        <w:rPr>
          <w:sz w:val="22"/>
          <w:szCs w:val="22"/>
        </w:rPr>
        <w:t>-supplier</w:t>
      </w:r>
      <w:r w:rsidR="007C7938" w:rsidRPr="00070779">
        <w:rPr>
          <w:sz w:val="22"/>
          <w:szCs w:val="22"/>
        </w:rPr>
        <w:t xml:space="preserve"> </w:t>
      </w:r>
      <w:r w:rsidR="00932BC9">
        <w:rPr>
          <w:sz w:val="22"/>
          <w:szCs w:val="22"/>
        </w:rPr>
        <w:t>relationships</w:t>
      </w:r>
      <w:r w:rsidR="007C7938" w:rsidRPr="00070779">
        <w:rPr>
          <w:sz w:val="22"/>
          <w:szCs w:val="22"/>
        </w:rPr>
        <w:t xml:space="preserve"> the year before receiving the loan. </w:t>
      </w:r>
      <w:r w:rsidR="00F86EB4" w:rsidRPr="00070779">
        <w:rPr>
          <w:sz w:val="22"/>
          <w:szCs w:val="22"/>
        </w:rPr>
        <w:t>Facility year, b</w:t>
      </w:r>
      <w:r w:rsidR="00F41FC5" w:rsidRPr="00070779">
        <w:rPr>
          <w:sz w:val="22"/>
          <w:szCs w:val="22"/>
        </w:rPr>
        <w:t>ank and borrower industrial sector</w:t>
      </w:r>
      <w:r w:rsidR="006872B3" w:rsidRPr="00070779">
        <w:rPr>
          <w:sz w:val="22"/>
          <w:szCs w:val="22"/>
        </w:rPr>
        <w:t>-</w:t>
      </w:r>
      <w:r w:rsidR="00F41FC5" w:rsidRPr="00070779">
        <w:rPr>
          <w:sz w:val="22"/>
          <w:szCs w:val="22"/>
        </w:rPr>
        <w:t xml:space="preserve">fixed effects are included in the estimations of all columns. </w:t>
      </w:r>
      <w:bookmarkStart w:id="38" w:name="_Hlk17208568"/>
      <w:r w:rsidR="000E3A16" w:rsidRPr="00070779">
        <w:rPr>
          <w:sz w:val="22"/>
          <w:szCs w:val="22"/>
        </w:rPr>
        <w:t xml:space="preserve">All independent variables are defined in Table A1 of the Appendix. Standard errors are clustered at borrower level and reported in parentheses. </w:t>
      </w:r>
      <w:bookmarkEnd w:id="38"/>
      <w:r w:rsidRPr="00070779">
        <w:rPr>
          <w:sz w:val="22"/>
          <w:szCs w:val="22"/>
        </w:rPr>
        <w:t xml:space="preserve">***, **, and * denote statistical significance at the 1%, 5%, and 10% levels, respectively. </w:t>
      </w:r>
    </w:p>
    <w:tbl>
      <w:tblPr>
        <w:tblpPr w:leftFromText="180" w:rightFromText="180" w:vertAnchor="text" w:tblpXSpec="center" w:tblpY="1"/>
        <w:tblOverlap w:val="never"/>
        <w:tblW w:w="9637" w:type="dxa"/>
        <w:tblLayout w:type="fixed"/>
        <w:tblLook w:val="0000" w:firstRow="0" w:lastRow="0" w:firstColumn="0" w:lastColumn="0" w:noHBand="0" w:noVBand="0"/>
      </w:tblPr>
      <w:tblGrid>
        <w:gridCol w:w="3969"/>
        <w:gridCol w:w="1417"/>
        <w:gridCol w:w="1417"/>
        <w:gridCol w:w="1417"/>
        <w:gridCol w:w="1417"/>
      </w:tblGrid>
      <w:tr w:rsidR="001A217E" w:rsidRPr="00932BC9" w14:paraId="5BC7055F" w14:textId="77777777" w:rsidTr="001A217E">
        <w:tc>
          <w:tcPr>
            <w:tcW w:w="3969" w:type="dxa"/>
            <w:tcBorders>
              <w:top w:val="single" w:sz="4" w:space="0" w:color="auto"/>
            </w:tcBorders>
            <w:vAlign w:val="center"/>
          </w:tcPr>
          <w:p w14:paraId="0BEE3F4D" w14:textId="77777777" w:rsidR="001A217E" w:rsidRPr="002B3BA8" w:rsidRDefault="001A217E" w:rsidP="001A217E">
            <w:pPr>
              <w:widowControl w:val="0"/>
              <w:autoSpaceDE w:val="0"/>
              <w:autoSpaceDN w:val="0"/>
              <w:adjustRightInd w:val="0"/>
              <w:jc w:val="center"/>
              <w:rPr>
                <w:rFonts w:eastAsia="DengXian"/>
                <w:sz w:val="20"/>
                <w:szCs w:val="20"/>
                <w:lang w:eastAsia="zh-CN"/>
              </w:rPr>
            </w:pPr>
            <w:bookmarkStart w:id="39" w:name="_Hlk28030570"/>
          </w:p>
        </w:tc>
        <w:tc>
          <w:tcPr>
            <w:tcW w:w="1417" w:type="dxa"/>
            <w:tcBorders>
              <w:top w:val="single" w:sz="4" w:space="0" w:color="auto"/>
              <w:bottom w:val="single" w:sz="4" w:space="0" w:color="auto"/>
            </w:tcBorders>
            <w:vAlign w:val="center"/>
          </w:tcPr>
          <w:p w14:paraId="4DFF2000"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(1)</w:t>
            </w:r>
          </w:p>
        </w:tc>
        <w:tc>
          <w:tcPr>
            <w:tcW w:w="1417" w:type="dxa"/>
            <w:tcBorders>
              <w:top w:val="single" w:sz="4" w:space="0" w:color="auto"/>
              <w:bottom w:val="single" w:sz="4" w:space="0" w:color="auto"/>
            </w:tcBorders>
            <w:vAlign w:val="center"/>
          </w:tcPr>
          <w:p w14:paraId="4F7B6E39"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(2)</w:t>
            </w:r>
          </w:p>
        </w:tc>
        <w:tc>
          <w:tcPr>
            <w:tcW w:w="1417" w:type="dxa"/>
            <w:tcBorders>
              <w:top w:val="single" w:sz="4" w:space="0" w:color="auto"/>
              <w:bottom w:val="single" w:sz="4" w:space="0" w:color="auto"/>
            </w:tcBorders>
            <w:vAlign w:val="center"/>
          </w:tcPr>
          <w:p w14:paraId="4D4072D3"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(3)</w:t>
            </w:r>
          </w:p>
        </w:tc>
        <w:tc>
          <w:tcPr>
            <w:tcW w:w="1417" w:type="dxa"/>
            <w:tcBorders>
              <w:top w:val="single" w:sz="4" w:space="0" w:color="auto"/>
              <w:bottom w:val="single" w:sz="4" w:space="0" w:color="auto"/>
            </w:tcBorders>
          </w:tcPr>
          <w:p w14:paraId="3C81D4A1"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(4)</w:t>
            </w:r>
          </w:p>
        </w:tc>
      </w:tr>
      <w:tr w:rsidR="001A217E" w:rsidRPr="00932BC9" w14:paraId="1774FD2C" w14:textId="77777777" w:rsidTr="001A217E">
        <w:tc>
          <w:tcPr>
            <w:tcW w:w="3969" w:type="dxa"/>
            <w:vAlign w:val="center"/>
          </w:tcPr>
          <w:p w14:paraId="7D25E207" w14:textId="77777777" w:rsidR="001A217E" w:rsidRPr="002B3BA8" w:rsidRDefault="00F5316D" w:rsidP="001A217E">
            <w:pPr>
              <w:widowControl w:val="0"/>
              <w:autoSpaceDE w:val="0"/>
              <w:autoSpaceDN w:val="0"/>
              <w:adjustRightInd w:val="0"/>
              <w:jc w:val="center"/>
              <w:rPr>
                <w:rFonts w:eastAsia="DengXian"/>
                <w:sz w:val="20"/>
                <w:szCs w:val="20"/>
                <w:lang w:eastAsia="zh-CN"/>
              </w:rPr>
            </w:pPr>
            <w:r w:rsidRPr="00F5316D">
              <w:rPr>
                <w:rFonts w:eastAsia="DengXian"/>
                <w:sz w:val="20"/>
                <w:szCs w:val="20"/>
                <w:lang w:eastAsia="zh-CN"/>
              </w:rPr>
              <w:t xml:space="preserve">Large CS </w:t>
            </w:r>
            <w:r w:rsidR="0099693E">
              <w:rPr>
                <w:rFonts w:eastAsia="DengXian"/>
                <w:sz w:val="20"/>
                <w:szCs w:val="20"/>
                <w:lang w:eastAsia="zh-CN"/>
              </w:rPr>
              <w:t>link</w:t>
            </w:r>
            <w:r w:rsidRPr="00F5316D">
              <w:rPr>
                <w:rFonts w:eastAsia="DengXian"/>
                <w:sz w:val="20"/>
                <w:szCs w:val="20"/>
                <w:lang w:eastAsia="zh-CN"/>
              </w:rPr>
              <w:t>s</w:t>
            </w:r>
          </w:p>
        </w:tc>
        <w:tc>
          <w:tcPr>
            <w:tcW w:w="1417" w:type="dxa"/>
            <w:tcBorders>
              <w:top w:val="single" w:sz="4" w:space="0" w:color="auto"/>
              <w:left w:val="nil"/>
              <w:bottom w:val="nil"/>
              <w:right w:val="nil"/>
            </w:tcBorders>
          </w:tcPr>
          <w:p w14:paraId="315D228D"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0.006</w:t>
            </w:r>
            <w:r w:rsidRPr="005F6F6D">
              <w:rPr>
                <w:sz w:val="20"/>
                <w:szCs w:val="20"/>
                <w:vertAlign w:val="superscript"/>
              </w:rPr>
              <w:t>**</w:t>
            </w:r>
          </w:p>
        </w:tc>
        <w:tc>
          <w:tcPr>
            <w:tcW w:w="1417" w:type="dxa"/>
            <w:tcBorders>
              <w:top w:val="single" w:sz="4" w:space="0" w:color="auto"/>
              <w:left w:val="nil"/>
              <w:bottom w:val="nil"/>
              <w:right w:val="nil"/>
            </w:tcBorders>
          </w:tcPr>
          <w:p w14:paraId="5D034660"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single" w:sz="4" w:space="0" w:color="auto"/>
              <w:left w:val="nil"/>
              <w:bottom w:val="nil"/>
              <w:right w:val="nil"/>
            </w:tcBorders>
          </w:tcPr>
          <w:p w14:paraId="61AFB1D5"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single" w:sz="4" w:space="0" w:color="auto"/>
              <w:left w:val="nil"/>
              <w:bottom w:val="nil"/>
              <w:right w:val="nil"/>
            </w:tcBorders>
          </w:tcPr>
          <w:p w14:paraId="2C4613DE"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r>
      <w:tr w:rsidR="001A217E" w:rsidRPr="00932BC9" w14:paraId="294070B7" w14:textId="77777777" w:rsidTr="001A217E">
        <w:tc>
          <w:tcPr>
            <w:tcW w:w="3969" w:type="dxa"/>
            <w:vAlign w:val="center"/>
          </w:tcPr>
          <w:p w14:paraId="7E214C6F"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5E7E3B27"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2BB038B0"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227B7289"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74E5A6E4"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r>
      <w:tr w:rsidR="001A217E" w:rsidRPr="00932BC9" w14:paraId="66E472C5" w14:textId="77777777" w:rsidTr="001A217E">
        <w:tc>
          <w:tcPr>
            <w:tcW w:w="3969" w:type="dxa"/>
            <w:vAlign w:val="center"/>
          </w:tcPr>
          <w:p w14:paraId="2830E7EF"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2B3BA8">
              <w:rPr>
                <w:rFonts w:eastAsia="DengXian"/>
                <w:sz w:val="20"/>
                <w:szCs w:val="20"/>
                <w:lang w:eastAsia="zh-CN"/>
              </w:rPr>
              <w:t>)</w:t>
            </w:r>
          </w:p>
        </w:tc>
        <w:tc>
          <w:tcPr>
            <w:tcW w:w="1417" w:type="dxa"/>
            <w:tcBorders>
              <w:top w:val="nil"/>
              <w:left w:val="nil"/>
              <w:bottom w:val="nil"/>
              <w:right w:val="nil"/>
            </w:tcBorders>
          </w:tcPr>
          <w:p w14:paraId="773E924A"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367F1240"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0.016</w:t>
            </w:r>
            <w:r w:rsidRPr="005F6F6D">
              <w:rPr>
                <w:sz w:val="20"/>
                <w:szCs w:val="20"/>
                <w:vertAlign w:val="superscript"/>
              </w:rPr>
              <w:t>***</w:t>
            </w:r>
          </w:p>
        </w:tc>
        <w:tc>
          <w:tcPr>
            <w:tcW w:w="1417" w:type="dxa"/>
            <w:tcBorders>
              <w:top w:val="nil"/>
              <w:left w:val="nil"/>
              <w:bottom w:val="nil"/>
              <w:right w:val="nil"/>
            </w:tcBorders>
          </w:tcPr>
          <w:p w14:paraId="43EBF458"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0.039</w:t>
            </w:r>
            <w:r w:rsidRPr="005F6F6D">
              <w:rPr>
                <w:sz w:val="20"/>
                <w:szCs w:val="20"/>
                <w:vertAlign w:val="superscript"/>
              </w:rPr>
              <w:t>***</w:t>
            </w:r>
          </w:p>
        </w:tc>
        <w:tc>
          <w:tcPr>
            <w:tcW w:w="1417" w:type="dxa"/>
            <w:tcBorders>
              <w:top w:val="nil"/>
              <w:left w:val="nil"/>
              <w:bottom w:val="nil"/>
              <w:right w:val="nil"/>
            </w:tcBorders>
          </w:tcPr>
          <w:p w14:paraId="4E09BEAB"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0.040</w:t>
            </w:r>
            <w:r w:rsidRPr="005F6F6D">
              <w:rPr>
                <w:sz w:val="20"/>
                <w:szCs w:val="20"/>
                <w:vertAlign w:val="superscript"/>
              </w:rPr>
              <w:t>***</w:t>
            </w:r>
          </w:p>
        </w:tc>
      </w:tr>
      <w:tr w:rsidR="001A217E" w:rsidRPr="00932BC9" w14:paraId="44A54C16" w14:textId="77777777" w:rsidTr="001A217E">
        <w:tc>
          <w:tcPr>
            <w:tcW w:w="3969" w:type="dxa"/>
            <w:vAlign w:val="center"/>
          </w:tcPr>
          <w:p w14:paraId="6513E8CC"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47D6D644"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17E6C7B9"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0B88AF98"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15C51437"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(0.01)</w:t>
            </w:r>
          </w:p>
        </w:tc>
      </w:tr>
      <w:tr w:rsidR="001A217E" w:rsidRPr="00932BC9" w14:paraId="2C34D31A" w14:textId="77777777" w:rsidTr="001A217E">
        <w:tc>
          <w:tcPr>
            <w:tcW w:w="3969" w:type="dxa"/>
            <w:vAlign w:val="center"/>
          </w:tcPr>
          <w:p w14:paraId="1464B41F"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2B3BA8">
              <w:rPr>
                <w:rFonts w:eastAsia="DengXian"/>
                <w:sz w:val="20"/>
                <w:szCs w:val="20"/>
                <w:lang w:eastAsia="zh-CN"/>
              </w:rPr>
              <w:t>)</w:t>
            </w:r>
            <w:r w:rsidRPr="002B3BA8">
              <w:rPr>
                <w:rFonts w:eastAsia="DengXian"/>
                <w:sz w:val="20"/>
                <w:szCs w:val="20"/>
                <w:vertAlign w:val="superscript"/>
                <w:lang w:eastAsia="zh-CN"/>
              </w:rPr>
              <w:t>2</w:t>
            </w:r>
          </w:p>
        </w:tc>
        <w:tc>
          <w:tcPr>
            <w:tcW w:w="1417" w:type="dxa"/>
            <w:tcBorders>
              <w:top w:val="nil"/>
              <w:left w:val="nil"/>
              <w:bottom w:val="nil"/>
              <w:right w:val="nil"/>
            </w:tcBorders>
          </w:tcPr>
          <w:p w14:paraId="765ED1B7"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2EA04C1F"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569517C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-0.027</w:t>
            </w:r>
            <w:r w:rsidRPr="005F6F6D">
              <w:rPr>
                <w:sz w:val="20"/>
                <w:szCs w:val="20"/>
                <w:vertAlign w:val="superscript"/>
              </w:rPr>
              <w:t>**</w:t>
            </w:r>
          </w:p>
        </w:tc>
        <w:tc>
          <w:tcPr>
            <w:tcW w:w="1417" w:type="dxa"/>
            <w:tcBorders>
              <w:top w:val="nil"/>
              <w:left w:val="nil"/>
              <w:bottom w:val="nil"/>
              <w:right w:val="nil"/>
            </w:tcBorders>
          </w:tcPr>
          <w:p w14:paraId="30BF0BCF"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-0.029</w:t>
            </w:r>
            <w:r w:rsidRPr="005F6F6D">
              <w:rPr>
                <w:sz w:val="20"/>
                <w:szCs w:val="20"/>
                <w:vertAlign w:val="superscript"/>
              </w:rPr>
              <w:t>**</w:t>
            </w:r>
          </w:p>
        </w:tc>
      </w:tr>
      <w:tr w:rsidR="001A217E" w:rsidRPr="00932BC9" w14:paraId="31F9BEED" w14:textId="77777777" w:rsidTr="001A217E">
        <w:tc>
          <w:tcPr>
            <w:tcW w:w="3969" w:type="dxa"/>
            <w:vAlign w:val="center"/>
          </w:tcPr>
          <w:p w14:paraId="01934A31"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0A91E0B1"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1965A432" w14:textId="77777777" w:rsidR="001A217E" w:rsidRPr="005F6F6D"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6B58D27D"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498FF012"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(0.01)</w:t>
            </w:r>
          </w:p>
        </w:tc>
      </w:tr>
      <w:tr w:rsidR="001A217E" w:rsidRPr="00932BC9" w14:paraId="796BC2F7" w14:textId="77777777" w:rsidTr="001A217E">
        <w:tc>
          <w:tcPr>
            <w:tcW w:w="3969" w:type="dxa"/>
            <w:vAlign w:val="center"/>
          </w:tcPr>
          <w:p w14:paraId="551E6283"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Syndicate reputation: lead to participant</w:t>
            </w:r>
          </w:p>
        </w:tc>
        <w:tc>
          <w:tcPr>
            <w:tcW w:w="1417" w:type="dxa"/>
            <w:tcBorders>
              <w:top w:val="nil"/>
              <w:left w:val="nil"/>
              <w:bottom w:val="nil"/>
              <w:right w:val="nil"/>
            </w:tcBorders>
          </w:tcPr>
          <w:p w14:paraId="09B62252"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-0.039</w:t>
            </w:r>
            <w:r w:rsidRPr="005F6F6D">
              <w:rPr>
                <w:sz w:val="20"/>
                <w:szCs w:val="20"/>
                <w:vertAlign w:val="superscript"/>
              </w:rPr>
              <w:t>***</w:t>
            </w:r>
          </w:p>
        </w:tc>
        <w:tc>
          <w:tcPr>
            <w:tcW w:w="1417" w:type="dxa"/>
            <w:tcBorders>
              <w:top w:val="nil"/>
              <w:left w:val="nil"/>
              <w:bottom w:val="nil"/>
              <w:right w:val="nil"/>
            </w:tcBorders>
          </w:tcPr>
          <w:p w14:paraId="2B4F5864"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-0.038</w:t>
            </w:r>
            <w:r w:rsidRPr="005F6F6D">
              <w:rPr>
                <w:sz w:val="20"/>
                <w:szCs w:val="20"/>
                <w:vertAlign w:val="superscript"/>
              </w:rPr>
              <w:t>***</w:t>
            </w:r>
          </w:p>
        </w:tc>
        <w:tc>
          <w:tcPr>
            <w:tcW w:w="1417" w:type="dxa"/>
            <w:tcBorders>
              <w:top w:val="nil"/>
              <w:left w:val="nil"/>
              <w:bottom w:val="nil"/>
              <w:right w:val="nil"/>
            </w:tcBorders>
          </w:tcPr>
          <w:p w14:paraId="1DFEBB70"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-0.038</w:t>
            </w:r>
            <w:r w:rsidRPr="005F6F6D">
              <w:rPr>
                <w:sz w:val="20"/>
                <w:szCs w:val="20"/>
                <w:vertAlign w:val="superscript"/>
              </w:rPr>
              <w:t>***</w:t>
            </w:r>
          </w:p>
        </w:tc>
        <w:tc>
          <w:tcPr>
            <w:tcW w:w="1417" w:type="dxa"/>
            <w:tcBorders>
              <w:top w:val="nil"/>
              <w:left w:val="nil"/>
              <w:bottom w:val="nil"/>
              <w:right w:val="nil"/>
            </w:tcBorders>
          </w:tcPr>
          <w:p w14:paraId="506979A0"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-0.030</w:t>
            </w:r>
            <w:r w:rsidRPr="005F6F6D">
              <w:rPr>
                <w:sz w:val="20"/>
                <w:szCs w:val="20"/>
                <w:vertAlign w:val="superscript"/>
              </w:rPr>
              <w:t>***</w:t>
            </w:r>
          </w:p>
        </w:tc>
      </w:tr>
      <w:tr w:rsidR="001A217E" w:rsidRPr="00932BC9" w14:paraId="6DBAFABF" w14:textId="77777777" w:rsidTr="001A217E">
        <w:tc>
          <w:tcPr>
            <w:tcW w:w="3969" w:type="dxa"/>
            <w:vAlign w:val="center"/>
          </w:tcPr>
          <w:p w14:paraId="362387C0"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0C1B9AB5"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1A0ACFF2"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2BD8479D"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23401D91"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(0.01)</w:t>
            </w:r>
          </w:p>
        </w:tc>
      </w:tr>
      <w:tr w:rsidR="001A217E" w:rsidRPr="00932BC9" w14:paraId="684D9134" w14:textId="77777777" w:rsidTr="001A217E">
        <w:tc>
          <w:tcPr>
            <w:tcW w:w="3969" w:type="dxa"/>
            <w:vAlign w:val="center"/>
          </w:tcPr>
          <w:p w14:paraId="39325EA2"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Syndicate reputation: reciprocal</w:t>
            </w:r>
          </w:p>
        </w:tc>
        <w:tc>
          <w:tcPr>
            <w:tcW w:w="1417" w:type="dxa"/>
            <w:tcBorders>
              <w:top w:val="nil"/>
              <w:left w:val="nil"/>
              <w:bottom w:val="nil"/>
              <w:right w:val="nil"/>
            </w:tcBorders>
          </w:tcPr>
          <w:p w14:paraId="5C654065"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-0.047</w:t>
            </w:r>
            <w:r w:rsidRPr="005F6F6D">
              <w:rPr>
                <w:sz w:val="20"/>
                <w:szCs w:val="20"/>
                <w:vertAlign w:val="superscript"/>
              </w:rPr>
              <w:t>***</w:t>
            </w:r>
          </w:p>
        </w:tc>
        <w:tc>
          <w:tcPr>
            <w:tcW w:w="1417" w:type="dxa"/>
            <w:tcBorders>
              <w:top w:val="nil"/>
              <w:left w:val="nil"/>
              <w:bottom w:val="nil"/>
              <w:right w:val="nil"/>
            </w:tcBorders>
          </w:tcPr>
          <w:p w14:paraId="336450D6"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-0.046</w:t>
            </w:r>
            <w:r w:rsidRPr="005F6F6D">
              <w:rPr>
                <w:sz w:val="20"/>
                <w:szCs w:val="20"/>
                <w:vertAlign w:val="superscript"/>
              </w:rPr>
              <w:t>***</w:t>
            </w:r>
          </w:p>
        </w:tc>
        <w:tc>
          <w:tcPr>
            <w:tcW w:w="1417" w:type="dxa"/>
            <w:tcBorders>
              <w:top w:val="nil"/>
              <w:left w:val="nil"/>
              <w:bottom w:val="nil"/>
              <w:right w:val="nil"/>
            </w:tcBorders>
          </w:tcPr>
          <w:p w14:paraId="2A7DFC08"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-0.046</w:t>
            </w:r>
            <w:r w:rsidRPr="005F6F6D">
              <w:rPr>
                <w:sz w:val="20"/>
                <w:szCs w:val="20"/>
                <w:vertAlign w:val="superscript"/>
              </w:rPr>
              <w:t>***</w:t>
            </w:r>
          </w:p>
        </w:tc>
        <w:tc>
          <w:tcPr>
            <w:tcW w:w="1417" w:type="dxa"/>
            <w:tcBorders>
              <w:top w:val="nil"/>
              <w:left w:val="nil"/>
              <w:bottom w:val="nil"/>
              <w:right w:val="nil"/>
            </w:tcBorders>
          </w:tcPr>
          <w:p w14:paraId="3E3A9406"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-0.057</w:t>
            </w:r>
            <w:r w:rsidRPr="005F6F6D">
              <w:rPr>
                <w:sz w:val="20"/>
                <w:szCs w:val="20"/>
                <w:vertAlign w:val="superscript"/>
              </w:rPr>
              <w:t>***</w:t>
            </w:r>
          </w:p>
        </w:tc>
      </w:tr>
      <w:tr w:rsidR="001A217E" w:rsidRPr="00932BC9" w14:paraId="45F7145A" w14:textId="77777777" w:rsidTr="001A217E">
        <w:tc>
          <w:tcPr>
            <w:tcW w:w="3969" w:type="dxa"/>
            <w:vAlign w:val="center"/>
          </w:tcPr>
          <w:p w14:paraId="02C86EBB"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5E4CB28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3F6ADB63"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016F41BB"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24395177"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w:t>
            </w:r>
          </w:p>
        </w:tc>
      </w:tr>
      <w:tr w:rsidR="001A217E" w:rsidRPr="00932BC9" w14:paraId="1C659FEC" w14:textId="77777777" w:rsidTr="001A217E">
        <w:tc>
          <w:tcPr>
            <w:tcW w:w="3969" w:type="dxa"/>
            <w:vAlign w:val="center"/>
          </w:tcPr>
          <w:p w14:paraId="32D4A909"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Supplier HHI</w:t>
            </w:r>
          </w:p>
        </w:tc>
        <w:tc>
          <w:tcPr>
            <w:tcW w:w="1417" w:type="dxa"/>
            <w:tcBorders>
              <w:top w:val="nil"/>
              <w:left w:val="nil"/>
              <w:bottom w:val="nil"/>
              <w:right w:val="nil"/>
            </w:tcBorders>
          </w:tcPr>
          <w:p w14:paraId="23658275"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0.002</w:t>
            </w:r>
          </w:p>
        </w:tc>
        <w:tc>
          <w:tcPr>
            <w:tcW w:w="1417" w:type="dxa"/>
            <w:tcBorders>
              <w:top w:val="nil"/>
              <w:left w:val="nil"/>
              <w:bottom w:val="nil"/>
              <w:right w:val="nil"/>
            </w:tcBorders>
          </w:tcPr>
          <w:p w14:paraId="084A8139"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0.000</w:t>
            </w:r>
          </w:p>
        </w:tc>
        <w:tc>
          <w:tcPr>
            <w:tcW w:w="1417" w:type="dxa"/>
            <w:tcBorders>
              <w:top w:val="nil"/>
              <w:left w:val="nil"/>
              <w:bottom w:val="nil"/>
              <w:right w:val="nil"/>
            </w:tcBorders>
          </w:tcPr>
          <w:p w14:paraId="2D4C1C75"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-0.001</w:t>
            </w:r>
          </w:p>
        </w:tc>
        <w:tc>
          <w:tcPr>
            <w:tcW w:w="1417" w:type="dxa"/>
            <w:tcBorders>
              <w:top w:val="nil"/>
              <w:left w:val="nil"/>
              <w:bottom w:val="nil"/>
              <w:right w:val="nil"/>
            </w:tcBorders>
          </w:tcPr>
          <w:p w14:paraId="5BEC898C"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-0.008</w:t>
            </w:r>
            <w:r w:rsidRPr="005F6F6D">
              <w:rPr>
                <w:sz w:val="20"/>
                <w:szCs w:val="20"/>
                <w:vertAlign w:val="superscript"/>
              </w:rPr>
              <w:t>**</w:t>
            </w:r>
          </w:p>
        </w:tc>
      </w:tr>
      <w:tr w:rsidR="001A217E" w:rsidRPr="00932BC9" w14:paraId="22CAC3FB" w14:textId="77777777" w:rsidTr="001A217E">
        <w:tc>
          <w:tcPr>
            <w:tcW w:w="3969" w:type="dxa"/>
            <w:vAlign w:val="center"/>
          </w:tcPr>
          <w:p w14:paraId="01B4CEF8"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1074B658"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688414ED"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2E23B977"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2B8EDD41"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w:t>
            </w:r>
          </w:p>
        </w:tc>
      </w:tr>
      <w:tr w:rsidR="001A217E" w:rsidRPr="00932BC9" w14:paraId="4177F908" w14:textId="77777777" w:rsidTr="001A217E">
        <w:tc>
          <w:tcPr>
            <w:tcW w:w="3969" w:type="dxa"/>
            <w:vAlign w:val="center"/>
          </w:tcPr>
          <w:p w14:paraId="57CD44F5"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Customer HHI</w:t>
            </w:r>
          </w:p>
        </w:tc>
        <w:tc>
          <w:tcPr>
            <w:tcW w:w="1417" w:type="dxa"/>
            <w:tcBorders>
              <w:top w:val="nil"/>
              <w:left w:val="nil"/>
              <w:bottom w:val="nil"/>
              <w:right w:val="nil"/>
            </w:tcBorders>
          </w:tcPr>
          <w:p w14:paraId="78DB3D7F"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-0.005</w:t>
            </w:r>
          </w:p>
        </w:tc>
        <w:tc>
          <w:tcPr>
            <w:tcW w:w="1417" w:type="dxa"/>
            <w:tcBorders>
              <w:top w:val="nil"/>
              <w:left w:val="nil"/>
              <w:bottom w:val="nil"/>
              <w:right w:val="nil"/>
            </w:tcBorders>
          </w:tcPr>
          <w:p w14:paraId="0DD330D1"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-0.008</w:t>
            </w:r>
            <w:r w:rsidRPr="005F6F6D">
              <w:rPr>
                <w:sz w:val="20"/>
                <w:szCs w:val="20"/>
                <w:vertAlign w:val="superscript"/>
              </w:rPr>
              <w:t>**</w:t>
            </w:r>
          </w:p>
        </w:tc>
        <w:tc>
          <w:tcPr>
            <w:tcW w:w="1417" w:type="dxa"/>
            <w:tcBorders>
              <w:top w:val="nil"/>
              <w:left w:val="nil"/>
              <w:bottom w:val="nil"/>
              <w:right w:val="nil"/>
            </w:tcBorders>
          </w:tcPr>
          <w:p w14:paraId="7A04892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-0.008</w:t>
            </w:r>
            <w:r w:rsidRPr="005F6F6D">
              <w:rPr>
                <w:sz w:val="20"/>
                <w:szCs w:val="20"/>
                <w:vertAlign w:val="superscript"/>
              </w:rPr>
              <w:t>**</w:t>
            </w:r>
          </w:p>
        </w:tc>
        <w:tc>
          <w:tcPr>
            <w:tcW w:w="1417" w:type="dxa"/>
            <w:tcBorders>
              <w:top w:val="nil"/>
              <w:left w:val="nil"/>
              <w:bottom w:val="nil"/>
              <w:right w:val="nil"/>
            </w:tcBorders>
          </w:tcPr>
          <w:p w14:paraId="1B0F9FF3"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-0.002</w:t>
            </w:r>
          </w:p>
        </w:tc>
      </w:tr>
      <w:tr w:rsidR="001A217E" w:rsidRPr="00932BC9" w14:paraId="4DACFD23" w14:textId="77777777" w:rsidTr="001A217E">
        <w:tc>
          <w:tcPr>
            <w:tcW w:w="3969" w:type="dxa"/>
            <w:vAlign w:val="center"/>
          </w:tcPr>
          <w:p w14:paraId="329973E2"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43FF85FC"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3CC3E911"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42D106D2"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67FF715D"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w:t>
            </w:r>
          </w:p>
        </w:tc>
      </w:tr>
      <w:tr w:rsidR="001A217E" w:rsidRPr="00932BC9" w14:paraId="7019BB69" w14:textId="77777777" w:rsidTr="001A217E">
        <w:tc>
          <w:tcPr>
            <w:tcW w:w="3969" w:type="dxa"/>
            <w:shd w:val="clear" w:color="auto" w:fill="auto"/>
            <w:vAlign w:val="center"/>
          </w:tcPr>
          <w:p w14:paraId="00780754"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Past lending</w:t>
            </w:r>
          </w:p>
        </w:tc>
        <w:tc>
          <w:tcPr>
            <w:tcW w:w="1417" w:type="dxa"/>
            <w:tcBorders>
              <w:top w:val="nil"/>
              <w:left w:val="nil"/>
              <w:bottom w:val="nil"/>
              <w:right w:val="nil"/>
            </w:tcBorders>
          </w:tcPr>
          <w:p w14:paraId="17BDCC4D"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0.002</w:t>
            </w:r>
          </w:p>
        </w:tc>
        <w:tc>
          <w:tcPr>
            <w:tcW w:w="1417" w:type="dxa"/>
            <w:tcBorders>
              <w:top w:val="nil"/>
              <w:left w:val="nil"/>
              <w:bottom w:val="nil"/>
              <w:right w:val="nil"/>
            </w:tcBorders>
          </w:tcPr>
          <w:p w14:paraId="675374F2"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0.002</w:t>
            </w:r>
          </w:p>
        </w:tc>
        <w:tc>
          <w:tcPr>
            <w:tcW w:w="1417" w:type="dxa"/>
            <w:tcBorders>
              <w:top w:val="nil"/>
              <w:left w:val="nil"/>
              <w:bottom w:val="nil"/>
              <w:right w:val="nil"/>
            </w:tcBorders>
          </w:tcPr>
          <w:p w14:paraId="07BA5E7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0.002</w:t>
            </w:r>
          </w:p>
        </w:tc>
        <w:tc>
          <w:tcPr>
            <w:tcW w:w="1417" w:type="dxa"/>
            <w:tcBorders>
              <w:top w:val="nil"/>
              <w:left w:val="nil"/>
              <w:bottom w:val="nil"/>
              <w:right w:val="nil"/>
            </w:tcBorders>
          </w:tcPr>
          <w:p w14:paraId="13C7B93B"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0.005</w:t>
            </w:r>
          </w:p>
        </w:tc>
      </w:tr>
      <w:tr w:rsidR="001A217E" w:rsidRPr="00932BC9" w14:paraId="1EB89B58" w14:textId="77777777" w:rsidTr="001A217E">
        <w:tc>
          <w:tcPr>
            <w:tcW w:w="3969" w:type="dxa"/>
            <w:shd w:val="clear" w:color="auto" w:fill="auto"/>
            <w:vAlign w:val="center"/>
          </w:tcPr>
          <w:p w14:paraId="2637A714"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40116E87"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77C9F6B9"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1A0B1491"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3620ADCE"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(0.01)</w:t>
            </w:r>
          </w:p>
        </w:tc>
      </w:tr>
      <w:tr w:rsidR="001A217E" w:rsidRPr="00932BC9" w14:paraId="328BA611" w14:textId="77777777" w:rsidTr="001A217E">
        <w:tc>
          <w:tcPr>
            <w:tcW w:w="3969" w:type="dxa"/>
            <w:shd w:val="clear" w:color="auto" w:fill="auto"/>
            <w:vAlign w:val="center"/>
          </w:tcPr>
          <w:p w14:paraId="2B2C3AD7"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Total asset</w:t>
            </w:r>
          </w:p>
        </w:tc>
        <w:tc>
          <w:tcPr>
            <w:tcW w:w="1417" w:type="dxa"/>
            <w:tcBorders>
              <w:top w:val="nil"/>
              <w:left w:val="nil"/>
              <w:bottom w:val="nil"/>
              <w:right w:val="nil"/>
            </w:tcBorders>
          </w:tcPr>
          <w:p w14:paraId="5ADA029A"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0.001</w:t>
            </w:r>
          </w:p>
        </w:tc>
        <w:tc>
          <w:tcPr>
            <w:tcW w:w="1417" w:type="dxa"/>
            <w:tcBorders>
              <w:top w:val="nil"/>
              <w:left w:val="nil"/>
              <w:bottom w:val="nil"/>
              <w:right w:val="nil"/>
            </w:tcBorders>
          </w:tcPr>
          <w:p w14:paraId="78A2A622"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-0.000</w:t>
            </w:r>
          </w:p>
        </w:tc>
        <w:tc>
          <w:tcPr>
            <w:tcW w:w="1417" w:type="dxa"/>
            <w:tcBorders>
              <w:top w:val="nil"/>
              <w:left w:val="nil"/>
              <w:bottom w:val="nil"/>
              <w:right w:val="nil"/>
            </w:tcBorders>
          </w:tcPr>
          <w:p w14:paraId="12CC5E8A"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-0.000</w:t>
            </w:r>
          </w:p>
        </w:tc>
        <w:tc>
          <w:tcPr>
            <w:tcW w:w="1417" w:type="dxa"/>
            <w:tcBorders>
              <w:top w:val="nil"/>
              <w:left w:val="nil"/>
              <w:bottom w:val="nil"/>
              <w:right w:val="nil"/>
            </w:tcBorders>
          </w:tcPr>
          <w:p w14:paraId="45539518"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0.001</w:t>
            </w:r>
          </w:p>
        </w:tc>
      </w:tr>
      <w:tr w:rsidR="001A217E" w:rsidRPr="00932BC9" w14:paraId="61A9075C" w14:textId="77777777" w:rsidTr="001A217E">
        <w:tc>
          <w:tcPr>
            <w:tcW w:w="3969" w:type="dxa"/>
            <w:shd w:val="clear" w:color="auto" w:fill="auto"/>
            <w:vAlign w:val="center"/>
          </w:tcPr>
          <w:p w14:paraId="326EA6AE"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59FD2625"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5FAD377A"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13361B97"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1DCD2249"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(0.01)</w:t>
            </w:r>
          </w:p>
        </w:tc>
      </w:tr>
      <w:tr w:rsidR="001A217E" w:rsidRPr="00932BC9" w14:paraId="464FD974" w14:textId="77777777" w:rsidTr="001A217E">
        <w:tc>
          <w:tcPr>
            <w:tcW w:w="3969" w:type="dxa"/>
            <w:shd w:val="clear" w:color="auto" w:fill="auto"/>
            <w:vAlign w:val="center"/>
          </w:tcPr>
          <w:p w14:paraId="2C8C4125"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ROA</w:t>
            </w:r>
          </w:p>
        </w:tc>
        <w:tc>
          <w:tcPr>
            <w:tcW w:w="1417" w:type="dxa"/>
            <w:tcBorders>
              <w:top w:val="nil"/>
              <w:left w:val="nil"/>
              <w:bottom w:val="nil"/>
              <w:right w:val="nil"/>
            </w:tcBorders>
          </w:tcPr>
          <w:p w14:paraId="1BABF16D"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-0.018</w:t>
            </w:r>
          </w:p>
        </w:tc>
        <w:tc>
          <w:tcPr>
            <w:tcW w:w="1417" w:type="dxa"/>
            <w:tcBorders>
              <w:top w:val="nil"/>
              <w:left w:val="nil"/>
              <w:bottom w:val="nil"/>
              <w:right w:val="nil"/>
            </w:tcBorders>
          </w:tcPr>
          <w:p w14:paraId="2E5992E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-0.018</w:t>
            </w:r>
          </w:p>
        </w:tc>
        <w:tc>
          <w:tcPr>
            <w:tcW w:w="1417" w:type="dxa"/>
            <w:tcBorders>
              <w:top w:val="nil"/>
              <w:left w:val="nil"/>
              <w:bottom w:val="nil"/>
              <w:right w:val="nil"/>
            </w:tcBorders>
          </w:tcPr>
          <w:p w14:paraId="3D666E02"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-0.018</w:t>
            </w:r>
          </w:p>
        </w:tc>
        <w:tc>
          <w:tcPr>
            <w:tcW w:w="1417" w:type="dxa"/>
            <w:tcBorders>
              <w:top w:val="nil"/>
              <w:left w:val="nil"/>
              <w:bottom w:val="nil"/>
              <w:right w:val="nil"/>
            </w:tcBorders>
          </w:tcPr>
          <w:p w14:paraId="1D970963"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-0.003</w:t>
            </w:r>
          </w:p>
        </w:tc>
      </w:tr>
      <w:tr w:rsidR="001A217E" w:rsidRPr="00932BC9" w14:paraId="7B1CD114" w14:textId="77777777" w:rsidTr="001A217E">
        <w:tc>
          <w:tcPr>
            <w:tcW w:w="3969" w:type="dxa"/>
            <w:shd w:val="clear" w:color="auto" w:fill="auto"/>
            <w:vAlign w:val="center"/>
          </w:tcPr>
          <w:p w14:paraId="005623B7"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03A4DE87"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(0.02)</w:t>
            </w:r>
          </w:p>
        </w:tc>
        <w:tc>
          <w:tcPr>
            <w:tcW w:w="1417" w:type="dxa"/>
            <w:tcBorders>
              <w:top w:val="nil"/>
              <w:left w:val="nil"/>
              <w:bottom w:val="nil"/>
              <w:right w:val="nil"/>
            </w:tcBorders>
          </w:tcPr>
          <w:p w14:paraId="66F9999D"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(0.02)</w:t>
            </w:r>
          </w:p>
        </w:tc>
        <w:tc>
          <w:tcPr>
            <w:tcW w:w="1417" w:type="dxa"/>
            <w:tcBorders>
              <w:top w:val="nil"/>
              <w:left w:val="nil"/>
              <w:bottom w:val="nil"/>
              <w:right w:val="nil"/>
            </w:tcBorders>
          </w:tcPr>
          <w:p w14:paraId="10870992"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(0.02)</w:t>
            </w:r>
          </w:p>
        </w:tc>
        <w:tc>
          <w:tcPr>
            <w:tcW w:w="1417" w:type="dxa"/>
            <w:tcBorders>
              <w:top w:val="nil"/>
              <w:left w:val="nil"/>
              <w:bottom w:val="nil"/>
              <w:right w:val="nil"/>
            </w:tcBorders>
          </w:tcPr>
          <w:p w14:paraId="2786D818"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(0.02)</w:t>
            </w:r>
          </w:p>
        </w:tc>
      </w:tr>
      <w:tr w:rsidR="001A217E" w:rsidRPr="00932BC9" w14:paraId="163A7A4E" w14:textId="77777777" w:rsidTr="001A217E">
        <w:tc>
          <w:tcPr>
            <w:tcW w:w="3969" w:type="dxa"/>
            <w:shd w:val="clear" w:color="auto" w:fill="auto"/>
            <w:vAlign w:val="center"/>
          </w:tcPr>
          <w:p w14:paraId="1B8DED98"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Tobin’s Q</w:t>
            </w:r>
          </w:p>
        </w:tc>
        <w:tc>
          <w:tcPr>
            <w:tcW w:w="1417" w:type="dxa"/>
            <w:tcBorders>
              <w:top w:val="nil"/>
              <w:left w:val="nil"/>
              <w:bottom w:val="nil"/>
              <w:right w:val="nil"/>
            </w:tcBorders>
          </w:tcPr>
          <w:p w14:paraId="2EE0A77A"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-0.005</w:t>
            </w:r>
            <w:r w:rsidRPr="005F6F6D">
              <w:rPr>
                <w:sz w:val="20"/>
                <w:szCs w:val="20"/>
                <w:vertAlign w:val="superscript"/>
              </w:rPr>
              <w:t>**</w:t>
            </w:r>
          </w:p>
        </w:tc>
        <w:tc>
          <w:tcPr>
            <w:tcW w:w="1417" w:type="dxa"/>
            <w:tcBorders>
              <w:top w:val="nil"/>
              <w:left w:val="nil"/>
              <w:bottom w:val="nil"/>
              <w:right w:val="nil"/>
            </w:tcBorders>
          </w:tcPr>
          <w:p w14:paraId="7B85C331"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-0.005</w:t>
            </w:r>
            <w:r w:rsidRPr="005F6F6D">
              <w:rPr>
                <w:sz w:val="20"/>
                <w:szCs w:val="20"/>
                <w:vertAlign w:val="superscript"/>
              </w:rPr>
              <w:t>**</w:t>
            </w:r>
          </w:p>
        </w:tc>
        <w:tc>
          <w:tcPr>
            <w:tcW w:w="1417" w:type="dxa"/>
            <w:tcBorders>
              <w:top w:val="nil"/>
              <w:left w:val="nil"/>
              <w:bottom w:val="nil"/>
              <w:right w:val="nil"/>
            </w:tcBorders>
          </w:tcPr>
          <w:p w14:paraId="559E20C4"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-0.005</w:t>
            </w:r>
            <w:r w:rsidRPr="005F6F6D">
              <w:rPr>
                <w:sz w:val="20"/>
                <w:szCs w:val="20"/>
                <w:vertAlign w:val="superscript"/>
              </w:rPr>
              <w:t>**</w:t>
            </w:r>
          </w:p>
        </w:tc>
        <w:tc>
          <w:tcPr>
            <w:tcW w:w="1417" w:type="dxa"/>
            <w:tcBorders>
              <w:top w:val="nil"/>
              <w:left w:val="nil"/>
              <w:bottom w:val="nil"/>
              <w:right w:val="nil"/>
            </w:tcBorders>
          </w:tcPr>
          <w:p w14:paraId="2E5BE3AF"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-0.005</w:t>
            </w:r>
            <w:r w:rsidRPr="005F6F6D">
              <w:rPr>
                <w:sz w:val="20"/>
                <w:szCs w:val="20"/>
                <w:vertAlign w:val="superscript"/>
              </w:rPr>
              <w:t>*</w:t>
            </w:r>
          </w:p>
        </w:tc>
      </w:tr>
      <w:tr w:rsidR="001A217E" w:rsidRPr="00932BC9" w14:paraId="6AA54B63" w14:textId="77777777" w:rsidTr="001A217E">
        <w:tc>
          <w:tcPr>
            <w:tcW w:w="3969" w:type="dxa"/>
            <w:shd w:val="clear" w:color="auto" w:fill="auto"/>
            <w:vAlign w:val="center"/>
          </w:tcPr>
          <w:p w14:paraId="5C72D1FC"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3BEE8D9C"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49BB6413"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34FB14E7"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1F5DC041"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w:t>
            </w:r>
          </w:p>
        </w:tc>
      </w:tr>
      <w:tr w:rsidR="001A217E" w:rsidRPr="00932BC9" w14:paraId="643DF9B4" w14:textId="77777777" w:rsidTr="001A217E">
        <w:tc>
          <w:tcPr>
            <w:tcW w:w="3969" w:type="dxa"/>
            <w:shd w:val="clear" w:color="auto" w:fill="auto"/>
            <w:vAlign w:val="center"/>
          </w:tcPr>
          <w:p w14:paraId="624A03A2"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Cash</w:t>
            </w:r>
          </w:p>
        </w:tc>
        <w:tc>
          <w:tcPr>
            <w:tcW w:w="1417" w:type="dxa"/>
            <w:tcBorders>
              <w:top w:val="nil"/>
              <w:left w:val="nil"/>
              <w:bottom w:val="nil"/>
              <w:right w:val="nil"/>
            </w:tcBorders>
          </w:tcPr>
          <w:p w14:paraId="4C7A428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0.003</w:t>
            </w:r>
          </w:p>
        </w:tc>
        <w:tc>
          <w:tcPr>
            <w:tcW w:w="1417" w:type="dxa"/>
            <w:tcBorders>
              <w:top w:val="nil"/>
              <w:left w:val="nil"/>
              <w:bottom w:val="nil"/>
              <w:right w:val="nil"/>
            </w:tcBorders>
          </w:tcPr>
          <w:p w14:paraId="09582039"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0.004</w:t>
            </w:r>
          </w:p>
        </w:tc>
        <w:tc>
          <w:tcPr>
            <w:tcW w:w="1417" w:type="dxa"/>
            <w:tcBorders>
              <w:top w:val="nil"/>
              <w:left w:val="nil"/>
              <w:bottom w:val="nil"/>
              <w:right w:val="nil"/>
            </w:tcBorders>
          </w:tcPr>
          <w:p w14:paraId="14D8EDFF"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0.003</w:t>
            </w:r>
          </w:p>
        </w:tc>
        <w:tc>
          <w:tcPr>
            <w:tcW w:w="1417" w:type="dxa"/>
            <w:tcBorders>
              <w:top w:val="nil"/>
              <w:left w:val="nil"/>
              <w:bottom w:val="nil"/>
              <w:right w:val="nil"/>
            </w:tcBorders>
          </w:tcPr>
          <w:p w14:paraId="612F0775"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0.001</w:t>
            </w:r>
          </w:p>
        </w:tc>
      </w:tr>
      <w:tr w:rsidR="001A217E" w:rsidRPr="00932BC9" w14:paraId="09CE8F54" w14:textId="77777777" w:rsidTr="001A217E">
        <w:tc>
          <w:tcPr>
            <w:tcW w:w="3969" w:type="dxa"/>
            <w:shd w:val="clear" w:color="auto" w:fill="auto"/>
            <w:vAlign w:val="center"/>
          </w:tcPr>
          <w:p w14:paraId="38A1654D"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22B81EE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0C874FC7"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3E0C4B6D"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78B66F08"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(0.02)</w:t>
            </w:r>
          </w:p>
        </w:tc>
      </w:tr>
      <w:tr w:rsidR="001A217E" w:rsidRPr="00932BC9" w14:paraId="1E45B9CB" w14:textId="77777777" w:rsidTr="001A217E">
        <w:tc>
          <w:tcPr>
            <w:tcW w:w="3969" w:type="dxa"/>
            <w:shd w:val="clear" w:color="auto" w:fill="auto"/>
            <w:vAlign w:val="center"/>
          </w:tcPr>
          <w:p w14:paraId="545D4216"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Leverage</w:t>
            </w:r>
          </w:p>
        </w:tc>
        <w:tc>
          <w:tcPr>
            <w:tcW w:w="1417" w:type="dxa"/>
            <w:tcBorders>
              <w:top w:val="nil"/>
              <w:left w:val="nil"/>
              <w:bottom w:val="nil"/>
              <w:right w:val="nil"/>
            </w:tcBorders>
          </w:tcPr>
          <w:p w14:paraId="18BD2527"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0.025</w:t>
            </w:r>
            <w:r w:rsidRPr="005F6F6D">
              <w:rPr>
                <w:sz w:val="20"/>
                <w:szCs w:val="20"/>
                <w:vertAlign w:val="superscript"/>
              </w:rPr>
              <w:t>***</w:t>
            </w:r>
          </w:p>
        </w:tc>
        <w:tc>
          <w:tcPr>
            <w:tcW w:w="1417" w:type="dxa"/>
            <w:tcBorders>
              <w:top w:val="nil"/>
              <w:left w:val="nil"/>
              <w:bottom w:val="nil"/>
              <w:right w:val="nil"/>
            </w:tcBorders>
          </w:tcPr>
          <w:p w14:paraId="2B4716DF"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0.026</w:t>
            </w:r>
            <w:r w:rsidRPr="005F6F6D">
              <w:rPr>
                <w:sz w:val="20"/>
                <w:szCs w:val="20"/>
                <w:vertAlign w:val="superscript"/>
              </w:rPr>
              <w:t>***</w:t>
            </w:r>
          </w:p>
        </w:tc>
        <w:tc>
          <w:tcPr>
            <w:tcW w:w="1417" w:type="dxa"/>
            <w:tcBorders>
              <w:top w:val="nil"/>
              <w:left w:val="nil"/>
              <w:bottom w:val="nil"/>
              <w:right w:val="nil"/>
            </w:tcBorders>
          </w:tcPr>
          <w:p w14:paraId="61452A59"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0.026</w:t>
            </w:r>
            <w:r w:rsidRPr="005F6F6D">
              <w:rPr>
                <w:sz w:val="20"/>
                <w:szCs w:val="20"/>
                <w:vertAlign w:val="superscript"/>
              </w:rPr>
              <w:t>***</w:t>
            </w:r>
          </w:p>
        </w:tc>
        <w:tc>
          <w:tcPr>
            <w:tcW w:w="1417" w:type="dxa"/>
            <w:tcBorders>
              <w:top w:val="nil"/>
              <w:left w:val="nil"/>
              <w:bottom w:val="nil"/>
              <w:right w:val="nil"/>
            </w:tcBorders>
          </w:tcPr>
          <w:p w14:paraId="35768128"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0.033</w:t>
            </w:r>
            <w:r w:rsidRPr="005F6F6D">
              <w:rPr>
                <w:sz w:val="20"/>
                <w:szCs w:val="20"/>
                <w:vertAlign w:val="superscript"/>
              </w:rPr>
              <w:t>***</w:t>
            </w:r>
          </w:p>
        </w:tc>
      </w:tr>
      <w:tr w:rsidR="001A217E" w:rsidRPr="00932BC9" w14:paraId="102237A4" w14:textId="77777777" w:rsidTr="001A217E">
        <w:tc>
          <w:tcPr>
            <w:tcW w:w="3969" w:type="dxa"/>
            <w:shd w:val="clear" w:color="auto" w:fill="auto"/>
            <w:vAlign w:val="center"/>
          </w:tcPr>
          <w:p w14:paraId="73F5678D"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28927F04"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171F7A6C"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2DA83D07"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2A3A0D6F"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(0.01)</w:t>
            </w:r>
          </w:p>
        </w:tc>
      </w:tr>
      <w:tr w:rsidR="001A217E" w:rsidRPr="00932BC9" w14:paraId="6D218855" w14:textId="77777777" w:rsidTr="001A217E">
        <w:tc>
          <w:tcPr>
            <w:tcW w:w="3969" w:type="dxa"/>
            <w:shd w:val="clear" w:color="auto" w:fill="auto"/>
            <w:vAlign w:val="center"/>
          </w:tcPr>
          <w:p w14:paraId="0BBD39AA"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CAPX</w:t>
            </w:r>
          </w:p>
        </w:tc>
        <w:tc>
          <w:tcPr>
            <w:tcW w:w="1417" w:type="dxa"/>
            <w:tcBorders>
              <w:top w:val="nil"/>
              <w:left w:val="nil"/>
              <w:bottom w:val="nil"/>
              <w:right w:val="nil"/>
            </w:tcBorders>
          </w:tcPr>
          <w:p w14:paraId="7559F33D"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-0.006</w:t>
            </w:r>
            <w:r w:rsidRPr="005F6F6D">
              <w:rPr>
                <w:sz w:val="20"/>
                <w:szCs w:val="20"/>
                <w:vertAlign w:val="superscript"/>
              </w:rPr>
              <w:t>**</w:t>
            </w:r>
          </w:p>
        </w:tc>
        <w:tc>
          <w:tcPr>
            <w:tcW w:w="1417" w:type="dxa"/>
            <w:tcBorders>
              <w:top w:val="nil"/>
              <w:left w:val="nil"/>
              <w:bottom w:val="nil"/>
              <w:right w:val="nil"/>
            </w:tcBorders>
          </w:tcPr>
          <w:p w14:paraId="16D56C1D"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-0.006</w:t>
            </w:r>
            <w:r w:rsidRPr="005F6F6D">
              <w:rPr>
                <w:sz w:val="20"/>
                <w:szCs w:val="20"/>
                <w:vertAlign w:val="superscript"/>
              </w:rPr>
              <w:t>**</w:t>
            </w:r>
          </w:p>
        </w:tc>
        <w:tc>
          <w:tcPr>
            <w:tcW w:w="1417" w:type="dxa"/>
            <w:tcBorders>
              <w:top w:val="nil"/>
              <w:left w:val="nil"/>
              <w:bottom w:val="nil"/>
              <w:right w:val="nil"/>
            </w:tcBorders>
          </w:tcPr>
          <w:p w14:paraId="14A15F3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-0.006</w:t>
            </w:r>
            <w:r w:rsidRPr="005F6F6D">
              <w:rPr>
                <w:sz w:val="20"/>
                <w:szCs w:val="20"/>
                <w:vertAlign w:val="superscript"/>
              </w:rPr>
              <w:t>**</w:t>
            </w:r>
          </w:p>
        </w:tc>
        <w:tc>
          <w:tcPr>
            <w:tcW w:w="1417" w:type="dxa"/>
            <w:tcBorders>
              <w:top w:val="nil"/>
              <w:left w:val="nil"/>
              <w:bottom w:val="nil"/>
              <w:right w:val="nil"/>
            </w:tcBorders>
          </w:tcPr>
          <w:p w14:paraId="0DCF84AD"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-0.007</w:t>
            </w:r>
            <w:r w:rsidRPr="005F6F6D">
              <w:rPr>
                <w:sz w:val="20"/>
                <w:szCs w:val="20"/>
                <w:vertAlign w:val="superscript"/>
              </w:rPr>
              <w:t>*</w:t>
            </w:r>
          </w:p>
        </w:tc>
      </w:tr>
      <w:tr w:rsidR="001A217E" w:rsidRPr="00932BC9" w14:paraId="70068A60" w14:textId="77777777" w:rsidTr="001A217E">
        <w:tc>
          <w:tcPr>
            <w:tcW w:w="3969" w:type="dxa"/>
            <w:shd w:val="clear" w:color="auto" w:fill="auto"/>
            <w:vAlign w:val="center"/>
          </w:tcPr>
          <w:p w14:paraId="3A781A84"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2C9E1AB0"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48729885"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6F520433"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38780938"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w:t>
            </w:r>
          </w:p>
        </w:tc>
      </w:tr>
      <w:tr w:rsidR="001A217E" w:rsidRPr="00932BC9" w14:paraId="3780C567" w14:textId="77777777" w:rsidTr="001A217E">
        <w:tc>
          <w:tcPr>
            <w:tcW w:w="3969" w:type="dxa"/>
            <w:shd w:val="clear" w:color="auto" w:fill="auto"/>
            <w:vAlign w:val="center"/>
          </w:tcPr>
          <w:p w14:paraId="45F76755"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sidR="00DF0AA9">
              <w:rPr>
                <w:rFonts w:eastAsia="DengXian"/>
                <w:sz w:val="20"/>
                <w:szCs w:val="20"/>
                <w:lang w:eastAsia="zh-CN"/>
              </w:rPr>
              <w:t>(F</w:t>
            </w:r>
            <w:r w:rsidRPr="002B3BA8">
              <w:rPr>
                <w:rFonts w:eastAsia="DengXian"/>
                <w:sz w:val="20"/>
                <w:szCs w:val="20"/>
                <w:lang w:eastAsia="zh-CN"/>
              </w:rPr>
              <w:t>acility amount</w:t>
            </w:r>
            <w:r w:rsidR="00DF0AA9">
              <w:rPr>
                <w:rFonts w:eastAsia="DengXian"/>
                <w:sz w:val="20"/>
                <w:szCs w:val="20"/>
                <w:lang w:eastAsia="zh-CN"/>
              </w:rPr>
              <w:t>)</w:t>
            </w:r>
          </w:p>
        </w:tc>
        <w:tc>
          <w:tcPr>
            <w:tcW w:w="1417" w:type="dxa"/>
            <w:tcBorders>
              <w:top w:val="nil"/>
              <w:left w:val="nil"/>
              <w:bottom w:val="nil"/>
              <w:right w:val="nil"/>
            </w:tcBorders>
          </w:tcPr>
          <w:p w14:paraId="3F43F56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0.016</w:t>
            </w:r>
            <w:r w:rsidRPr="005F6F6D">
              <w:rPr>
                <w:sz w:val="20"/>
                <w:szCs w:val="20"/>
                <w:vertAlign w:val="superscript"/>
              </w:rPr>
              <w:t>***</w:t>
            </w:r>
          </w:p>
        </w:tc>
        <w:tc>
          <w:tcPr>
            <w:tcW w:w="1417" w:type="dxa"/>
            <w:tcBorders>
              <w:top w:val="nil"/>
              <w:left w:val="nil"/>
              <w:bottom w:val="nil"/>
              <w:right w:val="nil"/>
            </w:tcBorders>
          </w:tcPr>
          <w:p w14:paraId="2D2B56BA"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0.016</w:t>
            </w:r>
            <w:r w:rsidRPr="005F6F6D">
              <w:rPr>
                <w:sz w:val="20"/>
                <w:szCs w:val="20"/>
                <w:vertAlign w:val="superscript"/>
              </w:rPr>
              <w:t>***</w:t>
            </w:r>
          </w:p>
        </w:tc>
        <w:tc>
          <w:tcPr>
            <w:tcW w:w="1417" w:type="dxa"/>
            <w:tcBorders>
              <w:top w:val="nil"/>
              <w:left w:val="nil"/>
              <w:bottom w:val="nil"/>
              <w:right w:val="nil"/>
            </w:tcBorders>
          </w:tcPr>
          <w:p w14:paraId="72AAE845"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0.016</w:t>
            </w:r>
            <w:r w:rsidRPr="005F6F6D">
              <w:rPr>
                <w:sz w:val="20"/>
                <w:szCs w:val="20"/>
                <w:vertAlign w:val="superscript"/>
              </w:rPr>
              <w:t>***</w:t>
            </w:r>
          </w:p>
        </w:tc>
        <w:tc>
          <w:tcPr>
            <w:tcW w:w="1417" w:type="dxa"/>
            <w:tcBorders>
              <w:top w:val="nil"/>
              <w:left w:val="nil"/>
              <w:bottom w:val="nil"/>
              <w:right w:val="nil"/>
            </w:tcBorders>
          </w:tcPr>
          <w:p w14:paraId="219DA2F1"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0.014</w:t>
            </w:r>
            <w:r w:rsidRPr="005F6F6D">
              <w:rPr>
                <w:sz w:val="20"/>
                <w:szCs w:val="20"/>
                <w:vertAlign w:val="superscript"/>
              </w:rPr>
              <w:t>***</w:t>
            </w:r>
          </w:p>
        </w:tc>
      </w:tr>
      <w:tr w:rsidR="001A217E" w:rsidRPr="00932BC9" w14:paraId="4D84A24C" w14:textId="77777777" w:rsidTr="001A217E">
        <w:tc>
          <w:tcPr>
            <w:tcW w:w="3969" w:type="dxa"/>
            <w:shd w:val="clear" w:color="auto" w:fill="auto"/>
            <w:vAlign w:val="center"/>
          </w:tcPr>
          <w:p w14:paraId="6221CFB1"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462999E2"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4501521C"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5EB7E24C"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4F716D8D"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w:t>
            </w:r>
          </w:p>
        </w:tc>
      </w:tr>
      <w:tr w:rsidR="001A217E" w:rsidRPr="00932BC9" w14:paraId="7F156B5B" w14:textId="77777777" w:rsidTr="001A217E">
        <w:tc>
          <w:tcPr>
            <w:tcW w:w="3969" w:type="dxa"/>
            <w:shd w:val="clear" w:color="auto" w:fill="auto"/>
            <w:vAlign w:val="center"/>
          </w:tcPr>
          <w:p w14:paraId="745322E9"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sidR="00DF0AA9">
              <w:rPr>
                <w:rFonts w:eastAsia="DengXian"/>
                <w:sz w:val="20"/>
                <w:szCs w:val="20"/>
                <w:lang w:eastAsia="zh-CN"/>
              </w:rPr>
              <w:t>(F</w:t>
            </w:r>
            <w:r w:rsidRPr="002B3BA8">
              <w:rPr>
                <w:rFonts w:eastAsia="DengXian"/>
                <w:sz w:val="20"/>
                <w:szCs w:val="20"/>
                <w:lang w:eastAsia="zh-CN"/>
              </w:rPr>
              <w:t>acility maturity</w:t>
            </w:r>
            <w:r w:rsidR="00DF0AA9">
              <w:rPr>
                <w:rFonts w:eastAsia="DengXian"/>
                <w:sz w:val="20"/>
                <w:szCs w:val="20"/>
                <w:lang w:eastAsia="zh-CN"/>
              </w:rPr>
              <w:t>)</w:t>
            </w:r>
          </w:p>
        </w:tc>
        <w:tc>
          <w:tcPr>
            <w:tcW w:w="1417" w:type="dxa"/>
            <w:tcBorders>
              <w:top w:val="nil"/>
              <w:left w:val="nil"/>
              <w:bottom w:val="nil"/>
              <w:right w:val="nil"/>
            </w:tcBorders>
          </w:tcPr>
          <w:p w14:paraId="346F34AA"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-0.007</w:t>
            </w:r>
            <w:r w:rsidRPr="005F6F6D">
              <w:rPr>
                <w:sz w:val="20"/>
                <w:szCs w:val="20"/>
                <w:vertAlign w:val="superscript"/>
              </w:rPr>
              <w:t>*</w:t>
            </w:r>
          </w:p>
        </w:tc>
        <w:tc>
          <w:tcPr>
            <w:tcW w:w="1417" w:type="dxa"/>
            <w:tcBorders>
              <w:top w:val="nil"/>
              <w:left w:val="nil"/>
              <w:bottom w:val="nil"/>
              <w:right w:val="nil"/>
            </w:tcBorders>
          </w:tcPr>
          <w:p w14:paraId="29442684"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-0.007</w:t>
            </w:r>
            <w:r w:rsidRPr="005F6F6D">
              <w:rPr>
                <w:sz w:val="20"/>
                <w:szCs w:val="20"/>
                <w:vertAlign w:val="superscript"/>
              </w:rPr>
              <w:t>*</w:t>
            </w:r>
          </w:p>
        </w:tc>
        <w:tc>
          <w:tcPr>
            <w:tcW w:w="1417" w:type="dxa"/>
            <w:tcBorders>
              <w:top w:val="nil"/>
              <w:left w:val="nil"/>
              <w:bottom w:val="nil"/>
              <w:right w:val="nil"/>
            </w:tcBorders>
          </w:tcPr>
          <w:p w14:paraId="368657B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-0.007</w:t>
            </w:r>
            <w:r w:rsidRPr="005F6F6D">
              <w:rPr>
                <w:sz w:val="20"/>
                <w:szCs w:val="20"/>
                <w:vertAlign w:val="superscript"/>
              </w:rPr>
              <w:t>*</w:t>
            </w:r>
          </w:p>
        </w:tc>
        <w:tc>
          <w:tcPr>
            <w:tcW w:w="1417" w:type="dxa"/>
            <w:tcBorders>
              <w:top w:val="nil"/>
              <w:left w:val="nil"/>
              <w:bottom w:val="nil"/>
              <w:right w:val="nil"/>
            </w:tcBorders>
          </w:tcPr>
          <w:p w14:paraId="5AE0D9EE"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-0.005</w:t>
            </w:r>
          </w:p>
        </w:tc>
      </w:tr>
      <w:tr w:rsidR="001A217E" w:rsidRPr="00932BC9" w14:paraId="16EE5D90" w14:textId="77777777" w:rsidTr="001A217E">
        <w:tc>
          <w:tcPr>
            <w:tcW w:w="3969" w:type="dxa"/>
            <w:shd w:val="clear" w:color="auto" w:fill="auto"/>
            <w:vAlign w:val="center"/>
          </w:tcPr>
          <w:p w14:paraId="73C47179"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5242330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50AD82EA"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2B843B41"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0AE1E3D7"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w:t>
            </w:r>
          </w:p>
        </w:tc>
      </w:tr>
      <w:tr w:rsidR="001A217E" w:rsidRPr="00932BC9" w14:paraId="4474D857" w14:textId="77777777" w:rsidTr="001A217E">
        <w:tc>
          <w:tcPr>
            <w:tcW w:w="3969" w:type="dxa"/>
            <w:shd w:val="clear" w:color="auto" w:fill="auto"/>
            <w:vAlign w:val="center"/>
          </w:tcPr>
          <w:p w14:paraId="51882877"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sidR="00DF0AA9">
              <w:rPr>
                <w:rFonts w:eastAsia="DengXian"/>
                <w:sz w:val="20"/>
                <w:szCs w:val="20"/>
                <w:lang w:eastAsia="zh-CN"/>
              </w:rPr>
              <w:t>(N</w:t>
            </w:r>
            <w:r w:rsidRPr="002B3BA8">
              <w:rPr>
                <w:rFonts w:eastAsia="DengXian"/>
                <w:sz w:val="20"/>
                <w:szCs w:val="20"/>
                <w:lang w:eastAsia="zh-CN"/>
              </w:rPr>
              <w:t>umber of banks</w:t>
            </w:r>
            <w:r w:rsidR="00DF0AA9">
              <w:rPr>
                <w:rFonts w:eastAsia="DengXian"/>
                <w:sz w:val="20"/>
                <w:szCs w:val="20"/>
                <w:lang w:eastAsia="zh-CN"/>
              </w:rPr>
              <w:t>)</w:t>
            </w:r>
          </w:p>
        </w:tc>
        <w:tc>
          <w:tcPr>
            <w:tcW w:w="1417" w:type="dxa"/>
            <w:tcBorders>
              <w:top w:val="nil"/>
              <w:left w:val="nil"/>
              <w:bottom w:val="nil"/>
              <w:right w:val="nil"/>
            </w:tcBorders>
          </w:tcPr>
          <w:p w14:paraId="6F853E2F"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-0.392</w:t>
            </w:r>
            <w:r w:rsidRPr="005F6F6D">
              <w:rPr>
                <w:sz w:val="20"/>
                <w:szCs w:val="20"/>
                <w:vertAlign w:val="superscript"/>
              </w:rPr>
              <w:t>***</w:t>
            </w:r>
          </w:p>
        </w:tc>
        <w:tc>
          <w:tcPr>
            <w:tcW w:w="1417" w:type="dxa"/>
            <w:tcBorders>
              <w:top w:val="nil"/>
              <w:left w:val="nil"/>
              <w:bottom w:val="nil"/>
              <w:right w:val="nil"/>
            </w:tcBorders>
          </w:tcPr>
          <w:p w14:paraId="65AF92EC"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-0.392</w:t>
            </w:r>
            <w:r w:rsidRPr="005F6F6D">
              <w:rPr>
                <w:sz w:val="20"/>
                <w:szCs w:val="20"/>
                <w:vertAlign w:val="superscript"/>
              </w:rPr>
              <w:t>***</w:t>
            </w:r>
          </w:p>
        </w:tc>
        <w:tc>
          <w:tcPr>
            <w:tcW w:w="1417" w:type="dxa"/>
            <w:tcBorders>
              <w:top w:val="nil"/>
              <w:left w:val="nil"/>
              <w:bottom w:val="nil"/>
              <w:right w:val="nil"/>
            </w:tcBorders>
          </w:tcPr>
          <w:p w14:paraId="1BA45FB2"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-0.392</w:t>
            </w:r>
            <w:r w:rsidRPr="005F6F6D">
              <w:rPr>
                <w:sz w:val="20"/>
                <w:szCs w:val="20"/>
                <w:vertAlign w:val="superscript"/>
              </w:rPr>
              <w:t>***</w:t>
            </w:r>
          </w:p>
        </w:tc>
        <w:tc>
          <w:tcPr>
            <w:tcW w:w="1417" w:type="dxa"/>
            <w:tcBorders>
              <w:top w:val="nil"/>
              <w:left w:val="nil"/>
              <w:bottom w:val="nil"/>
              <w:right w:val="nil"/>
            </w:tcBorders>
          </w:tcPr>
          <w:p w14:paraId="0BF80217"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-0.357</w:t>
            </w:r>
            <w:r w:rsidRPr="005F6F6D">
              <w:rPr>
                <w:sz w:val="20"/>
                <w:szCs w:val="20"/>
                <w:vertAlign w:val="superscript"/>
              </w:rPr>
              <w:t>***</w:t>
            </w:r>
          </w:p>
        </w:tc>
      </w:tr>
      <w:tr w:rsidR="001A217E" w:rsidRPr="00932BC9" w14:paraId="42A7E49A" w14:textId="77777777" w:rsidTr="001A217E">
        <w:tc>
          <w:tcPr>
            <w:tcW w:w="3969" w:type="dxa"/>
            <w:shd w:val="clear" w:color="auto" w:fill="auto"/>
            <w:vAlign w:val="center"/>
          </w:tcPr>
          <w:p w14:paraId="519C4CFC"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74422F0B"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2A13AE7C"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50199DB1"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01C3768E"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(0.01)</w:t>
            </w:r>
          </w:p>
        </w:tc>
      </w:tr>
      <w:tr w:rsidR="001A217E" w:rsidRPr="00932BC9" w14:paraId="114218F4" w14:textId="77777777" w:rsidTr="001A217E">
        <w:tc>
          <w:tcPr>
            <w:tcW w:w="3969" w:type="dxa"/>
            <w:shd w:val="clear" w:color="auto" w:fill="auto"/>
            <w:vAlign w:val="center"/>
          </w:tcPr>
          <w:p w14:paraId="3DF9B892"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Institutional investor</w:t>
            </w:r>
          </w:p>
        </w:tc>
        <w:tc>
          <w:tcPr>
            <w:tcW w:w="1417" w:type="dxa"/>
            <w:tcBorders>
              <w:top w:val="nil"/>
              <w:left w:val="nil"/>
              <w:bottom w:val="nil"/>
              <w:right w:val="nil"/>
            </w:tcBorders>
          </w:tcPr>
          <w:p w14:paraId="302A949A"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0.000</w:t>
            </w:r>
          </w:p>
        </w:tc>
        <w:tc>
          <w:tcPr>
            <w:tcW w:w="1417" w:type="dxa"/>
            <w:tcBorders>
              <w:top w:val="nil"/>
              <w:left w:val="nil"/>
              <w:bottom w:val="nil"/>
              <w:right w:val="nil"/>
            </w:tcBorders>
          </w:tcPr>
          <w:p w14:paraId="6C93B06F"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0.000</w:t>
            </w:r>
          </w:p>
        </w:tc>
        <w:tc>
          <w:tcPr>
            <w:tcW w:w="1417" w:type="dxa"/>
            <w:tcBorders>
              <w:top w:val="nil"/>
              <w:left w:val="nil"/>
              <w:bottom w:val="nil"/>
              <w:right w:val="nil"/>
            </w:tcBorders>
          </w:tcPr>
          <w:p w14:paraId="78E48004"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0.000</w:t>
            </w:r>
          </w:p>
        </w:tc>
        <w:tc>
          <w:tcPr>
            <w:tcW w:w="1417" w:type="dxa"/>
            <w:tcBorders>
              <w:top w:val="nil"/>
              <w:left w:val="nil"/>
              <w:bottom w:val="nil"/>
              <w:right w:val="nil"/>
            </w:tcBorders>
          </w:tcPr>
          <w:p w14:paraId="711016A8"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0.004</w:t>
            </w:r>
          </w:p>
        </w:tc>
      </w:tr>
      <w:tr w:rsidR="001A217E" w:rsidRPr="00932BC9" w14:paraId="5D351E53" w14:textId="77777777" w:rsidTr="001A217E">
        <w:tc>
          <w:tcPr>
            <w:tcW w:w="3969" w:type="dxa"/>
            <w:shd w:val="clear" w:color="auto" w:fill="auto"/>
            <w:vAlign w:val="center"/>
          </w:tcPr>
          <w:p w14:paraId="2FC40E1A"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0F5DBD89"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1A3CEC31"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2E3DC8DA"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(0.00)</w:t>
            </w:r>
          </w:p>
        </w:tc>
        <w:tc>
          <w:tcPr>
            <w:tcW w:w="1417" w:type="dxa"/>
            <w:tcBorders>
              <w:top w:val="nil"/>
              <w:left w:val="nil"/>
              <w:bottom w:val="nil"/>
              <w:right w:val="nil"/>
            </w:tcBorders>
          </w:tcPr>
          <w:p w14:paraId="134F1DC1"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(0.00)</w:t>
            </w:r>
          </w:p>
        </w:tc>
      </w:tr>
      <w:tr w:rsidR="001A217E" w:rsidRPr="00932BC9" w14:paraId="71A02397" w14:textId="77777777" w:rsidTr="001A217E">
        <w:tc>
          <w:tcPr>
            <w:tcW w:w="3969" w:type="dxa"/>
            <w:shd w:val="clear" w:color="auto" w:fill="auto"/>
            <w:vAlign w:val="center"/>
          </w:tcPr>
          <w:p w14:paraId="59D92C3E"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Non-US dollar facility</w:t>
            </w:r>
          </w:p>
        </w:tc>
        <w:tc>
          <w:tcPr>
            <w:tcW w:w="1417" w:type="dxa"/>
            <w:tcBorders>
              <w:top w:val="nil"/>
              <w:left w:val="nil"/>
              <w:bottom w:val="nil"/>
              <w:right w:val="nil"/>
            </w:tcBorders>
          </w:tcPr>
          <w:p w14:paraId="7B833B69"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0.014</w:t>
            </w:r>
          </w:p>
        </w:tc>
        <w:tc>
          <w:tcPr>
            <w:tcW w:w="1417" w:type="dxa"/>
            <w:tcBorders>
              <w:top w:val="nil"/>
              <w:left w:val="nil"/>
              <w:bottom w:val="nil"/>
              <w:right w:val="nil"/>
            </w:tcBorders>
          </w:tcPr>
          <w:p w14:paraId="748B12C4"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0.015</w:t>
            </w:r>
          </w:p>
        </w:tc>
        <w:tc>
          <w:tcPr>
            <w:tcW w:w="1417" w:type="dxa"/>
            <w:tcBorders>
              <w:top w:val="nil"/>
              <w:left w:val="nil"/>
              <w:bottom w:val="nil"/>
              <w:right w:val="nil"/>
            </w:tcBorders>
          </w:tcPr>
          <w:p w14:paraId="165BF180"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0.014</w:t>
            </w:r>
          </w:p>
        </w:tc>
        <w:tc>
          <w:tcPr>
            <w:tcW w:w="1417" w:type="dxa"/>
            <w:tcBorders>
              <w:top w:val="nil"/>
              <w:left w:val="nil"/>
              <w:bottom w:val="nil"/>
              <w:right w:val="nil"/>
            </w:tcBorders>
          </w:tcPr>
          <w:p w14:paraId="604C7E8F"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-0.013</w:t>
            </w:r>
          </w:p>
        </w:tc>
      </w:tr>
      <w:tr w:rsidR="001A217E" w:rsidRPr="00932BC9" w14:paraId="60D1C549" w14:textId="77777777" w:rsidTr="001A217E">
        <w:tc>
          <w:tcPr>
            <w:tcW w:w="3969" w:type="dxa"/>
            <w:shd w:val="clear" w:color="auto" w:fill="auto"/>
            <w:vAlign w:val="center"/>
          </w:tcPr>
          <w:p w14:paraId="27824A6C"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4C6DE0BC"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2E535B6C"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4EE710E1"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(0.01)</w:t>
            </w:r>
          </w:p>
        </w:tc>
        <w:tc>
          <w:tcPr>
            <w:tcW w:w="1417" w:type="dxa"/>
            <w:tcBorders>
              <w:top w:val="nil"/>
              <w:left w:val="nil"/>
              <w:bottom w:val="nil"/>
              <w:right w:val="nil"/>
            </w:tcBorders>
          </w:tcPr>
          <w:p w14:paraId="117F6EFE"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(0.01)</w:t>
            </w:r>
          </w:p>
        </w:tc>
      </w:tr>
      <w:tr w:rsidR="001A217E" w:rsidRPr="00932BC9" w14:paraId="1275C3C9" w14:textId="77777777" w:rsidTr="001A217E">
        <w:tc>
          <w:tcPr>
            <w:tcW w:w="3969" w:type="dxa"/>
            <w:shd w:val="clear" w:color="auto" w:fill="auto"/>
            <w:vAlign w:val="center"/>
          </w:tcPr>
          <w:p w14:paraId="6A8A7881"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Loan portfolio exposure</w:t>
            </w:r>
          </w:p>
        </w:tc>
        <w:tc>
          <w:tcPr>
            <w:tcW w:w="1417" w:type="dxa"/>
            <w:tcBorders>
              <w:top w:val="nil"/>
              <w:left w:val="nil"/>
              <w:bottom w:val="nil"/>
              <w:right w:val="nil"/>
            </w:tcBorders>
          </w:tcPr>
          <w:p w14:paraId="5D3DD7C9"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0.094</w:t>
            </w:r>
            <w:r w:rsidRPr="005F6F6D">
              <w:rPr>
                <w:sz w:val="20"/>
                <w:szCs w:val="20"/>
                <w:vertAlign w:val="superscript"/>
              </w:rPr>
              <w:t>***</w:t>
            </w:r>
          </w:p>
        </w:tc>
        <w:tc>
          <w:tcPr>
            <w:tcW w:w="1417" w:type="dxa"/>
            <w:tcBorders>
              <w:top w:val="nil"/>
              <w:left w:val="nil"/>
              <w:bottom w:val="nil"/>
              <w:right w:val="nil"/>
            </w:tcBorders>
          </w:tcPr>
          <w:p w14:paraId="288C1B94"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0.094</w:t>
            </w:r>
            <w:r w:rsidRPr="005F6F6D">
              <w:rPr>
                <w:sz w:val="20"/>
                <w:szCs w:val="20"/>
                <w:vertAlign w:val="superscript"/>
              </w:rPr>
              <w:t>***</w:t>
            </w:r>
          </w:p>
        </w:tc>
        <w:tc>
          <w:tcPr>
            <w:tcW w:w="1417" w:type="dxa"/>
            <w:tcBorders>
              <w:top w:val="nil"/>
              <w:left w:val="nil"/>
              <w:bottom w:val="nil"/>
              <w:right w:val="nil"/>
            </w:tcBorders>
          </w:tcPr>
          <w:p w14:paraId="220AC346"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0.094</w:t>
            </w:r>
            <w:r w:rsidRPr="005F6F6D">
              <w:rPr>
                <w:sz w:val="20"/>
                <w:szCs w:val="20"/>
                <w:vertAlign w:val="superscript"/>
              </w:rPr>
              <w:t>***</w:t>
            </w:r>
          </w:p>
        </w:tc>
        <w:tc>
          <w:tcPr>
            <w:tcW w:w="1417" w:type="dxa"/>
            <w:tcBorders>
              <w:top w:val="nil"/>
              <w:left w:val="nil"/>
              <w:bottom w:val="nil"/>
              <w:right w:val="nil"/>
            </w:tcBorders>
          </w:tcPr>
          <w:p w14:paraId="11F22B5A"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0.066</w:t>
            </w:r>
            <w:r w:rsidRPr="005F6F6D">
              <w:rPr>
                <w:sz w:val="20"/>
                <w:szCs w:val="20"/>
                <w:vertAlign w:val="superscript"/>
              </w:rPr>
              <w:t>**</w:t>
            </w:r>
          </w:p>
        </w:tc>
      </w:tr>
      <w:tr w:rsidR="001A217E" w:rsidRPr="00932BC9" w14:paraId="4F31EC10" w14:textId="77777777" w:rsidTr="001A217E">
        <w:tc>
          <w:tcPr>
            <w:tcW w:w="3969" w:type="dxa"/>
            <w:shd w:val="clear" w:color="auto" w:fill="auto"/>
            <w:vAlign w:val="center"/>
          </w:tcPr>
          <w:p w14:paraId="4AE4B050" w14:textId="77777777" w:rsidR="001A217E" w:rsidRPr="002B3BA8" w:rsidRDefault="001A217E" w:rsidP="001A217E">
            <w:pPr>
              <w:widowControl w:val="0"/>
              <w:autoSpaceDE w:val="0"/>
              <w:autoSpaceDN w:val="0"/>
              <w:adjustRightInd w:val="0"/>
              <w:jc w:val="center"/>
              <w:rPr>
                <w:rFonts w:eastAsia="DengXian"/>
                <w:sz w:val="20"/>
                <w:szCs w:val="20"/>
                <w:lang w:eastAsia="zh-CN"/>
              </w:rPr>
            </w:pPr>
          </w:p>
        </w:tc>
        <w:tc>
          <w:tcPr>
            <w:tcW w:w="1417" w:type="dxa"/>
            <w:tcBorders>
              <w:top w:val="nil"/>
              <w:left w:val="nil"/>
              <w:bottom w:val="nil"/>
              <w:right w:val="nil"/>
            </w:tcBorders>
          </w:tcPr>
          <w:p w14:paraId="424CD30A"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(0.03)</w:t>
            </w:r>
          </w:p>
        </w:tc>
        <w:tc>
          <w:tcPr>
            <w:tcW w:w="1417" w:type="dxa"/>
            <w:tcBorders>
              <w:top w:val="nil"/>
              <w:left w:val="nil"/>
              <w:bottom w:val="nil"/>
              <w:right w:val="nil"/>
            </w:tcBorders>
          </w:tcPr>
          <w:p w14:paraId="184908A4"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(0.03)</w:t>
            </w:r>
          </w:p>
        </w:tc>
        <w:tc>
          <w:tcPr>
            <w:tcW w:w="1417" w:type="dxa"/>
            <w:tcBorders>
              <w:top w:val="nil"/>
              <w:left w:val="nil"/>
              <w:bottom w:val="nil"/>
              <w:right w:val="nil"/>
            </w:tcBorders>
          </w:tcPr>
          <w:p w14:paraId="44DD4588"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(0.03)</w:t>
            </w:r>
          </w:p>
        </w:tc>
        <w:tc>
          <w:tcPr>
            <w:tcW w:w="1417" w:type="dxa"/>
            <w:tcBorders>
              <w:top w:val="nil"/>
              <w:left w:val="nil"/>
              <w:bottom w:val="nil"/>
              <w:right w:val="nil"/>
            </w:tcBorders>
          </w:tcPr>
          <w:p w14:paraId="77C156F5" w14:textId="77777777" w:rsidR="001A217E" w:rsidRPr="005F6F6D" w:rsidRDefault="001A217E" w:rsidP="001A217E">
            <w:pPr>
              <w:widowControl w:val="0"/>
              <w:autoSpaceDE w:val="0"/>
              <w:autoSpaceDN w:val="0"/>
              <w:adjustRightInd w:val="0"/>
              <w:jc w:val="center"/>
              <w:rPr>
                <w:sz w:val="20"/>
                <w:szCs w:val="20"/>
              </w:rPr>
            </w:pPr>
            <w:r w:rsidRPr="005F6F6D">
              <w:rPr>
                <w:sz w:val="20"/>
                <w:szCs w:val="20"/>
              </w:rPr>
              <w:t>(0.03)</w:t>
            </w:r>
          </w:p>
        </w:tc>
      </w:tr>
      <w:tr w:rsidR="001A217E" w:rsidRPr="00932BC9" w14:paraId="3FFABA8F" w14:textId="77777777" w:rsidTr="001A217E">
        <w:tc>
          <w:tcPr>
            <w:tcW w:w="3969" w:type="dxa"/>
            <w:vAlign w:val="center"/>
          </w:tcPr>
          <w:p w14:paraId="493A13C7"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Bank FE</w:t>
            </w:r>
          </w:p>
        </w:tc>
        <w:tc>
          <w:tcPr>
            <w:tcW w:w="1417" w:type="dxa"/>
            <w:tcBorders>
              <w:top w:val="single" w:sz="4" w:space="0" w:color="auto"/>
            </w:tcBorders>
            <w:vAlign w:val="center"/>
          </w:tcPr>
          <w:p w14:paraId="54159DB2"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c>
          <w:tcPr>
            <w:tcW w:w="1417" w:type="dxa"/>
            <w:tcBorders>
              <w:top w:val="single" w:sz="4" w:space="0" w:color="auto"/>
            </w:tcBorders>
            <w:vAlign w:val="center"/>
          </w:tcPr>
          <w:p w14:paraId="5C4F9EC9"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c>
          <w:tcPr>
            <w:tcW w:w="1417" w:type="dxa"/>
            <w:tcBorders>
              <w:top w:val="single" w:sz="4" w:space="0" w:color="auto"/>
            </w:tcBorders>
            <w:vAlign w:val="center"/>
          </w:tcPr>
          <w:p w14:paraId="758B7F26"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c>
          <w:tcPr>
            <w:tcW w:w="1417" w:type="dxa"/>
            <w:tcBorders>
              <w:top w:val="single" w:sz="4" w:space="0" w:color="auto"/>
            </w:tcBorders>
            <w:vAlign w:val="center"/>
          </w:tcPr>
          <w:p w14:paraId="0399D7DC"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r>
      <w:tr w:rsidR="001A217E" w:rsidRPr="00932BC9" w14:paraId="10B2AFCE" w14:textId="77777777" w:rsidTr="001A217E">
        <w:tc>
          <w:tcPr>
            <w:tcW w:w="3969" w:type="dxa"/>
            <w:vAlign w:val="center"/>
          </w:tcPr>
          <w:p w14:paraId="10D3DD2A"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Borrower sector FE</w:t>
            </w:r>
          </w:p>
        </w:tc>
        <w:tc>
          <w:tcPr>
            <w:tcW w:w="1417" w:type="dxa"/>
            <w:vAlign w:val="center"/>
          </w:tcPr>
          <w:p w14:paraId="2AD8463D"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c>
          <w:tcPr>
            <w:tcW w:w="1417" w:type="dxa"/>
            <w:vAlign w:val="center"/>
          </w:tcPr>
          <w:p w14:paraId="460B4B8E"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c>
          <w:tcPr>
            <w:tcW w:w="1417" w:type="dxa"/>
            <w:vAlign w:val="center"/>
          </w:tcPr>
          <w:p w14:paraId="3A5E65AC"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c>
          <w:tcPr>
            <w:tcW w:w="1417" w:type="dxa"/>
            <w:vAlign w:val="center"/>
          </w:tcPr>
          <w:p w14:paraId="526F3E37"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r>
      <w:tr w:rsidR="001A217E" w:rsidRPr="00932BC9" w14:paraId="270D36D3" w14:textId="77777777" w:rsidTr="001A217E">
        <w:tc>
          <w:tcPr>
            <w:tcW w:w="3969" w:type="dxa"/>
            <w:vAlign w:val="center"/>
          </w:tcPr>
          <w:p w14:paraId="320F33ED"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Year FE</w:t>
            </w:r>
          </w:p>
        </w:tc>
        <w:tc>
          <w:tcPr>
            <w:tcW w:w="1417" w:type="dxa"/>
            <w:vAlign w:val="center"/>
          </w:tcPr>
          <w:p w14:paraId="0C47C685"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c>
          <w:tcPr>
            <w:tcW w:w="1417" w:type="dxa"/>
            <w:vAlign w:val="center"/>
          </w:tcPr>
          <w:p w14:paraId="3897915E"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c>
          <w:tcPr>
            <w:tcW w:w="1417" w:type="dxa"/>
            <w:vAlign w:val="center"/>
          </w:tcPr>
          <w:p w14:paraId="29B08DB4"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c>
          <w:tcPr>
            <w:tcW w:w="1417" w:type="dxa"/>
            <w:vAlign w:val="center"/>
          </w:tcPr>
          <w:p w14:paraId="753901F6"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Yes</w:t>
            </w:r>
          </w:p>
        </w:tc>
      </w:tr>
      <w:tr w:rsidR="001A217E" w:rsidRPr="00932BC9" w14:paraId="3FE71BB0" w14:textId="77777777" w:rsidTr="001A217E">
        <w:tc>
          <w:tcPr>
            <w:tcW w:w="3969" w:type="dxa"/>
            <w:vAlign w:val="center"/>
          </w:tcPr>
          <w:p w14:paraId="40FD0B41"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Adjusted R2</w:t>
            </w:r>
          </w:p>
        </w:tc>
        <w:tc>
          <w:tcPr>
            <w:tcW w:w="1417" w:type="dxa"/>
            <w:tcBorders>
              <w:left w:val="nil"/>
              <w:bottom w:val="nil"/>
              <w:right w:val="nil"/>
            </w:tcBorders>
          </w:tcPr>
          <w:p w14:paraId="46A584D8"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0.756</w:t>
            </w:r>
          </w:p>
        </w:tc>
        <w:tc>
          <w:tcPr>
            <w:tcW w:w="1417" w:type="dxa"/>
            <w:tcBorders>
              <w:left w:val="nil"/>
              <w:bottom w:val="nil"/>
              <w:right w:val="nil"/>
            </w:tcBorders>
          </w:tcPr>
          <w:p w14:paraId="56E63034"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0.756</w:t>
            </w:r>
          </w:p>
        </w:tc>
        <w:tc>
          <w:tcPr>
            <w:tcW w:w="1417" w:type="dxa"/>
            <w:tcBorders>
              <w:left w:val="nil"/>
              <w:bottom w:val="nil"/>
              <w:right w:val="nil"/>
            </w:tcBorders>
          </w:tcPr>
          <w:p w14:paraId="57D41DA5"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0.756</w:t>
            </w:r>
          </w:p>
        </w:tc>
        <w:tc>
          <w:tcPr>
            <w:tcW w:w="1417" w:type="dxa"/>
            <w:tcBorders>
              <w:left w:val="nil"/>
              <w:bottom w:val="nil"/>
              <w:right w:val="nil"/>
            </w:tcBorders>
          </w:tcPr>
          <w:p w14:paraId="7F822C36"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0.770</w:t>
            </w:r>
          </w:p>
        </w:tc>
      </w:tr>
      <w:tr w:rsidR="001A217E" w:rsidRPr="00932BC9" w14:paraId="491B67F9" w14:textId="77777777" w:rsidTr="001A217E">
        <w:tc>
          <w:tcPr>
            <w:tcW w:w="3969" w:type="dxa"/>
            <w:tcBorders>
              <w:bottom w:val="single" w:sz="4" w:space="0" w:color="auto"/>
            </w:tcBorders>
            <w:vAlign w:val="center"/>
          </w:tcPr>
          <w:p w14:paraId="201E0362" w14:textId="77777777" w:rsidR="001A217E" w:rsidRPr="002B3BA8" w:rsidRDefault="001A217E" w:rsidP="001A217E">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Obs.</w:t>
            </w:r>
          </w:p>
        </w:tc>
        <w:tc>
          <w:tcPr>
            <w:tcW w:w="1417" w:type="dxa"/>
            <w:tcBorders>
              <w:top w:val="nil"/>
              <w:left w:val="nil"/>
              <w:bottom w:val="single" w:sz="4" w:space="0" w:color="auto"/>
              <w:right w:val="nil"/>
            </w:tcBorders>
          </w:tcPr>
          <w:p w14:paraId="3A749547"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9307.000</w:t>
            </w:r>
          </w:p>
        </w:tc>
        <w:tc>
          <w:tcPr>
            <w:tcW w:w="1417" w:type="dxa"/>
            <w:tcBorders>
              <w:top w:val="nil"/>
              <w:left w:val="nil"/>
              <w:bottom w:val="single" w:sz="4" w:space="0" w:color="auto"/>
              <w:right w:val="nil"/>
            </w:tcBorders>
          </w:tcPr>
          <w:p w14:paraId="258F93FE"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9307.000</w:t>
            </w:r>
          </w:p>
        </w:tc>
        <w:tc>
          <w:tcPr>
            <w:tcW w:w="1417" w:type="dxa"/>
            <w:tcBorders>
              <w:top w:val="nil"/>
              <w:left w:val="nil"/>
              <w:bottom w:val="single" w:sz="4" w:space="0" w:color="auto"/>
              <w:right w:val="nil"/>
            </w:tcBorders>
          </w:tcPr>
          <w:p w14:paraId="102D50E4"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9307.000</w:t>
            </w:r>
          </w:p>
        </w:tc>
        <w:tc>
          <w:tcPr>
            <w:tcW w:w="1417" w:type="dxa"/>
            <w:tcBorders>
              <w:top w:val="nil"/>
              <w:left w:val="nil"/>
              <w:bottom w:val="single" w:sz="4" w:space="0" w:color="auto"/>
              <w:right w:val="nil"/>
            </w:tcBorders>
          </w:tcPr>
          <w:p w14:paraId="3584F799" w14:textId="77777777" w:rsidR="001A217E" w:rsidRPr="005F6F6D" w:rsidRDefault="001A217E" w:rsidP="001A217E">
            <w:pPr>
              <w:widowControl w:val="0"/>
              <w:autoSpaceDE w:val="0"/>
              <w:autoSpaceDN w:val="0"/>
              <w:adjustRightInd w:val="0"/>
              <w:jc w:val="center"/>
              <w:rPr>
                <w:rFonts w:eastAsia="DengXian"/>
                <w:sz w:val="20"/>
                <w:szCs w:val="20"/>
                <w:lang w:eastAsia="zh-CN"/>
              </w:rPr>
            </w:pPr>
            <w:r w:rsidRPr="005F6F6D">
              <w:rPr>
                <w:sz w:val="20"/>
                <w:szCs w:val="20"/>
              </w:rPr>
              <w:t>5136.000</w:t>
            </w:r>
          </w:p>
        </w:tc>
      </w:tr>
    </w:tbl>
    <w:bookmarkEnd w:id="39"/>
    <w:p w14:paraId="3B70888F" w14:textId="77777777" w:rsidR="006872B3" w:rsidRPr="00CE7D45" w:rsidRDefault="006872B3" w:rsidP="00BD0474">
      <w:pPr>
        <w:widowControl w:val="0"/>
        <w:autoSpaceDE w:val="0"/>
        <w:autoSpaceDN w:val="0"/>
        <w:adjustRightInd w:val="0"/>
        <w:jc w:val="center"/>
        <w:rPr>
          <w:b/>
          <w:szCs w:val="20"/>
        </w:rPr>
      </w:pPr>
      <w:r w:rsidRPr="00CE7D45">
        <w:rPr>
          <w:b/>
          <w:szCs w:val="20"/>
        </w:rPr>
        <w:t xml:space="preserve">TABLE </w:t>
      </w:r>
      <w:r w:rsidR="0014242C" w:rsidRPr="00CE7D45">
        <w:rPr>
          <w:b/>
          <w:szCs w:val="20"/>
        </w:rPr>
        <w:t>3</w:t>
      </w:r>
      <w:r w:rsidRPr="00CE7D45">
        <w:rPr>
          <w:b/>
          <w:szCs w:val="20"/>
        </w:rPr>
        <w:t xml:space="preserve"> </w:t>
      </w:r>
    </w:p>
    <w:p w14:paraId="6733AC44" w14:textId="77777777" w:rsidR="00BD0474" w:rsidRPr="00CE7D45" w:rsidRDefault="0043098D" w:rsidP="00BD0474">
      <w:pPr>
        <w:widowControl w:val="0"/>
        <w:autoSpaceDE w:val="0"/>
        <w:autoSpaceDN w:val="0"/>
        <w:adjustRightInd w:val="0"/>
        <w:jc w:val="center"/>
        <w:rPr>
          <w:b/>
          <w:szCs w:val="20"/>
        </w:rPr>
      </w:pPr>
      <w:r>
        <w:rPr>
          <w:b/>
          <w:szCs w:val="20"/>
        </w:rPr>
        <w:t xml:space="preserve">Large </w:t>
      </w:r>
      <w:r w:rsidR="00C2325A">
        <w:rPr>
          <w:b/>
          <w:szCs w:val="20"/>
        </w:rPr>
        <w:t>customer</w:t>
      </w:r>
      <w:r w:rsidR="00B339FF" w:rsidRPr="00CE7D45">
        <w:rPr>
          <w:b/>
          <w:szCs w:val="20"/>
        </w:rPr>
        <w:t xml:space="preserve">-Supplier </w:t>
      </w:r>
      <w:r w:rsidR="0099693E">
        <w:rPr>
          <w:b/>
          <w:szCs w:val="20"/>
        </w:rPr>
        <w:t>link</w:t>
      </w:r>
      <w:r w:rsidR="00B339FF" w:rsidRPr="00CE7D45">
        <w:rPr>
          <w:b/>
          <w:szCs w:val="20"/>
        </w:rPr>
        <w:t>s</w:t>
      </w:r>
      <w:r w:rsidR="00BD0474" w:rsidRPr="00CE7D45">
        <w:rPr>
          <w:b/>
          <w:szCs w:val="20"/>
        </w:rPr>
        <w:t xml:space="preserve"> and loan pricing</w:t>
      </w:r>
    </w:p>
    <w:p w14:paraId="44649022" w14:textId="77777777" w:rsidR="00BD0474" w:rsidRPr="00070779" w:rsidRDefault="00BD0474" w:rsidP="005F1BE6">
      <w:pPr>
        <w:widowControl w:val="0"/>
        <w:tabs>
          <w:tab w:val="left" w:pos="11907"/>
        </w:tabs>
        <w:autoSpaceDE w:val="0"/>
        <w:autoSpaceDN w:val="0"/>
        <w:adjustRightInd w:val="0"/>
        <w:ind w:right="4"/>
        <w:jc w:val="both"/>
        <w:rPr>
          <w:sz w:val="22"/>
          <w:szCs w:val="22"/>
        </w:rPr>
      </w:pPr>
      <w:r w:rsidRPr="00070779">
        <w:rPr>
          <w:sz w:val="22"/>
          <w:szCs w:val="22"/>
        </w:rPr>
        <w:t xml:space="preserve">This table reports the results </w:t>
      </w:r>
      <w:r w:rsidR="00342EBD" w:rsidRPr="00070779">
        <w:rPr>
          <w:sz w:val="22"/>
          <w:szCs w:val="22"/>
        </w:rPr>
        <w:t>of the model for</w:t>
      </w:r>
      <w:r w:rsidRPr="00070779">
        <w:rPr>
          <w:sz w:val="22"/>
          <w:szCs w:val="22"/>
        </w:rPr>
        <w:t xml:space="preserve"> the spread required by the </w:t>
      </w:r>
      <w:r w:rsidR="00342EBD" w:rsidRPr="00070779">
        <w:rPr>
          <w:sz w:val="22"/>
          <w:szCs w:val="22"/>
        </w:rPr>
        <w:t xml:space="preserve">lead </w:t>
      </w:r>
      <w:r w:rsidR="00643038">
        <w:rPr>
          <w:sz w:val="22"/>
          <w:szCs w:val="22"/>
        </w:rPr>
        <w:t>agent</w:t>
      </w:r>
      <w:r w:rsidRPr="00070779">
        <w:rPr>
          <w:sz w:val="22"/>
          <w:szCs w:val="22"/>
        </w:rPr>
        <w:t>, Eq (</w:t>
      </w:r>
      <w:r w:rsidR="00061D88">
        <w:rPr>
          <w:sz w:val="22"/>
          <w:szCs w:val="22"/>
        </w:rPr>
        <w:t>2</w:t>
      </w:r>
      <w:r w:rsidR="00342EBD" w:rsidRPr="00070779">
        <w:rPr>
          <w:sz w:val="22"/>
          <w:szCs w:val="22"/>
        </w:rPr>
        <w:t>)</w:t>
      </w:r>
      <w:r w:rsidRPr="00070779">
        <w:rPr>
          <w:sz w:val="22"/>
          <w:szCs w:val="22"/>
        </w:rPr>
        <w:t xml:space="preserve">. The dependent variables </w:t>
      </w:r>
      <w:r w:rsidR="00FC5860" w:rsidRPr="00070779">
        <w:rPr>
          <w:sz w:val="22"/>
          <w:szCs w:val="22"/>
        </w:rPr>
        <w:t xml:space="preserve">for </w:t>
      </w:r>
      <w:r w:rsidR="0044684A" w:rsidRPr="00070779">
        <w:rPr>
          <w:sz w:val="22"/>
          <w:szCs w:val="22"/>
        </w:rPr>
        <w:t>Panel A</w:t>
      </w:r>
      <w:r w:rsidRPr="00070779">
        <w:rPr>
          <w:sz w:val="22"/>
          <w:szCs w:val="22"/>
        </w:rPr>
        <w:t xml:space="preserve"> </w:t>
      </w:r>
      <w:r w:rsidR="00FC5860" w:rsidRPr="00070779">
        <w:rPr>
          <w:sz w:val="22"/>
          <w:szCs w:val="22"/>
        </w:rPr>
        <w:t xml:space="preserve">and Panel B </w:t>
      </w:r>
      <w:r w:rsidRPr="00070779">
        <w:rPr>
          <w:sz w:val="22"/>
          <w:szCs w:val="22"/>
        </w:rPr>
        <w:t>are</w:t>
      </w:r>
      <w:r w:rsidR="00E805DA">
        <w:rPr>
          <w:sz w:val="22"/>
          <w:szCs w:val="22"/>
        </w:rPr>
        <w:t xml:space="preserve"> respectively</w:t>
      </w:r>
      <w:r w:rsidRPr="00070779">
        <w:rPr>
          <w:sz w:val="22"/>
          <w:szCs w:val="22"/>
        </w:rPr>
        <w:t xml:space="preserve"> </w:t>
      </w:r>
      <w:r w:rsidR="00932BC9" w:rsidRPr="00967BEA">
        <w:rPr>
          <w:i/>
          <w:iCs/>
          <w:sz w:val="22"/>
          <w:szCs w:val="22"/>
        </w:rPr>
        <w:t>AISD</w:t>
      </w:r>
      <w:r w:rsidR="00932BC9">
        <w:rPr>
          <w:sz w:val="22"/>
          <w:szCs w:val="22"/>
        </w:rPr>
        <w:t xml:space="preserve"> </w:t>
      </w:r>
      <w:r w:rsidR="00FC5860" w:rsidRPr="00070779">
        <w:rPr>
          <w:sz w:val="22"/>
          <w:szCs w:val="22"/>
        </w:rPr>
        <w:t xml:space="preserve">and </w:t>
      </w:r>
      <w:r w:rsidR="00967BEA">
        <w:rPr>
          <w:i/>
          <w:iCs/>
          <w:sz w:val="22"/>
          <w:szCs w:val="22"/>
        </w:rPr>
        <w:t>TCB</w:t>
      </w:r>
      <w:r w:rsidR="00FC5860" w:rsidRPr="00070779">
        <w:rPr>
          <w:sz w:val="22"/>
          <w:szCs w:val="22"/>
        </w:rPr>
        <w:t xml:space="preserve">. </w:t>
      </w:r>
      <w:r w:rsidRPr="00070779">
        <w:rPr>
          <w:sz w:val="22"/>
          <w:szCs w:val="22"/>
        </w:rPr>
        <w:t>Columns (</w:t>
      </w:r>
      <w:r w:rsidR="00FC5860" w:rsidRPr="00070779">
        <w:rPr>
          <w:sz w:val="22"/>
          <w:szCs w:val="22"/>
        </w:rPr>
        <w:t>1</w:t>
      </w:r>
      <w:r w:rsidRPr="00070779">
        <w:rPr>
          <w:sz w:val="22"/>
          <w:szCs w:val="22"/>
        </w:rPr>
        <w:t>), (</w:t>
      </w:r>
      <w:r w:rsidR="00FC5860" w:rsidRPr="00070779">
        <w:rPr>
          <w:sz w:val="22"/>
          <w:szCs w:val="22"/>
        </w:rPr>
        <w:t>3</w:t>
      </w:r>
      <w:r w:rsidRPr="00070779">
        <w:rPr>
          <w:sz w:val="22"/>
          <w:szCs w:val="22"/>
        </w:rPr>
        <w:t>) and (</w:t>
      </w:r>
      <w:r w:rsidR="00FC5860" w:rsidRPr="00070779">
        <w:rPr>
          <w:sz w:val="22"/>
          <w:szCs w:val="22"/>
        </w:rPr>
        <w:t>5</w:t>
      </w:r>
      <w:r w:rsidRPr="00070779">
        <w:rPr>
          <w:sz w:val="22"/>
          <w:szCs w:val="22"/>
        </w:rPr>
        <w:t>) report the first</w:t>
      </w:r>
      <w:r w:rsidR="006872B3" w:rsidRPr="00070779">
        <w:rPr>
          <w:sz w:val="22"/>
          <w:szCs w:val="22"/>
        </w:rPr>
        <w:t>-</w:t>
      </w:r>
      <w:r w:rsidRPr="00070779">
        <w:rPr>
          <w:sz w:val="22"/>
          <w:szCs w:val="22"/>
        </w:rPr>
        <w:t xml:space="preserve">stage results from a 2SLS estimation where </w:t>
      </w:r>
      <w:r w:rsidR="00A87B77" w:rsidRPr="00070779">
        <w:rPr>
          <w:sz w:val="22"/>
          <w:szCs w:val="22"/>
        </w:rPr>
        <w:t xml:space="preserve">we </w:t>
      </w:r>
      <w:r w:rsidRPr="00070779">
        <w:rPr>
          <w:sz w:val="22"/>
          <w:szCs w:val="22"/>
        </w:rPr>
        <w:t>regress syndicate reputation</w:t>
      </w:r>
      <w:r w:rsidR="00A87B77" w:rsidRPr="00070779">
        <w:rPr>
          <w:sz w:val="22"/>
          <w:szCs w:val="22"/>
        </w:rPr>
        <w:t xml:space="preserve"> variables</w:t>
      </w:r>
      <w:r w:rsidRPr="00070779">
        <w:rPr>
          <w:sz w:val="22"/>
          <w:szCs w:val="22"/>
        </w:rPr>
        <w:t xml:space="preserve"> against the lead agent participation. Columns (</w:t>
      </w:r>
      <w:r w:rsidR="00FC5860" w:rsidRPr="00070779">
        <w:rPr>
          <w:sz w:val="22"/>
          <w:szCs w:val="22"/>
        </w:rPr>
        <w:t>2</w:t>
      </w:r>
      <w:r w:rsidRPr="00070779">
        <w:rPr>
          <w:sz w:val="22"/>
          <w:szCs w:val="22"/>
        </w:rPr>
        <w:t>), (</w:t>
      </w:r>
      <w:r w:rsidR="00FC5860" w:rsidRPr="00070779">
        <w:rPr>
          <w:sz w:val="22"/>
          <w:szCs w:val="22"/>
        </w:rPr>
        <w:t>4</w:t>
      </w:r>
      <w:r w:rsidRPr="00070779">
        <w:rPr>
          <w:sz w:val="22"/>
          <w:szCs w:val="22"/>
        </w:rPr>
        <w:t>) and (</w:t>
      </w:r>
      <w:r w:rsidR="00FC5860" w:rsidRPr="00070779">
        <w:rPr>
          <w:sz w:val="22"/>
          <w:szCs w:val="22"/>
        </w:rPr>
        <w:t>6</w:t>
      </w:r>
      <w:r w:rsidRPr="00070779">
        <w:rPr>
          <w:sz w:val="22"/>
          <w:szCs w:val="22"/>
        </w:rPr>
        <w:t>) report the second</w:t>
      </w:r>
      <w:r w:rsidR="004D1B31">
        <w:rPr>
          <w:sz w:val="22"/>
          <w:szCs w:val="22"/>
        </w:rPr>
        <w:t>-</w:t>
      </w:r>
      <w:r w:rsidRPr="00070779">
        <w:rPr>
          <w:sz w:val="22"/>
          <w:szCs w:val="22"/>
        </w:rPr>
        <w:t xml:space="preserve">stage results of the 2SLS estimation. All specifications include year, </w:t>
      </w:r>
      <w:r w:rsidR="00050C9B" w:rsidRPr="00070779">
        <w:rPr>
          <w:sz w:val="22"/>
          <w:szCs w:val="22"/>
        </w:rPr>
        <w:t>bank,</w:t>
      </w:r>
      <w:r w:rsidRPr="00070779">
        <w:rPr>
          <w:sz w:val="22"/>
          <w:szCs w:val="22"/>
        </w:rPr>
        <w:t xml:space="preserve"> and borrower sector</w:t>
      </w:r>
      <w:r w:rsidR="006872B3" w:rsidRPr="00070779">
        <w:rPr>
          <w:sz w:val="22"/>
          <w:szCs w:val="22"/>
        </w:rPr>
        <w:t>-</w:t>
      </w:r>
      <w:r w:rsidRPr="00070779">
        <w:rPr>
          <w:sz w:val="22"/>
          <w:szCs w:val="22"/>
        </w:rPr>
        <w:t xml:space="preserve">fixed effects. </w:t>
      </w:r>
      <w:r w:rsidR="00F41FC5" w:rsidRPr="00070779">
        <w:rPr>
          <w:sz w:val="22"/>
          <w:szCs w:val="22"/>
        </w:rPr>
        <w:t xml:space="preserve">All independent variables are defined in Table A1 of the Appendix. Standard errors are clustered at borrower level and reported in parentheses. </w:t>
      </w:r>
      <w:r w:rsidRPr="00070779">
        <w:rPr>
          <w:sz w:val="22"/>
          <w:szCs w:val="22"/>
        </w:rPr>
        <w:t xml:space="preserve">***, **, and * denote statistical significance at the 1%, 5%, and 10% levels, respectively. </w:t>
      </w:r>
    </w:p>
    <w:tbl>
      <w:tblPr>
        <w:tblW w:w="5000" w:type="pct"/>
        <w:jc w:val="center"/>
        <w:tblLayout w:type="fixed"/>
        <w:tblLook w:val="04A0" w:firstRow="1" w:lastRow="0" w:firstColumn="1" w:lastColumn="0" w:noHBand="0" w:noVBand="1"/>
      </w:tblPr>
      <w:tblGrid>
        <w:gridCol w:w="2754"/>
        <w:gridCol w:w="1101"/>
        <w:gridCol w:w="1101"/>
        <w:gridCol w:w="1101"/>
        <w:gridCol w:w="1101"/>
        <w:gridCol w:w="1101"/>
        <w:gridCol w:w="1101"/>
      </w:tblGrid>
      <w:tr w:rsidR="00070779" w:rsidRPr="00070779" w14:paraId="0C916FD7" w14:textId="77777777" w:rsidTr="00CE7D45">
        <w:trPr>
          <w:jc w:val="center"/>
        </w:trPr>
        <w:tc>
          <w:tcPr>
            <w:tcW w:w="1471" w:type="pct"/>
            <w:tcBorders>
              <w:top w:val="single" w:sz="4" w:space="0" w:color="auto"/>
            </w:tcBorders>
            <w:vAlign w:val="center"/>
          </w:tcPr>
          <w:p w14:paraId="60FA439D" w14:textId="77777777" w:rsidR="00470A96" w:rsidRPr="00070779" w:rsidRDefault="00357250" w:rsidP="00470A96">
            <w:pPr>
              <w:widowControl w:val="0"/>
              <w:autoSpaceDE w:val="0"/>
              <w:autoSpaceDN w:val="0"/>
              <w:adjustRightInd w:val="0"/>
              <w:jc w:val="center"/>
              <w:rPr>
                <w:rFonts w:eastAsia="DengXian"/>
                <w:b/>
                <w:bCs/>
                <w:sz w:val="20"/>
                <w:szCs w:val="20"/>
                <w:lang w:eastAsia="zh-CN"/>
              </w:rPr>
            </w:pPr>
            <w:r w:rsidRPr="00070779">
              <w:rPr>
                <w:rFonts w:eastAsia="DengXian"/>
                <w:b/>
                <w:bCs/>
                <w:sz w:val="20"/>
                <w:szCs w:val="20"/>
                <w:lang w:eastAsia="zh-CN"/>
              </w:rPr>
              <w:t>Panel A</w:t>
            </w:r>
            <w:r w:rsidR="00024774">
              <w:rPr>
                <w:rFonts w:eastAsia="DengXian"/>
                <w:b/>
                <w:bCs/>
                <w:sz w:val="20"/>
                <w:szCs w:val="20"/>
                <w:lang w:eastAsia="zh-CN"/>
              </w:rPr>
              <w:t>: AISD</w:t>
            </w:r>
          </w:p>
        </w:tc>
        <w:tc>
          <w:tcPr>
            <w:tcW w:w="588" w:type="pct"/>
            <w:tcBorders>
              <w:top w:val="single" w:sz="4" w:space="0" w:color="auto"/>
              <w:bottom w:val="single" w:sz="4" w:space="0" w:color="auto"/>
            </w:tcBorders>
            <w:vAlign w:val="center"/>
            <w:hideMark/>
          </w:tcPr>
          <w:p w14:paraId="7C00C103"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p>
        </w:tc>
        <w:tc>
          <w:tcPr>
            <w:tcW w:w="588" w:type="pct"/>
            <w:tcBorders>
              <w:top w:val="single" w:sz="4" w:space="0" w:color="auto"/>
              <w:bottom w:val="single" w:sz="4" w:space="0" w:color="auto"/>
            </w:tcBorders>
            <w:vAlign w:val="center"/>
            <w:hideMark/>
          </w:tcPr>
          <w:p w14:paraId="43F98E45"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p>
        </w:tc>
        <w:tc>
          <w:tcPr>
            <w:tcW w:w="588" w:type="pct"/>
            <w:tcBorders>
              <w:top w:val="single" w:sz="4" w:space="0" w:color="auto"/>
              <w:bottom w:val="single" w:sz="4" w:space="0" w:color="auto"/>
            </w:tcBorders>
            <w:vAlign w:val="center"/>
          </w:tcPr>
          <w:p w14:paraId="57D3C269"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(3)</w:t>
            </w:r>
          </w:p>
        </w:tc>
        <w:tc>
          <w:tcPr>
            <w:tcW w:w="588" w:type="pct"/>
            <w:tcBorders>
              <w:top w:val="single" w:sz="4" w:space="0" w:color="auto"/>
              <w:bottom w:val="single" w:sz="4" w:space="0" w:color="auto"/>
            </w:tcBorders>
            <w:vAlign w:val="center"/>
          </w:tcPr>
          <w:p w14:paraId="71D60BB6"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(4)</w:t>
            </w:r>
          </w:p>
        </w:tc>
        <w:tc>
          <w:tcPr>
            <w:tcW w:w="588" w:type="pct"/>
            <w:tcBorders>
              <w:top w:val="single" w:sz="4" w:space="0" w:color="auto"/>
              <w:bottom w:val="single" w:sz="4" w:space="0" w:color="auto"/>
            </w:tcBorders>
            <w:vAlign w:val="center"/>
            <w:hideMark/>
          </w:tcPr>
          <w:p w14:paraId="3B8C2F97"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(5)</w:t>
            </w:r>
          </w:p>
        </w:tc>
        <w:tc>
          <w:tcPr>
            <w:tcW w:w="588" w:type="pct"/>
            <w:tcBorders>
              <w:top w:val="single" w:sz="4" w:space="0" w:color="auto"/>
              <w:bottom w:val="single" w:sz="4" w:space="0" w:color="auto"/>
            </w:tcBorders>
            <w:vAlign w:val="center"/>
            <w:hideMark/>
          </w:tcPr>
          <w:p w14:paraId="0C0A920B"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(6)</w:t>
            </w:r>
          </w:p>
        </w:tc>
      </w:tr>
      <w:tr w:rsidR="00070779" w:rsidRPr="00070779" w14:paraId="7159883C" w14:textId="77777777" w:rsidTr="00CE7D45">
        <w:trPr>
          <w:jc w:val="center"/>
        </w:trPr>
        <w:tc>
          <w:tcPr>
            <w:tcW w:w="1471" w:type="pct"/>
            <w:vAlign w:val="center"/>
          </w:tcPr>
          <w:p w14:paraId="427C354A" w14:textId="77777777" w:rsidR="00470A96" w:rsidRPr="00070779" w:rsidRDefault="00470A96" w:rsidP="00470A96">
            <w:pPr>
              <w:widowControl w:val="0"/>
              <w:autoSpaceDE w:val="0"/>
              <w:autoSpaceDN w:val="0"/>
              <w:adjustRightInd w:val="0"/>
              <w:jc w:val="center"/>
              <w:rPr>
                <w:rFonts w:eastAsia="DengXian"/>
                <w:sz w:val="20"/>
                <w:szCs w:val="20"/>
                <w:lang w:eastAsia="zh-CN"/>
              </w:rPr>
            </w:pPr>
          </w:p>
        </w:tc>
        <w:tc>
          <w:tcPr>
            <w:tcW w:w="588" w:type="pct"/>
            <w:tcBorders>
              <w:top w:val="single" w:sz="4" w:space="0" w:color="auto"/>
              <w:bottom w:val="single" w:sz="4" w:space="0" w:color="auto"/>
            </w:tcBorders>
            <w:vAlign w:val="center"/>
          </w:tcPr>
          <w:p w14:paraId="32153BD7"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73A5666B"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2B57035E"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44290796"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7514E88B"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3E2A21A5"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r>
      <w:tr w:rsidR="00070779" w:rsidRPr="00070779" w14:paraId="7DB13D40" w14:textId="77777777" w:rsidTr="00CE7D45">
        <w:trPr>
          <w:jc w:val="center"/>
        </w:trPr>
        <w:tc>
          <w:tcPr>
            <w:tcW w:w="1471" w:type="pct"/>
            <w:vAlign w:val="center"/>
          </w:tcPr>
          <w:p w14:paraId="12CC6913" w14:textId="77777777" w:rsidR="00470A96" w:rsidRPr="00070779" w:rsidRDefault="00470A96" w:rsidP="00470A96">
            <w:pPr>
              <w:widowControl w:val="0"/>
              <w:autoSpaceDE w:val="0"/>
              <w:autoSpaceDN w:val="0"/>
              <w:adjustRightInd w:val="0"/>
              <w:jc w:val="center"/>
              <w:rPr>
                <w:rFonts w:eastAsia="DengXian"/>
                <w:sz w:val="20"/>
                <w:szCs w:val="20"/>
                <w:lang w:eastAsia="zh-CN"/>
              </w:rPr>
            </w:pPr>
          </w:p>
        </w:tc>
        <w:tc>
          <w:tcPr>
            <w:tcW w:w="588" w:type="pct"/>
            <w:tcBorders>
              <w:top w:val="single" w:sz="4" w:space="0" w:color="auto"/>
              <w:bottom w:val="single" w:sz="4" w:space="0" w:color="auto"/>
            </w:tcBorders>
            <w:vAlign w:val="center"/>
            <w:hideMark/>
          </w:tcPr>
          <w:p w14:paraId="46E7BA5F"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hideMark/>
          </w:tcPr>
          <w:p w14:paraId="42E59864" w14:textId="77777777" w:rsidR="00470A96" w:rsidRPr="00070779" w:rsidRDefault="00902AFF" w:rsidP="00470A96">
            <w:pPr>
              <w:widowControl w:val="0"/>
              <w:autoSpaceDE w:val="0"/>
              <w:autoSpaceDN w:val="0"/>
              <w:adjustRightInd w:val="0"/>
              <w:jc w:val="center"/>
              <w:rPr>
                <w:rFonts w:eastAsia="DengXian"/>
                <w:sz w:val="20"/>
                <w:szCs w:val="20"/>
                <w:lang w:eastAsia="zh-CN"/>
              </w:rPr>
            </w:pPr>
            <w:r>
              <w:rPr>
                <w:rFonts w:eastAsia="DengXian"/>
                <w:sz w:val="20"/>
                <w:szCs w:val="20"/>
                <w:lang w:eastAsia="zh-CN"/>
              </w:rPr>
              <w:t>AISD</w:t>
            </w:r>
          </w:p>
        </w:tc>
        <w:tc>
          <w:tcPr>
            <w:tcW w:w="588" w:type="pct"/>
            <w:tcBorders>
              <w:top w:val="single" w:sz="4" w:space="0" w:color="auto"/>
              <w:bottom w:val="single" w:sz="4" w:space="0" w:color="auto"/>
            </w:tcBorders>
            <w:vAlign w:val="center"/>
          </w:tcPr>
          <w:p w14:paraId="7D1411E9"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tcPr>
          <w:p w14:paraId="060012D5" w14:textId="77777777" w:rsidR="00470A96" w:rsidRPr="00070779" w:rsidRDefault="00902AFF" w:rsidP="00470A96">
            <w:pPr>
              <w:widowControl w:val="0"/>
              <w:autoSpaceDE w:val="0"/>
              <w:autoSpaceDN w:val="0"/>
              <w:adjustRightInd w:val="0"/>
              <w:jc w:val="center"/>
              <w:rPr>
                <w:rFonts w:eastAsia="DengXian"/>
                <w:sz w:val="20"/>
                <w:szCs w:val="20"/>
                <w:lang w:eastAsia="zh-CN"/>
              </w:rPr>
            </w:pPr>
            <w:r>
              <w:rPr>
                <w:rFonts w:eastAsia="DengXian"/>
                <w:sz w:val="20"/>
                <w:szCs w:val="20"/>
                <w:lang w:eastAsia="zh-CN"/>
              </w:rPr>
              <w:t>AISD</w:t>
            </w:r>
          </w:p>
        </w:tc>
        <w:tc>
          <w:tcPr>
            <w:tcW w:w="588" w:type="pct"/>
            <w:tcBorders>
              <w:top w:val="single" w:sz="4" w:space="0" w:color="auto"/>
              <w:bottom w:val="single" w:sz="4" w:space="0" w:color="auto"/>
            </w:tcBorders>
            <w:vAlign w:val="center"/>
            <w:hideMark/>
          </w:tcPr>
          <w:p w14:paraId="4BDF1A2B" w14:textId="77777777" w:rsidR="00470A96" w:rsidRPr="00070779" w:rsidRDefault="00470A96" w:rsidP="00470A9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hideMark/>
          </w:tcPr>
          <w:p w14:paraId="48FBC494" w14:textId="77777777" w:rsidR="00470A96" w:rsidRPr="00070779" w:rsidRDefault="00902AFF" w:rsidP="00470A96">
            <w:pPr>
              <w:widowControl w:val="0"/>
              <w:autoSpaceDE w:val="0"/>
              <w:autoSpaceDN w:val="0"/>
              <w:adjustRightInd w:val="0"/>
              <w:jc w:val="center"/>
              <w:rPr>
                <w:rFonts w:eastAsia="DengXian"/>
                <w:sz w:val="20"/>
                <w:szCs w:val="20"/>
                <w:lang w:eastAsia="zh-CN"/>
              </w:rPr>
            </w:pPr>
            <w:r>
              <w:rPr>
                <w:rFonts w:eastAsia="DengXian"/>
                <w:sz w:val="20"/>
                <w:szCs w:val="20"/>
                <w:lang w:eastAsia="zh-CN"/>
              </w:rPr>
              <w:t>AISD</w:t>
            </w:r>
          </w:p>
        </w:tc>
      </w:tr>
      <w:tr w:rsidR="0095779F" w:rsidRPr="00070779" w14:paraId="1DF718AA" w14:textId="77777777" w:rsidTr="00CE7D45">
        <w:trPr>
          <w:jc w:val="center"/>
        </w:trPr>
        <w:tc>
          <w:tcPr>
            <w:tcW w:w="1471" w:type="pct"/>
            <w:vAlign w:val="center"/>
            <w:hideMark/>
          </w:tcPr>
          <w:p w14:paraId="1387B82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Syndicate reputation: lead to participant</w:t>
            </w:r>
          </w:p>
        </w:tc>
        <w:tc>
          <w:tcPr>
            <w:tcW w:w="588" w:type="pct"/>
          </w:tcPr>
          <w:p w14:paraId="58AFE22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-0.039</w:t>
            </w:r>
            <w:r w:rsidRPr="000E7AEF">
              <w:rPr>
                <w:sz w:val="20"/>
                <w:szCs w:val="20"/>
                <w:vertAlign w:val="superscript"/>
              </w:rPr>
              <w:t>***</w:t>
            </w:r>
          </w:p>
        </w:tc>
        <w:tc>
          <w:tcPr>
            <w:tcW w:w="588" w:type="pct"/>
          </w:tcPr>
          <w:p w14:paraId="6E846216"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67B3D75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-0.038</w:t>
            </w:r>
            <w:r w:rsidRPr="000E7AEF">
              <w:rPr>
                <w:sz w:val="20"/>
                <w:szCs w:val="20"/>
                <w:vertAlign w:val="superscript"/>
              </w:rPr>
              <w:t>***</w:t>
            </w:r>
          </w:p>
        </w:tc>
        <w:tc>
          <w:tcPr>
            <w:tcW w:w="588" w:type="pct"/>
          </w:tcPr>
          <w:p w14:paraId="7959B784"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01E22DA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-0.038</w:t>
            </w:r>
            <w:r w:rsidRPr="000E7AEF">
              <w:rPr>
                <w:sz w:val="20"/>
                <w:szCs w:val="20"/>
                <w:vertAlign w:val="superscript"/>
              </w:rPr>
              <w:t>***</w:t>
            </w:r>
          </w:p>
        </w:tc>
        <w:tc>
          <w:tcPr>
            <w:tcW w:w="588" w:type="pct"/>
          </w:tcPr>
          <w:p w14:paraId="5CFE2C51"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r>
      <w:tr w:rsidR="0095779F" w:rsidRPr="00070779" w14:paraId="6290B0F1" w14:textId="77777777" w:rsidTr="00CE7D45">
        <w:trPr>
          <w:jc w:val="center"/>
        </w:trPr>
        <w:tc>
          <w:tcPr>
            <w:tcW w:w="1471" w:type="pct"/>
            <w:vAlign w:val="center"/>
          </w:tcPr>
          <w:p w14:paraId="2B79F831"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01333FC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26217B53"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6D84D91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1C887C8B"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3B1E991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1FE30056"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r>
      <w:tr w:rsidR="0095779F" w:rsidRPr="00070779" w14:paraId="6721DB54" w14:textId="77777777" w:rsidTr="00CE7D45">
        <w:trPr>
          <w:jc w:val="center"/>
        </w:trPr>
        <w:tc>
          <w:tcPr>
            <w:tcW w:w="1471" w:type="pct"/>
            <w:vAlign w:val="center"/>
            <w:hideMark/>
          </w:tcPr>
          <w:p w14:paraId="63E0F54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Syndicate reputation: reciprocal</w:t>
            </w:r>
          </w:p>
        </w:tc>
        <w:tc>
          <w:tcPr>
            <w:tcW w:w="588" w:type="pct"/>
          </w:tcPr>
          <w:p w14:paraId="482D811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-0.050</w:t>
            </w:r>
            <w:r w:rsidRPr="000E7AEF">
              <w:rPr>
                <w:sz w:val="20"/>
                <w:szCs w:val="20"/>
                <w:vertAlign w:val="superscript"/>
              </w:rPr>
              <w:t>***</w:t>
            </w:r>
          </w:p>
        </w:tc>
        <w:tc>
          <w:tcPr>
            <w:tcW w:w="588" w:type="pct"/>
          </w:tcPr>
          <w:p w14:paraId="14BD942A"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47E9D61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-0.049</w:t>
            </w:r>
            <w:r w:rsidRPr="000E7AEF">
              <w:rPr>
                <w:sz w:val="20"/>
                <w:szCs w:val="20"/>
                <w:vertAlign w:val="superscript"/>
              </w:rPr>
              <w:t>***</w:t>
            </w:r>
          </w:p>
        </w:tc>
        <w:tc>
          <w:tcPr>
            <w:tcW w:w="588" w:type="pct"/>
          </w:tcPr>
          <w:p w14:paraId="70C6169A"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A5DF64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-0.049</w:t>
            </w:r>
            <w:r w:rsidRPr="000E7AEF">
              <w:rPr>
                <w:sz w:val="20"/>
                <w:szCs w:val="20"/>
                <w:vertAlign w:val="superscript"/>
              </w:rPr>
              <w:t>***</w:t>
            </w:r>
          </w:p>
        </w:tc>
        <w:tc>
          <w:tcPr>
            <w:tcW w:w="588" w:type="pct"/>
          </w:tcPr>
          <w:p w14:paraId="01BDBDAA"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r>
      <w:tr w:rsidR="0095779F" w:rsidRPr="00070779" w14:paraId="16C703B9" w14:textId="77777777" w:rsidTr="00CE7D45">
        <w:trPr>
          <w:jc w:val="center"/>
        </w:trPr>
        <w:tc>
          <w:tcPr>
            <w:tcW w:w="1471" w:type="pct"/>
            <w:vAlign w:val="center"/>
          </w:tcPr>
          <w:p w14:paraId="18E804AE"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1808458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106110DC"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6D08B34"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39794E71"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DC304F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3DA24F3F"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r>
      <w:tr w:rsidR="0095779F" w:rsidRPr="00070779" w14:paraId="485D5922" w14:textId="77777777" w:rsidTr="00CE7D45">
        <w:trPr>
          <w:jc w:val="center"/>
        </w:trPr>
        <w:tc>
          <w:tcPr>
            <w:tcW w:w="1471" w:type="pct"/>
            <w:vAlign w:val="center"/>
            <w:hideMark/>
          </w:tcPr>
          <w:p w14:paraId="6BE68FE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Pr>
          <w:p w14:paraId="072B2D2B"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1E70908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3.196</w:t>
            </w:r>
            <w:r w:rsidRPr="000E7AEF">
              <w:rPr>
                <w:sz w:val="20"/>
                <w:szCs w:val="20"/>
                <w:vertAlign w:val="superscript"/>
              </w:rPr>
              <w:t>***</w:t>
            </w:r>
          </w:p>
        </w:tc>
        <w:tc>
          <w:tcPr>
            <w:tcW w:w="588" w:type="pct"/>
          </w:tcPr>
          <w:p w14:paraId="5F6576F0"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5290C49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3.229</w:t>
            </w:r>
            <w:r w:rsidRPr="000E7AEF">
              <w:rPr>
                <w:sz w:val="20"/>
                <w:szCs w:val="20"/>
                <w:vertAlign w:val="superscript"/>
              </w:rPr>
              <w:t>***</w:t>
            </w:r>
          </w:p>
        </w:tc>
        <w:tc>
          <w:tcPr>
            <w:tcW w:w="588" w:type="pct"/>
          </w:tcPr>
          <w:p w14:paraId="16D34BF9"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431644E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3.224</w:t>
            </w:r>
            <w:r w:rsidRPr="000E7AEF">
              <w:rPr>
                <w:sz w:val="20"/>
                <w:szCs w:val="20"/>
                <w:vertAlign w:val="superscript"/>
              </w:rPr>
              <w:t>***</w:t>
            </w:r>
          </w:p>
        </w:tc>
      </w:tr>
      <w:tr w:rsidR="0095779F" w:rsidRPr="00070779" w14:paraId="1692AFBD" w14:textId="77777777" w:rsidTr="00CE7D45">
        <w:trPr>
          <w:jc w:val="center"/>
        </w:trPr>
        <w:tc>
          <w:tcPr>
            <w:tcW w:w="1471" w:type="pct"/>
            <w:vAlign w:val="center"/>
          </w:tcPr>
          <w:p w14:paraId="40314EAF"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3EA4678A"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4424FC6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(0.71)</w:t>
            </w:r>
          </w:p>
        </w:tc>
        <w:tc>
          <w:tcPr>
            <w:tcW w:w="588" w:type="pct"/>
          </w:tcPr>
          <w:p w14:paraId="59F43BD5"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09A8459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(0.73)</w:t>
            </w:r>
          </w:p>
        </w:tc>
        <w:tc>
          <w:tcPr>
            <w:tcW w:w="588" w:type="pct"/>
          </w:tcPr>
          <w:p w14:paraId="1782FC04"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170ADB7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(0.71)</w:t>
            </w:r>
          </w:p>
        </w:tc>
      </w:tr>
      <w:tr w:rsidR="0095779F" w:rsidRPr="00070779" w14:paraId="252878CB" w14:textId="77777777" w:rsidTr="00CE7D45">
        <w:trPr>
          <w:jc w:val="center"/>
        </w:trPr>
        <w:tc>
          <w:tcPr>
            <w:tcW w:w="1471" w:type="pct"/>
            <w:vAlign w:val="center"/>
            <w:hideMark/>
          </w:tcPr>
          <w:p w14:paraId="146CA607" w14:textId="77777777" w:rsidR="0095779F" w:rsidRPr="00070779" w:rsidRDefault="00F5316D" w:rsidP="0095779F">
            <w:pPr>
              <w:widowControl w:val="0"/>
              <w:autoSpaceDE w:val="0"/>
              <w:autoSpaceDN w:val="0"/>
              <w:adjustRightInd w:val="0"/>
              <w:jc w:val="center"/>
              <w:rPr>
                <w:rFonts w:eastAsia="DengXian"/>
                <w:sz w:val="20"/>
                <w:szCs w:val="20"/>
                <w:lang w:eastAsia="zh-CN"/>
              </w:rPr>
            </w:pPr>
            <w:r>
              <w:rPr>
                <w:rFonts w:eastAsia="DengXian"/>
                <w:sz w:val="20"/>
                <w:szCs w:val="20"/>
                <w:lang w:eastAsia="zh-CN"/>
              </w:rPr>
              <w:t>L</w:t>
            </w:r>
            <w:r w:rsidRPr="00F5316D">
              <w:rPr>
                <w:rFonts w:eastAsia="DengXian"/>
                <w:sz w:val="20"/>
                <w:szCs w:val="20"/>
                <w:lang w:eastAsia="zh-CN"/>
              </w:rPr>
              <w:t xml:space="preserve">arge CS </w:t>
            </w:r>
            <w:r w:rsidR="0099693E">
              <w:rPr>
                <w:rFonts w:eastAsia="DengXian"/>
                <w:sz w:val="20"/>
                <w:szCs w:val="20"/>
                <w:lang w:eastAsia="zh-CN"/>
              </w:rPr>
              <w:t>link</w:t>
            </w:r>
            <w:r w:rsidRPr="00F5316D">
              <w:rPr>
                <w:rFonts w:eastAsia="DengXian"/>
                <w:sz w:val="20"/>
                <w:szCs w:val="20"/>
                <w:lang w:eastAsia="zh-CN"/>
              </w:rPr>
              <w:t>s</w:t>
            </w:r>
          </w:p>
        </w:tc>
        <w:tc>
          <w:tcPr>
            <w:tcW w:w="588" w:type="pct"/>
          </w:tcPr>
          <w:p w14:paraId="272A0F2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0.005</w:t>
            </w:r>
            <w:r w:rsidRPr="000E7AEF">
              <w:rPr>
                <w:sz w:val="20"/>
                <w:szCs w:val="20"/>
                <w:vertAlign w:val="superscript"/>
              </w:rPr>
              <w:t>*</w:t>
            </w:r>
          </w:p>
        </w:tc>
        <w:tc>
          <w:tcPr>
            <w:tcW w:w="588" w:type="pct"/>
          </w:tcPr>
          <w:p w14:paraId="1393C58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0.041</w:t>
            </w:r>
          </w:p>
        </w:tc>
        <w:tc>
          <w:tcPr>
            <w:tcW w:w="588" w:type="pct"/>
          </w:tcPr>
          <w:p w14:paraId="270E7429"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08B1CBD"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23DA6251"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0BFA8762"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r>
      <w:tr w:rsidR="0095779F" w:rsidRPr="00070779" w14:paraId="3CD21376" w14:textId="77777777" w:rsidTr="00CE7D45">
        <w:trPr>
          <w:jc w:val="center"/>
        </w:trPr>
        <w:tc>
          <w:tcPr>
            <w:tcW w:w="1471" w:type="pct"/>
            <w:vAlign w:val="center"/>
          </w:tcPr>
          <w:p w14:paraId="1CAED472"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A18E4F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2813CEF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w:t>
            </w:r>
          </w:p>
        </w:tc>
        <w:tc>
          <w:tcPr>
            <w:tcW w:w="588" w:type="pct"/>
          </w:tcPr>
          <w:p w14:paraId="1AF886DF"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4B5ACD03"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577C82C"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0F474942"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r>
      <w:tr w:rsidR="0095779F" w:rsidRPr="00070779" w14:paraId="7AF8D1A2" w14:textId="77777777" w:rsidTr="00CE7D45">
        <w:trPr>
          <w:jc w:val="center"/>
        </w:trPr>
        <w:tc>
          <w:tcPr>
            <w:tcW w:w="1471" w:type="pct"/>
            <w:vAlign w:val="center"/>
            <w:hideMark/>
          </w:tcPr>
          <w:p w14:paraId="62416F54"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070779">
              <w:rPr>
                <w:rFonts w:eastAsia="DengXian"/>
                <w:sz w:val="20"/>
                <w:szCs w:val="20"/>
                <w:lang w:eastAsia="zh-CN"/>
              </w:rPr>
              <w:t>)</w:t>
            </w:r>
          </w:p>
        </w:tc>
        <w:tc>
          <w:tcPr>
            <w:tcW w:w="588" w:type="pct"/>
          </w:tcPr>
          <w:p w14:paraId="0358E514"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0458D18A"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5E6B411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0.017</w:t>
            </w:r>
            <w:r w:rsidRPr="000E7AEF">
              <w:rPr>
                <w:sz w:val="20"/>
                <w:szCs w:val="20"/>
                <w:vertAlign w:val="superscript"/>
              </w:rPr>
              <w:t>***</w:t>
            </w:r>
          </w:p>
        </w:tc>
        <w:tc>
          <w:tcPr>
            <w:tcW w:w="588" w:type="pct"/>
          </w:tcPr>
          <w:p w14:paraId="53AE1F9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-0.083</w:t>
            </w:r>
          </w:p>
        </w:tc>
        <w:tc>
          <w:tcPr>
            <w:tcW w:w="588" w:type="pct"/>
          </w:tcPr>
          <w:p w14:paraId="59FFFD0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0.043</w:t>
            </w:r>
            <w:r w:rsidRPr="000E7AEF">
              <w:rPr>
                <w:sz w:val="20"/>
                <w:szCs w:val="20"/>
                <w:vertAlign w:val="superscript"/>
              </w:rPr>
              <w:t>***</w:t>
            </w:r>
          </w:p>
        </w:tc>
        <w:tc>
          <w:tcPr>
            <w:tcW w:w="588" w:type="pct"/>
          </w:tcPr>
          <w:p w14:paraId="4C9B402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0.062</w:t>
            </w:r>
          </w:p>
        </w:tc>
      </w:tr>
      <w:tr w:rsidR="0095779F" w:rsidRPr="00070779" w14:paraId="0AE45F55" w14:textId="77777777" w:rsidTr="00CE7D45">
        <w:trPr>
          <w:jc w:val="center"/>
        </w:trPr>
        <w:tc>
          <w:tcPr>
            <w:tcW w:w="1471" w:type="pct"/>
            <w:vAlign w:val="center"/>
          </w:tcPr>
          <w:p w14:paraId="368F4045"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30A159D4"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38FFEDC9"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4D5214B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60F131A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(0.06)</w:t>
            </w:r>
          </w:p>
        </w:tc>
        <w:tc>
          <w:tcPr>
            <w:tcW w:w="588" w:type="pct"/>
          </w:tcPr>
          <w:p w14:paraId="200BB67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7C635C99"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(0.13)</w:t>
            </w:r>
          </w:p>
        </w:tc>
      </w:tr>
      <w:tr w:rsidR="0095779F" w:rsidRPr="00070779" w14:paraId="5733EDDF" w14:textId="77777777" w:rsidTr="00CE7D45">
        <w:trPr>
          <w:jc w:val="center"/>
        </w:trPr>
        <w:tc>
          <w:tcPr>
            <w:tcW w:w="1471" w:type="pct"/>
            <w:vAlign w:val="center"/>
            <w:hideMark/>
          </w:tcPr>
          <w:p w14:paraId="7629FC3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070779">
              <w:rPr>
                <w:rFonts w:eastAsia="DengXian"/>
                <w:sz w:val="20"/>
                <w:szCs w:val="20"/>
                <w:lang w:eastAsia="zh-CN"/>
              </w:rPr>
              <w:t>)</w:t>
            </w:r>
            <w:r w:rsidRPr="00070779">
              <w:rPr>
                <w:rFonts w:eastAsia="DengXian"/>
                <w:sz w:val="20"/>
                <w:szCs w:val="20"/>
                <w:vertAlign w:val="superscript"/>
                <w:lang w:eastAsia="zh-CN"/>
              </w:rPr>
              <w:t>2</w:t>
            </w:r>
          </w:p>
        </w:tc>
        <w:tc>
          <w:tcPr>
            <w:tcW w:w="588" w:type="pct"/>
          </w:tcPr>
          <w:p w14:paraId="43BCEC78"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41C89D6C"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484C0C4E"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2880DE89"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2E5EB3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-0.031</w:t>
            </w:r>
            <w:r w:rsidRPr="000E7AEF">
              <w:rPr>
                <w:sz w:val="20"/>
                <w:szCs w:val="20"/>
                <w:vertAlign w:val="superscript"/>
              </w:rPr>
              <w:t>**</w:t>
            </w:r>
          </w:p>
        </w:tc>
        <w:tc>
          <w:tcPr>
            <w:tcW w:w="588" w:type="pct"/>
          </w:tcPr>
          <w:p w14:paraId="797D4E5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-0.170</w:t>
            </w:r>
          </w:p>
        </w:tc>
      </w:tr>
      <w:tr w:rsidR="0095779F" w:rsidRPr="00070779" w14:paraId="50AAA865" w14:textId="77777777" w:rsidTr="00CE7D45">
        <w:trPr>
          <w:jc w:val="center"/>
        </w:trPr>
        <w:tc>
          <w:tcPr>
            <w:tcW w:w="1471" w:type="pct"/>
            <w:vAlign w:val="center"/>
          </w:tcPr>
          <w:p w14:paraId="7E3964BE"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ADAB9F7"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341D3D21"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60BEF354"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1889BD47"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72F058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61F35FA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(0.12)</w:t>
            </w:r>
          </w:p>
        </w:tc>
      </w:tr>
      <w:tr w:rsidR="0095779F" w:rsidRPr="00070779" w14:paraId="102E3C92" w14:textId="77777777" w:rsidTr="00CE7D45">
        <w:trPr>
          <w:jc w:val="center"/>
        </w:trPr>
        <w:tc>
          <w:tcPr>
            <w:tcW w:w="1471" w:type="pct"/>
            <w:vAlign w:val="center"/>
            <w:hideMark/>
          </w:tcPr>
          <w:p w14:paraId="3E0B1324"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Supplier HHI</w:t>
            </w:r>
          </w:p>
        </w:tc>
        <w:tc>
          <w:tcPr>
            <w:tcW w:w="588" w:type="pct"/>
          </w:tcPr>
          <w:p w14:paraId="49EA2DD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0.002</w:t>
            </w:r>
          </w:p>
        </w:tc>
        <w:tc>
          <w:tcPr>
            <w:tcW w:w="588" w:type="pct"/>
          </w:tcPr>
          <w:p w14:paraId="37EE2C5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-0.057</w:t>
            </w:r>
            <w:r w:rsidRPr="000E7AEF">
              <w:rPr>
                <w:sz w:val="20"/>
                <w:szCs w:val="20"/>
                <w:vertAlign w:val="superscript"/>
              </w:rPr>
              <w:t>*</w:t>
            </w:r>
          </w:p>
        </w:tc>
        <w:tc>
          <w:tcPr>
            <w:tcW w:w="588" w:type="pct"/>
          </w:tcPr>
          <w:p w14:paraId="4727A9C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0.001</w:t>
            </w:r>
          </w:p>
        </w:tc>
        <w:tc>
          <w:tcPr>
            <w:tcW w:w="588" w:type="pct"/>
          </w:tcPr>
          <w:p w14:paraId="57A9C6A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-0.024</w:t>
            </w:r>
          </w:p>
        </w:tc>
        <w:tc>
          <w:tcPr>
            <w:tcW w:w="588" w:type="pct"/>
          </w:tcPr>
          <w:p w14:paraId="2737FDA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-0.001</w:t>
            </w:r>
          </w:p>
        </w:tc>
        <w:tc>
          <w:tcPr>
            <w:tcW w:w="588" w:type="pct"/>
          </w:tcPr>
          <w:p w14:paraId="2A0B57A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-0.033</w:t>
            </w:r>
          </w:p>
        </w:tc>
      </w:tr>
      <w:tr w:rsidR="0095779F" w:rsidRPr="00070779" w14:paraId="10DC1B02" w14:textId="77777777" w:rsidTr="00CE7D45">
        <w:trPr>
          <w:jc w:val="center"/>
        </w:trPr>
        <w:tc>
          <w:tcPr>
            <w:tcW w:w="1471" w:type="pct"/>
            <w:vAlign w:val="center"/>
          </w:tcPr>
          <w:p w14:paraId="58D66888"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34750BC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09520AD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w:t>
            </w:r>
          </w:p>
        </w:tc>
        <w:tc>
          <w:tcPr>
            <w:tcW w:w="588" w:type="pct"/>
          </w:tcPr>
          <w:p w14:paraId="2B75C3E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5FE83AF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w:t>
            </w:r>
          </w:p>
        </w:tc>
        <w:tc>
          <w:tcPr>
            <w:tcW w:w="588" w:type="pct"/>
          </w:tcPr>
          <w:p w14:paraId="6B2A363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4D6E05A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w:t>
            </w:r>
          </w:p>
        </w:tc>
      </w:tr>
      <w:tr w:rsidR="0095779F" w:rsidRPr="00070779" w14:paraId="591CFA86" w14:textId="77777777" w:rsidTr="00CE7D45">
        <w:trPr>
          <w:jc w:val="center"/>
        </w:trPr>
        <w:tc>
          <w:tcPr>
            <w:tcW w:w="1471" w:type="pct"/>
            <w:vAlign w:val="center"/>
            <w:hideMark/>
          </w:tcPr>
          <w:p w14:paraId="6704E3C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Customer HHI</w:t>
            </w:r>
          </w:p>
        </w:tc>
        <w:tc>
          <w:tcPr>
            <w:tcW w:w="588" w:type="pct"/>
          </w:tcPr>
          <w:p w14:paraId="41A44C0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-0.006</w:t>
            </w:r>
          </w:p>
        </w:tc>
        <w:tc>
          <w:tcPr>
            <w:tcW w:w="588" w:type="pct"/>
          </w:tcPr>
          <w:p w14:paraId="570460A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0.008</w:t>
            </w:r>
          </w:p>
        </w:tc>
        <w:tc>
          <w:tcPr>
            <w:tcW w:w="588" w:type="pct"/>
          </w:tcPr>
          <w:p w14:paraId="5DFC0F6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-0.009</w:t>
            </w:r>
            <w:r w:rsidRPr="000E7AEF">
              <w:rPr>
                <w:sz w:val="20"/>
                <w:szCs w:val="20"/>
                <w:vertAlign w:val="superscript"/>
              </w:rPr>
              <w:t>**</w:t>
            </w:r>
          </w:p>
        </w:tc>
        <w:tc>
          <w:tcPr>
            <w:tcW w:w="588" w:type="pct"/>
          </w:tcPr>
          <w:p w14:paraId="29E6BEA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0.055</w:t>
            </w:r>
          </w:p>
        </w:tc>
        <w:tc>
          <w:tcPr>
            <w:tcW w:w="588" w:type="pct"/>
          </w:tcPr>
          <w:p w14:paraId="142BD76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-0.010</w:t>
            </w:r>
            <w:r w:rsidRPr="000E7AEF">
              <w:rPr>
                <w:sz w:val="20"/>
                <w:szCs w:val="20"/>
                <w:vertAlign w:val="superscript"/>
              </w:rPr>
              <w:t>***</w:t>
            </w:r>
          </w:p>
        </w:tc>
        <w:tc>
          <w:tcPr>
            <w:tcW w:w="588" w:type="pct"/>
          </w:tcPr>
          <w:p w14:paraId="70F3EEC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0.052</w:t>
            </w:r>
          </w:p>
        </w:tc>
      </w:tr>
      <w:tr w:rsidR="0095779F" w:rsidRPr="00070779" w14:paraId="56243D0B" w14:textId="77777777" w:rsidTr="00CE7D45">
        <w:trPr>
          <w:jc w:val="center"/>
        </w:trPr>
        <w:tc>
          <w:tcPr>
            <w:tcW w:w="1471" w:type="pct"/>
            <w:vAlign w:val="center"/>
          </w:tcPr>
          <w:p w14:paraId="47C3CE9B"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3DD9E7A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6B99A9B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w:t>
            </w:r>
          </w:p>
        </w:tc>
        <w:tc>
          <w:tcPr>
            <w:tcW w:w="588" w:type="pct"/>
          </w:tcPr>
          <w:p w14:paraId="0111CC5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22D827A7"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w:t>
            </w:r>
          </w:p>
        </w:tc>
        <w:tc>
          <w:tcPr>
            <w:tcW w:w="588" w:type="pct"/>
          </w:tcPr>
          <w:p w14:paraId="5975FE8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1EB30DC7"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w:t>
            </w:r>
          </w:p>
        </w:tc>
      </w:tr>
      <w:tr w:rsidR="0095779F" w:rsidRPr="00070779" w14:paraId="2519CEBE" w14:textId="77777777" w:rsidTr="00CE7D45">
        <w:trPr>
          <w:jc w:val="center"/>
        </w:trPr>
        <w:tc>
          <w:tcPr>
            <w:tcW w:w="1471" w:type="pct"/>
            <w:shd w:val="clear" w:color="auto" w:fill="auto"/>
            <w:vAlign w:val="center"/>
            <w:hideMark/>
          </w:tcPr>
          <w:p w14:paraId="4746C03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Past lending</w:t>
            </w:r>
          </w:p>
        </w:tc>
        <w:tc>
          <w:tcPr>
            <w:tcW w:w="588" w:type="pct"/>
          </w:tcPr>
          <w:p w14:paraId="0048C31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0.003</w:t>
            </w:r>
          </w:p>
        </w:tc>
        <w:tc>
          <w:tcPr>
            <w:tcW w:w="588" w:type="pct"/>
          </w:tcPr>
          <w:p w14:paraId="027028C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0.157</w:t>
            </w:r>
            <w:r w:rsidRPr="000E7AEF">
              <w:rPr>
                <w:sz w:val="20"/>
                <w:szCs w:val="20"/>
                <w:vertAlign w:val="superscript"/>
              </w:rPr>
              <w:t>***</w:t>
            </w:r>
          </w:p>
        </w:tc>
        <w:tc>
          <w:tcPr>
            <w:tcW w:w="588" w:type="pct"/>
          </w:tcPr>
          <w:p w14:paraId="23D9770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0.003</w:t>
            </w:r>
          </w:p>
        </w:tc>
        <w:tc>
          <w:tcPr>
            <w:tcW w:w="588" w:type="pct"/>
          </w:tcPr>
          <w:p w14:paraId="68B8C8E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0.165</w:t>
            </w:r>
            <w:r w:rsidRPr="000E7AEF">
              <w:rPr>
                <w:sz w:val="20"/>
                <w:szCs w:val="20"/>
                <w:vertAlign w:val="superscript"/>
              </w:rPr>
              <w:t>***</w:t>
            </w:r>
          </w:p>
        </w:tc>
        <w:tc>
          <w:tcPr>
            <w:tcW w:w="588" w:type="pct"/>
          </w:tcPr>
          <w:p w14:paraId="14006A2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0.003</w:t>
            </w:r>
          </w:p>
        </w:tc>
        <w:tc>
          <w:tcPr>
            <w:tcW w:w="588" w:type="pct"/>
          </w:tcPr>
          <w:p w14:paraId="6EF416C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0.163</w:t>
            </w:r>
            <w:r w:rsidRPr="000E7AEF">
              <w:rPr>
                <w:sz w:val="20"/>
                <w:szCs w:val="20"/>
                <w:vertAlign w:val="superscript"/>
              </w:rPr>
              <w:t>***</w:t>
            </w:r>
          </w:p>
        </w:tc>
      </w:tr>
      <w:tr w:rsidR="0095779F" w:rsidRPr="00070779" w14:paraId="35A6F843" w14:textId="77777777" w:rsidTr="00CE7D45">
        <w:trPr>
          <w:jc w:val="center"/>
        </w:trPr>
        <w:tc>
          <w:tcPr>
            <w:tcW w:w="1471" w:type="pct"/>
            <w:shd w:val="clear" w:color="auto" w:fill="auto"/>
            <w:vAlign w:val="center"/>
          </w:tcPr>
          <w:p w14:paraId="6A1D26C3"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B64FB9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6C143674"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w:t>
            </w:r>
          </w:p>
        </w:tc>
        <w:tc>
          <w:tcPr>
            <w:tcW w:w="588" w:type="pct"/>
          </w:tcPr>
          <w:p w14:paraId="5E79EA5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061EE7B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w:t>
            </w:r>
          </w:p>
        </w:tc>
        <w:tc>
          <w:tcPr>
            <w:tcW w:w="588" w:type="pct"/>
          </w:tcPr>
          <w:p w14:paraId="6AAD0DF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0BFE4B9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w:t>
            </w:r>
          </w:p>
        </w:tc>
      </w:tr>
      <w:tr w:rsidR="0095779F" w:rsidRPr="00070779" w14:paraId="6C77468E" w14:textId="77777777" w:rsidTr="00CE7D45">
        <w:trPr>
          <w:jc w:val="center"/>
        </w:trPr>
        <w:tc>
          <w:tcPr>
            <w:tcW w:w="1471" w:type="pct"/>
            <w:shd w:val="clear" w:color="auto" w:fill="auto"/>
            <w:vAlign w:val="center"/>
            <w:hideMark/>
          </w:tcPr>
          <w:p w14:paraId="618EE759"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Total asset</w:t>
            </w:r>
          </w:p>
        </w:tc>
        <w:tc>
          <w:tcPr>
            <w:tcW w:w="588" w:type="pct"/>
          </w:tcPr>
          <w:p w14:paraId="424E265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0.001</w:t>
            </w:r>
          </w:p>
        </w:tc>
        <w:tc>
          <w:tcPr>
            <w:tcW w:w="588" w:type="pct"/>
          </w:tcPr>
          <w:p w14:paraId="4B21856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-0.454</w:t>
            </w:r>
            <w:r w:rsidRPr="000E7AEF">
              <w:rPr>
                <w:sz w:val="20"/>
                <w:szCs w:val="20"/>
                <w:vertAlign w:val="superscript"/>
              </w:rPr>
              <w:t>***</w:t>
            </w:r>
          </w:p>
        </w:tc>
        <w:tc>
          <w:tcPr>
            <w:tcW w:w="588" w:type="pct"/>
          </w:tcPr>
          <w:p w14:paraId="6007002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0.001</w:t>
            </w:r>
          </w:p>
        </w:tc>
        <w:tc>
          <w:tcPr>
            <w:tcW w:w="588" w:type="pct"/>
          </w:tcPr>
          <w:p w14:paraId="079CD1A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-0.445</w:t>
            </w:r>
            <w:r w:rsidRPr="000E7AEF">
              <w:rPr>
                <w:sz w:val="20"/>
                <w:szCs w:val="20"/>
                <w:vertAlign w:val="superscript"/>
              </w:rPr>
              <w:t>***</w:t>
            </w:r>
          </w:p>
        </w:tc>
        <w:tc>
          <w:tcPr>
            <w:tcW w:w="588" w:type="pct"/>
          </w:tcPr>
          <w:p w14:paraId="26248B9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0.000</w:t>
            </w:r>
          </w:p>
        </w:tc>
        <w:tc>
          <w:tcPr>
            <w:tcW w:w="588" w:type="pct"/>
          </w:tcPr>
          <w:p w14:paraId="630C5DC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-0.447</w:t>
            </w:r>
            <w:r w:rsidRPr="000E7AEF">
              <w:rPr>
                <w:sz w:val="20"/>
                <w:szCs w:val="20"/>
                <w:vertAlign w:val="superscript"/>
              </w:rPr>
              <w:t>***</w:t>
            </w:r>
          </w:p>
        </w:tc>
      </w:tr>
      <w:tr w:rsidR="0095779F" w:rsidRPr="00070779" w14:paraId="6789ABC3" w14:textId="77777777" w:rsidTr="00CE7D45">
        <w:trPr>
          <w:jc w:val="center"/>
        </w:trPr>
        <w:tc>
          <w:tcPr>
            <w:tcW w:w="1471" w:type="pct"/>
            <w:shd w:val="clear" w:color="auto" w:fill="auto"/>
            <w:vAlign w:val="center"/>
          </w:tcPr>
          <w:p w14:paraId="36DAA18F"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7C74BB0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25389BD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w:t>
            </w:r>
          </w:p>
        </w:tc>
        <w:tc>
          <w:tcPr>
            <w:tcW w:w="588" w:type="pct"/>
          </w:tcPr>
          <w:p w14:paraId="07C06BB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7BF0292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w:t>
            </w:r>
          </w:p>
        </w:tc>
        <w:tc>
          <w:tcPr>
            <w:tcW w:w="588" w:type="pct"/>
          </w:tcPr>
          <w:p w14:paraId="4768DFA4"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1D58824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w:t>
            </w:r>
          </w:p>
        </w:tc>
      </w:tr>
      <w:tr w:rsidR="0095779F" w:rsidRPr="00070779" w14:paraId="534399CF" w14:textId="77777777" w:rsidTr="00CE7D45">
        <w:trPr>
          <w:jc w:val="center"/>
        </w:trPr>
        <w:tc>
          <w:tcPr>
            <w:tcW w:w="1471" w:type="pct"/>
            <w:shd w:val="clear" w:color="auto" w:fill="auto"/>
            <w:vAlign w:val="center"/>
            <w:hideMark/>
          </w:tcPr>
          <w:p w14:paraId="278F41D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ROA</w:t>
            </w:r>
          </w:p>
        </w:tc>
        <w:tc>
          <w:tcPr>
            <w:tcW w:w="588" w:type="pct"/>
          </w:tcPr>
          <w:p w14:paraId="3DDE95F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-0.013</w:t>
            </w:r>
          </w:p>
        </w:tc>
        <w:tc>
          <w:tcPr>
            <w:tcW w:w="588" w:type="pct"/>
          </w:tcPr>
          <w:p w14:paraId="1F2B5CE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-2.383</w:t>
            </w:r>
            <w:r w:rsidRPr="000E7AEF">
              <w:rPr>
                <w:sz w:val="20"/>
                <w:szCs w:val="20"/>
                <w:vertAlign w:val="superscript"/>
              </w:rPr>
              <w:t>***</w:t>
            </w:r>
          </w:p>
        </w:tc>
        <w:tc>
          <w:tcPr>
            <w:tcW w:w="588" w:type="pct"/>
          </w:tcPr>
          <w:p w14:paraId="5D96CFC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-0.013</w:t>
            </w:r>
          </w:p>
        </w:tc>
        <w:tc>
          <w:tcPr>
            <w:tcW w:w="588" w:type="pct"/>
          </w:tcPr>
          <w:p w14:paraId="7DAE9774"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-2.388</w:t>
            </w:r>
            <w:r w:rsidRPr="000E7AEF">
              <w:rPr>
                <w:sz w:val="20"/>
                <w:szCs w:val="20"/>
                <w:vertAlign w:val="superscript"/>
              </w:rPr>
              <w:t>***</w:t>
            </w:r>
          </w:p>
        </w:tc>
        <w:tc>
          <w:tcPr>
            <w:tcW w:w="588" w:type="pct"/>
          </w:tcPr>
          <w:p w14:paraId="2DF52EE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-0.013</w:t>
            </w:r>
          </w:p>
        </w:tc>
        <w:tc>
          <w:tcPr>
            <w:tcW w:w="588" w:type="pct"/>
          </w:tcPr>
          <w:p w14:paraId="321463C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-2.388</w:t>
            </w:r>
            <w:r w:rsidRPr="000E7AEF">
              <w:rPr>
                <w:sz w:val="20"/>
                <w:szCs w:val="20"/>
                <w:vertAlign w:val="superscript"/>
              </w:rPr>
              <w:t>***</w:t>
            </w:r>
          </w:p>
        </w:tc>
      </w:tr>
      <w:tr w:rsidR="0095779F" w:rsidRPr="00070779" w14:paraId="145931F0" w14:textId="77777777" w:rsidTr="00CE7D45">
        <w:trPr>
          <w:jc w:val="center"/>
        </w:trPr>
        <w:tc>
          <w:tcPr>
            <w:tcW w:w="1471" w:type="pct"/>
            <w:shd w:val="clear" w:color="auto" w:fill="auto"/>
            <w:vAlign w:val="center"/>
          </w:tcPr>
          <w:p w14:paraId="63708AF7"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6F900DB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(0.02)</w:t>
            </w:r>
          </w:p>
        </w:tc>
        <w:tc>
          <w:tcPr>
            <w:tcW w:w="588" w:type="pct"/>
          </w:tcPr>
          <w:p w14:paraId="046B9D4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(0.19)</w:t>
            </w:r>
          </w:p>
        </w:tc>
        <w:tc>
          <w:tcPr>
            <w:tcW w:w="588" w:type="pct"/>
          </w:tcPr>
          <w:p w14:paraId="2F7D2DE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(0.02)</w:t>
            </w:r>
          </w:p>
        </w:tc>
        <w:tc>
          <w:tcPr>
            <w:tcW w:w="588" w:type="pct"/>
          </w:tcPr>
          <w:p w14:paraId="70575FA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(0.35)</w:t>
            </w:r>
          </w:p>
        </w:tc>
        <w:tc>
          <w:tcPr>
            <w:tcW w:w="588" w:type="pct"/>
          </w:tcPr>
          <w:p w14:paraId="62FD1D8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(0.02)</w:t>
            </w:r>
          </w:p>
        </w:tc>
        <w:tc>
          <w:tcPr>
            <w:tcW w:w="588" w:type="pct"/>
          </w:tcPr>
          <w:p w14:paraId="23627CC4"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(0.19)</w:t>
            </w:r>
          </w:p>
        </w:tc>
      </w:tr>
      <w:tr w:rsidR="0095779F" w:rsidRPr="00070779" w14:paraId="1DBA91E6" w14:textId="77777777" w:rsidTr="00CE7D45">
        <w:trPr>
          <w:jc w:val="center"/>
        </w:trPr>
        <w:tc>
          <w:tcPr>
            <w:tcW w:w="1471" w:type="pct"/>
            <w:shd w:val="clear" w:color="auto" w:fill="auto"/>
            <w:vAlign w:val="center"/>
            <w:hideMark/>
          </w:tcPr>
          <w:p w14:paraId="3CDD89A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Tobin’s Q</w:t>
            </w:r>
          </w:p>
        </w:tc>
        <w:tc>
          <w:tcPr>
            <w:tcW w:w="588" w:type="pct"/>
          </w:tcPr>
          <w:p w14:paraId="19F6676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-0.005</w:t>
            </w:r>
            <w:r w:rsidRPr="000E7AEF">
              <w:rPr>
                <w:sz w:val="20"/>
                <w:szCs w:val="20"/>
                <w:vertAlign w:val="superscript"/>
              </w:rPr>
              <w:t>**</w:t>
            </w:r>
          </w:p>
        </w:tc>
        <w:tc>
          <w:tcPr>
            <w:tcW w:w="588" w:type="pct"/>
          </w:tcPr>
          <w:p w14:paraId="1CE9491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-0.102</w:t>
            </w:r>
            <w:r w:rsidRPr="000E7AEF">
              <w:rPr>
                <w:sz w:val="20"/>
                <w:szCs w:val="20"/>
                <w:vertAlign w:val="superscript"/>
              </w:rPr>
              <w:t>***</w:t>
            </w:r>
          </w:p>
        </w:tc>
        <w:tc>
          <w:tcPr>
            <w:tcW w:w="588" w:type="pct"/>
          </w:tcPr>
          <w:p w14:paraId="3CA6929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-0.005</w:t>
            </w:r>
            <w:r w:rsidRPr="000E7AEF">
              <w:rPr>
                <w:sz w:val="20"/>
                <w:szCs w:val="20"/>
                <w:vertAlign w:val="superscript"/>
              </w:rPr>
              <w:t>**</w:t>
            </w:r>
          </w:p>
        </w:tc>
        <w:tc>
          <w:tcPr>
            <w:tcW w:w="588" w:type="pct"/>
          </w:tcPr>
          <w:p w14:paraId="5D524F0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-0.099</w:t>
            </w:r>
            <w:r w:rsidRPr="000E7AEF">
              <w:rPr>
                <w:sz w:val="20"/>
                <w:szCs w:val="20"/>
                <w:vertAlign w:val="superscript"/>
              </w:rPr>
              <w:t>***</w:t>
            </w:r>
          </w:p>
        </w:tc>
        <w:tc>
          <w:tcPr>
            <w:tcW w:w="588" w:type="pct"/>
          </w:tcPr>
          <w:p w14:paraId="39AF4EE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-0.005</w:t>
            </w:r>
            <w:r w:rsidRPr="000E7AEF">
              <w:rPr>
                <w:sz w:val="20"/>
                <w:szCs w:val="20"/>
                <w:vertAlign w:val="superscript"/>
              </w:rPr>
              <w:t>**</w:t>
            </w:r>
          </w:p>
        </w:tc>
        <w:tc>
          <w:tcPr>
            <w:tcW w:w="588" w:type="pct"/>
          </w:tcPr>
          <w:p w14:paraId="1573FCE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-0.099</w:t>
            </w:r>
            <w:r w:rsidRPr="000E7AEF">
              <w:rPr>
                <w:sz w:val="20"/>
                <w:szCs w:val="20"/>
                <w:vertAlign w:val="superscript"/>
              </w:rPr>
              <w:t>***</w:t>
            </w:r>
          </w:p>
        </w:tc>
      </w:tr>
      <w:tr w:rsidR="0095779F" w:rsidRPr="00070779" w14:paraId="6807A7E9" w14:textId="77777777" w:rsidTr="00CE7D45">
        <w:trPr>
          <w:jc w:val="center"/>
        </w:trPr>
        <w:tc>
          <w:tcPr>
            <w:tcW w:w="1471" w:type="pct"/>
            <w:shd w:val="clear" w:color="auto" w:fill="auto"/>
            <w:vAlign w:val="center"/>
          </w:tcPr>
          <w:p w14:paraId="197BE5D2"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412C64C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5F232F09"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(0.02)</w:t>
            </w:r>
          </w:p>
        </w:tc>
        <w:tc>
          <w:tcPr>
            <w:tcW w:w="588" w:type="pct"/>
          </w:tcPr>
          <w:p w14:paraId="63D0591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4AF5B12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w:t>
            </w:r>
          </w:p>
        </w:tc>
        <w:tc>
          <w:tcPr>
            <w:tcW w:w="588" w:type="pct"/>
          </w:tcPr>
          <w:p w14:paraId="4E98EB3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5B83BD7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(0.02)</w:t>
            </w:r>
          </w:p>
        </w:tc>
      </w:tr>
      <w:tr w:rsidR="0095779F" w:rsidRPr="00070779" w14:paraId="74B8F90C" w14:textId="77777777" w:rsidTr="00CE7D45">
        <w:trPr>
          <w:jc w:val="center"/>
        </w:trPr>
        <w:tc>
          <w:tcPr>
            <w:tcW w:w="1471" w:type="pct"/>
            <w:shd w:val="clear" w:color="auto" w:fill="auto"/>
            <w:vAlign w:val="center"/>
            <w:hideMark/>
          </w:tcPr>
          <w:p w14:paraId="08C18C4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Cash</w:t>
            </w:r>
          </w:p>
        </w:tc>
        <w:tc>
          <w:tcPr>
            <w:tcW w:w="588" w:type="pct"/>
          </w:tcPr>
          <w:p w14:paraId="042E881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0.007</w:t>
            </w:r>
          </w:p>
        </w:tc>
        <w:tc>
          <w:tcPr>
            <w:tcW w:w="588" w:type="pct"/>
          </w:tcPr>
          <w:p w14:paraId="0826774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0.453</w:t>
            </w:r>
            <w:r w:rsidRPr="000E7AEF">
              <w:rPr>
                <w:sz w:val="20"/>
                <w:szCs w:val="20"/>
                <w:vertAlign w:val="superscript"/>
              </w:rPr>
              <w:t>***</w:t>
            </w:r>
          </w:p>
        </w:tc>
        <w:tc>
          <w:tcPr>
            <w:tcW w:w="588" w:type="pct"/>
          </w:tcPr>
          <w:p w14:paraId="46B996E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0.007</w:t>
            </w:r>
          </w:p>
        </w:tc>
        <w:tc>
          <w:tcPr>
            <w:tcW w:w="588" w:type="pct"/>
          </w:tcPr>
          <w:p w14:paraId="58DE44A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0.473</w:t>
            </w:r>
            <w:r w:rsidRPr="000E7AEF">
              <w:rPr>
                <w:sz w:val="20"/>
                <w:szCs w:val="20"/>
                <w:vertAlign w:val="superscript"/>
              </w:rPr>
              <w:t>***</w:t>
            </w:r>
          </w:p>
        </w:tc>
        <w:tc>
          <w:tcPr>
            <w:tcW w:w="588" w:type="pct"/>
          </w:tcPr>
          <w:p w14:paraId="61FB96D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0.006</w:t>
            </w:r>
          </w:p>
        </w:tc>
        <w:tc>
          <w:tcPr>
            <w:tcW w:w="588" w:type="pct"/>
          </w:tcPr>
          <w:p w14:paraId="0BD7E6A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0.469</w:t>
            </w:r>
            <w:r w:rsidRPr="000E7AEF">
              <w:rPr>
                <w:sz w:val="20"/>
                <w:szCs w:val="20"/>
                <w:vertAlign w:val="superscript"/>
              </w:rPr>
              <w:t>***</w:t>
            </w:r>
          </w:p>
        </w:tc>
      </w:tr>
      <w:tr w:rsidR="0095779F" w:rsidRPr="00070779" w14:paraId="56EAB781" w14:textId="77777777" w:rsidTr="00CE7D45">
        <w:trPr>
          <w:jc w:val="center"/>
        </w:trPr>
        <w:tc>
          <w:tcPr>
            <w:tcW w:w="1471" w:type="pct"/>
            <w:shd w:val="clear" w:color="auto" w:fill="auto"/>
            <w:vAlign w:val="center"/>
          </w:tcPr>
          <w:p w14:paraId="773733C6"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1BCA1AD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33751B0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(0.16)</w:t>
            </w:r>
          </w:p>
        </w:tc>
        <w:tc>
          <w:tcPr>
            <w:tcW w:w="588" w:type="pct"/>
          </w:tcPr>
          <w:p w14:paraId="2E99A7D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57C9B37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(0.15)</w:t>
            </w:r>
          </w:p>
        </w:tc>
        <w:tc>
          <w:tcPr>
            <w:tcW w:w="588" w:type="pct"/>
          </w:tcPr>
          <w:p w14:paraId="6FF6781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5D6A6D29"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(0.16)</w:t>
            </w:r>
          </w:p>
        </w:tc>
      </w:tr>
      <w:tr w:rsidR="0095779F" w:rsidRPr="00070779" w14:paraId="65D36BF0" w14:textId="77777777" w:rsidTr="00CE7D45">
        <w:trPr>
          <w:jc w:val="center"/>
        </w:trPr>
        <w:tc>
          <w:tcPr>
            <w:tcW w:w="1471" w:type="pct"/>
            <w:shd w:val="clear" w:color="auto" w:fill="auto"/>
            <w:vAlign w:val="center"/>
            <w:hideMark/>
          </w:tcPr>
          <w:p w14:paraId="058EA22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Leverage</w:t>
            </w:r>
          </w:p>
        </w:tc>
        <w:tc>
          <w:tcPr>
            <w:tcW w:w="588" w:type="pct"/>
          </w:tcPr>
          <w:p w14:paraId="4BEEDD2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0.025</w:t>
            </w:r>
            <w:r w:rsidRPr="000E7AEF">
              <w:rPr>
                <w:sz w:val="20"/>
                <w:szCs w:val="20"/>
                <w:vertAlign w:val="superscript"/>
              </w:rPr>
              <w:t>***</w:t>
            </w:r>
          </w:p>
        </w:tc>
        <w:tc>
          <w:tcPr>
            <w:tcW w:w="588" w:type="pct"/>
          </w:tcPr>
          <w:p w14:paraId="25A5E83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0.921</w:t>
            </w:r>
            <w:r w:rsidRPr="000E7AEF">
              <w:rPr>
                <w:sz w:val="20"/>
                <w:szCs w:val="20"/>
                <w:vertAlign w:val="superscript"/>
              </w:rPr>
              <w:t>***</w:t>
            </w:r>
          </w:p>
        </w:tc>
        <w:tc>
          <w:tcPr>
            <w:tcW w:w="588" w:type="pct"/>
          </w:tcPr>
          <w:p w14:paraId="68CB87A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0.026</w:t>
            </w:r>
            <w:r w:rsidRPr="000E7AEF">
              <w:rPr>
                <w:sz w:val="20"/>
                <w:szCs w:val="20"/>
                <w:vertAlign w:val="superscript"/>
              </w:rPr>
              <w:t>***</w:t>
            </w:r>
          </w:p>
        </w:tc>
        <w:tc>
          <w:tcPr>
            <w:tcW w:w="588" w:type="pct"/>
          </w:tcPr>
          <w:p w14:paraId="631F4E6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0.916</w:t>
            </w:r>
            <w:r w:rsidRPr="000E7AEF">
              <w:rPr>
                <w:sz w:val="20"/>
                <w:szCs w:val="20"/>
                <w:vertAlign w:val="superscript"/>
              </w:rPr>
              <w:t>***</w:t>
            </w:r>
          </w:p>
        </w:tc>
        <w:tc>
          <w:tcPr>
            <w:tcW w:w="588" w:type="pct"/>
          </w:tcPr>
          <w:p w14:paraId="430EDB1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0.026</w:t>
            </w:r>
            <w:r w:rsidRPr="000E7AEF">
              <w:rPr>
                <w:sz w:val="20"/>
                <w:szCs w:val="20"/>
                <w:vertAlign w:val="superscript"/>
              </w:rPr>
              <w:t>***</w:t>
            </w:r>
          </w:p>
        </w:tc>
        <w:tc>
          <w:tcPr>
            <w:tcW w:w="588" w:type="pct"/>
          </w:tcPr>
          <w:p w14:paraId="2BF80B3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0.918</w:t>
            </w:r>
            <w:r w:rsidRPr="000E7AEF">
              <w:rPr>
                <w:sz w:val="20"/>
                <w:szCs w:val="20"/>
                <w:vertAlign w:val="superscript"/>
              </w:rPr>
              <w:t>***</w:t>
            </w:r>
          </w:p>
        </w:tc>
      </w:tr>
      <w:tr w:rsidR="0095779F" w:rsidRPr="00070779" w14:paraId="54B14BBC" w14:textId="77777777" w:rsidTr="00CE7D45">
        <w:trPr>
          <w:jc w:val="center"/>
        </w:trPr>
        <w:tc>
          <w:tcPr>
            <w:tcW w:w="1471" w:type="pct"/>
            <w:shd w:val="clear" w:color="auto" w:fill="auto"/>
            <w:vAlign w:val="center"/>
          </w:tcPr>
          <w:p w14:paraId="7AE0B50B"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198E658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06DAA42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(0.07)</w:t>
            </w:r>
          </w:p>
        </w:tc>
        <w:tc>
          <w:tcPr>
            <w:tcW w:w="588" w:type="pct"/>
          </w:tcPr>
          <w:p w14:paraId="0CD7013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2F559D07"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(0.06)</w:t>
            </w:r>
          </w:p>
        </w:tc>
        <w:tc>
          <w:tcPr>
            <w:tcW w:w="588" w:type="pct"/>
          </w:tcPr>
          <w:p w14:paraId="0275E26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7F7C0AA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(0.07)</w:t>
            </w:r>
          </w:p>
        </w:tc>
      </w:tr>
      <w:tr w:rsidR="0095779F" w:rsidRPr="00070779" w14:paraId="59363DA7" w14:textId="77777777" w:rsidTr="00CE7D45">
        <w:trPr>
          <w:jc w:val="center"/>
        </w:trPr>
        <w:tc>
          <w:tcPr>
            <w:tcW w:w="1471" w:type="pct"/>
            <w:shd w:val="clear" w:color="auto" w:fill="auto"/>
            <w:vAlign w:val="center"/>
            <w:hideMark/>
          </w:tcPr>
          <w:p w14:paraId="30B35C84"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CAPX</w:t>
            </w:r>
          </w:p>
        </w:tc>
        <w:tc>
          <w:tcPr>
            <w:tcW w:w="588" w:type="pct"/>
          </w:tcPr>
          <w:p w14:paraId="6BF0F909"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-0.006</w:t>
            </w:r>
            <w:r w:rsidRPr="000E7AEF">
              <w:rPr>
                <w:sz w:val="20"/>
                <w:szCs w:val="20"/>
                <w:vertAlign w:val="superscript"/>
              </w:rPr>
              <w:t>**</w:t>
            </w:r>
          </w:p>
        </w:tc>
        <w:tc>
          <w:tcPr>
            <w:tcW w:w="588" w:type="pct"/>
          </w:tcPr>
          <w:p w14:paraId="168EBA3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-0.060</w:t>
            </w:r>
            <w:r w:rsidRPr="000E7AEF">
              <w:rPr>
                <w:sz w:val="20"/>
                <w:szCs w:val="20"/>
                <w:vertAlign w:val="superscript"/>
              </w:rPr>
              <w:t>*</w:t>
            </w:r>
          </w:p>
        </w:tc>
        <w:tc>
          <w:tcPr>
            <w:tcW w:w="588" w:type="pct"/>
          </w:tcPr>
          <w:p w14:paraId="7C8BAC9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-0.006</w:t>
            </w:r>
            <w:r w:rsidRPr="000E7AEF">
              <w:rPr>
                <w:sz w:val="20"/>
                <w:szCs w:val="20"/>
                <w:vertAlign w:val="superscript"/>
              </w:rPr>
              <w:t>**</w:t>
            </w:r>
          </w:p>
        </w:tc>
        <w:tc>
          <w:tcPr>
            <w:tcW w:w="588" w:type="pct"/>
          </w:tcPr>
          <w:p w14:paraId="156A304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-0.056</w:t>
            </w:r>
          </w:p>
        </w:tc>
        <w:tc>
          <w:tcPr>
            <w:tcW w:w="588" w:type="pct"/>
          </w:tcPr>
          <w:p w14:paraId="25CA9F1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-0.006</w:t>
            </w:r>
            <w:r w:rsidRPr="000E7AEF">
              <w:rPr>
                <w:sz w:val="20"/>
                <w:szCs w:val="20"/>
                <w:vertAlign w:val="superscript"/>
              </w:rPr>
              <w:t>**</w:t>
            </w:r>
          </w:p>
        </w:tc>
        <w:tc>
          <w:tcPr>
            <w:tcW w:w="588" w:type="pct"/>
          </w:tcPr>
          <w:p w14:paraId="6946B90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-0.058</w:t>
            </w:r>
            <w:r w:rsidRPr="000E7AEF">
              <w:rPr>
                <w:sz w:val="20"/>
                <w:szCs w:val="20"/>
                <w:vertAlign w:val="superscript"/>
              </w:rPr>
              <w:t>*</w:t>
            </w:r>
          </w:p>
        </w:tc>
      </w:tr>
      <w:tr w:rsidR="0095779F" w:rsidRPr="00070779" w14:paraId="686B29D8" w14:textId="77777777" w:rsidTr="00CE7D45">
        <w:trPr>
          <w:jc w:val="center"/>
        </w:trPr>
        <w:tc>
          <w:tcPr>
            <w:tcW w:w="1471" w:type="pct"/>
            <w:shd w:val="clear" w:color="auto" w:fill="auto"/>
            <w:vAlign w:val="center"/>
          </w:tcPr>
          <w:p w14:paraId="10E81B45"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336AD34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24370609"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w:t>
            </w:r>
          </w:p>
        </w:tc>
        <w:tc>
          <w:tcPr>
            <w:tcW w:w="588" w:type="pct"/>
          </w:tcPr>
          <w:p w14:paraId="6DEF3B3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0DBEC249"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(0.04)</w:t>
            </w:r>
          </w:p>
        </w:tc>
        <w:tc>
          <w:tcPr>
            <w:tcW w:w="588" w:type="pct"/>
          </w:tcPr>
          <w:p w14:paraId="6A302B2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54F57A8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w:t>
            </w:r>
          </w:p>
        </w:tc>
      </w:tr>
      <w:tr w:rsidR="00DF0AA9" w:rsidRPr="00070779" w14:paraId="6AF41969" w14:textId="77777777" w:rsidTr="00CE7D45">
        <w:trPr>
          <w:jc w:val="center"/>
        </w:trPr>
        <w:tc>
          <w:tcPr>
            <w:tcW w:w="1471" w:type="pct"/>
            <w:shd w:val="clear" w:color="auto" w:fill="auto"/>
            <w:vAlign w:val="center"/>
            <w:hideMark/>
          </w:tcPr>
          <w:p w14:paraId="72312D4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Pr>
                <w:rFonts w:eastAsia="DengXian"/>
                <w:sz w:val="20"/>
                <w:szCs w:val="20"/>
                <w:lang w:eastAsia="zh-CN"/>
              </w:rPr>
              <w:t>(F</w:t>
            </w:r>
            <w:r w:rsidRPr="002B3BA8">
              <w:rPr>
                <w:rFonts w:eastAsia="DengXian"/>
                <w:sz w:val="20"/>
                <w:szCs w:val="20"/>
                <w:lang w:eastAsia="zh-CN"/>
              </w:rPr>
              <w:t>acility amount</w:t>
            </w:r>
            <w:r>
              <w:rPr>
                <w:rFonts w:eastAsia="DengXian"/>
                <w:sz w:val="20"/>
                <w:szCs w:val="20"/>
                <w:lang w:eastAsia="zh-CN"/>
              </w:rPr>
              <w:t>)</w:t>
            </w:r>
          </w:p>
        </w:tc>
        <w:tc>
          <w:tcPr>
            <w:tcW w:w="588" w:type="pct"/>
          </w:tcPr>
          <w:p w14:paraId="63A275D3"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0.015</w:t>
            </w:r>
            <w:r w:rsidRPr="000E7AEF">
              <w:rPr>
                <w:sz w:val="20"/>
                <w:szCs w:val="20"/>
                <w:vertAlign w:val="superscript"/>
              </w:rPr>
              <w:t>***</w:t>
            </w:r>
          </w:p>
        </w:tc>
        <w:tc>
          <w:tcPr>
            <w:tcW w:w="588" w:type="pct"/>
          </w:tcPr>
          <w:p w14:paraId="6A8EFDAF"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-0.419</w:t>
            </w:r>
            <w:r w:rsidRPr="000E7AEF">
              <w:rPr>
                <w:sz w:val="20"/>
                <w:szCs w:val="20"/>
                <w:vertAlign w:val="superscript"/>
              </w:rPr>
              <w:t>***</w:t>
            </w:r>
          </w:p>
        </w:tc>
        <w:tc>
          <w:tcPr>
            <w:tcW w:w="588" w:type="pct"/>
          </w:tcPr>
          <w:p w14:paraId="0AA72135"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0.015</w:t>
            </w:r>
            <w:r w:rsidRPr="000E7AEF">
              <w:rPr>
                <w:sz w:val="20"/>
                <w:szCs w:val="20"/>
                <w:vertAlign w:val="superscript"/>
              </w:rPr>
              <w:t>***</w:t>
            </w:r>
          </w:p>
        </w:tc>
        <w:tc>
          <w:tcPr>
            <w:tcW w:w="588" w:type="pct"/>
          </w:tcPr>
          <w:p w14:paraId="48B1A0AE"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-0.419</w:t>
            </w:r>
            <w:r w:rsidRPr="000E7AEF">
              <w:rPr>
                <w:sz w:val="20"/>
                <w:szCs w:val="20"/>
                <w:vertAlign w:val="superscript"/>
              </w:rPr>
              <w:t>***</w:t>
            </w:r>
          </w:p>
        </w:tc>
        <w:tc>
          <w:tcPr>
            <w:tcW w:w="588" w:type="pct"/>
          </w:tcPr>
          <w:p w14:paraId="616E166A"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0.015</w:t>
            </w:r>
            <w:r w:rsidRPr="000E7AEF">
              <w:rPr>
                <w:sz w:val="20"/>
                <w:szCs w:val="20"/>
                <w:vertAlign w:val="superscript"/>
              </w:rPr>
              <w:t>***</w:t>
            </w:r>
          </w:p>
        </w:tc>
        <w:tc>
          <w:tcPr>
            <w:tcW w:w="588" w:type="pct"/>
          </w:tcPr>
          <w:p w14:paraId="575ECD3A"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-0.419</w:t>
            </w:r>
            <w:r w:rsidRPr="000E7AEF">
              <w:rPr>
                <w:sz w:val="20"/>
                <w:szCs w:val="20"/>
                <w:vertAlign w:val="superscript"/>
              </w:rPr>
              <w:t>***</w:t>
            </w:r>
          </w:p>
        </w:tc>
      </w:tr>
      <w:tr w:rsidR="00DF0AA9" w:rsidRPr="00070779" w14:paraId="73093217" w14:textId="77777777" w:rsidTr="00CE7D45">
        <w:trPr>
          <w:jc w:val="center"/>
        </w:trPr>
        <w:tc>
          <w:tcPr>
            <w:tcW w:w="1471" w:type="pct"/>
            <w:shd w:val="clear" w:color="auto" w:fill="auto"/>
            <w:vAlign w:val="center"/>
          </w:tcPr>
          <w:p w14:paraId="317FCE33" w14:textId="77777777" w:rsidR="00DF0AA9" w:rsidRPr="00070779" w:rsidRDefault="00DF0AA9" w:rsidP="00DF0AA9">
            <w:pPr>
              <w:widowControl w:val="0"/>
              <w:autoSpaceDE w:val="0"/>
              <w:autoSpaceDN w:val="0"/>
              <w:adjustRightInd w:val="0"/>
              <w:jc w:val="center"/>
              <w:rPr>
                <w:rFonts w:eastAsia="DengXian"/>
                <w:sz w:val="20"/>
                <w:szCs w:val="20"/>
                <w:lang w:eastAsia="zh-CN"/>
              </w:rPr>
            </w:pPr>
          </w:p>
        </w:tc>
        <w:tc>
          <w:tcPr>
            <w:tcW w:w="588" w:type="pct"/>
          </w:tcPr>
          <w:p w14:paraId="0F165A8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679B2137"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(0.05)</w:t>
            </w:r>
          </w:p>
        </w:tc>
        <w:tc>
          <w:tcPr>
            <w:tcW w:w="588" w:type="pct"/>
          </w:tcPr>
          <w:p w14:paraId="45561BB7"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13720211"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(0.05)</w:t>
            </w:r>
          </w:p>
        </w:tc>
        <w:tc>
          <w:tcPr>
            <w:tcW w:w="588" w:type="pct"/>
          </w:tcPr>
          <w:p w14:paraId="17C5FDB3"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21A2865C"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(0.05)</w:t>
            </w:r>
          </w:p>
        </w:tc>
      </w:tr>
      <w:tr w:rsidR="00DF0AA9" w:rsidRPr="00070779" w14:paraId="5FF67BF9" w14:textId="77777777" w:rsidTr="00CE7D45">
        <w:trPr>
          <w:jc w:val="center"/>
        </w:trPr>
        <w:tc>
          <w:tcPr>
            <w:tcW w:w="1471" w:type="pct"/>
            <w:shd w:val="clear" w:color="auto" w:fill="auto"/>
            <w:vAlign w:val="center"/>
            <w:hideMark/>
          </w:tcPr>
          <w:p w14:paraId="42D37ED0"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Pr>
                <w:rFonts w:eastAsia="DengXian"/>
                <w:sz w:val="20"/>
                <w:szCs w:val="20"/>
                <w:lang w:eastAsia="zh-CN"/>
              </w:rPr>
              <w:t>(F</w:t>
            </w:r>
            <w:r w:rsidRPr="002B3BA8">
              <w:rPr>
                <w:rFonts w:eastAsia="DengXian"/>
                <w:sz w:val="20"/>
                <w:szCs w:val="20"/>
                <w:lang w:eastAsia="zh-CN"/>
              </w:rPr>
              <w:t>acility maturity</w:t>
            </w:r>
            <w:r>
              <w:rPr>
                <w:rFonts w:eastAsia="DengXian"/>
                <w:sz w:val="20"/>
                <w:szCs w:val="20"/>
                <w:lang w:eastAsia="zh-CN"/>
              </w:rPr>
              <w:t>)</w:t>
            </w:r>
          </w:p>
        </w:tc>
        <w:tc>
          <w:tcPr>
            <w:tcW w:w="588" w:type="pct"/>
          </w:tcPr>
          <w:p w14:paraId="46B4BF1D"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-0.008</w:t>
            </w:r>
            <w:r w:rsidRPr="000E7AEF">
              <w:rPr>
                <w:sz w:val="20"/>
                <w:szCs w:val="20"/>
                <w:vertAlign w:val="superscript"/>
              </w:rPr>
              <w:t>*</w:t>
            </w:r>
          </w:p>
        </w:tc>
        <w:tc>
          <w:tcPr>
            <w:tcW w:w="588" w:type="pct"/>
          </w:tcPr>
          <w:p w14:paraId="1F14954D"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-0.105</w:t>
            </w:r>
          </w:p>
        </w:tc>
        <w:tc>
          <w:tcPr>
            <w:tcW w:w="588" w:type="pct"/>
          </w:tcPr>
          <w:p w14:paraId="73B075AC"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-0.008</w:t>
            </w:r>
            <w:r w:rsidRPr="000E7AEF">
              <w:rPr>
                <w:sz w:val="20"/>
                <w:szCs w:val="20"/>
                <w:vertAlign w:val="superscript"/>
              </w:rPr>
              <w:t>*</w:t>
            </w:r>
          </w:p>
        </w:tc>
        <w:tc>
          <w:tcPr>
            <w:tcW w:w="588" w:type="pct"/>
          </w:tcPr>
          <w:p w14:paraId="539F4B5B"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-0.110</w:t>
            </w:r>
          </w:p>
        </w:tc>
        <w:tc>
          <w:tcPr>
            <w:tcW w:w="588" w:type="pct"/>
          </w:tcPr>
          <w:p w14:paraId="211AD646"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-0.007</w:t>
            </w:r>
            <w:r w:rsidRPr="000E7AEF">
              <w:rPr>
                <w:sz w:val="20"/>
                <w:szCs w:val="20"/>
                <w:vertAlign w:val="superscript"/>
              </w:rPr>
              <w:t>*</w:t>
            </w:r>
          </w:p>
        </w:tc>
        <w:tc>
          <w:tcPr>
            <w:tcW w:w="588" w:type="pct"/>
          </w:tcPr>
          <w:p w14:paraId="1D9B0AB5"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-0.109</w:t>
            </w:r>
          </w:p>
        </w:tc>
      </w:tr>
      <w:tr w:rsidR="00DF0AA9" w:rsidRPr="00070779" w14:paraId="3220107C" w14:textId="77777777" w:rsidTr="00CE7D45">
        <w:trPr>
          <w:jc w:val="center"/>
        </w:trPr>
        <w:tc>
          <w:tcPr>
            <w:tcW w:w="1471" w:type="pct"/>
            <w:shd w:val="clear" w:color="auto" w:fill="auto"/>
            <w:vAlign w:val="center"/>
          </w:tcPr>
          <w:p w14:paraId="0DFEDE78" w14:textId="77777777" w:rsidR="00DF0AA9" w:rsidRPr="00070779" w:rsidRDefault="00DF0AA9" w:rsidP="00DF0AA9">
            <w:pPr>
              <w:widowControl w:val="0"/>
              <w:autoSpaceDE w:val="0"/>
              <w:autoSpaceDN w:val="0"/>
              <w:adjustRightInd w:val="0"/>
              <w:jc w:val="center"/>
              <w:rPr>
                <w:rFonts w:eastAsia="DengXian"/>
                <w:sz w:val="20"/>
                <w:szCs w:val="20"/>
                <w:lang w:eastAsia="zh-CN"/>
              </w:rPr>
            </w:pPr>
          </w:p>
        </w:tc>
        <w:tc>
          <w:tcPr>
            <w:tcW w:w="588" w:type="pct"/>
          </w:tcPr>
          <w:p w14:paraId="05A9615D"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4E08D000"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(0.07)</w:t>
            </w:r>
          </w:p>
        </w:tc>
        <w:tc>
          <w:tcPr>
            <w:tcW w:w="588" w:type="pct"/>
          </w:tcPr>
          <w:p w14:paraId="43207813"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4FAB563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(0.08)</w:t>
            </w:r>
          </w:p>
        </w:tc>
        <w:tc>
          <w:tcPr>
            <w:tcW w:w="588" w:type="pct"/>
          </w:tcPr>
          <w:p w14:paraId="7B16F8E8"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3B57CB53"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(0.07)</w:t>
            </w:r>
          </w:p>
        </w:tc>
      </w:tr>
      <w:tr w:rsidR="00DF0AA9" w:rsidRPr="00070779" w14:paraId="53F13A0B" w14:textId="77777777" w:rsidTr="00CE7D45">
        <w:trPr>
          <w:jc w:val="center"/>
        </w:trPr>
        <w:tc>
          <w:tcPr>
            <w:tcW w:w="1471" w:type="pct"/>
            <w:shd w:val="clear" w:color="auto" w:fill="auto"/>
            <w:vAlign w:val="center"/>
            <w:hideMark/>
          </w:tcPr>
          <w:p w14:paraId="13253D0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Pr>
                <w:rFonts w:eastAsia="DengXian"/>
                <w:sz w:val="20"/>
                <w:szCs w:val="20"/>
                <w:lang w:eastAsia="zh-CN"/>
              </w:rPr>
              <w:t>(N</w:t>
            </w:r>
            <w:r w:rsidRPr="002B3BA8">
              <w:rPr>
                <w:rFonts w:eastAsia="DengXian"/>
                <w:sz w:val="20"/>
                <w:szCs w:val="20"/>
                <w:lang w:eastAsia="zh-CN"/>
              </w:rPr>
              <w:t>umber of banks</w:t>
            </w:r>
            <w:r>
              <w:rPr>
                <w:rFonts w:eastAsia="DengXian"/>
                <w:sz w:val="20"/>
                <w:szCs w:val="20"/>
                <w:lang w:eastAsia="zh-CN"/>
              </w:rPr>
              <w:t>)</w:t>
            </w:r>
          </w:p>
        </w:tc>
        <w:tc>
          <w:tcPr>
            <w:tcW w:w="588" w:type="pct"/>
          </w:tcPr>
          <w:p w14:paraId="16A27F5F"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-0.389</w:t>
            </w:r>
            <w:r w:rsidRPr="000E7AEF">
              <w:rPr>
                <w:sz w:val="20"/>
                <w:szCs w:val="20"/>
                <w:vertAlign w:val="superscript"/>
              </w:rPr>
              <w:t>***</w:t>
            </w:r>
          </w:p>
        </w:tc>
        <w:tc>
          <w:tcPr>
            <w:tcW w:w="588" w:type="pct"/>
          </w:tcPr>
          <w:p w14:paraId="72FD2CD6"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1.311</w:t>
            </w:r>
            <w:r w:rsidRPr="000E7AEF">
              <w:rPr>
                <w:sz w:val="20"/>
                <w:szCs w:val="20"/>
                <w:vertAlign w:val="superscript"/>
              </w:rPr>
              <w:t>***</w:t>
            </w:r>
          </w:p>
        </w:tc>
        <w:tc>
          <w:tcPr>
            <w:tcW w:w="588" w:type="pct"/>
          </w:tcPr>
          <w:p w14:paraId="75ADF8F6"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-0.389</w:t>
            </w:r>
            <w:r w:rsidRPr="000E7AEF">
              <w:rPr>
                <w:sz w:val="20"/>
                <w:szCs w:val="20"/>
                <w:vertAlign w:val="superscript"/>
              </w:rPr>
              <w:t>***</w:t>
            </w:r>
          </w:p>
        </w:tc>
        <w:tc>
          <w:tcPr>
            <w:tcW w:w="588" w:type="pct"/>
          </w:tcPr>
          <w:p w14:paraId="2E34F2E0"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1.324</w:t>
            </w:r>
            <w:r w:rsidRPr="000E7AEF">
              <w:rPr>
                <w:sz w:val="20"/>
                <w:szCs w:val="20"/>
                <w:vertAlign w:val="superscript"/>
              </w:rPr>
              <w:t>***</w:t>
            </w:r>
          </w:p>
        </w:tc>
        <w:tc>
          <w:tcPr>
            <w:tcW w:w="588" w:type="pct"/>
          </w:tcPr>
          <w:p w14:paraId="40563871"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-0.388</w:t>
            </w:r>
            <w:r w:rsidRPr="000E7AEF">
              <w:rPr>
                <w:sz w:val="20"/>
                <w:szCs w:val="20"/>
                <w:vertAlign w:val="superscript"/>
              </w:rPr>
              <w:t>***</w:t>
            </w:r>
          </w:p>
        </w:tc>
        <w:tc>
          <w:tcPr>
            <w:tcW w:w="588" w:type="pct"/>
          </w:tcPr>
          <w:p w14:paraId="46C02250"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1.323</w:t>
            </w:r>
            <w:r w:rsidRPr="000E7AEF">
              <w:rPr>
                <w:sz w:val="20"/>
                <w:szCs w:val="20"/>
                <w:vertAlign w:val="superscript"/>
              </w:rPr>
              <w:t>***</w:t>
            </w:r>
          </w:p>
        </w:tc>
      </w:tr>
      <w:tr w:rsidR="00DF0AA9" w:rsidRPr="00070779" w14:paraId="4F91F130" w14:textId="77777777" w:rsidTr="00CE7D45">
        <w:trPr>
          <w:jc w:val="center"/>
        </w:trPr>
        <w:tc>
          <w:tcPr>
            <w:tcW w:w="1471" w:type="pct"/>
            <w:shd w:val="clear" w:color="auto" w:fill="auto"/>
            <w:vAlign w:val="center"/>
          </w:tcPr>
          <w:p w14:paraId="684C8FCF" w14:textId="77777777" w:rsidR="00DF0AA9" w:rsidRPr="00070779" w:rsidRDefault="00DF0AA9" w:rsidP="00DF0AA9">
            <w:pPr>
              <w:widowControl w:val="0"/>
              <w:autoSpaceDE w:val="0"/>
              <w:autoSpaceDN w:val="0"/>
              <w:adjustRightInd w:val="0"/>
              <w:jc w:val="center"/>
              <w:rPr>
                <w:rFonts w:eastAsia="DengXian"/>
                <w:sz w:val="20"/>
                <w:szCs w:val="20"/>
                <w:lang w:eastAsia="zh-CN"/>
              </w:rPr>
            </w:pPr>
          </w:p>
        </w:tc>
        <w:tc>
          <w:tcPr>
            <w:tcW w:w="588" w:type="pct"/>
          </w:tcPr>
          <w:p w14:paraId="5C35F3E8"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1CDAE0DA"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(0.30)</w:t>
            </w:r>
          </w:p>
        </w:tc>
        <w:tc>
          <w:tcPr>
            <w:tcW w:w="588" w:type="pct"/>
          </w:tcPr>
          <w:p w14:paraId="13F0CF4F"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184DC173"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(0.30)</w:t>
            </w:r>
          </w:p>
        </w:tc>
        <w:tc>
          <w:tcPr>
            <w:tcW w:w="588" w:type="pct"/>
          </w:tcPr>
          <w:p w14:paraId="7A0311A5"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62C8E1F9"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0E7AEF">
              <w:rPr>
                <w:sz w:val="20"/>
                <w:szCs w:val="20"/>
              </w:rPr>
              <w:t>(0.30)</w:t>
            </w:r>
          </w:p>
        </w:tc>
      </w:tr>
      <w:tr w:rsidR="0095779F" w:rsidRPr="00070779" w14:paraId="4147D889" w14:textId="77777777" w:rsidTr="00CE7D45">
        <w:trPr>
          <w:jc w:val="center"/>
        </w:trPr>
        <w:tc>
          <w:tcPr>
            <w:tcW w:w="1471" w:type="pct"/>
            <w:shd w:val="clear" w:color="auto" w:fill="auto"/>
            <w:vAlign w:val="center"/>
            <w:hideMark/>
          </w:tcPr>
          <w:p w14:paraId="2CDE8F3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Institutional investor</w:t>
            </w:r>
          </w:p>
        </w:tc>
        <w:tc>
          <w:tcPr>
            <w:tcW w:w="588" w:type="pct"/>
          </w:tcPr>
          <w:p w14:paraId="7128DD1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0.001</w:t>
            </w:r>
          </w:p>
        </w:tc>
        <w:tc>
          <w:tcPr>
            <w:tcW w:w="588" w:type="pct"/>
          </w:tcPr>
          <w:p w14:paraId="47B77AD9"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0.343</w:t>
            </w:r>
            <w:r w:rsidRPr="000E7AEF">
              <w:rPr>
                <w:sz w:val="20"/>
                <w:szCs w:val="20"/>
                <w:vertAlign w:val="superscript"/>
              </w:rPr>
              <w:t>***</w:t>
            </w:r>
          </w:p>
        </w:tc>
        <w:tc>
          <w:tcPr>
            <w:tcW w:w="588" w:type="pct"/>
          </w:tcPr>
          <w:p w14:paraId="64F0C47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0.001</w:t>
            </w:r>
          </w:p>
        </w:tc>
        <w:tc>
          <w:tcPr>
            <w:tcW w:w="588" w:type="pct"/>
          </w:tcPr>
          <w:p w14:paraId="03AD660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0.343</w:t>
            </w:r>
            <w:r w:rsidRPr="000E7AEF">
              <w:rPr>
                <w:sz w:val="20"/>
                <w:szCs w:val="20"/>
                <w:vertAlign w:val="superscript"/>
              </w:rPr>
              <w:t>***</w:t>
            </w:r>
          </w:p>
        </w:tc>
        <w:tc>
          <w:tcPr>
            <w:tcW w:w="588" w:type="pct"/>
          </w:tcPr>
          <w:p w14:paraId="2E2F730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0.001</w:t>
            </w:r>
          </w:p>
        </w:tc>
        <w:tc>
          <w:tcPr>
            <w:tcW w:w="588" w:type="pct"/>
          </w:tcPr>
          <w:p w14:paraId="6D5DC47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0.342</w:t>
            </w:r>
            <w:r w:rsidRPr="000E7AEF">
              <w:rPr>
                <w:sz w:val="20"/>
                <w:szCs w:val="20"/>
                <w:vertAlign w:val="superscript"/>
              </w:rPr>
              <w:t>***</w:t>
            </w:r>
          </w:p>
        </w:tc>
      </w:tr>
      <w:tr w:rsidR="0095779F" w:rsidRPr="00070779" w14:paraId="0B21A72C" w14:textId="77777777" w:rsidTr="00CE7D45">
        <w:trPr>
          <w:jc w:val="center"/>
        </w:trPr>
        <w:tc>
          <w:tcPr>
            <w:tcW w:w="1471" w:type="pct"/>
            <w:shd w:val="clear" w:color="auto" w:fill="auto"/>
            <w:vAlign w:val="center"/>
          </w:tcPr>
          <w:p w14:paraId="7C4AD39C"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5DA511B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20A47D4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w:t>
            </w:r>
          </w:p>
        </w:tc>
        <w:tc>
          <w:tcPr>
            <w:tcW w:w="588" w:type="pct"/>
          </w:tcPr>
          <w:p w14:paraId="61660B2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22C7415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w:t>
            </w:r>
          </w:p>
        </w:tc>
        <w:tc>
          <w:tcPr>
            <w:tcW w:w="588" w:type="pct"/>
          </w:tcPr>
          <w:p w14:paraId="5121B25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(0.00)</w:t>
            </w:r>
          </w:p>
        </w:tc>
        <w:tc>
          <w:tcPr>
            <w:tcW w:w="588" w:type="pct"/>
          </w:tcPr>
          <w:p w14:paraId="14C2AAD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(0.05)</w:t>
            </w:r>
          </w:p>
        </w:tc>
      </w:tr>
      <w:tr w:rsidR="0095779F" w:rsidRPr="00070779" w14:paraId="6B3D8F11" w14:textId="77777777" w:rsidTr="00CE7D45">
        <w:trPr>
          <w:jc w:val="center"/>
        </w:trPr>
        <w:tc>
          <w:tcPr>
            <w:tcW w:w="1471" w:type="pct"/>
            <w:shd w:val="clear" w:color="auto" w:fill="auto"/>
            <w:vAlign w:val="center"/>
            <w:hideMark/>
          </w:tcPr>
          <w:p w14:paraId="2516F005"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Non-US dollar facility</w:t>
            </w:r>
          </w:p>
        </w:tc>
        <w:tc>
          <w:tcPr>
            <w:tcW w:w="588" w:type="pct"/>
          </w:tcPr>
          <w:p w14:paraId="7C02A9A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0.013</w:t>
            </w:r>
          </w:p>
        </w:tc>
        <w:tc>
          <w:tcPr>
            <w:tcW w:w="588" w:type="pct"/>
          </w:tcPr>
          <w:p w14:paraId="0D339AEE"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-0.091</w:t>
            </w:r>
          </w:p>
        </w:tc>
        <w:tc>
          <w:tcPr>
            <w:tcW w:w="588" w:type="pct"/>
          </w:tcPr>
          <w:p w14:paraId="0FCB4A8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0.014</w:t>
            </w:r>
          </w:p>
        </w:tc>
        <w:tc>
          <w:tcPr>
            <w:tcW w:w="588" w:type="pct"/>
          </w:tcPr>
          <w:p w14:paraId="04F7852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-0.093</w:t>
            </w:r>
          </w:p>
        </w:tc>
        <w:tc>
          <w:tcPr>
            <w:tcW w:w="588" w:type="pct"/>
          </w:tcPr>
          <w:p w14:paraId="26BCB82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0.013</w:t>
            </w:r>
          </w:p>
        </w:tc>
        <w:tc>
          <w:tcPr>
            <w:tcW w:w="588" w:type="pct"/>
          </w:tcPr>
          <w:p w14:paraId="30F2BCB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-0.096</w:t>
            </w:r>
          </w:p>
        </w:tc>
      </w:tr>
      <w:tr w:rsidR="0095779F" w:rsidRPr="00070779" w14:paraId="26F39DD1" w14:textId="77777777" w:rsidTr="00CE7D45">
        <w:trPr>
          <w:jc w:val="center"/>
        </w:trPr>
        <w:tc>
          <w:tcPr>
            <w:tcW w:w="1471" w:type="pct"/>
            <w:shd w:val="clear" w:color="auto" w:fill="auto"/>
            <w:vAlign w:val="center"/>
          </w:tcPr>
          <w:p w14:paraId="33A664EE"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117ACBB7"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2EE5E95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(0.11)</w:t>
            </w:r>
          </w:p>
        </w:tc>
        <w:tc>
          <w:tcPr>
            <w:tcW w:w="588" w:type="pct"/>
          </w:tcPr>
          <w:p w14:paraId="4536BCB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5FF1FB0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(0.09)</w:t>
            </w:r>
          </w:p>
        </w:tc>
        <w:tc>
          <w:tcPr>
            <w:tcW w:w="588" w:type="pct"/>
          </w:tcPr>
          <w:p w14:paraId="61388A9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(0.01)</w:t>
            </w:r>
          </w:p>
        </w:tc>
        <w:tc>
          <w:tcPr>
            <w:tcW w:w="588" w:type="pct"/>
          </w:tcPr>
          <w:p w14:paraId="5128D80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(0.11)</w:t>
            </w:r>
          </w:p>
        </w:tc>
      </w:tr>
      <w:tr w:rsidR="0095779F" w:rsidRPr="00070779" w14:paraId="7F3A1E8A" w14:textId="77777777" w:rsidTr="00CE7D45">
        <w:trPr>
          <w:jc w:val="center"/>
        </w:trPr>
        <w:tc>
          <w:tcPr>
            <w:tcW w:w="1471" w:type="pct"/>
            <w:shd w:val="clear" w:color="auto" w:fill="auto"/>
            <w:vAlign w:val="center"/>
          </w:tcPr>
          <w:p w14:paraId="6AFA33A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Loan portfolio exposure</w:t>
            </w:r>
          </w:p>
        </w:tc>
        <w:tc>
          <w:tcPr>
            <w:tcW w:w="588" w:type="pct"/>
          </w:tcPr>
          <w:p w14:paraId="1B9BF6D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0.093</w:t>
            </w:r>
            <w:r w:rsidRPr="000E7AEF">
              <w:rPr>
                <w:sz w:val="20"/>
                <w:szCs w:val="20"/>
                <w:vertAlign w:val="superscript"/>
              </w:rPr>
              <w:t>***</w:t>
            </w:r>
          </w:p>
        </w:tc>
        <w:tc>
          <w:tcPr>
            <w:tcW w:w="588" w:type="pct"/>
          </w:tcPr>
          <w:p w14:paraId="49587A7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-0.448</w:t>
            </w:r>
          </w:p>
        </w:tc>
        <w:tc>
          <w:tcPr>
            <w:tcW w:w="588" w:type="pct"/>
          </w:tcPr>
          <w:p w14:paraId="625F904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0.094</w:t>
            </w:r>
            <w:r w:rsidRPr="000E7AEF">
              <w:rPr>
                <w:sz w:val="20"/>
                <w:szCs w:val="20"/>
                <w:vertAlign w:val="superscript"/>
              </w:rPr>
              <w:t>***</w:t>
            </w:r>
          </w:p>
        </w:tc>
        <w:tc>
          <w:tcPr>
            <w:tcW w:w="588" w:type="pct"/>
          </w:tcPr>
          <w:p w14:paraId="072E0A1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-0.452</w:t>
            </w:r>
            <w:r w:rsidRPr="000E7AEF">
              <w:rPr>
                <w:sz w:val="20"/>
                <w:szCs w:val="20"/>
                <w:vertAlign w:val="superscript"/>
              </w:rPr>
              <w:t>**</w:t>
            </w:r>
          </w:p>
        </w:tc>
        <w:tc>
          <w:tcPr>
            <w:tcW w:w="588" w:type="pct"/>
          </w:tcPr>
          <w:p w14:paraId="0C452311"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0.093</w:t>
            </w:r>
            <w:r w:rsidRPr="000E7AEF">
              <w:rPr>
                <w:sz w:val="20"/>
                <w:szCs w:val="20"/>
                <w:vertAlign w:val="superscript"/>
              </w:rPr>
              <w:t>***</w:t>
            </w:r>
          </w:p>
        </w:tc>
        <w:tc>
          <w:tcPr>
            <w:tcW w:w="588" w:type="pct"/>
          </w:tcPr>
          <w:p w14:paraId="535F047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-0.456</w:t>
            </w:r>
          </w:p>
        </w:tc>
      </w:tr>
      <w:tr w:rsidR="0095779F" w:rsidRPr="00070779" w14:paraId="14D2E6C2" w14:textId="77777777" w:rsidTr="00CE7D45">
        <w:trPr>
          <w:jc w:val="center"/>
        </w:trPr>
        <w:tc>
          <w:tcPr>
            <w:tcW w:w="1471" w:type="pct"/>
            <w:shd w:val="clear" w:color="auto" w:fill="auto"/>
            <w:vAlign w:val="center"/>
          </w:tcPr>
          <w:p w14:paraId="73B29CE0" w14:textId="77777777" w:rsidR="0095779F" w:rsidRPr="00070779" w:rsidRDefault="0095779F" w:rsidP="0095779F">
            <w:pPr>
              <w:widowControl w:val="0"/>
              <w:autoSpaceDE w:val="0"/>
              <w:autoSpaceDN w:val="0"/>
              <w:adjustRightInd w:val="0"/>
              <w:jc w:val="center"/>
              <w:rPr>
                <w:rFonts w:eastAsia="DengXian"/>
                <w:sz w:val="20"/>
                <w:szCs w:val="20"/>
                <w:lang w:eastAsia="zh-CN"/>
              </w:rPr>
            </w:pPr>
          </w:p>
        </w:tc>
        <w:tc>
          <w:tcPr>
            <w:tcW w:w="588" w:type="pct"/>
          </w:tcPr>
          <w:p w14:paraId="26392A3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w:t>
            </w:r>
          </w:p>
        </w:tc>
        <w:tc>
          <w:tcPr>
            <w:tcW w:w="588" w:type="pct"/>
          </w:tcPr>
          <w:p w14:paraId="7A1689E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(0.30)</w:t>
            </w:r>
          </w:p>
        </w:tc>
        <w:tc>
          <w:tcPr>
            <w:tcW w:w="588" w:type="pct"/>
          </w:tcPr>
          <w:p w14:paraId="4DB4522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w:t>
            </w:r>
          </w:p>
        </w:tc>
        <w:tc>
          <w:tcPr>
            <w:tcW w:w="588" w:type="pct"/>
          </w:tcPr>
          <w:p w14:paraId="19C0A51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(0.20)</w:t>
            </w:r>
          </w:p>
        </w:tc>
        <w:tc>
          <w:tcPr>
            <w:tcW w:w="588" w:type="pct"/>
          </w:tcPr>
          <w:p w14:paraId="0E89638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(0.03)</w:t>
            </w:r>
          </w:p>
        </w:tc>
        <w:tc>
          <w:tcPr>
            <w:tcW w:w="588" w:type="pct"/>
          </w:tcPr>
          <w:p w14:paraId="47BC1087"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(0.30)</w:t>
            </w:r>
          </w:p>
        </w:tc>
      </w:tr>
      <w:tr w:rsidR="0095779F" w:rsidRPr="00070779" w14:paraId="5A3C5D50" w14:textId="77777777" w:rsidTr="00CE7D45">
        <w:trPr>
          <w:jc w:val="center"/>
        </w:trPr>
        <w:tc>
          <w:tcPr>
            <w:tcW w:w="1471" w:type="pct"/>
            <w:vAlign w:val="center"/>
          </w:tcPr>
          <w:p w14:paraId="79EB6089"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Bank FE</w:t>
            </w:r>
          </w:p>
        </w:tc>
        <w:tc>
          <w:tcPr>
            <w:tcW w:w="588" w:type="pct"/>
            <w:tcBorders>
              <w:top w:val="single" w:sz="4" w:space="0" w:color="auto"/>
            </w:tcBorders>
            <w:vAlign w:val="center"/>
          </w:tcPr>
          <w:p w14:paraId="55E3739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11D6193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5D92E12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66D52EAC"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1B6C669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28A843C3"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95779F" w:rsidRPr="00070779" w14:paraId="4CBF15C9" w14:textId="77777777" w:rsidTr="00CE7D45">
        <w:trPr>
          <w:jc w:val="center"/>
        </w:trPr>
        <w:tc>
          <w:tcPr>
            <w:tcW w:w="1471" w:type="pct"/>
            <w:vAlign w:val="center"/>
          </w:tcPr>
          <w:p w14:paraId="58D4BF3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Borrower sector FE</w:t>
            </w:r>
          </w:p>
        </w:tc>
        <w:tc>
          <w:tcPr>
            <w:tcW w:w="588" w:type="pct"/>
            <w:vAlign w:val="center"/>
          </w:tcPr>
          <w:p w14:paraId="74B8BC87"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6E258A8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3140C7F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1D43537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3AE62A84"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2AF9D07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95779F" w:rsidRPr="00070779" w14:paraId="3ADDC3E2" w14:textId="77777777" w:rsidTr="00CE7D45">
        <w:trPr>
          <w:jc w:val="center"/>
        </w:trPr>
        <w:tc>
          <w:tcPr>
            <w:tcW w:w="1471" w:type="pct"/>
            <w:vAlign w:val="center"/>
          </w:tcPr>
          <w:p w14:paraId="59B38E7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Year FE</w:t>
            </w:r>
          </w:p>
        </w:tc>
        <w:tc>
          <w:tcPr>
            <w:tcW w:w="588" w:type="pct"/>
            <w:vAlign w:val="center"/>
          </w:tcPr>
          <w:p w14:paraId="586D724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79C4E739"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11E77E14"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78DC8F37"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406F3BE6"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0659B768"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95779F" w:rsidRPr="00070779" w14:paraId="503C64F1" w14:textId="77777777" w:rsidTr="00CE7D45">
        <w:trPr>
          <w:jc w:val="center"/>
        </w:trPr>
        <w:tc>
          <w:tcPr>
            <w:tcW w:w="1471" w:type="pct"/>
            <w:vAlign w:val="center"/>
            <w:hideMark/>
          </w:tcPr>
          <w:p w14:paraId="68B08A4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Adjusted R2</w:t>
            </w:r>
          </w:p>
        </w:tc>
        <w:tc>
          <w:tcPr>
            <w:tcW w:w="588" w:type="pct"/>
          </w:tcPr>
          <w:p w14:paraId="57B64D3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0.755</w:t>
            </w:r>
          </w:p>
        </w:tc>
        <w:tc>
          <w:tcPr>
            <w:tcW w:w="588" w:type="pct"/>
          </w:tcPr>
          <w:p w14:paraId="07BE0FE1" w14:textId="77777777" w:rsidR="0095779F" w:rsidRPr="00070779" w:rsidRDefault="0095779F" w:rsidP="0095779F">
            <w:pPr>
              <w:widowControl w:val="0"/>
              <w:autoSpaceDE w:val="0"/>
              <w:autoSpaceDN w:val="0"/>
              <w:adjustRightInd w:val="0"/>
              <w:jc w:val="center"/>
              <w:rPr>
                <w:rFonts w:eastAsia="DengXian"/>
                <w:sz w:val="20"/>
                <w:szCs w:val="20"/>
                <w:lang w:eastAsia="zh-CN"/>
              </w:rPr>
            </w:pPr>
            <w:r>
              <w:rPr>
                <w:rFonts w:eastAsia="DengXian"/>
                <w:sz w:val="20"/>
                <w:szCs w:val="20"/>
                <w:lang w:eastAsia="zh-CN"/>
              </w:rPr>
              <w:t>0.558</w:t>
            </w:r>
          </w:p>
        </w:tc>
        <w:tc>
          <w:tcPr>
            <w:tcW w:w="588" w:type="pct"/>
          </w:tcPr>
          <w:p w14:paraId="2173E1BD"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0.755</w:t>
            </w:r>
          </w:p>
        </w:tc>
        <w:tc>
          <w:tcPr>
            <w:tcW w:w="588" w:type="pct"/>
          </w:tcPr>
          <w:p w14:paraId="75A7CF92" w14:textId="77777777" w:rsidR="0095779F" w:rsidRPr="00070779" w:rsidRDefault="0095779F" w:rsidP="0095779F">
            <w:pPr>
              <w:widowControl w:val="0"/>
              <w:autoSpaceDE w:val="0"/>
              <w:autoSpaceDN w:val="0"/>
              <w:adjustRightInd w:val="0"/>
              <w:jc w:val="center"/>
              <w:rPr>
                <w:rFonts w:eastAsia="DengXian"/>
                <w:sz w:val="20"/>
                <w:szCs w:val="20"/>
                <w:lang w:eastAsia="zh-CN"/>
              </w:rPr>
            </w:pPr>
            <w:r>
              <w:rPr>
                <w:rFonts w:eastAsia="DengXian"/>
                <w:sz w:val="20"/>
                <w:szCs w:val="20"/>
                <w:lang w:eastAsia="zh-CN"/>
              </w:rPr>
              <w:t>0.557</w:t>
            </w:r>
          </w:p>
        </w:tc>
        <w:tc>
          <w:tcPr>
            <w:tcW w:w="588" w:type="pct"/>
          </w:tcPr>
          <w:p w14:paraId="41D311EB"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0.755</w:t>
            </w:r>
          </w:p>
        </w:tc>
        <w:tc>
          <w:tcPr>
            <w:tcW w:w="588" w:type="pct"/>
          </w:tcPr>
          <w:p w14:paraId="59634434" w14:textId="77777777" w:rsidR="0095779F" w:rsidRPr="00070779" w:rsidRDefault="0095779F" w:rsidP="0095779F">
            <w:pPr>
              <w:widowControl w:val="0"/>
              <w:autoSpaceDE w:val="0"/>
              <w:autoSpaceDN w:val="0"/>
              <w:adjustRightInd w:val="0"/>
              <w:jc w:val="center"/>
              <w:rPr>
                <w:rFonts w:eastAsia="DengXian"/>
                <w:sz w:val="20"/>
                <w:szCs w:val="20"/>
                <w:lang w:eastAsia="zh-CN"/>
              </w:rPr>
            </w:pPr>
            <w:r>
              <w:rPr>
                <w:rFonts w:eastAsia="DengXian"/>
                <w:sz w:val="20"/>
                <w:szCs w:val="20"/>
                <w:lang w:eastAsia="zh-CN"/>
              </w:rPr>
              <w:t>0.557</w:t>
            </w:r>
          </w:p>
        </w:tc>
      </w:tr>
      <w:tr w:rsidR="0095779F" w:rsidRPr="00070779" w14:paraId="56A68272" w14:textId="77777777" w:rsidTr="00CE7D45">
        <w:trPr>
          <w:jc w:val="center"/>
        </w:trPr>
        <w:tc>
          <w:tcPr>
            <w:tcW w:w="1471" w:type="pct"/>
            <w:tcBorders>
              <w:bottom w:val="single" w:sz="4" w:space="0" w:color="auto"/>
            </w:tcBorders>
            <w:vAlign w:val="center"/>
            <w:hideMark/>
          </w:tcPr>
          <w:p w14:paraId="37F95A87" w14:textId="77777777" w:rsidR="0095779F" w:rsidRPr="00070779" w:rsidRDefault="0095779F" w:rsidP="0095779F">
            <w:pPr>
              <w:widowControl w:val="0"/>
              <w:autoSpaceDE w:val="0"/>
              <w:autoSpaceDN w:val="0"/>
              <w:adjustRightInd w:val="0"/>
              <w:jc w:val="center"/>
              <w:rPr>
                <w:rFonts w:eastAsia="DengXian"/>
                <w:sz w:val="20"/>
                <w:szCs w:val="20"/>
                <w:lang w:eastAsia="zh-CN"/>
              </w:rPr>
            </w:pPr>
            <w:r>
              <w:rPr>
                <w:rFonts w:eastAsia="DengXian"/>
                <w:sz w:val="20"/>
                <w:szCs w:val="20"/>
                <w:lang w:eastAsia="zh-CN"/>
              </w:rPr>
              <w:t>Obs.</w:t>
            </w:r>
          </w:p>
        </w:tc>
        <w:tc>
          <w:tcPr>
            <w:tcW w:w="588" w:type="pct"/>
            <w:tcBorders>
              <w:bottom w:val="single" w:sz="4" w:space="0" w:color="auto"/>
            </w:tcBorders>
          </w:tcPr>
          <w:p w14:paraId="7412B2E0"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8845.000</w:t>
            </w:r>
          </w:p>
        </w:tc>
        <w:tc>
          <w:tcPr>
            <w:tcW w:w="588" w:type="pct"/>
            <w:tcBorders>
              <w:bottom w:val="single" w:sz="4" w:space="0" w:color="auto"/>
            </w:tcBorders>
          </w:tcPr>
          <w:p w14:paraId="0C65204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8845.000</w:t>
            </w:r>
          </w:p>
        </w:tc>
        <w:tc>
          <w:tcPr>
            <w:tcW w:w="588" w:type="pct"/>
            <w:tcBorders>
              <w:bottom w:val="single" w:sz="4" w:space="0" w:color="auto"/>
            </w:tcBorders>
          </w:tcPr>
          <w:p w14:paraId="1E951D97"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8845.000</w:t>
            </w:r>
          </w:p>
        </w:tc>
        <w:tc>
          <w:tcPr>
            <w:tcW w:w="588" w:type="pct"/>
            <w:tcBorders>
              <w:bottom w:val="single" w:sz="4" w:space="0" w:color="auto"/>
            </w:tcBorders>
          </w:tcPr>
          <w:p w14:paraId="599CE7BF"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8845.000</w:t>
            </w:r>
          </w:p>
        </w:tc>
        <w:tc>
          <w:tcPr>
            <w:tcW w:w="588" w:type="pct"/>
            <w:tcBorders>
              <w:bottom w:val="single" w:sz="4" w:space="0" w:color="auto"/>
            </w:tcBorders>
          </w:tcPr>
          <w:p w14:paraId="73736592"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8845.000</w:t>
            </w:r>
          </w:p>
        </w:tc>
        <w:tc>
          <w:tcPr>
            <w:tcW w:w="588" w:type="pct"/>
            <w:tcBorders>
              <w:bottom w:val="single" w:sz="4" w:space="0" w:color="auto"/>
            </w:tcBorders>
          </w:tcPr>
          <w:p w14:paraId="2D0C946A" w14:textId="77777777" w:rsidR="0095779F" w:rsidRPr="00070779" w:rsidRDefault="0095779F" w:rsidP="0095779F">
            <w:pPr>
              <w:widowControl w:val="0"/>
              <w:autoSpaceDE w:val="0"/>
              <w:autoSpaceDN w:val="0"/>
              <w:adjustRightInd w:val="0"/>
              <w:jc w:val="center"/>
              <w:rPr>
                <w:rFonts w:eastAsia="DengXian"/>
                <w:sz w:val="20"/>
                <w:szCs w:val="20"/>
                <w:lang w:eastAsia="zh-CN"/>
              </w:rPr>
            </w:pPr>
            <w:r w:rsidRPr="000E7AEF">
              <w:rPr>
                <w:sz w:val="20"/>
                <w:szCs w:val="20"/>
              </w:rPr>
              <w:t>8845.000</w:t>
            </w:r>
          </w:p>
        </w:tc>
      </w:tr>
    </w:tbl>
    <w:p w14:paraId="4CE72462" w14:textId="77777777" w:rsidR="00BD0474" w:rsidRPr="00070779" w:rsidRDefault="00BD0474" w:rsidP="00BD0474">
      <w:pPr>
        <w:widowControl w:val="0"/>
        <w:autoSpaceDE w:val="0"/>
        <w:autoSpaceDN w:val="0"/>
        <w:adjustRightInd w:val="0"/>
        <w:jc w:val="center"/>
        <w:rPr>
          <w:b/>
          <w:szCs w:val="20"/>
        </w:rPr>
      </w:pPr>
    </w:p>
    <w:p w14:paraId="5A6B9CB1" w14:textId="77777777" w:rsidR="00533632" w:rsidRDefault="00533632" w:rsidP="00BD0474">
      <w:pPr>
        <w:widowControl w:val="0"/>
        <w:autoSpaceDE w:val="0"/>
        <w:autoSpaceDN w:val="0"/>
        <w:adjustRightInd w:val="0"/>
        <w:jc w:val="center"/>
        <w:rPr>
          <w:b/>
          <w:szCs w:val="20"/>
        </w:rPr>
      </w:pPr>
      <w:r>
        <w:rPr>
          <w:b/>
          <w:szCs w:val="20"/>
        </w:rPr>
        <w:br w:type="page"/>
      </w:r>
    </w:p>
    <w:p w14:paraId="6D670B03" w14:textId="77777777" w:rsidR="00DD580F" w:rsidRPr="00CE7D45" w:rsidRDefault="00DD580F" w:rsidP="00DD580F">
      <w:pPr>
        <w:widowControl w:val="0"/>
        <w:autoSpaceDE w:val="0"/>
        <w:autoSpaceDN w:val="0"/>
        <w:adjustRightInd w:val="0"/>
        <w:jc w:val="center"/>
        <w:rPr>
          <w:b/>
          <w:szCs w:val="20"/>
        </w:rPr>
      </w:pPr>
      <w:r w:rsidRPr="00CE7D45">
        <w:rPr>
          <w:b/>
          <w:szCs w:val="20"/>
        </w:rPr>
        <w:t xml:space="preserve">TABLE 3 </w:t>
      </w:r>
      <w:r w:rsidR="00DE799C" w:rsidRPr="00CE7D45">
        <w:rPr>
          <w:b/>
          <w:szCs w:val="20"/>
        </w:rPr>
        <w:t>(</w:t>
      </w:r>
      <w:r w:rsidR="004D1B31">
        <w:rPr>
          <w:b/>
          <w:szCs w:val="20"/>
        </w:rPr>
        <w:t>c</w:t>
      </w:r>
      <w:r w:rsidR="00DE799C" w:rsidRPr="00CE7D45">
        <w:rPr>
          <w:b/>
          <w:szCs w:val="20"/>
        </w:rPr>
        <w:t>ontinued)</w:t>
      </w:r>
    </w:p>
    <w:p w14:paraId="251E74B1" w14:textId="77777777" w:rsidR="00DD580F" w:rsidRPr="00CE7D45" w:rsidRDefault="0043098D" w:rsidP="00DD580F">
      <w:pPr>
        <w:widowControl w:val="0"/>
        <w:autoSpaceDE w:val="0"/>
        <w:autoSpaceDN w:val="0"/>
        <w:adjustRightInd w:val="0"/>
        <w:jc w:val="center"/>
        <w:rPr>
          <w:b/>
          <w:szCs w:val="20"/>
        </w:rPr>
      </w:pPr>
      <w:r>
        <w:rPr>
          <w:b/>
          <w:szCs w:val="20"/>
        </w:rPr>
        <w:t xml:space="preserve">Large </w:t>
      </w:r>
      <w:r w:rsidR="00C2325A">
        <w:rPr>
          <w:b/>
          <w:szCs w:val="20"/>
        </w:rPr>
        <w:t>customer</w:t>
      </w:r>
      <w:r w:rsidR="00B339FF" w:rsidRPr="00CE7D45">
        <w:rPr>
          <w:b/>
          <w:szCs w:val="20"/>
        </w:rPr>
        <w:t xml:space="preserve">-supplier </w:t>
      </w:r>
      <w:r w:rsidR="0099693E">
        <w:rPr>
          <w:b/>
          <w:szCs w:val="20"/>
        </w:rPr>
        <w:t>link</w:t>
      </w:r>
      <w:r w:rsidR="00B339FF" w:rsidRPr="00CE7D45">
        <w:rPr>
          <w:b/>
          <w:szCs w:val="20"/>
        </w:rPr>
        <w:t>s</w:t>
      </w:r>
      <w:r w:rsidR="00DD580F" w:rsidRPr="00CE7D45">
        <w:rPr>
          <w:b/>
          <w:szCs w:val="20"/>
        </w:rPr>
        <w:t xml:space="preserve"> and loan pricing </w:t>
      </w:r>
    </w:p>
    <w:tbl>
      <w:tblPr>
        <w:tblW w:w="5000" w:type="pct"/>
        <w:jc w:val="center"/>
        <w:tblLayout w:type="fixed"/>
        <w:tblLook w:val="04A0" w:firstRow="1" w:lastRow="0" w:firstColumn="1" w:lastColumn="0" w:noHBand="0" w:noVBand="1"/>
      </w:tblPr>
      <w:tblGrid>
        <w:gridCol w:w="2754"/>
        <w:gridCol w:w="1101"/>
        <w:gridCol w:w="1101"/>
        <w:gridCol w:w="1101"/>
        <w:gridCol w:w="1101"/>
        <w:gridCol w:w="1101"/>
        <w:gridCol w:w="1101"/>
      </w:tblGrid>
      <w:tr w:rsidR="00070779" w:rsidRPr="00070779" w14:paraId="25002B6B" w14:textId="77777777" w:rsidTr="00CE7D45">
        <w:trPr>
          <w:jc w:val="center"/>
        </w:trPr>
        <w:tc>
          <w:tcPr>
            <w:tcW w:w="1471" w:type="pct"/>
            <w:tcBorders>
              <w:top w:val="single" w:sz="4" w:space="0" w:color="auto"/>
            </w:tcBorders>
            <w:vAlign w:val="center"/>
          </w:tcPr>
          <w:p w14:paraId="1C6F74DB" w14:textId="77777777" w:rsidR="00357250" w:rsidRPr="00070779" w:rsidRDefault="00357250" w:rsidP="00DD580F">
            <w:pPr>
              <w:widowControl w:val="0"/>
              <w:autoSpaceDE w:val="0"/>
              <w:autoSpaceDN w:val="0"/>
              <w:adjustRightInd w:val="0"/>
              <w:jc w:val="center"/>
              <w:rPr>
                <w:rFonts w:eastAsia="DengXian"/>
                <w:b/>
                <w:bCs/>
                <w:sz w:val="20"/>
                <w:szCs w:val="20"/>
                <w:lang w:eastAsia="zh-CN"/>
              </w:rPr>
            </w:pPr>
            <w:r w:rsidRPr="00070779">
              <w:rPr>
                <w:rFonts w:eastAsia="DengXian"/>
                <w:b/>
                <w:bCs/>
                <w:sz w:val="20"/>
                <w:szCs w:val="20"/>
                <w:lang w:eastAsia="zh-CN"/>
              </w:rPr>
              <w:t xml:space="preserve">Panel </w:t>
            </w:r>
            <w:r w:rsidR="00DD580F" w:rsidRPr="00070779">
              <w:rPr>
                <w:rFonts w:eastAsia="DengXian"/>
                <w:b/>
                <w:bCs/>
                <w:sz w:val="20"/>
                <w:szCs w:val="20"/>
                <w:lang w:eastAsia="zh-CN"/>
              </w:rPr>
              <w:t>B</w:t>
            </w:r>
            <w:r w:rsidR="00024774">
              <w:rPr>
                <w:rFonts w:eastAsia="DengXian"/>
                <w:b/>
                <w:bCs/>
                <w:sz w:val="20"/>
                <w:szCs w:val="20"/>
                <w:lang w:eastAsia="zh-CN"/>
              </w:rPr>
              <w:t>: T</w:t>
            </w:r>
            <w:r w:rsidR="00967BEA">
              <w:rPr>
                <w:rFonts w:eastAsia="DengXian"/>
                <w:b/>
                <w:bCs/>
                <w:sz w:val="20"/>
                <w:szCs w:val="20"/>
                <w:lang w:eastAsia="zh-CN"/>
              </w:rPr>
              <w:t>CB</w:t>
            </w:r>
          </w:p>
        </w:tc>
        <w:tc>
          <w:tcPr>
            <w:tcW w:w="588" w:type="pct"/>
            <w:tcBorders>
              <w:top w:val="single" w:sz="4" w:space="0" w:color="auto"/>
              <w:bottom w:val="single" w:sz="4" w:space="0" w:color="auto"/>
            </w:tcBorders>
            <w:vAlign w:val="center"/>
            <w:hideMark/>
          </w:tcPr>
          <w:p w14:paraId="7AE2C521"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p>
        </w:tc>
        <w:tc>
          <w:tcPr>
            <w:tcW w:w="588" w:type="pct"/>
            <w:tcBorders>
              <w:top w:val="single" w:sz="4" w:space="0" w:color="auto"/>
              <w:bottom w:val="single" w:sz="4" w:space="0" w:color="auto"/>
            </w:tcBorders>
            <w:vAlign w:val="center"/>
            <w:hideMark/>
          </w:tcPr>
          <w:p w14:paraId="68B17F71"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p>
        </w:tc>
        <w:tc>
          <w:tcPr>
            <w:tcW w:w="588" w:type="pct"/>
            <w:tcBorders>
              <w:top w:val="single" w:sz="4" w:space="0" w:color="auto"/>
              <w:bottom w:val="single" w:sz="4" w:space="0" w:color="auto"/>
            </w:tcBorders>
            <w:vAlign w:val="center"/>
          </w:tcPr>
          <w:p w14:paraId="7C730703"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(3)</w:t>
            </w:r>
          </w:p>
        </w:tc>
        <w:tc>
          <w:tcPr>
            <w:tcW w:w="588" w:type="pct"/>
            <w:tcBorders>
              <w:top w:val="single" w:sz="4" w:space="0" w:color="auto"/>
              <w:bottom w:val="single" w:sz="4" w:space="0" w:color="auto"/>
            </w:tcBorders>
            <w:vAlign w:val="center"/>
          </w:tcPr>
          <w:p w14:paraId="63E0ECAF"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(4)</w:t>
            </w:r>
          </w:p>
        </w:tc>
        <w:tc>
          <w:tcPr>
            <w:tcW w:w="588" w:type="pct"/>
            <w:tcBorders>
              <w:top w:val="single" w:sz="4" w:space="0" w:color="auto"/>
              <w:bottom w:val="single" w:sz="4" w:space="0" w:color="auto"/>
            </w:tcBorders>
            <w:vAlign w:val="center"/>
            <w:hideMark/>
          </w:tcPr>
          <w:p w14:paraId="46E4D34F"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(5)</w:t>
            </w:r>
          </w:p>
        </w:tc>
        <w:tc>
          <w:tcPr>
            <w:tcW w:w="588" w:type="pct"/>
            <w:tcBorders>
              <w:top w:val="single" w:sz="4" w:space="0" w:color="auto"/>
              <w:bottom w:val="single" w:sz="4" w:space="0" w:color="auto"/>
            </w:tcBorders>
            <w:vAlign w:val="center"/>
            <w:hideMark/>
          </w:tcPr>
          <w:p w14:paraId="538B6074"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(6)</w:t>
            </w:r>
          </w:p>
        </w:tc>
      </w:tr>
      <w:tr w:rsidR="00070779" w:rsidRPr="00070779" w14:paraId="11FDBE60" w14:textId="77777777" w:rsidTr="00CE7D45">
        <w:trPr>
          <w:jc w:val="center"/>
        </w:trPr>
        <w:tc>
          <w:tcPr>
            <w:tcW w:w="1471" w:type="pct"/>
            <w:vAlign w:val="center"/>
          </w:tcPr>
          <w:p w14:paraId="128E6338" w14:textId="77777777" w:rsidR="00357250" w:rsidRPr="00070779" w:rsidRDefault="00357250" w:rsidP="00DD580F">
            <w:pPr>
              <w:widowControl w:val="0"/>
              <w:autoSpaceDE w:val="0"/>
              <w:autoSpaceDN w:val="0"/>
              <w:adjustRightInd w:val="0"/>
              <w:jc w:val="center"/>
              <w:rPr>
                <w:rFonts w:eastAsia="DengXian"/>
                <w:sz w:val="20"/>
                <w:szCs w:val="20"/>
                <w:lang w:eastAsia="zh-CN"/>
              </w:rPr>
            </w:pPr>
          </w:p>
        </w:tc>
        <w:tc>
          <w:tcPr>
            <w:tcW w:w="588" w:type="pct"/>
            <w:tcBorders>
              <w:top w:val="single" w:sz="4" w:space="0" w:color="auto"/>
              <w:bottom w:val="single" w:sz="4" w:space="0" w:color="auto"/>
            </w:tcBorders>
            <w:vAlign w:val="center"/>
          </w:tcPr>
          <w:p w14:paraId="7B81096C"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20536946"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3AFA71C8"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34EBC6D8"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5438275B"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094AB490" w14:textId="77777777" w:rsidR="00357250" w:rsidRPr="00070779" w:rsidRDefault="00357250" w:rsidP="00DD580F">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r>
      <w:tr w:rsidR="00070779" w:rsidRPr="00070779" w14:paraId="10C1BC46" w14:textId="77777777" w:rsidTr="00CE7D45">
        <w:trPr>
          <w:jc w:val="center"/>
        </w:trPr>
        <w:tc>
          <w:tcPr>
            <w:tcW w:w="1471" w:type="pct"/>
            <w:vAlign w:val="center"/>
          </w:tcPr>
          <w:p w14:paraId="4E7D15FB" w14:textId="77777777" w:rsidR="00380154" w:rsidRPr="00070779" w:rsidRDefault="00380154" w:rsidP="00380154">
            <w:pPr>
              <w:widowControl w:val="0"/>
              <w:autoSpaceDE w:val="0"/>
              <w:autoSpaceDN w:val="0"/>
              <w:adjustRightInd w:val="0"/>
              <w:jc w:val="center"/>
              <w:rPr>
                <w:rFonts w:eastAsia="DengXian"/>
                <w:sz w:val="20"/>
                <w:szCs w:val="20"/>
                <w:lang w:eastAsia="zh-CN"/>
              </w:rPr>
            </w:pPr>
          </w:p>
        </w:tc>
        <w:tc>
          <w:tcPr>
            <w:tcW w:w="588" w:type="pct"/>
            <w:tcBorders>
              <w:top w:val="single" w:sz="4" w:space="0" w:color="auto"/>
              <w:bottom w:val="single" w:sz="4" w:space="0" w:color="auto"/>
            </w:tcBorders>
            <w:vAlign w:val="center"/>
            <w:hideMark/>
          </w:tcPr>
          <w:p w14:paraId="2FC1255C" w14:textId="77777777" w:rsidR="00380154" w:rsidRPr="00070779" w:rsidRDefault="00380154" w:rsidP="0038015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hideMark/>
          </w:tcPr>
          <w:p w14:paraId="1FC318D5" w14:textId="77777777" w:rsidR="00380154" w:rsidRPr="00070779" w:rsidRDefault="00902AFF" w:rsidP="00380154">
            <w:pPr>
              <w:widowControl w:val="0"/>
              <w:autoSpaceDE w:val="0"/>
              <w:autoSpaceDN w:val="0"/>
              <w:adjustRightInd w:val="0"/>
              <w:jc w:val="center"/>
              <w:rPr>
                <w:rFonts w:eastAsia="DengXian"/>
                <w:sz w:val="20"/>
                <w:szCs w:val="20"/>
                <w:lang w:eastAsia="zh-CN"/>
              </w:rPr>
            </w:pPr>
            <w:r>
              <w:rPr>
                <w:rFonts w:eastAsia="DengXian"/>
                <w:sz w:val="20"/>
                <w:szCs w:val="20"/>
                <w:lang w:eastAsia="zh-CN"/>
              </w:rPr>
              <w:t>TCB</w:t>
            </w:r>
          </w:p>
        </w:tc>
        <w:tc>
          <w:tcPr>
            <w:tcW w:w="588" w:type="pct"/>
            <w:tcBorders>
              <w:top w:val="single" w:sz="4" w:space="0" w:color="auto"/>
              <w:bottom w:val="single" w:sz="4" w:space="0" w:color="auto"/>
            </w:tcBorders>
            <w:vAlign w:val="center"/>
          </w:tcPr>
          <w:p w14:paraId="1A9C7820" w14:textId="77777777" w:rsidR="00380154" w:rsidRPr="00070779" w:rsidRDefault="00380154" w:rsidP="0038015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tcPr>
          <w:p w14:paraId="7FB927CE" w14:textId="77777777" w:rsidR="00380154" w:rsidRPr="00070779" w:rsidRDefault="00902AFF" w:rsidP="00380154">
            <w:pPr>
              <w:widowControl w:val="0"/>
              <w:autoSpaceDE w:val="0"/>
              <w:autoSpaceDN w:val="0"/>
              <w:adjustRightInd w:val="0"/>
              <w:jc w:val="center"/>
              <w:rPr>
                <w:rFonts w:eastAsia="DengXian"/>
                <w:sz w:val="20"/>
                <w:szCs w:val="20"/>
                <w:lang w:eastAsia="zh-CN"/>
              </w:rPr>
            </w:pPr>
            <w:r>
              <w:rPr>
                <w:rFonts w:eastAsia="DengXian"/>
                <w:sz w:val="20"/>
                <w:szCs w:val="20"/>
                <w:lang w:eastAsia="zh-CN"/>
              </w:rPr>
              <w:t>TCB</w:t>
            </w:r>
          </w:p>
        </w:tc>
        <w:tc>
          <w:tcPr>
            <w:tcW w:w="588" w:type="pct"/>
            <w:tcBorders>
              <w:top w:val="single" w:sz="4" w:space="0" w:color="auto"/>
              <w:bottom w:val="single" w:sz="4" w:space="0" w:color="auto"/>
            </w:tcBorders>
            <w:vAlign w:val="center"/>
            <w:hideMark/>
          </w:tcPr>
          <w:p w14:paraId="7D391546" w14:textId="77777777" w:rsidR="00380154" w:rsidRPr="00070779" w:rsidRDefault="00380154" w:rsidP="0038015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hideMark/>
          </w:tcPr>
          <w:p w14:paraId="11F21FFC" w14:textId="77777777" w:rsidR="00380154" w:rsidRPr="00070779" w:rsidRDefault="00902AFF" w:rsidP="00380154">
            <w:pPr>
              <w:widowControl w:val="0"/>
              <w:autoSpaceDE w:val="0"/>
              <w:autoSpaceDN w:val="0"/>
              <w:adjustRightInd w:val="0"/>
              <w:jc w:val="center"/>
              <w:rPr>
                <w:rFonts w:eastAsia="DengXian"/>
                <w:sz w:val="20"/>
                <w:szCs w:val="20"/>
                <w:lang w:eastAsia="zh-CN"/>
              </w:rPr>
            </w:pPr>
            <w:r>
              <w:rPr>
                <w:rFonts w:eastAsia="DengXian"/>
                <w:sz w:val="20"/>
                <w:szCs w:val="20"/>
                <w:lang w:eastAsia="zh-CN"/>
              </w:rPr>
              <w:t>TCB</w:t>
            </w:r>
          </w:p>
        </w:tc>
      </w:tr>
      <w:tr w:rsidR="00A23886" w:rsidRPr="00070779" w14:paraId="5E4A4C4F" w14:textId="77777777" w:rsidTr="00CE7D45">
        <w:trPr>
          <w:jc w:val="center"/>
        </w:trPr>
        <w:tc>
          <w:tcPr>
            <w:tcW w:w="1471" w:type="pct"/>
            <w:vAlign w:val="center"/>
            <w:hideMark/>
          </w:tcPr>
          <w:p w14:paraId="736085F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Syndicate reputation: lead to participant</w:t>
            </w:r>
          </w:p>
        </w:tc>
        <w:tc>
          <w:tcPr>
            <w:tcW w:w="588" w:type="pct"/>
          </w:tcPr>
          <w:p w14:paraId="5900724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-0.041</w:t>
            </w:r>
            <w:r w:rsidRPr="0069717D">
              <w:rPr>
                <w:sz w:val="20"/>
                <w:szCs w:val="20"/>
                <w:vertAlign w:val="superscript"/>
              </w:rPr>
              <w:t>***</w:t>
            </w:r>
          </w:p>
        </w:tc>
        <w:tc>
          <w:tcPr>
            <w:tcW w:w="588" w:type="pct"/>
          </w:tcPr>
          <w:p w14:paraId="012DF3E1"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5AF1B489"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-0.040</w:t>
            </w:r>
            <w:r w:rsidRPr="0069717D">
              <w:rPr>
                <w:sz w:val="20"/>
                <w:szCs w:val="20"/>
                <w:vertAlign w:val="superscript"/>
              </w:rPr>
              <w:t>***</w:t>
            </w:r>
          </w:p>
        </w:tc>
        <w:tc>
          <w:tcPr>
            <w:tcW w:w="588" w:type="pct"/>
          </w:tcPr>
          <w:p w14:paraId="05A7D5A6"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12BBF32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-0.040</w:t>
            </w:r>
            <w:r w:rsidRPr="0069717D">
              <w:rPr>
                <w:sz w:val="20"/>
                <w:szCs w:val="20"/>
                <w:vertAlign w:val="superscript"/>
              </w:rPr>
              <w:t>***</w:t>
            </w:r>
          </w:p>
        </w:tc>
        <w:tc>
          <w:tcPr>
            <w:tcW w:w="588" w:type="pct"/>
          </w:tcPr>
          <w:p w14:paraId="4F6B312C"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r>
      <w:tr w:rsidR="00A23886" w:rsidRPr="00070779" w14:paraId="656AE2BB" w14:textId="77777777" w:rsidTr="00CE7D45">
        <w:trPr>
          <w:jc w:val="center"/>
        </w:trPr>
        <w:tc>
          <w:tcPr>
            <w:tcW w:w="1471" w:type="pct"/>
            <w:vAlign w:val="center"/>
          </w:tcPr>
          <w:p w14:paraId="635E5F0B"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36711BD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2C46B239"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2F2FEC6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5C8C1D81"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0654B6A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7AF007DF"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r>
      <w:tr w:rsidR="00A23886" w:rsidRPr="00070779" w14:paraId="44E34E81" w14:textId="77777777" w:rsidTr="00CE7D45">
        <w:trPr>
          <w:jc w:val="center"/>
        </w:trPr>
        <w:tc>
          <w:tcPr>
            <w:tcW w:w="1471" w:type="pct"/>
            <w:vAlign w:val="center"/>
            <w:hideMark/>
          </w:tcPr>
          <w:p w14:paraId="50890F5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Syndicate reputation: reciprocal</w:t>
            </w:r>
          </w:p>
        </w:tc>
        <w:tc>
          <w:tcPr>
            <w:tcW w:w="588" w:type="pct"/>
          </w:tcPr>
          <w:p w14:paraId="351ECD5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-0.054</w:t>
            </w:r>
            <w:r w:rsidRPr="0069717D">
              <w:rPr>
                <w:sz w:val="20"/>
                <w:szCs w:val="20"/>
                <w:vertAlign w:val="superscript"/>
              </w:rPr>
              <w:t>***</w:t>
            </w:r>
          </w:p>
        </w:tc>
        <w:tc>
          <w:tcPr>
            <w:tcW w:w="588" w:type="pct"/>
          </w:tcPr>
          <w:p w14:paraId="79B8F7D8"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480906D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-0.054</w:t>
            </w:r>
            <w:r w:rsidRPr="0069717D">
              <w:rPr>
                <w:sz w:val="20"/>
                <w:szCs w:val="20"/>
                <w:vertAlign w:val="superscript"/>
              </w:rPr>
              <w:t>***</w:t>
            </w:r>
          </w:p>
        </w:tc>
        <w:tc>
          <w:tcPr>
            <w:tcW w:w="588" w:type="pct"/>
          </w:tcPr>
          <w:p w14:paraId="1D592D9F"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0137DE5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-0.054</w:t>
            </w:r>
            <w:r w:rsidRPr="0069717D">
              <w:rPr>
                <w:sz w:val="20"/>
                <w:szCs w:val="20"/>
                <w:vertAlign w:val="superscript"/>
              </w:rPr>
              <w:t>***</w:t>
            </w:r>
          </w:p>
        </w:tc>
        <w:tc>
          <w:tcPr>
            <w:tcW w:w="588" w:type="pct"/>
          </w:tcPr>
          <w:p w14:paraId="575A7910"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r>
      <w:tr w:rsidR="00A23886" w:rsidRPr="00070779" w14:paraId="2DFAD2F0" w14:textId="77777777" w:rsidTr="00CE7D45">
        <w:trPr>
          <w:jc w:val="center"/>
        </w:trPr>
        <w:tc>
          <w:tcPr>
            <w:tcW w:w="1471" w:type="pct"/>
            <w:vAlign w:val="center"/>
          </w:tcPr>
          <w:p w14:paraId="5F477B2F"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544DAF7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43521A16"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3FBFA95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36D139CA"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13A2CE8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67D9EA35"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r>
      <w:tr w:rsidR="00A23886" w:rsidRPr="00070779" w14:paraId="177804C0" w14:textId="77777777" w:rsidTr="00CE7D45">
        <w:trPr>
          <w:jc w:val="center"/>
        </w:trPr>
        <w:tc>
          <w:tcPr>
            <w:tcW w:w="1471" w:type="pct"/>
            <w:vAlign w:val="center"/>
            <w:hideMark/>
          </w:tcPr>
          <w:p w14:paraId="0A7B194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Pr>
          <w:p w14:paraId="2F869031"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58566CE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3.473</w:t>
            </w:r>
            <w:r w:rsidRPr="0069717D">
              <w:rPr>
                <w:sz w:val="20"/>
                <w:szCs w:val="20"/>
                <w:vertAlign w:val="superscript"/>
              </w:rPr>
              <w:t>***</w:t>
            </w:r>
          </w:p>
        </w:tc>
        <w:tc>
          <w:tcPr>
            <w:tcW w:w="588" w:type="pct"/>
          </w:tcPr>
          <w:p w14:paraId="069C0614"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2AA1D6E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3.484</w:t>
            </w:r>
            <w:r w:rsidRPr="0069717D">
              <w:rPr>
                <w:sz w:val="20"/>
                <w:szCs w:val="20"/>
                <w:vertAlign w:val="superscript"/>
              </w:rPr>
              <w:t>***</w:t>
            </w:r>
          </w:p>
        </w:tc>
        <w:tc>
          <w:tcPr>
            <w:tcW w:w="588" w:type="pct"/>
          </w:tcPr>
          <w:p w14:paraId="1DBF1BA4"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47941860"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3.483</w:t>
            </w:r>
            <w:r w:rsidRPr="0069717D">
              <w:rPr>
                <w:sz w:val="20"/>
                <w:szCs w:val="20"/>
                <w:vertAlign w:val="superscript"/>
              </w:rPr>
              <w:t>***</w:t>
            </w:r>
          </w:p>
        </w:tc>
      </w:tr>
      <w:tr w:rsidR="00A23886" w:rsidRPr="00070779" w14:paraId="49A36F28" w14:textId="77777777" w:rsidTr="00CE7D45">
        <w:trPr>
          <w:jc w:val="center"/>
        </w:trPr>
        <w:tc>
          <w:tcPr>
            <w:tcW w:w="1471" w:type="pct"/>
            <w:vAlign w:val="center"/>
          </w:tcPr>
          <w:p w14:paraId="725B0679"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29145029"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0B5406A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(0.73)</w:t>
            </w:r>
          </w:p>
        </w:tc>
        <w:tc>
          <w:tcPr>
            <w:tcW w:w="588" w:type="pct"/>
          </w:tcPr>
          <w:p w14:paraId="318FA1F0"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6E443E4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(0.73)</w:t>
            </w:r>
          </w:p>
        </w:tc>
        <w:tc>
          <w:tcPr>
            <w:tcW w:w="588" w:type="pct"/>
          </w:tcPr>
          <w:p w14:paraId="4B168F5F"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3B871E5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(0.73)</w:t>
            </w:r>
          </w:p>
        </w:tc>
      </w:tr>
      <w:tr w:rsidR="00A23886" w:rsidRPr="00070779" w14:paraId="1960FABD" w14:textId="77777777" w:rsidTr="00CE7D45">
        <w:trPr>
          <w:jc w:val="center"/>
        </w:trPr>
        <w:tc>
          <w:tcPr>
            <w:tcW w:w="1471" w:type="pct"/>
            <w:vAlign w:val="center"/>
            <w:hideMark/>
          </w:tcPr>
          <w:p w14:paraId="1DEC27ED" w14:textId="77777777" w:rsidR="00A23886" w:rsidRPr="00070779" w:rsidRDefault="00F5316D" w:rsidP="00A23886">
            <w:pPr>
              <w:widowControl w:val="0"/>
              <w:autoSpaceDE w:val="0"/>
              <w:autoSpaceDN w:val="0"/>
              <w:adjustRightInd w:val="0"/>
              <w:jc w:val="center"/>
              <w:rPr>
                <w:rFonts w:eastAsia="DengXian"/>
                <w:sz w:val="20"/>
                <w:szCs w:val="20"/>
                <w:lang w:eastAsia="zh-CN"/>
              </w:rPr>
            </w:pPr>
            <w:r w:rsidRPr="00F5316D">
              <w:rPr>
                <w:rFonts w:eastAsia="DengXian"/>
                <w:sz w:val="20"/>
                <w:szCs w:val="20"/>
                <w:lang w:eastAsia="zh-CN"/>
              </w:rPr>
              <w:t>L</w:t>
            </w:r>
            <w:r>
              <w:rPr>
                <w:rFonts w:eastAsia="DengXian"/>
                <w:sz w:val="20"/>
                <w:szCs w:val="20"/>
                <w:lang w:eastAsia="zh-CN"/>
              </w:rPr>
              <w:t>a</w:t>
            </w:r>
            <w:r w:rsidRPr="00F5316D">
              <w:rPr>
                <w:rFonts w:eastAsia="DengXian"/>
                <w:sz w:val="20"/>
                <w:szCs w:val="20"/>
                <w:lang w:eastAsia="zh-CN"/>
              </w:rPr>
              <w:t xml:space="preserve">rge CS </w:t>
            </w:r>
            <w:r w:rsidR="0099693E">
              <w:rPr>
                <w:rFonts w:eastAsia="DengXian"/>
                <w:sz w:val="20"/>
                <w:szCs w:val="20"/>
                <w:lang w:eastAsia="zh-CN"/>
              </w:rPr>
              <w:t>link</w:t>
            </w:r>
            <w:r w:rsidRPr="00F5316D">
              <w:rPr>
                <w:rFonts w:eastAsia="DengXian"/>
                <w:sz w:val="20"/>
                <w:szCs w:val="20"/>
                <w:lang w:eastAsia="zh-CN"/>
              </w:rPr>
              <w:t>s</w:t>
            </w:r>
          </w:p>
        </w:tc>
        <w:tc>
          <w:tcPr>
            <w:tcW w:w="588" w:type="pct"/>
          </w:tcPr>
          <w:p w14:paraId="07C4732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0.008</w:t>
            </w:r>
            <w:r w:rsidRPr="0069717D">
              <w:rPr>
                <w:sz w:val="20"/>
                <w:szCs w:val="20"/>
                <w:vertAlign w:val="superscript"/>
              </w:rPr>
              <w:t>**</w:t>
            </w:r>
          </w:p>
        </w:tc>
        <w:tc>
          <w:tcPr>
            <w:tcW w:w="588" w:type="pct"/>
          </w:tcPr>
          <w:p w14:paraId="1681B67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-0.004</w:t>
            </w:r>
          </w:p>
        </w:tc>
        <w:tc>
          <w:tcPr>
            <w:tcW w:w="588" w:type="pct"/>
          </w:tcPr>
          <w:p w14:paraId="0942E322"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66103D48"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180BDA43"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19C0ED6C"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r>
      <w:tr w:rsidR="00A23886" w:rsidRPr="00070779" w14:paraId="0E9196EC" w14:textId="77777777" w:rsidTr="00CE7D45">
        <w:trPr>
          <w:jc w:val="center"/>
        </w:trPr>
        <w:tc>
          <w:tcPr>
            <w:tcW w:w="1471" w:type="pct"/>
            <w:vAlign w:val="center"/>
          </w:tcPr>
          <w:p w14:paraId="387FE879"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1E062C3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6DDA438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(0.03)</w:t>
            </w:r>
          </w:p>
        </w:tc>
        <w:tc>
          <w:tcPr>
            <w:tcW w:w="588" w:type="pct"/>
          </w:tcPr>
          <w:p w14:paraId="695D187C"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33813EDD"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00557AC2"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6A53091D"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r>
      <w:tr w:rsidR="00A23886" w:rsidRPr="00070779" w14:paraId="4409B834" w14:textId="77777777" w:rsidTr="00CE7D45">
        <w:trPr>
          <w:jc w:val="center"/>
        </w:trPr>
        <w:tc>
          <w:tcPr>
            <w:tcW w:w="1471" w:type="pct"/>
            <w:vAlign w:val="center"/>
            <w:hideMark/>
          </w:tcPr>
          <w:p w14:paraId="0257A77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070779">
              <w:rPr>
                <w:rFonts w:eastAsia="DengXian"/>
                <w:sz w:val="20"/>
                <w:szCs w:val="20"/>
                <w:lang w:eastAsia="zh-CN"/>
              </w:rPr>
              <w:t>)</w:t>
            </w:r>
          </w:p>
        </w:tc>
        <w:tc>
          <w:tcPr>
            <w:tcW w:w="588" w:type="pct"/>
          </w:tcPr>
          <w:p w14:paraId="77C13262"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49B6E0D9"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07DCD05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0.019</w:t>
            </w:r>
            <w:r w:rsidRPr="0069717D">
              <w:rPr>
                <w:sz w:val="20"/>
                <w:szCs w:val="20"/>
                <w:vertAlign w:val="superscript"/>
              </w:rPr>
              <w:t>***</w:t>
            </w:r>
          </w:p>
        </w:tc>
        <w:tc>
          <w:tcPr>
            <w:tcW w:w="588" w:type="pct"/>
          </w:tcPr>
          <w:p w14:paraId="3D31FFA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-0.078</w:t>
            </w:r>
          </w:p>
        </w:tc>
        <w:tc>
          <w:tcPr>
            <w:tcW w:w="588" w:type="pct"/>
          </w:tcPr>
          <w:p w14:paraId="4228DC1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0.068</w:t>
            </w:r>
            <w:r w:rsidRPr="0069717D">
              <w:rPr>
                <w:sz w:val="20"/>
                <w:szCs w:val="20"/>
                <w:vertAlign w:val="superscript"/>
              </w:rPr>
              <w:t>***</w:t>
            </w:r>
          </w:p>
        </w:tc>
        <w:tc>
          <w:tcPr>
            <w:tcW w:w="588" w:type="pct"/>
          </w:tcPr>
          <w:p w14:paraId="349144D0"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-0.032</w:t>
            </w:r>
          </w:p>
        </w:tc>
      </w:tr>
      <w:tr w:rsidR="00A23886" w:rsidRPr="00070779" w14:paraId="5497E96F" w14:textId="77777777" w:rsidTr="00CE7D45">
        <w:trPr>
          <w:jc w:val="center"/>
        </w:trPr>
        <w:tc>
          <w:tcPr>
            <w:tcW w:w="1471" w:type="pct"/>
            <w:vAlign w:val="center"/>
          </w:tcPr>
          <w:p w14:paraId="43EC7829"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61CA8B7E"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32564F5E"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342FA6E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23220ED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(0.07)</w:t>
            </w:r>
          </w:p>
        </w:tc>
        <w:tc>
          <w:tcPr>
            <w:tcW w:w="588" w:type="pct"/>
          </w:tcPr>
          <w:p w14:paraId="6CA0D0D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70785D1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(0.15)</w:t>
            </w:r>
          </w:p>
        </w:tc>
      </w:tr>
      <w:tr w:rsidR="00A23886" w:rsidRPr="00070779" w14:paraId="1717BBDD" w14:textId="77777777" w:rsidTr="00CE7D45">
        <w:trPr>
          <w:jc w:val="center"/>
        </w:trPr>
        <w:tc>
          <w:tcPr>
            <w:tcW w:w="1471" w:type="pct"/>
            <w:vAlign w:val="center"/>
            <w:hideMark/>
          </w:tcPr>
          <w:p w14:paraId="62E33C6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070779">
              <w:rPr>
                <w:rFonts w:eastAsia="DengXian"/>
                <w:sz w:val="20"/>
                <w:szCs w:val="20"/>
                <w:lang w:eastAsia="zh-CN"/>
              </w:rPr>
              <w:t>)</w:t>
            </w:r>
            <w:r w:rsidRPr="00070779">
              <w:rPr>
                <w:rFonts w:eastAsia="DengXian"/>
                <w:sz w:val="20"/>
                <w:szCs w:val="20"/>
                <w:vertAlign w:val="superscript"/>
                <w:lang w:eastAsia="zh-CN"/>
              </w:rPr>
              <w:t>2</w:t>
            </w:r>
          </w:p>
        </w:tc>
        <w:tc>
          <w:tcPr>
            <w:tcW w:w="588" w:type="pct"/>
          </w:tcPr>
          <w:p w14:paraId="42926ADB"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061A290E"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34A5BB3A"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550C824D"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5BEFA2D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-0.057</w:t>
            </w:r>
            <w:r w:rsidRPr="0069717D">
              <w:rPr>
                <w:sz w:val="20"/>
                <w:szCs w:val="20"/>
                <w:vertAlign w:val="superscript"/>
              </w:rPr>
              <w:t>***</w:t>
            </w:r>
          </w:p>
        </w:tc>
        <w:tc>
          <w:tcPr>
            <w:tcW w:w="588" w:type="pct"/>
          </w:tcPr>
          <w:p w14:paraId="13469D9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-0.054</w:t>
            </w:r>
          </w:p>
        </w:tc>
      </w:tr>
      <w:tr w:rsidR="00A23886" w:rsidRPr="00070779" w14:paraId="3494E822" w14:textId="77777777" w:rsidTr="00CE7D45">
        <w:trPr>
          <w:jc w:val="center"/>
        </w:trPr>
        <w:tc>
          <w:tcPr>
            <w:tcW w:w="1471" w:type="pct"/>
            <w:vAlign w:val="center"/>
          </w:tcPr>
          <w:p w14:paraId="048ECE40"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758B333B"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7839514C"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49F0BBFB"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33687143"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48CDF27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1FDB2130"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(0.14)</w:t>
            </w:r>
          </w:p>
        </w:tc>
      </w:tr>
      <w:tr w:rsidR="00A23886" w:rsidRPr="00070779" w14:paraId="6B5B6A36" w14:textId="77777777" w:rsidTr="00CE7D45">
        <w:trPr>
          <w:jc w:val="center"/>
        </w:trPr>
        <w:tc>
          <w:tcPr>
            <w:tcW w:w="1471" w:type="pct"/>
            <w:vAlign w:val="center"/>
            <w:hideMark/>
          </w:tcPr>
          <w:p w14:paraId="4F9A34F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Supplier HHI</w:t>
            </w:r>
          </w:p>
        </w:tc>
        <w:tc>
          <w:tcPr>
            <w:tcW w:w="588" w:type="pct"/>
          </w:tcPr>
          <w:p w14:paraId="69EE048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0.004</w:t>
            </w:r>
          </w:p>
        </w:tc>
        <w:tc>
          <w:tcPr>
            <w:tcW w:w="588" w:type="pct"/>
          </w:tcPr>
          <w:p w14:paraId="6B3075F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-0.040</w:t>
            </w:r>
          </w:p>
        </w:tc>
        <w:tc>
          <w:tcPr>
            <w:tcW w:w="588" w:type="pct"/>
          </w:tcPr>
          <w:p w14:paraId="3D2BB85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0.002</w:t>
            </w:r>
          </w:p>
        </w:tc>
        <w:tc>
          <w:tcPr>
            <w:tcW w:w="588" w:type="pct"/>
          </w:tcPr>
          <w:p w14:paraId="514CA40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-0.025</w:t>
            </w:r>
          </w:p>
        </w:tc>
        <w:tc>
          <w:tcPr>
            <w:tcW w:w="588" w:type="pct"/>
          </w:tcPr>
          <w:p w14:paraId="043D44A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-0.000</w:t>
            </w:r>
          </w:p>
        </w:tc>
        <w:tc>
          <w:tcPr>
            <w:tcW w:w="588" w:type="pct"/>
          </w:tcPr>
          <w:p w14:paraId="3D7FD000"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-0.027</w:t>
            </w:r>
          </w:p>
        </w:tc>
      </w:tr>
      <w:tr w:rsidR="00A23886" w:rsidRPr="00070779" w14:paraId="47487C4D" w14:textId="77777777" w:rsidTr="00CE7D45">
        <w:trPr>
          <w:jc w:val="center"/>
        </w:trPr>
        <w:tc>
          <w:tcPr>
            <w:tcW w:w="1471" w:type="pct"/>
            <w:vAlign w:val="center"/>
          </w:tcPr>
          <w:p w14:paraId="2D068E22"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6F87733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3A5BB5A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(0.03)</w:t>
            </w:r>
          </w:p>
        </w:tc>
        <w:tc>
          <w:tcPr>
            <w:tcW w:w="588" w:type="pct"/>
          </w:tcPr>
          <w:p w14:paraId="6B55D71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572A338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c>
          <w:tcPr>
            <w:tcW w:w="588" w:type="pct"/>
          </w:tcPr>
          <w:p w14:paraId="09077A5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7EEC38B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(0.03)</w:t>
            </w:r>
          </w:p>
        </w:tc>
      </w:tr>
      <w:tr w:rsidR="00A23886" w:rsidRPr="00070779" w14:paraId="05641499" w14:textId="77777777" w:rsidTr="00CE7D45">
        <w:trPr>
          <w:jc w:val="center"/>
        </w:trPr>
        <w:tc>
          <w:tcPr>
            <w:tcW w:w="1471" w:type="pct"/>
            <w:vAlign w:val="center"/>
            <w:hideMark/>
          </w:tcPr>
          <w:p w14:paraId="42D57C40"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Customer HHI</w:t>
            </w:r>
          </w:p>
        </w:tc>
        <w:tc>
          <w:tcPr>
            <w:tcW w:w="588" w:type="pct"/>
          </w:tcPr>
          <w:p w14:paraId="130C7AC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-0.009</w:t>
            </w:r>
            <w:r w:rsidRPr="0069717D">
              <w:rPr>
                <w:sz w:val="20"/>
                <w:szCs w:val="20"/>
                <w:vertAlign w:val="superscript"/>
              </w:rPr>
              <w:t>**</w:t>
            </w:r>
          </w:p>
        </w:tc>
        <w:tc>
          <w:tcPr>
            <w:tcW w:w="588" w:type="pct"/>
          </w:tcPr>
          <w:p w14:paraId="60CE9109"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0.017</w:t>
            </w:r>
          </w:p>
        </w:tc>
        <w:tc>
          <w:tcPr>
            <w:tcW w:w="588" w:type="pct"/>
          </w:tcPr>
          <w:p w14:paraId="6F9EEC5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-0.012</w:t>
            </w:r>
            <w:r w:rsidRPr="0069717D">
              <w:rPr>
                <w:sz w:val="20"/>
                <w:szCs w:val="20"/>
                <w:vertAlign w:val="superscript"/>
              </w:rPr>
              <w:t>***</w:t>
            </w:r>
          </w:p>
        </w:tc>
        <w:tc>
          <w:tcPr>
            <w:tcW w:w="588" w:type="pct"/>
          </w:tcPr>
          <w:p w14:paraId="3EDCEEC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0.040</w:t>
            </w:r>
          </w:p>
        </w:tc>
        <w:tc>
          <w:tcPr>
            <w:tcW w:w="588" w:type="pct"/>
          </w:tcPr>
          <w:p w14:paraId="3CC09B1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-0.013</w:t>
            </w:r>
            <w:r w:rsidRPr="0069717D">
              <w:rPr>
                <w:sz w:val="20"/>
                <w:szCs w:val="20"/>
                <w:vertAlign w:val="superscript"/>
              </w:rPr>
              <w:t>***</w:t>
            </w:r>
          </w:p>
        </w:tc>
        <w:tc>
          <w:tcPr>
            <w:tcW w:w="588" w:type="pct"/>
          </w:tcPr>
          <w:p w14:paraId="440B6D1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0.038</w:t>
            </w:r>
          </w:p>
        </w:tc>
      </w:tr>
      <w:tr w:rsidR="00A23886" w:rsidRPr="00070779" w14:paraId="74ACB882" w14:textId="77777777" w:rsidTr="00CE7D45">
        <w:trPr>
          <w:jc w:val="center"/>
        </w:trPr>
        <w:tc>
          <w:tcPr>
            <w:tcW w:w="1471" w:type="pct"/>
            <w:vAlign w:val="center"/>
          </w:tcPr>
          <w:p w14:paraId="6B76E8E0"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4BD0DB8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2682912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c>
          <w:tcPr>
            <w:tcW w:w="588" w:type="pct"/>
          </w:tcPr>
          <w:p w14:paraId="7A07471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043FAAA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c>
          <w:tcPr>
            <w:tcW w:w="588" w:type="pct"/>
          </w:tcPr>
          <w:p w14:paraId="1982AC6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451C95D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r>
      <w:tr w:rsidR="00A23886" w:rsidRPr="00070779" w14:paraId="75233D1D" w14:textId="77777777" w:rsidTr="00CE7D45">
        <w:trPr>
          <w:jc w:val="center"/>
        </w:trPr>
        <w:tc>
          <w:tcPr>
            <w:tcW w:w="1471" w:type="pct"/>
            <w:shd w:val="clear" w:color="auto" w:fill="auto"/>
            <w:vAlign w:val="center"/>
            <w:hideMark/>
          </w:tcPr>
          <w:p w14:paraId="212F52E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Past lending</w:t>
            </w:r>
          </w:p>
        </w:tc>
        <w:tc>
          <w:tcPr>
            <w:tcW w:w="588" w:type="pct"/>
          </w:tcPr>
          <w:p w14:paraId="2F8C558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0.001</w:t>
            </w:r>
          </w:p>
        </w:tc>
        <w:tc>
          <w:tcPr>
            <w:tcW w:w="588" w:type="pct"/>
          </w:tcPr>
          <w:p w14:paraId="35BA5F0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0.113</w:t>
            </w:r>
            <w:r w:rsidRPr="0069717D">
              <w:rPr>
                <w:sz w:val="20"/>
                <w:szCs w:val="20"/>
                <w:vertAlign w:val="superscript"/>
              </w:rPr>
              <w:t>**</w:t>
            </w:r>
          </w:p>
        </w:tc>
        <w:tc>
          <w:tcPr>
            <w:tcW w:w="588" w:type="pct"/>
          </w:tcPr>
          <w:p w14:paraId="49DB9B5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0.001</w:t>
            </w:r>
          </w:p>
        </w:tc>
        <w:tc>
          <w:tcPr>
            <w:tcW w:w="588" w:type="pct"/>
          </w:tcPr>
          <w:p w14:paraId="08E2C9E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0.116</w:t>
            </w:r>
            <w:r w:rsidRPr="0069717D">
              <w:rPr>
                <w:sz w:val="20"/>
                <w:szCs w:val="20"/>
                <w:vertAlign w:val="superscript"/>
              </w:rPr>
              <w:t>***</w:t>
            </w:r>
          </w:p>
        </w:tc>
        <w:tc>
          <w:tcPr>
            <w:tcW w:w="588" w:type="pct"/>
          </w:tcPr>
          <w:p w14:paraId="7F69257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0.001</w:t>
            </w:r>
          </w:p>
        </w:tc>
        <w:tc>
          <w:tcPr>
            <w:tcW w:w="588" w:type="pct"/>
          </w:tcPr>
          <w:p w14:paraId="7FD04CE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0.115</w:t>
            </w:r>
            <w:r w:rsidRPr="0069717D">
              <w:rPr>
                <w:sz w:val="20"/>
                <w:szCs w:val="20"/>
                <w:vertAlign w:val="superscript"/>
              </w:rPr>
              <w:t>**</w:t>
            </w:r>
          </w:p>
        </w:tc>
      </w:tr>
      <w:tr w:rsidR="00A23886" w:rsidRPr="00070779" w14:paraId="5FF81F1D" w14:textId="77777777" w:rsidTr="00CE7D45">
        <w:trPr>
          <w:jc w:val="center"/>
        </w:trPr>
        <w:tc>
          <w:tcPr>
            <w:tcW w:w="1471" w:type="pct"/>
            <w:shd w:val="clear" w:color="auto" w:fill="auto"/>
            <w:vAlign w:val="center"/>
          </w:tcPr>
          <w:p w14:paraId="63EC83D5"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038A7DC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7308681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w:t>
            </w:r>
          </w:p>
        </w:tc>
        <w:tc>
          <w:tcPr>
            <w:tcW w:w="588" w:type="pct"/>
          </w:tcPr>
          <w:p w14:paraId="248D9BD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67A1239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c>
          <w:tcPr>
            <w:tcW w:w="588" w:type="pct"/>
          </w:tcPr>
          <w:p w14:paraId="2BDFE599"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4777F4D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w:t>
            </w:r>
          </w:p>
        </w:tc>
      </w:tr>
      <w:tr w:rsidR="00A23886" w:rsidRPr="00070779" w14:paraId="1FA06A98" w14:textId="77777777" w:rsidTr="00CE7D45">
        <w:trPr>
          <w:jc w:val="center"/>
        </w:trPr>
        <w:tc>
          <w:tcPr>
            <w:tcW w:w="1471" w:type="pct"/>
            <w:shd w:val="clear" w:color="auto" w:fill="auto"/>
            <w:vAlign w:val="center"/>
            <w:hideMark/>
          </w:tcPr>
          <w:p w14:paraId="4CCE7AE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Total asset</w:t>
            </w:r>
          </w:p>
        </w:tc>
        <w:tc>
          <w:tcPr>
            <w:tcW w:w="588" w:type="pct"/>
          </w:tcPr>
          <w:p w14:paraId="284E6BF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0.004</w:t>
            </w:r>
          </w:p>
        </w:tc>
        <w:tc>
          <w:tcPr>
            <w:tcW w:w="588" w:type="pct"/>
          </w:tcPr>
          <w:p w14:paraId="6391312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-0.295</w:t>
            </w:r>
            <w:r w:rsidRPr="0069717D">
              <w:rPr>
                <w:sz w:val="20"/>
                <w:szCs w:val="20"/>
                <w:vertAlign w:val="superscript"/>
              </w:rPr>
              <w:t>***</w:t>
            </w:r>
          </w:p>
        </w:tc>
        <w:tc>
          <w:tcPr>
            <w:tcW w:w="588" w:type="pct"/>
          </w:tcPr>
          <w:p w14:paraId="5417B57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0.003</w:t>
            </w:r>
          </w:p>
        </w:tc>
        <w:tc>
          <w:tcPr>
            <w:tcW w:w="588" w:type="pct"/>
          </w:tcPr>
          <w:p w14:paraId="2C9A036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-0.289</w:t>
            </w:r>
            <w:r w:rsidRPr="0069717D">
              <w:rPr>
                <w:sz w:val="20"/>
                <w:szCs w:val="20"/>
                <w:vertAlign w:val="superscript"/>
              </w:rPr>
              <w:t>***</w:t>
            </w:r>
          </w:p>
        </w:tc>
        <w:tc>
          <w:tcPr>
            <w:tcW w:w="588" w:type="pct"/>
          </w:tcPr>
          <w:p w14:paraId="2B8075F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0.002</w:t>
            </w:r>
          </w:p>
        </w:tc>
        <w:tc>
          <w:tcPr>
            <w:tcW w:w="588" w:type="pct"/>
          </w:tcPr>
          <w:p w14:paraId="7A3A0A0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-0.289</w:t>
            </w:r>
            <w:r w:rsidRPr="0069717D">
              <w:rPr>
                <w:sz w:val="20"/>
                <w:szCs w:val="20"/>
                <w:vertAlign w:val="superscript"/>
              </w:rPr>
              <w:t>***</w:t>
            </w:r>
          </w:p>
        </w:tc>
      </w:tr>
      <w:tr w:rsidR="00A23886" w:rsidRPr="00070779" w14:paraId="1A2D938D" w14:textId="77777777" w:rsidTr="00CE7D45">
        <w:trPr>
          <w:jc w:val="center"/>
        </w:trPr>
        <w:tc>
          <w:tcPr>
            <w:tcW w:w="1471" w:type="pct"/>
            <w:shd w:val="clear" w:color="auto" w:fill="auto"/>
            <w:vAlign w:val="center"/>
          </w:tcPr>
          <w:p w14:paraId="682602FD"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154D7F7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59201D7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w:t>
            </w:r>
          </w:p>
        </w:tc>
        <w:tc>
          <w:tcPr>
            <w:tcW w:w="588" w:type="pct"/>
          </w:tcPr>
          <w:p w14:paraId="40168C1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3C09E50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w:t>
            </w:r>
          </w:p>
        </w:tc>
        <w:tc>
          <w:tcPr>
            <w:tcW w:w="588" w:type="pct"/>
          </w:tcPr>
          <w:p w14:paraId="62A391E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3822629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w:t>
            </w:r>
          </w:p>
        </w:tc>
      </w:tr>
      <w:tr w:rsidR="00A23886" w:rsidRPr="00070779" w14:paraId="4C18B02B" w14:textId="77777777" w:rsidTr="00CE7D45">
        <w:trPr>
          <w:jc w:val="center"/>
        </w:trPr>
        <w:tc>
          <w:tcPr>
            <w:tcW w:w="1471" w:type="pct"/>
            <w:shd w:val="clear" w:color="auto" w:fill="auto"/>
            <w:vAlign w:val="center"/>
            <w:hideMark/>
          </w:tcPr>
          <w:p w14:paraId="6182476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ROA</w:t>
            </w:r>
          </w:p>
        </w:tc>
        <w:tc>
          <w:tcPr>
            <w:tcW w:w="588" w:type="pct"/>
          </w:tcPr>
          <w:p w14:paraId="5DF97F8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-0.012</w:t>
            </w:r>
          </w:p>
        </w:tc>
        <w:tc>
          <w:tcPr>
            <w:tcW w:w="588" w:type="pct"/>
          </w:tcPr>
          <w:p w14:paraId="479E1A5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-1.324</w:t>
            </w:r>
            <w:r w:rsidRPr="0069717D">
              <w:rPr>
                <w:sz w:val="20"/>
                <w:szCs w:val="20"/>
                <w:vertAlign w:val="superscript"/>
              </w:rPr>
              <w:t>***</w:t>
            </w:r>
          </w:p>
        </w:tc>
        <w:tc>
          <w:tcPr>
            <w:tcW w:w="588" w:type="pct"/>
          </w:tcPr>
          <w:p w14:paraId="17661DB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-0.013</w:t>
            </w:r>
          </w:p>
        </w:tc>
        <w:tc>
          <w:tcPr>
            <w:tcW w:w="588" w:type="pct"/>
          </w:tcPr>
          <w:p w14:paraId="438F4E6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-1.323</w:t>
            </w:r>
            <w:r w:rsidRPr="0069717D">
              <w:rPr>
                <w:sz w:val="20"/>
                <w:szCs w:val="20"/>
                <w:vertAlign w:val="superscript"/>
              </w:rPr>
              <w:t>***</w:t>
            </w:r>
          </w:p>
        </w:tc>
        <w:tc>
          <w:tcPr>
            <w:tcW w:w="588" w:type="pct"/>
          </w:tcPr>
          <w:p w14:paraId="6BBF731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-0.013</w:t>
            </w:r>
          </w:p>
        </w:tc>
        <w:tc>
          <w:tcPr>
            <w:tcW w:w="588" w:type="pct"/>
          </w:tcPr>
          <w:p w14:paraId="2AB064D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-1.323</w:t>
            </w:r>
            <w:r w:rsidRPr="0069717D">
              <w:rPr>
                <w:sz w:val="20"/>
                <w:szCs w:val="20"/>
                <w:vertAlign w:val="superscript"/>
              </w:rPr>
              <w:t>***</w:t>
            </w:r>
          </w:p>
        </w:tc>
      </w:tr>
      <w:tr w:rsidR="00A23886" w:rsidRPr="00070779" w14:paraId="16D06017" w14:textId="77777777" w:rsidTr="00CE7D45">
        <w:trPr>
          <w:jc w:val="center"/>
        </w:trPr>
        <w:tc>
          <w:tcPr>
            <w:tcW w:w="1471" w:type="pct"/>
            <w:shd w:val="clear" w:color="auto" w:fill="auto"/>
            <w:vAlign w:val="center"/>
          </w:tcPr>
          <w:p w14:paraId="6A2B4054"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184FC72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w:t>
            </w:r>
          </w:p>
        </w:tc>
        <w:tc>
          <w:tcPr>
            <w:tcW w:w="588" w:type="pct"/>
          </w:tcPr>
          <w:p w14:paraId="47973D6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(0.21)</w:t>
            </w:r>
          </w:p>
        </w:tc>
        <w:tc>
          <w:tcPr>
            <w:tcW w:w="588" w:type="pct"/>
          </w:tcPr>
          <w:p w14:paraId="101BF21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w:t>
            </w:r>
          </w:p>
        </w:tc>
        <w:tc>
          <w:tcPr>
            <w:tcW w:w="588" w:type="pct"/>
          </w:tcPr>
          <w:p w14:paraId="1B23030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(0.32)</w:t>
            </w:r>
          </w:p>
        </w:tc>
        <w:tc>
          <w:tcPr>
            <w:tcW w:w="588" w:type="pct"/>
          </w:tcPr>
          <w:p w14:paraId="2937A62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w:t>
            </w:r>
          </w:p>
        </w:tc>
        <w:tc>
          <w:tcPr>
            <w:tcW w:w="588" w:type="pct"/>
          </w:tcPr>
          <w:p w14:paraId="56EE80C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(0.21)</w:t>
            </w:r>
          </w:p>
        </w:tc>
      </w:tr>
      <w:tr w:rsidR="00A23886" w:rsidRPr="00070779" w14:paraId="2CD58AE2" w14:textId="77777777" w:rsidTr="00CE7D45">
        <w:trPr>
          <w:jc w:val="center"/>
        </w:trPr>
        <w:tc>
          <w:tcPr>
            <w:tcW w:w="1471" w:type="pct"/>
            <w:shd w:val="clear" w:color="auto" w:fill="auto"/>
            <w:vAlign w:val="center"/>
            <w:hideMark/>
          </w:tcPr>
          <w:p w14:paraId="5303127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Tobin’s Q</w:t>
            </w:r>
          </w:p>
        </w:tc>
        <w:tc>
          <w:tcPr>
            <w:tcW w:w="588" w:type="pct"/>
          </w:tcPr>
          <w:p w14:paraId="37E9583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-0.005</w:t>
            </w:r>
            <w:r w:rsidRPr="0069717D">
              <w:rPr>
                <w:sz w:val="20"/>
                <w:szCs w:val="20"/>
                <w:vertAlign w:val="superscript"/>
              </w:rPr>
              <w:t>**</w:t>
            </w:r>
          </w:p>
        </w:tc>
        <w:tc>
          <w:tcPr>
            <w:tcW w:w="588" w:type="pct"/>
          </w:tcPr>
          <w:p w14:paraId="0DE949A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-0.051</w:t>
            </w:r>
            <w:r w:rsidRPr="0069717D">
              <w:rPr>
                <w:sz w:val="20"/>
                <w:szCs w:val="20"/>
                <w:vertAlign w:val="superscript"/>
              </w:rPr>
              <w:t>**</w:t>
            </w:r>
          </w:p>
        </w:tc>
        <w:tc>
          <w:tcPr>
            <w:tcW w:w="588" w:type="pct"/>
          </w:tcPr>
          <w:p w14:paraId="49BAB30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-0.005</w:t>
            </w:r>
            <w:r w:rsidRPr="0069717D">
              <w:rPr>
                <w:sz w:val="20"/>
                <w:szCs w:val="20"/>
                <w:vertAlign w:val="superscript"/>
              </w:rPr>
              <w:t>**</w:t>
            </w:r>
          </w:p>
        </w:tc>
        <w:tc>
          <w:tcPr>
            <w:tcW w:w="588" w:type="pct"/>
          </w:tcPr>
          <w:p w14:paraId="1A72F1F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-0.050</w:t>
            </w:r>
            <w:r w:rsidRPr="0069717D">
              <w:rPr>
                <w:sz w:val="20"/>
                <w:szCs w:val="20"/>
                <w:vertAlign w:val="superscript"/>
              </w:rPr>
              <w:t>*</w:t>
            </w:r>
          </w:p>
        </w:tc>
        <w:tc>
          <w:tcPr>
            <w:tcW w:w="588" w:type="pct"/>
          </w:tcPr>
          <w:p w14:paraId="46B8F26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-0.006</w:t>
            </w:r>
            <w:r w:rsidRPr="0069717D">
              <w:rPr>
                <w:sz w:val="20"/>
                <w:szCs w:val="20"/>
                <w:vertAlign w:val="superscript"/>
              </w:rPr>
              <w:t>**</w:t>
            </w:r>
          </w:p>
        </w:tc>
        <w:tc>
          <w:tcPr>
            <w:tcW w:w="588" w:type="pct"/>
          </w:tcPr>
          <w:p w14:paraId="4037842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-0.050</w:t>
            </w:r>
            <w:r w:rsidRPr="0069717D">
              <w:rPr>
                <w:sz w:val="20"/>
                <w:szCs w:val="20"/>
                <w:vertAlign w:val="superscript"/>
              </w:rPr>
              <w:t>**</w:t>
            </w:r>
          </w:p>
        </w:tc>
      </w:tr>
      <w:tr w:rsidR="00A23886" w:rsidRPr="00070779" w14:paraId="65CEE904" w14:textId="77777777" w:rsidTr="00CE7D45">
        <w:trPr>
          <w:jc w:val="center"/>
        </w:trPr>
        <w:tc>
          <w:tcPr>
            <w:tcW w:w="1471" w:type="pct"/>
            <w:shd w:val="clear" w:color="auto" w:fill="auto"/>
            <w:vAlign w:val="center"/>
          </w:tcPr>
          <w:p w14:paraId="173DDB38"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3B0FA20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61C7A03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w:t>
            </w:r>
          </w:p>
        </w:tc>
        <w:tc>
          <w:tcPr>
            <w:tcW w:w="588" w:type="pct"/>
          </w:tcPr>
          <w:p w14:paraId="425B18C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3BD180B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(0.03)</w:t>
            </w:r>
          </w:p>
        </w:tc>
        <w:tc>
          <w:tcPr>
            <w:tcW w:w="588" w:type="pct"/>
          </w:tcPr>
          <w:p w14:paraId="6F44268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2486E369"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w:t>
            </w:r>
          </w:p>
        </w:tc>
      </w:tr>
      <w:tr w:rsidR="00A23886" w:rsidRPr="00070779" w14:paraId="01A3AFF4" w14:textId="77777777" w:rsidTr="00CE7D45">
        <w:trPr>
          <w:jc w:val="center"/>
        </w:trPr>
        <w:tc>
          <w:tcPr>
            <w:tcW w:w="1471" w:type="pct"/>
            <w:shd w:val="clear" w:color="auto" w:fill="auto"/>
            <w:vAlign w:val="center"/>
            <w:hideMark/>
          </w:tcPr>
          <w:p w14:paraId="4DCE2F4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Cash</w:t>
            </w:r>
          </w:p>
        </w:tc>
        <w:tc>
          <w:tcPr>
            <w:tcW w:w="588" w:type="pct"/>
          </w:tcPr>
          <w:p w14:paraId="79F93F3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0.020</w:t>
            </w:r>
          </w:p>
        </w:tc>
        <w:tc>
          <w:tcPr>
            <w:tcW w:w="588" w:type="pct"/>
          </w:tcPr>
          <w:p w14:paraId="69FAFB3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0.514</w:t>
            </w:r>
            <w:r w:rsidRPr="0069717D">
              <w:rPr>
                <w:sz w:val="20"/>
                <w:szCs w:val="20"/>
                <w:vertAlign w:val="superscript"/>
              </w:rPr>
              <w:t>***</w:t>
            </w:r>
          </w:p>
        </w:tc>
        <w:tc>
          <w:tcPr>
            <w:tcW w:w="588" w:type="pct"/>
          </w:tcPr>
          <w:p w14:paraId="5C837B50"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0.021</w:t>
            </w:r>
          </w:p>
        </w:tc>
        <w:tc>
          <w:tcPr>
            <w:tcW w:w="588" w:type="pct"/>
          </w:tcPr>
          <w:p w14:paraId="3B1E973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0.521</w:t>
            </w:r>
            <w:r w:rsidRPr="0069717D">
              <w:rPr>
                <w:sz w:val="20"/>
                <w:szCs w:val="20"/>
                <w:vertAlign w:val="superscript"/>
              </w:rPr>
              <w:t>***</w:t>
            </w:r>
          </w:p>
        </w:tc>
        <w:tc>
          <w:tcPr>
            <w:tcW w:w="588" w:type="pct"/>
          </w:tcPr>
          <w:p w14:paraId="1F9BC2B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0.020</w:t>
            </w:r>
          </w:p>
        </w:tc>
        <w:tc>
          <w:tcPr>
            <w:tcW w:w="588" w:type="pct"/>
          </w:tcPr>
          <w:p w14:paraId="3589C6F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0.520</w:t>
            </w:r>
            <w:r w:rsidRPr="0069717D">
              <w:rPr>
                <w:sz w:val="20"/>
                <w:szCs w:val="20"/>
                <w:vertAlign w:val="superscript"/>
              </w:rPr>
              <w:t>***</w:t>
            </w:r>
          </w:p>
        </w:tc>
      </w:tr>
      <w:tr w:rsidR="00A23886" w:rsidRPr="00070779" w14:paraId="28D4C4C1" w14:textId="77777777" w:rsidTr="00CE7D45">
        <w:trPr>
          <w:jc w:val="center"/>
        </w:trPr>
        <w:tc>
          <w:tcPr>
            <w:tcW w:w="1471" w:type="pct"/>
            <w:shd w:val="clear" w:color="auto" w:fill="auto"/>
            <w:vAlign w:val="center"/>
          </w:tcPr>
          <w:p w14:paraId="7FA1E786"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013BEF4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73563B1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(0.16)</w:t>
            </w:r>
          </w:p>
        </w:tc>
        <w:tc>
          <w:tcPr>
            <w:tcW w:w="588" w:type="pct"/>
          </w:tcPr>
          <w:p w14:paraId="4E26078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23FC669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(0.15)</w:t>
            </w:r>
          </w:p>
        </w:tc>
        <w:tc>
          <w:tcPr>
            <w:tcW w:w="588" w:type="pct"/>
          </w:tcPr>
          <w:p w14:paraId="24F89BC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707DE55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(0.16)</w:t>
            </w:r>
          </w:p>
        </w:tc>
      </w:tr>
      <w:tr w:rsidR="00A23886" w:rsidRPr="00070779" w14:paraId="6429FA69" w14:textId="77777777" w:rsidTr="00CE7D45">
        <w:trPr>
          <w:jc w:val="center"/>
        </w:trPr>
        <w:tc>
          <w:tcPr>
            <w:tcW w:w="1471" w:type="pct"/>
            <w:shd w:val="clear" w:color="auto" w:fill="auto"/>
            <w:vAlign w:val="center"/>
            <w:hideMark/>
          </w:tcPr>
          <w:p w14:paraId="058CDAC9"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Leverage</w:t>
            </w:r>
          </w:p>
        </w:tc>
        <w:tc>
          <w:tcPr>
            <w:tcW w:w="588" w:type="pct"/>
          </w:tcPr>
          <w:p w14:paraId="07B20D1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0.015</w:t>
            </w:r>
            <w:r w:rsidRPr="0069717D">
              <w:rPr>
                <w:sz w:val="20"/>
                <w:szCs w:val="20"/>
                <w:vertAlign w:val="superscript"/>
              </w:rPr>
              <w:t>**</w:t>
            </w:r>
          </w:p>
        </w:tc>
        <w:tc>
          <w:tcPr>
            <w:tcW w:w="588" w:type="pct"/>
          </w:tcPr>
          <w:p w14:paraId="54ADDEE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0.863</w:t>
            </w:r>
            <w:r w:rsidRPr="0069717D">
              <w:rPr>
                <w:sz w:val="20"/>
                <w:szCs w:val="20"/>
                <w:vertAlign w:val="superscript"/>
              </w:rPr>
              <w:t>***</w:t>
            </w:r>
          </w:p>
        </w:tc>
        <w:tc>
          <w:tcPr>
            <w:tcW w:w="588" w:type="pct"/>
          </w:tcPr>
          <w:p w14:paraId="2D4E690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0.016</w:t>
            </w:r>
            <w:r w:rsidRPr="0069717D">
              <w:rPr>
                <w:sz w:val="20"/>
                <w:szCs w:val="20"/>
                <w:vertAlign w:val="superscript"/>
              </w:rPr>
              <w:t>**</w:t>
            </w:r>
          </w:p>
        </w:tc>
        <w:tc>
          <w:tcPr>
            <w:tcW w:w="588" w:type="pct"/>
          </w:tcPr>
          <w:p w14:paraId="341F916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0.861</w:t>
            </w:r>
            <w:r w:rsidRPr="0069717D">
              <w:rPr>
                <w:sz w:val="20"/>
                <w:szCs w:val="20"/>
                <w:vertAlign w:val="superscript"/>
              </w:rPr>
              <w:t>***</w:t>
            </w:r>
          </w:p>
        </w:tc>
        <w:tc>
          <w:tcPr>
            <w:tcW w:w="588" w:type="pct"/>
          </w:tcPr>
          <w:p w14:paraId="3A19D2D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0.017</w:t>
            </w:r>
            <w:r w:rsidRPr="0069717D">
              <w:rPr>
                <w:sz w:val="20"/>
                <w:szCs w:val="20"/>
                <w:vertAlign w:val="superscript"/>
              </w:rPr>
              <w:t>**</w:t>
            </w:r>
          </w:p>
        </w:tc>
        <w:tc>
          <w:tcPr>
            <w:tcW w:w="588" w:type="pct"/>
          </w:tcPr>
          <w:p w14:paraId="0BB970D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0.861</w:t>
            </w:r>
            <w:r w:rsidRPr="0069717D">
              <w:rPr>
                <w:sz w:val="20"/>
                <w:szCs w:val="20"/>
                <w:vertAlign w:val="superscript"/>
              </w:rPr>
              <w:t>***</w:t>
            </w:r>
          </w:p>
        </w:tc>
      </w:tr>
      <w:tr w:rsidR="00A23886" w:rsidRPr="00070779" w14:paraId="4D5A7E14" w14:textId="77777777" w:rsidTr="00CE7D45">
        <w:trPr>
          <w:jc w:val="center"/>
        </w:trPr>
        <w:tc>
          <w:tcPr>
            <w:tcW w:w="1471" w:type="pct"/>
            <w:shd w:val="clear" w:color="auto" w:fill="auto"/>
            <w:vAlign w:val="center"/>
          </w:tcPr>
          <w:p w14:paraId="39786AFB"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5BACFB0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1627C95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(0.07)</w:t>
            </w:r>
          </w:p>
        </w:tc>
        <w:tc>
          <w:tcPr>
            <w:tcW w:w="588" w:type="pct"/>
          </w:tcPr>
          <w:p w14:paraId="0F64ABA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24193E3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(0.07)</w:t>
            </w:r>
          </w:p>
        </w:tc>
        <w:tc>
          <w:tcPr>
            <w:tcW w:w="588" w:type="pct"/>
          </w:tcPr>
          <w:p w14:paraId="7773BD8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2E3BF609"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(0.07)</w:t>
            </w:r>
          </w:p>
        </w:tc>
      </w:tr>
      <w:tr w:rsidR="00A23886" w:rsidRPr="00070779" w14:paraId="28FFA663" w14:textId="77777777" w:rsidTr="00CE7D45">
        <w:trPr>
          <w:jc w:val="center"/>
        </w:trPr>
        <w:tc>
          <w:tcPr>
            <w:tcW w:w="1471" w:type="pct"/>
            <w:shd w:val="clear" w:color="auto" w:fill="auto"/>
            <w:vAlign w:val="center"/>
            <w:hideMark/>
          </w:tcPr>
          <w:p w14:paraId="23A391B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CAPX</w:t>
            </w:r>
          </w:p>
        </w:tc>
        <w:tc>
          <w:tcPr>
            <w:tcW w:w="588" w:type="pct"/>
          </w:tcPr>
          <w:p w14:paraId="551917A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-0.006</w:t>
            </w:r>
            <w:r w:rsidRPr="0069717D">
              <w:rPr>
                <w:sz w:val="20"/>
                <w:szCs w:val="20"/>
                <w:vertAlign w:val="superscript"/>
              </w:rPr>
              <w:t>*</w:t>
            </w:r>
          </w:p>
        </w:tc>
        <w:tc>
          <w:tcPr>
            <w:tcW w:w="588" w:type="pct"/>
          </w:tcPr>
          <w:p w14:paraId="3EAC5DA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-0.027</w:t>
            </w:r>
          </w:p>
        </w:tc>
        <w:tc>
          <w:tcPr>
            <w:tcW w:w="588" w:type="pct"/>
          </w:tcPr>
          <w:p w14:paraId="75915AD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-0.005</w:t>
            </w:r>
          </w:p>
        </w:tc>
        <w:tc>
          <w:tcPr>
            <w:tcW w:w="588" w:type="pct"/>
          </w:tcPr>
          <w:p w14:paraId="645679B0"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-0.027</w:t>
            </w:r>
          </w:p>
        </w:tc>
        <w:tc>
          <w:tcPr>
            <w:tcW w:w="588" w:type="pct"/>
          </w:tcPr>
          <w:p w14:paraId="64874CB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-0.006</w:t>
            </w:r>
            <w:r w:rsidRPr="0069717D">
              <w:rPr>
                <w:sz w:val="20"/>
                <w:szCs w:val="20"/>
                <w:vertAlign w:val="superscript"/>
              </w:rPr>
              <w:t>*</w:t>
            </w:r>
          </w:p>
        </w:tc>
        <w:tc>
          <w:tcPr>
            <w:tcW w:w="588" w:type="pct"/>
          </w:tcPr>
          <w:p w14:paraId="3598263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-0.027</w:t>
            </w:r>
          </w:p>
        </w:tc>
      </w:tr>
      <w:tr w:rsidR="00A23886" w:rsidRPr="00070779" w14:paraId="7945B4D1" w14:textId="77777777" w:rsidTr="00CE7D45">
        <w:trPr>
          <w:jc w:val="center"/>
        </w:trPr>
        <w:tc>
          <w:tcPr>
            <w:tcW w:w="1471" w:type="pct"/>
            <w:shd w:val="clear" w:color="auto" w:fill="auto"/>
            <w:vAlign w:val="center"/>
          </w:tcPr>
          <w:p w14:paraId="729EEE97"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563413C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26E6F1E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c>
          <w:tcPr>
            <w:tcW w:w="588" w:type="pct"/>
          </w:tcPr>
          <w:p w14:paraId="04DA675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49BB07D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c>
          <w:tcPr>
            <w:tcW w:w="588" w:type="pct"/>
          </w:tcPr>
          <w:p w14:paraId="272976E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7CC3A960"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r>
      <w:tr w:rsidR="00DF0AA9" w:rsidRPr="00070779" w14:paraId="443ECB4B" w14:textId="77777777" w:rsidTr="00CE7D45">
        <w:trPr>
          <w:jc w:val="center"/>
        </w:trPr>
        <w:tc>
          <w:tcPr>
            <w:tcW w:w="1471" w:type="pct"/>
            <w:shd w:val="clear" w:color="auto" w:fill="auto"/>
            <w:vAlign w:val="center"/>
            <w:hideMark/>
          </w:tcPr>
          <w:p w14:paraId="0236BA5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Pr>
                <w:rFonts w:eastAsia="DengXian"/>
                <w:sz w:val="20"/>
                <w:szCs w:val="20"/>
                <w:lang w:eastAsia="zh-CN"/>
              </w:rPr>
              <w:t>(F</w:t>
            </w:r>
            <w:r w:rsidRPr="002B3BA8">
              <w:rPr>
                <w:rFonts w:eastAsia="DengXian"/>
                <w:sz w:val="20"/>
                <w:szCs w:val="20"/>
                <w:lang w:eastAsia="zh-CN"/>
              </w:rPr>
              <w:t>acility amount</w:t>
            </w:r>
            <w:r>
              <w:rPr>
                <w:rFonts w:eastAsia="DengXian"/>
                <w:sz w:val="20"/>
                <w:szCs w:val="20"/>
                <w:lang w:eastAsia="zh-CN"/>
              </w:rPr>
              <w:t>)</w:t>
            </w:r>
          </w:p>
        </w:tc>
        <w:tc>
          <w:tcPr>
            <w:tcW w:w="588" w:type="pct"/>
          </w:tcPr>
          <w:p w14:paraId="0896DA7F"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0.003</w:t>
            </w:r>
          </w:p>
        </w:tc>
        <w:tc>
          <w:tcPr>
            <w:tcW w:w="588" w:type="pct"/>
          </w:tcPr>
          <w:p w14:paraId="1E48F389"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-0.534</w:t>
            </w:r>
            <w:r w:rsidRPr="0069717D">
              <w:rPr>
                <w:sz w:val="20"/>
                <w:szCs w:val="20"/>
                <w:vertAlign w:val="superscript"/>
              </w:rPr>
              <w:t>***</w:t>
            </w:r>
          </w:p>
        </w:tc>
        <w:tc>
          <w:tcPr>
            <w:tcW w:w="588" w:type="pct"/>
          </w:tcPr>
          <w:p w14:paraId="6FB39E7B"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0.003</w:t>
            </w:r>
          </w:p>
        </w:tc>
        <w:tc>
          <w:tcPr>
            <w:tcW w:w="588" w:type="pct"/>
          </w:tcPr>
          <w:p w14:paraId="58D3CFD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-0.534</w:t>
            </w:r>
            <w:r w:rsidRPr="0069717D">
              <w:rPr>
                <w:sz w:val="20"/>
                <w:szCs w:val="20"/>
                <w:vertAlign w:val="superscript"/>
              </w:rPr>
              <w:t>***</w:t>
            </w:r>
          </w:p>
        </w:tc>
        <w:tc>
          <w:tcPr>
            <w:tcW w:w="588" w:type="pct"/>
          </w:tcPr>
          <w:p w14:paraId="50D8D2E7"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0.003</w:t>
            </w:r>
          </w:p>
        </w:tc>
        <w:tc>
          <w:tcPr>
            <w:tcW w:w="588" w:type="pct"/>
          </w:tcPr>
          <w:p w14:paraId="291FCE6C"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-0.534</w:t>
            </w:r>
            <w:r w:rsidRPr="0069717D">
              <w:rPr>
                <w:sz w:val="20"/>
                <w:szCs w:val="20"/>
                <w:vertAlign w:val="superscript"/>
              </w:rPr>
              <w:t>***</w:t>
            </w:r>
          </w:p>
        </w:tc>
      </w:tr>
      <w:tr w:rsidR="00DF0AA9" w:rsidRPr="00070779" w14:paraId="2258A8B4" w14:textId="77777777" w:rsidTr="00CE7D45">
        <w:trPr>
          <w:jc w:val="center"/>
        </w:trPr>
        <w:tc>
          <w:tcPr>
            <w:tcW w:w="1471" w:type="pct"/>
            <w:shd w:val="clear" w:color="auto" w:fill="auto"/>
            <w:vAlign w:val="center"/>
          </w:tcPr>
          <w:p w14:paraId="3809CFB8" w14:textId="77777777" w:rsidR="00DF0AA9" w:rsidRPr="00070779" w:rsidRDefault="00DF0AA9" w:rsidP="00DF0AA9">
            <w:pPr>
              <w:widowControl w:val="0"/>
              <w:autoSpaceDE w:val="0"/>
              <w:autoSpaceDN w:val="0"/>
              <w:adjustRightInd w:val="0"/>
              <w:jc w:val="center"/>
              <w:rPr>
                <w:rFonts w:eastAsia="DengXian"/>
                <w:sz w:val="20"/>
                <w:szCs w:val="20"/>
                <w:lang w:eastAsia="zh-CN"/>
              </w:rPr>
            </w:pPr>
          </w:p>
        </w:tc>
        <w:tc>
          <w:tcPr>
            <w:tcW w:w="588" w:type="pct"/>
          </w:tcPr>
          <w:p w14:paraId="6B7286A8"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23A4B971"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(0.06)</w:t>
            </w:r>
          </w:p>
        </w:tc>
        <w:tc>
          <w:tcPr>
            <w:tcW w:w="588" w:type="pct"/>
          </w:tcPr>
          <w:p w14:paraId="016AF8CC"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7FD76E4A"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(0.06)</w:t>
            </w:r>
          </w:p>
        </w:tc>
        <w:tc>
          <w:tcPr>
            <w:tcW w:w="588" w:type="pct"/>
          </w:tcPr>
          <w:p w14:paraId="06AF185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06450EE2"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(0.06)</w:t>
            </w:r>
          </w:p>
        </w:tc>
      </w:tr>
      <w:tr w:rsidR="00DF0AA9" w:rsidRPr="00070779" w14:paraId="71167F78" w14:textId="77777777" w:rsidTr="00CE7D45">
        <w:trPr>
          <w:jc w:val="center"/>
        </w:trPr>
        <w:tc>
          <w:tcPr>
            <w:tcW w:w="1471" w:type="pct"/>
            <w:shd w:val="clear" w:color="auto" w:fill="auto"/>
            <w:vAlign w:val="center"/>
            <w:hideMark/>
          </w:tcPr>
          <w:p w14:paraId="3E4CC87F"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Pr>
                <w:rFonts w:eastAsia="DengXian"/>
                <w:sz w:val="20"/>
                <w:szCs w:val="20"/>
                <w:lang w:eastAsia="zh-CN"/>
              </w:rPr>
              <w:t>(F</w:t>
            </w:r>
            <w:r w:rsidRPr="002B3BA8">
              <w:rPr>
                <w:rFonts w:eastAsia="DengXian"/>
                <w:sz w:val="20"/>
                <w:szCs w:val="20"/>
                <w:lang w:eastAsia="zh-CN"/>
              </w:rPr>
              <w:t>acility maturity</w:t>
            </w:r>
            <w:r>
              <w:rPr>
                <w:rFonts w:eastAsia="DengXian"/>
                <w:sz w:val="20"/>
                <w:szCs w:val="20"/>
                <w:lang w:eastAsia="zh-CN"/>
              </w:rPr>
              <w:t>)</w:t>
            </w:r>
          </w:p>
        </w:tc>
        <w:tc>
          <w:tcPr>
            <w:tcW w:w="588" w:type="pct"/>
          </w:tcPr>
          <w:p w14:paraId="22B49870"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0.010</w:t>
            </w:r>
            <w:r w:rsidRPr="0069717D">
              <w:rPr>
                <w:sz w:val="20"/>
                <w:szCs w:val="20"/>
                <w:vertAlign w:val="superscript"/>
              </w:rPr>
              <w:t>*</w:t>
            </w:r>
          </w:p>
        </w:tc>
        <w:tc>
          <w:tcPr>
            <w:tcW w:w="588" w:type="pct"/>
          </w:tcPr>
          <w:p w14:paraId="0548D489"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-0.020</w:t>
            </w:r>
          </w:p>
        </w:tc>
        <w:tc>
          <w:tcPr>
            <w:tcW w:w="588" w:type="pct"/>
          </w:tcPr>
          <w:p w14:paraId="560E490F"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0.010</w:t>
            </w:r>
            <w:r w:rsidRPr="0069717D">
              <w:rPr>
                <w:sz w:val="20"/>
                <w:szCs w:val="20"/>
                <w:vertAlign w:val="superscript"/>
              </w:rPr>
              <w:t>*</w:t>
            </w:r>
          </w:p>
        </w:tc>
        <w:tc>
          <w:tcPr>
            <w:tcW w:w="588" w:type="pct"/>
          </w:tcPr>
          <w:p w14:paraId="7D15B49D"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-0.022</w:t>
            </w:r>
          </w:p>
        </w:tc>
        <w:tc>
          <w:tcPr>
            <w:tcW w:w="588" w:type="pct"/>
          </w:tcPr>
          <w:p w14:paraId="44BEE80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0.011</w:t>
            </w:r>
            <w:r w:rsidRPr="0069717D">
              <w:rPr>
                <w:sz w:val="20"/>
                <w:szCs w:val="20"/>
                <w:vertAlign w:val="superscript"/>
              </w:rPr>
              <w:t>*</w:t>
            </w:r>
          </w:p>
        </w:tc>
        <w:tc>
          <w:tcPr>
            <w:tcW w:w="588" w:type="pct"/>
          </w:tcPr>
          <w:p w14:paraId="6AD7BA6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-0.022</w:t>
            </w:r>
          </w:p>
        </w:tc>
      </w:tr>
      <w:tr w:rsidR="00DF0AA9" w:rsidRPr="00070779" w14:paraId="0B08D4BF" w14:textId="77777777" w:rsidTr="00CE7D45">
        <w:trPr>
          <w:jc w:val="center"/>
        </w:trPr>
        <w:tc>
          <w:tcPr>
            <w:tcW w:w="1471" w:type="pct"/>
            <w:shd w:val="clear" w:color="auto" w:fill="auto"/>
            <w:vAlign w:val="center"/>
          </w:tcPr>
          <w:p w14:paraId="0725033A" w14:textId="77777777" w:rsidR="00DF0AA9" w:rsidRPr="00070779" w:rsidRDefault="00DF0AA9" w:rsidP="00DF0AA9">
            <w:pPr>
              <w:widowControl w:val="0"/>
              <w:autoSpaceDE w:val="0"/>
              <w:autoSpaceDN w:val="0"/>
              <w:adjustRightInd w:val="0"/>
              <w:jc w:val="center"/>
              <w:rPr>
                <w:rFonts w:eastAsia="DengXian"/>
                <w:sz w:val="20"/>
                <w:szCs w:val="20"/>
                <w:lang w:eastAsia="zh-CN"/>
              </w:rPr>
            </w:pPr>
          </w:p>
        </w:tc>
        <w:tc>
          <w:tcPr>
            <w:tcW w:w="588" w:type="pct"/>
          </w:tcPr>
          <w:p w14:paraId="31F97973"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4AB4FF27"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(0.07)</w:t>
            </w:r>
          </w:p>
        </w:tc>
        <w:tc>
          <w:tcPr>
            <w:tcW w:w="588" w:type="pct"/>
          </w:tcPr>
          <w:p w14:paraId="1CAD54DC"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409D3FA8"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(0.07)</w:t>
            </w:r>
          </w:p>
        </w:tc>
        <w:tc>
          <w:tcPr>
            <w:tcW w:w="588" w:type="pct"/>
          </w:tcPr>
          <w:p w14:paraId="6B9FF1A9"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7206D43B"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(0.07)</w:t>
            </w:r>
          </w:p>
        </w:tc>
      </w:tr>
      <w:tr w:rsidR="00DF0AA9" w:rsidRPr="00070779" w14:paraId="11B3E2A5" w14:textId="77777777" w:rsidTr="00CE7D45">
        <w:trPr>
          <w:jc w:val="center"/>
        </w:trPr>
        <w:tc>
          <w:tcPr>
            <w:tcW w:w="1471" w:type="pct"/>
            <w:shd w:val="clear" w:color="auto" w:fill="auto"/>
            <w:vAlign w:val="center"/>
            <w:hideMark/>
          </w:tcPr>
          <w:p w14:paraId="6CD659DB"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Pr>
                <w:rFonts w:eastAsia="DengXian"/>
                <w:sz w:val="20"/>
                <w:szCs w:val="20"/>
                <w:lang w:eastAsia="zh-CN"/>
              </w:rPr>
              <w:t>(N</w:t>
            </w:r>
            <w:r w:rsidRPr="002B3BA8">
              <w:rPr>
                <w:rFonts w:eastAsia="DengXian"/>
                <w:sz w:val="20"/>
                <w:szCs w:val="20"/>
                <w:lang w:eastAsia="zh-CN"/>
              </w:rPr>
              <w:t>umber of banks</w:t>
            </w:r>
            <w:r>
              <w:rPr>
                <w:rFonts w:eastAsia="DengXian"/>
                <w:sz w:val="20"/>
                <w:szCs w:val="20"/>
                <w:lang w:eastAsia="zh-CN"/>
              </w:rPr>
              <w:t>)</w:t>
            </w:r>
          </w:p>
        </w:tc>
        <w:tc>
          <w:tcPr>
            <w:tcW w:w="588" w:type="pct"/>
          </w:tcPr>
          <w:p w14:paraId="764228C8"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-0.363</w:t>
            </w:r>
            <w:r w:rsidRPr="0069717D">
              <w:rPr>
                <w:sz w:val="20"/>
                <w:szCs w:val="20"/>
                <w:vertAlign w:val="superscript"/>
              </w:rPr>
              <w:t>***</w:t>
            </w:r>
          </w:p>
        </w:tc>
        <w:tc>
          <w:tcPr>
            <w:tcW w:w="588" w:type="pct"/>
          </w:tcPr>
          <w:p w14:paraId="6323752B"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1.631</w:t>
            </w:r>
            <w:r w:rsidRPr="0069717D">
              <w:rPr>
                <w:sz w:val="20"/>
                <w:szCs w:val="20"/>
                <w:vertAlign w:val="superscript"/>
              </w:rPr>
              <w:t>***</w:t>
            </w:r>
          </w:p>
        </w:tc>
        <w:tc>
          <w:tcPr>
            <w:tcW w:w="588" w:type="pct"/>
          </w:tcPr>
          <w:p w14:paraId="6252DDD7"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-0.363</w:t>
            </w:r>
            <w:r w:rsidRPr="0069717D">
              <w:rPr>
                <w:sz w:val="20"/>
                <w:szCs w:val="20"/>
                <w:vertAlign w:val="superscript"/>
              </w:rPr>
              <w:t>***</w:t>
            </w:r>
          </w:p>
        </w:tc>
        <w:tc>
          <w:tcPr>
            <w:tcW w:w="588" w:type="pct"/>
          </w:tcPr>
          <w:p w14:paraId="20157E8A"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1.633</w:t>
            </w:r>
            <w:r w:rsidRPr="0069717D">
              <w:rPr>
                <w:sz w:val="20"/>
                <w:szCs w:val="20"/>
                <w:vertAlign w:val="superscript"/>
              </w:rPr>
              <w:t>***</w:t>
            </w:r>
          </w:p>
        </w:tc>
        <w:tc>
          <w:tcPr>
            <w:tcW w:w="588" w:type="pct"/>
          </w:tcPr>
          <w:p w14:paraId="73A42A27"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-0.362</w:t>
            </w:r>
            <w:r w:rsidRPr="0069717D">
              <w:rPr>
                <w:sz w:val="20"/>
                <w:szCs w:val="20"/>
                <w:vertAlign w:val="superscript"/>
              </w:rPr>
              <w:t>***</w:t>
            </w:r>
          </w:p>
        </w:tc>
        <w:tc>
          <w:tcPr>
            <w:tcW w:w="588" w:type="pct"/>
          </w:tcPr>
          <w:p w14:paraId="7BF218F1"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69717D">
              <w:rPr>
                <w:sz w:val="20"/>
                <w:szCs w:val="20"/>
              </w:rPr>
              <w:t>1.634</w:t>
            </w:r>
            <w:r w:rsidRPr="0069717D">
              <w:rPr>
                <w:sz w:val="20"/>
                <w:szCs w:val="20"/>
                <w:vertAlign w:val="superscript"/>
              </w:rPr>
              <w:t>***</w:t>
            </w:r>
          </w:p>
        </w:tc>
      </w:tr>
      <w:tr w:rsidR="00A23886" w:rsidRPr="00070779" w14:paraId="25121CF4" w14:textId="77777777" w:rsidTr="00CE7D45">
        <w:trPr>
          <w:jc w:val="center"/>
        </w:trPr>
        <w:tc>
          <w:tcPr>
            <w:tcW w:w="1471" w:type="pct"/>
            <w:shd w:val="clear" w:color="auto" w:fill="auto"/>
            <w:vAlign w:val="center"/>
          </w:tcPr>
          <w:p w14:paraId="3D0A889E"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5827E379"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0D4E7D2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(0.29)</w:t>
            </w:r>
          </w:p>
        </w:tc>
        <w:tc>
          <w:tcPr>
            <w:tcW w:w="588" w:type="pct"/>
          </w:tcPr>
          <w:p w14:paraId="17237BF0"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47565FF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(0.30)</w:t>
            </w:r>
          </w:p>
        </w:tc>
        <w:tc>
          <w:tcPr>
            <w:tcW w:w="588" w:type="pct"/>
          </w:tcPr>
          <w:p w14:paraId="57AC159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7FC4342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(0.29)</w:t>
            </w:r>
          </w:p>
        </w:tc>
      </w:tr>
      <w:tr w:rsidR="00A23886" w:rsidRPr="00070779" w14:paraId="5EEA7592" w14:textId="77777777" w:rsidTr="00CE7D45">
        <w:trPr>
          <w:jc w:val="center"/>
        </w:trPr>
        <w:tc>
          <w:tcPr>
            <w:tcW w:w="1471" w:type="pct"/>
            <w:shd w:val="clear" w:color="auto" w:fill="auto"/>
            <w:vAlign w:val="center"/>
            <w:hideMark/>
          </w:tcPr>
          <w:p w14:paraId="42ED937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Institutional investor</w:t>
            </w:r>
          </w:p>
        </w:tc>
        <w:tc>
          <w:tcPr>
            <w:tcW w:w="588" w:type="pct"/>
          </w:tcPr>
          <w:p w14:paraId="2F3FC38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-0.002</w:t>
            </w:r>
          </w:p>
        </w:tc>
        <w:tc>
          <w:tcPr>
            <w:tcW w:w="588" w:type="pct"/>
          </w:tcPr>
          <w:p w14:paraId="3C3CF6D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0.261</w:t>
            </w:r>
            <w:r w:rsidRPr="0069717D">
              <w:rPr>
                <w:sz w:val="20"/>
                <w:szCs w:val="20"/>
                <w:vertAlign w:val="superscript"/>
              </w:rPr>
              <w:t>***</w:t>
            </w:r>
          </w:p>
        </w:tc>
        <w:tc>
          <w:tcPr>
            <w:tcW w:w="588" w:type="pct"/>
          </w:tcPr>
          <w:p w14:paraId="09D5BBE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-0.001</w:t>
            </w:r>
          </w:p>
        </w:tc>
        <w:tc>
          <w:tcPr>
            <w:tcW w:w="588" w:type="pct"/>
          </w:tcPr>
          <w:p w14:paraId="6795FF5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0.261</w:t>
            </w:r>
            <w:r w:rsidRPr="0069717D">
              <w:rPr>
                <w:sz w:val="20"/>
                <w:szCs w:val="20"/>
                <w:vertAlign w:val="superscript"/>
              </w:rPr>
              <w:t>***</w:t>
            </w:r>
          </w:p>
        </w:tc>
        <w:tc>
          <w:tcPr>
            <w:tcW w:w="588" w:type="pct"/>
          </w:tcPr>
          <w:p w14:paraId="0072249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-0.002</w:t>
            </w:r>
          </w:p>
        </w:tc>
        <w:tc>
          <w:tcPr>
            <w:tcW w:w="588" w:type="pct"/>
          </w:tcPr>
          <w:p w14:paraId="35F3A41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0.261</w:t>
            </w:r>
            <w:r w:rsidRPr="0069717D">
              <w:rPr>
                <w:sz w:val="20"/>
                <w:szCs w:val="20"/>
                <w:vertAlign w:val="superscript"/>
              </w:rPr>
              <w:t>***</w:t>
            </w:r>
          </w:p>
        </w:tc>
      </w:tr>
      <w:tr w:rsidR="00A23886" w:rsidRPr="00070779" w14:paraId="3C4AF2CB" w14:textId="77777777" w:rsidTr="00CE7D45">
        <w:trPr>
          <w:jc w:val="center"/>
        </w:trPr>
        <w:tc>
          <w:tcPr>
            <w:tcW w:w="1471" w:type="pct"/>
            <w:shd w:val="clear" w:color="auto" w:fill="auto"/>
            <w:vAlign w:val="center"/>
          </w:tcPr>
          <w:p w14:paraId="63AD5354"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0B62AFE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6404254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c>
          <w:tcPr>
            <w:tcW w:w="588" w:type="pct"/>
          </w:tcPr>
          <w:p w14:paraId="0E183E7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53210AE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(0.03)</w:t>
            </w:r>
          </w:p>
        </w:tc>
        <w:tc>
          <w:tcPr>
            <w:tcW w:w="588" w:type="pct"/>
          </w:tcPr>
          <w:p w14:paraId="35AB6E0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(0.00)</w:t>
            </w:r>
          </w:p>
        </w:tc>
        <w:tc>
          <w:tcPr>
            <w:tcW w:w="588" w:type="pct"/>
          </w:tcPr>
          <w:p w14:paraId="0CA8A19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r>
      <w:tr w:rsidR="00A23886" w:rsidRPr="00070779" w14:paraId="2639689B" w14:textId="77777777" w:rsidTr="00CE7D45">
        <w:trPr>
          <w:jc w:val="center"/>
        </w:trPr>
        <w:tc>
          <w:tcPr>
            <w:tcW w:w="1471" w:type="pct"/>
            <w:shd w:val="clear" w:color="auto" w:fill="auto"/>
            <w:vAlign w:val="center"/>
            <w:hideMark/>
          </w:tcPr>
          <w:p w14:paraId="22513BA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Non-US dollar facility</w:t>
            </w:r>
          </w:p>
        </w:tc>
        <w:tc>
          <w:tcPr>
            <w:tcW w:w="588" w:type="pct"/>
          </w:tcPr>
          <w:p w14:paraId="216A2A5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0.023</w:t>
            </w:r>
          </w:p>
        </w:tc>
        <w:tc>
          <w:tcPr>
            <w:tcW w:w="588" w:type="pct"/>
          </w:tcPr>
          <w:p w14:paraId="00E7400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-0.088</w:t>
            </w:r>
          </w:p>
        </w:tc>
        <w:tc>
          <w:tcPr>
            <w:tcW w:w="588" w:type="pct"/>
          </w:tcPr>
          <w:p w14:paraId="4290CA2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0.023</w:t>
            </w:r>
          </w:p>
        </w:tc>
        <w:tc>
          <w:tcPr>
            <w:tcW w:w="588" w:type="pct"/>
          </w:tcPr>
          <w:p w14:paraId="47A8F49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-0.089</w:t>
            </w:r>
          </w:p>
        </w:tc>
        <w:tc>
          <w:tcPr>
            <w:tcW w:w="588" w:type="pct"/>
          </w:tcPr>
          <w:p w14:paraId="37BB4A4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0.023</w:t>
            </w:r>
          </w:p>
        </w:tc>
        <w:tc>
          <w:tcPr>
            <w:tcW w:w="588" w:type="pct"/>
          </w:tcPr>
          <w:p w14:paraId="271D32F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-0.089</w:t>
            </w:r>
          </w:p>
        </w:tc>
      </w:tr>
      <w:tr w:rsidR="00A23886" w:rsidRPr="00070779" w14:paraId="23FC2B6F" w14:textId="77777777" w:rsidTr="00CE7D45">
        <w:trPr>
          <w:jc w:val="center"/>
        </w:trPr>
        <w:tc>
          <w:tcPr>
            <w:tcW w:w="1471" w:type="pct"/>
            <w:shd w:val="clear" w:color="auto" w:fill="auto"/>
            <w:vAlign w:val="center"/>
          </w:tcPr>
          <w:p w14:paraId="036EB63D"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4951F0E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6794280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(0.13)</w:t>
            </w:r>
          </w:p>
        </w:tc>
        <w:tc>
          <w:tcPr>
            <w:tcW w:w="588" w:type="pct"/>
          </w:tcPr>
          <w:p w14:paraId="39D0B1B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163FA30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(0.12)</w:t>
            </w:r>
          </w:p>
        </w:tc>
        <w:tc>
          <w:tcPr>
            <w:tcW w:w="588" w:type="pct"/>
          </w:tcPr>
          <w:p w14:paraId="225D6D8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(0.01)</w:t>
            </w:r>
          </w:p>
        </w:tc>
        <w:tc>
          <w:tcPr>
            <w:tcW w:w="588" w:type="pct"/>
          </w:tcPr>
          <w:p w14:paraId="753F99C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(0.13)</w:t>
            </w:r>
          </w:p>
        </w:tc>
      </w:tr>
      <w:tr w:rsidR="00A23886" w:rsidRPr="00070779" w14:paraId="6BF90039" w14:textId="77777777" w:rsidTr="00CE7D45">
        <w:trPr>
          <w:jc w:val="center"/>
        </w:trPr>
        <w:tc>
          <w:tcPr>
            <w:tcW w:w="1471" w:type="pct"/>
            <w:shd w:val="clear" w:color="auto" w:fill="auto"/>
            <w:vAlign w:val="center"/>
          </w:tcPr>
          <w:p w14:paraId="1C1B12C6" w14:textId="77777777" w:rsidR="00A23886" w:rsidRPr="00070779" w:rsidRDefault="00A23886" w:rsidP="00A23886">
            <w:pPr>
              <w:widowControl w:val="0"/>
              <w:autoSpaceDE w:val="0"/>
              <w:autoSpaceDN w:val="0"/>
              <w:adjustRightInd w:val="0"/>
              <w:jc w:val="center"/>
              <w:rPr>
                <w:rFonts w:eastAsia="DengXian"/>
                <w:sz w:val="20"/>
                <w:szCs w:val="20"/>
                <w:lang w:eastAsia="zh-CN"/>
              </w:rPr>
            </w:pPr>
            <w:bookmarkStart w:id="40" w:name="_Hlk48901326"/>
            <w:r w:rsidRPr="00070779">
              <w:rPr>
                <w:rFonts w:eastAsia="DengXian"/>
                <w:sz w:val="20"/>
                <w:szCs w:val="20"/>
                <w:lang w:eastAsia="zh-CN"/>
              </w:rPr>
              <w:t>Loan portfolio exposure</w:t>
            </w:r>
            <w:bookmarkEnd w:id="40"/>
          </w:p>
        </w:tc>
        <w:tc>
          <w:tcPr>
            <w:tcW w:w="588" w:type="pct"/>
          </w:tcPr>
          <w:p w14:paraId="55ABFA6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0.160</w:t>
            </w:r>
            <w:r w:rsidRPr="0069717D">
              <w:rPr>
                <w:sz w:val="20"/>
                <w:szCs w:val="20"/>
                <w:vertAlign w:val="superscript"/>
              </w:rPr>
              <w:t>***</w:t>
            </w:r>
          </w:p>
        </w:tc>
        <w:tc>
          <w:tcPr>
            <w:tcW w:w="588" w:type="pct"/>
          </w:tcPr>
          <w:p w14:paraId="41B28F19"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-0.403</w:t>
            </w:r>
          </w:p>
        </w:tc>
        <w:tc>
          <w:tcPr>
            <w:tcW w:w="588" w:type="pct"/>
          </w:tcPr>
          <w:p w14:paraId="7A287CB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0.161</w:t>
            </w:r>
            <w:r w:rsidRPr="0069717D">
              <w:rPr>
                <w:sz w:val="20"/>
                <w:szCs w:val="20"/>
                <w:vertAlign w:val="superscript"/>
              </w:rPr>
              <w:t>***</w:t>
            </w:r>
          </w:p>
        </w:tc>
        <w:tc>
          <w:tcPr>
            <w:tcW w:w="588" w:type="pct"/>
          </w:tcPr>
          <w:p w14:paraId="7E4528A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-0.404</w:t>
            </w:r>
          </w:p>
        </w:tc>
        <w:tc>
          <w:tcPr>
            <w:tcW w:w="588" w:type="pct"/>
          </w:tcPr>
          <w:p w14:paraId="3E35AD71"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0.159</w:t>
            </w:r>
            <w:r w:rsidRPr="0069717D">
              <w:rPr>
                <w:sz w:val="20"/>
                <w:szCs w:val="20"/>
                <w:vertAlign w:val="superscript"/>
              </w:rPr>
              <w:t>***</w:t>
            </w:r>
          </w:p>
        </w:tc>
        <w:tc>
          <w:tcPr>
            <w:tcW w:w="588" w:type="pct"/>
          </w:tcPr>
          <w:p w14:paraId="2C4B9DF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-0.405</w:t>
            </w:r>
          </w:p>
        </w:tc>
      </w:tr>
      <w:tr w:rsidR="00A23886" w:rsidRPr="00070779" w14:paraId="10B348A5" w14:textId="77777777" w:rsidTr="00CE7D45">
        <w:trPr>
          <w:jc w:val="center"/>
        </w:trPr>
        <w:tc>
          <w:tcPr>
            <w:tcW w:w="1471" w:type="pct"/>
            <w:shd w:val="clear" w:color="auto" w:fill="auto"/>
            <w:vAlign w:val="center"/>
          </w:tcPr>
          <w:p w14:paraId="4A8A7A93" w14:textId="77777777" w:rsidR="00A23886" w:rsidRPr="00070779" w:rsidRDefault="00A23886" w:rsidP="00A23886">
            <w:pPr>
              <w:widowControl w:val="0"/>
              <w:autoSpaceDE w:val="0"/>
              <w:autoSpaceDN w:val="0"/>
              <w:adjustRightInd w:val="0"/>
              <w:jc w:val="center"/>
              <w:rPr>
                <w:rFonts w:eastAsia="DengXian"/>
                <w:sz w:val="20"/>
                <w:szCs w:val="20"/>
                <w:lang w:eastAsia="zh-CN"/>
              </w:rPr>
            </w:pPr>
          </w:p>
        </w:tc>
        <w:tc>
          <w:tcPr>
            <w:tcW w:w="588" w:type="pct"/>
          </w:tcPr>
          <w:p w14:paraId="3D8D3A9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c>
          <w:tcPr>
            <w:tcW w:w="588" w:type="pct"/>
          </w:tcPr>
          <w:p w14:paraId="6E0D568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(0.32)</w:t>
            </w:r>
          </w:p>
        </w:tc>
        <w:tc>
          <w:tcPr>
            <w:tcW w:w="588" w:type="pct"/>
          </w:tcPr>
          <w:p w14:paraId="10BD17D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c>
          <w:tcPr>
            <w:tcW w:w="588" w:type="pct"/>
          </w:tcPr>
          <w:p w14:paraId="41485FC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(0.26)</w:t>
            </w:r>
          </w:p>
        </w:tc>
        <w:tc>
          <w:tcPr>
            <w:tcW w:w="588" w:type="pct"/>
          </w:tcPr>
          <w:p w14:paraId="108E685A"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(0.04)</w:t>
            </w:r>
          </w:p>
        </w:tc>
        <w:tc>
          <w:tcPr>
            <w:tcW w:w="588" w:type="pct"/>
          </w:tcPr>
          <w:p w14:paraId="4245F420"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(0.32)</w:t>
            </w:r>
          </w:p>
        </w:tc>
      </w:tr>
      <w:tr w:rsidR="00A23886" w:rsidRPr="00070779" w14:paraId="1C29807E" w14:textId="77777777" w:rsidTr="00CE7D45">
        <w:trPr>
          <w:jc w:val="center"/>
        </w:trPr>
        <w:tc>
          <w:tcPr>
            <w:tcW w:w="1471" w:type="pct"/>
            <w:vAlign w:val="center"/>
          </w:tcPr>
          <w:p w14:paraId="48F68D5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Bank FE</w:t>
            </w:r>
          </w:p>
        </w:tc>
        <w:tc>
          <w:tcPr>
            <w:tcW w:w="588" w:type="pct"/>
            <w:tcBorders>
              <w:top w:val="single" w:sz="4" w:space="0" w:color="auto"/>
            </w:tcBorders>
            <w:vAlign w:val="center"/>
          </w:tcPr>
          <w:p w14:paraId="3598898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37E030B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2EB8E8C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06C77C3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2DF4A32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1D247F04"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A23886" w:rsidRPr="00070779" w14:paraId="6F47E03C" w14:textId="77777777" w:rsidTr="00CE7D45">
        <w:trPr>
          <w:jc w:val="center"/>
        </w:trPr>
        <w:tc>
          <w:tcPr>
            <w:tcW w:w="1471" w:type="pct"/>
            <w:vAlign w:val="center"/>
          </w:tcPr>
          <w:p w14:paraId="7F33128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Borrower sector FE</w:t>
            </w:r>
          </w:p>
        </w:tc>
        <w:tc>
          <w:tcPr>
            <w:tcW w:w="588" w:type="pct"/>
            <w:vAlign w:val="center"/>
          </w:tcPr>
          <w:p w14:paraId="655B8E9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0479983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47D11E4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3C83F27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2CF8D90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61AAC4AC"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A23886" w:rsidRPr="00070779" w14:paraId="7FFFDA18" w14:textId="77777777" w:rsidTr="00CE7D45">
        <w:trPr>
          <w:jc w:val="center"/>
        </w:trPr>
        <w:tc>
          <w:tcPr>
            <w:tcW w:w="1471" w:type="pct"/>
            <w:vAlign w:val="center"/>
          </w:tcPr>
          <w:p w14:paraId="33725143"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Year FE</w:t>
            </w:r>
          </w:p>
        </w:tc>
        <w:tc>
          <w:tcPr>
            <w:tcW w:w="588" w:type="pct"/>
            <w:vAlign w:val="center"/>
          </w:tcPr>
          <w:p w14:paraId="43A44DBB"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1146E95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6872390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0102582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51FD644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00FCDEE6"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A23886" w:rsidRPr="00070779" w14:paraId="76D94022" w14:textId="77777777" w:rsidTr="00CE7D45">
        <w:trPr>
          <w:jc w:val="center"/>
        </w:trPr>
        <w:tc>
          <w:tcPr>
            <w:tcW w:w="1471" w:type="pct"/>
            <w:vAlign w:val="center"/>
            <w:hideMark/>
          </w:tcPr>
          <w:p w14:paraId="155EC1EF"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Adjusted R2</w:t>
            </w:r>
          </w:p>
        </w:tc>
        <w:tc>
          <w:tcPr>
            <w:tcW w:w="588" w:type="pct"/>
          </w:tcPr>
          <w:p w14:paraId="6F42AC89"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0.748</w:t>
            </w:r>
          </w:p>
        </w:tc>
        <w:tc>
          <w:tcPr>
            <w:tcW w:w="588" w:type="pct"/>
          </w:tcPr>
          <w:p w14:paraId="6BE2053E" w14:textId="77777777" w:rsidR="00A23886" w:rsidRPr="00070779" w:rsidRDefault="008076D2" w:rsidP="00A23886">
            <w:pPr>
              <w:widowControl w:val="0"/>
              <w:autoSpaceDE w:val="0"/>
              <w:autoSpaceDN w:val="0"/>
              <w:adjustRightInd w:val="0"/>
              <w:jc w:val="center"/>
              <w:rPr>
                <w:rFonts w:eastAsia="DengXian"/>
                <w:sz w:val="20"/>
                <w:szCs w:val="20"/>
                <w:lang w:eastAsia="zh-CN"/>
              </w:rPr>
            </w:pPr>
            <w:r>
              <w:rPr>
                <w:rFonts w:eastAsia="DengXian"/>
                <w:sz w:val="20"/>
                <w:szCs w:val="20"/>
                <w:lang w:eastAsia="zh-CN"/>
              </w:rPr>
              <w:t>0.493</w:t>
            </w:r>
          </w:p>
        </w:tc>
        <w:tc>
          <w:tcPr>
            <w:tcW w:w="588" w:type="pct"/>
          </w:tcPr>
          <w:p w14:paraId="58F016EE"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0.748</w:t>
            </w:r>
          </w:p>
        </w:tc>
        <w:tc>
          <w:tcPr>
            <w:tcW w:w="588" w:type="pct"/>
          </w:tcPr>
          <w:p w14:paraId="0DAC8899" w14:textId="77777777" w:rsidR="00A23886" w:rsidRPr="00070779" w:rsidRDefault="008076D2" w:rsidP="00A23886">
            <w:pPr>
              <w:widowControl w:val="0"/>
              <w:autoSpaceDE w:val="0"/>
              <w:autoSpaceDN w:val="0"/>
              <w:adjustRightInd w:val="0"/>
              <w:jc w:val="center"/>
              <w:rPr>
                <w:rFonts w:eastAsia="DengXian"/>
                <w:sz w:val="20"/>
                <w:szCs w:val="20"/>
                <w:lang w:eastAsia="zh-CN"/>
              </w:rPr>
            </w:pPr>
            <w:r>
              <w:rPr>
                <w:rFonts w:eastAsia="DengXian"/>
                <w:sz w:val="20"/>
                <w:szCs w:val="20"/>
                <w:lang w:eastAsia="zh-CN"/>
              </w:rPr>
              <w:t>0.493</w:t>
            </w:r>
          </w:p>
        </w:tc>
        <w:tc>
          <w:tcPr>
            <w:tcW w:w="588" w:type="pct"/>
          </w:tcPr>
          <w:p w14:paraId="2F010AC8"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0.749</w:t>
            </w:r>
          </w:p>
        </w:tc>
        <w:tc>
          <w:tcPr>
            <w:tcW w:w="588" w:type="pct"/>
          </w:tcPr>
          <w:p w14:paraId="56077325" w14:textId="77777777" w:rsidR="00A23886" w:rsidRPr="00070779" w:rsidRDefault="008076D2" w:rsidP="00A23886">
            <w:pPr>
              <w:widowControl w:val="0"/>
              <w:autoSpaceDE w:val="0"/>
              <w:autoSpaceDN w:val="0"/>
              <w:adjustRightInd w:val="0"/>
              <w:jc w:val="center"/>
              <w:rPr>
                <w:rFonts w:eastAsia="DengXian"/>
                <w:sz w:val="20"/>
                <w:szCs w:val="20"/>
                <w:lang w:eastAsia="zh-CN"/>
              </w:rPr>
            </w:pPr>
            <w:r>
              <w:rPr>
                <w:rFonts w:eastAsia="DengXian"/>
                <w:sz w:val="20"/>
                <w:szCs w:val="20"/>
                <w:lang w:eastAsia="zh-CN"/>
              </w:rPr>
              <w:t>0.493</w:t>
            </w:r>
          </w:p>
        </w:tc>
      </w:tr>
      <w:tr w:rsidR="00A23886" w:rsidRPr="00070779" w14:paraId="3A42FE49" w14:textId="77777777" w:rsidTr="00CE7D45">
        <w:trPr>
          <w:jc w:val="center"/>
        </w:trPr>
        <w:tc>
          <w:tcPr>
            <w:tcW w:w="1471" w:type="pct"/>
            <w:tcBorders>
              <w:bottom w:val="single" w:sz="4" w:space="0" w:color="auto"/>
            </w:tcBorders>
            <w:vAlign w:val="center"/>
            <w:hideMark/>
          </w:tcPr>
          <w:p w14:paraId="077E558F" w14:textId="77777777" w:rsidR="00A23886" w:rsidRPr="00070779" w:rsidRDefault="00A23886" w:rsidP="00A23886">
            <w:pPr>
              <w:widowControl w:val="0"/>
              <w:autoSpaceDE w:val="0"/>
              <w:autoSpaceDN w:val="0"/>
              <w:adjustRightInd w:val="0"/>
              <w:jc w:val="center"/>
              <w:rPr>
                <w:rFonts w:eastAsia="DengXian"/>
                <w:sz w:val="20"/>
                <w:szCs w:val="20"/>
                <w:lang w:eastAsia="zh-CN"/>
              </w:rPr>
            </w:pPr>
            <w:r>
              <w:rPr>
                <w:rFonts w:eastAsia="DengXian"/>
                <w:sz w:val="20"/>
                <w:szCs w:val="20"/>
                <w:lang w:eastAsia="zh-CN"/>
              </w:rPr>
              <w:t>Obs.</w:t>
            </w:r>
          </w:p>
        </w:tc>
        <w:tc>
          <w:tcPr>
            <w:tcW w:w="588" w:type="pct"/>
            <w:tcBorders>
              <w:bottom w:val="single" w:sz="4" w:space="0" w:color="auto"/>
            </w:tcBorders>
          </w:tcPr>
          <w:p w14:paraId="14A5168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6228.000</w:t>
            </w:r>
          </w:p>
        </w:tc>
        <w:tc>
          <w:tcPr>
            <w:tcW w:w="588" w:type="pct"/>
            <w:tcBorders>
              <w:bottom w:val="single" w:sz="4" w:space="0" w:color="auto"/>
            </w:tcBorders>
          </w:tcPr>
          <w:p w14:paraId="1C5D3E9D"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6228.000</w:t>
            </w:r>
          </w:p>
        </w:tc>
        <w:tc>
          <w:tcPr>
            <w:tcW w:w="588" w:type="pct"/>
            <w:tcBorders>
              <w:bottom w:val="single" w:sz="4" w:space="0" w:color="auto"/>
            </w:tcBorders>
          </w:tcPr>
          <w:p w14:paraId="4037C82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6228.000</w:t>
            </w:r>
          </w:p>
        </w:tc>
        <w:tc>
          <w:tcPr>
            <w:tcW w:w="588" w:type="pct"/>
            <w:tcBorders>
              <w:bottom w:val="single" w:sz="4" w:space="0" w:color="auto"/>
            </w:tcBorders>
          </w:tcPr>
          <w:p w14:paraId="37066612"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6228.000</w:t>
            </w:r>
          </w:p>
        </w:tc>
        <w:tc>
          <w:tcPr>
            <w:tcW w:w="588" w:type="pct"/>
            <w:tcBorders>
              <w:bottom w:val="single" w:sz="4" w:space="0" w:color="auto"/>
            </w:tcBorders>
          </w:tcPr>
          <w:p w14:paraId="0B869B95"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6228.000</w:t>
            </w:r>
          </w:p>
        </w:tc>
        <w:tc>
          <w:tcPr>
            <w:tcW w:w="588" w:type="pct"/>
            <w:tcBorders>
              <w:bottom w:val="single" w:sz="4" w:space="0" w:color="auto"/>
            </w:tcBorders>
          </w:tcPr>
          <w:p w14:paraId="460B4AD7" w14:textId="77777777" w:rsidR="00A23886" w:rsidRPr="00070779" w:rsidRDefault="00A23886" w:rsidP="00A23886">
            <w:pPr>
              <w:widowControl w:val="0"/>
              <w:autoSpaceDE w:val="0"/>
              <w:autoSpaceDN w:val="0"/>
              <w:adjustRightInd w:val="0"/>
              <w:jc w:val="center"/>
              <w:rPr>
                <w:rFonts w:eastAsia="DengXian"/>
                <w:sz w:val="20"/>
                <w:szCs w:val="20"/>
                <w:lang w:eastAsia="zh-CN"/>
              </w:rPr>
            </w:pPr>
            <w:r w:rsidRPr="0069717D">
              <w:rPr>
                <w:sz w:val="20"/>
                <w:szCs w:val="20"/>
              </w:rPr>
              <w:t>6228.000</w:t>
            </w:r>
          </w:p>
        </w:tc>
      </w:tr>
    </w:tbl>
    <w:p w14:paraId="37220ABD" w14:textId="77777777" w:rsidR="008E0AEB" w:rsidRPr="00AA4E34" w:rsidRDefault="008E0AEB" w:rsidP="008E0AEB">
      <w:pPr>
        <w:widowControl w:val="0"/>
        <w:autoSpaceDE w:val="0"/>
        <w:autoSpaceDN w:val="0"/>
        <w:adjustRightInd w:val="0"/>
        <w:jc w:val="center"/>
        <w:rPr>
          <w:b/>
          <w:szCs w:val="20"/>
        </w:rPr>
      </w:pPr>
      <w:r w:rsidRPr="00AA4E34">
        <w:rPr>
          <w:b/>
          <w:szCs w:val="20"/>
        </w:rPr>
        <w:t xml:space="preserve">TABLE 4 </w:t>
      </w:r>
    </w:p>
    <w:p w14:paraId="3002D4CB" w14:textId="77777777" w:rsidR="008E0AEB" w:rsidRPr="00AA4E34" w:rsidRDefault="0043098D" w:rsidP="008E0AEB">
      <w:pPr>
        <w:widowControl w:val="0"/>
        <w:autoSpaceDE w:val="0"/>
        <w:autoSpaceDN w:val="0"/>
        <w:adjustRightInd w:val="0"/>
        <w:jc w:val="center"/>
        <w:rPr>
          <w:b/>
          <w:szCs w:val="20"/>
        </w:rPr>
      </w:pPr>
      <w:r w:rsidRPr="00AA4E34">
        <w:rPr>
          <w:b/>
          <w:szCs w:val="20"/>
        </w:rPr>
        <w:t xml:space="preserve">Large </w:t>
      </w:r>
      <w:r w:rsidR="00C2325A" w:rsidRPr="00AA4E34">
        <w:rPr>
          <w:b/>
          <w:szCs w:val="20"/>
        </w:rPr>
        <w:t>customer</w:t>
      </w:r>
      <w:r w:rsidR="00B339FF" w:rsidRPr="00AA4E34">
        <w:rPr>
          <w:b/>
          <w:szCs w:val="20"/>
        </w:rPr>
        <w:t xml:space="preserve">-supplier </w:t>
      </w:r>
      <w:r w:rsidR="0099693E" w:rsidRPr="00AA4E34">
        <w:rPr>
          <w:b/>
          <w:szCs w:val="20"/>
        </w:rPr>
        <w:t>link</w:t>
      </w:r>
      <w:r w:rsidR="00B339FF" w:rsidRPr="00AA4E34">
        <w:rPr>
          <w:b/>
          <w:szCs w:val="20"/>
        </w:rPr>
        <w:t>s</w:t>
      </w:r>
      <w:r w:rsidR="008E0AEB" w:rsidRPr="00AA4E34">
        <w:rPr>
          <w:b/>
          <w:szCs w:val="20"/>
        </w:rPr>
        <w:t xml:space="preserve"> and loan covenant</w:t>
      </w:r>
    </w:p>
    <w:p w14:paraId="77AA4B4E" w14:textId="77777777" w:rsidR="008E0AEB" w:rsidRPr="00070779" w:rsidRDefault="008E0AEB" w:rsidP="005F1BE6">
      <w:pPr>
        <w:widowControl w:val="0"/>
        <w:tabs>
          <w:tab w:val="left" w:pos="11907"/>
        </w:tabs>
        <w:autoSpaceDE w:val="0"/>
        <w:autoSpaceDN w:val="0"/>
        <w:adjustRightInd w:val="0"/>
        <w:ind w:right="4"/>
        <w:jc w:val="both"/>
        <w:rPr>
          <w:sz w:val="22"/>
          <w:szCs w:val="22"/>
        </w:rPr>
      </w:pPr>
      <w:r w:rsidRPr="00070779">
        <w:rPr>
          <w:sz w:val="22"/>
          <w:szCs w:val="22"/>
        </w:rPr>
        <w:t xml:space="preserve">This table reports the results of the </w:t>
      </w:r>
      <w:r w:rsidR="00D261B3">
        <w:rPr>
          <w:sz w:val="22"/>
          <w:szCs w:val="22"/>
        </w:rPr>
        <w:t xml:space="preserve">2SLS </w:t>
      </w:r>
      <w:r w:rsidRPr="00070779">
        <w:rPr>
          <w:sz w:val="22"/>
          <w:szCs w:val="22"/>
        </w:rPr>
        <w:t xml:space="preserve">model for the covenants required by the lead </w:t>
      </w:r>
      <w:r w:rsidR="00A457D0">
        <w:rPr>
          <w:sz w:val="22"/>
          <w:szCs w:val="22"/>
        </w:rPr>
        <w:t>agent</w:t>
      </w:r>
      <w:r w:rsidRPr="00070779">
        <w:rPr>
          <w:sz w:val="22"/>
          <w:szCs w:val="22"/>
        </w:rPr>
        <w:t>, Eq (</w:t>
      </w:r>
      <w:r w:rsidR="00061D88">
        <w:rPr>
          <w:sz w:val="22"/>
          <w:szCs w:val="22"/>
        </w:rPr>
        <w:t>2</w:t>
      </w:r>
      <w:r w:rsidRPr="00070779">
        <w:rPr>
          <w:sz w:val="22"/>
          <w:szCs w:val="22"/>
        </w:rPr>
        <w:t xml:space="preserve">). The dependent </w:t>
      </w:r>
      <w:r w:rsidR="00024774">
        <w:rPr>
          <w:sz w:val="22"/>
          <w:szCs w:val="22"/>
        </w:rPr>
        <w:t>variable</w:t>
      </w:r>
      <w:r w:rsidR="00FC1139">
        <w:rPr>
          <w:sz w:val="22"/>
          <w:szCs w:val="22"/>
        </w:rPr>
        <w:t xml:space="preserve"> </w:t>
      </w:r>
      <w:r w:rsidR="00024774">
        <w:rPr>
          <w:sz w:val="22"/>
          <w:szCs w:val="22"/>
        </w:rPr>
        <w:t xml:space="preserve">is </w:t>
      </w:r>
      <w:r w:rsidRPr="00070779">
        <w:rPr>
          <w:sz w:val="22"/>
          <w:szCs w:val="22"/>
        </w:rPr>
        <w:t xml:space="preserve">the </w:t>
      </w:r>
      <w:r w:rsidR="00967BEA" w:rsidRPr="00967BEA">
        <w:rPr>
          <w:i/>
          <w:iCs/>
          <w:sz w:val="22"/>
          <w:szCs w:val="22"/>
        </w:rPr>
        <w:t>C</w:t>
      </w:r>
      <w:r w:rsidRPr="00967BEA">
        <w:rPr>
          <w:i/>
          <w:iCs/>
          <w:sz w:val="22"/>
          <w:szCs w:val="22"/>
        </w:rPr>
        <w:t>ovenant index</w:t>
      </w:r>
      <w:r w:rsidRPr="00070779">
        <w:rPr>
          <w:sz w:val="22"/>
          <w:szCs w:val="22"/>
        </w:rPr>
        <w:t>. Columns (</w:t>
      </w:r>
      <w:r w:rsidR="00024774">
        <w:rPr>
          <w:sz w:val="22"/>
          <w:szCs w:val="22"/>
        </w:rPr>
        <w:t>1</w:t>
      </w:r>
      <w:r w:rsidRPr="00070779">
        <w:rPr>
          <w:sz w:val="22"/>
          <w:szCs w:val="22"/>
        </w:rPr>
        <w:t>), (</w:t>
      </w:r>
      <w:r w:rsidR="00D261B3">
        <w:rPr>
          <w:sz w:val="22"/>
          <w:szCs w:val="22"/>
        </w:rPr>
        <w:t>3</w:t>
      </w:r>
      <w:r w:rsidRPr="00070779">
        <w:rPr>
          <w:sz w:val="22"/>
          <w:szCs w:val="22"/>
        </w:rPr>
        <w:t>) and (</w:t>
      </w:r>
      <w:r w:rsidR="00D261B3">
        <w:rPr>
          <w:sz w:val="22"/>
          <w:szCs w:val="22"/>
        </w:rPr>
        <w:t>5</w:t>
      </w:r>
      <w:r w:rsidRPr="00070779">
        <w:rPr>
          <w:sz w:val="22"/>
          <w:szCs w:val="22"/>
        </w:rPr>
        <w:t>) report the first-stage results from a 2SLS estimation where we regress syndicate reputation variables against the lead agent participation. Columns (</w:t>
      </w:r>
      <w:r w:rsidR="00D261B3">
        <w:rPr>
          <w:sz w:val="22"/>
          <w:szCs w:val="22"/>
        </w:rPr>
        <w:t>2</w:t>
      </w:r>
      <w:r w:rsidRPr="00070779">
        <w:rPr>
          <w:sz w:val="22"/>
          <w:szCs w:val="22"/>
        </w:rPr>
        <w:t>), (</w:t>
      </w:r>
      <w:r w:rsidR="00D261B3">
        <w:rPr>
          <w:sz w:val="22"/>
          <w:szCs w:val="22"/>
        </w:rPr>
        <w:t>4</w:t>
      </w:r>
      <w:r w:rsidRPr="00070779">
        <w:rPr>
          <w:sz w:val="22"/>
          <w:szCs w:val="22"/>
        </w:rPr>
        <w:t>) and (</w:t>
      </w:r>
      <w:r w:rsidR="00D261B3">
        <w:rPr>
          <w:sz w:val="22"/>
          <w:szCs w:val="22"/>
        </w:rPr>
        <w:t>6</w:t>
      </w:r>
      <w:r w:rsidRPr="00070779">
        <w:rPr>
          <w:sz w:val="22"/>
          <w:szCs w:val="22"/>
        </w:rPr>
        <w:t>) report the second</w:t>
      </w:r>
      <w:r w:rsidR="004D1B31">
        <w:rPr>
          <w:sz w:val="22"/>
          <w:szCs w:val="22"/>
        </w:rPr>
        <w:t>-</w:t>
      </w:r>
      <w:r w:rsidRPr="00070779">
        <w:rPr>
          <w:sz w:val="22"/>
          <w:szCs w:val="22"/>
        </w:rPr>
        <w:t xml:space="preserve">stage results of the 2SLS estimation. All specifications include year, </w:t>
      </w:r>
      <w:r w:rsidR="00050C9B" w:rsidRPr="00070779">
        <w:rPr>
          <w:sz w:val="22"/>
          <w:szCs w:val="22"/>
        </w:rPr>
        <w:t>bank,</w:t>
      </w:r>
      <w:r w:rsidRPr="00070779">
        <w:rPr>
          <w:sz w:val="22"/>
          <w:szCs w:val="22"/>
        </w:rPr>
        <w:t xml:space="preserve"> and borrower sector-fixed effects. All independent variables are defined in Table A1 of the Appendix. Standard errors are clustered at borrower level and reported in parentheses. ***, **, and * denote statistical significance at the 1%, 5%, and 10% levels, respectively. </w:t>
      </w:r>
    </w:p>
    <w:tbl>
      <w:tblPr>
        <w:tblW w:w="5000" w:type="pct"/>
        <w:jc w:val="center"/>
        <w:tblLayout w:type="fixed"/>
        <w:tblLook w:val="04A0" w:firstRow="1" w:lastRow="0" w:firstColumn="1" w:lastColumn="0" w:noHBand="0" w:noVBand="1"/>
      </w:tblPr>
      <w:tblGrid>
        <w:gridCol w:w="2754"/>
        <w:gridCol w:w="1101"/>
        <w:gridCol w:w="1101"/>
        <w:gridCol w:w="1101"/>
        <w:gridCol w:w="1101"/>
        <w:gridCol w:w="1101"/>
        <w:gridCol w:w="1101"/>
      </w:tblGrid>
      <w:tr w:rsidR="00070779" w:rsidRPr="00070779" w14:paraId="48CD0144" w14:textId="77777777" w:rsidTr="00CE7D45">
        <w:trPr>
          <w:jc w:val="center"/>
        </w:trPr>
        <w:tc>
          <w:tcPr>
            <w:tcW w:w="1471" w:type="pct"/>
            <w:tcBorders>
              <w:top w:val="single" w:sz="4" w:space="0" w:color="auto"/>
            </w:tcBorders>
            <w:vAlign w:val="center"/>
          </w:tcPr>
          <w:p w14:paraId="5B17EE30" w14:textId="77777777" w:rsidR="008E0AEB" w:rsidRPr="00070779" w:rsidRDefault="008E0AEB" w:rsidP="00BF49E1">
            <w:pPr>
              <w:widowControl w:val="0"/>
              <w:autoSpaceDE w:val="0"/>
              <w:autoSpaceDN w:val="0"/>
              <w:adjustRightInd w:val="0"/>
              <w:jc w:val="center"/>
              <w:rPr>
                <w:rFonts w:eastAsia="DengXian"/>
                <w:b/>
                <w:bCs/>
                <w:sz w:val="20"/>
                <w:szCs w:val="20"/>
                <w:lang w:eastAsia="zh-CN"/>
              </w:rPr>
            </w:pPr>
          </w:p>
        </w:tc>
        <w:tc>
          <w:tcPr>
            <w:tcW w:w="588" w:type="pct"/>
            <w:tcBorders>
              <w:top w:val="single" w:sz="4" w:space="0" w:color="auto"/>
              <w:bottom w:val="single" w:sz="4" w:space="0" w:color="auto"/>
            </w:tcBorders>
            <w:vAlign w:val="center"/>
            <w:hideMark/>
          </w:tcPr>
          <w:p w14:paraId="40199535"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p>
        </w:tc>
        <w:tc>
          <w:tcPr>
            <w:tcW w:w="588" w:type="pct"/>
            <w:tcBorders>
              <w:top w:val="single" w:sz="4" w:space="0" w:color="auto"/>
              <w:bottom w:val="single" w:sz="4" w:space="0" w:color="auto"/>
            </w:tcBorders>
            <w:vAlign w:val="center"/>
            <w:hideMark/>
          </w:tcPr>
          <w:p w14:paraId="307DF011"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p>
        </w:tc>
        <w:tc>
          <w:tcPr>
            <w:tcW w:w="588" w:type="pct"/>
            <w:tcBorders>
              <w:top w:val="single" w:sz="4" w:space="0" w:color="auto"/>
              <w:bottom w:val="single" w:sz="4" w:space="0" w:color="auto"/>
            </w:tcBorders>
            <w:vAlign w:val="center"/>
          </w:tcPr>
          <w:p w14:paraId="6A6F7F89"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(3)</w:t>
            </w:r>
          </w:p>
        </w:tc>
        <w:tc>
          <w:tcPr>
            <w:tcW w:w="588" w:type="pct"/>
            <w:tcBorders>
              <w:top w:val="single" w:sz="4" w:space="0" w:color="auto"/>
              <w:bottom w:val="single" w:sz="4" w:space="0" w:color="auto"/>
            </w:tcBorders>
            <w:vAlign w:val="center"/>
          </w:tcPr>
          <w:p w14:paraId="527C8FEC"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(4)</w:t>
            </w:r>
          </w:p>
        </w:tc>
        <w:tc>
          <w:tcPr>
            <w:tcW w:w="588" w:type="pct"/>
            <w:tcBorders>
              <w:top w:val="single" w:sz="4" w:space="0" w:color="auto"/>
              <w:bottom w:val="single" w:sz="4" w:space="0" w:color="auto"/>
            </w:tcBorders>
            <w:vAlign w:val="center"/>
            <w:hideMark/>
          </w:tcPr>
          <w:p w14:paraId="0FAA32D2"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(5)</w:t>
            </w:r>
          </w:p>
        </w:tc>
        <w:tc>
          <w:tcPr>
            <w:tcW w:w="588" w:type="pct"/>
            <w:tcBorders>
              <w:top w:val="single" w:sz="4" w:space="0" w:color="auto"/>
              <w:bottom w:val="single" w:sz="4" w:space="0" w:color="auto"/>
            </w:tcBorders>
            <w:vAlign w:val="center"/>
            <w:hideMark/>
          </w:tcPr>
          <w:p w14:paraId="0F6C4CDA"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(6)</w:t>
            </w:r>
          </w:p>
        </w:tc>
      </w:tr>
      <w:tr w:rsidR="00070779" w:rsidRPr="00070779" w14:paraId="4C96CBC9" w14:textId="77777777" w:rsidTr="00CE7D45">
        <w:trPr>
          <w:jc w:val="center"/>
        </w:trPr>
        <w:tc>
          <w:tcPr>
            <w:tcW w:w="1471" w:type="pct"/>
            <w:vAlign w:val="center"/>
          </w:tcPr>
          <w:p w14:paraId="7BB65EC6" w14:textId="77777777" w:rsidR="008E0AEB" w:rsidRPr="00070779" w:rsidRDefault="008E0AEB" w:rsidP="00BF49E1">
            <w:pPr>
              <w:widowControl w:val="0"/>
              <w:autoSpaceDE w:val="0"/>
              <w:autoSpaceDN w:val="0"/>
              <w:adjustRightInd w:val="0"/>
              <w:jc w:val="center"/>
              <w:rPr>
                <w:rFonts w:eastAsia="DengXian"/>
                <w:sz w:val="20"/>
                <w:szCs w:val="20"/>
                <w:lang w:eastAsia="zh-CN"/>
              </w:rPr>
            </w:pPr>
          </w:p>
        </w:tc>
        <w:tc>
          <w:tcPr>
            <w:tcW w:w="588" w:type="pct"/>
            <w:tcBorders>
              <w:top w:val="single" w:sz="4" w:space="0" w:color="auto"/>
              <w:bottom w:val="single" w:sz="4" w:space="0" w:color="auto"/>
            </w:tcBorders>
            <w:vAlign w:val="center"/>
          </w:tcPr>
          <w:p w14:paraId="1E5EC04D"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340412E1"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1B551177"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298BBFE6"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714DA0D6"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4A201A1E"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r>
      <w:tr w:rsidR="00070779" w:rsidRPr="00070779" w14:paraId="07B94E76" w14:textId="77777777" w:rsidTr="00CE7D45">
        <w:trPr>
          <w:jc w:val="center"/>
        </w:trPr>
        <w:tc>
          <w:tcPr>
            <w:tcW w:w="1471" w:type="pct"/>
            <w:vAlign w:val="center"/>
          </w:tcPr>
          <w:p w14:paraId="5014C485" w14:textId="77777777" w:rsidR="008E0AEB" w:rsidRPr="00070779" w:rsidRDefault="008E0AEB" w:rsidP="00BF49E1">
            <w:pPr>
              <w:widowControl w:val="0"/>
              <w:autoSpaceDE w:val="0"/>
              <w:autoSpaceDN w:val="0"/>
              <w:adjustRightInd w:val="0"/>
              <w:jc w:val="center"/>
              <w:rPr>
                <w:rFonts w:eastAsia="DengXian"/>
                <w:sz w:val="20"/>
                <w:szCs w:val="20"/>
                <w:lang w:eastAsia="zh-CN"/>
              </w:rPr>
            </w:pPr>
          </w:p>
        </w:tc>
        <w:tc>
          <w:tcPr>
            <w:tcW w:w="588" w:type="pct"/>
            <w:tcBorders>
              <w:top w:val="single" w:sz="4" w:space="0" w:color="auto"/>
              <w:bottom w:val="single" w:sz="4" w:space="0" w:color="auto"/>
            </w:tcBorders>
            <w:vAlign w:val="center"/>
            <w:hideMark/>
          </w:tcPr>
          <w:p w14:paraId="47C40EBD"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hideMark/>
          </w:tcPr>
          <w:p w14:paraId="47763C21"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Covenant</w:t>
            </w:r>
            <w:r w:rsidR="00902AFF">
              <w:rPr>
                <w:rFonts w:eastAsia="DengXian"/>
                <w:sz w:val="20"/>
                <w:szCs w:val="20"/>
                <w:lang w:eastAsia="zh-CN"/>
              </w:rPr>
              <w:t xml:space="preserve"> Index</w:t>
            </w:r>
          </w:p>
        </w:tc>
        <w:tc>
          <w:tcPr>
            <w:tcW w:w="588" w:type="pct"/>
            <w:tcBorders>
              <w:top w:val="single" w:sz="4" w:space="0" w:color="auto"/>
              <w:bottom w:val="single" w:sz="4" w:space="0" w:color="auto"/>
            </w:tcBorders>
            <w:vAlign w:val="center"/>
          </w:tcPr>
          <w:p w14:paraId="1DEDA52B"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tcPr>
          <w:p w14:paraId="40E61AAB" w14:textId="77777777" w:rsidR="008E0AEB" w:rsidRPr="00070779" w:rsidRDefault="00902AFF"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Covenant</w:t>
            </w:r>
            <w:r>
              <w:rPr>
                <w:rFonts w:eastAsia="DengXian"/>
                <w:sz w:val="20"/>
                <w:szCs w:val="20"/>
                <w:lang w:eastAsia="zh-CN"/>
              </w:rPr>
              <w:t xml:space="preserve"> Index</w:t>
            </w:r>
          </w:p>
        </w:tc>
        <w:tc>
          <w:tcPr>
            <w:tcW w:w="588" w:type="pct"/>
            <w:tcBorders>
              <w:top w:val="single" w:sz="4" w:space="0" w:color="auto"/>
              <w:bottom w:val="single" w:sz="4" w:space="0" w:color="auto"/>
            </w:tcBorders>
            <w:vAlign w:val="center"/>
            <w:hideMark/>
          </w:tcPr>
          <w:p w14:paraId="5699E6DD" w14:textId="77777777" w:rsidR="008E0AEB" w:rsidRPr="00070779" w:rsidRDefault="008E0AEB"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hideMark/>
          </w:tcPr>
          <w:p w14:paraId="693A96D5" w14:textId="77777777" w:rsidR="008E0AEB" w:rsidRPr="00070779" w:rsidRDefault="00902AFF" w:rsidP="00BF49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Covenant</w:t>
            </w:r>
            <w:r>
              <w:rPr>
                <w:rFonts w:eastAsia="DengXian"/>
                <w:sz w:val="20"/>
                <w:szCs w:val="20"/>
                <w:lang w:eastAsia="zh-CN"/>
              </w:rPr>
              <w:t xml:space="preserve"> Index</w:t>
            </w:r>
          </w:p>
        </w:tc>
      </w:tr>
      <w:tr w:rsidR="001D5CD4" w:rsidRPr="00070779" w14:paraId="4F923339" w14:textId="77777777" w:rsidTr="00CE7D45">
        <w:trPr>
          <w:jc w:val="center"/>
        </w:trPr>
        <w:tc>
          <w:tcPr>
            <w:tcW w:w="1471" w:type="pct"/>
            <w:vAlign w:val="center"/>
            <w:hideMark/>
          </w:tcPr>
          <w:p w14:paraId="6B03B99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Syndicate reputation: lead to participant</w:t>
            </w:r>
          </w:p>
        </w:tc>
        <w:tc>
          <w:tcPr>
            <w:tcW w:w="588" w:type="pct"/>
          </w:tcPr>
          <w:p w14:paraId="08F4B77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-0.039</w:t>
            </w:r>
            <w:r w:rsidRPr="00F46895">
              <w:rPr>
                <w:sz w:val="20"/>
                <w:szCs w:val="20"/>
                <w:vertAlign w:val="superscript"/>
              </w:rPr>
              <w:t>***</w:t>
            </w:r>
          </w:p>
        </w:tc>
        <w:tc>
          <w:tcPr>
            <w:tcW w:w="588" w:type="pct"/>
          </w:tcPr>
          <w:p w14:paraId="2F2E4A2F"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1DE0C8A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-0.038</w:t>
            </w:r>
            <w:r w:rsidRPr="00F46895">
              <w:rPr>
                <w:sz w:val="20"/>
                <w:szCs w:val="20"/>
                <w:vertAlign w:val="superscript"/>
              </w:rPr>
              <w:t>***</w:t>
            </w:r>
          </w:p>
        </w:tc>
        <w:tc>
          <w:tcPr>
            <w:tcW w:w="588" w:type="pct"/>
          </w:tcPr>
          <w:p w14:paraId="537DEDB4"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2115001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-0.038</w:t>
            </w:r>
            <w:r w:rsidRPr="00F46895">
              <w:rPr>
                <w:sz w:val="20"/>
                <w:szCs w:val="20"/>
                <w:vertAlign w:val="superscript"/>
              </w:rPr>
              <w:t>***</w:t>
            </w:r>
          </w:p>
        </w:tc>
        <w:tc>
          <w:tcPr>
            <w:tcW w:w="588" w:type="pct"/>
          </w:tcPr>
          <w:p w14:paraId="3DB122D6"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r>
      <w:tr w:rsidR="001D5CD4" w:rsidRPr="00070779" w14:paraId="4EA352AA" w14:textId="77777777" w:rsidTr="00CE7D45">
        <w:trPr>
          <w:jc w:val="center"/>
        </w:trPr>
        <w:tc>
          <w:tcPr>
            <w:tcW w:w="1471" w:type="pct"/>
            <w:vAlign w:val="center"/>
          </w:tcPr>
          <w:p w14:paraId="36C3F67D"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16D3D8A7"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582B3DD5"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0DEFF2F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4947C3DE"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6131FDF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55E85F78"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r>
      <w:tr w:rsidR="001D5CD4" w:rsidRPr="00070779" w14:paraId="1108EBE1" w14:textId="77777777" w:rsidTr="00CE7D45">
        <w:trPr>
          <w:jc w:val="center"/>
        </w:trPr>
        <w:tc>
          <w:tcPr>
            <w:tcW w:w="1471" w:type="pct"/>
            <w:vAlign w:val="center"/>
            <w:hideMark/>
          </w:tcPr>
          <w:p w14:paraId="6AA715F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Syndicate reputation: reciprocal</w:t>
            </w:r>
          </w:p>
        </w:tc>
        <w:tc>
          <w:tcPr>
            <w:tcW w:w="588" w:type="pct"/>
          </w:tcPr>
          <w:p w14:paraId="2702157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-0.047</w:t>
            </w:r>
            <w:r w:rsidRPr="00F46895">
              <w:rPr>
                <w:sz w:val="20"/>
                <w:szCs w:val="20"/>
                <w:vertAlign w:val="superscript"/>
              </w:rPr>
              <w:t>***</w:t>
            </w:r>
          </w:p>
        </w:tc>
        <w:tc>
          <w:tcPr>
            <w:tcW w:w="588" w:type="pct"/>
          </w:tcPr>
          <w:p w14:paraId="15FD8E28"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B4362E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-0.046</w:t>
            </w:r>
            <w:r w:rsidRPr="00F46895">
              <w:rPr>
                <w:sz w:val="20"/>
                <w:szCs w:val="20"/>
                <w:vertAlign w:val="superscript"/>
              </w:rPr>
              <w:t>***</w:t>
            </w:r>
          </w:p>
        </w:tc>
        <w:tc>
          <w:tcPr>
            <w:tcW w:w="588" w:type="pct"/>
          </w:tcPr>
          <w:p w14:paraId="233637F9"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720E0F3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-0.046</w:t>
            </w:r>
            <w:r w:rsidRPr="00F46895">
              <w:rPr>
                <w:sz w:val="20"/>
                <w:szCs w:val="20"/>
                <w:vertAlign w:val="superscript"/>
              </w:rPr>
              <w:t>***</w:t>
            </w:r>
          </w:p>
        </w:tc>
        <w:tc>
          <w:tcPr>
            <w:tcW w:w="588" w:type="pct"/>
          </w:tcPr>
          <w:p w14:paraId="2069AC6F"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r>
      <w:tr w:rsidR="001D5CD4" w:rsidRPr="00070779" w14:paraId="53B5E3C6" w14:textId="77777777" w:rsidTr="00CE7D45">
        <w:trPr>
          <w:jc w:val="center"/>
        </w:trPr>
        <w:tc>
          <w:tcPr>
            <w:tcW w:w="1471" w:type="pct"/>
            <w:vAlign w:val="center"/>
          </w:tcPr>
          <w:p w14:paraId="1E4DCA24"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295091C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12F5832B"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6FB5D67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2DF1AF3C"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2BDC4B2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3D3C7734"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r>
      <w:tr w:rsidR="001D5CD4" w:rsidRPr="00070779" w14:paraId="1C1A0A51" w14:textId="77777777" w:rsidTr="00CE7D45">
        <w:trPr>
          <w:jc w:val="center"/>
        </w:trPr>
        <w:tc>
          <w:tcPr>
            <w:tcW w:w="1471" w:type="pct"/>
            <w:vAlign w:val="center"/>
            <w:hideMark/>
          </w:tcPr>
          <w:p w14:paraId="03F013A0"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Pr>
          <w:p w14:paraId="2C2D9BCC"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6CBE9D3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3.613</w:t>
            </w:r>
            <w:r w:rsidRPr="00F46895">
              <w:rPr>
                <w:sz w:val="20"/>
                <w:szCs w:val="20"/>
                <w:vertAlign w:val="superscript"/>
              </w:rPr>
              <w:t>***</w:t>
            </w:r>
          </w:p>
        </w:tc>
        <w:tc>
          <w:tcPr>
            <w:tcW w:w="588" w:type="pct"/>
          </w:tcPr>
          <w:p w14:paraId="67A1A14A"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EB5862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3.632</w:t>
            </w:r>
            <w:r w:rsidRPr="00F46895">
              <w:rPr>
                <w:sz w:val="20"/>
                <w:szCs w:val="20"/>
                <w:vertAlign w:val="superscript"/>
              </w:rPr>
              <w:t>***</w:t>
            </w:r>
          </w:p>
        </w:tc>
        <w:tc>
          <w:tcPr>
            <w:tcW w:w="588" w:type="pct"/>
          </w:tcPr>
          <w:p w14:paraId="54E839B8"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6BFB207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3.622</w:t>
            </w:r>
            <w:r w:rsidRPr="00F46895">
              <w:rPr>
                <w:sz w:val="20"/>
                <w:szCs w:val="20"/>
                <w:vertAlign w:val="superscript"/>
              </w:rPr>
              <w:t>***</w:t>
            </w:r>
          </w:p>
        </w:tc>
      </w:tr>
      <w:tr w:rsidR="001D5CD4" w:rsidRPr="00070779" w14:paraId="08E54171" w14:textId="77777777" w:rsidTr="00CE7D45">
        <w:trPr>
          <w:jc w:val="center"/>
        </w:trPr>
        <w:tc>
          <w:tcPr>
            <w:tcW w:w="1471" w:type="pct"/>
            <w:vAlign w:val="center"/>
          </w:tcPr>
          <w:p w14:paraId="2E0A942D"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66E35883"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AC7957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(1.07)</w:t>
            </w:r>
          </w:p>
        </w:tc>
        <w:tc>
          <w:tcPr>
            <w:tcW w:w="588" w:type="pct"/>
          </w:tcPr>
          <w:p w14:paraId="15BD19EC"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12982E9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(1.22)</w:t>
            </w:r>
          </w:p>
        </w:tc>
        <w:tc>
          <w:tcPr>
            <w:tcW w:w="588" w:type="pct"/>
          </w:tcPr>
          <w:p w14:paraId="7340A8CD"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1298BF0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(1.07)</w:t>
            </w:r>
          </w:p>
        </w:tc>
      </w:tr>
      <w:tr w:rsidR="001D5CD4" w:rsidRPr="00070779" w14:paraId="46C3747D" w14:textId="77777777" w:rsidTr="00CE7D45">
        <w:trPr>
          <w:jc w:val="center"/>
        </w:trPr>
        <w:tc>
          <w:tcPr>
            <w:tcW w:w="1471" w:type="pct"/>
            <w:vAlign w:val="center"/>
            <w:hideMark/>
          </w:tcPr>
          <w:p w14:paraId="5E0C53FB" w14:textId="77777777" w:rsidR="001D5CD4" w:rsidRPr="00070779" w:rsidRDefault="00F5316D" w:rsidP="001D5CD4">
            <w:pPr>
              <w:widowControl w:val="0"/>
              <w:autoSpaceDE w:val="0"/>
              <w:autoSpaceDN w:val="0"/>
              <w:adjustRightInd w:val="0"/>
              <w:jc w:val="center"/>
              <w:rPr>
                <w:rFonts w:eastAsia="DengXian"/>
                <w:sz w:val="20"/>
                <w:szCs w:val="20"/>
                <w:lang w:eastAsia="zh-CN"/>
              </w:rPr>
            </w:pPr>
            <w:r>
              <w:rPr>
                <w:rFonts w:eastAsia="DengXian"/>
                <w:sz w:val="20"/>
                <w:szCs w:val="20"/>
                <w:lang w:eastAsia="zh-CN"/>
              </w:rPr>
              <w:t>Large</w:t>
            </w:r>
            <w:r w:rsidRPr="00F5316D">
              <w:rPr>
                <w:rFonts w:eastAsia="DengXian"/>
                <w:sz w:val="20"/>
                <w:szCs w:val="20"/>
                <w:lang w:eastAsia="zh-CN"/>
              </w:rPr>
              <w:t xml:space="preserve"> CS </w:t>
            </w:r>
            <w:r w:rsidR="0099693E">
              <w:rPr>
                <w:rFonts w:eastAsia="DengXian"/>
                <w:sz w:val="20"/>
                <w:szCs w:val="20"/>
                <w:lang w:eastAsia="zh-CN"/>
              </w:rPr>
              <w:t>link</w:t>
            </w:r>
            <w:r w:rsidRPr="00F5316D">
              <w:rPr>
                <w:rFonts w:eastAsia="DengXian"/>
                <w:sz w:val="20"/>
                <w:szCs w:val="20"/>
                <w:lang w:eastAsia="zh-CN"/>
              </w:rPr>
              <w:t>s</w:t>
            </w:r>
          </w:p>
        </w:tc>
        <w:tc>
          <w:tcPr>
            <w:tcW w:w="588" w:type="pct"/>
          </w:tcPr>
          <w:p w14:paraId="19FEAC6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0.006</w:t>
            </w:r>
            <w:r w:rsidRPr="00F46895">
              <w:rPr>
                <w:sz w:val="20"/>
                <w:szCs w:val="20"/>
                <w:vertAlign w:val="superscript"/>
              </w:rPr>
              <w:t>**</w:t>
            </w:r>
          </w:p>
        </w:tc>
        <w:tc>
          <w:tcPr>
            <w:tcW w:w="588" w:type="pct"/>
          </w:tcPr>
          <w:p w14:paraId="5A290505"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-0.027</w:t>
            </w:r>
          </w:p>
        </w:tc>
        <w:tc>
          <w:tcPr>
            <w:tcW w:w="588" w:type="pct"/>
          </w:tcPr>
          <w:p w14:paraId="72B27897"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43C928A6"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17294272"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24E6D699"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r>
      <w:tr w:rsidR="001D5CD4" w:rsidRPr="00070779" w14:paraId="5C1DEF09" w14:textId="77777777" w:rsidTr="00CE7D45">
        <w:trPr>
          <w:jc w:val="center"/>
        </w:trPr>
        <w:tc>
          <w:tcPr>
            <w:tcW w:w="1471" w:type="pct"/>
            <w:vAlign w:val="center"/>
          </w:tcPr>
          <w:p w14:paraId="5358AF22"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0C438F6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16E068E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(0.04)</w:t>
            </w:r>
          </w:p>
        </w:tc>
        <w:tc>
          <w:tcPr>
            <w:tcW w:w="588" w:type="pct"/>
          </w:tcPr>
          <w:p w14:paraId="3A248E7A"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277AB923"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2A1D2CE3"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C4FCAA5"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r>
      <w:tr w:rsidR="001D5CD4" w:rsidRPr="00070779" w14:paraId="3E224D67" w14:textId="77777777" w:rsidTr="00CE7D45">
        <w:trPr>
          <w:jc w:val="center"/>
        </w:trPr>
        <w:tc>
          <w:tcPr>
            <w:tcW w:w="1471" w:type="pct"/>
            <w:vAlign w:val="center"/>
            <w:hideMark/>
          </w:tcPr>
          <w:p w14:paraId="036816F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070779">
              <w:rPr>
                <w:rFonts w:eastAsia="DengXian"/>
                <w:sz w:val="20"/>
                <w:szCs w:val="20"/>
                <w:lang w:eastAsia="zh-CN"/>
              </w:rPr>
              <w:t>)</w:t>
            </w:r>
          </w:p>
        </w:tc>
        <w:tc>
          <w:tcPr>
            <w:tcW w:w="588" w:type="pct"/>
          </w:tcPr>
          <w:p w14:paraId="4B45F4BF"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55CB1642"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6B21B7C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0.016</w:t>
            </w:r>
            <w:r w:rsidRPr="00F46895">
              <w:rPr>
                <w:sz w:val="20"/>
                <w:szCs w:val="20"/>
                <w:vertAlign w:val="superscript"/>
              </w:rPr>
              <w:t>***</w:t>
            </w:r>
          </w:p>
        </w:tc>
        <w:tc>
          <w:tcPr>
            <w:tcW w:w="588" w:type="pct"/>
          </w:tcPr>
          <w:p w14:paraId="0793D99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-0.116</w:t>
            </w:r>
          </w:p>
        </w:tc>
        <w:tc>
          <w:tcPr>
            <w:tcW w:w="588" w:type="pct"/>
          </w:tcPr>
          <w:p w14:paraId="4E0EFAE0"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0.039</w:t>
            </w:r>
            <w:r w:rsidRPr="00F46895">
              <w:rPr>
                <w:sz w:val="20"/>
                <w:szCs w:val="20"/>
                <w:vertAlign w:val="superscript"/>
              </w:rPr>
              <w:t>***</w:t>
            </w:r>
          </w:p>
        </w:tc>
        <w:tc>
          <w:tcPr>
            <w:tcW w:w="588" w:type="pct"/>
          </w:tcPr>
          <w:p w14:paraId="2FBB43B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-0.003</w:t>
            </w:r>
          </w:p>
        </w:tc>
      </w:tr>
      <w:tr w:rsidR="001D5CD4" w:rsidRPr="00070779" w14:paraId="22363DD7" w14:textId="77777777" w:rsidTr="00CE7D45">
        <w:trPr>
          <w:jc w:val="center"/>
        </w:trPr>
        <w:tc>
          <w:tcPr>
            <w:tcW w:w="1471" w:type="pct"/>
            <w:vAlign w:val="center"/>
          </w:tcPr>
          <w:p w14:paraId="4500348C"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3ECA751"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18DB9AB5"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BCAC1C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6C79000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(0.08)</w:t>
            </w:r>
          </w:p>
        </w:tc>
        <w:tc>
          <w:tcPr>
            <w:tcW w:w="588" w:type="pct"/>
          </w:tcPr>
          <w:p w14:paraId="7903F03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2723C48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(0.17)</w:t>
            </w:r>
          </w:p>
        </w:tc>
      </w:tr>
      <w:tr w:rsidR="001D5CD4" w:rsidRPr="00070779" w14:paraId="22DD634D" w14:textId="77777777" w:rsidTr="00CE7D45">
        <w:trPr>
          <w:jc w:val="center"/>
        </w:trPr>
        <w:tc>
          <w:tcPr>
            <w:tcW w:w="1471" w:type="pct"/>
            <w:vAlign w:val="center"/>
            <w:hideMark/>
          </w:tcPr>
          <w:p w14:paraId="15EF24B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070779">
              <w:rPr>
                <w:rFonts w:eastAsia="DengXian"/>
                <w:sz w:val="20"/>
                <w:szCs w:val="20"/>
                <w:lang w:eastAsia="zh-CN"/>
              </w:rPr>
              <w:t>)</w:t>
            </w:r>
            <w:r w:rsidRPr="00070779">
              <w:rPr>
                <w:rFonts w:eastAsia="DengXian"/>
                <w:sz w:val="20"/>
                <w:szCs w:val="20"/>
                <w:vertAlign w:val="superscript"/>
                <w:lang w:eastAsia="zh-CN"/>
              </w:rPr>
              <w:t>2</w:t>
            </w:r>
          </w:p>
        </w:tc>
        <w:tc>
          <w:tcPr>
            <w:tcW w:w="588" w:type="pct"/>
          </w:tcPr>
          <w:p w14:paraId="125F6E00"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720BA55A"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43D3661B"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2000EFC1"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5EFA7FB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-0.027</w:t>
            </w:r>
            <w:r w:rsidRPr="00F46895">
              <w:rPr>
                <w:sz w:val="20"/>
                <w:szCs w:val="20"/>
                <w:vertAlign w:val="superscript"/>
              </w:rPr>
              <w:t>**</w:t>
            </w:r>
          </w:p>
        </w:tc>
        <w:tc>
          <w:tcPr>
            <w:tcW w:w="588" w:type="pct"/>
          </w:tcPr>
          <w:p w14:paraId="4B01E5E5"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-0.133</w:t>
            </w:r>
          </w:p>
        </w:tc>
      </w:tr>
      <w:tr w:rsidR="001D5CD4" w:rsidRPr="00070779" w14:paraId="4129E1BC" w14:textId="77777777" w:rsidTr="00CE7D45">
        <w:trPr>
          <w:jc w:val="center"/>
        </w:trPr>
        <w:tc>
          <w:tcPr>
            <w:tcW w:w="1471" w:type="pct"/>
            <w:vAlign w:val="center"/>
          </w:tcPr>
          <w:p w14:paraId="22374409"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D39D68D"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6EE8AB6C"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6F054405"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80F6256"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413C541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4272977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(0.19)</w:t>
            </w:r>
          </w:p>
        </w:tc>
      </w:tr>
      <w:tr w:rsidR="001D5CD4" w:rsidRPr="00070779" w14:paraId="44E44C1C" w14:textId="77777777" w:rsidTr="00CE7D45">
        <w:trPr>
          <w:jc w:val="center"/>
        </w:trPr>
        <w:tc>
          <w:tcPr>
            <w:tcW w:w="1471" w:type="pct"/>
            <w:vAlign w:val="center"/>
            <w:hideMark/>
          </w:tcPr>
          <w:p w14:paraId="7EC5CEE5"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Supplier HHI</w:t>
            </w:r>
          </w:p>
        </w:tc>
        <w:tc>
          <w:tcPr>
            <w:tcW w:w="588" w:type="pct"/>
          </w:tcPr>
          <w:p w14:paraId="059F331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0.002</w:t>
            </w:r>
          </w:p>
        </w:tc>
        <w:tc>
          <w:tcPr>
            <w:tcW w:w="588" w:type="pct"/>
          </w:tcPr>
          <w:p w14:paraId="47778B4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-0.114</w:t>
            </w:r>
            <w:r w:rsidRPr="00F46895">
              <w:rPr>
                <w:sz w:val="20"/>
                <w:szCs w:val="20"/>
                <w:vertAlign w:val="superscript"/>
              </w:rPr>
              <w:t>*</w:t>
            </w:r>
          </w:p>
        </w:tc>
        <w:tc>
          <w:tcPr>
            <w:tcW w:w="588" w:type="pct"/>
          </w:tcPr>
          <w:p w14:paraId="502672F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0.000</w:t>
            </w:r>
          </w:p>
        </w:tc>
        <w:tc>
          <w:tcPr>
            <w:tcW w:w="588" w:type="pct"/>
          </w:tcPr>
          <w:p w14:paraId="6E16321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-0.100</w:t>
            </w:r>
            <w:r w:rsidRPr="00F46895">
              <w:rPr>
                <w:sz w:val="20"/>
                <w:szCs w:val="20"/>
                <w:vertAlign w:val="superscript"/>
              </w:rPr>
              <w:t>*</w:t>
            </w:r>
          </w:p>
        </w:tc>
        <w:tc>
          <w:tcPr>
            <w:tcW w:w="588" w:type="pct"/>
          </w:tcPr>
          <w:p w14:paraId="648CA8E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-0.001</w:t>
            </w:r>
          </w:p>
        </w:tc>
        <w:tc>
          <w:tcPr>
            <w:tcW w:w="588" w:type="pct"/>
          </w:tcPr>
          <w:p w14:paraId="0339364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-0.106</w:t>
            </w:r>
            <w:r w:rsidRPr="00F46895">
              <w:rPr>
                <w:sz w:val="20"/>
                <w:szCs w:val="20"/>
                <w:vertAlign w:val="superscript"/>
              </w:rPr>
              <w:t>*</w:t>
            </w:r>
          </w:p>
        </w:tc>
      </w:tr>
      <w:tr w:rsidR="001D5CD4" w:rsidRPr="00070779" w14:paraId="1ECE22ED" w14:textId="77777777" w:rsidTr="00CE7D45">
        <w:trPr>
          <w:jc w:val="center"/>
        </w:trPr>
        <w:tc>
          <w:tcPr>
            <w:tcW w:w="1471" w:type="pct"/>
            <w:vAlign w:val="center"/>
          </w:tcPr>
          <w:p w14:paraId="0548B3DB"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51288F55"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1C0F814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(0.06)</w:t>
            </w:r>
          </w:p>
        </w:tc>
        <w:tc>
          <w:tcPr>
            <w:tcW w:w="588" w:type="pct"/>
          </w:tcPr>
          <w:p w14:paraId="19DE582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01E7C8B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(0.05)</w:t>
            </w:r>
          </w:p>
        </w:tc>
        <w:tc>
          <w:tcPr>
            <w:tcW w:w="588" w:type="pct"/>
          </w:tcPr>
          <w:p w14:paraId="340B454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2F6DB53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(0.06)</w:t>
            </w:r>
          </w:p>
        </w:tc>
      </w:tr>
      <w:tr w:rsidR="001D5CD4" w:rsidRPr="00070779" w14:paraId="6A5CD649" w14:textId="77777777" w:rsidTr="00CE7D45">
        <w:trPr>
          <w:jc w:val="center"/>
        </w:trPr>
        <w:tc>
          <w:tcPr>
            <w:tcW w:w="1471" w:type="pct"/>
            <w:vAlign w:val="center"/>
            <w:hideMark/>
          </w:tcPr>
          <w:p w14:paraId="651EA20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Customer HHI</w:t>
            </w:r>
          </w:p>
        </w:tc>
        <w:tc>
          <w:tcPr>
            <w:tcW w:w="588" w:type="pct"/>
          </w:tcPr>
          <w:p w14:paraId="633BE99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-0.005</w:t>
            </w:r>
          </w:p>
        </w:tc>
        <w:tc>
          <w:tcPr>
            <w:tcW w:w="588" w:type="pct"/>
          </w:tcPr>
          <w:p w14:paraId="0C7E603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0.049</w:t>
            </w:r>
          </w:p>
        </w:tc>
        <w:tc>
          <w:tcPr>
            <w:tcW w:w="588" w:type="pct"/>
          </w:tcPr>
          <w:p w14:paraId="673ED81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-0.008</w:t>
            </w:r>
            <w:r w:rsidRPr="00F46895">
              <w:rPr>
                <w:sz w:val="20"/>
                <w:szCs w:val="20"/>
                <w:vertAlign w:val="superscript"/>
              </w:rPr>
              <w:t>**</w:t>
            </w:r>
          </w:p>
        </w:tc>
        <w:tc>
          <w:tcPr>
            <w:tcW w:w="588" w:type="pct"/>
          </w:tcPr>
          <w:p w14:paraId="70F461E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0.073</w:t>
            </w:r>
          </w:p>
        </w:tc>
        <w:tc>
          <w:tcPr>
            <w:tcW w:w="588" w:type="pct"/>
          </w:tcPr>
          <w:p w14:paraId="6A5C2D8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-0.008</w:t>
            </w:r>
            <w:r w:rsidRPr="00F46895">
              <w:rPr>
                <w:sz w:val="20"/>
                <w:szCs w:val="20"/>
                <w:vertAlign w:val="superscript"/>
              </w:rPr>
              <w:t>**</w:t>
            </w:r>
          </w:p>
        </w:tc>
        <w:tc>
          <w:tcPr>
            <w:tcW w:w="588" w:type="pct"/>
          </w:tcPr>
          <w:p w14:paraId="6D4AD1B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0.070</w:t>
            </w:r>
          </w:p>
        </w:tc>
      </w:tr>
      <w:tr w:rsidR="001D5CD4" w:rsidRPr="00070779" w14:paraId="7639F71D" w14:textId="77777777" w:rsidTr="00CE7D45">
        <w:trPr>
          <w:jc w:val="center"/>
        </w:trPr>
        <w:tc>
          <w:tcPr>
            <w:tcW w:w="1471" w:type="pct"/>
            <w:vAlign w:val="center"/>
          </w:tcPr>
          <w:p w14:paraId="0695A955"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68DCA3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789288F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(0.06)</w:t>
            </w:r>
          </w:p>
        </w:tc>
        <w:tc>
          <w:tcPr>
            <w:tcW w:w="588" w:type="pct"/>
          </w:tcPr>
          <w:p w14:paraId="289E9E9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6837D02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(0.07)</w:t>
            </w:r>
          </w:p>
        </w:tc>
        <w:tc>
          <w:tcPr>
            <w:tcW w:w="588" w:type="pct"/>
          </w:tcPr>
          <w:p w14:paraId="4039C10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02AE5D3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(0.05)</w:t>
            </w:r>
          </w:p>
        </w:tc>
      </w:tr>
      <w:tr w:rsidR="001D5CD4" w:rsidRPr="00070779" w14:paraId="53D4047C" w14:textId="77777777" w:rsidTr="00CE7D45">
        <w:trPr>
          <w:jc w:val="center"/>
        </w:trPr>
        <w:tc>
          <w:tcPr>
            <w:tcW w:w="1471" w:type="pct"/>
            <w:shd w:val="clear" w:color="auto" w:fill="auto"/>
            <w:vAlign w:val="center"/>
            <w:hideMark/>
          </w:tcPr>
          <w:p w14:paraId="28CA1D55"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Past lending</w:t>
            </w:r>
          </w:p>
        </w:tc>
        <w:tc>
          <w:tcPr>
            <w:tcW w:w="588" w:type="pct"/>
          </w:tcPr>
          <w:p w14:paraId="6CD411C7"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0.002</w:t>
            </w:r>
          </w:p>
        </w:tc>
        <w:tc>
          <w:tcPr>
            <w:tcW w:w="588" w:type="pct"/>
          </w:tcPr>
          <w:p w14:paraId="1EBAFF9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0.313</w:t>
            </w:r>
            <w:r w:rsidRPr="00F46895">
              <w:rPr>
                <w:sz w:val="20"/>
                <w:szCs w:val="20"/>
                <w:vertAlign w:val="superscript"/>
              </w:rPr>
              <w:t>***</w:t>
            </w:r>
          </w:p>
        </w:tc>
        <w:tc>
          <w:tcPr>
            <w:tcW w:w="588" w:type="pct"/>
          </w:tcPr>
          <w:p w14:paraId="06EB5CA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0.002</w:t>
            </w:r>
          </w:p>
        </w:tc>
        <w:tc>
          <w:tcPr>
            <w:tcW w:w="588" w:type="pct"/>
          </w:tcPr>
          <w:p w14:paraId="0E4F547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0.313</w:t>
            </w:r>
            <w:r w:rsidRPr="00F46895">
              <w:rPr>
                <w:sz w:val="20"/>
                <w:szCs w:val="20"/>
                <w:vertAlign w:val="superscript"/>
              </w:rPr>
              <w:t>***</w:t>
            </w:r>
          </w:p>
        </w:tc>
        <w:tc>
          <w:tcPr>
            <w:tcW w:w="588" w:type="pct"/>
          </w:tcPr>
          <w:p w14:paraId="1468C14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0.002</w:t>
            </w:r>
          </w:p>
        </w:tc>
        <w:tc>
          <w:tcPr>
            <w:tcW w:w="588" w:type="pct"/>
          </w:tcPr>
          <w:p w14:paraId="11CBD5C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0.312</w:t>
            </w:r>
            <w:r w:rsidRPr="00F46895">
              <w:rPr>
                <w:sz w:val="20"/>
                <w:szCs w:val="20"/>
                <w:vertAlign w:val="superscript"/>
              </w:rPr>
              <w:t>***</w:t>
            </w:r>
          </w:p>
        </w:tc>
      </w:tr>
      <w:tr w:rsidR="001D5CD4" w:rsidRPr="00070779" w14:paraId="773C38E0" w14:textId="77777777" w:rsidTr="00CE7D45">
        <w:trPr>
          <w:jc w:val="center"/>
        </w:trPr>
        <w:tc>
          <w:tcPr>
            <w:tcW w:w="1471" w:type="pct"/>
            <w:shd w:val="clear" w:color="auto" w:fill="auto"/>
            <w:vAlign w:val="center"/>
          </w:tcPr>
          <w:p w14:paraId="07BCEBCE"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75AF00B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55BC811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(0.07)</w:t>
            </w:r>
          </w:p>
        </w:tc>
        <w:tc>
          <w:tcPr>
            <w:tcW w:w="588" w:type="pct"/>
          </w:tcPr>
          <w:p w14:paraId="3BB14A2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1B76FBE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(0.08)</w:t>
            </w:r>
          </w:p>
        </w:tc>
        <w:tc>
          <w:tcPr>
            <w:tcW w:w="588" w:type="pct"/>
          </w:tcPr>
          <w:p w14:paraId="3EABCF0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6031F2C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(0.07)</w:t>
            </w:r>
          </w:p>
        </w:tc>
      </w:tr>
      <w:tr w:rsidR="001D5CD4" w:rsidRPr="00070779" w14:paraId="2B5CF0DF" w14:textId="77777777" w:rsidTr="00CE7D45">
        <w:trPr>
          <w:jc w:val="center"/>
        </w:trPr>
        <w:tc>
          <w:tcPr>
            <w:tcW w:w="1471" w:type="pct"/>
            <w:shd w:val="clear" w:color="auto" w:fill="auto"/>
            <w:vAlign w:val="center"/>
            <w:hideMark/>
          </w:tcPr>
          <w:p w14:paraId="5C5ECF20"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Total asset</w:t>
            </w:r>
          </w:p>
        </w:tc>
        <w:tc>
          <w:tcPr>
            <w:tcW w:w="588" w:type="pct"/>
          </w:tcPr>
          <w:p w14:paraId="3C3CF23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0.001</w:t>
            </w:r>
          </w:p>
        </w:tc>
        <w:tc>
          <w:tcPr>
            <w:tcW w:w="588" w:type="pct"/>
          </w:tcPr>
          <w:p w14:paraId="0925F26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-0.648</w:t>
            </w:r>
            <w:r w:rsidRPr="00F46895">
              <w:rPr>
                <w:sz w:val="20"/>
                <w:szCs w:val="20"/>
                <w:vertAlign w:val="superscript"/>
              </w:rPr>
              <w:t>***</w:t>
            </w:r>
          </w:p>
        </w:tc>
        <w:tc>
          <w:tcPr>
            <w:tcW w:w="588" w:type="pct"/>
          </w:tcPr>
          <w:p w14:paraId="0FD1A7B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-0.000</w:t>
            </w:r>
          </w:p>
        </w:tc>
        <w:tc>
          <w:tcPr>
            <w:tcW w:w="588" w:type="pct"/>
          </w:tcPr>
          <w:p w14:paraId="791B33A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-0.641</w:t>
            </w:r>
            <w:r w:rsidRPr="00F46895">
              <w:rPr>
                <w:sz w:val="20"/>
                <w:szCs w:val="20"/>
                <w:vertAlign w:val="superscript"/>
              </w:rPr>
              <w:t>***</w:t>
            </w:r>
          </w:p>
        </w:tc>
        <w:tc>
          <w:tcPr>
            <w:tcW w:w="588" w:type="pct"/>
          </w:tcPr>
          <w:p w14:paraId="239A4FC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-0.000</w:t>
            </w:r>
          </w:p>
        </w:tc>
        <w:tc>
          <w:tcPr>
            <w:tcW w:w="588" w:type="pct"/>
          </w:tcPr>
          <w:p w14:paraId="71F3A70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-0.642</w:t>
            </w:r>
            <w:r w:rsidRPr="00F46895">
              <w:rPr>
                <w:sz w:val="20"/>
                <w:szCs w:val="20"/>
                <w:vertAlign w:val="superscript"/>
              </w:rPr>
              <w:t>***</w:t>
            </w:r>
          </w:p>
        </w:tc>
      </w:tr>
      <w:tr w:rsidR="001D5CD4" w:rsidRPr="00070779" w14:paraId="62C41A84" w14:textId="77777777" w:rsidTr="00CE7D45">
        <w:trPr>
          <w:jc w:val="center"/>
        </w:trPr>
        <w:tc>
          <w:tcPr>
            <w:tcW w:w="1471" w:type="pct"/>
            <w:shd w:val="clear" w:color="auto" w:fill="auto"/>
            <w:vAlign w:val="center"/>
          </w:tcPr>
          <w:p w14:paraId="27916FC2"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117929A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70401D7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(0.07)</w:t>
            </w:r>
          </w:p>
        </w:tc>
        <w:tc>
          <w:tcPr>
            <w:tcW w:w="588" w:type="pct"/>
          </w:tcPr>
          <w:p w14:paraId="66B7861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299F359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(0.07)</w:t>
            </w:r>
          </w:p>
        </w:tc>
        <w:tc>
          <w:tcPr>
            <w:tcW w:w="588" w:type="pct"/>
          </w:tcPr>
          <w:p w14:paraId="5BD77530"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73B78707"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(0.07)</w:t>
            </w:r>
          </w:p>
        </w:tc>
      </w:tr>
      <w:tr w:rsidR="001D5CD4" w:rsidRPr="00070779" w14:paraId="673B1223" w14:textId="77777777" w:rsidTr="00CE7D45">
        <w:trPr>
          <w:jc w:val="center"/>
        </w:trPr>
        <w:tc>
          <w:tcPr>
            <w:tcW w:w="1471" w:type="pct"/>
            <w:shd w:val="clear" w:color="auto" w:fill="auto"/>
            <w:vAlign w:val="center"/>
            <w:hideMark/>
          </w:tcPr>
          <w:p w14:paraId="183A2747"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ROA</w:t>
            </w:r>
          </w:p>
        </w:tc>
        <w:tc>
          <w:tcPr>
            <w:tcW w:w="588" w:type="pct"/>
          </w:tcPr>
          <w:p w14:paraId="0A0182C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-0.018</w:t>
            </w:r>
          </w:p>
        </w:tc>
        <w:tc>
          <w:tcPr>
            <w:tcW w:w="588" w:type="pct"/>
          </w:tcPr>
          <w:p w14:paraId="770381D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-0.638</w:t>
            </w:r>
            <w:r w:rsidRPr="00F46895">
              <w:rPr>
                <w:sz w:val="20"/>
                <w:szCs w:val="20"/>
                <w:vertAlign w:val="superscript"/>
              </w:rPr>
              <w:t>**</w:t>
            </w:r>
          </w:p>
        </w:tc>
        <w:tc>
          <w:tcPr>
            <w:tcW w:w="588" w:type="pct"/>
          </w:tcPr>
          <w:p w14:paraId="5C98AB4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-0.018</w:t>
            </w:r>
          </w:p>
        </w:tc>
        <w:tc>
          <w:tcPr>
            <w:tcW w:w="588" w:type="pct"/>
          </w:tcPr>
          <w:p w14:paraId="67EFE05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-0.640</w:t>
            </w:r>
            <w:r w:rsidRPr="00F46895">
              <w:rPr>
                <w:sz w:val="20"/>
                <w:szCs w:val="20"/>
                <w:vertAlign w:val="superscript"/>
              </w:rPr>
              <w:t>*</w:t>
            </w:r>
          </w:p>
        </w:tc>
        <w:tc>
          <w:tcPr>
            <w:tcW w:w="588" w:type="pct"/>
          </w:tcPr>
          <w:p w14:paraId="787F4F9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-0.018</w:t>
            </w:r>
          </w:p>
        </w:tc>
        <w:tc>
          <w:tcPr>
            <w:tcW w:w="588" w:type="pct"/>
          </w:tcPr>
          <w:p w14:paraId="471E0F3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-0.640</w:t>
            </w:r>
            <w:r w:rsidRPr="00F46895">
              <w:rPr>
                <w:sz w:val="20"/>
                <w:szCs w:val="20"/>
                <w:vertAlign w:val="superscript"/>
              </w:rPr>
              <w:t>**</w:t>
            </w:r>
          </w:p>
        </w:tc>
      </w:tr>
      <w:tr w:rsidR="001D5CD4" w:rsidRPr="00070779" w14:paraId="4F5C695F" w14:textId="77777777" w:rsidTr="00CE7D45">
        <w:trPr>
          <w:jc w:val="center"/>
        </w:trPr>
        <w:tc>
          <w:tcPr>
            <w:tcW w:w="1471" w:type="pct"/>
            <w:shd w:val="clear" w:color="auto" w:fill="auto"/>
            <w:vAlign w:val="center"/>
          </w:tcPr>
          <w:p w14:paraId="6033C266"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CB59C4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(0.02)</w:t>
            </w:r>
          </w:p>
        </w:tc>
        <w:tc>
          <w:tcPr>
            <w:tcW w:w="588" w:type="pct"/>
          </w:tcPr>
          <w:p w14:paraId="1E39CFE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(0.28)</w:t>
            </w:r>
          </w:p>
        </w:tc>
        <w:tc>
          <w:tcPr>
            <w:tcW w:w="588" w:type="pct"/>
          </w:tcPr>
          <w:p w14:paraId="2AE97E8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(0.02)</w:t>
            </w:r>
          </w:p>
        </w:tc>
        <w:tc>
          <w:tcPr>
            <w:tcW w:w="588" w:type="pct"/>
          </w:tcPr>
          <w:p w14:paraId="5AA8B27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(0.37)</w:t>
            </w:r>
          </w:p>
        </w:tc>
        <w:tc>
          <w:tcPr>
            <w:tcW w:w="588" w:type="pct"/>
          </w:tcPr>
          <w:p w14:paraId="14D2CDB5"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(0.02)</w:t>
            </w:r>
          </w:p>
        </w:tc>
        <w:tc>
          <w:tcPr>
            <w:tcW w:w="588" w:type="pct"/>
          </w:tcPr>
          <w:p w14:paraId="762A49C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(0.28)</w:t>
            </w:r>
          </w:p>
        </w:tc>
      </w:tr>
      <w:tr w:rsidR="001D5CD4" w:rsidRPr="00070779" w14:paraId="3F8BE6B8" w14:textId="77777777" w:rsidTr="00CE7D45">
        <w:trPr>
          <w:jc w:val="center"/>
        </w:trPr>
        <w:tc>
          <w:tcPr>
            <w:tcW w:w="1471" w:type="pct"/>
            <w:shd w:val="clear" w:color="auto" w:fill="auto"/>
            <w:vAlign w:val="center"/>
            <w:hideMark/>
          </w:tcPr>
          <w:p w14:paraId="27434FE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Tobin’s Q</w:t>
            </w:r>
          </w:p>
        </w:tc>
        <w:tc>
          <w:tcPr>
            <w:tcW w:w="588" w:type="pct"/>
          </w:tcPr>
          <w:p w14:paraId="5C5C59E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-0.005</w:t>
            </w:r>
            <w:r w:rsidRPr="00F46895">
              <w:rPr>
                <w:sz w:val="20"/>
                <w:szCs w:val="20"/>
                <w:vertAlign w:val="superscript"/>
              </w:rPr>
              <w:t>**</w:t>
            </w:r>
          </w:p>
        </w:tc>
        <w:tc>
          <w:tcPr>
            <w:tcW w:w="588" w:type="pct"/>
          </w:tcPr>
          <w:p w14:paraId="5DF2EE9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-0.121</w:t>
            </w:r>
            <w:r w:rsidRPr="00F46895">
              <w:rPr>
                <w:sz w:val="20"/>
                <w:szCs w:val="20"/>
                <w:vertAlign w:val="superscript"/>
              </w:rPr>
              <w:t>***</w:t>
            </w:r>
          </w:p>
        </w:tc>
        <w:tc>
          <w:tcPr>
            <w:tcW w:w="588" w:type="pct"/>
          </w:tcPr>
          <w:p w14:paraId="4BB78BE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-0.005</w:t>
            </w:r>
            <w:r w:rsidRPr="00F46895">
              <w:rPr>
                <w:sz w:val="20"/>
                <w:szCs w:val="20"/>
                <w:vertAlign w:val="superscript"/>
              </w:rPr>
              <w:t>**</w:t>
            </w:r>
          </w:p>
        </w:tc>
        <w:tc>
          <w:tcPr>
            <w:tcW w:w="588" w:type="pct"/>
          </w:tcPr>
          <w:p w14:paraId="5B7F7C47"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-0.119</w:t>
            </w:r>
            <w:r w:rsidRPr="00F46895">
              <w:rPr>
                <w:sz w:val="20"/>
                <w:szCs w:val="20"/>
                <w:vertAlign w:val="superscript"/>
              </w:rPr>
              <w:t>***</w:t>
            </w:r>
          </w:p>
        </w:tc>
        <w:tc>
          <w:tcPr>
            <w:tcW w:w="588" w:type="pct"/>
          </w:tcPr>
          <w:p w14:paraId="44CF9BB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-0.005</w:t>
            </w:r>
            <w:r w:rsidRPr="00F46895">
              <w:rPr>
                <w:sz w:val="20"/>
                <w:szCs w:val="20"/>
                <w:vertAlign w:val="superscript"/>
              </w:rPr>
              <w:t>**</w:t>
            </w:r>
          </w:p>
        </w:tc>
        <w:tc>
          <w:tcPr>
            <w:tcW w:w="588" w:type="pct"/>
          </w:tcPr>
          <w:p w14:paraId="6B949E5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-0.120</w:t>
            </w:r>
            <w:r w:rsidRPr="00F46895">
              <w:rPr>
                <w:sz w:val="20"/>
                <w:szCs w:val="20"/>
                <w:vertAlign w:val="superscript"/>
              </w:rPr>
              <w:t>***</w:t>
            </w:r>
          </w:p>
        </w:tc>
      </w:tr>
      <w:tr w:rsidR="001D5CD4" w:rsidRPr="00070779" w14:paraId="2D4CA6B8" w14:textId="77777777" w:rsidTr="00CE7D45">
        <w:trPr>
          <w:jc w:val="center"/>
        </w:trPr>
        <w:tc>
          <w:tcPr>
            <w:tcW w:w="1471" w:type="pct"/>
            <w:shd w:val="clear" w:color="auto" w:fill="auto"/>
            <w:vAlign w:val="center"/>
          </w:tcPr>
          <w:p w14:paraId="751EFCC7"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40D459A0"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2D7F285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(0.04)</w:t>
            </w:r>
          </w:p>
        </w:tc>
        <w:tc>
          <w:tcPr>
            <w:tcW w:w="588" w:type="pct"/>
          </w:tcPr>
          <w:p w14:paraId="023C5E7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60FFC2A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(0.04)</w:t>
            </w:r>
          </w:p>
        </w:tc>
        <w:tc>
          <w:tcPr>
            <w:tcW w:w="588" w:type="pct"/>
          </w:tcPr>
          <w:p w14:paraId="4EDC7EC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7BF97D6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(0.04)</w:t>
            </w:r>
          </w:p>
        </w:tc>
      </w:tr>
      <w:tr w:rsidR="001D5CD4" w:rsidRPr="00070779" w14:paraId="426ED75C" w14:textId="77777777" w:rsidTr="00CE7D45">
        <w:trPr>
          <w:jc w:val="center"/>
        </w:trPr>
        <w:tc>
          <w:tcPr>
            <w:tcW w:w="1471" w:type="pct"/>
            <w:shd w:val="clear" w:color="auto" w:fill="auto"/>
            <w:vAlign w:val="center"/>
            <w:hideMark/>
          </w:tcPr>
          <w:p w14:paraId="70A4B3A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Cash</w:t>
            </w:r>
          </w:p>
        </w:tc>
        <w:tc>
          <w:tcPr>
            <w:tcW w:w="588" w:type="pct"/>
          </w:tcPr>
          <w:p w14:paraId="798C696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0.003</w:t>
            </w:r>
          </w:p>
        </w:tc>
        <w:tc>
          <w:tcPr>
            <w:tcW w:w="588" w:type="pct"/>
          </w:tcPr>
          <w:p w14:paraId="1AB4718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0.366</w:t>
            </w:r>
          </w:p>
        </w:tc>
        <w:tc>
          <w:tcPr>
            <w:tcW w:w="588" w:type="pct"/>
          </w:tcPr>
          <w:p w14:paraId="1775260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0.004</w:t>
            </w:r>
          </w:p>
        </w:tc>
        <w:tc>
          <w:tcPr>
            <w:tcW w:w="588" w:type="pct"/>
          </w:tcPr>
          <w:p w14:paraId="0440EBC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0.366</w:t>
            </w:r>
          </w:p>
        </w:tc>
        <w:tc>
          <w:tcPr>
            <w:tcW w:w="588" w:type="pct"/>
          </w:tcPr>
          <w:p w14:paraId="49A125B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0.003</w:t>
            </w:r>
          </w:p>
        </w:tc>
        <w:tc>
          <w:tcPr>
            <w:tcW w:w="588" w:type="pct"/>
          </w:tcPr>
          <w:p w14:paraId="46303505"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0.364</w:t>
            </w:r>
          </w:p>
        </w:tc>
      </w:tr>
      <w:tr w:rsidR="001D5CD4" w:rsidRPr="00070779" w14:paraId="6AB088F9" w14:textId="77777777" w:rsidTr="00CE7D45">
        <w:trPr>
          <w:jc w:val="center"/>
        </w:trPr>
        <w:tc>
          <w:tcPr>
            <w:tcW w:w="1471" w:type="pct"/>
            <w:shd w:val="clear" w:color="auto" w:fill="auto"/>
            <w:vAlign w:val="center"/>
          </w:tcPr>
          <w:p w14:paraId="3148B665"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4D8A0F97"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4484F7F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(0.24)</w:t>
            </w:r>
          </w:p>
        </w:tc>
        <w:tc>
          <w:tcPr>
            <w:tcW w:w="588" w:type="pct"/>
          </w:tcPr>
          <w:p w14:paraId="3C29659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1B2C42A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(0.23)</w:t>
            </w:r>
          </w:p>
        </w:tc>
        <w:tc>
          <w:tcPr>
            <w:tcW w:w="588" w:type="pct"/>
          </w:tcPr>
          <w:p w14:paraId="0C05DBD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57D03C9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(0.24)</w:t>
            </w:r>
          </w:p>
        </w:tc>
      </w:tr>
      <w:tr w:rsidR="001D5CD4" w:rsidRPr="00070779" w14:paraId="46427223" w14:textId="77777777" w:rsidTr="00CE7D45">
        <w:trPr>
          <w:jc w:val="center"/>
        </w:trPr>
        <w:tc>
          <w:tcPr>
            <w:tcW w:w="1471" w:type="pct"/>
            <w:shd w:val="clear" w:color="auto" w:fill="auto"/>
            <w:vAlign w:val="center"/>
            <w:hideMark/>
          </w:tcPr>
          <w:p w14:paraId="1183B3C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Leverage</w:t>
            </w:r>
          </w:p>
        </w:tc>
        <w:tc>
          <w:tcPr>
            <w:tcW w:w="588" w:type="pct"/>
          </w:tcPr>
          <w:p w14:paraId="0495257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0.025</w:t>
            </w:r>
            <w:r w:rsidRPr="00F46895">
              <w:rPr>
                <w:sz w:val="20"/>
                <w:szCs w:val="20"/>
                <w:vertAlign w:val="superscript"/>
              </w:rPr>
              <w:t>***</w:t>
            </w:r>
          </w:p>
        </w:tc>
        <w:tc>
          <w:tcPr>
            <w:tcW w:w="588" w:type="pct"/>
          </w:tcPr>
          <w:p w14:paraId="68CB6BA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0.410</w:t>
            </w:r>
            <w:r w:rsidRPr="00F46895">
              <w:rPr>
                <w:sz w:val="20"/>
                <w:szCs w:val="20"/>
                <w:vertAlign w:val="superscript"/>
              </w:rPr>
              <w:t>***</w:t>
            </w:r>
          </w:p>
        </w:tc>
        <w:tc>
          <w:tcPr>
            <w:tcW w:w="588" w:type="pct"/>
          </w:tcPr>
          <w:p w14:paraId="5EEE81B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0.026</w:t>
            </w:r>
            <w:r w:rsidRPr="00F46895">
              <w:rPr>
                <w:sz w:val="20"/>
                <w:szCs w:val="20"/>
                <w:vertAlign w:val="superscript"/>
              </w:rPr>
              <w:t>***</w:t>
            </w:r>
          </w:p>
        </w:tc>
        <w:tc>
          <w:tcPr>
            <w:tcW w:w="588" w:type="pct"/>
          </w:tcPr>
          <w:p w14:paraId="7EF360A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0.407</w:t>
            </w:r>
            <w:r w:rsidRPr="00F46895">
              <w:rPr>
                <w:sz w:val="20"/>
                <w:szCs w:val="20"/>
                <w:vertAlign w:val="superscript"/>
              </w:rPr>
              <w:t>***</w:t>
            </w:r>
          </w:p>
        </w:tc>
        <w:tc>
          <w:tcPr>
            <w:tcW w:w="588" w:type="pct"/>
          </w:tcPr>
          <w:p w14:paraId="59D1088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0.026</w:t>
            </w:r>
            <w:r w:rsidRPr="00F46895">
              <w:rPr>
                <w:sz w:val="20"/>
                <w:szCs w:val="20"/>
                <w:vertAlign w:val="superscript"/>
              </w:rPr>
              <w:t>***</w:t>
            </w:r>
          </w:p>
        </w:tc>
        <w:tc>
          <w:tcPr>
            <w:tcW w:w="588" w:type="pct"/>
          </w:tcPr>
          <w:p w14:paraId="434196C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0.409</w:t>
            </w:r>
            <w:r w:rsidRPr="00F46895">
              <w:rPr>
                <w:sz w:val="20"/>
                <w:szCs w:val="20"/>
                <w:vertAlign w:val="superscript"/>
              </w:rPr>
              <w:t>***</w:t>
            </w:r>
          </w:p>
        </w:tc>
      </w:tr>
      <w:tr w:rsidR="001D5CD4" w:rsidRPr="00070779" w14:paraId="3DFF95A1" w14:textId="77777777" w:rsidTr="00CE7D45">
        <w:trPr>
          <w:jc w:val="center"/>
        </w:trPr>
        <w:tc>
          <w:tcPr>
            <w:tcW w:w="1471" w:type="pct"/>
            <w:shd w:val="clear" w:color="auto" w:fill="auto"/>
            <w:vAlign w:val="center"/>
          </w:tcPr>
          <w:p w14:paraId="7E218FBD"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68943C7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19E1B14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(0.13)</w:t>
            </w:r>
          </w:p>
        </w:tc>
        <w:tc>
          <w:tcPr>
            <w:tcW w:w="588" w:type="pct"/>
          </w:tcPr>
          <w:p w14:paraId="025A9BC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6917EB5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(0.10)</w:t>
            </w:r>
          </w:p>
        </w:tc>
        <w:tc>
          <w:tcPr>
            <w:tcW w:w="588" w:type="pct"/>
          </w:tcPr>
          <w:p w14:paraId="55ACBA6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5E78090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(0.13)</w:t>
            </w:r>
          </w:p>
        </w:tc>
      </w:tr>
      <w:tr w:rsidR="001D5CD4" w:rsidRPr="00070779" w14:paraId="7CE5AAA3" w14:textId="77777777" w:rsidTr="00CE7D45">
        <w:trPr>
          <w:jc w:val="center"/>
        </w:trPr>
        <w:tc>
          <w:tcPr>
            <w:tcW w:w="1471" w:type="pct"/>
            <w:shd w:val="clear" w:color="auto" w:fill="auto"/>
            <w:vAlign w:val="center"/>
            <w:hideMark/>
          </w:tcPr>
          <w:p w14:paraId="111C28E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CAPX</w:t>
            </w:r>
          </w:p>
        </w:tc>
        <w:tc>
          <w:tcPr>
            <w:tcW w:w="588" w:type="pct"/>
          </w:tcPr>
          <w:p w14:paraId="00597FC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-0.006</w:t>
            </w:r>
            <w:r w:rsidRPr="00F46895">
              <w:rPr>
                <w:sz w:val="20"/>
                <w:szCs w:val="20"/>
                <w:vertAlign w:val="superscript"/>
              </w:rPr>
              <w:t>**</w:t>
            </w:r>
          </w:p>
        </w:tc>
        <w:tc>
          <w:tcPr>
            <w:tcW w:w="588" w:type="pct"/>
          </w:tcPr>
          <w:p w14:paraId="0487E40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-0.052</w:t>
            </w:r>
          </w:p>
        </w:tc>
        <w:tc>
          <w:tcPr>
            <w:tcW w:w="588" w:type="pct"/>
          </w:tcPr>
          <w:p w14:paraId="6C4418F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-0.006</w:t>
            </w:r>
            <w:r w:rsidRPr="00F46895">
              <w:rPr>
                <w:sz w:val="20"/>
                <w:szCs w:val="20"/>
                <w:vertAlign w:val="superscript"/>
              </w:rPr>
              <w:t>**</w:t>
            </w:r>
          </w:p>
        </w:tc>
        <w:tc>
          <w:tcPr>
            <w:tcW w:w="588" w:type="pct"/>
          </w:tcPr>
          <w:p w14:paraId="0B7DBE7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-0.052</w:t>
            </w:r>
          </w:p>
        </w:tc>
        <w:tc>
          <w:tcPr>
            <w:tcW w:w="588" w:type="pct"/>
          </w:tcPr>
          <w:p w14:paraId="71FF9D2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-0.006</w:t>
            </w:r>
            <w:r w:rsidRPr="00F46895">
              <w:rPr>
                <w:sz w:val="20"/>
                <w:szCs w:val="20"/>
                <w:vertAlign w:val="superscript"/>
              </w:rPr>
              <w:t>**</w:t>
            </w:r>
          </w:p>
        </w:tc>
        <w:tc>
          <w:tcPr>
            <w:tcW w:w="588" w:type="pct"/>
          </w:tcPr>
          <w:p w14:paraId="763C285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-0.054</w:t>
            </w:r>
          </w:p>
        </w:tc>
      </w:tr>
      <w:tr w:rsidR="001D5CD4" w:rsidRPr="00070779" w14:paraId="1D8EEDF7" w14:textId="77777777" w:rsidTr="00CE7D45">
        <w:trPr>
          <w:jc w:val="center"/>
        </w:trPr>
        <w:tc>
          <w:tcPr>
            <w:tcW w:w="1471" w:type="pct"/>
            <w:shd w:val="clear" w:color="auto" w:fill="auto"/>
            <w:vAlign w:val="center"/>
          </w:tcPr>
          <w:p w14:paraId="11D01F3C"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784B098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71BA4E5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(0.05)</w:t>
            </w:r>
          </w:p>
        </w:tc>
        <w:tc>
          <w:tcPr>
            <w:tcW w:w="588" w:type="pct"/>
          </w:tcPr>
          <w:p w14:paraId="135D7EF0"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04DB6A60"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(0.07)</w:t>
            </w:r>
          </w:p>
        </w:tc>
        <w:tc>
          <w:tcPr>
            <w:tcW w:w="588" w:type="pct"/>
          </w:tcPr>
          <w:p w14:paraId="708C864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5A08C58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(0.05)</w:t>
            </w:r>
          </w:p>
        </w:tc>
      </w:tr>
      <w:tr w:rsidR="00DF0AA9" w:rsidRPr="00070779" w14:paraId="612FD396" w14:textId="77777777" w:rsidTr="00CE7D45">
        <w:trPr>
          <w:jc w:val="center"/>
        </w:trPr>
        <w:tc>
          <w:tcPr>
            <w:tcW w:w="1471" w:type="pct"/>
            <w:shd w:val="clear" w:color="auto" w:fill="auto"/>
            <w:vAlign w:val="center"/>
            <w:hideMark/>
          </w:tcPr>
          <w:p w14:paraId="0F4BE45D"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Pr>
                <w:rFonts w:eastAsia="DengXian"/>
                <w:sz w:val="20"/>
                <w:szCs w:val="20"/>
                <w:lang w:eastAsia="zh-CN"/>
              </w:rPr>
              <w:t>(F</w:t>
            </w:r>
            <w:r w:rsidRPr="002B3BA8">
              <w:rPr>
                <w:rFonts w:eastAsia="DengXian"/>
                <w:sz w:val="20"/>
                <w:szCs w:val="20"/>
                <w:lang w:eastAsia="zh-CN"/>
              </w:rPr>
              <w:t>acility amount</w:t>
            </w:r>
            <w:r>
              <w:rPr>
                <w:rFonts w:eastAsia="DengXian"/>
                <w:sz w:val="20"/>
                <w:szCs w:val="20"/>
                <w:lang w:eastAsia="zh-CN"/>
              </w:rPr>
              <w:t>)</w:t>
            </w:r>
          </w:p>
        </w:tc>
        <w:tc>
          <w:tcPr>
            <w:tcW w:w="588" w:type="pct"/>
          </w:tcPr>
          <w:p w14:paraId="6D849022"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0.016</w:t>
            </w:r>
            <w:r w:rsidRPr="00F46895">
              <w:rPr>
                <w:sz w:val="20"/>
                <w:szCs w:val="20"/>
                <w:vertAlign w:val="superscript"/>
              </w:rPr>
              <w:t>***</w:t>
            </w:r>
          </w:p>
        </w:tc>
        <w:tc>
          <w:tcPr>
            <w:tcW w:w="588" w:type="pct"/>
          </w:tcPr>
          <w:p w14:paraId="119A6C1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-0.330</w:t>
            </w:r>
            <w:r w:rsidRPr="00F46895">
              <w:rPr>
                <w:sz w:val="20"/>
                <w:szCs w:val="20"/>
                <w:vertAlign w:val="superscript"/>
              </w:rPr>
              <w:t>***</w:t>
            </w:r>
          </w:p>
        </w:tc>
        <w:tc>
          <w:tcPr>
            <w:tcW w:w="588" w:type="pct"/>
          </w:tcPr>
          <w:p w14:paraId="6C30FB5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0.016</w:t>
            </w:r>
            <w:r w:rsidRPr="00F46895">
              <w:rPr>
                <w:sz w:val="20"/>
                <w:szCs w:val="20"/>
                <w:vertAlign w:val="superscript"/>
              </w:rPr>
              <w:t>***</w:t>
            </w:r>
          </w:p>
        </w:tc>
        <w:tc>
          <w:tcPr>
            <w:tcW w:w="588" w:type="pct"/>
          </w:tcPr>
          <w:p w14:paraId="2E26AAF8"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-0.331</w:t>
            </w:r>
            <w:r w:rsidRPr="00F46895">
              <w:rPr>
                <w:sz w:val="20"/>
                <w:szCs w:val="20"/>
                <w:vertAlign w:val="superscript"/>
              </w:rPr>
              <w:t>***</w:t>
            </w:r>
          </w:p>
        </w:tc>
        <w:tc>
          <w:tcPr>
            <w:tcW w:w="588" w:type="pct"/>
          </w:tcPr>
          <w:p w14:paraId="1C79C3D6"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0.016</w:t>
            </w:r>
            <w:r w:rsidRPr="00F46895">
              <w:rPr>
                <w:sz w:val="20"/>
                <w:szCs w:val="20"/>
                <w:vertAlign w:val="superscript"/>
              </w:rPr>
              <w:t>***</w:t>
            </w:r>
          </w:p>
        </w:tc>
        <w:tc>
          <w:tcPr>
            <w:tcW w:w="588" w:type="pct"/>
          </w:tcPr>
          <w:p w14:paraId="065AB71F"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-0.331</w:t>
            </w:r>
            <w:r w:rsidRPr="00F46895">
              <w:rPr>
                <w:sz w:val="20"/>
                <w:szCs w:val="20"/>
                <w:vertAlign w:val="superscript"/>
              </w:rPr>
              <w:t>***</w:t>
            </w:r>
          </w:p>
        </w:tc>
      </w:tr>
      <w:tr w:rsidR="00DF0AA9" w:rsidRPr="00070779" w14:paraId="29A3E10D" w14:textId="77777777" w:rsidTr="00CE7D45">
        <w:trPr>
          <w:jc w:val="center"/>
        </w:trPr>
        <w:tc>
          <w:tcPr>
            <w:tcW w:w="1471" w:type="pct"/>
            <w:shd w:val="clear" w:color="auto" w:fill="auto"/>
            <w:vAlign w:val="center"/>
          </w:tcPr>
          <w:p w14:paraId="02D50B98" w14:textId="77777777" w:rsidR="00DF0AA9" w:rsidRPr="00070779" w:rsidRDefault="00DF0AA9" w:rsidP="00DF0AA9">
            <w:pPr>
              <w:widowControl w:val="0"/>
              <w:autoSpaceDE w:val="0"/>
              <w:autoSpaceDN w:val="0"/>
              <w:adjustRightInd w:val="0"/>
              <w:jc w:val="center"/>
              <w:rPr>
                <w:rFonts w:eastAsia="DengXian"/>
                <w:sz w:val="20"/>
                <w:szCs w:val="20"/>
                <w:lang w:eastAsia="zh-CN"/>
              </w:rPr>
            </w:pPr>
          </w:p>
        </w:tc>
        <w:tc>
          <w:tcPr>
            <w:tcW w:w="588" w:type="pct"/>
          </w:tcPr>
          <w:p w14:paraId="422A817D"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73B665E3"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(0.08)</w:t>
            </w:r>
          </w:p>
        </w:tc>
        <w:tc>
          <w:tcPr>
            <w:tcW w:w="588" w:type="pct"/>
          </w:tcPr>
          <w:p w14:paraId="376F9F4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503DB976"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(0.09)</w:t>
            </w:r>
          </w:p>
        </w:tc>
        <w:tc>
          <w:tcPr>
            <w:tcW w:w="588" w:type="pct"/>
          </w:tcPr>
          <w:p w14:paraId="6B00C1D3"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1718B351"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(0.08)</w:t>
            </w:r>
          </w:p>
        </w:tc>
      </w:tr>
      <w:tr w:rsidR="00DF0AA9" w:rsidRPr="00070779" w14:paraId="7073A84D" w14:textId="77777777" w:rsidTr="00CE7D45">
        <w:trPr>
          <w:jc w:val="center"/>
        </w:trPr>
        <w:tc>
          <w:tcPr>
            <w:tcW w:w="1471" w:type="pct"/>
            <w:shd w:val="clear" w:color="auto" w:fill="auto"/>
            <w:vAlign w:val="center"/>
            <w:hideMark/>
          </w:tcPr>
          <w:p w14:paraId="0EFD7329"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Pr>
                <w:rFonts w:eastAsia="DengXian"/>
                <w:sz w:val="20"/>
                <w:szCs w:val="20"/>
                <w:lang w:eastAsia="zh-CN"/>
              </w:rPr>
              <w:t>(F</w:t>
            </w:r>
            <w:r w:rsidRPr="002B3BA8">
              <w:rPr>
                <w:rFonts w:eastAsia="DengXian"/>
                <w:sz w:val="20"/>
                <w:szCs w:val="20"/>
                <w:lang w:eastAsia="zh-CN"/>
              </w:rPr>
              <w:t>acility maturity</w:t>
            </w:r>
            <w:r>
              <w:rPr>
                <w:rFonts w:eastAsia="DengXian"/>
                <w:sz w:val="20"/>
                <w:szCs w:val="20"/>
                <w:lang w:eastAsia="zh-CN"/>
              </w:rPr>
              <w:t>)</w:t>
            </w:r>
          </w:p>
        </w:tc>
        <w:tc>
          <w:tcPr>
            <w:tcW w:w="588" w:type="pct"/>
          </w:tcPr>
          <w:p w14:paraId="2C37B1A8"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-0.007</w:t>
            </w:r>
            <w:r w:rsidRPr="00F46895">
              <w:rPr>
                <w:sz w:val="20"/>
                <w:szCs w:val="20"/>
                <w:vertAlign w:val="superscript"/>
              </w:rPr>
              <w:t>*</w:t>
            </w:r>
          </w:p>
        </w:tc>
        <w:tc>
          <w:tcPr>
            <w:tcW w:w="588" w:type="pct"/>
          </w:tcPr>
          <w:p w14:paraId="6FA731A0"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0.352</w:t>
            </w:r>
            <w:r w:rsidRPr="00F46895">
              <w:rPr>
                <w:sz w:val="20"/>
                <w:szCs w:val="20"/>
                <w:vertAlign w:val="superscript"/>
              </w:rPr>
              <w:t>***</w:t>
            </w:r>
          </w:p>
        </w:tc>
        <w:tc>
          <w:tcPr>
            <w:tcW w:w="588" w:type="pct"/>
          </w:tcPr>
          <w:p w14:paraId="7C27BEC8"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-0.007</w:t>
            </w:r>
            <w:r w:rsidRPr="00F46895">
              <w:rPr>
                <w:sz w:val="20"/>
                <w:szCs w:val="20"/>
                <w:vertAlign w:val="superscript"/>
              </w:rPr>
              <w:t>*</w:t>
            </w:r>
          </w:p>
        </w:tc>
        <w:tc>
          <w:tcPr>
            <w:tcW w:w="588" w:type="pct"/>
          </w:tcPr>
          <w:p w14:paraId="1BCF0202"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0.350</w:t>
            </w:r>
            <w:r w:rsidRPr="00F46895">
              <w:rPr>
                <w:sz w:val="20"/>
                <w:szCs w:val="20"/>
                <w:vertAlign w:val="superscript"/>
              </w:rPr>
              <w:t>***</w:t>
            </w:r>
          </w:p>
        </w:tc>
        <w:tc>
          <w:tcPr>
            <w:tcW w:w="588" w:type="pct"/>
          </w:tcPr>
          <w:p w14:paraId="6F8CCA3C"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-0.007</w:t>
            </w:r>
            <w:r w:rsidRPr="00F46895">
              <w:rPr>
                <w:sz w:val="20"/>
                <w:szCs w:val="20"/>
                <w:vertAlign w:val="superscript"/>
              </w:rPr>
              <w:t>*</w:t>
            </w:r>
          </w:p>
        </w:tc>
        <w:tc>
          <w:tcPr>
            <w:tcW w:w="588" w:type="pct"/>
          </w:tcPr>
          <w:p w14:paraId="073752E4"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0.351</w:t>
            </w:r>
            <w:r w:rsidRPr="00F46895">
              <w:rPr>
                <w:sz w:val="20"/>
                <w:szCs w:val="20"/>
                <w:vertAlign w:val="superscript"/>
              </w:rPr>
              <w:t>***</w:t>
            </w:r>
          </w:p>
        </w:tc>
      </w:tr>
      <w:tr w:rsidR="00DF0AA9" w:rsidRPr="00070779" w14:paraId="2810EDCA" w14:textId="77777777" w:rsidTr="00CE7D45">
        <w:trPr>
          <w:jc w:val="center"/>
        </w:trPr>
        <w:tc>
          <w:tcPr>
            <w:tcW w:w="1471" w:type="pct"/>
            <w:shd w:val="clear" w:color="auto" w:fill="auto"/>
            <w:vAlign w:val="center"/>
          </w:tcPr>
          <w:p w14:paraId="200C8A03" w14:textId="77777777" w:rsidR="00DF0AA9" w:rsidRPr="00070779" w:rsidRDefault="00DF0AA9" w:rsidP="00DF0AA9">
            <w:pPr>
              <w:widowControl w:val="0"/>
              <w:autoSpaceDE w:val="0"/>
              <w:autoSpaceDN w:val="0"/>
              <w:adjustRightInd w:val="0"/>
              <w:jc w:val="center"/>
              <w:rPr>
                <w:rFonts w:eastAsia="DengXian"/>
                <w:sz w:val="20"/>
                <w:szCs w:val="20"/>
                <w:lang w:eastAsia="zh-CN"/>
              </w:rPr>
            </w:pPr>
          </w:p>
        </w:tc>
        <w:tc>
          <w:tcPr>
            <w:tcW w:w="588" w:type="pct"/>
          </w:tcPr>
          <w:p w14:paraId="1C174845"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443C34DD"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(0.07)</w:t>
            </w:r>
          </w:p>
        </w:tc>
        <w:tc>
          <w:tcPr>
            <w:tcW w:w="588" w:type="pct"/>
          </w:tcPr>
          <w:p w14:paraId="54C4EC28"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21A4ADA0"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(0.08)</w:t>
            </w:r>
          </w:p>
        </w:tc>
        <w:tc>
          <w:tcPr>
            <w:tcW w:w="588" w:type="pct"/>
          </w:tcPr>
          <w:p w14:paraId="45A5869A"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7A29939D"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(0.07)</w:t>
            </w:r>
          </w:p>
        </w:tc>
      </w:tr>
      <w:tr w:rsidR="00DF0AA9" w:rsidRPr="00070779" w14:paraId="5F63FB54" w14:textId="77777777" w:rsidTr="00CE7D45">
        <w:trPr>
          <w:jc w:val="center"/>
        </w:trPr>
        <w:tc>
          <w:tcPr>
            <w:tcW w:w="1471" w:type="pct"/>
            <w:shd w:val="clear" w:color="auto" w:fill="auto"/>
            <w:vAlign w:val="center"/>
            <w:hideMark/>
          </w:tcPr>
          <w:p w14:paraId="2C7F2CAF"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2B3BA8">
              <w:rPr>
                <w:rFonts w:eastAsia="DengXian"/>
                <w:sz w:val="20"/>
                <w:szCs w:val="20"/>
                <w:lang w:eastAsia="zh-CN"/>
              </w:rPr>
              <w:t>Log</w:t>
            </w:r>
            <w:r>
              <w:rPr>
                <w:rFonts w:eastAsia="DengXian"/>
                <w:sz w:val="20"/>
                <w:szCs w:val="20"/>
                <w:lang w:eastAsia="zh-CN"/>
              </w:rPr>
              <w:t>(N</w:t>
            </w:r>
            <w:r w:rsidRPr="002B3BA8">
              <w:rPr>
                <w:rFonts w:eastAsia="DengXian"/>
                <w:sz w:val="20"/>
                <w:szCs w:val="20"/>
                <w:lang w:eastAsia="zh-CN"/>
              </w:rPr>
              <w:t>umber of banks</w:t>
            </w:r>
            <w:r>
              <w:rPr>
                <w:rFonts w:eastAsia="DengXian"/>
                <w:sz w:val="20"/>
                <w:szCs w:val="20"/>
                <w:lang w:eastAsia="zh-CN"/>
              </w:rPr>
              <w:t>)</w:t>
            </w:r>
          </w:p>
        </w:tc>
        <w:tc>
          <w:tcPr>
            <w:tcW w:w="588" w:type="pct"/>
          </w:tcPr>
          <w:p w14:paraId="25E2084C"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-0.392</w:t>
            </w:r>
            <w:r w:rsidRPr="00F46895">
              <w:rPr>
                <w:sz w:val="20"/>
                <w:szCs w:val="20"/>
                <w:vertAlign w:val="superscript"/>
              </w:rPr>
              <w:t>***</w:t>
            </w:r>
          </w:p>
        </w:tc>
        <w:tc>
          <w:tcPr>
            <w:tcW w:w="588" w:type="pct"/>
          </w:tcPr>
          <w:p w14:paraId="6B651377"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2.105</w:t>
            </w:r>
            <w:r w:rsidRPr="00F46895">
              <w:rPr>
                <w:sz w:val="20"/>
                <w:szCs w:val="20"/>
                <w:vertAlign w:val="superscript"/>
              </w:rPr>
              <w:t>***</w:t>
            </w:r>
          </w:p>
        </w:tc>
        <w:tc>
          <w:tcPr>
            <w:tcW w:w="588" w:type="pct"/>
          </w:tcPr>
          <w:p w14:paraId="1FA89D7D"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-0.392</w:t>
            </w:r>
            <w:r w:rsidRPr="00F46895">
              <w:rPr>
                <w:sz w:val="20"/>
                <w:szCs w:val="20"/>
                <w:vertAlign w:val="superscript"/>
              </w:rPr>
              <w:t>***</w:t>
            </w:r>
          </w:p>
        </w:tc>
        <w:tc>
          <w:tcPr>
            <w:tcW w:w="588" w:type="pct"/>
          </w:tcPr>
          <w:p w14:paraId="22AE958F"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2.111</w:t>
            </w:r>
            <w:r w:rsidRPr="00F46895">
              <w:rPr>
                <w:sz w:val="20"/>
                <w:szCs w:val="20"/>
                <w:vertAlign w:val="superscript"/>
              </w:rPr>
              <w:t>***</w:t>
            </w:r>
          </w:p>
        </w:tc>
        <w:tc>
          <w:tcPr>
            <w:tcW w:w="588" w:type="pct"/>
          </w:tcPr>
          <w:p w14:paraId="1EAC5DED"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-0.392</w:t>
            </w:r>
            <w:r w:rsidRPr="00F46895">
              <w:rPr>
                <w:sz w:val="20"/>
                <w:szCs w:val="20"/>
                <w:vertAlign w:val="superscript"/>
              </w:rPr>
              <w:t>***</w:t>
            </w:r>
          </w:p>
        </w:tc>
        <w:tc>
          <w:tcPr>
            <w:tcW w:w="588" w:type="pct"/>
          </w:tcPr>
          <w:p w14:paraId="559C11CE" w14:textId="77777777" w:rsidR="00DF0AA9" w:rsidRPr="00070779" w:rsidRDefault="00DF0AA9" w:rsidP="00DF0AA9">
            <w:pPr>
              <w:widowControl w:val="0"/>
              <w:autoSpaceDE w:val="0"/>
              <w:autoSpaceDN w:val="0"/>
              <w:adjustRightInd w:val="0"/>
              <w:jc w:val="center"/>
              <w:rPr>
                <w:rFonts w:eastAsia="DengXian"/>
                <w:sz w:val="20"/>
                <w:szCs w:val="20"/>
                <w:lang w:eastAsia="zh-CN"/>
              </w:rPr>
            </w:pPr>
            <w:r w:rsidRPr="00F46895">
              <w:rPr>
                <w:sz w:val="20"/>
                <w:szCs w:val="20"/>
              </w:rPr>
              <w:t>2.108</w:t>
            </w:r>
            <w:r w:rsidRPr="00F46895">
              <w:rPr>
                <w:sz w:val="20"/>
                <w:szCs w:val="20"/>
                <w:vertAlign w:val="superscript"/>
              </w:rPr>
              <w:t>***</w:t>
            </w:r>
          </w:p>
        </w:tc>
      </w:tr>
      <w:tr w:rsidR="001D5CD4" w:rsidRPr="00070779" w14:paraId="70F303B0" w14:textId="77777777" w:rsidTr="00CE7D45">
        <w:trPr>
          <w:jc w:val="center"/>
        </w:trPr>
        <w:tc>
          <w:tcPr>
            <w:tcW w:w="1471" w:type="pct"/>
            <w:shd w:val="clear" w:color="auto" w:fill="auto"/>
            <w:vAlign w:val="center"/>
          </w:tcPr>
          <w:p w14:paraId="19ADAA26"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3665251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614D6A9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(0.47)</w:t>
            </w:r>
          </w:p>
        </w:tc>
        <w:tc>
          <w:tcPr>
            <w:tcW w:w="588" w:type="pct"/>
          </w:tcPr>
          <w:p w14:paraId="71FE8D9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4D8A2A20"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(0.57)</w:t>
            </w:r>
          </w:p>
        </w:tc>
        <w:tc>
          <w:tcPr>
            <w:tcW w:w="588" w:type="pct"/>
          </w:tcPr>
          <w:p w14:paraId="487EF2D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49377E3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(0.47)</w:t>
            </w:r>
          </w:p>
        </w:tc>
      </w:tr>
      <w:tr w:rsidR="001D5CD4" w:rsidRPr="00070779" w14:paraId="548B08BA" w14:textId="77777777" w:rsidTr="00CE7D45">
        <w:trPr>
          <w:jc w:val="center"/>
        </w:trPr>
        <w:tc>
          <w:tcPr>
            <w:tcW w:w="1471" w:type="pct"/>
            <w:shd w:val="clear" w:color="auto" w:fill="auto"/>
            <w:vAlign w:val="center"/>
            <w:hideMark/>
          </w:tcPr>
          <w:p w14:paraId="35E157B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Institutional investor</w:t>
            </w:r>
          </w:p>
        </w:tc>
        <w:tc>
          <w:tcPr>
            <w:tcW w:w="588" w:type="pct"/>
          </w:tcPr>
          <w:p w14:paraId="20F007F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0.000</w:t>
            </w:r>
          </w:p>
        </w:tc>
        <w:tc>
          <w:tcPr>
            <w:tcW w:w="588" w:type="pct"/>
          </w:tcPr>
          <w:p w14:paraId="336D5BF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0.255</w:t>
            </w:r>
            <w:r w:rsidRPr="00F46895">
              <w:rPr>
                <w:sz w:val="20"/>
                <w:szCs w:val="20"/>
                <w:vertAlign w:val="superscript"/>
              </w:rPr>
              <w:t>***</w:t>
            </w:r>
          </w:p>
        </w:tc>
        <w:tc>
          <w:tcPr>
            <w:tcW w:w="588" w:type="pct"/>
          </w:tcPr>
          <w:p w14:paraId="056D6A5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0.000</w:t>
            </w:r>
          </w:p>
        </w:tc>
        <w:tc>
          <w:tcPr>
            <w:tcW w:w="588" w:type="pct"/>
          </w:tcPr>
          <w:p w14:paraId="51958F7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0.255</w:t>
            </w:r>
            <w:r w:rsidRPr="00F46895">
              <w:rPr>
                <w:sz w:val="20"/>
                <w:szCs w:val="20"/>
                <w:vertAlign w:val="superscript"/>
              </w:rPr>
              <w:t>***</w:t>
            </w:r>
          </w:p>
        </w:tc>
        <w:tc>
          <w:tcPr>
            <w:tcW w:w="588" w:type="pct"/>
          </w:tcPr>
          <w:p w14:paraId="71AE2F8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0.000</w:t>
            </w:r>
          </w:p>
        </w:tc>
        <w:tc>
          <w:tcPr>
            <w:tcW w:w="588" w:type="pct"/>
          </w:tcPr>
          <w:p w14:paraId="42626A0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0.253</w:t>
            </w:r>
            <w:r w:rsidRPr="00F46895">
              <w:rPr>
                <w:sz w:val="20"/>
                <w:szCs w:val="20"/>
                <w:vertAlign w:val="superscript"/>
              </w:rPr>
              <w:t>***</w:t>
            </w:r>
          </w:p>
        </w:tc>
      </w:tr>
      <w:tr w:rsidR="001D5CD4" w:rsidRPr="00070779" w14:paraId="7A325450" w14:textId="77777777" w:rsidTr="00CE7D45">
        <w:trPr>
          <w:jc w:val="center"/>
        </w:trPr>
        <w:tc>
          <w:tcPr>
            <w:tcW w:w="1471" w:type="pct"/>
            <w:shd w:val="clear" w:color="auto" w:fill="auto"/>
            <w:vAlign w:val="center"/>
          </w:tcPr>
          <w:p w14:paraId="74DAB483"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054C09D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5122478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(0.05)</w:t>
            </w:r>
          </w:p>
        </w:tc>
        <w:tc>
          <w:tcPr>
            <w:tcW w:w="588" w:type="pct"/>
          </w:tcPr>
          <w:p w14:paraId="2B1E2E3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3FE0456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(0.05)</w:t>
            </w:r>
          </w:p>
        </w:tc>
        <w:tc>
          <w:tcPr>
            <w:tcW w:w="588" w:type="pct"/>
          </w:tcPr>
          <w:p w14:paraId="19D3748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(0.00)</w:t>
            </w:r>
          </w:p>
        </w:tc>
        <w:tc>
          <w:tcPr>
            <w:tcW w:w="588" w:type="pct"/>
          </w:tcPr>
          <w:p w14:paraId="602B5A4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(0.05)</w:t>
            </w:r>
          </w:p>
        </w:tc>
      </w:tr>
      <w:tr w:rsidR="001D5CD4" w:rsidRPr="00070779" w14:paraId="61B2D97E" w14:textId="77777777" w:rsidTr="00CE7D45">
        <w:trPr>
          <w:jc w:val="center"/>
        </w:trPr>
        <w:tc>
          <w:tcPr>
            <w:tcW w:w="1471" w:type="pct"/>
            <w:shd w:val="clear" w:color="auto" w:fill="auto"/>
            <w:vAlign w:val="center"/>
            <w:hideMark/>
          </w:tcPr>
          <w:p w14:paraId="77D9860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Non-US dollar facility</w:t>
            </w:r>
          </w:p>
        </w:tc>
        <w:tc>
          <w:tcPr>
            <w:tcW w:w="588" w:type="pct"/>
          </w:tcPr>
          <w:p w14:paraId="6EF8D72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0.014</w:t>
            </w:r>
          </w:p>
        </w:tc>
        <w:tc>
          <w:tcPr>
            <w:tcW w:w="588" w:type="pct"/>
          </w:tcPr>
          <w:p w14:paraId="5B63983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0.393</w:t>
            </w:r>
          </w:p>
        </w:tc>
        <w:tc>
          <w:tcPr>
            <w:tcW w:w="588" w:type="pct"/>
          </w:tcPr>
          <w:p w14:paraId="16D338B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0.015</w:t>
            </w:r>
          </w:p>
        </w:tc>
        <w:tc>
          <w:tcPr>
            <w:tcW w:w="588" w:type="pct"/>
          </w:tcPr>
          <w:p w14:paraId="4034A4C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0.389</w:t>
            </w:r>
          </w:p>
        </w:tc>
        <w:tc>
          <w:tcPr>
            <w:tcW w:w="588" w:type="pct"/>
          </w:tcPr>
          <w:p w14:paraId="3EA2DC6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0.014</w:t>
            </w:r>
          </w:p>
        </w:tc>
        <w:tc>
          <w:tcPr>
            <w:tcW w:w="588" w:type="pct"/>
          </w:tcPr>
          <w:p w14:paraId="08EF5C4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0.387</w:t>
            </w:r>
          </w:p>
        </w:tc>
      </w:tr>
      <w:tr w:rsidR="001D5CD4" w:rsidRPr="00070779" w14:paraId="3B33F560" w14:textId="77777777" w:rsidTr="00CE7D45">
        <w:trPr>
          <w:jc w:val="center"/>
        </w:trPr>
        <w:tc>
          <w:tcPr>
            <w:tcW w:w="1471" w:type="pct"/>
            <w:shd w:val="clear" w:color="auto" w:fill="auto"/>
            <w:vAlign w:val="center"/>
          </w:tcPr>
          <w:p w14:paraId="254E933D"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5273442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2B0B7B5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(0.30)</w:t>
            </w:r>
          </w:p>
        </w:tc>
        <w:tc>
          <w:tcPr>
            <w:tcW w:w="588" w:type="pct"/>
          </w:tcPr>
          <w:p w14:paraId="7286ADC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33C4FBC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(0.28)</w:t>
            </w:r>
          </w:p>
        </w:tc>
        <w:tc>
          <w:tcPr>
            <w:tcW w:w="588" w:type="pct"/>
          </w:tcPr>
          <w:p w14:paraId="26FC483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(0.01)</w:t>
            </w:r>
          </w:p>
        </w:tc>
        <w:tc>
          <w:tcPr>
            <w:tcW w:w="588" w:type="pct"/>
          </w:tcPr>
          <w:p w14:paraId="376BBCB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(0.30)</w:t>
            </w:r>
          </w:p>
        </w:tc>
      </w:tr>
      <w:tr w:rsidR="001D5CD4" w:rsidRPr="00070779" w14:paraId="492BAAB9" w14:textId="77777777" w:rsidTr="00CE7D45">
        <w:trPr>
          <w:jc w:val="center"/>
        </w:trPr>
        <w:tc>
          <w:tcPr>
            <w:tcW w:w="1471" w:type="pct"/>
            <w:shd w:val="clear" w:color="auto" w:fill="auto"/>
            <w:vAlign w:val="center"/>
          </w:tcPr>
          <w:p w14:paraId="53593A7E"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Loan portfolio exposure</w:t>
            </w:r>
          </w:p>
        </w:tc>
        <w:tc>
          <w:tcPr>
            <w:tcW w:w="588" w:type="pct"/>
          </w:tcPr>
          <w:p w14:paraId="2125CCB7"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0.094</w:t>
            </w:r>
            <w:r w:rsidRPr="00F46895">
              <w:rPr>
                <w:sz w:val="20"/>
                <w:szCs w:val="20"/>
                <w:vertAlign w:val="superscript"/>
              </w:rPr>
              <w:t>***</w:t>
            </w:r>
          </w:p>
        </w:tc>
        <w:tc>
          <w:tcPr>
            <w:tcW w:w="588" w:type="pct"/>
          </w:tcPr>
          <w:p w14:paraId="422B534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0.347</w:t>
            </w:r>
          </w:p>
        </w:tc>
        <w:tc>
          <w:tcPr>
            <w:tcW w:w="588" w:type="pct"/>
          </w:tcPr>
          <w:p w14:paraId="1325EF75"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0.094</w:t>
            </w:r>
            <w:r w:rsidRPr="00F46895">
              <w:rPr>
                <w:sz w:val="20"/>
                <w:szCs w:val="20"/>
                <w:vertAlign w:val="superscript"/>
              </w:rPr>
              <w:t>***</w:t>
            </w:r>
          </w:p>
        </w:tc>
        <w:tc>
          <w:tcPr>
            <w:tcW w:w="588" w:type="pct"/>
          </w:tcPr>
          <w:p w14:paraId="3160253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0.344</w:t>
            </w:r>
          </w:p>
        </w:tc>
        <w:tc>
          <w:tcPr>
            <w:tcW w:w="588" w:type="pct"/>
          </w:tcPr>
          <w:p w14:paraId="50813E7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0.094</w:t>
            </w:r>
            <w:r w:rsidRPr="00F46895">
              <w:rPr>
                <w:sz w:val="20"/>
                <w:szCs w:val="20"/>
                <w:vertAlign w:val="superscript"/>
              </w:rPr>
              <w:t>***</w:t>
            </w:r>
          </w:p>
        </w:tc>
        <w:tc>
          <w:tcPr>
            <w:tcW w:w="588" w:type="pct"/>
          </w:tcPr>
          <w:p w14:paraId="0945787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0.344</w:t>
            </w:r>
          </w:p>
        </w:tc>
      </w:tr>
      <w:tr w:rsidR="001D5CD4" w:rsidRPr="00070779" w14:paraId="6C1D85DB" w14:textId="77777777" w:rsidTr="00CE7D45">
        <w:trPr>
          <w:jc w:val="center"/>
        </w:trPr>
        <w:tc>
          <w:tcPr>
            <w:tcW w:w="1471" w:type="pct"/>
            <w:shd w:val="clear" w:color="auto" w:fill="auto"/>
            <w:vAlign w:val="center"/>
          </w:tcPr>
          <w:p w14:paraId="2B416336" w14:textId="77777777" w:rsidR="001D5CD4" w:rsidRPr="00070779" w:rsidRDefault="001D5CD4" w:rsidP="001D5CD4">
            <w:pPr>
              <w:widowControl w:val="0"/>
              <w:autoSpaceDE w:val="0"/>
              <w:autoSpaceDN w:val="0"/>
              <w:adjustRightInd w:val="0"/>
              <w:jc w:val="center"/>
              <w:rPr>
                <w:rFonts w:eastAsia="DengXian"/>
                <w:sz w:val="20"/>
                <w:szCs w:val="20"/>
                <w:lang w:eastAsia="zh-CN"/>
              </w:rPr>
            </w:pPr>
          </w:p>
        </w:tc>
        <w:tc>
          <w:tcPr>
            <w:tcW w:w="588" w:type="pct"/>
          </w:tcPr>
          <w:p w14:paraId="0687C69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(0.03)</w:t>
            </w:r>
          </w:p>
        </w:tc>
        <w:tc>
          <w:tcPr>
            <w:tcW w:w="588" w:type="pct"/>
          </w:tcPr>
          <w:p w14:paraId="21DA5CA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(0.37)</w:t>
            </w:r>
          </w:p>
        </w:tc>
        <w:tc>
          <w:tcPr>
            <w:tcW w:w="588" w:type="pct"/>
          </w:tcPr>
          <w:p w14:paraId="51207B2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(0.03)</w:t>
            </w:r>
          </w:p>
        </w:tc>
        <w:tc>
          <w:tcPr>
            <w:tcW w:w="588" w:type="pct"/>
          </w:tcPr>
          <w:p w14:paraId="6621923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(0.26)</w:t>
            </w:r>
          </w:p>
        </w:tc>
        <w:tc>
          <w:tcPr>
            <w:tcW w:w="588" w:type="pct"/>
          </w:tcPr>
          <w:p w14:paraId="30F3E66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(0.03)</w:t>
            </w:r>
          </w:p>
        </w:tc>
        <w:tc>
          <w:tcPr>
            <w:tcW w:w="588" w:type="pct"/>
          </w:tcPr>
          <w:p w14:paraId="17DBF39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(0.37)</w:t>
            </w:r>
          </w:p>
        </w:tc>
      </w:tr>
      <w:tr w:rsidR="001D5CD4" w:rsidRPr="00070779" w14:paraId="3A76D016" w14:textId="77777777" w:rsidTr="00CE7D45">
        <w:trPr>
          <w:jc w:val="center"/>
        </w:trPr>
        <w:tc>
          <w:tcPr>
            <w:tcW w:w="1471" w:type="pct"/>
            <w:vAlign w:val="center"/>
          </w:tcPr>
          <w:p w14:paraId="43A508C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Bank FE</w:t>
            </w:r>
          </w:p>
        </w:tc>
        <w:tc>
          <w:tcPr>
            <w:tcW w:w="588" w:type="pct"/>
            <w:tcBorders>
              <w:top w:val="single" w:sz="4" w:space="0" w:color="auto"/>
            </w:tcBorders>
            <w:vAlign w:val="center"/>
          </w:tcPr>
          <w:p w14:paraId="2D4DF16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223246E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7DD78B0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50FE37DB"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43B1A6FF"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116067B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1D5CD4" w:rsidRPr="00070779" w14:paraId="7A0467A0" w14:textId="77777777" w:rsidTr="00CE7D45">
        <w:trPr>
          <w:jc w:val="center"/>
        </w:trPr>
        <w:tc>
          <w:tcPr>
            <w:tcW w:w="1471" w:type="pct"/>
            <w:vAlign w:val="center"/>
          </w:tcPr>
          <w:p w14:paraId="7B19AD3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Borrower sector FE</w:t>
            </w:r>
          </w:p>
        </w:tc>
        <w:tc>
          <w:tcPr>
            <w:tcW w:w="588" w:type="pct"/>
            <w:vAlign w:val="center"/>
          </w:tcPr>
          <w:p w14:paraId="2316ECE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418C00C3"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33060950"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09A01F0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5ED3F92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050A5FA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1D5CD4" w:rsidRPr="00070779" w14:paraId="6F4B786B" w14:textId="77777777" w:rsidTr="00CE7D45">
        <w:trPr>
          <w:jc w:val="center"/>
        </w:trPr>
        <w:tc>
          <w:tcPr>
            <w:tcW w:w="1471" w:type="pct"/>
            <w:vAlign w:val="center"/>
          </w:tcPr>
          <w:p w14:paraId="16085CC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Year FE</w:t>
            </w:r>
          </w:p>
        </w:tc>
        <w:tc>
          <w:tcPr>
            <w:tcW w:w="588" w:type="pct"/>
            <w:vAlign w:val="center"/>
          </w:tcPr>
          <w:p w14:paraId="59DC680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778ED829"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3E07890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42203C7D"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69BD5FAC"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210C48A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1D5CD4" w:rsidRPr="00070779" w14:paraId="407E611D" w14:textId="77777777" w:rsidTr="00CE7D45">
        <w:trPr>
          <w:jc w:val="center"/>
        </w:trPr>
        <w:tc>
          <w:tcPr>
            <w:tcW w:w="1471" w:type="pct"/>
            <w:vAlign w:val="center"/>
            <w:hideMark/>
          </w:tcPr>
          <w:p w14:paraId="3D578D98"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Adjusted R2</w:t>
            </w:r>
          </w:p>
        </w:tc>
        <w:tc>
          <w:tcPr>
            <w:tcW w:w="588" w:type="pct"/>
            <w:hideMark/>
          </w:tcPr>
          <w:p w14:paraId="62DFC94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0.756</w:t>
            </w:r>
          </w:p>
        </w:tc>
        <w:tc>
          <w:tcPr>
            <w:tcW w:w="588" w:type="pct"/>
          </w:tcPr>
          <w:p w14:paraId="3E396017" w14:textId="77777777" w:rsidR="001D5CD4" w:rsidRPr="00070779" w:rsidRDefault="001D5CD4" w:rsidP="001D5CD4">
            <w:pPr>
              <w:widowControl w:val="0"/>
              <w:autoSpaceDE w:val="0"/>
              <w:autoSpaceDN w:val="0"/>
              <w:adjustRightInd w:val="0"/>
              <w:jc w:val="center"/>
              <w:rPr>
                <w:rFonts w:eastAsia="DengXian"/>
                <w:sz w:val="20"/>
                <w:szCs w:val="20"/>
                <w:lang w:eastAsia="zh-CN"/>
              </w:rPr>
            </w:pPr>
            <w:r>
              <w:rPr>
                <w:rFonts w:eastAsia="DengXian"/>
                <w:sz w:val="20"/>
                <w:szCs w:val="20"/>
                <w:lang w:eastAsia="zh-CN"/>
              </w:rPr>
              <w:t>0.390</w:t>
            </w:r>
          </w:p>
        </w:tc>
        <w:tc>
          <w:tcPr>
            <w:tcW w:w="588" w:type="pct"/>
          </w:tcPr>
          <w:p w14:paraId="3A282E25"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0.756</w:t>
            </w:r>
          </w:p>
        </w:tc>
        <w:tc>
          <w:tcPr>
            <w:tcW w:w="588" w:type="pct"/>
          </w:tcPr>
          <w:p w14:paraId="327F0879" w14:textId="77777777" w:rsidR="001D5CD4" w:rsidRPr="00070779" w:rsidRDefault="001D5CD4" w:rsidP="001D5CD4">
            <w:pPr>
              <w:widowControl w:val="0"/>
              <w:autoSpaceDE w:val="0"/>
              <w:autoSpaceDN w:val="0"/>
              <w:adjustRightInd w:val="0"/>
              <w:jc w:val="center"/>
              <w:rPr>
                <w:rFonts w:eastAsia="DengXian"/>
                <w:sz w:val="20"/>
                <w:szCs w:val="20"/>
                <w:lang w:eastAsia="zh-CN"/>
              </w:rPr>
            </w:pPr>
            <w:r>
              <w:rPr>
                <w:rFonts w:eastAsia="DengXian"/>
                <w:sz w:val="20"/>
                <w:szCs w:val="20"/>
                <w:lang w:eastAsia="zh-CN"/>
              </w:rPr>
              <w:t>0.390</w:t>
            </w:r>
          </w:p>
        </w:tc>
        <w:tc>
          <w:tcPr>
            <w:tcW w:w="588" w:type="pct"/>
            <w:hideMark/>
          </w:tcPr>
          <w:p w14:paraId="4E74EB4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0.756</w:t>
            </w:r>
          </w:p>
        </w:tc>
        <w:tc>
          <w:tcPr>
            <w:tcW w:w="588" w:type="pct"/>
          </w:tcPr>
          <w:p w14:paraId="76734DD8" w14:textId="77777777" w:rsidR="001D5CD4" w:rsidRPr="00070779" w:rsidRDefault="001D5CD4" w:rsidP="001D5CD4">
            <w:pPr>
              <w:widowControl w:val="0"/>
              <w:autoSpaceDE w:val="0"/>
              <w:autoSpaceDN w:val="0"/>
              <w:adjustRightInd w:val="0"/>
              <w:jc w:val="center"/>
              <w:rPr>
                <w:rFonts w:eastAsia="DengXian"/>
                <w:sz w:val="20"/>
                <w:szCs w:val="20"/>
                <w:lang w:eastAsia="zh-CN"/>
              </w:rPr>
            </w:pPr>
            <w:r>
              <w:rPr>
                <w:rFonts w:eastAsia="DengXian"/>
                <w:sz w:val="20"/>
                <w:szCs w:val="20"/>
                <w:lang w:eastAsia="zh-CN"/>
              </w:rPr>
              <w:t>0.390</w:t>
            </w:r>
          </w:p>
        </w:tc>
      </w:tr>
      <w:tr w:rsidR="001D5CD4" w:rsidRPr="00070779" w14:paraId="2F0DCF0C" w14:textId="77777777" w:rsidTr="00CE7D45">
        <w:trPr>
          <w:jc w:val="center"/>
        </w:trPr>
        <w:tc>
          <w:tcPr>
            <w:tcW w:w="1471" w:type="pct"/>
            <w:tcBorders>
              <w:bottom w:val="single" w:sz="4" w:space="0" w:color="auto"/>
            </w:tcBorders>
            <w:vAlign w:val="center"/>
            <w:hideMark/>
          </w:tcPr>
          <w:p w14:paraId="4B6062F0" w14:textId="77777777" w:rsidR="001D5CD4" w:rsidRPr="00070779" w:rsidRDefault="001D5CD4" w:rsidP="001D5CD4">
            <w:pPr>
              <w:widowControl w:val="0"/>
              <w:autoSpaceDE w:val="0"/>
              <w:autoSpaceDN w:val="0"/>
              <w:adjustRightInd w:val="0"/>
              <w:jc w:val="center"/>
              <w:rPr>
                <w:rFonts w:eastAsia="DengXian"/>
                <w:sz w:val="20"/>
                <w:szCs w:val="20"/>
                <w:lang w:eastAsia="zh-CN"/>
              </w:rPr>
            </w:pPr>
            <w:r>
              <w:rPr>
                <w:rFonts w:eastAsia="DengXian"/>
                <w:sz w:val="20"/>
                <w:szCs w:val="20"/>
                <w:lang w:eastAsia="zh-CN"/>
              </w:rPr>
              <w:t>Obs.</w:t>
            </w:r>
          </w:p>
        </w:tc>
        <w:tc>
          <w:tcPr>
            <w:tcW w:w="588" w:type="pct"/>
            <w:tcBorders>
              <w:bottom w:val="single" w:sz="4" w:space="0" w:color="auto"/>
            </w:tcBorders>
            <w:hideMark/>
          </w:tcPr>
          <w:p w14:paraId="4BC05D04"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9307.000</w:t>
            </w:r>
          </w:p>
        </w:tc>
        <w:tc>
          <w:tcPr>
            <w:tcW w:w="588" w:type="pct"/>
            <w:tcBorders>
              <w:bottom w:val="single" w:sz="4" w:space="0" w:color="auto"/>
            </w:tcBorders>
            <w:hideMark/>
          </w:tcPr>
          <w:p w14:paraId="2DBD3566"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9307.000</w:t>
            </w:r>
          </w:p>
        </w:tc>
        <w:tc>
          <w:tcPr>
            <w:tcW w:w="588" w:type="pct"/>
            <w:tcBorders>
              <w:bottom w:val="single" w:sz="4" w:space="0" w:color="auto"/>
            </w:tcBorders>
          </w:tcPr>
          <w:p w14:paraId="4EB666D1"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9307.000</w:t>
            </w:r>
          </w:p>
        </w:tc>
        <w:tc>
          <w:tcPr>
            <w:tcW w:w="588" w:type="pct"/>
            <w:tcBorders>
              <w:bottom w:val="single" w:sz="4" w:space="0" w:color="auto"/>
            </w:tcBorders>
          </w:tcPr>
          <w:p w14:paraId="469334D2"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9307.000</w:t>
            </w:r>
          </w:p>
        </w:tc>
        <w:tc>
          <w:tcPr>
            <w:tcW w:w="588" w:type="pct"/>
            <w:tcBorders>
              <w:bottom w:val="single" w:sz="4" w:space="0" w:color="auto"/>
            </w:tcBorders>
            <w:hideMark/>
          </w:tcPr>
          <w:p w14:paraId="185E2E6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9307.000</w:t>
            </w:r>
          </w:p>
        </w:tc>
        <w:tc>
          <w:tcPr>
            <w:tcW w:w="588" w:type="pct"/>
            <w:tcBorders>
              <w:bottom w:val="single" w:sz="4" w:space="0" w:color="auto"/>
            </w:tcBorders>
            <w:hideMark/>
          </w:tcPr>
          <w:p w14:paraId="70274EFA" w14:textId="77777777" w:rsidR="001D5CD4" w:rsidRPr="00070779" w:rsidRDefault="001D5CD4" w:rsidP="001D5CD4">
            <w:pPr>
              <w:widowControl w:val="0"/>
              <w:autoSpaceDE w:val="0"/>
              <w:autoSpaceDN w:val="0"/>
              <w:adjustRightInd w:val="0"/>
              <w:jc w:val="center"/>
              <w:rPr>
                <w:rFonts w:eastAsia="DengXian"/>
                <w:sz w:val="20"/>
                <w:szCs w:val="20"/>
                <w:lang w:eastAsia="zh-CN"/>
              </w:rPr>
            </w:pPr>
            <w:r w:rsidRPr="00F46895">
              <w:rPr>
                <w:sz w:val="20"/>
                <w:szCs w:val="20"/>
              </w:rPr>
              <w:t>9307.000</w:t>
            </w:r>
          </w:p>
        </w:tc>
      </w:tr>
    </w:tbl>
    <w:p w14:paraId="3FCCCD83" w14:textId="77777777" w:rsidR="008E0AEB" w:rsidRPr="00070779" w:rsidRDefault="008E0AEB" w:rsidP="008E0AEB">
      <w:pPr>
        <w:widowControl w:val="0"/>
        <w:autoSpaceDE w:val="0"/>
        <w:autoSpaceDN w:val="0"/>
        <w:adjustRightInd w:val="0"/>
        <w:jc w:val="center"/>
        <w:rPr>
          <w:b/>
          <w:szCs w:val="20"/>
        </w:rPr>
      </w:pPr>
    </w:p>
    <w:p w14:paraId="2EF4DF60" w14:textId="77777777" w:rsidR="008E0AEB" w:rsidRPr="00070779" w:rsidRDefault="008E0AEB" w:rsidP="008E0AEB">
      <w:pPr>
        <w:widowControl w:val="0"/>
        <w:autoSpaceDE w:val="0"/>
        <w:autoSpaceDN w:val="0"/>
        <w:adjustRightInd w:val="0"/>
        <w:jc w:val="center"/>
        <w:rPr>
          <w:b/>
          <w:szCs w:val="20"/>
        </w:rPr>
      </w:pPr>
    </w:p>
    <w:p w14:paraId="032A35FA" w14:textId="77777777" w:rsidR="008E0AEB" w:rsidRPr="002E256B" w:rsidRDefault="008E0AEB" w:rsidP="008E0AEB">
      <w:pPr>
        <w:widowControl w:val="0"/>
        <w:autoSpaceDE w:val="0"/>
        <w:autoSpaceDN w:val="0"/>
        <w:adjustRightInd w:val="0"/>
        <w:jc w:val="center"/>
        <w:rPr>
          <w:rFonts w:eastAsia="DengXian"/>
          <w:b/>
          <w:szCs w:val="20"/>
          <w:lang w:eastAsia="zh-CN"/>
        </w:rPr>
      </w:pPr>
    </w:p>
    <w:p w14:paraId="056571F8" w14:textId="77777777" w:rsidR="008E0AEB" w:rsidRPr="00070779" w:rsidRDefault="008E0AEB" w:rsidP="008E0AEB">
      <w:pPr>
        <w:widowControl w:val="0"/>
        <w:autoSpaceDE w:val="0"/>
        <w:autoSpaceDN w:val="0"/>
        <w:adjustRightInd w:val="0"/>
        <w:jc w:val="center"/>
        <w:rPr>
          <w:b/>
          <w:szCs w:val="20"/>
        </w:rPr>
      </w:pPr>
    </w:p>
    <w:p w14:paraId="1FD1E8C7" w14:textId="77777777" w:rsidR="008E0AEB" w:rsidRPr="00070779" w:rsidRDefault="008E0AEB" w:rsidP="008E0AEB">
      <w:pPr>
        <w:widowControl w:val="0"/>
        <w:autoSpaceDE w:val="0"/>
        <w:autoSpaceDN w:val="0"/>
        <w:adjustRightInd w:val="0"/>
        <w:jc w:val="center"/>
        <w:rPr>
          <w:b/>
          <w:szCs w:val="20"/>
        </w:rPr>
      </w:pPr>
    </w:p>
    <w:p w14:paraId="52DBCECF" w14:textId="77777777" w:rsidR="008E0AEB" w:rsidRPr="00070779" w:rsidRDefault="008E0AEB" w:rsidP="008E0AEB">
      <w:pPr>
        <w:widowControl w:val="0"/>
        <w:autoSpaceDE w:val="0"/>
        <w:autoSpaceDN w:val="0"/>
        <w:adjustRightInd w:val="0"/>
        <w:jc w:val="center"/>
        <w:rPr>
          <w:b/>
          <w:szCs w:val="20"/>
        </w:rPr>
      </w:pPr>
    </w:p>
    <w:p w14:paraId="5599B274" w14:textId="77777777" w:rsidR="008E0AEB" w:rsidRPr="00070779" w:rsidRDefault="008E0AEB" w:rsidP="008E0AEB">
      <w:pPr>
        <w:widowControl w:val="0"/>
        <w:autoSpaceDE w:val="0"/>
        <w:autoSpaceDN w:val="0"/>
        <w:adjustRightInd w:val="0"/>
        <w:jc w:val="center"/>
        <w:rPr>
          <w:b/>
          <w:szCs w:val="20"/>
        </w:rPr>
      </w:pPr>
    </w:p>
    <w:p w14:paraId="045FE6CF" w14:textId="77777777" w:rsidR="008E0AEB" w:rsidRPr="00070779" w:rsidRDefault="008E0AEB" w:rsidP="008E0AEB">
      <w:pPr>
        <w:widowControl w:val="0"/>
        <w:autoSpaceDE w:val="0"/>
        <w:autoSpaceDN w:val="0"/>
        <w:adjustRightInd w:val="0"/>
        <w:jc w:val="center"/>
        <w:rPr>
          <w:b/>
          <w:szCs w:val="20"/>
        </w:rPr>
      </w:pPr>
    </w:p>
    <w:p w14:paraId="6E263E6E" w14:textId="77777777" w:rsidR="008E0AEB" w:rsidRPr="00070779" w:rsidRDefault="008E0AEB" w:rsidP="008E0AEB">
      <w:pPr>
        <w:widowControl w:val="0"/>
        <w:autoSpaceDE w:val="0"/>
        <w:autoSpaceDN w:val="0"/>
        <w:adjustRightInd w:val="0"/>
        <w:jc w:val="center"/>
        <w:rPr>
          <w:b/>
          <w:szCs w:val="20"/>
        </w:rPr>
      </w:pPr>
    </w:p>
    <w:p w14:paraId="4C35FABF" w14:textId="77777777" w:rsidR="008E0AEB" w:rsidRPr="00070779" w:rsidRDefault="008E0AEB" w:rsidP="008E0AEB">
      <w:pPr>
        <w:widowControl w:val="0"/>
        <w:autoSpaceDE w:val="0"/>
        <w:autoSpaceDN w:val="0"/>
        <w:adjustRightInd w:val="0"/>
        <w:jc w:val="center"/>
        <w:rPr>
          <w:b/>
          <w:szCs w:val="20"/>
        </w:rPr>
      </w:pPr>
    </w:p>
    <w:p w14:paraId="4DE143BB" w14:textId="77777777" w:rsidR="008E0AEB" w:rsidRPr="00070779" w:rsidRDefault="008E0AEB" w:rsidP="008E0AEB">
      <w:pPr>
        <w:widowControl w:val="0"/>
        <w:autoSpaceDE w:val="0"/>
        <w:autoSpaceDN w:val="0"/>
        <w:adjustRightInd w:val="0"/>
        <w:jc w:val="center"/>
        <w:rPr>
          <w:b/>
          <w:szCs w:val="20"/>
        </w:rPr>
      </w:pPr>
    </w:p>
    <w:p w14:paraId="55F04EAC" w14:textId="77777777" w:rsidR="008E0AEB" w:rsidRPr="00070779" w:rsidRDefault="008E0AEB" w:rsidP="008E0AEB">
      <w:pPr>
        <w:widowControl w:val="0"/>
        <w:autoSpaceDE w:val="0"/>
        <w:autoSpaceDN w:val="0"/>
        <w:adjustRightInd w:val="0"/>
        <w:jc w:val="center"/>
        <w:rPr>
          <w:b/>
          <w:szCs w:val="20"/>
          <w:lang w:val="en-GB"/>
        </w:rPr>
      </w:pPr>
    </w:p>
    <w:p w14:paraId="7F071258" w14:textId="77777777" w:rsidR="008E0AEB" w:rsidRPr="00070779" w:rsidRDefault="008E0AEB" w:rsidP="008E0AEB">
      <w:pPr>
        <w:widowControl w:val="0"/>
        <w:autoSpaceDE w:val="0"/>
        <w:autoSpaceDN w:val="0"/>
        <w:adjustRightInd w:val="0"/>
        <w:jc w:val="center"/>
        <w:rPr>
          <w:b/>
          <w:szCs w:val="20"/>
        </w:rPr>
      </w:pPr>
    </w:p>
    <w:p w14:paraId="4D57AF75" w14:textId="77777777" w:rsidR="003545EA" w:rsidRPr="00070779" w:rsidRDefault="003545EA" w:rsidP="008E0AEB">
      <w:pPr>
        <w:widowControl w:val="0"/>
        <w:autoSpaceDE w:val="0"/>
        <w:autoSpaceDN w:val="0"/>
        <w:adjustRightInd w:val="0"/>
        <w:jc w:val="center"/>
        <w:rPr>
          <w:b/>
          <w:szCs w:val="20"/>
        </w:rPr>
      </w:pPr>
    </w:p>
    <w:p w14:paraId="37F2EE27" w14:textId="77777777" w:rsidR="008E0AEB" w:rsidRPr="00070779" w:rsidRDefault="008E0AEB" w:rsidP="008E0AEB">
      <w:pPr>
        <w:widowControl w:val="0"/>
        <w:autoSpaceDE w:val="0"/>
        <w:autoSpaceDN w:val="0"/>
        <w:adjustRightInd w:val="0"/>
        <w:jc w:val="center"/>
        <w:rPr>
          <w:b/>
          <w:szCs w:val="20"/>
        </w:rPr>
      </w:pPr>
    </w:p>
    <w:p w14:paraId="7DA70F0D" w14:textId="77777777" w:rsidR="008E0AEB" w:rsidRDefault="008E0AEB" w:rsidP="008E0AEB">
      <w:pPr>
        <w:widowControl w:val="0"/>
        <w:autoSpaceDE w:val="0"/>
        <w:autoSpaceDN w:val="0"/>
        <w:adjustRightInd w:val="0"/>
        <w:jc w:val="center"/>
        <w:rPr>
          <w:b/>
          <w:szCs w:val="20"/>
        </w:rPr>
      </w:pPr>
    </w:p>
    <w:p w14:paraId="0CF97178" w14:textId="77777777" w:rsidR="00492AA4" w:rsidRDefault="00492AA4" w:rsidP="008E0AEB">
      <w:pPr>
        <w:widowControl w:val="0"/>
        <w:autoSpaceDE w:val="0"/>
        <w:autoSpaceDN w:val="0"/>
        <w:adjustRightInd w:val="0"/>
        <w:jc w:val="center"/>
        <w:rPr>
          <w:b/>
          <w:szCs w:val="20"/>
        </w:rPr>
      </w:pPr>
    </w:p>
    <w:p w14:paraId="5882B2ED" w14:textId="77777777" w:rsidR="00533632" w:rsidRDefault="00533632" w:rsidP="008E0AEB">
      <w:pPr>
        <w:widowControl w:val="0"/>
        <w:autoSpaceDE w:val="0"/>
        <w:autoSpaceDN w:val="0"/>
        <w:adjustRightInd w:val="0"/>
        <w:jc w:val="center"/>
        <w:rPr>
          <w:b/>
          <w:szCs w:val="20"/>
        </w:rPr>
      </w:pPr>
    </w:p>
    <w:p w14:paraId="29171FFE" w14:textId="77777777" w:rsidR="00533632" w:rsidRDefault="00533632" w:rsidP="008E0AEB">
      <w:pPr>
        <w:widowControl w:val="0"/>
        <w:autoSpaceDE w:val="0"/>
        <w:autoSpaceDN w:val="0"/>
        <w:adjustRightInd w:val="0"/>
        <w:jc w:val="center"/>
        <w:rPr>
          <w:b/>
          <w:szCs w:val="20"/>
        </w:rPr>
      </w:pPr>
    </w:p>
    <w:p w14:paraId="77330A58" w14:textId="77777777" w:rsidR="00533632" w:rsidRDefault="00533632" w:rsidP="008E0AEB">
      <w:pPr>
        <w:widowControl w:val="0"/>
        <w:autoSpaceDE w:val="0"/>
        <w:autoSpaceDN w:val="0"/>
        <w:adjustRightInd w:val="0"/>
        <w:jc w:val="center"/>
        <w:rPr>
          <w:b/>
          <w:szCs w:val="20"/>
        </w:rPr>
      </w:pPr>
    </w:p>
    <w:p w14:paraId="7C20BF36" w14:textId="77777777" w:rsidR="00533632" w:rsidRDefault="00533632" w:rsidP="008E0AEB">
      <w:pPr>
        <w:widowControl w:val="0"/>
        <w:autoSpaceDE w:val="0"/>
        <w:autoSpaceDN w:val="0"/>
        <w:adjustRightInd w:val="0"/>
        <w:jc w:val="center"/>
        <w:rPr>
          <w:b/>
          <w:szCs w:val="20"/>
        </w:rPr>
      </w:pPr>
    </w:p>
    <w:p w14:paraId="0F547487" w14:textId="77777777" w:rsidR="00533632" w:rsidRDefault="00533632" w:rsidP="008E0AEB">
      <w:pPr>
        <w:widowControl w:val="0"/>
        <w:autoSpaceDE w:val="0"/>
        <w:autoSpaceDN w:val="0"/>
        <w:adjustRightInd w:val="0"/>
        <w:jc w:val="center"/>
        <w:rPr>
          <w:b/>
          <w:szCs w:val="20"/>
        </w:rPr>
      </w:pPr>
    </w:p>
    <w:p w14:paraId="360726E6" w14:textId="77777777" w:rsidR="00533632" w:rsidRDefault="00533632" w:rsidP="008E0AEB">
      <w:pPr>
        <w:widowControl w:val="0"/>
        <w:autoSpaceDE w:val="0"/>
        <w:autoSpaceDN w:val="0"/>
        <w:adjustRightInd w:val="0"/>
        <w:jc w:val="center"/>
        <w:rPr>
          <w:b/>
          <w:szCs w:val="20"/>
        </w:rPr>
      </w:pPr>
    </w:p>
    <w:p w14:paraId="4B6C26D0" w14:textId="77777777" w:rsidR="00533632" w:rsidRDefault="00533632" w:rsidP="008E0AEB">
      <w:pPr>
        <w:widowControl w:val="0"/>
        <w:autoSpaceDE w:val="0"/>
        <w:autoSpaceDN w:val="0"/>
        <w:adjustRightInd w:val="0"/>
        <w:jc w:val="center"/>
        <w:rPr>
          <w:b/>
          <w:szCs w:val="20"/>
        </w:rPr>
      </w:pPr>
    </w:p>
    <w:p w14:paraId="0F19CA90" w14:textId="77777777" w:rsidR="00533632" w:rsidRDefault="00533632" w:rsidP="008E0AEB">
      <w:pPr>
        <w:widowControl w:val="0"/>
        <w:autoSpaceDE w:val="0"/>
        <w:autoSpaceDN w:val="0"/>
        <w:adjustRightInd w:val="0"/>
        <w:jc w:val="center"/>
        <w:rPr>
          <w:b/>
          <w:szCs w:val="20"/>
        </w:rPr>
      </w:pPr>
    </w:p>
    <w:p w14:paraId="6B7CB759" w14:textId="77777777" w:rsidR="00533632" w:rsidRDefault="00533632" w:rsidP="008E0AEB">
      <w:pPr>
        <w:widowControl w:val="0"/>
        <w:autoSpaceDE w:val="0"/>
        <w:autoSpaceDN w:val="0"/>
        <w:adjustRightInd w:val="0"/>
        <w:jc w:val="center"/>
        <w:rPr>
          <w:b/>
          <w:szCs w:val="20"/>
        </w:rPr>
      </w:pPr>
    </w:p>
    <w:p w14:paraId="2A92C4A6" w14:textId="77777777" w:rsidR="00533632" w:rsidRDefault="00533632" w:rsidP="008E0AEB">
      <w:pPr>
        <w:widowControl w:val="0"/>
        <w:autoSpaceDE w:val="0"/>
        <w:autoSpaceDN w:val="0"/>
        <w:adjustRightInd w:val="0"/>
        <w:jc w:val="center"/>
        <w:rPr>
          <w:b/>
          <w:szCs w:val="20"/>
        </w:rPr>
      </w:pPr>
    </w:p>
    <w:p w14:paraId="5B8EDCC2" w14:textId="77777777" w:rsidR="00533632" w:rsidRDefault="00533632" w:rsidP="008E0AEB">
      <w:pPr>
        <w:widowControl w:val="0"/>
        <w:autoSpaceDE w:val="0"/>
        <w:autoSpaceDN w:val="0"/>
        <w:adjustRightInd w:val="0"/>
        <w:jc w:val="center"/>
        <w:rPr>
          <w:b/>
          <w:szCs w:val="20"/>
        </w:rPr>
      </w:pPr>
    </w:p>
    <w:p w14:paraId="12B7F11F" w14:textId="77777777" w:rsidR="00533632" w:rsidRDefault="00533632" w:rsidP="008E0AEB">
      <w:pPr>
        <w:widowControl w:val="0"/>
        <w:autoSpaceDE w:val="0"/>
        <w:autoSpaceDN w:val="0"/>
        <w:adjustRightInd w:val="0"/>
        <w:jc w:val="center"/>
        <w:rPr>
          <w:b/>
          <w:szCs w:val="20"/>
        </w:rPr>
      </w:pPr>
    </w:p>
    <w:p w14:paraId="35A9E24B" w14:textId="77777777" w:rsidR="00533632" w:rsidRDefault="00533632" w:rsidP="008E0AEB">
      <w:pPr>
        <w:widowControl w:val="0"/>
        <w:autoSpaceDE w:val="0"/>
        <w:autoSpaceDN w:val="0"/>
        <w:adjustRightInd w:val="0"/>
        <w:jc w:val="center"/>
        <w:rPr>
          <w:b/>
          <w:szCs w:val="20"/>
        </w:rPr>
      </w:pPr>
    </w:p>
    <w:p w14:paraId="515B1B48" w14:textId="77777777" w:rsidR="00533632" w:rsidRDefault="00533632" w:rsidP="008E0AEB">
      <w:pPr>
        <w:widowControl w:val="0"/>
        <w:autoSpaceDE w:val="0"/>
        <w:autoSpaceDN w:val="0"/>
        <w:adjustRightInd w:val="0"/>
        <w:jc w:val="center"/>
        <w:rPr>
          <w:b/>
          <w:szCs w:val="20"/>
        </w:rPr>
      </w:pPr>
    </w:p>
    <w:p w14:paraId="2F32704D" w14:textId="77777777" w:rsidR="00533632" w:rsidRDefault="00533632" w:rsidP="008E0AEB">
      <w:pPr>
        <w:widowControl w:val="0"/>
        <w:autoSpaceDE w:val="0"/>
        <w:autoSpaceDN w:val="0"/>
        <w:adjustRightInd w:val="0"/>
        <w:jc w:val="center"/>
        <w:rPr>
          <w:b/>
          <w:szCs w:val="20"/>
        </w:rPr>
      </w:pPr>
    </w:p>
    <w:p w14:paraId="3D0AF6F7" w14:textId="77777777" w:rsidR="00533632" w:rsidRDefault="00533632" w:rsidP="008E0AEB">
      <w:pPr>
        <w:widowControl w:val="0"/>
        <w:autoSpaceDE w:val="0"/>
        <w:autoSpaceDN w:val="0"/>
        <w:adjustRightInd w:val="0"/>
        <w:jc w:val="center"/>
        <w:rPr>
          <w:b/>
          <w:szCs w:val="20"/>
        </w:rPr>
      </w:pPr>
    </w:p>
    <w:p w14:paraId="68B13606" w14:textId="77777777" w:rsidR="00533632" w:rsidRDefault="00533632" w:rsidP="008E0AEB">
      <w:pPr>
        <w:widowControl w:val="0"/>
        <w:autoSpaceDE w:val="0"/>
        <w:autoSpaceDN w:val="0"/>
        <w:adjustRightInd w:val="0"/>
        <w:jc w:val="center"/>
        <w:rPr>
          <w:b/>
          <w:szCs w:val="20"/>
        </w:rPr>
      </w:pPr>
    </w:p>
    <w:p w14:paraId="71726B47" w14:textId="77777777" w:rsidR="00533632" w:rsidRDefault="00533632" w:rsidP="008E0AEB">
      <w:pPr>
        <w:widowControl w:val="0"/>
        <w:autoSpaceDE w:val="0"/>
        <w:autoSpaceDN w:val="0"/>
        <w:adjustRightInd w:val="0"/>
        <w:jc w:val="center"/>
        <w:rPr>
          <w:b/>
          <w:szCs w:val="20"/>
        </w:rPr>
      </w:pPr>
    </w:p>
    <w:p w14:paraId="4D8A8099" w14:textId="77777777" w:rsidR="00533632" w:rsidRDefault="00533632" w:rsidP="008E0AEB">
      <w:pPr>
        <w:widowControl w:val="0"/>
        <w:autoSpaceDE w:val="0"/>
        <w:autoSpaceDN w:val="0"/>
        <w:adjustRightInd w:val="0"/>
        <w:jc w:val="center"/>
        <w:rPr>
          <w:b/>
          <w:szCs w:val="20"/>
        </w:rPr>
      </w:pPr>
    </w:p>
    <w:p w14:paraId="55744685" w14:textId="77777777" w:rsidR="00533632" w:rsidRDefault="00533632" w:rsidP="008E0AEB">
      <w:pPr>
        <w:widowControl w:val="0"/>
        <w:autoSpaceDE w:val="0"/>
        <w:autoSpaceDN w:val="0"/>
        <w:adjustRightInd w:val="0"/>
        <w:jc w:val="center"/>
        <w:rPr>
          <w:b/>
          <w:szCs w:val="20"/>
        </w:rPr>
      </w:pPr>
    </w:p>
    <w:p w14:paraId="68C24D75" w14:textId="77777777" w:rsidR="00533632" w:rsidRDefault="00533632" w:rsidP="008E0AEB">
      <w:pPr>
        <w:widowControl w:val="0"/>
        <w:autoSpaceDE w:val="0"/>
        <w:autoSpaceDN w:val="0"/>
        <w:adjustRightInd w:val="0"/>
        <w:jc w:val="center"/>
        <w:rPr>
          <w:b/>
          <w:szCs w:val="20"/>
        </w:rPr>
      </w:pPr>
    </w:p>
    <w:p w14:paraId="012265FD" w14:textId="77777777" w:rsidR="00533632" w:rsidRDefault="00533632" w:rsidP="008E0AEB">
      <w:pPr>
        <w:widowControl w:val="0"/>
        <w:autoSpaceDE w:val="0"/>
        <w:autoSpaceDN w:val="0"/>
        <w:adjustRightInd w:val="0"/>
        <w:jc w:val="center"/>
        <w:rPr>
          <w:b/>
          <w:szCs w:val="20"/>
        </w:rPr>
      </w:pPr>
    </w:p>
    <w:p w14:paraId="1FAF3E47" w14:textId="77777777" w:rsidR="00533632" w:rsidRPr="00070779" w:rsidRDefault="00533632" w:rsidP="008E0AEB">
      <w:pPr>
        <w:widowControl w:val="0"/>
        <w:autoSpaceDE w:val="0"/>
        <w:autoSpaceDN w:val="0"/>
        <w:adjustRightInd w:val="0"/>
        <w:jc w:val="center"/>
        <w:rPr>
          <w:b/>
          <w:szCs w:val="20"/>
        </w:rPr>
      </w:pPr>
    </w:p>
    <w:p w14:paraId="20F4F972" w14:textId="77777777" w:rsidR="008E0AEB" w:rsidRPr="00070779" w:rsidRDefault="008E0AEB" w:rsidP="008E0AEB">
      <w:pPr>
        <w:widowControl w:val="0"/>
        <w:autoSpaceDE w:val="0"/>
        <w:autoSpaceDN w:val="0"/>
        <w:adjustRightInd w:val="0"/>
        <w:jc w:val="center"/>
        <w:rPr>
          <w:b/>
          <w:szCs w:val="20"/>
        </w:rPr>
      </w:pPr>
    </w:p>
    <w:p w14:paraId="71124C9C" w14:textId="77777777" w:rsidR="00F46DBC" w:rsidRPr="00070779" w:rsidRDefault="00F46DBC" w:rsidP="00BD0474">
      <w:pPr>
        <w:widowControl w:val="0"/>
        <w:autoSpaceDE w:val="0"/>
        <w:autoSpaceDN w:val="0"/>
        <w:adjustRightInd w:val="0"/>
        <w:jc w:val="center"/>
        <w:rPr>
          <w:b/>
          <w:szCs w:val="20"/>
        </w:rPr>
        <w:sectPr w:rsidR="00F46DBC" w:rsidRPr="00070779" w:rsidSect="00CE7D45">
          <w:footerReference w:type="default" r:id="rId14"/>
          <w:pgSz w:w="12240" w:h="15840"/>
          <w:pgMar w:top="1440" w:right="1440" w:bottom="1440" w:left="1440" w:header="720" w:footer="720" w:gutter="0"/>
          <w:cols w:space="720"/>
          <w:noEndnote/>
          <w:docGrid w:linePitch="326"/>
        </w:sectPr>
      </w:pPr>
    </w:p>
    <w:p w14:paraId="6611FC16" w14:textId="77777777" w:rsidR="004E4DB8" w:rsidRPr="00CE7D45" w:rsidRDefault="004E4DB8" w:rsidP="00BD0474">
      <w:pPr>
        <w:widowControl w:val="0"/>
        <w:autoSpaceDE w:val="0"/>
        <w:autoSpaceDN w:val="0"/>
        <w:adjustRightInd w:val="0"/>
        <w:jc w:val="center"/>
        <w:rPr>
          <w:b/>
          <w:szCs w:val="20"/>
        </w:rPr>
      </w:pPr>
      <w:r w:rsidRPr="00CE7D45">
        <w:rPr>
          <w:b/>
          <w:szCs w:val="20"/>
        </w:rPr>
        <w:t xml:space="preserve">TABLE </w:t>
      </w:r>
      <w:r w:rsidR="0023559E">
        <w:rPr>
          <w:b/>
          <w:szCs w:val="20"/>
        </w:rPr>
        <w:t>5</w:t>
      </w:r>
      <w:r w:rsidR="00BD0474" w:rsidRPr="00CE7D45">
        <w:rPr>
          <w:b/>
          <w:szCs w:val="20"/>
        </w:rPr>
        <w:t xml:space="preserve"> </w:t>
      </w:r>
    </w:p>
    <w:p w14:paraId="5B00C084" w14:textId="77777777" w:rsidR="00BD0474" w:rsidRPr="00CE7D45" w:rsidRDefault="00A344E3" w:rsidP="00BD0474">
      <w:pPr>
        <w:widowControl w:val="0"/>
        <w:autoSpaceDE w:val="0"/>
        <w:autoSpaceDN w:val="0"/>
        <w:adjustRightInd w:val="0"/>
        <w:jc w:val="center"/>
        <w:rPr>
          <w:b/>
          <w:szCs w:val="20"/>
        </w:rPr>
      </w:pPr>
      <w:r w:rsidRPr="00CE7D45">
        <w:rPr>
          <w:b/>
          <w:szCs w:val="20"/>
        </w:rPr>
        <w:t xml:space="preserve">Additional </w:t>
      </w:r>
      <w:r w:rsidR="00FC1139" w:rsidRPr="00CE7D45">
        <w:rPr>
          <w:b/>
          <w:szCs w:val="20"/>
        </w:rPr>
        <w:t xml:space="preserve">analyses </w:t>
      </w:r>
      <w:r w:rsidR="004E4DB8" w:rsidRPr="00CE7D45">
        <w:rPr>
          <w:b/>
          <w:szCs w:val="20"/>
        </w:rPr>
        <w:t>–</w:t>
      </w:r>
      <w:r w:rsidR="001A055E" w:rsidRPr="00CE7D45">
        <w:rPr>
          <w:b/>
          <w:szCs w:val="20"/>
        </w:rPr>
        <w:t xml:space="preserve"> Loan pricing</w:t>
      </w:r>
    </w:p>
    <w:p w14:paraId="46E670B4" w14:textId="77777777" w:rsidR="00BD0474" w:rsidRPr="00070779" w:rsidRDefault="00BD0474" w:rsidP="00F95684">
      <w:pPr>
        <w:widowControl w:val="0"/>
        <w:autoSpaceDE w:val="0"/>
        <w:autoSpaceDN w:val="0"/>
        <w:adjustRightInd w:val="0"/>
        <w:ind w:left="-851" w:right="-846"/>
        <w:jc w:val="both"/>
        <w:rPr>
          <w:sz w:val="22"/>
          <w:szCs w:val="22"/>
        </w:rPr>
      </w:pPr>
      <w:r w:rsidRPr="00070779">
        <w:rPr>
          <w:sz w:val="22"/>
          <w:szCs w:val="22"/>
        </w:rPr>
        <w:t xml:space="preserve">The table reports the </w:t>
      </w:r>
      <w:r w:rsidR="004D1B31">
        <w:rPr>
          <w:sz w:val="22"/>
          <w:szCs w:val="22"/>
        </w:rPr>
        <w:t>second-</w:t>
      </w:r>
      <w:r w:rsidR="000B3ACA" w:rsidRPr="00070779">
        <w:rPr>
          <w:sz w:val="22"/>
          <w:szCs w:val="22"/>
        </w:rPr>
        <w:t xml:space="preserve">stage </w:t>
      </w:r>
      <w:r w:rsidRPr="00070779">
        <w:rPr>
          <w:sz w:val="22"/>
          <w:szCs w:val="22"/>
        </w:rPr>
        <w:t>estimation results of the pricing function</w:t>
      </w:r>
      <w:r w:rsidR="000B3ACA" w:rsidRPr="00070779">
        <w:rPr>
          <w:sz w:val="22"/>
          <w:szCs w:val="22"/>
        </w:rPr>
        <w:t xml:space="preserve"> using the 2SLS approach</w:t>
      </w:r>
      <w:r w:rsidRPr="00070779">
        <w:rPr>
          <w:sz w:val="22"/>
          <w:szCs w:val="22"/>
        </w:rPr>
        <w:t xml:space="preserve">. Column (1) only considers the </w:t>
      </w:r>
      <w:r w:rsidR="0043098D">
        <w:rPr>
          <w:sz w:val="22"/>
          <w:szCs w:val="22"/>
        </w:rPr>
        <w:t xml:space="preserve">large </w:t>
      </w:r>
      <w:r w:rsidR="00C2325A">
        <w:rPr>
          <w:sz w:val="22"/>
          <w:szCs w:val="22"/>
        </w:rPr>
        <w:t>customer</w:t>
      </w:r>
      <w:r w:rsidR="00B339FF">
        <w:rPr>
          <w:sz w:val="22"/>
          <w:szCs w:val="22"/>
        </w:rPr>
        <w:t>-supplier</w:t>
      </w:r>
      <w:r w:rsidRPr="00070779">
        <w:rPr>
          <w:sz w:val="22"/>
          <w:szCs w:val="22"/>
        </w:rPr>
        <w:t xml:space="preserve"> cases in which: the suppliers provide services and differentiated products that are unique or highly customized inputs, and where the customers need differentiated and service inputs. In column (2), borrowers with less than 15% of customer sales are defined as borrowers with no </w:t>
      </w:r>
      <w:r w:rsidR="0043098D">
        <w:rPr>
          <w:sz w:val="22"/>
          <w:szCs w:val="22"/>
        </w:rPr>
        <w:t xml:space="preserve">large </w:t>
      </w:r>
      <w:r w:rsidR="00C2325A">
        <w:rPr>
          <w:sz w:val="22"/>
          <w:szCs w:val="22"/>
        </w:rPr>
        <w:t>customer</w:t>
      </w:r>
      <w:r w:rsidR="00B339FF">
        <w:rPr>
          <w:sz w:val="22"/>
          <w:szCs w:val="22"/>
        </w:rPr>
        <w:t>-supplier</w:t>
      </w:r>
      <w:r w:rsidR="00B339FF" w:rsidRPr="00070779">
        <w:rPr>
          <w:sz w:val="22"/>
          <w:szCs w:val="22"/>
        </w:rPr>
        <w:t xml:space="preserve"> </w:t>
      </w:r>
      <w:r w:rsidRPr="00070779">
        <w:rPr>
          <w:sz w:val="22"/>
          <w:szCs w:val="22"/>
        </w:rPr>
        <w:t xml:space="preserve">link. </w:t>
      </w:r>
      <w:r w:rsidR="00A422B5" w:rsidRPr="00070779">
        <w:rPr>
          <w:sz w:val="22"/>
          <w:szCs w:val="22"/>
        </w:rPr>
        <w:t>C</w:t>
      </w:r>
      <w:r w:rsidR="008A02D3" w:rsidRPr="00070779">
        <w:rPr>
          <w:sz w:val="22"/>
          <w:szCs w:val="22"/>
        </w:rPr>
        <w:t xml:space="preserve">olumn </w:t>
      </w:r>
      <w:r w:rsidRPr="00070779">
        <w:rPr>
          <w:sz w:val="22"/>
          <w:szCs w:val="22"/>
        </w:rPr>
        <w:t>(</w:t>
      </w:r>
      <w:r w:rsidR="000E1F6D" w:rsidRPr="00070779">
        <w:rPr>
          <w:sz w:val="22"/>
          <w:szCs w:val="22"/>
        </w:rPr>
        <w:t>3</w:t>
      </w:r>
      <w:r w:rsidRPr="00070779">
        <w:rPr>
          <w:sz w:val="22"/>
          <w:szCs w:val="22"/>
        </w:rPr>
        <w:t>)</w:t>
      </w:r>
      <w:r w:rsidR="00A422B5" w:rsidRPr="00070779">
        <w:rPr>
          <w:sz w:val="22"/>
          <w:szCs w:val="22"/>
        </w:rPr>
        <w:t xml:space="preserve"> excludes</w:t>
      </w:r>
      <w:r w:rsidRPr="00070779">
        <w:rPr>
          <w:sz w:val="22"/>
          <w:szCs w:val="22"/>
        </w:rPr>
        <w:t xml:space="preserve"> borrowers with more than </w:t>
      </w:r>
      <w:r w:rsidR="004E4DB8" w:rsidRPr="00070779">
        <w:rPr>
          <w:sz w:val="22"/>
          <w:szCs w:val="22"/>
        </w:rPr>
        <w:t>three</w:t>
      </w:r>
      <w:r w:rsidRPr="00070779">
        <w:rPr>
          <w:sz w:val="22"/>
          <w:szCs w:val="22"/>
        </w:rPr>
        <w:t xml:space="preserve"> years of supply-customer relationship. </w:t>
      </w:r>
      <w:r w:rsidR="00643038">
        <w:rPr>
          <w:sz w:val="22"/>
          <w:szCs w:val="22"/>
        </w:rPr>
        <w:t>C</w:t>
      </w:r>
      <w:r w:rsidR="008A02D3" w:rsidRPr="00070779">
        <w:rPr>
          <w:sz w:val="22"/>
          <w:szCs w:val="22"/>
        </w:rPr>
        <w:t xml:space="preserve">olumn </w:t>
      </w:r>
      <w:r w:rsidRPr="00070779">
        <w:rPr>
          <w:sz w:val="22"/>
          <w:szCs w:val="22"/>
        </w:rPr>
        <w:t>(</w:t>
      </w:r>
      <w:r w:rsidR="000E1F6D" w:rsidRPr="00070779">
        <w:rPr>
          <w:sz w:val="22"/>
          <w:szCs w:val="22"/>
        </w:rPr>
        <w:t>4</w:t>
      </w:r>
      <w:r w:rsidRPr="00070779">
        <w:rPr>
          <w:sz w:val="22"/>
          <w:szCs w:val="22"/>
        </w:rPr>
        <w:t>)</w:t>
      </w:r>
      <w:r w:rsidR="00643038">
        <w:rPr>
          <w:sz w:val="22"/>
          <w:szCs w:val="22"/>
        </w:rPr>
        <w:t xml:space="preserve"> excludes</w:t>
      </w:r>
      <w:r w:rsidRPr="00070779">
        <w:rPr>
          <w:sz w:val="22"/>
          <w:szCs w:val="22"/>
        </w:rPr>
        <w:t xml:space="preserve"> </w:t>
      </w:r>
      <w:r w:rsidR="00C2404B" w:rsidRPr="00070779">
        <w:rPr>
          <w:sz w:val="22"/>
          <w:szCs w:val="22"/>
        </w:rPr>
        <w:t xml:space="preserve">borrowers with </w:t>
      </w:r>
      <w:r w:rsidR="0056430C" w:rsidRPr="00070779">
        <w:rPr>
          <w:sz w:val="22"/>
          <w:szCs w:val="22"/>
        </w:rPr>
        <w:t>at least one</w:t>
      </w:r>
      <w:r w:rsidR="00C2404B" w:rsidRPr="00070779">
        <w:rPr>
          <w:sz w:val="22"/>
          <w:szCs w:val="22"/>
        </w:rPr>
        <w:t xml:space="preserve"> </w:t>
      </w:r>
      <w:r w:rsidR="0043098D">
        <w:rPr>
          <w:sz w:val="22"/>
          <w:szCs w:val="22"/>
        </w:rPr>
        <w:t xml:space="preserve">large </w:t>
      </w:r>
      <w:r w:rsidR="00C2325A">
        <w:rPr>
          <w:sz w:val="22"/>
          <w:szCs w:val="22"/>
        </w:rPr>
        <w:t>customer</w:t>
      </w:r>
      <w:r w:rsidR="00B339FF">
        <w:rPr>
          <w:sz w:val="22"/>
          <w:szCs w:val="22"/>
        </w:rPr>
        <w:t>-supplier</w:t>
      </w:r>
      <w:r w:rsidR="00B339FF" w:rsidRPr="00070779">
        <w:rPr>
          <w:sz w:val="22"/>
          <w:szCs w:val="22"/>
        </w:rPr>
        <w:t xml:space="preserve"> </w:t>
      </w:r>
      <w:r w:rsidR="00C2404B" w:rsidRPr="00070779">
        <w:rPr>
          <w:sz w:val="22"/>
          <w:szCs w:val="22"/>
        </w:rPr>
        <w:t>included in the S&amp;P 500</w:t>
      </w:r>
      <w:r w:rsidR="0056430C" w:rsidRPr="00070779">
        <w:rPr>
          <w:sz w:val="22"/>
          <w:szCs w:val="22"/>
        </w:rPr>
        <w:t xml:space="preserve"> index</w:t>
      </w:r>
      <w:r w:rsidR="00C2404B" w:rsidRPr="00070779">
        <w:rPr>
          <w:sz w:val="22"/>
          <w:szCs w:val="22"/>
        </w:rPr>
        <w:t xml:space="preserve">. </w:t>
      </w:r>
      <w:r w:rsidR="007E7F94" w:rsidRPr="00070779">
        <w:rPr>
          <w:sz w:val="22"/>
          <w:szCs w:val="22"/>
        </w:rPr>
        <w:t>All independent variables are defined in Table A1 of the Appendix.</w:t>
      </w:r>
      <w:r w:rsidR="00CD3E1A">
        <w:rPr>
          <w:sz w:val="22"/>
          <w:szCs w:val="22"/>
        </w:rPr>
        <w:t xml:space="preserve"> </w:t>
      </w:r>
      <w:r w:rsidR="007E7F94" w:rsidRPr="00070779">
        <w:rPr>
          <w:sz w:val="22"/>
          <w:szCs w:val="22"/>
        </w:rPr>
        <w:t>Standard errors are clustered at borrower level and reported in parentheses.</w:t>
      </w:r>
      <w:r w:rsidRPr="00070779">
        <w:rPr>
          <w:sz w:val="22"/>
          <w:szCs w:val="22"/>
        </w:rPr>
        <w:t xml:space="preserve"> ***, **, and * denote statistical significance at the 1%, 5%, and 10% levels, respectively.  </w:t>
      </w:r>
    </w:p>
    <w:tbl>
      <w:tblPr>
        <w:tblW w:w="9498" w:type="dxa"/>
        <w:jc w:val="center"/>
        <w:tblBorders>
          <w:top w:val="single" w:sz="4" w:space="0" w:color="auto"/>
          <w:bottom w:val="single" w:sz="4" w:space="0" w:color="auto"/>
        </w:tblBorders>
        <w:tblLayout w:type="fixed"/>
        <w:tblLook w:val="0000" w:firstRow="0" w:lastRow="0" w:firstColumn="0" w:lastColumn="0" w:noHBand="0" w:noVBand="0"/>
      </w:tblPr>
      <w:tblGrid>
        <w:gridCol w:w="2694"/>
        <w:gridCol w:w="1701"/>
        <w:gridCol w:w="1701"/>
        <w:gridCol w:w="1701"/>
        <w:gridCol w:w="1701"/>
      </w:tblGrid>
      <w:tr w:rsidR="005D304D" w:rsidRPr="00070779" w14:paraId="075FE3D0" w14:textId="77777777" w:rsidTr="0032415E">
        <w:trPr>
          <w:jc w:val="center"/>
        </w:trPr>
        <w:tc>
          <w:tcPr>
            <w:tcW w:w="2694" w:type="dxa"/>
            <w:vAlign w:val="center"/>
          </w:tcPr>
          <w:p w14:paraId="117E80AF" w14:textId="77777777" w:rsidR="005D304D" w:rsidRPr="00492AA4" w:rsidRDefault="005D304D" w:rsidP="00FE1C7F">
            <w:pPr>
              <w:widowControl w:val="0"/>
              <w:autoSpaceDE w:val="0"/>
              <w:autoSpaceDN w:val="0"/>
              <w:adjustRightInd w:val="0"/>
              <w:jc w:val="center"/>
              <w:rPr>
                <w:b/>
                <w:bCs/>
                <w:sz w:val="20"/>
                <w:szCs w:val="20"/>
              </w:rPr>
            </w:pPr>
            <w:r w:rsidRPr="00492AA4">
              <w:rPr>
                <w:b/>
                <w:bCs/>
                <w:sz w:val="20"/>
                <w:szCs w:val="20"/>
              </w:rPr>
              <w:t>Panel A: 2</w:t>
            </w:r>
            <w:r w:rsidRPr="00492AA4">
              <w:rPr>
                <w:b/>
                <w:bCs/>
                <w:sz w:val="20"/>
                <w:szCs w:val="20"/>
                <w:vertAlign w:val="superscript"/>
              </w:rPr>
              <w:t>nd</w:t>
            </w:r>
            <w:r w:rsidRPr="00492AA4">
              <w:rPr>
                <w:b/>
                <w:bCs/>
                <w:sz w:val="20"/>
                <w:szCs w:val="20"/>
              </w:rPr>
              <w:t xml:space="preserve"> stage</w:t>
            </w:r>
          </w:p>
        </w:tc>
        <w:tc>
          <w:tcPr>
            <w:tcW w:w="1701" w:type="dxa"/>
            <w:tcBorders>
              <w:top w:val="single" w:sz="4" w:space="0" w:color="auto"/>
              <w:bottom w:val="single" w:sz="4" w:space="0" w:color="auto"/>
            </w:tcBorders>
            <w:vAlign w:val="center"/>
          </w:tcPr>
          <w:p w14:paraId="3D1B8481" w14:textId="77777777" w:rsidR="005D304D" w:rsidRPr="00070779" w:rsidRDefault="005D304D" w:rsidP="00FE1C7F">
            <w:pPr>
              <w:widowControl w:val="0"/>
              <w:autoSpaceDE w:val="0"/>
              <w:autoSpaceDN w:val="0"/>
              <w:adjustRightInd w:val="0"/>
              <w:jc w:val="center"/>
              <w:rPr>
                <w:sz w:val="20"/>
                <w:szCs w:val="20"/>
              </w:rPr>
            </w:pPr>
            <w:r w:rsidRPr="00070779">
              <w:rPr>
                <w:sz w:val="20"/>
                <w:szCs w:val="20"/>
              </w:rPr>
              <w:t>SC Dep.</w:t>
            </w:r>
          </w:p>
        </w:tc>
        <w:tc>
          <w:tcPr>
            <w:tcW w:w="1701" w:type="dxa"/>
            <w:tcBorders>
              <w:top w:val="single" w:sz="4" w:space="0" w:color="auto"/>
              <w:bottom w:val="single" w:sz="4" w:space="0" w:color="auto"/>
            </w:tcBorders>
            <w:vAlign w:val="center"/>
          </w:tcPr>
          <w:p w14:paraId="63B714EA" w14:textId="77777777" w:rsidR="005D304D" w:rsidRPr="00070779" w:rsidRDefault="005D304D" w:rsidP="00FE1C7F">
            <w:pPr>
              <w:widowControl w:val="0"/>
              <w:autoSpaceDE w:val="0"/>
              <w:autoSpaceDN w:val="0"/>
              <w:adjustRightInd w:val="0"/>
              <w:jc w:val="center"/>
              <w:rPr>
                <w:sz w:val="20"/>
                <w:szCs w:val="20"/>
              </w:rPr>
            </w:pPr>
            <w:r w:rsidRPr="00070779">
              <w:rPr>
                <w:sz w:val="20"/>
                <w:szCs w:val="20"/>
              </w:rPr>
              <w:t>Cus 15%</w:t>
            </w:r>
          </w:p>
        </w:tc>
        <w:tc>
          <w:tcPr>
            <w:tcW w:w="1701" w:type="dxa"/>
            <w:tcBorders>
              <w:top w:val="single" w:sz="4" w:space="0" w:color="auto"/>
              <w:bottom w:val="single" w:sz="4" w:space="0" w:color="auto"/>
            </w:tcBorders>
            <w:vAlign w:val="center"/>
          </w:tcPr>
          <w:p w14:paraId="01AA3CDD" w14:textId="77777777" w:rsidR="005D304D" w:rsidRPr="00070779" w:rsidRDefault="005D304D" w:rsidP="00FE1C7F">
            <w:pPr>
              <w:widowControl w:val="0"/>
              <w:autoSpaceDE w:val="0"/>
              <w:autoSpaceDN w:val="0"/>
              <w:adjustRightInd w:val="0"/>
              <w:jc w:val="center"/>
              <w:rPr>
                <w:sz w:val="20"/>
                <w:szCs w:val="20"/>
              </w:rPr>
            </w:pPr>
            <w:r w:rsidRPr="00466373">
              <w:rPr>
                <w:sz w:val="20"/>
                <w:szCs w:val="20"/>
              </w:rPr>
              <w:t>Large CS link &lt;3y</w:t>
            </w:r>
          </w:p>
        </w:tc>
        <w:tc>
          <w:tcPr>
            <w:tcW w:w="1701" w:type="dxa"/>
            <w:tcBorders>
              <w:top w:val="single" w:sz="4" w:space="0" w:color="auto"/>
              <w:bottom w:val="single" w:sz="4" w:space="0" w:color="auto"/>
            </w:tcBorders>
            <w:vAlign w:val="center"/>
          </w:tcPr>
          <w:p w14:paraId="7AED9451" w14:textId="77777777" w:rsidR="005D304D" w:rsidRPr="00070779" w:rsidRDefault="005D304D" w:rsidP="00FE1C7F">
            <w:pPr>
              <w:widowControl w:val="0"/>
              <w:autoSpaceDE w:val="0"/>
              <w:autoSpaceDN w:val="0"/>
              <w:adjustRightInd w:val="0"/>
              <w:jc w:val="center"/>
              <w:rPr>
                <w:sz w:val="20"/>
                <w:szCs w:val="20"/>
              </w:rPr>
            </w:pPr>
            <w:r w:rsidRPr="00070779">
              <w:rPr>
                <w:sz w:val="20"/>
                <w:szCs w:val="20"/>
              </w:rPr>
              <w:t>SC reputation</w:t>
            </w:r>
          </w:p>
        </w:tc>
      </w:tr>
      <w:tr w:rsidR="005D304D" w:rsidRPr="00070779" w14:paraId="69B0D892" w14:textId="77777777" w:rsidTr="0032415E">
        <w:trPr>
          <w:jc w:val="center"/>
        </w:trPr>
        <w:tc>
          <w:tcPr>
            <w:tcW w:w="2694" w:type="dxa"/>
            <w:vAlign w:val="center"/>
          </w:tcPr>
          <w:p w14:paraId="04B34F4C" w14:textId="77777777" w:rsidR="005D304D" w:rsidRPr="00070779" w:rsidRDefault="005D304D" w:rsidP="00FE1C7F">
            <w:pPr>
              <w:widowControl w:val="0"/>
              <w:autoSpaceDE w:val="0"/>
              <w:autoSpaceDN w:val="0"/>
              <w:adjustRightInd w:val="0"/>
              <w:jc w:val="center"/>
              <w:rPr>
                <w:b/>
                <w:sz w:val="20"/>
                <w:szCs w:val="20"/>
              </w:rPr>
            </w:pPr>
          </w:p>
        </w:tc>
        <w:tc>
          <w:tcPr>
            <w:tcW w:w="1701" w:type="dxa"/>
            <w:tcBorders>
              <w:top w:val="single" w:sz="4" w:space="0" w:color="auto"/>
              <w:bottom w:val="single" w:sz="4" w:space="0" w:color="auto"/>
            </w:tcBorders>
          </w:tcPr>
          <w:p w14:paraId="6DF5DAF1" w14:textId="77777777" w:rsidR="005D304D" w:rsidRPr="00070779" w:rsidRDefault="005D304D" w:rsidP="00FE1C7F">
            <w:pPr>
              <w:widowControl w:val="0"/>
              <w:autoSpaceDE w:val="0"/>
              <w:autoSpaceDN w:val="0"/>
              <w:adjustRightInd w:val="0"/>
              <w:jc w:val="center"/>
              <w:rPr>
                <w:sz w:val="20"/>
                <w:szCs w:val="20"/>
              </w:rPr>
            </w:pPr>
            <w:r w:rsidRPr="00070779">
              <w:rPr>
                <w:sz w:val="20"/>
                <w:szCs w:val="20"/>
              </w:rPr>
              <w:t>(1)</w:t>
            </w:r>
          </w:p>
        </w:tc>
        <w:tc>
          <w:tcPr>
            <w:tcW w:w="1701" w:type="dxa"/>
            <w:tcBorders>
              <w:top w:val="single" w:sz="4" w:space="0" w:color="auto"/>
              <w:bottom w:val="single" w:sz="4" w:space="0" w:color="auto"/>
            </w:tcBorders>
          </w:tcPr>
          <w:p w14:paraId="0BDD4292" w14:textId="77777777" w:rsidR="005D304D" w:rsidRPr="00070779" w:rsidRDefault="005D304D" w:rsidP="00FE1C7F">
            <w:pPr>
              <w:widowControl w:val="0"/>
              <w:autoSpaceDE w:val="0"/>
              <w:autoSpaceDN w:val="0"/>
              <w:adjustRightInd w:val="0"/>
              <w:jc w:val="center"/>
              <w:rPr>
                <w:sz w:val="20"/>
                <w:szCs w:val="20"/>
              </w:rPr>
            </w:pPr>
            <w:r w:rsidRPr="00070779">
              <w:rPr>
                <w:sz w:val="20"/>
                <w:szCs w:val="20"/>
              </w:rPr>
              <w:t xml:space="preserve">(2) </w:t>
            </w:r>
          </w:p>
        </w:tc>
        <w:tc>
          <w:tcPr>
            <w:tcW w:w="1701" w:type="dxa"/>
            <w:tcBorders>
              <w:top w:val="single" w:sz="4" w:space="0" w:color="auto"/>
              <w:bottom w:val="single" w:sz="4" w:space="0" w:color="auto"/>
            </w:tcBorders>
          </w:tcPr>
          <w:p w14:paraId="424F879F" w14:textId="77777777" w:rsidR="005D304D" w:rsidRPr="00070779" w:rsidRDefault="005D304D" w:rsidP="00FE1C7F">
            <w:pPr>
              <w:widowControl w:val="0"/>
              <w:autoSpaceDE w:val="0"/>
              <w:autoSpaceDN w:val="0"/>
              <w:adjustRightInd w:val="0"/>
              <w:jc w:val="center"/>
              <w:rPr>
                <w:sz w:val="20"/>
                <w:szCs w:val="20"/>
              </w:rPr>
            </w:pPr>
            <w:r w:rsidRPr="00070779">
              <w:rPr>
                <w:sz w:val="20"/>
                <w:szCs w:val="20"/>
              </w:rPr>
              <w:t>(3)</w:t>
            </w:r>
          </w:p>
        </w:tc>
        <w:tc>
          <w:tcPr>
            <w:tcW w:w="1701" w:type="dxa"/>
            <w:tcBorders>
              <w:top w:val="single" w:sz="4" w:space="0" w:color="auto"/>
              <w:bottom w:val="single" w:sz="4" w:space="0" w:color="auto"/>
            </w:tcBorders>
          </w:tcPr>
          <w:p w14:paraId="0012BB87" w14:textId="77777777" w:rsidR="005D304D" w:rsidRPr="00070779" w:rsidRDefault="005D304D" w:rsidP="00FE1C7F">
            <w:pPr>
              <w:widowControl w:val="0"/>
              <w:autoSpaceDE w:val="0"/>
              <w:autoSpaceDN w:val="0"/>
              <w:adjustRightInd w:val="0"/>
              <w:jc w:val="center"/>
              <w:rPr>
                <w:sz w:val="20"/>
                <w:szCs w:val="20"/>
              </w:rPr>
            </w:pPr>
            <w:r w:rsidRPr="00070779">
              <w:rPr>
                <w:sz w:val="20"/>
                <w:szCs w:val="20"/>
              </w:rPr>
              <w:t>(4)</w:t>
            </w:r>
          </w:p>
        </w:tc>
      </w:tr>
      <w:tr w:rsidR="005D304D" w:rsidRPr="00070779" w14:paraId="3F2D4D32" w14:textId="77777777" w:rsidTr="0032415E">
        <w:trPr>
          <w:jc w:val="center"/>
        </w:trPr>
        <w:tc>
          <w:tcPr>
            <w:tcW w:w="2694" w:type="dxa"/>
            <w:shd w:val="clear" w:color="auto" w:fill="auto"/>
          </w:tcPr>
          <w:p w14:paraId="40715187" w14:textId="77777777" w:rsidR="005D304D" w:rsidRPr="00070779" w:rsidRDefault="005D304D" w:rsidP="00CD3E1A">
            <w:pPr>
              <w:widowControl w:val="0"/>
              <w:autoSpaceDE w:val="0"/>
              <w:autoSpaceDN w:val="0"/>
              <w:adjustRightInd w:val="0"/>
              <w:jc w:val="center"/>
              <w:rPr>
                <w:b/>
                <w:sz w:val="20"/>
                <w:szCs w:val="20"/>
              </w:rPr>
            </w:pPr>
            <w:r w:rsidRPr="00070779">
              <w:rPr>
                <w:sz w:val="20"/>
                <w:szCs w:val="20"/>
              </w:rPr>
              <w:t>Lead agent share</w:t>
            </w:r>
          </w:p>
        </w:tc>
        <w:tc>
          <w:tcPr>
            <w:tcW w:w="1701" w:type="dxa"/>
            <w:tcBorders>
              <w:top w:val="single" w:sz="4" w:space="0" w:color="auto"/>
            </w:tcBorders>
          </w:tcPr>
          <w:p w14:paraId="56516C27" w14:textId="77777777" w:rsidR="005D304D" w:rsidRPr="00070779" w:rsidRDefault="005D304D" w:rsidP="00CD3E1A">
            <w:pPr>
              <w:widowControl w:val="0"/>
              <w:autoSpaceDE w:val="0"/>
              <w:autoSpaceDN w:val="0"/>
              <w:adjustRightInd w:val="0"/>
              <w:jc w:val="center"/>
              <w:rPr>
                <w:sz w:val="20"/>
                <w:szCs w:val="20"/>
              </w:rPr>
            </w:pPr>
            <w:r w:rsidRPr="008615D2">
              <w:rPr>
                <w:sz w:val="20"/>
                <w:szCs w:val="20"/>
              </w:rPr>
              <w:t>1.511</w:t>
            </w:r>
            <w:r w:rsidRPr="008615D2">
              <w:rPr>
                <w:sz w:val="20"/>
                <w:szCs w:val="20"/>
                <w:vertAlign w:val="superscript"/>
              </w:rPr>
              <w:t>***</w:t>
            </w:r>
          </w:p>
        </w:tc>
        <w:tc>
          <w:tcPr>
            <w:tcW w:w="1701" w:type="dxa"/>
            <w:tcBorders>
              <w:top w:val="single" w:sz="4" w:space="0" w:color="auto"/>
            </w:tcBorders>
          </w:tcPr>
          <w:p w14:paraId="0CAEF248"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3.21</w:t>
            </w:r>
            <w:r>
              <w:rPr>
                <w:sz w:val="20"/>
                <w:szCs w:val="20"/>
              </w:rPr>
              <w:t>8</w:t>
            </w:r>
            <w:r w:rsidRPr="004B0098">
              <w:rPr>
                <w:sz w:val="20"/>
                <w:szCs w:val="20"/>
                <w:vertAlign w:val="superscript"/>
              </w:rPr>
              <w:t>***</w:t>
            </w:r>
          </w:p>
        </w:tc>
        <w:tc>
          <w:tcPr>
            <w:tcW w:w="1701" w:type="dxa"/>
            <w:tcBorders>
              <w:top w:val="single" w:sz="4" w:space="0" w:color="auto"/>
            </w:tcBorders>
          </w:tcPr>
          <w:p w14:paraId="2E916D07"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3.132</w:t>
            </w:r>
            <w:r w:rsidRPr="00226979">
              <w:rPr>
                <w:sz w:val="20"/>
                <w:szCs w:val="20"/>
                <w:vertAlign w:val="superscript"/>
              </w:rPr>
              <w:t>***</w:t>
            </w:r>
          </w:p>
        </w:tc>
        <w:tc>
          <w:tcPr>
            <w:tcW w:w="1701" w:type="dxa"/>
            <w:tcBorders>
              <w:top w:val="single" w:sz="4" w:space="0" w:color="auto"/>
            </w:tcBorders>
          </w:tcPr>
          <w:p w14:paraId="1C107A37"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3.169</w:t>
            </w:r>
            <w:r w:rsidRPr="000F305B">
              <w:rPr>
                <w:sz w:val="20"/>
                <w:szCs w:val="20"/>
                <w:vertAlign w:val="superscript"/>
              </w:rPr>
              <w:t>***</w:t>
            </w:r>
          </w:p>
        </w:tc>
      </w:tr>
      <w:tr w:rsidR="005D304D" w:rsidRPr="00070779" w14:paraId="42ED1688" w14:textId="77777777" w:rsidTr="0032415E">
        <w:trPr>
          <w:jc w:val="center"/>
        </w:trPr>
        <w:tc>
          <w:tcPr>
            <w:tcW w:w="2694" w:type="dxa"/>
            <w:shd w:val="clear" w:color="auto" w:fill="auto"/>
          </w:tcPr>
          <w:p w14:paraId="47F7605D" w14:textId="77777777" w:rsidR="005D304D" w:rsidRPr="00070779" w:rsidRDefault="005D304D" w:rsidP="00CD3E1A">
            <w:pPr>
              <w:widowControl w:val="0"/>
              <w:autoSpaceDE w:val="0"/>
              <w:autoSpaceDN w:val="0"/>
              <w:adjustRightInd w:val="0"/>
              <w:jc w:val="center"/>
              <w:rPr>
                <w:b/>
                <w:sz w:val="20"/>
                <w:szCs w:val="20"/>
              </w:rPr>
            </w:pPr>
          </w:p>
        </w:tc>
        <w:tc>
          <w:tcPr>
            <w:tcW w:w="1701" w:type="dxa"/>
          </w:tcPr>
          <w:p w14:paraId="7838AA85" w14:textId="77777777" w:rsidR="005D304D" w:rsidRPr="00070779" w:rsidRDefault="005D304D" w:rsidP="00CD3E1A">
            <w:pPr>
              <w:widowControl w:val="0"/>
              <w:autoSpaceDE w:val="0"/>
              <w:autoSpaceDN w:val="0"/>
              <w:adjustRightInd w:val="0"/>
              <w:jc w:val="center"/>
              <w:rPr>
                <w:sz w:val="20"/>
                <w:szCs w:val="20"/>
              </w:rPr>
            </w:pPr>
            <w:r w:rsidRPr="008615D2">
              <w:rPr>
                <w:sz w:val="20"/>
                <w:szCs w:val="20"/>
              </w:rPr>
              <w:t>(0.52)</w:t>
            </w:r>
          </w:p>
        </w:tc>
        <w:tc>
          <w:tcPr>
            <w:tcW w:w="1701" w:type="dxa"/>
          </w:tcPr>
          <w:p w14:paraId="30F2AF3F"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(0.46)</w:t>
            </w:r>
          </w:p>
        </w:tc>
        <w:tc>
          <w:tcPr>
            <w:tcW w:w="1701" w:type="dxa"/>
          </w:tcPr>
          <w:p w14:paraId="6939D256"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(0.71)</w:t>
            </w:r>
          </w:p>
        </w:tc>
        <w:tc>
          <w:tcPr>
            <w:tcW w:w="1701" w:type="dxa"/>
          </w:tcPr>
          <w:p w14:paraId="6A470DE6"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(0.70)</w:t>
            </w:r>
          </w:p>
        </w:tc>
      </w:tr>
      <w:tr w:rsidR="005D304D" w:rsidRPr="00070779" w14:paraId="1305B522" w14:textId="77777777" w:rsidTr="0032415E">
        <w:trPr>
          <w:jc w:val="center"/>
        </w:trPr>
        <w:tc>
          <w:tcPr>
            <w:tcW w:w="2694" w:type="dxa"/>
            <w:shd w:val="clear" w:color="auto" w:fill="auto"/>
          </w:tcPr>
          <w:p w14:paraId="1C86416A" w14:textId="77777777" w:rsidR="005D304D" w:rsidRPr="00070779" w:rsidRDefault="005D304D" w:rsidP="00CD3E1A">
            <w:pPr>
              <w:widowControl w:val="0"/>
              <w:autoSpaceDE w:val="0"/>
              <w:autoSpaceDN w:val="0"/>
              <w:adjustRightInd w:val="0"/>
              <w:jc w:val="center"/>
              <w:rPr>
                <w:b/>
                <w:sz w:val="20"/>
                <w:szCs w:val="20"/>
              </w:rPr>
            </w:pPr>
            <w:r>
              <w:rPr>
                <w:rFonts w:eastAsia="DengXian"/>
                <w:sz w:val="20"/>
                <w:szCs w:val="20"/>
                <w:lang w:eastAsia="zh-CN"/>
              </w:rPr>
              <w:t>L</w:t>
            </w:r>
            <w:r w:rsidRPr="00F5316D">
              <w:rPr>
                <w:rFonts w:eastAsia="DengXian"/>
                <w:sz w:val="20"/>
                <w:szCs w:val="20"/>
                <w:lang w:eastAsia="zh-CN"/>
              </w:rPr>
              <w:t xml:space="preserve">arge CS </w:t>
            </w:r>
            <w:r>
              <w:rPr>
                <w:rFonts w:eastAsia="DengXian"/>
                <w:sz w:val="20"/>
                <w:szCs w:val="20"/>
                <w:lang w:eastAsia="zh-CN"/>
              </w:rPr>
              <w:t>link</w:t>
            </w:r>
            <w:r w:rsidRPr="00F5316D">
              <w:rPr>
                <w:rFonts w:eastAsia="DengXian"/>
                <w:sz w:val="20"/>
                <w:szCs w:val="20"/>
                <w:lang w:eastAsia="zh-CN"/>
              </w:rPr>
              <w:t>s</w:t>
            </w:r>
          </w:p>
        </w:tc>
        <w:tc>
          <w:tcPr>
            <w:tcW w:w="1701" w:type="dxa"/>
          </w:tcPr>
          <w:p w14:paraId="65884976" w14:textId="77777777" w:rsidR="005D304D" w:rsidRPr="00070779" w:rsidRDefault="005D304D" w:rsidP="00CD3E1A">
            <w:pPr>
              <w:widowControl w:val="0"/>
              <w:autoSpaceDE w:val="0"/>
              <w:autoSpaceDN w:val="0"/>
              <w:adjustRightInd w:val="0"/>
              <w:jc w:val="center"/>
              <w:rPr>
                <w:sz w:val="20"/>
                <w:szCs w:val="20"/>
              </w:rPr>
            </w:pPr>
            <w:r w:rsidRPr="008615D2">
              <w:rPr>
                <w:sz w:val="20"/>
                <w:szCs w:val="20"/>
              </w:rPr>
              <w:t>0.095</w:t>
            </w:r>
          </w:p>
        </w:tc>
        <w:tc>
          <w:tcPr>
            <w:tcW w:w="1701" w:type="dxa"/>
          </w:tcPr>
          <w:p w14:paraId="3877186C"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0.04</w:t>
            </w:r>
            <w:r>
              <w:rPr>
                <w:sz w:val="20"/>
                <w:szCs w:val="20"/>
              </w:rPr>
              <w:t>2</w:t>
            </w:r>
          </w:p>
        </w:tc>
        <w:tc>
          <w:tcPr>
            <w:tcW w:w="1701" w:type="dxa"/>
          </w:tcPr>
          <w:p w14:paraId="4BF0B7EF"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0.047</w:t>
            </w:r>
          </w:p>
        </w:tc>
        <w:tc>
          <w:tcPr>
            <w:tcW w:w="1701" w:type="dxa"/>
          </w:tcPr>
          <w:p w14:paraId="6CCD1759"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0.024</w:t>
            </w:r>
          </w:p>
        </w:tc>
      </w:tr>
      <w:tr w:rsidR="005D304D" w:rsidRPr="00070779" w14:paraId="6C17F8F2" w14:textId="77777777" w:rsidTr="0032415E">
        <w:trPr>
          <w:jc w:val="center"/>
        </w:trPr>
        <w:tc>
          <w:tcPr>
            <w:tcW w:w="2694" w:type="dxa"/>
            <w:shd w:val="clear" w:color="auto" w:fill="auto"/>
          </w:tcPr>
          <w:p w14:paraId="5D02A04F" w14:textId="77777777" w:rsidR="005D304D" w:rsidRPr="00070779" w:rsidRDefault="005D304D" w:rsidP="00CD3E1A">
            <w:pPr>
              <w:widowControl w:val="0"/>
              <w:autoSpaceDE w:val="0"/>
              <w:autoSpaceDN w:val="0"/>
              <w:adjustRightInd w:val="0"/>
              <w:jc w:val="center"/>
              <w:rPr>
                <w:b/>
                <w:sz w:val="20"/>
                <w:szCs w:val="20"/>
              </w:rPr>
            </w:pPr>
          </w:p>
        </w:tc>
        <w:tc>
          <w:tcPr>
            <w:tcW w:w="1701" w:type="dxa"/>
          </w:tcPr>
          <w:p w14:paraId="48CCD110" w14:textId="77777777" w:rsidR="005D304D" w:rsidRPr="00070779" w:rsidRDefault="005D304D" w:rsidP="00CD3E1A">
            <w:pPr>
              <w:widowControl w:val="0"/>
              <w:autoSpaceDE w:val="0"/>
              <w:autoSpaceDN w:val="0"/>
              <w:adjustRightInd w:val="0"/>
              <w:jc w:val="center"/>
              <w:rPr>
                <w:sz w:val="20"/>
                <w:szCs w:val="20"/>
              </w:rPr>
            </w:pPr>
            <w:r w:rsidRPr="008615D2">
              <w:rPr>
                <w:sz w:val="20"/>
                <w:szCs w:val="20"/>
              </w:rPr>
              <w:t>(0.07)</w:t>
            </w:r>
          </w:p>
        </w:tc>
        <w:tc>
          <w:tcPr>
            <w:tcW w:w="1701" w:type="dxa"/>
          </w:tcPr>
          <w:p w14:paraId="747D2EE6"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(0.03)</w:t>
            </w:r>
          </w:p>
        </w:tc>
        <w:tc>
          <w:tcPr>
            <w:tcW w:w="1701" w:type="dxa"/>
          </w:tcPr>
          <w:p w14:paraId="017D1077"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(0.03)</w:t>
            </w:r>
          </w:p>
        </w:tc>
        <w:tc>
          <w:tcPr>
            <w:tcW w:w="1701" w:type="dxa"/>
          </w:tcPr>
          <w:p w14:paraId="35ED4FB7"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(0.04)</w:t>
            </w:r>
          </w:p>
        </w:tc>
      </w:tr>
      <w:tr w:rsidR="005D304D" w:rsidRPr="00070779" w14:paraId="029B3C1D" w14:textId="77777777" w:rsidTr="0032415E">
        <w:trPr>
          <w:jc w:val="center"/>
        </w:trPr>
        <w:tc>
          <w:tcPr>
            <w:tcW w:w="2694" w:type="dxa"/>
            <w:shd w:val="clear" w:color="auto" w:fill="auto"/>
          </w:tcPr>
          <w:p w14:paraId="6EB63C92"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Controls</w:t>
            </w:r>
          </w:p>
        </w:tc>
        <w:tc>
          <w:tcPr>
            <w:tcW w:w="1701" w:type="dxa"/>
          </w:tcPr>
          <w:p w14:paraId="603E932A"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5BA0A246"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3C7E4679"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53627123"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522D2FDA" w14:textId="77777777" w:rsidTr="0032415E">
        <w:trPr>
          <w:jc w:val="center"/>
        </w:trPr>
        <w:tc>
          <w:tcPr>
            <w:tcW w:w="2694" w:type="dxa"/>
            <w:shd w:val="clear" w:color="auto" w:fill="auto"/>
          </w:tcPr>
          <w:p w14:paraId="185DC355"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Year FE</w:t>
            </w:r>
          </w:p>
        </w:tc>
        <w:tc>
          <w:tcPr>
            <w:tcW w:w="1701" w:type="dxa"/>
          </w:tcPr>
          <w:p w14:paraId="601B6075"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15504B6A"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4469CBFE"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29C3A8BD"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645E9F2B" w14:textId="77777777" w:rsidTr="0032415E">
        <w:trPr>
          <w:jc w:val="center"/>
        </w:trPr>
        <w:tc>
          <w:tcPr>
            <w:tcW w:w="2694" w:type="dxa"/>
            <w:shd w:val="clear" w:color="auto" w:fill="auto"/>
          </w:tcPr>
          <w:p w14:paraId="2A91AC31"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Borrower sector FE</w:t>
            </w:r>
          </w:p>
        </w:tc>
        <w:tc>
          <w:tcPr>
            <w:tcW w:w="1701" w:type="dxa"/>
          </w:tcPr>
          <w:p w14:paraId="3187A027"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3B17D587"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1C678253"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49FF5B4E"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3C6199FF" w14:textId="77777777" w:rsidTr="0032415E">
        <w:trPr>
          <w:jc w:val="center"/>
        </w:trPr>
        <w:tc>
          <w:tcPr>
            <w:tcW w:w="2694" w:type="dxa"/>
            <w:shd w:val="clear" w:color="auto" w:fill="auto"/>
          </w:tcPr>
          <w:p w14:paraId="1D0D1AAD"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Bank FE</w:t>
            </w:r>
          </w:p>
        </w:tc>
        <w:tc>
          <w:tcPr>
            <w:tcW w:w="1701" w:type="dxa"/>
          </w:tcPr>
          <w:p w14:paraId="1AC52176"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17A171B4"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2793C4F5"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6AF7B82E"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5514D5C4" w14:textId="77777777" w:rsidTr="0032415E">
        <w:trPr>
          <w:jc w:val="center"/>
        </w:trPr>
        <w:tc>
          <w:tcPr>
            <w:tcW w:w="2694" w:type="dxa"/>
            <w:shd w:val="clear" w:color="auto" w:fill="auto"/>
          </w:tcPr>
          <w:p w14:paraId="075DAB06"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R2</w:t>
            </w:r>
          </w:p>
        </w:tc>
        <w:tc>
          <w:tcPr>
            <w:tcW w:w="1701" w:type="dxa"/>
          </w:tcPr>
          <w:p w14:paraId="2F76C16C" w14:textId="77777777" w:rsidR="005D304D" w:rsidRPr="00070779" w:rsidRDefault="005D304D" w:rsidP="00CD3E1A">
            <w:pPr>
              <w:widowControl w:val="0"/>
              <w:autoSpaceDE w:val="0"/>
              <w:autoSpaceDN w:val="0"/>
              <w:adjustRightInd w:val="0"/>
              <w:jc w:val="center"/>
              <w:rPr>
                <w:sz w:val="20"/>
                <w:szCs w:val="20"/>
              </w:rPr>
            </w:pPr>
            <w:r w:rsidRPr="00BE2D78">
              <w:rPr>
                <w:sz w:val="20"/>
                <w:szCs w:val="20"/>
              </w:rPr>
              <w:t>0.468</w:t>
            </w:r>
          </w:p>
        </w:tc>
        <w:tc>
          <w:tcPr>
            <w:tcW w:w="1701" w:type="dxa"/>
          </w:tcPr>
          <w:p w14:paraId="79E72792"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0.55</w:t>
            </w:r>
            <w:r>
              <w:rPr>
                <w:sz w:val="20"/>
                <w:szCs w:val="20"/>
              </w:rPr>
              <w:t>7</w:t>
            </w:r>
          </w:p>
        </w:tc>
        <w:tc>
          <w:tcPr>
            <w:tcW w:w="1701" w:type="dxa"/>
          </w:tcPr>
          <w:p w14:paraId="33E5F5FD"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0.567</w:t>
            </w:r>
          </w:p>
        </w:tc>
        <w:tc>
          <w:tcPr>
            <w:tcW w:w="1701" w:type="dxa"/>
          </w:tcPr>
          <w:p w14:paraId="181ABEC2"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0.579</w:t>
            </w:r>
          </w:p>
        </w:tc>
      </w:tr>
      <w:tr w:rsidR="005D304D" w:rsidRPr="00070779" w14:paraId="41F9470D" w14:textId="77777777" w:rsidTr="0032415E">
        <w:trPr>
          <w:jc w:val="center"/>
        </w:trPr>
        <w:tc>
          <w:tcPr>
            <w:tcW w:w="2694" w:type="dxa"/>
            <w:tcBorders>
              <w:bottom w:val="single" w:sz="4" w:space="0" w:color="auto"/>
            </w:tcBorders>
            <w:shd w:val="clear" w:color="auto" w:fill="auto"/>
          </w:tcPr>
          <w:p w14:paraId="1B59B060"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Obs.</w:t>
            </w:r>
          </w:p>
        </w:tc>
        <w:tc>
          <w:tcPr>
            <w:tcW w:w="1701" w:type="dxa"/>
            <w:tcBorders>
              <w:bottom w:val="single" w:sz="4" w:space="0" w:color="auto"/>
            </w:tcBorders>
          </w:tcPr>
          <w:p w14:paraId="5AD00321" w14:textId="77777777" w:rsidR="005D304D" w:rsidRPr="00070779" w:rsidRDefault="005D304D" w:rsidP="00CD3E1A">
            <w:pPr>
              <w:widowControl w:val="0"/>
              <w:autoSpaceDE w:val="0"/>
              <w:autoSpaceDN w:val="0"/>
              <w:adjustRightInd w:val="0"/>
              <w:jc w:val="center"/>
              <w:rPr>
                <w:sz w:val="20"/>
                <w:szCs w:val="20"/>
              </w:rPr>
            </w:pPr>
            <w:r w:rsidRPr="00AB3574">
              <w:rPr>
                <w:sz w:val="20"/>
                <w:szCs w:val="20"/>
              </w:rPr>
              <w:t>1228.000</w:t>
            </w:r>
          </w:p>
        </w:tc>
        <w:tc>
          <w:tcPr>
            <w:tcW w:w="1701" w:type="dxa"/>
            <w:tcBorders>
              <w:bottom w:val="single" w:sz="4" w:space="0" w:color="auto"/>
            </w:tcBorders>
          </w:tcPr>
          <w:p w14:paraId="7914E1ED"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8845.000</w:t>
            </w:r>
          </w:p>
        </w:tc>
        <w:tc>
          <w:tcPr>
            <w:tcW w:w="1701" w:type="dxa"/>
            <w:tcBorders>
              <w:bottom w:val="single" w:sz="4" w:space="0" w:color="auto"/>
            </w:tcBorders>
          </w:tcPr>
          <w:p w14:paraId="312C323E"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7742.000</w:t>
            </w:r>
          </w:p>
        </w:tc>
        <w:tc>
          <w:tcPr>
            <w:tcW w:w="1701" w:type="dxa"/>
            <w:tcBorders>
              <w:bottom w:val="single" w:sz="4" w:space="0" w:color="auto"/>
            </w:tcBorders>
          </w:tcPr>
          <w:p w14:paraId="079032CB"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6417.000</w:t>
            </w:r>
          </w:p>
        </w:tc>
      </w:tr>
      <w:tr w:rsidR="005D304D" w:rsidRPr="00070779" w14:paraId="1C33243A" w14:textId="77777777" w:rsidTr="0032415E">
        <w:trPr>
          <w:jc w:val="center"/>
        </w:trPr>
        <w:tc>
          <w:tcPr>
            <w:tcW w:w="2694" w:type="dxa"/>
            <w:tcBorders>
              <w:top w:val="single" w:sz="4" w:space="0" w:color="auto"/>
              <w:bottom w:val="nil"/>
            </w:tcBorders>
            <w:vAlign w:val="center"/>
          </w:tcPr>
          <w:p w14:paraId="13278522" w14:textId="77777777" w:rsidR="005D304D" w:rsidRPr="00492AA4" w:rsidRDefault="005D304D" w:rsidP="00CD3E1A">
            <w:pPr>
              <w:widowControl w:val="0"/>
              <w:autoSpaceDE w:val="0"/>
              <w:autoSpaceDN w:val="0"/>
              <w:adjustRightInd w:val="0"/>
              <w:jc w:val="center"/>
              <w:rPr>
                <w:b/>
                <w:bCs/>
                <w:sz w:val="20"/>
                <w:szCs w:val="20"/>
              </w:rPr>
            </w:pPr>
            <w:r w:rsidRPr="00492AA4">
              <w:rPr>
                <w:b/>
                <w:bCs/>
                <w:sz w:val="20"/>
                <w:szCs w:val="20"/>
              </w:rPr>
              <w:t>Panel B: 2</w:t>
            </w:r>
            <w:r w:rsidRPr="00492AA4">
              <w:rPr>
                <w:b/>
                <w:bCs/>
                <w:sz w:val="20"/>
                <w:szCs w:val="20"/>
                <w:vertAlign w:val="superscript"/>
              </w:rPr>
              <w:t>nd</w:t>
            </w:r>
            <w:r w:rsidRPr="00492AA4">
              <w:rPr>
                <w:b/>
                <w:bCs/>
                <w:sz w:val="20"/>
                <w:szCs w:val="20"/>
              </w:rPr>
              <w:t xml:space="preserve"> stage</w:t>
            </w:r>
          </w:p>
        </w:tc>
        <w:tc>
          <w:tcPr>
            <w:tcW w:w="1701" w:type="dxa"/>
            <w:tcBorders>
              <w:top w:val="single" w:sz="4" w:space="0" w:color="auto"/>
              <w:bottom w:val="single" w:sz="4" w:space="0" w:color="auto"/>
            </w:tcBorders>
          </w:tcPr>
          <w:p w14:paraId="6E2B20CC" w14:textId="77777777" w:rsidR="005D304D" w:rsidRPr="00070779" w:rsidRDefault="005D304D" w:rsidP="00CD3E1A">
            <w:pPr>
              <w:widowControl w:val="0"/>
              <w:autoSpaceDE w:val="0"/>
              <w:autoSpaceDN w:val="0"/>
              <w:adjustRightInd w:val="0"/>
              <w:jc w:val="center"/>
              <w:rPr>
                <w:sz w:val="20"/>
                <w:szCs w:val="20"/>
              </w:rPr>
            </w:pPr>
          </w:p>
        </w:tc>
        <w:tc>
          <w:tcPr>
            <w:tcW w:w="1701" w:type="dxa"/>
            <w:tcBorders>
              <w:top w:val="single" w:sz="4" w:space="0" w:color="auto"/>
              <w:bottom w:val="single" w:sz="4" w:space="0" w:color="auto"/>
            </w:tcBorders>
          </w:tcPr>
          <w:p w14:paraId="07961BD6" w14:textId="77777777" w:rsidR="005D304D" w:rsidRPr="00070779" w:rsidRDefault="005D304D" w:rsidP="00CD3E1A">
            <w:pPr>
              <w:widowControl w:val="0"/>
              <w:autoSpaceDE w:val="0"/>
              <w:autoSpaceDN w:val="0"/>
              <w:adjustRightInd w:val="0"/>
              <w:jc w:val="center"/>
              <w:rPr>
                <w:sz w:val="20"/>
                <w:szCs w:val="20"/>
              </w:rPr>
            </w:pPr>
          </w:p>
        </w:tc>
        <w:tc>
          <w:tcPr>
            <w:tcW w:w="1701" w:type="dxa"/>
            <w:tcBorders>
              <w:top w:val="single" w:sz="4" w:space="0" w:color="auto"/>
              <w:bottom w:val="single" w:sz="4" w:space="0" w:color="auto"/>
            </w:tcBorders>
          </w:tcPr>
          <w:p w14:paraId="24B69F9C" w14:textId="77777777" w:rsidR="005D304D" w:rsidRPr="00070779" w:rsidRDefault="005D304D" w:rsidP="00CD3E1A">
            <w:pPr>
              <w:widowControl w:val="0"/>
              <w:autoSpaceDE w:val="0"/>
              <w:autoSpaceDN w:val="0"/>
              <w:adjustRightInd w:val="0"/>
              <w:jc w:val="center"/>
              <w:rPr>
                <w:sz w:val="20"/>
                <w:szCs w:val="20"/>
              </w:rPr>
            </w:pPr>
          </w:p>
        </w:tc>
        <w:tc>
          <w:tcPr>
            <w:tcW w:w="1701" w:type="dxa"/>
            <w:tcBorders>
              <w:top w:val="single" w:sz="4" w:space="0" w:color="auto"/>
              <w:bottom w:val="single" w:sz="4" w:space="0" w:color="auto"/>
            </w:tcBorders>
          </w:tcPr>
          <w:p w14:paraId="0D15E65D" w14:textId="77777777" w:rsidR="005D304D" w:rsidRPr="00070779" w:rsidRDefault="005D304D" w:rsidP="00CD3E1A">
            <w:pPr>
              <w:widowControl w:val="0"/>
              <w:autoSpaceDE w:val="0"/>
              <w:autoSpaceDN w:val="0"/>
              <w:adjustRightInd w:val="0"/>
              <w:jc w:val="center"/>
              <w:rPr>
                <w:sz w:val="20"/>
                <w:szCs w:val="20"/>
              </w:rPr>
            </w:pPr>
          </w:p>
        </w:tc>
      </w:tr>
      <w:tr w:rsidR="005D304D" w:rsidRPr="00070779" w14:paraId="5BD9FD1D" w14:textId="77777777" w:rsidTr="0032415E">
        <w:trPr>
          <w:jc w:val="center"/>
        </w:trPr>
        <w:tc>
          <w:tcPr>
            <w:tcW w:w="2694" w:type="dxa"/>
            <w:tcBorders>
              <w:top w:val="nil"/>
            </w:tcBorders>
            <w:shd w:val="clear" w:color="auto" w:fill="auto"/>
          </w:tcPr>
          <w:p w14:paraId="71017F83"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Lead agent share</w:t>
            </w:r>
          </w:p>
        </w:tc>
        <w:tc>
          <w:tcPr>
            <w:tcW w:w="1701" w:type="dxa"/>
            <w:tcBorders>
              <w:top w:val="single" w:sz="4" w:space="0" w:color="auto"/>
            </w:tcBorders>
          </w:tcPr>
          <w:p w14:paraId="6185B881" w14:textId="77777777" w:rsidR="005D304D" w:rsidRPr="00070779" w:rsidRDefault="005D304D" w:rsidP="00CD3E1A">
            <w:pPr>
              <w:widowControl w:val="0"/>
              <w:autoSpaceDE w:val="0"/>
              <w:autoSpaceDN w:val="0"/>
              <w:adjustRightInd w:val="0"/>
              <w:jc w:val="center"/>
              <w:rPr>
                <w:sz w:val="20"/>
                <w:szCs w:val="20"/>
              </w:rPr>
            </w:pPr>
            <w:r w:rsidRPr="00946126">
              <w:rPr>
                <w:sz w:val="20"/>
                <w:szCs w:val="20"/>
              </w:rPr>
              <w:t>1.514</w:t>
            </w:r>
            <w:r w:rsidRPr="00946126">
              <w:rPr>
                <w:sz w:val="20"/>
                <w:szCs w:val="20"/>
                <w:vertAlign w:val="superscript"/>
              </w:rPr>
              <w:t>***</w:t>
            </w:r>
          </w:p>
        </w:tc>
        <w:tc>
          <w:tcPr>
            <w:tcW w:w="1701" w:type="dxa"/>
            <w:tcBorders>
              <w:top w:val="single" w:sz="4" w:space="0" w:color="auto"/>
            </w:tcBorders>
          </w:tcPr>
          <w:p w14:paraId="620406B3"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3.208</w:t>
            </w:r>
            <w:r w:rsidRPr="004B0098">
              <w:rPr>
                <w:sz w:val="20"/>
                <w:szCs w:val="20"/>
                <w:vertAlign w:val="superscript"/>
              </w:rPr>
              <w:t>***</w:t>
            </w:r>
          </w:p>
        </w:tc>
        <w:tc>
          <w:tcPr>
            <w:tcW w:w="1701" w:type="dxa"/>
            <w:tcBorders>
              <w:top w:val="single" w:sz="4" w:space="0" w:color="auto"/>
            </w:tcBorders>
          </w:tcPr>
          <w:p w14:paraId="4F81F910"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3.145</w:t>
            </w:r>
            <w:r w:rsidRPr="00226979">
              <w:rPr>
                <w:sz w:val="20"/>
                <w:szCs w:val="20"/>
                <w:vertAlign w:val="superscript"/>
              </w:rPr>
              <w:t>***</w:t>
            </w:r>
          </w:p>
        </w:tc>
        <w:tc>
          <w:tcPr>
            <w:tcW w:w="1701" w:type="dxa"/>
            <w:tcBorders>
              <w:top w:val="single" w:sz="4" w:space="0" w:color="auto"/>
            </w:tcBorders>
          </w:tcPr>
          <w:p w14:paraId="483CB434"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3.200</w:t>
            </w:r>
            <w:r w:rsidRPr="000F305B">
              <w:rPr>
                <w:sz w:val="20"/>
                <w:szCs w:val="20"/>
                <w:vertAlign w:val="superscript"/>
              </w:rPr>
              <w:t>***</w:t>
            </w:r>
          </w:p>
        </w:tc>
      </w:tr>
      <w:tr w:rsidR="005D304D" w:rsidRPr="00070779" w14:paraId="52CC7A91" w14:textId="77777777" w:rsidTr="0032415E">
        <w:trPr>
          <w:jc w:val="center"/>
        </w:trPr>
        <w:tc>
          <w:tcPr>
            <w:tcW w:w="2694" w:type="dxa"/>
            <w:shd w:val="clear" w:color="auto" w:fill="auto"/>
          </w:tcPr>
          <w:p w14:paraId="54D033A6" w14:textId="77777777" w:rsidR="005D304D" w:rsidRPr="00070779" w:rsidRDefault="005D304D" w:rsidP="00CD3E1A">
            <w:pPr>
              <w:widowControl w:val="0"/>
              <w:autoSpaceDE w:val="0"/>
              <w:autoSpaceDN w:val="0"/>
              <w:adjustRightInd w:val="0"/>
              <w:jc w:val="center"/>
              <w:rPr>
                <w:sz w:val="20"/>
                <w:szCs w:val="20"/>
              </w:rPr>
            </w:pPr>
          </w:p>
        </w:tc>
        <w:tc>
          <w:tcPr>
            <w:tcW w:w="1701" w:type="dxa"/>
          </w:tcPr>
          <w:p w14:paraId="525A59A5" w14:textId="77777777" w:rsidR="005D304D" w:rsidRPr="00070779" w:rsidRDefault="005D304D" w:rsidP="00CD3E1A">
            <w:pPr>
              <w:widowControl w:val="0"/>
              <w:autoSpaceDE w:val="0"/>
              <w:autoSpaceDN w:val="0"/>
              <w:adjustRightInd w:val="0"/>
              <w:jc w:val="center"/>
              <w:rPr>
                <w:sz w:val="20"/>
                <w:szCs w:val="20"/>
              </w:rPr>
            </w:pPr>
            <w:r w:rsidRPr="00946126">
              <w:rPr>
                <w:sz w:val="20"/>
                <w:szCs w:val="20"/>
              </w:rPr>
              <w:t>(0.52)</w:t>
            </w:r>
          </w:p>
        </w:tc>
        <w:tc>
          <w:tcPr>
            <w:tcW w:w="1701" w:type="dxa"/>
          </w:tcPr>
          <w:p w14:paraId="6F2DEFD2"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(0.46)</w:t>
            </w:r>
          </w:p>
        </w:tc>
        <w:tc>
          <w:tcPr>
            <w:tcW w:w="1701" w:type="dxa"/>
          </w:tcPr>
          <w:p w14:paraId="5056462C"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(0.52)</w:t>
            </w:r>
          </w:p>
        </w:tc>
        <w:tc>
          <w:tcPr>
            <w:tcW w:w="1701" w:type="dxa"/>
          </w:tcPr>
          <w:p w14:paraId="18CEDBA1"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(0.70)</w:t>
            </w:r>
          </w:p>
        </w:tc>
      </w:tr>
      <w:tr w:rsidR="005D304D" w:rsidRPr="00070779" w14:paraId="030CD306" w14:textId="77777777" w:rsidTr="0032415E">
        <w:trPr>
          <w:jc w:val="center"/>
        </w:trPr>
        <w:tc>
          <w:tcPr>
            <w:tcW w:w="2694" w:type="dxa"/>
            <w:shd w:val="clear" w:color="auto" w:fill="auto"/>
          </w:tcPr>
          <w:p w14:paraId="0986E6AB" w14:textId="77777777" w:rsidR="005D304D" w:rsidRPr="00070779" w:rsidRDefault="005D304D" w:rsidP="00CD3E1A">
            <w:pPr>
              <w:widowControl w:val="0"/>
              <w:autoSpaceDE w:val="0"/>
              <w:autoSpaceDN w:val="0"/>
              <w:adjustRightInd w:val="0"/>
              <w:jc w:val="center"/>
              <w:rPr>
                <w:sz w:val="20"/>
                <w:szCs w:val="20"/>
              </w:rPr>
            </w:pPr>
            <w:r w:rsidRPr="00070779">
              <w:rPr>
                <w:rFonts w:eastAsia="DengXian"/>
                <w:sz w:val="20"/>
                <w:szCs w:val="20"/>
                <w:lang w:eastAsia="zh-CN"/>
              </w:rPr>
              <w:t>Log(</w:t>
            </w:r>
            <w:r>
              <w:rPr>
                <w:rFonts w:eastAsia="DengXian"/>
                <w:sz w:val="20"/>
                <w:szCs w:val="20"/>
                <w:lang w:eastAsia="zh-CN"/>
              </w:rPr>
              <w:t>Length large CS links</w:t>
            </w:r>
            <w:r w:rsidRPr="00070779">
              <w:rPr>
                <w:rFonts w:eastAsia="DengXian"/>
                <w:sz w:val="20"/>
                <w:szCs w:val="20"/>
                <w:lang w:eastAsia="zh-CN"/>
              </w:rPr>
              <w:t>)</w:t>
            </w:r>
          </w:p>
        </w:tc>
        <w:tc>
          <w:tcPr>
            <w:tcW w:w="1701" w:type="dxa"/>
          </w:tcPr>
          <w:p w14:paraId="174BE75E" w14:textId="77777777" w:rsidR="005D304D" w:rsidRPr="00070779" w:rsidRDefault="005D304D" w:rsidP="00CD3E1A">
            <w:pPr>
              <w:widowControl w:val="0"/>
              <w:autoSpaceDE w:val="0"/>
              <w:autoSpaceDN w:val="0"/>
              <w:adjustRightInd w:val="0"/>
              <w:jc w:val="center"/>
              <w:rPr>
                <w:sz w:val="20"/>
                <w:szCs w:val="20"/>
              </w:rPr>
            </w:pPr>
            <w:r w:rsidRPr="00946126">
              <w:rPr>
                <w:sz w:val="20"/>
                <w:szCs w:val="20"/>
              </w:rPr>
              <w:t>-0.016</w:t>
            </w:r>
          </w:p>
        </w:tc>
        <w:tc>
          <w:tcPr>
            <w:tcW w:w="1701" w:type="dxa"/>
          </w:tcPr>
          <w:p w14:paraId="55F7D24B"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-0.071</w:t>
            </w:r>
          </w:p>
        </w:tc>
        <w:tc>
          <w:tcPr>
            <w:tcW w:w="1701" w:type="dxa"/>
          </w:tcPr>
          <w:p w14:paraId="1F4B7C96"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-0.037</w:t>
            </w:r>
          </w:p>
        </w:tc>
        <w:tc>
          <w:tcPr>
            <w:tcW w:w="1701" w:type="dxa"/>
          </w:tcPr>
          <w:p w14:paraId="2DF74B34"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-0.104</w:t>
            </w:r>
          </w:p>
        </w:tc>
      </w:tr>
      <w:tr w:rsidR="005D304D" w:rsidRPr="00070779" w14:paraId="02B50151" w14:textId="77777777" w:rsidTr="0032415E">
        <w:trPr>
          <w:jc w:val="center"/>
        </w:trPr>
        <w:tc>
          <w:tcPr>
            <w:tcW w:w="2694" w:type="dxa"/>
            <w:shd w:val="clear" w:color="auto" w:fill="auto"/>
          </w:tcPr>
          <w:p w14:paraId="1E084B73" w14:textId="77777777" w:rsidR="005D304D" w:rsidRPr="00070779" w:rsidRDefault="005D304D" w:rsidP="00CD3E1A">
            <w:pPr>
              <w:widowControl w:val="0"/>
              <w:autoSpaceDE w:val="0"/>
              <w:autoSpaceDN w:val="0"/>
              <w:adjustRightInd w:val="0"/>
              <w:jc w:val="center"/>
              <w:rPr>
                <w:sz w:val="20"/>
                <w:szCs w:val="20"/>
              </w:rPr>
            </w:pPr>
          </w:p>
        </w:tc>
        <w:tc>
          <w:tcPr>
            <w:tcW w:w="1701" w:type="dxa"/>
          </w:tcPr>
          <w:p w14:paraId="3F432C15" w14:textId="77777777" w:rsidR="005D304D" w:rsidRPr="00070779" w:rsidRDefault="005D304D" w:rsidP="00CD3E1A">
            <w:pPr>
              <w:widowControl w:val="0"/>
              <w:autoSpaceDE w:val="0"/>
              <w:autoSpaceDN w:val="0"/>
              <w:adjustRightInd w:val="0"/>
              <w:jc w:val="center"/>
              <w:rPr>
                <w:sz w:val="20"/>
                <w:szCs w:val="20"/>
              </w:rPr>
            </w:pPr>
            <w:r w:rsidRPr="00946126">
              <w:rPr>
                <w:sz w:val="20"/>
                <w:szCs w:val="20"/>
              </w:rPr>
              <w:t>(0.10)</w:t>
            </w:r>
          </w:p>
        </w:tc>
        <w:tc>
          <w:tcPr>
            <w:tcW w:w="1701" w:type="dxa"/>
          </w:tcPr>
          <w:p w14:paraId="0EFF000B"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(0.05)</w:t>
            </w:r>
          </w:p>
        </w:tc>
        <w:tc>
          <w:tcPr>
            <w:tcW w:w="1701" w:type="dxa"/>
          </w:tcPr>
          <w:p w14:paraId="67B15460"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(0.04)</w:t>
            </w:r>
          </w:p>
        </w:tc>
        <w:tc>
          <w:tcPr>
            <w:tcW w:w="1701" w:type="dxa"/>
          </w:tcPr>
          <w:p w14:paraId="18FED16D"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(0.07)</w:t>
            </w:r>
          </w:p>
        </w:tc>
      </w:tr>
      <w:tr w:rsidR="005D304D" w:rsidRPr="00070779" w14:paraId="05FA4586" w14:textId="77777777" w:rsidTr="0032415E">
        <w:trPr>
          <w:jc w:val="center"/>
        </w:trPr>
        <w:tc>
          <w:tcPr>
            <w:tcW w:w="2694" w:type="dxa"/>
            <w:shd w:val="clear" w:color="auto" w:fill="auto"/>
          </w:tcPr>
          <w:p w14:paraId="7500352C"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Controls</w:t>
            </w:r>
          </w:p>
        </w:tc>
        <w:tc>
          <w:tcPr>
            <w:tcW w:w="1701" w:type="dxa"/>
          </w:tcPr>
          <w:p w14:paraId="2404D465"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6854F763"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1EA382DC"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01DFE900"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592C824F" w14:textId="77777777" w:rsidTr="0032415E">
        <w:trPr>
          <w:jc w:val="center"/>
        </w:trPr>
        <w:tc>
          <w:tcPr>
            <w:tcW w:w="2694" w:type="dxa"/>
            <w:shd w:val="clear" w:color="auto" w:fill="auto"/>
          </w:tcPr>
          <w:p w14:paraId="6D49D2B6"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Year FE</w:t>
            </w:r>
          </w:p>
        </w:tc>
        <w:tc>
          <w:tcPr>
            <w:tcW w:w="1701" w:type="dxa"/>
          </w:tcPr>
          <w:p w14:paraId="44258752"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6EC51F0A"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1B44C310"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37FBFD2D"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0C90524B" w14:textId="77777777" w:rsidTr="0032415E">
        <w:trPr>
          <w:jc w:val="center"/>
        </w:trPr>
        <w:tc>
          <w:tcPr>
            <w:tcW w:w="2694" w:type="dxa"/>
            <w:shd w:val="clear" w:color="auto" w:fill="auto"/>
          </w:tcPr>
          <w:p w14:paraId="1B8FFE2C"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Borrower sector FE</w:t>
            </w:r>
          </w:p>
        </w:tc>
        <w:tc>
          <w:tcPr>
            <w:tcW w:w="1701" w:type="dxa"/>
          </w:tcPr>
          <w:p w14:paraId="7E169FEB"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4501F494"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7710B57E"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570F99E9"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54447687" w14:textId="77777777" w:rsidTr="0032415E">
        <w:trPr>
          <w:jc w:val="center"/>
        </w:trPr>
        <w:tc>
          <w:tcPr>
            <w:tcW w:w="2694" w:type="dxa"/>
            <w:shd w:val="clear" w:color="auto" w:fill="auto"/>
          </w:tcPr>
          <w:p w14:paraId="17B1C823"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Bank FE</w:t>
            </w:r>
          </w:p>
        </w:tc>
        <w:tc>
          <w:tcPr>
            <w:tcW w:w="1701" w:type="dxa"/>
          </w:tcPr>
          <w:p w14:paraId="1A57A5BB"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2F7DC78F"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075D7D83"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28A4C5C9"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7AE996E0" w14:textId="77777777" w:rsidTr="0032415E">
        <w:trPr>
          <w:jc w:val="center"/>
        </w:trPr>
        <w:tc>
          <w:tcPr>
            <w:tcW w:w="2694" w:type="dxa"/>
            <w:shd w:val="clear" w:color="auto" w:fill="auto"/>
          </w:tcPr>
          <w:p w14:paraId="6183EFF5"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R2</w:t>
            </w:r>
          </w:p>
        </w:tc>
        <w:tc>
          <w:tcPr>
            <w:tcW w:w="1701" w:type="dxa"/>
          </w:tcPr>
          <w:p w14:paraId="1D997ED2" w14:textId="77777777" w:rsidR="005D304D" w:rsidRPr="00070779" w:rsidRDefault="005D304D" w:rsidP="00CD3E1A">
            <w:pPr>
              <w:widowControl w:val="0"/>
              <w:autoSpaceDE w:val="0"/>
              <w:autoSpaceDN w:val="0"/>
              <w:adjustRightInd w:val="0"/>
              <w:jc w:val="center"/>
              <w:rPr>
                <w:sz w:val="20"/>
                <w:szCs w:val="20"/>
              </w:rPr>
            </w:pPr>
            <w:r w:rsidRPr="00BE2D78">
              <w:rPr>
                <w:sz w:val="20"/>
                <w:szCs w:val="20"/>
              </w:rPr>
              <w:t>0.467</w:t>
            </w:r>
          </w:p>
        </w:tc>
        <w:tc>
          <w:tcPr>
            <w:tcW w:w="1701" w:type="dxa"/>
          </w:tcPr>
          <w:p w14:paraId="24A2F896"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0.557</w:t>
            </w:r>
          </w:p>
        </w:tc>
        <w:tc>
          <w:tcPr>
            <w:tcW w:w="1701" w:type="dxa"/>
          </w:tcPr>
          <w:p w14:paraId="1B27521C"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0.566</w:t>
            </w:r>
          </w:p>
        </w:tc>
        <w:tc>
          <w:tcPr>
            <w:tcW w:w="1701" w:type="dxa"/>
          </w:tcPr>
          <w:p w14:paraId="4E85B7D0"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0.578</w:t>
            </w:r>
          </w:p>
        </w:tc>
      </w:tr>
      <w:tr w:rsidR="005D304D" w:rsidRPr="00070779" w14:paraId="7B566FA7" w14:textId="77777777" w:rsidTr="0032415E">
        <w:trPr>
          <w:jc w:val="center"/>
        </w:trPr>
        <w:tc>
          <w:tcPr>
            <w:tcW w:w="2694" w:type="dxa"/>
            <w:tcBorders>
              <w:bottom w:val="single" w:sz="4" w:space="0" w:color="auto"/>
            </w:tcBorders>
            <w:shd w:val="clear" w:color="auto" w:fill="auto"/>
          </w:tcPr>
          <w:p w14:paraId="6E4E1A4A"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Obs.</w:t>
            </w:r>
          </w:p>
        </w:tc>
        <w:tc>
          <w:tcPr>
            <w:tcW w:w="1701" w:type="dxa"/>
            <w:tcBorders>
              <w:bottom w:val="single" w:sz="4" w:space="0" w:color="auto"/>
            </w:tcBorders>
          </w:tcPr>
          <w:p w14:paraId="45538018" w14:textId="77777777" w:rsidR="005D304D" w:rsidRPr="00070779" w:rsidRDefault="005D304D" w:rsidP="00CD3E1A">
            <w:pPr>
              <w:widowControl w:val="0"/>
              <w:autoSpaceDE w:val="0"/>
              <w:autoSpaceDN w:val="0"/>
              <w:adjustRightInd w:val="0"/>
              <w:jc w:val="center"/>
              <w:rPr>
                <w:sz w:val="20"/>
                <w:szCs w:val="20"/>
              </w:rPr>
            </w:pPr>
            <w:r w:rsidRPr="00AB3574">
              <w:rPr>
                <w:sz w:val="20"/>
                <w:szCs w:val="20"/>
              </w:rPr>
              <w:t>1228.000</w:t>
            </w:r>
          </w:p>
        </w:tc>
        <w:tc>
          <w:tcPr>
            <w:tcW w:w="1701" w:type="dxa"/>
            <w:tcBorders>
              <w:bottom w:val="single" w:sz="4" w:space="0" w:color="auto"/>
            </w:tcBorders>
          </w:tcPr>
          <w:p w14:paraId="2F65F242"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8845.000</w:t>
            </w:r>
          </w:p>
        </w:tc>
        <w:tc>
          <w:tcPr>
            <w:tcW w:w="1701" w:type="dxa"/>
            <w:tcBorders>
              <w:bottom w:val="single" w:sz="4" w:space="0" w:color="auto"/>
            </w:tcBorders>
          </w:tcPr>
          <w:p w14:paraId="750BAA23"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7742.000</w:t>
            </w:r>
          </w:p>
        </w:tc>
        <w:tc>
          <w:tcPr>
            <w:tcW w:w="1701" w:type="dxa"/>
            <w:tcBorders>
              <w:bottom w:val="single" w:sz="4" w:space="0" w:color="auto"/>
            </w:tcBorders>
          </w:tcPr>
          <w:p w14:paraId="5B8AEA96"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6417.000</w:t>
            </w:r>
          </w:p>
        </w:tc>
      </w:tr>
      <w:tr w:rsidR="005D304D" w:rsidRPr="00070779" w14:paraId="74F53AC0" w14:textId="77777777" w:rsidTr="0032415E">
        <w:trPr>
          <w:jc w:val="center"/>
        </w:trPr>
        <w:tc>
          <w:tcPr>
            <w:tcW w:w="2694" w:type="dxa"/>
            <w:tcBorders>
              <w:top w:val="single" w:sz="4" w:space="0" w:color="auto"/>
              <w:bottom w:val="nil"/>
            </w:tcBorders>
            <w:vAlign w:val="center"/>
          </w:tcPr>
          <w:p w14:paraId="3E0660D7" w14:textId="77777777" w:rsidR="005D304D" w:rsidRPr="00492AA4" w:rsidRDefault="005D304D" w:rsidP="00CD3E1A">
            <w:pPr>
              <w:widowControl w:val="0"/>
              <w:autoSpaceDE w:val="0"/>
              <w:autoSpaceDN w:val="0"/>
              <w:adjustRightInd w:val="0"/>
              <w:jc w:val="center"/>
              <w:rPr>
                <w:b/>
                <w:bCs/>
                <w:sz w:val="20"/>
                <w:szCs w:val="20"/>
              </w:rPr>
            </w:pPr>
            <w:r w:rsidRPr="00492AA4">
              <w:rPr>
                <w:b/>
                <w:bCs/>
                <w:sz w:val="20"/>
                <w:szCs w:val="20"/>
              </w:rPr>
              <w:t>Panel C: 2</w:t>
            </w:r>
            <w:r w:rsidRPr="00492AA4">
              <w:rPr>
                <w:b/>
                <w:bCs/>
                <w:sz w:val="20"/>
                <w:szCs w:val="20"/>
                <w:vertAlign w:val="superscript"/>
              </w:rPr>
              <w:t>nd</w:t>
            </w:r>
            <w:r w:rsidRPr="00492AA4">
              <w:rPr>
                <w:b/>
                <w:bCs/>
                <w:sz w:val="20"/>
                <w:szCs w:val="20"/>
              </w:rPr>
              <w:t xml:space="preserve"> stage</w:t>
            </w:r>
          </w:p>
        </w:tc>
        <w:tc>
          <w:tcPr>
            <w:tcW w:w="1701" w:type="dxa"/>
            <w:tcBorders>
              <w:top w:val="single" w:sz="4" w:space="0" w:color="auto"/>
              <w:bottom w:val="single" w:sz="4" w:space="0" w:color="auto"/>
            </w:tcBorders>
          </w:tcPr>
          <w:p w14:paraId="15BDE5A9" w14:textId="77777777" w:rsidR="005D304D" w:rsidRPr="00070779" w:rsidRDefault="005D304D" w:rsidP="00CD3E1A">
            <w:pPr>
              <w:widowControl w:val="0"/>
              <w:autoSpaceDE w:val="0"/>
              <w:autoSpaceDN w:val="0"/>
              <w:adjustRightInd w:val="0"/>
              <w:jc w:val="center"/>
              <w:rPr>
                <w:sz w:val="20"/>
                <w:szCs w:val="20"/>
              </w:rPr>
            </w:pPr>
          </w:p>
        </w:tc>
        <w:tc>
          <w:tcPr>
            <w:tcW w:w="1701" w:type="dxa"/>
            <w:tcBorders>
              <w:top w:val="single" w:sz="4" w:space="0" w:color="auto"/>
              <w:bottom w:val="single" w:sz="4" w:space="0" w:color="auto"/>
            </w:tcBorders>
          </w:tcPr>
          <w:p w14:paraId="312037CC" w14:textId="77777777" w:rsidR="005D304D" w:rsidRPr="00070779" w:rsidRDefault="005D304D" w:rsidP="00CD3E1A">
            <w:pPr>
              <w:widowControl w:val="0"/>
              <w:autoSpaceDE w:val="0"/>
              <w:autoSpaceDN w:val="0"/>
              <w:adjustRightInd w:val="0"/>
              <w:jc w:val="center"/>
              <w:rPr>
                <w:sz w:val="20"/>
                <w:szCs w:val="20"/>
              </w:rPr>
            </w:pPr>
          </w:p>
        </w:tc>
        <w:tc>
          <w:tcPr>
            <w:tcW w:w="1701" w:type="dxa"/>
            <w:tcBorders>
              <w:top w:val="single" w:sz="4" w:space="0" w:color="auto"/>
              <w:bottom w:val="single" w:sz="4" w:space="0" w:color="auto"/>
            </w:tcBorders>
          </w:tcPr>
          <w:p w14:paraId="3C0957D0" w14:textId="77777777" w:rsidR="005D304D" w:rsidRPr="00070779" w:rsidRDefault="005D304D" w:rsidP="00CD3E1A">
            <w:pPr>
              <w:widowControl w:val="0"/>
              <w:autoSpaceDE w:val="0"/>
              <w:autoSpaceDN w:val="0"/>
              <w:adjustRightInd w:val="0"/>
              <w:jc w:val="center"/>
              <w:rPr>
                <w:sz w:val="20"/>
                <w:szCs w:val="20"/>
              </w:rPr>
            </w:pPr>
          </w:p>
        </w:tc>
        <w:tc>
          <w:tcPr>
            <w:tcW w:w="1701" w:type="dxa"/>
            <w:tcBorders>
              <w:top w:val="single" w:sz="4" w:space="0" w:color="auto"/>
              <w:bottom w:val="single" w:sz="4" w:space="0" w:color="auto"/>
            </w:tcBorders>
          </w:tcPr>
          <w:p w14:paraId="4D7AA413" w14:textId="77777777" w:rsidR="005D304D" w:rsidRPr="00070779" w:rsidRDefault="005D304D" w:rsidP="00CD3E1A">
            <w:pPr>
              <w:widowControl w:val="0"/>
              <w:autoSpaceDE w:val="0"/>
              <w:autoSpaceDN w:val="0"/>
              <w:adjustRightInd w:val="0"/>
              <w:jc w:val="center"/>
              <w:rPr>
                <w:sz w:val="20"/>
                <w:szCs w:val="20"/>
              </w:rPr>
            </w:pPr>
          </w:p>
        </w:tc>
      </w:tr>
      <w:tr w:rsidR="005D304D" w:rsidRPr="00070779" w14:paraId="2D8D3708" w14:textId="77777777" w:rsidTr="0032415E">
        <w:trPr>
          <w:jc w:val="center"/>
        </w:trPr>
        <w:tc>
          <w:tcPr>
            <w:tcW w:w="2694" w:type="dxa"/>
            <w:tcBorders>
              <w:top w:val="nil"/>
            </w:tcBorders>
            <w:shd w:val="clear" w:color="auto" w:fill="auto"/>
          </w:tcPr>
          <w:p w14:paraId="7EDBCD62"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Lead agent share</w:t>
            </w:r>
          </w:p>
        </w:tc>
        <w:tc>
          <w:tcPr>
            <w:tcW w:w="1701" w:type="dxa"/>
            <w:tcBorders>
              <w:top w:val="single" w:sz="4" w:space="0" w:color="auto"/>
            </w:tcBorders>
          </w:tcPr>
          <w:p w14:paraId="51632FB2" w14:textId="77777777" w:rsidR="005D304D" w:rsidRPr="00070779" w:rsidRDefault="005D304D" w:rsidP="00CD3E1A">
            <w:pPr>
              <w:widowControl w:val="0"/>
              <w:autoSpaceDE w:val="0"/>
              <w:autoSpaceDN w:val="0"/>
              <w:adjustRightInd w:val="0"/>
              <w:jc w:val="center"/>
              <w:rPr>
                <w:sz w:val="20"/>
                <w:szCs w:val="20"/>
              </w:rPr>
            </w:pPr>
            <w:r w:rsidRPr="00946126">
              <w:rPr>
                <w:sz w:val="20"/>
                <w:szCs w:val="20"/>
              </w:rPr>
              <w:t>1.487</w:t>
            </w:r>
            <w:r w:rsidRPr="00946126">
              <w:rPr>
                <w:sz w:val="20"/>
                <w:szCs w:val="20"/>
                <w:vertAlign w:val="superscript"/>
              </w:rPr>
              <w:t>*</w:t>
            </w:r>
          </w:p>
        </w:tc>
        <w:tc>
          <w:tcPr>
            <w:tcW w:w="1701" w:type="dxa"/>
            <w:tcBorders>
              <w:top w:val="single" w:sz="4" w:space="0" w:color="auto"/>
            </w:tcBorders>
          </w:tcPr>
          <w:p w14:paraId="6529ACAF"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3.227</w:t>
            </w:r>
            <w:r w:rsidRPr="004B0098">
              <w:rPr>
                <w:sz w:val="20"/>
                <w:szCs w:val="20"/>
                <w:vertAlign w:val="superscript"/>
              </w:rPr>
              <w:t>***</w:t>
            </w:r>
          </w:p>
        </w:tc>
        <w:tc>
          <w:tcPr>
            <w:tcW w:w="1701" w:type="dxa"/>
            <w:tcBorders>
              <w:top w:val="single" w:sz="4" w:space="0" w:color="auto"/>
            </w:tcBorders>
          </w:tcPr>
          <w:p w14:paraId="0AD29A6E"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3.145</w:t>
            </w:r>
            <w:r w:rsidRPr="00226979">
              <w:rPr>
                <w:sz w:val="20"/>
                <w:szCs w:val="20"/>
                <w:vertAlign w:val="superscript"/>
              </w:rPr>
              <w:t>***</w:t>
            </w:r>
          </w:p>
        </w:tc>
        <w:tc>
          <w:tcPr>
            <w:tcW w:w="1701" w:type="dxa"/>
            <w:tcBorders>
              <w:top w:val="single" w:sz="4" w:space="0" w:color="auto"/>
            </w:tcBorders>
          </w:tcPr>
          <w:p w14:paraId="4C7B342B"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3.190</w:t>
            </w:r>
            <w:r w:rsidRPr="000F305B">
              <w:rPr>
                <w:sz w:val="20"/>
                <w:szCs w:val="20"/>
                <w:vertAlign w:val="superscript"/>
              </w:rPr>
              <w:t>***</w:t>
            </w:r>
          </w:p>
        </w:tc>
      </w:tr>
      <w:tr w:rsidR="005D304D" w:rsidRPr="00070779" w14:paraId="14AA5A72" w14:textId="77777777" w:rsidTr="0032415E">
        <w:trPr>
          <w:jc w:val="center"/>
        </w:trPr>
        <w:tc>
          <w:tcPr>
            <w:tcW w:w="2694" w:type="dxa"/>
            <w:shd w:val="clear" w:color="auto" w:fill="auto"/>
          </w:tcPr>
          <w:p w14:paraId="1D84E67B" w14:textId="77777777" w:rsidR="005D304D" w:rsidRPr="00070779" w:rsidRDefault="005D304D" w:rsidP="00CD3E1A">
            <w:pPr>
              <w:widowControl w:val="0"/>
              <w:autoSpaceDE w:val="0"/>
              <w:autoSpaceDN w:val="0"/>
              <w:adjustRightInd w:val="0"/>
              <w:jc w:val="center"/>
              <w:rPr>
                <w:sz w:val="20"/>
                <w:szCs w:val="20"/>
              </w:rPr>
            </w:pPr>
          </w:p>
        </w:tc>
        <w:tc>
          <w:tcPr>
            <w:tcW w:w="1701" w:type="dxa"/>
          </w:tcPr>
          <w:p w14:paraId="0E8AB57C" w14:textId="77777777" w:rsidR="005D304D" w:rsidRPr="00070779" w:rsidRDefault="005D304D" w:rsidP="00CD3E1A">
            <w:pPr>
              <w:widowControl w:val="0"/>
              <w:autoSpaceDE w:val="0"/>
              <w:autoSpaceDN w:val="0"/>
              <w:adjustRightInd w:val="0"/>
              <w:jc w:val="center"/>
              <w:rPr>
                <w:sz w:val="20"/>
                <w:szCs w:val="20"/>
              </w:rPr>
            </w:pPr>
            <w:r w:rsidRPr="00946126">
              <w:rPr>
                <w:sz w:val="20"/>
                <w:szCs w:val="20"/>
              </w:rPr>
              <w:t>(0.80)</w:t>
            </w:r>
          </w:p>
        </w:tc>
        <w:tc>
          <w:tcPr>
            <w:tcW w:w="1701" w:type="dxa"/>
          </w:tcPr>
          <w:p w14:paraId="7A60FD62"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(0.55)</w:t>
            </w:r>
          </w:p>
        </w:tc>
        <w:tc>
          <w:tcPr>
            <w:tcW w:w="1701" w:type="dxa"/>
          </w:tcPr>
          <w:p w14:paraId="75E5804D"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(0.69)</w:t>
            </w:r>
          </w:p>
        </w:tc>
        <w:tc>
          <w:tcPr>
            <w:tcW w:w="1701" w:type="dxa"/>
          </w:tcPr>
          <w:p w14:paraId="0077F2CD"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(0.69)</w:t>
            </w:r>
          </w:p>
        </w:tc>
      </w:tr>
      <w:tr w:rsidR="005D304D" w:rsidRPr="00070779" w14:paraId="757E317C" w14:textId="77777777" w:rsidTr="0032415E">
        <w:trPr>
          <w:jc w:val="center"/>
        </w:trPr>
        <w:tc>
          <w:tcPr>
            <w:tcW w:w="2694" w:type="dxa"/>
            <w:shd w:val="clear" w:color="auto" w:fill="auto"/>
          </w:tcPr>
          <w:p w14:paraId="665C9530" w14:textId="77777777" w:rsidR="005D304D" w:rsidRPr="00070779" w:rsidRDefault="005D304D" w:rsidP="00CD3E1A">
            <w:pPr>
              <w:widowControl w:val="0"/>
              <w:autoSpaceDE w:val="0"/>
              <w:autoSpaceDN w:val="0"/>
              <w:adjustRightInd w:val="0"/>
              <w:jc w:val="center"/>
              <w:rPr>
                <w:sz w:val="20"/>
                <w:szCs w:val="20"/>
              </w:rPr>
            </w:pPr>
            <w:r w:rsidRPr="00070779">
              <w:rPr>
                <w:rFonts w:eastAsia="DengXian"/>
                <w:sz w:val="20"/>
                <w:szCs w:val="20"/>
                <w:lang w:eastAsia="zh-CN"/>
              </w:rPr>
              <w:t>Log(</w:t>
            </w:r>
            <w:r>
              <w:rPr>
                <w:rFonts w:eastAsia="DengXian"/>
                <w:sz w:val="20"/>
                <w:szCs w:val="20"/>
                <w:lang w:eastAsia="zh-CN"/>
              </w:rPr>
              <w:t>Length large CS links</w:t>
            </w:r>
            <w:r w:rsidRPr="00070779">
              <w:rPr>
                <w:rFonts w:eastAsia="DengXian"/>
                <w:sz w:val="20"/>
                <w:szCs w:val="20"/>
                <w:lang w:eastAsia="zh-CN"/>
              </w:rPr>
              <w:t>)</w:t>
            </w:r>
          </w:p>
        </w:tc>
        <w:tc>
          <w:tcPr>
            <w:tcW w:w="1701" w:type="dxa"/>
          </w:tcPr>
          <w:p w14:paraId="08D44C9D" w14:textId="77777777" w:rsidR="005D304D" w:rsidRPr="00070779" w:rsidRDefault="005D304D" w:rsidP="00CD3E1A">
            <w:pPr>
              <w:widowControl w:val="0"/>
              <w:autoSpaceDE w:val="0"/>
              <w:autoSpaceDN w:val="0"/>
              <w:adjustRightInd w:val="0"/>
              <w:jc w:val="center"/>
              <w:rPr>
                <w:sz w:val="20"/>
                <w:szCs w:val="20"/>
              </w:rPr>
            </w:pPr>
            <w:r w:rsidRPr="00946126">
              <w:rPr>
                <w:sz w:val="20"/>
                <w:szCs w:val="20"/>
              </w:rPr>
              <w:t>0.452</w:t>
            </w:r>
          </w:p>
        </w:tc>
        <w:tc>
          <w:tcPr>
            <w:tcW w:w="1701" w:type="dxa"/>
          </w:tcPr>
          <w:p w14:paraId="538BC9B3"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0.402</w:t>
            </w:r>
          </w:p>
        </w:tc>
        <w:tc>
          <w:tcPr>
            <w:tcW w:w="1701" w:type="dxa"/>
          </w:tcPr>
          <w:p w14:paraId="34C5A761"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-0.111</w:t>
            </w:r>
          </w:p>
        </w:tc>
        <w:tc>
          <w:tcPr>
            <w:tcW w:w="1701" w:type="dxa"/>
          </w:tcPr>
          <w:p w14:paraId="1DB2F56E"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0.059</w:t>
            </w:r>
          </w:p>
        </w:tc>
      </w:tr>
      <w:tr w:rsidR="005D304D" w:rsidRPr="00070779" w14:paraId="51D34558" w14:textId="77777777" w:rsidTr="0032415E">
        <w:trPr>
          <w:jc w:val="center"/>
        </w:trPr>
        <w:tc>
          <w:tcPr>
            <w:tcW w:w="2694" w:type="dxa"/>
            <w:shd w:val="clear" w:color="auto" w:fill="auto"/>
          </w:tcPr>
          <w:p w14:paraId="053D488D" w14:textId="77777777" w:rsidR="005D304D" w:rsidRPr="00070779" w:rsidRDefault="005D304D" w:rsidP="00CD3E1A">
            <w:pPr>
              <w:widowControl w:val="0"/>
              <w:autoSpaceDE w:val="0"/>
              <w:autoSpaceDN w:val="0"/>
              <w:adjustRightInd w:val="0"/>
              <w:jc w:val="center"/>
              <w:rPr>
                <w:sz w:val="20"/>
                <w:szCs w:val="20"/>
              </w:rPr>
            </w:pPr>
          </w:p>
        </w:tc>
        <w:tc>
          <w:tcPr>
            <w:tcW w:w="1701" w:type="dxa"/>
          </w:tcPr>
          <w:p w14:paraId="1B150F48" w14:textId="77777777" w:rsidR="005D304D" w:rsidRPr="00070779" w:rsidRDefault="005D304D" w:rsidP="00CD3E1A">
            <w:pPr>
              <w:widowControl w:val="0"/>
              <w:autoSpaceDE w:val="0"/>
              <w:autoSpaceDN w:val="0"/>
              <w:adjustRightInd w:val="0"/>
              <w:jc w:val="center"/>
              <w:rPr>
                <w:sz w:val="20"/>
                <w:szCs w:val="20"/>
              </w:rPr>
            </w:pPr>
            <w:r w:rsidRPr="00946126">
              <w:rPr>
                <w:sz w:val="20"/>
                <w:szCs w:val="20"/>
              </w:rPr>
              <w:t>(0.41)</w:t>
            </w:r>
          </w:p>
        </w:tc>
        <w:tc>
          <w:tcPr>
            <w:tcW w:w="1701" w:type="dxa"/>
          </w:tcPr>
          <w:p w14:paraId="11F810A1"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w:t>
            </w:r>
            <w:r>
              <w:rPr>
                <w:sz w:val="20"/>
                <w:szCs w:val="20"/>
              </w:rPr>
              <w:t>3</w:t>
            </w:r>
            <w:r w:rsidRPr="004B0098">
              <w:rPr>
                <w:sz w:val="20"/>
                <w:szCs w:val="20"/>
              </w:rPr>
              <w:t>9)</w:t>
            </w:r>
          </w:p>
        </w:tc>
        <w:tc>
          <w:tcPr>
            <w:tcW w:w="1701" w:type="dxa"/>
          </w:tcPr>
          <w:p w14:paraId="74A2B14C"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(0.14)</w:t>
            </w:r>
          </w:p>
        </w:tc>
        <w:tc>
          <w:tcPr>
            <w:tcW w:w="1701" w:type="dxa"/>
          </w:tcPr>
          <w:p w14:paraId="2078B562"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(0.16)</w:t>
            </w:r>
          </w:p>
        </w:tc>
      </w:tr>
      <w:tr w:rsidR="005D304D" w:rsidRPr="00070779" w14:paraId="5D2312C7" w14:textId="77777777" w:rsidTr="0032415E">
        <w:trPr>
          <w:jc w:val="center"/>
        </w:trPr>
        <w:tc>
          <w:tcPr>
            <w:tcW w:w="2694" w:type="dxa"/>
            <w:shd w:val="clear" w:color="auto" w:fill="auto"/>
          </w:tcPr>
          <w:p w14:paraId="31182B85" w14:textId="77777777" w:rsidR="005D304D" w:rsidRPr="00070779" w:rsidRDefault="005D304D" w:rsidP="00CD3E1A">
            <w:pPr>
              <w:widowControl w:val="0"/>
              <w:autoSpaceDE w:val="0"/>
              <w:autoSpaceDN w:val="0"/>
              <w:adjustRightInd w:val="0"/>
              <w:jc w:val="center"/>
              <w:rPr>
                <w:sz w:val="20"/>
                <w:szCs w:val="20"/>
              </w:rPr>
            </w:pPr>
            <w:r w:rsidRPr="00070779">
              <w:rPr>
                <w:rFonts w:eastAsia="DengXian"/>
                <w:sz w:val="20"/>
                <w:szCs w:val="20"/>
                <w:lang w:eastAsia="zh-CN"/>
              </w:rPr>
              <w:t>Log(</w:t>
            </w:r>
            <w:r>
              <w:rPr>
                <w:rFonts w:eastAsia="DengXian"/>
                <w:sz w:val="20"/>
                <w:szCs w:val="20"/>
                <w:lang w:eastAsia="zh-CN"/>
              </w:rPr>
              <w:t>Length large CS links</w:t>
            </w:r>
            <w:r w:rsidRPr="00070779">
              <w:rPr>
                <w:rFonts w:eastAsia="DengXian"/>
                <w:sz w:val="20"/>
                <w:szCs w:val="20"/>
                <w:lang w:eastAsia="zh-CN"/>
              </w:rPr>
              <w:t>)</w:t>
            </w:r>
            <w:r w:rsidRPr="00070779">
              <w:rPr>
                <w:rFonts w:eastAsia="DengXian"/>
                <w:sz w:val="20"/>
                <w:szCs w:val="20"/>
                <w:vertAlign w:val="superscript"/>
                <w:lang w:eastAsia="zh-CN"/>
              </w:rPr>
              <w:t>2</w:t>
            </w:r>
          </w:p>
        </w:tc>
        <w:tc>
          <w:tcPr>
            <w:tcW w:w="1701" w:type="dxa"/>
          </w:tcPr>
          <w:p w14:paraId="074A4C09" w14:textId="77777777" w:rsidR="005D304D" w:rsidRPr="00070779" w:rsidRDefault="005D304D" w:rsidP="00CD3E1A">
            <w:pPr>
              <w:widowControl w:val="0"/>
              <w:autoSpaceDE w:val="0"/>
              <w:autoSpaceDN w:val="0"/>
              <w:adjustRightInd w:val="0"/>
              <w:jc w:val="center"/>
              <w:rPr>
                <w:sz w:val="20"/>
                <w:szCs w:val="20"/>
              </w:rPr>
            </w:pPr>
            <w:r w:rsidRPr="00946126">
              <w:rPr>
                <w:sz w:val="20"/>
                <w:szCs w:val="20"/>
              </w:rPr>
              <w:t>-0.542</w:t>
            </w:r>
          </w:p>
        </w:tc>
        <w:tc>
          <w:tcPr>
            <w:tcW w:w="1701" w:type="dxa"/>
          </w:tcPr>
          <w:p w14:paraId="4853AA05"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-0.573</w:t>
            </w:r>
          </w:p>
        </w:tc>
        <w:tc>
          <w:tcPr>
            <w:tcW w:w="1701" w:type="dxa"/>
          </w:tcPr>
          <w:p w14:paraId="4CAE56DC"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0.097</w:t>
            </w:r>
          </w:p>
        </w:tc>
        <w:tc>
          <w:tcPr>
            <w:tcW w:w="1701" w:type="dxa"/>
          </w:tcPr>
          <w:p w14:paraId="574715FB"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-0.208</w:t>
            </w:r>
          </w:p>
        </w:tc>
      </w:tr>
      <w:tr w:rsidR="005D304D" w:rsidRPr="00070779" w14:paraId="6336B605" w14:textId="77777777" w:rsidTr="0032415E">
        <w:trPr>
          <w:jc w:val="center"/>
        </w:trPr>
        <w:tc>
          <w:tcPr>
            <w:tcW w:w="2694" w:type="dxa"/>
            <w:shd w:val="clear" w:color="auto" w:fill="auto"/>
          </w:tcPr>
          <w:p w14:paraId="259438E8" w14:textId="77777777" w:rsidR="005D304D" w:rsidRPr="00070779" w:rsidRDefault="005D304D" w:rsidP="00CD3E1A">
            <w:pPr>
              <w:widowControl w:val="0"/>
              <w:autoSpaceDE w:val="0"/>
              <w:autoSpaceDN w:val="0"/>
              <w:adjustRightInd w:val="0"/>
              <w:jc w:val="center"/>
              <w:rPr>
                <w:sz w:val="20"/>
                <w:szCs w:val="20"/>
              </w:rPr>
            </w:pPr>
          </w:p>
        </w:tc>
        <w:tc>
          <w:tcPr>
            <w:tcW w:w="1701" w:type="dxa"/>
            <w:tcBorders>
              <w:bottom w:val="single" w:sz="4" w:space="0" w:color="auto"/>
            </w:tcBorders>
          </w:tcPr>
          <w:p w14:paraId="4257E33D" w14:textId="77777777" w:rsidR="005D304D" w:rsidRPr="00070779" w:rsidRDefault="005D304D" w:rsidP="00CD3E1A">
            <w:pPr>
              <w:widowControl w:val="0"/>
              <w:autoSpaceDE w:val="0"/>
              <w:autoSpaceDN w:val="0"/>
              <w:adjustRightInd w:val="0"/>
              <w:jc w:val="center"/>
              <w:rPr>
                <w:sz w:val="20"/>
                <w:szCs w:val="20"/>
              </w:rPr>
            </w:pPr>
            <w:r w:rsidRPr="00946126">
              <w:rPr>
                <w:sz w:val="20"/>
                <w:szCs w:val="20"/>
              </w:rPr>
              <w:t>(0.39)</w:t>
            </w:r>
          </w:p>
        </w:tc>
        <w:tc>
          <w:tcPr>
            <w:tcW w:w="1701" w:type="dxa"/>
            <w:tcBorders>
              <w:bottom w:val="single" w:sz="4" w:space="0" w:color="auto"/>
            </w:tcBorders>
          </w:tcPr>
          <w:p w14:paraId="40B57586"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w:t>
            </w:r>
            <w:r>
              <w:rPr>
                <w:sz w:val="20"/>
                <w:szCs w:val="20"/>
              </w:rPr>
              <w:t>4</w:t>
            </w:r>
            <w:r w:rsidRPr="004B0098">
              <w:rPr>
                <w:sz w:val="20"/>
                <w:szCs w:val="20"/>
              </w:rPr>
              <w:t>1)</w:t>
            </w:r>
          </w:p>
        </w:tc>
        <w:tc>
          <w:tcPr>
            <w:tcW w:w="1701" w:type="dxa"/>
            <w:tcBorders>
              <w:bottom w:val="single" w:sz="4" w:space="0" w:color="auto"/>
            </w:tcBorders>
          </w:tcPr>
          <w:p w14:paraId="0C6A71C5"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(0.15)</w:t>
            </w:r>
          </w:p>
        </w:tc>
        <w:tc>
          <w:tcPr>
            <w:tcW w:w="1701" w:type="dxa"/>
            <w:tcBorders>
              <w:bottom w:val="single" w:sz="4" w:space="0" w:color="auto"/>
            </w:tcBorders>
          </w:tcPr>
          <w:p w14:paraId="6A9B4F1B"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(0.17)</w:t>
            </w:r>
          </w:p>
        </w:tc>
      </w:tr>
      <w:tr w:rsidR="005D304D" w:rsidRPr="00070779" w14:paraId="46330D01" w14:textId="77777777" w:rsidTr="0032415E">
        <w:trPr>
          <w:jc w:val="center"/>
        </w:trPr>
        <w:tc>
          <w:tcPr>
            <w:tcW w:w="2694" w:type="dxa"/>
            <w:shd w:val="clear" w:color="auto" w:fill="auto"/>
          </w:tcPr>
          <w:p w14:paraId="44F1B748"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Controls</w:t>
            </w:r>
          </w:p>
        </w:tc>
        <w:tc>
          <w:tcPr>
            <w:tcW w:w="1701" w:type="dxa"/>
            <w:tcBorders>
              <w:top w:val="single" w:sz="4" w:space="0" w:color="auto"/>
              <w:bottom w:val="nil"/>
            </w:tcBorders>
          </w:tcPr>
          <w:p w14:paraId="08111A5A"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Borders>
              <w:top w:val="single" w:sz="4" w:space="0" w:color="auto"/>
              <w:bottom w:val="nil"/>
            </w:tcBorders>
          </w:tcPr>
          <w:p w14:paraId="132CB654"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Borders>
              <w:top w:val="single" w:sz="4" w:space="0" w:color="auto"/>
              <w:bottom w:val="nil"/>
            </w:tcBorders>
          </w:tcPr>
          <w:p w14:paraId="355B80DE"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Borders>
              <w:top w:val="single" w:sz="4" w:space="0" w:color="auto"/>
              <w:bottom w:val="nil"/>
            </w:tcBorders>
          </w:tcPr>
          <w:p w14:paraId="126BA203"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1E105FEB" w14:textId="77777777" w:rsidTr="0032415E">
        <w:trPr>
          <w:jc w:val="center"/>
        </w:trPr>
        <w:tc>
          <w:tcPr>
            <w:tcW w:w="2694" w:type="dxa"/>
            <w:shd w:val="clear" w:color="auto" w:fill="auto"/>
          </w:tcPr>
          <w:p w14:paraId="2F86B6E1"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Year FE</w:t>
            </w:r>
          </w:p>
        </w:tc>
        <w:tc>
          <w:tcPr>
            <w:tcW w:w="1701" w:type="dxa"/>
            <w:tcBorders>
              <w:top w:val="nil"/>
            </w:tcBorders>
          </w:tcPr>
          <w:p w14:paraId="5E22B592"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Borders>
              <w:top w:val="nil"/>
            </w:tcBorders>
          </w:tcPr>
          <w:p w14:paraId="749C8817"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Borders>
              <w:top w:val="nil"/>
            </w:tcBorders>
          </w:tcPr>
          <w:p w14:paraId="341DC355"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Borders>
              <w:top w:val="nil"/>
            </w:tcBorders>
          </w:tcPr>
          <w:p w14:paraId="74DB59C9"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031AE85D" w14:textId="77777777" w:rsidTr="0032415E">
        <w:trPr>
          <w:jc w:val="center"/>
        </w:trPr>
        <w:tc>
          <w:tcPr>
            <w:tcW w:w="2694" w:type="dxa"/>
            <w:shd w:val="clear" w:color="auto" w:fill="auto"/>
          </w:tcPr>
          <w:p w14:paraId="753C836C"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Borrower sector FE</w:t>
            </w:r>
          </w:p>
        </w:tc>
        <w:tc>
          <w:tcPr>
            <w:tcW w:w="1701" w:type="dxa"/>
          </w:tcPr>
          <w:p w14:paraId="2D8ACA42"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407E21EA"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41E7E2FA"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77FB69E8"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32E46129" w14:textId="77777777" w:rsidTr="0032415E">
        <w:trPr>
          <w:jc w:val="center"/>
        </w:trPr>
        <w:tc>
          <w:tcPr>
            <w:tcW w:w="2694" w:type="dxa"/>
            <w:shd w:val="clear" w:color="auto" w:fill="auto"/>
          </w:tcPr>
          <w:p w14:paraId="3A50EDA9"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Bank FE</w:t>
            </w:r>
          </w:p>
        </w:tc>
        <w:tc>
          <w:tcPr>
            <w:tcW w:w="1701" w:type="dxa"/>
          </w:tcPr>
          <w:p w14:paraId="4DBA36E0"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7BD80EFB"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2AC3AAB2"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c>
          <w:tcPr>
            <w:tcW w:w="1701" w:type="dxa"/>
          </w:tcPr>
          <w:p w14:paraId="2F783DB7"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Yes</w:t>
            </w:r>
          </w:p>
        </w:tc>
      </w:tr>
      <w:tr w:rsidR="005D304D" w:rsidRPr="00070779" w14:paraId="0DE269E1" w14:textId="77777777" w:rsidTr="0032415E">
        <w:trPr>
          <w:jc w:val="center"/>
        </w:trPr>
        <w:tc>
          <w:tcPr>
            <w:tcW w:w="2694" w:type="dxa"/>
            <w:shd w:val="clear" w:color="auto" w:fill="auto"/>
          </w:tcPr>
          <w:p w14:paraId="7E7026E6"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R2</w:t>
            </w:r>
          </w:p>
        </w:tc>
        <w:tc>
          <w:tcPr>
            <w:tcW w:w="1701" w:type="dxa"/>
          </w:tcPr>
          <w:p w14:paraId="2F9150EC" w14:textId="77777777" w:rsidR="005D304D" w:rsidRPr="00070779" w:rsidRDefault="005D304D" w:rsidP="00CD3E1A">
            <w:pPr>
              <w:widowControl w:val="0"/>
              <w:autoSpaceDE w:val="0"/>
              <w:autoSpaceDN w:val="0"/>
              <w:adjustRightInd w:val="0"/>
              <w:jc w:val="center"/>
              <w:rPr>
                <w:sz w:val="20"/>
                <w:szCs w:val="20"/>
              </w:rPr>
            </w:pPr>
            <w:r w:rsidRPr="00BE2D78">
              <w:rPr>
                <w:sz w:val="20"/>
                <w:szCs w:val="20"/>
              </w:rPr>
              <w:t>0.469</w:t>
            </w:r>
          </w:p>
        </w:tc>
        <w:tc>
          <w:tcPr>
            <w:tcW w:w="1701" w:type="dxa"/>
          </w:tcPr>
          <w:p w14:paraId="74DA41E0"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0.557</w:t>
            </w:r>
          </w:p>
        </w:tc>
        <w:tc>
          <w:tcPr>
            <w:tcW w:w="1701" w:type="dxa"/>
          </w:tcPr>
          <w:p w14:paraId="741E2DE6"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0.566</w:t>
            </w:r>
          </w:p>
        </w:tc>
        <w:tc>
          <w:tcPr>
            <w:tcW w:w="1701" w:type="dxa"/>
          </w:tcPr>
          <w:p w14:paraId="44D3D6C0"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0.578</w:t>
            </w:r>
          </w:p>
        </w:tc>
      </w:tr>
      <w:tr w:rsidR="005D304D" w:rsidRPr="00070779" w14:paraId="3FB6F579" w14:textId="77777777" w:rsidTr="0032415E">
        <w:trPr>
          <w:jc w:val="center"/>
        </w:trPr>
        <w:tc>
          <w:tcPr>
            <w:tcW w:w="2694" w:type="dxa"/>
            <w:shd w:val="clear" w:color="auto" w:fill="auto"/>
          </w:tcPr>
          <w:p w14:paraId="4204A651" w14:textId="77777777" w:rsidR="005D304D" w:rsidRPr="00070779" w:rsidRDefault="005D304D" w:rsidP="00CD3E1A">
            <w:pPr>
              <w:widowControl w:val="0"/>
              <w:autoSpaceDE w:val="0"/>
              <w:autoSpaceDN w:val="0"/>
              <w:adjustRightInd w:val="0"/>
              <w:jc w:val="center"/>
              <w:rPr>
                <w:sz w:val="20"/>
                <w:szCs w:val="20"/>
              </w:rPr>
            </w:pPr>
            <w:r w:rsidRPr="00070779">
              <w:rPr>
                <w:sz w:val="20"/>
                <w:szCs w:val="20"/>
              </w:rPr>
              <w:t>Obs.</w:t>
            </w:r>
          </w:p>
        </w:tc>
        <w:tc>
          <w:tcPr>
            <w:tcW w:w="1701" w:type="dxa"/>
          </w:tcPr>
          <w:p w14:paraId="476D5980" w14:textId="77777777" w:rsidR="005D304D" w:rsidRPr="00070779" w:rsidRDefault="005D304D" w:rsidP="00CD3E1A">
            <w:pPr>
              <w:widowControl w:val="0"/>
              <w:autoSpaceDE w:val="0"/>
              <w:autoSpaceDN w:val="0"/>
              <w:adjustRightInd w:val="0"/>
              <w:jc w:val="center"/>
              <w:rPr>
                <w:sz w:val="20"/>
                <w:szCs w:val="20"/>
              </w:rPr>
            </w:pPr>
            <w:r w:rsidRPr="00AB3574">
              <w:rPr>
                <w:sz w:val="20"/>
                <w:szCs w:val="20"/>
              </w:rPr>
              <w:t>1228.000</w:t>
            </w:r>
          </w:p>
        </w:tc>
        <w:tc>
          <w:tcPr>
            <w:tcW w:w="1701" w:type="dxa"/>
          </w:tcPr>
          <w:p w14:paraId="490F68CE" w14:textId="77777777" w:rsidR="005D304D" w:rsidRPr="00070779" w:rsidRDefault="005D304D" w:rsidP="00CD3E1A">
            <w:pPr>
              <w:widowControl w:val="0"/>
              <w:autoSpaceDE w:val="0"/>
              <w:autoSpaceDN w:val="0"/>
              <w:adjustRightInd w:val="0"/>
              <w:jc w:val="center"/>
              <w:rPr>
                <w:sz w:val="20"/>
                <w:szCs w:val="20"/>
              </w:rPr>
            </w:pPr>
            <w:r w:rsidRPr="004B0098">
              <w:rPr>
                <w:sz w:val="20"/>
                <w:szCs w:val="20"/>
              </w:rPr>
              <w:t>8845.000</w:t>
            </w:r>
          </w:p>
        </w:tc>
        <w:tc>
          <w:tcPr>
            <w:tcW w:w="1701" w:type="dxa"/>
          </w:tcPr>
          <w:p w14:paraId="6F34707D" w14:textId="77777777" w:rsidR="005D304D" w:rsidRPr="00070779" w:rsidRDefault="005D304D" w:rsidP="00CD3E1A">
            <w:pPr>
              <w:widowControl w:val="0"/>
              <w:autoSpaceDE w:val="0"/>
              <w:autoSpaceDN w:val="0"/>
              <w:adjustRightInd w:val="0"/>
              <w:jc w:val="center"/>
              <w:rPr>
                <w:sz w:val="20"/>
                <w:szCs w:val="20"/>
              </w:rPr>
            </w:pPr>
            <w:r w:rsidRPr="00226979">
              <w:rPr>
                <w:sz w:val="20"/>
                <w:szCs w:val="20"/>
              </w:rPr>
              <w:t>7742.000</w:t>
            </w:r>
          </w:p>
        </w:tc>
        <w:tc>
          <w:tcPr>
            <w:tcW w:w="1701" w:type="dxa"/>
          </w:tcPr>
          <w:p w14:paraId="49CC5A74" w14:textId="77777777" w:rsidR="005D304D" w:rsidRPr="00070779" w:rsidRDefault="005D304D" w:rsidP="00CD3E1A">
            <w:pPr>
              <w:widowControl w:val="0"/>
              <w:autoSpaceDE w:val="0"/>
              <w:autoSpaceDN w:val="0"/>
              <w:adjustRightInd w:val="0"/>
              <w:jc w:val="center"/>
              <w:rPr>
                <w:sz w:val="20"/>
                <w:szCs w:val="20"/>
              </w:rPr>
            </w:pPr>
            <w:r w:rsidRPr="000F305B">
              <w:rPr>
                <w:sz w:val="20"/>
                <w:szCs w:val="20"/>
              </w:rPr>
              <w:t>6417.000</w:t>
            </w:r>
          </w:p>
        </w:tc>
      </w:tr>
    </w:tbl>
    <w:p w14:paraId="68F3FAEC" w14:textId="77777777" w:rsidR="00BD0474" w:rsidRPr="00070779" w:rsidRDefault="00BD0474" w:rsidP="00BD0474">
      <w:pPr>
        <w:widowControl w:val="0"/>
        <w:autoSpaceDE w:val="0"/>
        <w:autoSpaceDN w:val="0"/>
        <w:adjustRightInd w:val="0"/>
        <w:jc w:val="center"/>
        <w:rPr>
          <w:b/>
          <w:szCs w:val="20"/>
        </w:rPr>
      </w:pPr>
    </w:p>
    <w:p w14:paraId="72EE1303" w14:textId="77777777" w:rsidR="00BD0474" w:rsidRPr="00070779" w:rsidRDefault="00BD0474" w:rsidP="00BD0474">
      <w:pPr>
        <w:widowControl w:val="0"/>
        <w:autoSpaceDE w:val="0"/>
        <w:autoSpaceDN w:val="0"/>
        <w:adjustRightInd w:val="0"/>
        <w:jc w:val="center"/>
        <w:rPr>
          <w:b/>
          <w:szCs w:val="20"/>
        </w:rPr>
      </w:pPr>
    </w:p>
    <w:p w14:paraId="325C4DC8" w14:textId="77777777" w:rsidR="00BD0474" w:rsidRPr="00070779" w:rsidRDefault="00BD0474" w:rsidP="00BD0474">
      <w:pPr>
        <w:widowControl w:val="0"/>
        <w:autoSpaceDE w:val="0"/>
        <w:autoSpaceDN w:val="0"/>
        <w:adjustRightInd w:val="0"/>
        <w:rPr>
          <w:b/>
          <w:szCs w:val="20"/>
        </w:rPr>
        <w:sectPr w:rsidR="00BD0474" w:rsidRPr="00070779" w:rsidSect="00F46DBC">
          <w:pgSz w:w="12240" w:h="15840"/>
          <w:pgMar w:top="1440" w:right="1440" w:bottom="1440" w:left="1440" w:header="720" w:footer="720" w:gutter="0"/>
          <w:cols w:space="720"/>
          <w:noEndnote/>
          <w:docGrid w:linePitch="326"/>
        </w:sectPr>
      </w:pPr>
    </w:p>
    <w:p w14:paraId="1A20B685" w14:textId="77777777" w:rsidR="0023559E" w:rsidRPr="00CE7D45" w:rsidRDefault="0023559E" w:rsidP="0023559E">
      <w:pPr>
        <w:widowControl w:val="0"/>
        <w:autoSpaceDE w:val="0"/>
        <w:autoSpaceDN w:val="0"/>
        <w:adjustRightInd w:val="0"/>
        <w:jc w:val="center"/>
        <w:rPr>
          <w:b/>
          <w:szCs w:val="20"/>
        </w:rPr>
      </w:pPr>
      <w:r w:rsidRPr="00CE7D45">
        <w:rPr>
          <w:b/>
          <w:szCs w:val="20"/>
        </w:rPr>
        <w:t xml:space="preserve">TABLE </w:t>
      </w:r>
      <w:r>
        <w:rPr>
          <w:b/>
          <w:szCs w:val="20"/>
        </w:rPr>
        <w:t>6</w:t>
      </w:r>
      <w:r w:rsidRPr="00CE7D45">
        <w:rPr>
          <w:b/>
          <w:szCs w:val="20"/>
        </w:rPr>
        <w:t xml:space="preserve"> </w:t>
      </w:r>
    </w:p>
    <w:p w14:paraId="7406BD04" w14:textId="77777777" w:rsidR="0023559E" w:rsidRPr="00CE7D45" w:rsidRDefault="0023559E" w:rsidP="0023559E">
      <w:pPr>
        <w:widowControl w:val="0"/>
        <w:tabs>
          <w:tab w:val="left" w:pos="11907"/>
        </w:tabs>
        <w:autoSpaceDE w:val="0"/>
        <w:autoSpaceDN w:val="0"/>
        <w:adjustRightInd w:val="0"/>
        <w:ind w:left="-284" w:right="-223"/>
        <w:jc w:val="center"/>
        <w:rPr>
          <w:b/>
          <w:szCs w:val="20"/>
        </w:rPr>
      </w:pPr>
      <w:r w:rsidRPr="00CE7D45">
        <w:rPr>
          <w:b/>
        </w:rPr>
        <w:t xml:space="preserve">Relationship </w:t>
      </w:r>
      <w:r w:rsidR="0032415E">
        <w:rPr>
          <w:b/>
        </w:rPr>
        <w:t>lending</w:t>
      </w:r>
      <w:r w:rsidRPr="00CE7D45">
        <w:rPr>
          <w:b/>
        </w:rPr>
        <w:t xml:space="preserve"> </w:t>
      </w:r>
      <w:r w:rsidRPr="00CE7D45">
        <w:rPr>
          <w:b/>
          <w:szCs w:val="20"/>
        </w:rPr>
        <w:t>and Loan Pricing</w:t>
      </w:r>
    </w:p>
    <w:p w14:paraId="418E4534" w14:textId="77777777" w:rsidR="0023559E" w:rsidRDefault="0023559E" w:rsidP="005F1BE6">
      <w:pPr>
        <w:widowControl w:val="0"/>
        <w:tabs>
          <w:tab w:val="left" w:pos="11907"/>
        </w:tabs>
        <w:autoSpaceDE w:val="0"/>
        <w:autoSpaceDN w:val="0"/>
        <w:adjustRightInd w:val="0"/>
        <w:ind w:right="4"/>
        <w:jc w:val="both"/>
        <w:rPr>
          <w:sz w:val="22"/>
          <w:szCs w:val="22"/>
        </w:rPr>
      </w:pPr>
      <w:r w:rsidRPr="00070779">
        <w:rPr>
          <w:sz w:val="22"/>
          <w:szCs w:val="22"/>
        </w:rPr>
        <w:t xml:space="preserve">This table reports the results of the model for the spread and the covenants required by the lead </w:t>
      </w:r>
      <w:r>
        <w:rPr>
          <w:sz w:val="22"/>
          <w:szCs w:val="22"/>
        </w:rPr>
        <w:t>agent</w:t>
      </w:r>
      <w:r w:rsidRPr="00070779">
        <w:rPr>
          <w:sz w:val="22"/>
          <w:szCs w:val="22"/>
        </w:rPr>
        <w:t>, Eq (</w:t>
      </w:r>
      <w:r>
        <w:rPr>
          <w:sz w:val="22"/>
          <w:szCs w:val="22"/>
        </w:rPr>
        <w:t>2</w:t>
      </w:r>
      <w:r w:rsidRPr="00070779">
        <w:rPr>
          <w:sz w:val="22"/>
          <w:szCs w:val="22"/>
        </w:rPr>
        <w:t xml:space="preserve">). The dependent variables are </w:t>
      </w:r>
      <w:r w:rsidRPr="00967BEA">
        <w:rPr>
          <w:i/>
          <w:iCs/>
          <w:sz w:val="22"/>
          <w:szCs w:val="22"/>
        </w:rPr>
        <w:t>AISD</w:t>
      </w:r>
      <w:r>
        <w:rPr>
          <w:sz w:val="22"/>
          <w:szCs w:val="22"/>
        </w:rPr>
        <w:t xml:space="preserve"> and </w:t>
      </w:r>
      <w:r w:rsidRPr="00967BEA">
        <w:rPr>
          <w:i/>
          <w:iCs/>
          <w:sz w:val="22"/>
          <w:szCs w:val="22"/>
        </w:rPr>
        <w:t>T</w:t>
      </w:r>
      <w:r>
        <w:rPr>
          <w:i/>
          <w:iCs/>
          <w:sz w:val="22"/>
          <w:szCs w:val="22"/>
        </w:rPr>
        <w:t>CB</w:t>
      </w:r>
      <w:r w:rsidRPr="00070779">
        <w:rPr>
          <w:sz w:val="22"/>
          <w:szCs w:val="22"/>
        </w:rPr>
        <w:t xml:space="preserve"> of the syndicate loans</w:t>
      </w:r>
      <w:r>
        <w:rPr>
          <w:sz w:val="22"/>
          <w:szCs w:val="22"/>
        </w:rPr>
        <w:t xml:space="preserve"> and</w:t>
      </w:r>
      <w:r w:rsidRPr="00070779">
        <w:rPr>
          <w:sz w:val="22"/>
          <w:szCs w:val="22"/>
        </w:rPr>
        <w:t xml:space="preserve"> the covenant index. Columns (1), (3) and (5) report the first-stage results from a 2SLS estimation where we regress syndicate reputation variables against the lead agent participation. Columns (2), (4) and (6) report the second</w:t>
      </w:r>
      <w:r w:rsidR="00845607">
        <w:rPr>
          <w:sz w:val="22"/>
          <w:szCs w:val="22"/>
        </w:rPr>
        <w:t>-</w:t>
      </w:r>
      <w:r w:rsidRPr="00070779">
        <w:rPr>
          <w:sz w:val="22"/>
          <w:szCs w:val="22"/>
        </w:rPr>
        <w:t xml:space="preserve">stage results of the 2SLS estimation. All specifications include year, bank, and borrower sector-fixed effects. All independent variables are defined in Table A1 of the Appendix. Standard errors are clustered at borrower level and reported in parentheses. ***, **, and * denote statistical significance at the 1%, 5%, and 10% levels, respectively. </w:t>
      </w:r>
    </w:p>
    <w:tbl>
      <w:tblPr>
        <w:tblW w:w="5000" w:type="pct"/>
        <w:jc w:val="center"/>
        <w:tblLayout w:type="fixed"/>
        <w:tblLook w:val="04A0" w:firstRow="1" w:lastRow="0" w:firstColumn="1" w:lastColumn="0" w:noHBand="0" w:noVBand="1"/>
      </w:tblPr>
      <w:tblGrid>
        <w:gridCol w:w="2754"/>
        <w:gridCol w:w="1101"/>
        <w:gridCol w:w="1101"/>
        <w:gridCol w:w="1101"/>
        <w:gridCol w:w="1101"/>
        <w:gridCol w:w="1101"/>
        <w:gridCol w:w="1101"/>
      </w:tblGrid>
      <w:tr w:rsidR="0023559E" w:rsidRPr="00070779" w14:paraId="467BC9B4" w14:textId="77777777" w:rsidTr="00197CE1">
        <w:trPr>
          <w:jc w:val="center"/>
        </w:trPr>
        <w:tc>
          <w:tcPr>
            <w:tcW w:w="1471" w:type="pct"/>
            <w:tcBorders>
              <w:top w:val="single" w:sz="4" w:space="0" w:color="auto"/>
            </w:tcBorders>
            <w:vAlign w:val="center"/>
          </w:tcPr>
          <w:p w14:paraId="0A01B462" w14:textId="77777777" w:rsidR="0023559E" w:rsidRPr="00070779" w:rsidRDefault="0023559E" w:rsidP="00197CE1">
            <w:pPr>
              <w:widowControl w:val="0"/>
              <w:autoSpaceDE w:val="0"/>
              <w:autoSpaceDN w:val="0"/>
              <w:adjustRightInd w:val="0"/>
              <w:jc w:val="center"/>
              <w:rPr>
                <w:rFonts w:eastAsia="DengXian"/>
                <w:b/>
                <w:bCs/>
                <w:sz w:val="20"/>
                <w:szCs w:val="20"/>
                <w:lang w:eastAsia="zh-CN"/>
              </w:rPr>
            </w:pPr>
          </w:p>
        </w:tc>
        <w:tc>
          <w:tcPr>
            <w:tcW w:w="588" w:type="pct"/>
            <w:tcBorders>
              <w:top w:val="single" w:sz="4" w:space="0" w:color="auto"/>
              <w:bottom w:val="single" w:sz="4" w:space="0" w:color="auto"/>
            </w:tcBorders>
            <w:vAlign w:val="center"/>
            <w:hideMark/>
          </w:tcPr>
          <w:p w14:paraId="7E71DAEE"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p>
        </w:tc>
        <w:tc>
          <w:tcPr>
            <w:tcW w:w="588" w:type="pct"/>
            <w:tcBorders>
              <w:top w:val="single" w:sz="4" w:space="0" w:color="auto"/>
              <w:bottom w:val="single" w:sz="4" w:space="0" w:color="auto"/>
            </w:tcBorders>
            <w:vAlign w:val="center"/>
            <w:hideMark/>
          </w:tcPr>
          <w:p w14:paraId="70E8D9AA"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p>
        </w:tc>
        <w:tc>
          <w:tcPr>
            <w:tcW w:w="588" w:type="pct"/>
            <w:tcBorders>
              <w:top w:val="single" w:sz="4" w:space="0" w:color="auto"/>
              <w:bottom w:val="single" w:sz="4" w:space="0" w:color="auto"/>
            </w:tcBorders>
            <w:vAlign w:val="center"/>
          </w:tcPr>
          <w:p w14:paraId="2FF33CAE"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(3)</w:t>
            </w:r>
          </w:p>
        </w:tc>
        <w:tc>
          <w:tcPr>
            <w:tcW w:w="588" w:type="pct"/>
            <w:tcBorders>
              <w:top w:val="single" w:sz="4" w:space="0" w:color="auto"/>
              <w:bottom w:val="single" w:sz="4" w:space="0" w:color="auto"/>
            </w:tcBorders>
            <w:vAlign w:val="center"/>
          </w:tcPr>
          <w:p w14:paraId="216BA4AC"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(4)</w:t>
            </w:r>
          </w:p>
        </w:tc>
        <w:tc>
          <w:tcPr>
            <w:tcW w:w="588" w:type="pct"/>
            <w:tcBorders>
              <w:top w:val="single" w:sz="4" w:space="0" w:color="auto"/>
              <w:bottom w:val="single" w:sz="4" w:space="0" w:color="auto"/>
            </w:tcBorders>
            <w:vAlign w:val="center"/>
            <w:hideMark/>
          </w:tcPr>
          <w:p w14:paraId="39991C92"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(5)</w:t>
            </w:r>
          </w:p>
        </w:tc>
        <w:tc>
          <w:tcPr>
            <w:tcW w:w="588" w:type="pct"/>
            <w:tcBorders>
              <w:top w:val="single" w:sz="4" w:space="0" w:color="auto"/>
              <w:bottom w:val="single" w:sz="4" w:space="0" w:color="auto"/>
            </w:tcBorders>
            <w:vAlign w:val="center"/>
            <w:hideMark/>
          </w:tcPr>
          <w:p w14:paraId="41E9EED2"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(6)</w:t>
            </w:r>
          </w:p>
        </w:tc>
      </w:tr>
      <w:tr w:rsidR="0023559E" w:rsidRPr="00070779" w14:paraId="44D75302" w14:textId="77777777" w:rsidTr="00197CE1">
        <w:trPr>
          <w:jc w:val="center"/>
        </w:trPr>
        <w:tc>
          <w:tcPr>
            <w:tcW w:w="1471" w:type="pct"/>
            <w:vAlign w:val="center"/>
          </w:tcPr>
          <w:p w14:paraId="15F5C8F2"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single" w:sz="4" w:space="0" w:color="auto"/>
              <w:bottom w:val="single" w:sz="4" w:space="0" w:color="auto"/>
            </w:tcBorders>
            <w:vAlign w:val="center"/>
          </w:tcPr>
          <w:p w14:paraId="112ABB7E"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2F678081"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30B9A364"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5CBDF497"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7E5D26B5"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1</w:t>
            </w:r>
            <w:r w:rsidRPr="00070779">
              <w:rPr>
                <w:rFonts w:eastAsia="DengXian"/>
                <w:sz w:val="20"/>
                <w:szCs w:val="20"/>
                <w:vertAlign w:val="superscript"/>
                <w:lang w:eastAsia="zh-CN"/>
              </w:rPr>
              <w:t>st</w:t>
            </w:r>
            <w:r w:rsidRPr="00070779">
              <w:rPr>
                <w:rFonts w:eastAsia="DengXian"/>
                <w:sz w:val="20"/>
                <w:szCs w:val="20"/>
                <w:lang w:eastAsia="zh-CN"/>
              </w:rPr>
              <w:t xml:space="preserve"> stage</w:t>
            </w:r>
          </w:p>
        </w:tc>
        <w:tc>
          <w:tcPr>
            <w:tcW w:w="588" w:type="pct"/>
            <w:tcBorders>
              <w:top w:val="single" w:sz="4" w:space="0" w:color="auto"/>
              <w:bottom w:val="single" w:sz="4" w:space="0" w:color="auto"/>
            </w:tcBorders>
            <w:vAlign w:val="center"/>
          </w:tcPr>
          <w:p w14:paraId="56A2F67F"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2</w:t>
            </w:r>
            <w:r w:rsidRPr="00070779">
              <w:rPr>
                <w:rFonts w:eastAsia="DengXian"/>
                <w:sz w:val="20"/>
                <w:szCs w:val="20"/>
                <w:vertAlign w:val="superscript"/>
                <w:lang w:eastAsia="zh-CN"/>
              </w:rPr>
              <w:t>nd</w:t>
            </w:r>
            <w:r w:rsidRPr="00070779">
              <w:rPr>
                <w:rFonts w:eastAsia="DengXian"/>
                <w:sz w:val="20"/>
                <w:szCs w:val="20"/>
                <w:lang w:eastAsia="zh-CN"/>
              </w:rPr>
              <w:t xml:space="preserve"> stage</w:t>
            </w:r>
          </w:p>
        </w:tc>
      </w:tr>
      <w:tr w:rsidR="0023559E" w:rsidRPr="00070779" w14:paraId="077DD12C" w14:textId="77777777" w:rsidTr="00197CE1">
        <w:trPr>
          <w:jc w:val="center"/>
        </w:trPr>
        <w:tc>
          <w:tcPr>
            <w:tcW w:w="1471" w:type="pct"/>
            <w:vAlign w:val="center"/>
          </w:tcPr>
          <w:p w14:paraId="13984AA5"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single" w:sz="4" w:space="0" w:color="auto"/>
              <w:bottom w:val="single" w:sz="4" w:space="0" w:color="auto"/>
            </w:tcBorders>
            <w:vAlign w:val="center"/>
            <w:hideMark/>
          </w:tcPr>
          <w:p w14:paraId="54746A64"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hideMark/>
          </w:tcPr>
          <w:p w14:paraId="11225EFD" w14:textId="77777777" w:rsidR="0023559E" w:rsidRPr="00070779" w:rsidRDefault="0023559E" w:rsidP="00197CE1">
            <w:pPr>
              <w:widowControl w:val="0"/>
              <w:autoSpaceDE w:val="0"/>
              <w:autoSpaceDN w:val="0"/>
              <w:adjustRightInd w:val="0"/>
              <w:jc w:val="center"/>
              <w:rPr>
                <w:rFonts w:eastAsia="DengXian"/>
                <w:sz w:val="20"/>
                <w:szCs w:val="20"/>
                <w:lang w:eastAsia="zh-CN"/>
              </w:rPr>
            </w:pPr>
            <w:r>
              <w:rPr>
                <w:rFonts w:eastAsia="DengXian"/>
                <w:sz w:val="20"/>
                <w:szCs w:val="20"/>
                <w:lang w:eastAsia="zh-CN"/>
              </w:rPr>
              <w:t>AISD</w:t>
            </w:r>
          </w:p>
        </w:tc>
        <w:tc>
          <w:tcPr>
            <w:tcW w:w="588" w:type="pct"/>
            <w:tcBorders>
              <w:top w:val="single" w:sz="4" w:space="0" w:color="auto"/>
              <w:bottom w:val="single" w:sz="4" w:space="0" w:color="auto"/>
            </w:tcBorders>
            <w:vAlign w:val="center"/>
          </w:tcPr>
          <w:p w14:paraId="6EA2CF86"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tcPr>
          <w:p w14:paraId="770029AF" w14:textId="77777777" w:rsidR="0023559E" w:rsidRPr="00070779" w:rsidRDefault="0023559E" w:rsidP="00197CE1">
            <w:pPr>
              <w:widowControl w:val="0"/>
              <w:autoSpaceDE w:val="0"/>
              <w:autoSpaceDN w:val="0"/>
              <w:adjustRightInd w:val="0"/>
              <w:jc w:val="center"/>
              <w:rPr>
                <w:rFonts w:eastAsia="DengXian"/>
                <w:sz w:val="20"/>
                <w:szCs w:val="20"/>
                <w:lang w:eastAsia="zh-CN"/>
              </w:rPr>
            </w:pPr>
            <w:r>
              <w:rPr>
                <w:sz w:val="20"/>
                <w:szCs w:val="20"/>
              </w:rPr>
              <w:t>TCB</w:t>
            </w:r>
          </w:p>
        </w:tc>
        <w:tc>
          <w:tcPr>
            <w:tcW w:w="588" w:type="pct"/>
            <w:tcBorders>
              <w:top w:val="single" w:sz="4" w:space="0" w:color="auto"/>
              <w:bottom w:val="single" w:sz="4" w:space="0" w:color="auto"/>
            </w:tcBorders>
            <w:vAlign w:val="center"/>
            <w:hideMark/>
          </w:tcPr>
          <w:p w14:paraId="5C4C0EE4"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single" w:sz="4" w:space="0" w:color="auto"/>
              <w:bottom w:val="single" w:sz="4" w:space="0" w:color="auto"/>
            </w:tcBorders>
            <w:vAlign w:val="center"/>
            <w:hideMark/>
          </w:tcPr>
          <w:p w14:paraId="6CE42574"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Covenant</w:t>
            </w:r>
            <w:r>
              <w:rPr>
                <w:rFonts w:eastAsia="DengXian"/>
                <w:sz w:val="20"/>
                <w:szCs w:val="20"/>
                <w:lang w:eastAsia="zh-CN"/>
              </w:rPr>
              <w:t xml:space="preserve"> Index</w:t>
            </w:r>
          </w:p>
        </w:tc>
      </w:tr>
      <w:tr w:rsidR="0023559E" w:rsidRPr="00070779" w14:paraId="107DB5A5" w14:textId="77777777" w:rsidTr="00197CE1">
        <w:trPr>
          <w:jc w:val="center"/>
        </w:trPr>
        <w:tc>
          <w:tcPr>
            <w:tcW w:w="1471" w:type="pct"/>
            <w:vAlign w:val="center"/>
            <w:hideMark/>
          </w:tcPr>
          <w:p w14:paraId="00CE4C8C"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Syndicate reputation: lead to participant</w:t>
            </w:r>
          </w:p>
        </w:tc>
        <w:tc>
          <w:tcPr>
            <w:tcW w:w="588" w:type="pct"/>
            <w:tcBorders>
              <w:top w:val="single" w:sz="4" w:space="0" w:color="auto"/>
              <w:left w:val="nil"/>
              <w:bottom w:val="nil"/>
              <w:right w:val="nil"/>
            </w:tcBorders>
          </w:tcPr>
          <w:p w14:paraId="055B35E2"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-0.038</w:t>
            </w:r>
            <w:r w:rsidRPr="00F91CC6">
              <w:rPr>
                <w:sz w:val="20"/>
                <w:szCs w:val="20"/>
                <w:vertAlign w:val="superscript"/>
              </w:rPr>
              <w:t>***</w:t>
            </w:r>
          </w:p>
        </w:tc>
        <w:tc>
          <w:tcPr>
            <w:tcW w:w="588" w:type="pct"/>
            <w:tcBorders>
              <w:top w:val="single" w:sz="4" w:space="0" w:color="auto"/>
              <w:left w:val="nil"/>
              <w:bottom w:val="nil"/>
              <w:right w:val="nil"/>
            </w:tcBorders>
          </w:tcPr>
          <w:p w14:paraId="172EDA39"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single" w:sz="4" w:space="0" w:color="auto"/>
              <w:left w:val="nil"/>
              <w:bottom w:val="nil"/>
              <w:right w:val="nil"/>
            </w:tcBorders>
          </w:tcPr>
          <w:p w14:paraId="7B7687BD"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-0.040</w:t>
            </w:r>
            <w:r w:rsidRPr="00F91CC6">
              <w:rPr>
                <w:sz w:val="20"/>
                <w:szCs w:val="20"/>
                <w:vertAlign w:val="superscript"/>
              </w:rPr>
              <w:t>***</w:t>
            </w:r>
          </w:p>
        </w:tc>
        <w:tc>
          <w:tcPr>
            <w:tcW w:w="588" w:type="pct"/>
            <w:tcBorders>
              <w:top w:val="single" w:sz="4" w:space="0" w:color="auto"/>
              <w:left w:val="nil"/>
              <w:bottom w:val="nil"/>
              <w:right w:val="nil"/>
            </w:tcBorders>
          </w:tcPr>
          <w:p w14:paraId="0D426617"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single" w:sz="4" w:space="0" w:color="auto"/>
              <w:left w:val="nil"/>
              <w:bottom w:val="nil"/>
              <w:right w:val="nil"/>
            </w:tcBorders>
          </w:tcPr>
          <w:p w14:paraId="475332C8"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-0.039</w:t>
            </w:r>
            <w:r w:rsidRPr="00F91CC6">
              <w:rPr>
                <w:sz w:val="20"/>
                <w:szCs w:val="20"/>
                <w:vertAlign w:val="superscript"/>
              </w:rPr>
              <w:t>***</w:t>
            </w:r>
          </w:p>
        </w:tc>
        <w:tc>
          <w:tcPr>
            <w:tcW w:w="588" w:type="pct"/>
            <w:tcBorders>
              <w:top w:val="single" w:sz="4" w:space="0" w:color="auto"/>
              <w:left w:val="nil"/>
              <w:bottom w:val="nil"/>
              <w:right w:val="nil"/>
            </w:tcBorders>
          </w:tcPr>
          <w:p w14:paraId="5DD005DC"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r>
      <w:tr w:rsidR="0023559E" w:rsidRPr="00070779" w14:paraId="7C9FDE1C" w14:textId="77777777" w:rsidTr="00197CE1">
        <w:trPr>
          <w:trHeight w:val="46"/>
          <w:jc w:val="center"/>
        </w:trPr>
        <w:tc>
          <w:tcPr>
            <w:tcW w:w="1471" w:type="pct"/>
            <w:vAlign w:val="center"/>
          </w:tcPr>
          <w:p w14:paraId="41AE43EC"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55708B6D"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(0.01)</w:t>
            </w:r>
          </w:p>
        </w:tc>
        <w:tc>
          <w:tcPr>
            <w:tcW w:w="588" w:type="pct"/>
            <w:tcBorders>
              <w:top w:val="nil"/>
              <w:left w:val="nil"/>
              <w:bottom w:val="nil"/>
              <w:right w:val="nil"/>
            </w:tcBorders>
          </w:tcPr>
          <w:p w14:paraId="59A1B481"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2B96A5E3"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(0.01)</w:t>
            </w:r>
          </w:p>
        </w:tc>
        <w:tc>
          <w:tcPr>
            <w:tcW w:w="588" w:type="pct"/>
            <w:tcBorders>
              <w:top w:val="nil"/>
              <w:left w:val="nil"/>
              <w:bottom w:val="nil"/>
              <w:right w:val="nil"/>
            </w:tcBorders>
          </w:tcPr>
          <w:p w14:paraId="4D66B3F4"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78128435"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(0.01)</w:t>
            </w:r>
          </w:p>
        </w:tc>
        <w:tc>
          <w:tcPr>
            <w:tcW w:w="588" w:type="pct"/>
            <w:tcBorders>
              <w:top w:val="nil"/>
              <w:left w:val="nil"/>
              <w:bottom w:val="nil"/>
              <w:right w:val="nil"/>
            </w:tcBorders>
          </w:tcPr>
          <w:p w14:paraId="7966ED05"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r>
      <w:tr w:rsidR="0023559E" w:rsidRPr="00070779" w14:paraId="6BA23C1E" w14:textId="77777777" w:rsidTr="00197CE1">
        <w:trPr>
          <w:jc w:val="center"/>
        </w:trPr>
        <w:tc>
          <w:tcPr>
            <w:tcW w:w="1471" w:type="pct"/>
            <w:vAlign w:val="center"/>
            <w:hideMark/>
          </w:tcPr>
          <w:p w14:paraId="1C18DDC6"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Syndicate reputation: reciprocal</w:t>
            </w:r>
          </w:p>
        </w:tc>
        <w:tc>
          <w:tcPr>
            <w:tcW w:w="588" w:type="pct"/>
            <w:tcBorders>
              <w:top w:val="nil"/>
              <w:left w:val="nil"/>
              <w:bottom w:val="nil"/>
              <w:right w:val="nil"/>
            </w:tcBorders>
          </w:tcPr>
          <w:p w14:paraId="0100A351"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-0.050</w:t>
            </w:r>
            <w:r w:rsidRPr="00F91CC6">
              <w:rPr>
                <w:sz w:val="20"/>
                <w:szCs w:val="20"/>
                <w:vertAlign w:val="superscript"/>
              </w:rPr>
              <w:t>***</w:t>
            </w:r>
          </w:p>
        </w:tc>
        <w:tc>
          <w:tcPr>
            <w:tcW w:w="588" w:type="pct"/>
            <w:tcBorders>
              <w:top w:val="nil"/>
              <w:left w:val="nil"/>
              <w:bottom w:val="nil"/>
              <w:right w:val="nil"/>
            </w:tcBorders>
          </w:tcPr>
          <w:p w14:paraId="1085F840"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7E916DF6"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-0.054</w:t>
            </w:r>
            <w:r w:rsidRPr="00F91CC6">
              <w:rPr>
                <w:sz w:val="20"/>
                <w:szCs w:val="20"/>
                <w:vertAlign w:val="superscript"/>
              </w:rPr>
              <w:t>***</w:t>
            </w:r>
          </w:p>
        </w:tc>
        <w:tc>
          <w:tcPr>
            <w:tcW w:w="588" w:type="pct"/>
            <w:tcBorders>
              <w:top w:val="nil"/>
              <w:left w:val="nil"/>
              <w:bottom w:val="nil"/>
              <w:right w:val="nil"/>
            </w:tcBorders>
          </w:tcPr>
          <w:p w14:paraId="2C348359"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759FAAB2"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-0.047</w:t>
            </w:r>
            <w:r w:rsidRPr="00F91CC6">
              <w:rPr>
                <w:sz w:val="20"/>
                <w:szCs w:val="20"/>
                <w:vertAlign w:val="superscript"/>
              </w:rPr>
              <w:t>***</w:t>
            </w:r>
          </w:p>
        </w:tc>
        <w:tc>
          <w:tcPr>
            <w:tcW w:w="588" w:type="pct"/>
            <w:tcBorders>
              <w:top w:val="nil"/>
              <w:left w:val="nil"/>
              <w:bottom w:val="nil"/>
              <w:right w:val="nil"/>
            </w:tcBorders>
          </w:tcPr>
          <w:p w14:paraId="096465CE"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r>
      <w:tr w:rsidR="0023559E" w:rsidRPr="00070779" w14:paraId="7205ED74" w14:textId="77777777" w:rsidTr="00197CE1">
        <w:trPr>
          <w:jc w:val="center"/>
        </w:trPr>
        <w:tc>
          <w:tcPr>
            <w:tcW w:w="1471" w:type="pct"/>
            <w:vAlign w:val="center"/>
          </w:tcPr>
          <w:p w14:paraId="49E93226"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1235C156"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w:t>
            </w:r>
          </w:p>
        </w:tc>
        <w:tc>
          <w:tcPr>
            <w:tcW w:w="588" w:type="pct"/>
            <w:tcBorders>
              <w:top w:val="nil"/>
              <w:left w:val="nil"/>
              <w:bottom w:val="nil"/>
              <w:right w:val="nil"/>
            </w:tcBorders>
          </w:tcPr>
          <w:p w14:paraId="3346B871"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3B1E835E"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w:t>
            </w:r>
          </w:p>
        </w:tc>
        <w:tc>
          <w:tcPr>
            <w:tcW w:w="588" w:type="pct"/>
            <w:tcBorders>
              <w:top w:val="nil"/>
              <w:left w:val="nil"/>
              <w:bottom w:val="nil"/>
              <w:right w:val="nil"/>
            </w:tcBorders>
          </w:tcPr>
          <w:p w14:paraId="1CA28F75"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23663AF8"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w:t>
            </w:r>
          </w:p>
        </w:tc>
        <w:tc>
          <w:tcPr>
            <w:tcW w:w="588" w:type="pct"/>
            <w:tcBorders>
              <w:top w:val="nil"/>
              <w:left w:val="nil"/>
              <w:bottom w:val="nil"/>
              <w:right w:val="nil"/>
            </w:tcBorders>
          </w:tcPr>
          <w:p w14:paraId="23F1102A"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r>
      <w:tr w:rsidR="0023559E" w:rsidRPr="00070779" w14:paraId="346C58F0" w14:textId="77777777" w:rsidTr="00197CE1">
        <w:trPr>
          <w:jc w:val="center"/>
        </w:trPr>
        <w:tc>
          <w:tcPr>
            <w:tcW w:w="1471" w:type="pct"/>
            <w:vAlign w:val="center"/>
            <w:hideMark/>
          </w:tcPr>
          <w:p w14:paraId="68735EF1"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Lead agent share</w:t>
            </w:r>
          </w:p>
        </w:tc>
        <w:tc>
          <w:tcPr>
            <w:tcW w:w="588" w:type="pct"/>
            <w:tcBorders>
              <w:top w:val="nil"/>
              <w:left w:val="nil"/>
              <w:bottom w:val="nil"/>
              <w:right w:val="nil"/>
            </w:tcBorders>
          </w:tcPr>
          <w:p w14:paraId="2D0E41A8"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16F99869"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3.210</w:t>
            </w:r>
            <w:r w:rsidRPr="00F91CC6">
              <w:rPr>
                <w:sz w:val="20"/>
                <w:szCs w:val="20"/>
                <w:vertAlign w:val="superscript"/>
              </w:rPr>
              <w:t>***</w:t>
            </w:r>
          </w:p>
        </w:tc>
        <w:tc>
          <w:tcPr>
            <w:tcW w:w="588" w:type="pct"/>
            <w:tcBorders>
              <w:top w:val="nil"/>
              <w:left w:val="nil"/>
              <w:bottom w:val="nil"/>
              <w:right w:val="nil"/>
            </w:tcBorders>
          </w:tcPr>
          <w:p w14:paraId="0058A77A"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641D90B1"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3.498</w:t>
            </w:r>
            <w:r w:rsidRPr="00F91CC6">
              <w:rPr>
                <w:sz w:val="20"/>
                <w:szCs w:val="20"/>
                <w:vertAlign w:val="superscript"/>
              </w:rPr>
              <w:t>***</w:t>
            </w:r>
          </w:p>
        </w:tc>
        <w:tc>
          <w:tcPr>
            <w:tcW w:w="588" w:type="pct"/>
            <w:tcBorders>
              <w:top w:val="nil"/>
              <w:left w:val="nil"/>
              <w:bottom w:val="nil"/>
              <w:right w:val="nil"/>
            </w:tcBorders>
          </w:tcPr>
          <w:p w14:paraId="5D44B7EF"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305127B0"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3.631</w:t>
            </w:r>
            <w:r w:rsidRPr="00F91CC6">
              <w:rPr>
                <w:sz w:val="20"/>
                <w:szCs w:val="20"/>
                <w:vertAlign w:val="superscript"/>
              </w:rPr>
              <w:t>***</w:t>
            </w:r>
          </w:p>
        </w:tc>
      </w:tr>
      <w:tr w:rsidR="0023559E" w:rsidRPr="00070779" w14:paraId="74173984" w14:textId="77777777" w:rsidTr="00197CE1">
        <w:trPr>
          <w:jc w:val="center"/>
        </w:trPr>
        <w:tc>
          <w:tcPr>
            <w:tcW w:w="1471" w:type="pct"/>
            <w:vAlign w:val="center"/>
          </w:tcPr>
          <w:p w14:paraId="3B9CCC66"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095A3D66"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65F22B73"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(0.71)</w:t>
            </w:r>
          </w:p>
        </w:tc>
        <w:tc>
          <w:tcPr>
            <w:tcW w:w="588" w:type="pct"/>
            <w:tcBorders>
              <w:top w:val="nil"/>
              <w:left w:val="nil"/>
              <w:bottom w:val="nil"/>
              <w:right w:val="nil"/>
            </w:tcBorders>
          </w:tcPr>
          <w:p w14:paraId="1679B9DD"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56DC1A04"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(0.74)</w:t>
            </w:r>
          </w:p>
        </w:tc>
        <w:tc>
          <w:tcPr>
            <w:tcW w:w="588" w:type="pct"/>
            <w:tcBorders>
              <w:top w:val="nil"/>
              <w:left w:val="nil"/>
              <w:bottom w:val="nil"/>
              <w:right w:val="nil"/>
            </w:tcBorders>
          </w:tcPr>
          <w:p w14:paraId="54DEF746"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08C120E2"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(1.06)</w:t>
            </w:r>
          </w:p>
        </w:tc>
      </w:tr>
      <w:tr w:rsidR="0023559E" w:rsidRPr="00070779" w14:paraId="4160F913" w14:textId="77777777" w:rsidTr="00197CE1">
        <w:trPr>
          <w:jc w:val="center"/>
        </w:trPr>
        <w:tc>
          <w:tcPr>
            <w:tcW w:w="1471" w:type="pct"/>
            <w:vAlign w:val="center"/>
            <w:hideMark/>
          </w:tcPr>
          <w:p w14:paraId="3A067EBB" w14:textId="77777777" w:rsidR="0023559E" w:rsidRPr="00070779" w:rsidRDefault="0023559E" w:rsidP="00197CE1">
            <w:pPr>
              <w:widowControl w:val="0"/>
              <w:autoSpaceDE w:val="0"/>
              <w:autoSpaceDN w:val="0"/>
              <w:adjustRightInd w:val="0"/>
              <w:jc w:val="center"/>
              <w:rPr>
                <w:rFonts w:eastAsia="DengXian"/>
                <w:sz w:val="20"/>
                <w:szCs w:val="20"/>
                <w:lang w:eastAsia="zh-CN"/>
              </w:rPr>
            </w:pPr>
            <w:r>
              <w:rPr>
                <w:rFonts w:eastAsia="DengXian"/>
                <w:sz w:val="20"/>
                <w:szCs w:val="20"/>
                <w:lang w:eastAsia="zh-CN"/>
              </w:rPr>
              <w:t>L</w:t>
            </w:r>
            <w:r w:rsidRPr="00F5316D">
              <w:rPr>
                <w:rFonts w:eastAsia="DengXian"/>
                <w:sz w:val="20"/>
                <w:szCs w:val="20"/>
                <w:lang w:eastAsia="zh-CN"/>
              </w:rPr>
              <w:t xml:space="preserve">arge CS </w:t>
            </w:r>
            <w:r>
              <w:rPr>
                <w:rFonts w:eastAsia="DengXian"/>
                <w:sz w:val="20"/>
                <w:szCs w:val="20"/>
                <w:lang w:eastAsia="zh-CN"/>
              </w:rPr>
              <w:t>link</w:t>
            </w:r>
            <w:r w:rsidRPr="00F5316D">
              <w:rPr>
                <w:rFonts w:eastAsia="DengXian"/>
                <w:sz w:val="20"/>
                <w:szCs w:val="20"/>
                <w:lang w:eastAsia="zh-CN"/>
              </w:rPr>
              <w:t>s</w:t>
            </w:r>
          </w:p>
        </w:tc>
        <w:tc>
          <w:tcPr>
            <w:tcW w:w="588" w:type="pct"/>
            <w:tcBorders>
              <w:top w:val="nil"/>
              <w:left w:val="nil"/>
              <w:bottom w:val="nil"/>
              <w:right w:val="nil"/>
            </w:tcBorders>
          </w:tcPr>
          <w:p w14:paraId="2638967D"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0.005</w:t>
            </w:r>
            <w:r w:rsidRPr="00F91CC6">
              <w:rPr>
                <w:sz w:val="20"/>
                <w:szCs w:val="20"/>
                <w:vertAlign w:val="superscript"/>
              </w:rPr>
              <w:t>*</w:t>
            </w:r>
          </w:p>
        </w:tc>
        <w:tc>
          <w:tcPr>
            <w:tcW w:w="588" w:type="pct"/>
            <w:tcBorders>
              <w:top w:val="nil"/>
              <w:left w:val="nil"/>
              <w:bottom w:val="nil"/>
              <w:right w:val="nil"/>
            </w:tcBorders>
          </w:tcPr>
          <w:p w14:paraId="63F208FB"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0.030</w:t>
            </w:r>
          </w:p>
        </w:tc>
        <w:tc>
          <w:tcPr>
            <w:tcW w:w="588" w:type="pct"/>
            <w:tcBorders>
              <w:top w:val="nil"/>
              <w:left w:val="nil"/>
              <w:bottom w:val="nil"/>
              <w:right w:val="nil"/>
            </w:tcBorders>
          </w:tcPr>
          <w:p w14:paraId="574F81A3"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0.008</w:t>
            </w:r>
            <w:r w:rsidRPr="00F91CC6">
              <w:rPr>
                <w:sz w:val="20"/>
                <w:szCs w:val="20"/>
                <w:vertAlign w:val="superscript"/>
              </w:rPr>
              <w:t>**</w:t>
            </w:r>
          </w:p>
        </w:tc>
        <w:tc>
          <w:tcPr>
            <w:tcW w:w="588" w:type="pct"/>
            <w:tcBorders>
              <w:top w:val="nil"/>
              <w:left w:val="nil"/>
              <w:bottom w:val="nil"/>
              <w:right w:val="nil"/>
            </w:tcBorders>
          </w:tcPr>
          <w:p w14:paraId="202D3F1B"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-0.018</w:t>
            </w:r>
          </w:p>
        </w:tc>
        <w:tc>
          <w:tcPr>
            <w:tcW w:w="588" w:type="pct"/>
            <w:tcBorders>
              <w:top w:val="nil"/>
              <w:left w:val="nil"/>
              <w:bottom w:val="nil"/>
              <w:right w:val="nil"/>
            </w:tcBorders>
          </w:tcPr>
          <w:p w14:paraId="02DAB013"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0.005</w:t>
            </w:r>
            <w:r w:rsidRPr="00F91CC6">
              <w:rPr>
                <w:sz w:val="20"/>
                <w:szCs w:val="20"/>
                <w:vertAlign w:val="superscript"/>
              </w:rPr>
              <w:t>*</w:t>
            </w:r>
          </w:p>
        </w:tc>
        <w:tc>
          <w:tcPr>
            <w:tcW w:w="588" w:type="pct"/>
            <w:tcBorders>
              <w:top w:val="nil"/>
              <w:left w:val="nil"/>
              <w:bottom w:val="nil"/>
              <w:right w:val="nil"/>
            </w:tcBorders>
          </w:tcPr>
          <w:p w14:paraId="1AA18466"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-0.039</w:t>
            </w:r>
          </w:p>
        </w:tc>
      </w:tr>
      <w:tr w:rsidR="0023559E" w:rsidRPr="00070779" w14:paraId="520855AB" w14:textId="77777777" w:rsidTr="00197CE1">
        <w:trPr>
          <w:jc w:val="center"/>
        </w:trPr>
        <w:tc>
          <w:tcPr>
            <w:tcW w:w="1471" w:type="pct"/>
            <w:vAlign w:val="center"/>
          </w:tcPr>
          <w:p w14:paraId="40402B57"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nil"/>
              <w:right w:val="nil"/>
            </w:tcBorders>
          </w:tcPr>
          <w:p w14:paraId="78CB6F7C"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w:t>
            </w:r>
          </w:p>
        </w:tc>
        <w:tc>
          <w:tcPr>
            <w:tcW w:w="588" w:type="pct"/>
            <w:tcBorders>
              <w:top w:val="nil"/>
              <w:left w:val="nil"/>
              <w:bottom w:val="nil"/>
              <w:right w:val="nil"/>
            </w:tcBorders>
          </w:tcPr>
          <w:p w14:paraId="2F80E1CF"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(0.04)</w:t>
            </w:r>
          </w:p>
        </w:tc>
        <w:tc>
          <w:tcPr>
            <w:tcW w:w="588" w:type="pct"/>
            <w:tcBorders>
              <w:top w:val="nil"/>
              <w:left w:val="nil"/>
              <w:bottom w:val="nil"/>
              <w:right w:val="nil"/>
            </w:tcBorders>
          </w:tcPr>
          <w:p w14:paraId="7E637C1E"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w:t>
            </w:r>
          </w:p>
        </w:tc>
        <w:tc>
          <w:tcPr>
            <w:tcW w:w="588" w:type="pct"/>
            <w:tcBorders>
              <w:top w:val="nil"/>
              <w:left w:val="nil"/>
              <w:bottom w:val="nil"/>
              <w:right w:val="nil"/>
            </w:tcBorders>
          </w:tcPr>
          <w:p w14:paraId="499D7466"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(0.03)</w:t>
            </w:r>
          </w:p>
        </w:tc>
        <w:tc>
          <w:tcPr>
            <w:tcW w:w="588" w:type="pct"/>
            <w:tcBorders>
              <w:top w:val="nil"/>
              <w:left w:val="nil"/>
              <w:bottom w:val="nil"/>
              <w:right w:val="nil"/>
            </w:tcBorders>
          </w:tcPr>
          <w:p w14:paraId="38873D4E"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w:t>
            </w:r>
          </w:p>
        </w:tc>
        <w:tc>
          <w:tcPr>
            <w:tcW w:w="588" w:type="pct"/>
            <w:tcBorders>
              <w:top w:val="nil"/>
              <w:left w:val="nil"/>
              <w:bottom w:val="nil"/>
              <w:right w:val="nil"/>
            </w:tcBorders>
          </w:tcPr>
          <w:p w14:paraId="3747A16B"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(0.05)</w:t>
            </w:r>
          </w:p>
        </w:tc>
      </w:tr>
      <w:tr w:rsidR="0023559E" w:rsidRPr="00070779" w14:paraId="25B63CFA" w14:textId="77777777" w:rsidTr="00197CE1">
        <w:trPr>
          <w:jc w:val="center"/>
        </w:trPr>
        <w:tc>
          <w:tcPr>
            <w:tcW w:w="1471" w:type="pct"/>
            <w:shd w:val="clear" w:color="auto" w:fill="auto"/>
            <w:vAlign w:val="center"/>
          </w:tcPr>
          <w:p w14:paraId="24CB6C1F" w14:textId="77777777" w:rsidR="0023559E" w:rsidRPr="00070779" w:rsidRDefault="0023559E" w:rsidP="00197CE1">
            <w:pPr>
              <w:widowControl w:val="0"/>
              <w:autoSpaceDE w:val="0"/>
              <w:autoSpaceDN w:val="0"/>
              <w:adjustRightInd w:val="0"/>
              <w:jc w:val="center"/>
              <w:rPr>
                <w:rFonts w:eastAsia="DengXian"/>
                <w:sz w:val="20"/>
                <w:szCs w:val="20"/>
                <w:lang w:eastAsia="zh-CN"/>
              </w:rPr>
            </w:pPr>
            <w:r>
              <w:rPr>
                <w:rFonts w:eastAsia="DengXian"/>
                <w:sz w:val="20"/>
                <w:szCs w:val="20"/>
                <w:lang w:eastAsia="zh-CN"/>
              </w:rPr>
              <w:t>RL via large CS</w:t>
            </w:r>
          </w:p>
        </w:tc>
        <w:tc>
          <w:tcPr>
            <w:tcW w:w="588" w:type="pct"/>
            <w:tcBorders>
              <w:top w:val="nil"/>
              <w:left w:val="nil"/>
              <w:bottom w:val="nil"/>
              <w:right w:val="nil"/>
            </w:tcBorders>
          </w:tcPr>
          <w:p w14:paraId="2AFFA36D"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-0.001</w:t>
            </w:r>
          </w:p>
        </w:tc>
        <w:tc>
          <w:tcPr>
            <w:tcW w:w="588" w:type="pct"/>
            <w:tcBorders>
              <w:top w:val="nil"/>
              <w:left w:val="nil"/>
              <w:bottom w:val="nil"/>
              <w:right w:val="nil"/>
            </w:tcBorders>
          </w:tcPr>
          <w:p w14:paraId="2C2D4EFC"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0.031</w:t>
            </w:r>
          </w:p>
        </w:tc>
        <w:tc>
          <w:tcPr>
            <w:tcW w:w="588" w:type="pct"/>
            <w:tcBorders>
              <w:top w:val="nil"/>
              <w:left w:val="nil"/>
              <w:bottom w:val="nil"/>
              <w:right w:val="nil"/>
            </w:tcBorders>
          </w:tcPr>
          <w:p w14:paraId="613BF0D6"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-0.001</w:t>
            </w:r>
          </w:p>
        </w:tc>
        <w:tc>
          <w:tcPr>
            <w:tcW w:w="588" w:type="pct"/>
            <w:tcBorders>
              <w:top w:val="nil"/>
              <w:left w:val="nil"/>
              <w:bottom w:val="nil"/>
              <w:right w:val="nil"/>
            </w:tcBorders>
          </w:tcPr>
          <w:p w14:paraId="53933308"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0.036</w:t>
            </w:r>
          </w:p>
        </w:tc>
        <w:tc>
          <w:tcPr>
            <w:tcW w:w="588" w:type="pct"/>
            <w:tcBorders>
              <w:top w:val="nil"/>
              <w:left w:val="nil"/>
              <w:bottom w:val="nil"/>
              <w:right w:val="nil"/>
            </w:tcBorders>
          </w:tcPr>
          <w:p w14:paraId="5119AC52"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0.002</w:t>
            </w:r>
          </w:p>
        </w:tc>
        <w:tc>
          <w:tcPr>
            <w:tcW w:w="588" w:type="pct"/>
            <w:tcBorders>
              <w:top w:val="nil"/>
              <w:left w:val="nil"/>
              <w:bottom w:val="nil"/>
              <w:right w:val="nil"/>
            </w:tcBorders>
          </w:tcPr>
          <w:p w14:paraId="60F4ADA3"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0.034</w:t>
            </w:r>
          </w:p>
        </w:tc>
      </w:tr>
      <w:tr w:rsidR="0023559E" w:rsidRPr="00070779" w14:paraId="63913B30" w14:textId="77777777" w:rsidTr="00197CE1">
        <w:trPr>
          <w:jc w:val="center"/>
        </w:trPr>
        <w:tc>
          <w:tcPr>
            <w:tcW w:w="1471" w:type="pct"/>
            <w:shd w:val="clear" w:color="auto" w:fill="auto"/>
            <w:vAlign w:val="center"/>
          </w:tcPr>
          <w:p w14:paraId="5B4E18D6" w14:textId="77777777" w:rsidR="0023559E" w:rsidRPr="00070779" w:rsidRDefault="0023559E" w:rsidP="00197CE1">
            <w:pPr>
              <w:widowControl w:val="0"/>
              <w:autoSpaceDE w:val="0"/>
              <w:autoSpaceDN w:val="0"/>
              <w:adjustRightInd w:val="0"/>
              <w:jc w:val="center"/>
              <w:rPr>
                <w:rFonts w:eastAsia="DengXian"/>
                <w:sz w:val="20"/>
                <w:szCs w:val="20"/>
                <w:lang w:eastAsia="zh-CN"/>
              </w:rPr>
            </w:pPr>
          </w:p>
        </w:tc>
        <w:tc>
          <w:tcPr>
            <w:tcW w:w="588" w:type="pct"/>
            <w:tcBorders>
              <w:top w:val="nil"/>
              <w:left w:val="nil"/>
              <w:bottom w:val="single" w:sz="4" w:space="0" w:color="auto"/>
              <w:right w:val="nil"/>
            </w:tcBorders>
          </w:tcPr>
          <w:p w14:paraId="5E1BB7A9"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w:t>
            </w:r>
          </w:p>
        </w:tc>
        <w:tc>
          <w:tcPr>
            <w:tcW w:w="588" w:type="pct"/>
            <w:tcBorders>
              <w:top w:val="nil"/>
              <w:left w:val="nil"/>
              <w:bottom w:val="single" w:sz="4" w:space="0" w:color="auto"/>
              <w:right w:val="nil"/>
            </w:tcBorders>
          </w:tcPr>
          <w:p w14:paraId="6861BA24"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(0.03)</w:t>
            </w:r>
          </w:p>
        </w:tc>
        <w:tc>
          <w:tcPr>
            <w:tcW w:w="588" w:type="pct"/>
            <w:tcBorders>
              <w:top w:val="nil"/>
              <w:left w:val="nil"/>
              <w:bottom w:val="single" w:sz="4" w:space="0" w:color="auto"/>
              <w:right w:val="nil"/>
            </w:tcBorders>
          </w:tcPr>
          <w:p w14:paraId="082ED890"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w:t>
            </w:r>
          </w:p>
        </w:tc>
        <w:tc>
          <w:tcPr>
            <w:tcW w:w="588" w:type="pct"/>
            <w:tcBorders>
              <w:top w:val="nil"/>
              <w:left w:val="nil"/>
              <w:bottom w:val="single" w:sz="4" w:space="0" w:color="auto"/>
              <w:right w:val="nil"/>
            </w:tcBorders>
          </w:tcPr>
          <w:p w14:paraId="0836CBDB"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(0.03)</w:t>
            </w:r>
          </w:p>
        </w:tc>
        <w:tc>
          <w:tcPr>
            <w:tcW w:w="588" w:type="pct"/>
            <w:tcBorders>
              <w:top w:val="nil"/>
              <w:left w:val="nil"/>
              <w:bottom w:val="single" w:sz="4" w:space="0" w:color="auto"/>
              <w:right w:val="nil"/>
            </w:tcBorders>
          </w:tcPr>
          <w:p w14:paraId="3937453C"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(0.00)</w:t>
            </w:r>
          </w:p>
        </w:tc>
        <w:tc>
          <w:tcPr>
            <w:tcW w:w="588" w:type="pct"/>
            <w:tcBorders>
              <w:top w:val="nil"/>
              <w:left w:val="nil"/>
              <w:bottom w:val="single" w:sz="4" w:space="0" w:color="auto"/>
              <w:right w:val="nil"/>
            </w:tcBorders>
          </w:tcPr>
          <w:p w14:paraId="1867DCE0"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(0.06)</w:t>
            </w:r>
          </w:p>
        </w:tc>
      </w:tr>
      <w:tr w:rsidR="0023559E" w:rsidRPr="00070779" w14:paraId="14BC9DD5" w14:textId="77777777" w:rsidTr="00197CE1">
        <w:trPr>
          <w:jc w:val="center"/>
        </w:trPr>
        <w:tc>
          <w:tcPr>
            <w:tcW w:w="1471" w:type="pct"/>
            <w:vAlign w:val="center"/>
          </w:tcPr>
          <w:p w14:paraId="55989B05"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Controls</w:t>
            </w:r>
          </w:p>
        </w:tc>
        <w:tc>
          <w:tcPr>
            <w:tcW w:w="588" w:type="pct"/>
            <w:tcBorders>
              <w:top w:val="single" w:sz="4" w:space="0" w:color="auto"/>
            </w:tcBorders>
            <w:vAlign w:val="center"/>
          </w:tcPr>
          <w:p w14:paraId="5A7FEEF3"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78FEBBD6"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5F78FF98"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3FF257FD"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4F2662B8"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tcBorders>
              <w:top w:val="single" w:sz="4" w:space="0" w:color="auto"/>
            </w:tcBorders>
            <w:vAlign w:val="center"/>
          </w:tcPr>
          <w:p w14:paraId="0EA61692"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23559E" w:rsidRPr="00070779" w14:paraId="658A7551" w14:textId="77777777" w:rsidTr="00197CE1">
        <w:trPr>
          <w:jc w:val="center"/>
        </w:trPr>
        <w:tc>
          <w:tcPr>
            <w:tcW w:w="1471" w:type="pct"/>
            <w:vAlign w:val="center"/>
          </w:tcPr>
          <w:p w14:paraId="22FFB019"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Bank FE</w:t>
            </w:r>
          </w:p>
        </w:tc>
        <w:tc>
          <w:tcPr>
            <w:tcW w:w="588" w:type="pct"/>
            <w:vAlign w:val="center"/>
          </w:tcPr>
          <w:p w14:paraId="46138001"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752286CB"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489A112E"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5992003B"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511FAE33"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476AC167"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23559E" w:rsidRPr="00070779" w14:paraId="3FB1A998" w14:textId="77777777" w:rsidTr="00197CE1">
        <w:trPr>
          <w:jc w:val="center"/>
        </w:trPr>
        <w:tc>
          <w:tcPr>
            <w:tcW w:w="1471" w:type="pct"/>
            <w:vAlign w:val="center"/>
          </w:tcPr>
          <w:p w14:paraId="0BC389A8"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Borrower sector FE</w:t>
            </w:r>
          </w:p>
        </w:tc>
        <w:tc>
          <w:tcPr>
            <w:tcW w:w="588" w:type="pct"/>
            <w:vAlign w:val="center"/>
          </w:tcPr>
          <w:p w14:paraId="6784B4B7"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6915C3A5"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02FF71C1"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1CBBA04E"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650183BD"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c>
          <w:tcPr>
            <w:tcW w:w="588" w:type="pct"/>
            <w:vAlign w:val="center"/>
          </w:tcPr>
          <w:p w14:paraId="0627CB5F"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Yes</w:t>
            </w:r>
          </w:p>
        </w:tc>
      </w:tr>
      <w:tr w:rsidR="0023559E" w:rsidRPr="00070779" w14:paraId="7BC7D657" w14:textId="77777777" w:rsidTr="00197CE1">
        <w:trPr>
          <w:jc w:val="center"/>
        </w:trPr>
        <w:tc>
          <w:tcPr>
            <w:tcW w:w="1471" w:type="pct"/>
            <w:vAlign w:val="center"/>
          </w:tcPr>
          <w:p w14:paraId="1DC3FAE5"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Year FE</w:t>
            </w:r>
          </w:p>
        </w:tc>
        <w:tc>
          <w:tcPr>
            <w:tcW w:w="588" w:type="pct"/>
            <w:vAlign w:val="center"/>
          </w:tcPr>
          <w:p w14:paraId="027CF265"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9654F0">
              <w:rPr>
                <w:rFonts w:eastAsia="DengXian"/>
                <w:sz w:val="20"/>
                <w:szCs w:val="20"/>
                <w:lang w:eastAsia="zh-CN"/>
              </w:rPr>
              <w:t>Yes</w:t>
            </w:r>
          </w:p>
        </w:tc>
        <w:tc>
          <w:tcPr>
            <w:tcW w:w="588" w:type="pct"/>
            <w:vAlign w:val="center"/>
          </w:tcPr>
          <w:p w14:paraId="0E6BBFF2"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9654F0">
              <w:rPr>
                <w:rFonts w:eastAsia="DengXian"/>
                <w:sz w:val="20"/>
                <w:szCs w:val="20"/>
                <w:lang w:eastAsia="zh-CN"/>
              </w:rPr>
              <w:t>Yes</w:t>
            </w:r>
          </w:p>
        </w:tc>
        <w:tc>
          <w:tcPr>
            <w:tcW w:w="588" w:type="pct"/>
            <w:vAlign w:val="center"/>
          </w:tcPr>
          <w:p w14:paraId="56AF63AF"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9654F0">
              <w:rPr>
                <w:rFonts w:eastAsia="DengXian"/>
                <w:sz w:val="20"/>
                <w:szCs w:val="20"/>
                <w:lang w:eastAsia="zh-CN"/>
              </w:rPr>
              <w:t>Yes</w:t>
            </w:r>
          </w:p>
        </w:tc>
        <w:tc>
          <w:tcPr>
            <w:tcW w:w="588" w:type="pct"/>
            <w:vAlign w:val="center"/>
          </w:tcPr>
          <w:p w14:paraId="219006F8"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9654F0">
              <w:rPr>
                <w:rFonts w:eastAsia="DengXian"/>
                <w:sz w:val="20"/>
                <w:szCs w:val="20"/>
                <w:lang w:eastAsia="zh-CN"/>
              </w:rPr>
              <w:t>Yes</w:t>
            </w:r>
          </w:p>
        </w:tc>
        <w:tc>
          <w:tcPr>
            <w:tcW w:w="588" w:type="pct"/>
            <w:vAlign w:val="center"/>
          </w:tcPr>
          <w:p w14:paraId="2D681C21"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9654F0">
              <w:rPr>
                <w:rFonts w:eastAsia="DengXian"/>
                <w:sz w:val="20"/>
                <w:szCs w:val="20"/>
                <w:lang w:eastAsia="zh-CN"/>
              </w:rPr>
              <w:t>Yes</w:t>
            </w:r>
          </w:p>
        </w:tc>
        <w:tc>
          <w:tcPr>
            <w:tcW w:w="588" w:type="pct"/>
            <w:vAlign w:val="center"/>
          </w:tcPr>
          <w:p w14:paraId="0E0BF522"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9654F0">
              <w:rPr>
                <w:rFonts w:eastAsia="DengXian"/>
                <w:sz w:val="20"/>
                <w:szCs w:val="20"/>
                <w:lang w:eastAsia="zh-CN"/>
              </w:rPr>
              <w:t>Yes</w:t>
            </w:r>
          </w:p>
        </w:tc>
      </w:tr>
      <w:tr w:rsidR="0023559E" w:rsidRPr="00070779" w14:paraId="4E64363B" w14:textId="77777777" w:rsidTr="00197CE1">
        <w:trPr>
          <w:jc w:val="center"/>
        </w:trPr>
        <w:tc>
          <w:tcPr>
            <w:tcW w:w="1471" w:type="pct"/>
            <w:vAlign w:val="center"/>
            <w:hideMark/>
          </w:tcPr>
          <w:p w14:paraId="3C76C243"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Adjusted R2</w:t>
            </w:r>
          </w:p>
        </w:tc>
        <w:tc>
          <w:tcPr>
            <w:tcW w:w="588" w:type="pct"/>
            <w:tcBorders>
              <w:left w:val="nil"/>
              <w:bottom w:val="nil"/>
              <w:right w:val="nil"/>
            </w:tcBorders>
          </w:tcPr>
          <w:p w14:paraId="33076B84"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0.764</w:t>
            </w:r>
          </w:p>
        </w:tc>
        <w:tc>
          <w:tcPr>
            <w:tcW w:w="588" w:type="pct"/>
            <w:tcBorders>
              <w:left w:val="nil"/>
              <w:bottom w:val="nil"/>
              <w:right w:val="nil"/>
            </w:tcBorders>
          </w:tcPr>
          <w:p w14:paraId="3EB4855D" w14:textId="77777777" w:rsidR="0023559E" w:rsidRPr="009654F0" w:rsidRDefault="0023559E" w:rsidP="00197CE1">
            <w:pPr>
              <w:widowControl w:val="0"/>
              <w:autoSpaceDE w:val="0"/>
              <w:autoSpaceDN w:val="0"/>
              <w:adjustRightInd w:val="0"/>
              <w:jc w:val="center"/>
              <w:rPr>
                <w:rFonts w:eastAsia="DengXian"/>
                <w:sz w:val="20"/>
                <w:szCs w:val="20"/>
                <w:lang w:eastAsia="zh-CN"/>
              </w:rPr>
            </w:pPr>
            <w:r>
              <w:rPr>
                <w:rFonts w:eastAsia="DengXian"/>
                <w:sz w:val="20"/>
                <w:szCs w:val="20"/>
                <w:lang w:eastAsia="zh-CN"/>
              </w:rPr>
              <w:t>0.557</w:t>
            </w:r>
          </w:p>
        </w:tc>
        <w:tc>
          <w:tcPr>
            <w:tcW w:w="588" w:type="pct"/>
            <w:tcBorders>
              <w:left w:val="nil"/>
              <w:bottom w:val="nil"/>
              <w:right w:val="nil"/>
            </w:tcBorders>
          </w:tcPr>
          <w:p w14:paraId="2E6D1588"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0.748</w:t>
            </w:r>
          </w:p>
        </w:tc>
        <w:tc>
          <w:tcPr>
            <w:tcW w:w="588" w:type="pct"/>
            <w:tcBorders>
              <w:left w:val="nil"/>
              <w:bottom w:val="nil"/>
              <w:right w:val="nil"/>
            </w:tcBorders>
          </w:tcPr>
          <w:p w14:paraId="29DFC698" w14:textId="77777777" w:rsidR="0023559E" w:rsidRPr="009654F0" w:rsidRDefault="0023559E" w:rsidP="00197CE1">
            <w:pPr>
              <w:widowControl w:val="0"/>
              <w:autoSpaceDE w:val="0"/>
              <w:autoSpaceDN w:val="0"/>
              <w:adjustRightInd w:val="0"/>
              <w:jc w:val="center"/>
              <w:rPr>
                <w:rFonts w:eastAsia="DengXian"/>
                <w:sz w:val="20"/>
                <w:szCs w:val="20"/>
                <w:lang w:eastAsia="zh-CN"/>
              </w:rPr>
            </w:pPr>
            <w:r>
              <w:rPr>
                <w:rFonts w:eastAsia="DengXian"/>
                <w:sz w:val="20"/>
                <w:szCs w:val="20"/>
                <w:lang w:eastAsia="zh-CN"/>
              </w:rPr>
              <w:t>0.493</w:t>
            </w:r>
          </w:p>
        </w:tc>
        <w:tc>
          <w:tcPr>
            <w:tcW w:w="588" w:type="pct"/>
            <w:tcBorders>
              <w:left w:val="nil"/>
              <w:bottom w:val="nil"/>
              <w:right w:val="nil"/>
            </w:tcBorders>
          </w:tcPr>
          <w:p w14:paraId="08D273F0"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F91CC6">
              <w:rPr>
                <w:sz w:val="20"/>
                <w:szCs w:val="20"/>
              </w:rPr>
              <w:t>0.756</w:t>
            </w:r>
          </w:p>
        </w:tc>
        <w:tc>
          <w:tcPr>
            <w:tcW w:w="588" w:type="pct"/>
            <w:tcBorders>
              <w:left w:val="nil"/>
              <w:bottom w:val="nil"/>
              <w:right w:val="nil"/>
            </w:tcBorders>
          </w:tcPr>
          <w:p w14:paraId="0CB672F1" w14:textId="77777777" w:rsidR="0023559E" w:rsidRPr="009654F0" w:rsidRDefault="0023559E" w:rsidP="00197CE1">
            <w:pPr>
              <w:widowControl w:val="0"/>
              <w:autoSpaceDE w:val="0"/>
              <w:autoSpaceDN w:val="0"/>
              <w:adjustRightInd w:val="0"/>
              <w:jc w:val="center"/>
              <w:rPr>
                <w:rFonts w:eastAsia="DengXian"/>
                <w:sz w:val="20"/>
                <w:szCs w:val="20"/>
                <w:lang w:eastAsia="zh-CN"/>
              </w:rPr>
            </w:pPr>
            <w:r>
              <w:rPr>
                <w:rFonts w:eastAsia="DengXian"/>
                <w:sz w:val="20"/>
                <w:szCs w:val="20"/>
                <w:lang w:eastAsia="zh-CN"/>
              </w:rPr>
              <w:t>0.390</w:t>
            </w:r>
          </w:p>
        </w:tc>
      </w:tr>
      <w:tr w:rsidR="0023559E" w:rsidRPr="00070779" w14:paraId="631E730A" w14:textId="77777777" w:rsidTr="00197CE1">
        <w:trPr>
          <w:jc w:val="center"/>
        </w:trPr>
        <w:tc>
          <w:tcPr>
            <w:tcW w:w="1471" w:type="pct"/>
            <w:tcBorders>
              <w:bottom w:val="single" w:sz="4" w:space="0" w:color="auto"/>
            </w:tcBorders>
            <w:vAlign w:val="center"/>
            <w:hideMark/>
          </w:tcPr>
          <w:p w14:paraId="7581557D" w14:textId="77777777" w:rsidR="0023559E" w:rsidRPr="00070779" w:rsidRDefault="0023559E" w:rsidP="00197CE1">
            <w:pPr>
              <w:widowControl w:val="0"/>
              <w:autoSpaceDE w:val="0"/>
              <w:autoSpaceDN w:val="0"/>
              <w:adjustRightInd w:val="0"/>
              <w:jc w:val="center"/>
              <w:rPr>
                <w:rFonts w:eastAsia="DengXian"/>
                <w:sz w:val="20"/>
                <w:szCs w:val="20"/>
                <w:lang w:eastAsia="zh-CN"/>
              </w:rPr>
            </w:pPr>
            <w:r w:rsidRPr="00070779">
              <w:rPr>
                <w:rFonts w:eastAsia="DengXian"/>
                <w:sz w:val="20"/>
                <w:szCs w:val="20"/>
                <w:lang w:eastAsia="zh-CN"/>
              </w:rPr>
              <w:t>Obs.</w:t>
            </w:r>
          </w:p>
        </w:tc>
        <w:tc>
          <w:tcPr>
            <w:tcW w:w="588" w:type="pct"/>
            <w:tcBorders>
              <w:top w:val="nil"/>
              <w:left w:val="nil"/>
              <w:bottom w:val="single" w:sz="4" w:space="0" w:color="auto"/>
              <w:right w:val="nil"/>
            </w:tcBorders>
          </w:tcPr>
          <w:p w14:paraId="7DB9975D"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F91CC6">
              <w:rPr>
                <w:sz w:val="20"/>
                <w:szCs w:val="20"/>
              </w:rPr>
              <w:t>8845.000</w:t>
            </w:r>
          </w:p>
        </w:tc>
        <w:tc>
          <w:tcPr>
            <w:tcW w:w="588" w:type="pct"/>
            <w:tcBorders>
              <w:top w:val="nil"/>
              <w:left w:val="nil"/>
              <w:bottom w:val="single" w:sz="4" w:space="0" w:color="auto"/>
              <w:right w:val="nil"/>
            </w:tcBorders>
          </w:tcPr>
          <w:p w14:paraId="53F0CDD5"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F91CC6">
              <w:rPr>
                <w:sz w:val="20"/>
                <w:szCs w:val="20"/>
              </w:rPr>
              <w:t>8845.000</w:t>
            </w:r>
          </w:p>
        </w:tc>
        <w:tc>
          <w:tcPr>
            <w:tcW w:w="588" w:type="pct"/>
            <w:tcBorders>
              <w:top w:val="nil"/>
              <w:left w:val="nil"/>
              <w:bottom w:val="single" w:sz="4" w:space="0" w:color="auto"/>
              <w:right w:val="nil"/>
            </w:tcBorders>
          </w:tcPr>
          <w:p w14:paraId="581558BE"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F91CC6">
              <w:rPr>
                <w:sz w:val="20"/>
                <w:szCs w:val="20"/>
              </w:rPr>
              <w:t>6228.000</w:t>
            </w:r>
          </w:p>
        </w:tc>
        <w:tc>
          <w:tcPr>
            <w:tcW w:w="588" w:type="pct"/>
            <w:tcBorders>
              <w:top w:val="nil"/>
              <w:left w:val="nil"/>
              <w:bottom w:val="single" w:sz="4" w:space="0" w:color="auto"/>
              <w:right w:val="nil"/>
            </w:tcBorders>
          </w:tcPr>
          <w:p w14:paraId="45FA4E3C"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F91CC6">
              <w:rPr>
                <w:sz w:val="20"/>
                <w:szCs w:val="20"/>
              </w:rPr>
              <w:t>6228.000</w:t>
            </w:r>
          </w:p>
        </w:tc>
        <w:tc>
          <w:tcPr>
            <w:tcW w:w="588" w:type="pct"/>
            <w:tcBorders>
              <w:top w:val="nil"/>
              <w:left w:val="nil"/>
              <w:bottom w:val="single" w:sz="4" w:space="0" w:color="auto"/>
              <w:right w:val="nil"/>
            </w:tcBorders>
          </w:tcPr>
          <w:p w14:paraId="2E982C24"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F91CC6">
              <w:rPr>
                <w:sz w:val="20"/>
                <w:szCs w:val="20"/>
              </w:rPr>
              <w:t>9307.000</w:t>
            </w:r>
          </w:p>
        </w:tc>
        <w:tc>
          <w:tcPr>
            <w:tcW w:w="588" w:type="pct"/>
            <w:tcBorders>
              <w:top w:val="nil"/>
              <w:left w:val="nil"/>
              <w:bottom w:val="single" w:sz="4" w:space="0" w:color="auto"/>
              <w:right w:val="nil"/>
            </w:tcBorders>
          </w:tcPr>
          <w:p w14:paraId="1EE21A7A" w14:textId="77777777" w:rsidR="0023559E" w:rsidRPr="009654F0" w:rsidRDefault="0023559E" w:rsidP="00197CE1">
            <w:pPr>
              <w:widowControl w:val="0"/>
              <w:autoSpaceDE w:val="0"/>
              <w:autoSpaceDN w:val="0"/>
              <w:adjustRightInd w:val="0"/>
              <w:jc w:val="center"/>
              <w:rPr>
                <w:rFonts w:eastAsia="DengXian"/>
                <w:sz w:val="20"/>
                <w:szCs w:val="20"/>
                <w:lang w:eastAsia="zh-CN"/>
              </w:rPr>
            </w:pPr>
            <w:r w:rsidRPr="00F91CC6">
              <w:rPr>
                <w:sz w:val="20"/>
                <w:szCs w:val="20"/>
              </w:rPr>
              <w:t>9307.000</w:t>
            </w:r>
          </w:p>
        </w:tc>
      </w:tr>
    </w:tbl>
    <w:p w14:paraId="223033BB" w14:textId="77777777" w:rsidR="0023559E" w:rsidRPr="00070779" w:rsidRDefault="0023559E" w:rsidP="0023559E">
      <w:pPr>
        <w:widowControl w:val="0"/>
        <w:autoSpaceDE w:val="0"/>
        <w:autoSpaceDN w:val="0"/>
        <w:adjustRightInd w:val="0"/>
        <w:jc w:val="center"/>
        <w:rPr>
          <w:b/>
          <w:szCs w:val="20"/>
        </w:rPr>
      </w:pPr>
    </w:p>
    <w:p w14:paraId="2E3D5265" w14:textId="77777777" w:rsidR="0023559E" w:rsidRDefault="0023559E" w:rsidP="00726481">
      <w:pPr>
        <w:widowControl w:val="0"/>
        <w:autoSpaceDE w:val="0"/>
        <w:autoSpaceDN w:val="0"/>
        <w:adjustRightInd w:val="0"/>
        <w:jc w:val="center"/>
        <w:rPr>
          <w:b/>
          <w:szCs w:val="20"/>
        </w:rPr>
      </w:pPr>
    </w:p>
    <w:p w14:paraId="018EAEC8" w14:textId="77777777" w:rsidR="0023559E" w:rsidRDefault="0023559E" w:rsidP="00726481">
      <w:pPr>
        <w:widowControl w:val="0"/>
        <w:autoSpaceDE w:val="0"/>
        <w:autoSpaceDN w:val="0"/>
        <w:adjustRightInd w:val="0"/>
        <w:jc w:val="center"/>
        <w:rPr>
          <w:b/>
          <w:szCs w:val="20"/>
        </w:rPr>
      </w:pPr>
    </w:p>
    <w:p w14:paraId="59D3EA13" w14:textId="77777777" w:rsidR="0023559E" w:rsidRDefault="0023559E" w:rsidP="00726481">
      <w:pPr>
        <w:widowControl w:val="0"/>
        <w:autoSpaceDE w:val="0"/>
        <w:autoSpaceDN w:val="0"/>
        <w:adjustRightInd w:val="0"/>
        <w:jc w:val="center"/>
        <w:rPr>
          <w:b/>
          <w:szCs w:val="20"/>
        </w:rPr>
      </w:pPr>
    </w:p>
    <w:p w14:paraId="31C7B651" w14:textId="77777777" w:rsidR="0023559E" w:rsidRDefault="0023559E" w:rsidP="00726481">
      <w:pPr>
        <w:widowControl w:val="0"/>
        <w:autoSpaceDE w:val="0"/>
        <w:autoSpaceDN w:val="0"/>
        <w:adjustRightInd w:val="0"/>
        <w:jc w:val="center"/>
        <w:rPr>
          <w:b/>
          <w:szCs w:val="20"/>
        </w:rPr>
      </w:pPr>
    </w:p>
    <w:p w14:paraId="55AA1771" w14:textId="77777777" w:rsidR="0023559E" w:rsidRDefault="0023559E" w:rsidP="00726481">
      <w:pPr>
        <w:widowControl w:val="0"/>
        <w:autoSpaceDE w:val="0"/>
        <w:autoSpaceDN w:val="0"/>
        <w:adjustRightInd w:val="0"/>
        <w:jc w:val="center"/>
        <w:rPr>
          <w:b/>
          <w:szCs w:val="20"/>
        </w:rPr>
      </w:pPr>
    </w:p>
    <w:p w14:paraId="795237F8" w14:textId="77777777" w:rsidR="0023559E" w:rsidRDefault="0023559E" w:rsidP="00726481">
      <w:pPr>
        <w:widowControl w:val="0"/>
        <w:autoSpaceDE w:val="0"/>
        <w:autoSpaceDN w:val="0"/>
        <w:adjustRightInd w:val="0"/>
        <w:jc w:val="center"/>
        <w:rPr>
          <w:b/>
          <w:szCs w:val="20"/>
        </w:rPr>
      </w:pPr>
    </w:p>
    <w:p w14:paraId="623A10D7" w14:textId="77777777" w:rsidR="0023559E" w:rsidRDefault="0023559E" w:rsidP="00726481">
      <w:pPr>
        <w:widowControl w:val="0"/>
        <w:autoSpaceDE w:val="0"/>
        <w:autoSpaceDN w:val="0"/>
        <w:adjustRightInd w:val="0"/>
        <w:jc w:val="center"/>
        <w:rPr>
          <w:b/>
          <w:szCs w:val="20"/>
        </w:rPr>
      </w:pPr>
    </w:p>
    <w:p w14:paraId="68A4E9BC" w14:textId="77777777" w:rsidR="0023559E" w:rsidRDefault="0023559E" w:rsidP="00726481">
      <w:pPr>
        <w:widowControl w:val="0"/>
        <w:autoSpaceDE w:val="0"/>
        <w:autoSpaceDN w:val="0"/>
        <w:adjustRightInd w:val="0"/>
        <w:jc w:val="center"/>
        <w:rPr>
          <w:b/>
          <w:szCs w:val="20"/>
        </w:rPr>
      </w:pPr>
    </w:p>
    <w:p w14:paraId="19A7C524" w14:textId="77777777" w:rsidR="0023559E" w:rsidRDefault="0023559E" w:rsidP="00726481">
      <w:pPr>
        <w:widowControl w:val="0"/>
        <w:autoSpaceDE w:val="0"/>
        <w:autoSpaceDN w:val="0"/>
        <w:adjustRightInd w:val="0"/>
        <w:jc w:val="center"/>
        <w:rPr>
          <w:b/>
          <w:szCs w:val="20"/>
        </w:rPr>
      </w:pPr>
    </w:p>
    <w:p w14:paraId="5442A282" w14:textId="77777777" w:rsidR="0023559E" w:rsidRDefault="0023559E" w:rsidP="00726481">
      <w:pPr>
        <w:widowControl w:val="0"/>
        <w:autoSpaceDE w:val="0"/>
        <w:autoSpaceDN w:val="0"/>
        <w:adjustRightInd w:val="0"/>
        <w:jc w:val="center"/>
        <w:rPr>
          <w:b/>
          <w:szCs w:val="20"/>
        </w:rPr>
      </w:pPr>
    </w:p>
    <w:p w14:paraId="1B614A6B" w14:textId="77777777" w:rsidR="0023559E" w:rsidRDefault="0023559E" w:rsidP="00726481">
      <w:pPr>
        <w:widowControl w:val="0"/>
        <w:autoSpaceDE w:val="0"/>
        <w:autoSpaceDN w:val="0"/>
        <w:adjustRightInd w:val="0"/>
        <w:jc w:val="center"/>
        <w:rPr>
          <w:b/>
          <w:szCs w:val="20"/>
        </w:rPr>
      </w:pPr>
    </w:p>
    <w:p w14:paraId="7E70A1A4" w14:textId="77777777" w:rsidR="0023559E" w:rsidRDefault="0023559E" w:rsidP="00726481">
      <w:pPr>
        <w:widowControl w:val="0"/>
        <w:autoSpaceDE w:val="0"/>
        <w:autoSpaceDN w:val="0"/>
        <w:adjustRightInd w:val="0"/>
        <w:jc w:val="center"/>
        <w:rPr>
          <w:b/>
          <w:szCs w:val="20"/>
        </w:rPr>
      </w:pPr>
    </w:p>
    <w:p w14:paraId="41F60850" w14:textId="77777777" w:rsidR="0023559E" w:rsidRDefault="0023559E" w:rsidP="00726481">
      <w:pPr>
        <w:widowControl w:val="0"/>
        <w:autoSpaceDE w:val="0"/>
        <w:autoSpaceDN w:val="0"/>
        <w:adjustRightInd w:val="0"/>
        <w:jc w:val="center"/>
        <w:rPr>
          <w:b/>
          <w:szCs w:val="20"/>
        </w:rPr>
      </w:pPr>
    </w:p>
    <w:p w14:paraId="16A9C918" w14:textId="77777777" w:rsidR="0023559E" w:rsidRDefault="0023559E" w:rsidP="00726481">
      <w:pPr>
        <w:widowControl w:val="0"/>
        <w:autoSpaceDE w:val="0"/>
        <w:autoSpaceDN w:val="0"/>
        <w:adjustRightInd w:val="0"/>
        <w:jc w:val="center"/>
        <w:rPr>
          <w:b/>
          <w:szCs w:val="20"/>
        </w:rPr>
      </w:pPr>
    </w:p>
    <w:p w14:paraId="0A946401" w14:textId="77777777" w:rsidR="0023559E" w:rsidRDefault="0023559E" w:rsidP="00726481">
      <w:pPr>
        <w:widowControl w:val="0"/>
        <w:autoSpaceDE w:val="0"/>
        <w:autoSpaceDN w:val="0"/>
        <w:adjustRightInd w:val="0"/>
        <w:jc w:val="center"/>
        <w:rPr>
          <w:b/>
          <w:szCs w:val="20"/>
        </w:rPr>
      </w:pPr>
    </w:p>
    <w:p w14:paraId="79CD3C5F" w14:textId="77777777" w:rsidR="0023559E" w:rsidRDefault="0023559E" w:rsidP="00726481">
      <w:pPr>
        <w:widowControl w:val="0"/>
        <w:autoSpaceDE w:val="0"/>
        <w:autoSpaceDN w:val="0"/>
        <w:adjustRightInd w:val="0"/>
        <w:jc w:val="center"/>
        <w:rPr>
          <w:b/>
          <w:szCs w:val="20"/>
        </w:rPr>
      </w:pPr>
    </w:p>
    <w:p w14:paraId="519209B0" w14:textId="77777777" w:rsidR="005F1BE6" w:rsidRDefault="005F1BE6" w:rsidP="00726481">
      <w:pPr>
        <w:widowControl w:val="0"/>
        <w:autoSpaceDE w:val="0"/>
        <w:autoSpaceDN w:val="0"/>
        <w:adjustRightInd w:val="0"/>
        <w:jc w:val="center"/>
        <w:rPr>
          <w:b/>
          <w:szCs w:val="20"/>
        </w:rPr>
      </w:pPr>
    </w:p>
    <w:p w14:paraId="6A8A8478" w14:textId="77777777" w:rsidR="0023559E" w:rsidRDefault="0023559E" w:rsidP="0023559E">
      <w:pPr>
        <w:widowControl w:val="0"/>
        <w:autoSpaceDE w:val="0"/>
        <w:autoSpaceDN w:val="0"/>
        <w:adjustRightInd w:val="0"/>
        <w:rPr>
          <w:b/>
          <w:szCs w:val="20"/>
        </w:rPr>
      </w:pPr>
    </w:p>
    <w:p w14:paraId="5F08E022" w14:textId="77777777" w:rsidR="00726481" w:rsidRPr="00CE7D45" w:rsidRDefault="00726481" w:rsidP="0023559E">
      <w:pPr>
        <w:widowControl w:val="0"/>
        <w:autoSpaceDE w:val="0"/>
        <w:autoSpaceDN w:val="0"/>
        <w:adjustRightInd w:val="0"/>
        <w:jc w:val="center"/>
        <w:rPr>
          <w:b/>
          <w:szCs w:val="20"/>
        </w:rPr>
      </w:pPr>
      <w:r w:rsidRPr="00CE7D45">
        <w:rPr>
          <w:b/>
          <w:szCs w:val="20"/>
        </w:rPr>
        <w:t>TABLE 7</w:t>
      </w:r>
    </w:p>
    <w:p w14:paraId="728B71CF" w14:textId="77777777" w:rsidR="00726481" w:rsidRPr="00CE7D45" w:rsidRDefault="00726481" w:rsidP="00726481">
      <w:pPr>
        <w:widowControl w:val="0"/>
        <w:autoSpaceDE w:val="0"/>
        <w:autoSpaceDN w:val="0"/>
        <w:adjustRightInd w:val="0"/>
        <w:jc w:val="center"/>
        <w:rPr>
          <w:b/>
          <w:szCs w:val="20"/>
        </w:rPr>
      </w:pPr>
      <w:r w:rsidRPr="00CE7D45">
        <w:rPr>
          <w:b/>
          <w:szCs w:val="20"/>
        </w:rPr>
        <w:t xml:space="preserve"> </w:t>
      </w:r>
      <w:r w:rsidR="0043098D">
        <w:rPr>
          <w:b/>
          <w:szCs w:val="20"/>
        </w:rPr>
        <w:t xml:space="preserve">Large </w:t>
      </w:r>
      <w:r w:rsidR="00C2325A">
        <w:rPr>
          <w:b/>
          <w:szCs w:val="20"/>
        </w:rPr>
        <w:t>customer</w:t>
      </w:r>
      <w:r w:rsidR="00B339FF" w:rsidRPr="00CE7D45">
        <w:rPr>
          <w:b/>
          <w:szCs w:val="20"/>
        </w:rPr>
        <w:t xml:space="preserve">-supplier </w:t>
      </w:r>
      <w:r w:rsidR="0099693E">
        <w:rPr>
          <w:b/>
          <w:szCs w:val="20"/>
        </w:rPr>
        <w:t>link</w:t>
      </w:r>
      <w:r w:rsidR="00B339FF" w:rsidRPr="00CE7D45">
        <w:rPr>
          <w:b/>
          <w:szCs w:val="20"/>
        </w:rPr>
        <w:t xml:space="preserve">s </w:t>
      </w:r>
      <w:r w:rsidRPr="00CE7D45">
        <w:rPr>
          <w:b/>
          <w:szCs w:val="20"/>
        </w:rPr>
        <w:t>and loan pricing: term loans and revolver loans</w:t>
      </w:r>
    </w:p>
    <w:p w14:paraId="6A99FCE5" w14:textId="77777777" w:rsidR="00726481" w:rsidRPr="00070779" w:rsidRDefault="00726481" w:rsidP="002B3BA8">
      <w:pPr>
        <w:widowControl w:val="0"/>
        <w:tabs>
          <w:tab w:val="left" w:pos="11907"/>
        </w:tabs>
        <w:autoSpaceDE w:val="0"/>
        <w:autoSpaceDN w:val="0"/>
        <w:adjustRightInd w:val="0"/>
        <w:ind w:left="-142" w:right="-279"/>
        <w:jc w:val="both"/>
        <w:rPr>
          <w:sz w:val="22"/>
          <w:szCs w:val="22"/>
        </w:rPr>
      </w:pPr>
      <w:r w:rsidRPr="00070779">
        <w:rPr>
          <w:sz w:val="22"/>
          <w:szCs w:val="22"/>
        </w:rPr>
        <w:t>This table reports the results of the model for the spread</w:t>
      </w:r>
      <w:r>
        <w:rPr>
          <w:sz w:val="22"/>
          <w:szCs w:val="22"/>
        </w:rPr>
        <w:t xml:space="preserve">, total costs of borrowing </w:t>
      </w:r>
      <w:r w:rsidRPr="00070779">
        <w:rPr>
          <w:sz w:val="22"/>
          <w:szCs w:val="22"/>
        </w:rPr>
        <w:t xml:space="preserve">and the covenants required by the lead </w:t>
      </w:r>
      <w:r w:rsidR="00643038">
        <w:rPr>
          <w:sz w:val="22"/>
          <w:szCs w:val="22"/>
        </w:rPr>
        <w:t>agent</w:t>
      </w:r>
      <w:r w:rsidRPr="00070779">
        <w:rPr>
          <w:sz w:val="22"/>
          <w:szCs w:val="22"/>
        </w:rPr>
        <w:t>, Eq (3</w:t>
      </w:r>
      <w:r w:rsidRPr="00A7659A">
        <w:rPr>
          <w:sz w:val="22"/>
          <w:szCs w:val="22"/>
        </w:rPr>
        <w:t>). The</w:t>
      </w:r>
      <w:r w:rsidRPr="00CA711B">
        <w:rPr>
          <w:sz w:val="22"/>
          <w:szCs w:val="22"/>
        </w:rPr>
        <w:t xml:space="preserve"> dependent variable</w:t>
      </w:r>
      <w:r>
        <w:rPr>
          <w:sz w:val="22"/>
          <w:szCs w:val="22"/>
        </w:rPr>
        <w:t xml:space="preserve">s are </w:t>
      </w:r>
      <w:r w:rsidRPr="00967BEA">
        <w:rPr>
          <w:i/>
          <w:iCs/>
          <w:sz w:val="22"/>
          <w:szCs w:val="22"/>
        </w:rPr>
        <w:t>AISD</w:t>
      </w:r>
      <w:r w:rsidRPr="00CA711B">
        <w:rPr>
          <w:sz w:val="22"/>
          <w:szCs w:val="22"/>
        </w:rPr>
        <w:t xml:space="preserve"> </w:t>
      </w:r>
      <w:r>
        <w:rPr>
          <w:sz w:val="22"/>
          <w:szCs w:val="22"/>
        </w:rPr>
        <w:t xml:space="preserve">in Panel A, </w:t>
      </w:r>
      <w:r w:rsidR="00967BEA" w:rsidRPr="00967BEA">
        <w:rPr>
          <w:i/>
          <w:iCs/>
          <w:sz w:val="22"/>
          <w:szCs w:val="22"/>
        </w:rPr>
        <w:t>T</w:t>
      </w:r>
      <w:r w:rsidR="00967BEA">
        <w:rPr>
          <w:i/>
          <w:iCs/>
          <w:sz w:val="22"/>
          <w:szCs w:val="22"/>
        </w:rPr>
        <w:t>CB</w:t>
      </w:r>
      <w:r>
        <w:rPr>
          <w:sz w:val="22"/>
          <w:szCs w:val="22"/>
        </w:rPr>
        <w:t xml:space="preserve"> in Panel B and covenant index in Panel C.</w:t>
      </w:r>
      <w:r w:rsidRPr="00CA711B">
        <w:rPr>
          <w:sz w:val="22"/>
          <w:szCs w:val="22"/>
        </w:rPr>
        <w:t xml:space="preserve"> Columns (1), (3) and (5) report the first-stage results from a 2SLS estimation where we regress syndicate reputation variables against the lead agent participation. Columns (2), (4) and (6) report the second</w:t>
      </w:r>
      <w:r w:rsidR="00845607">
        <w:rPr>
          <w:sz w:val="22"/>
          <w:szCs w:val="22"/>
        </w:rPr>
        <w:t>-</w:t>
      </w:r>
      <w:r w:rsidRPr="00CA711B">
        <w:rPr>
          <w:sz w:val="22"/>
          <w:szCs w:val="22"/>
        </w:rPr>
        <w:t xml:space="preserve">stage results of the 2SLS estimation. </w:t>
      </w:r>
      <w:r w:rsidRPr="00070779">
        <w:rPr>
          <w:sz w:val="22"/>
          <w:szCs w:val="22"/>
        </w:rPr>
        <w:t xml:space="preserve">All specifications include year, </w:t>
      </w:r>
      <w:r w:rsidR="00050C9B" w:rsidRPr="00070779">
        <w:rPr>
          <w:sz w:val="22"/>
          <w:szCs w:val="22"/>
        </w:rPr>
        <w:t>bank,</w:t>
      </w:r>
      <w:r w:rsidRPr="00070779">
        <w:rPr>
          <w:sz w:val="22"/>
          <w:szCs w:val="22"/>
        </w:rPr>
        <w:t xml:space="preserve"> and borrower sector-fixed effects. All independent variables are defined in Table A1 of the Appendix. Standard errors are clustered at borrower level and reported in parentheses. ***, **, and * denote statistical significance at the 1%, 5%, and 10% levels, respectively. </w:t>
      </w:r>
    </w:p>
    <w:tbl>
      <w:tblPr>
        <w:tblW w:w="9747" w:type="dxa"/>
        <w:jc w:val="center"/>
        <w:tblLayout w:type="fixed"/>
        <w:tblLook w:val="0000" w:firstRow="0" w:lastRow="0" w:firstColumn="0" w:lastColumn="0" w:noHBand="0" w:noVBand="0"/>
      </w:tblPr>
      <w:tblGrid>
        <w:gridCol w:w="2835"/>
        <w:gridCol w:w="1223"/>
        <w:gridCol w:w="1081"/>
        <w:gridCol w:w="1081"/>
        <w:gridCol w:w="1223"/>
        <w:gridCol w:w="1223"/>
        <w:gridCol w:w="1081"/>
      </w:tblGrid>
      <w:tr w:rsidR="00726481" w:rsidRPr="003F79CF" w14:paraId="07209F4E" w14:textId="77777777" w:rsidTr="00A71B25">
        <w:trPr>
          <w:jc w:val="center"/>
        </w:trPr>
        <w:tc>
          <w:tcPr>
            <w:tcW w:w="2835" w:type="dxa"/>
            <w:tcBorders>
              <w:top w:val="single" w:sz="4" w:space="0" w:color="auto"/>
            </w:tcBorders>
            <w:shd w:val="clear" w:color="auto" w:fill="auto"/>
          </w:tcPr>
          <w:p w14:paraId="3087D035" w14:textId="77777777" w:rsidR="00726481" w:rsidRPr="003F79CF" w:rsidRDefault="00726481" w:rsidP="00726481">
            <w:pPr>
              <w:widowControl w:val="0"/>
              <w:autoSpaceDE w:val="0"/>
              <w:autoSpaceDN w:val="0"/>
              <w:adjustRightInd w:val="0"/>
              <w:jc w:val="center"/>
              <w:rPr>
                <w:b/>
                <w:bCs/>
                <w:sz w:val="20"/>
                <w:szCs w:val="20"/>
              </w:rPr>
            </w:pPr>
            <w:r w:rsidRPr="003F79CF">
              <w:rPr>
                <w:b/>
                <w:bCs/>
                <w:sz w:val="20"/>
                <w:szCs w:val="20"/>
              </w:rPr>
              <w:t>Panel A</w:t>
            </w:r>
            <w:r>
              <w:rPr>
                <w:b/>
                <w:bCs/>
                <w:sz w:val="20"/>
                <w:szCs w:val="20"/>
              </w:rPr>
              <w:t>: AISD</w:t>
            </w:r>
          </w:p>
        </w:tc>
        <w:tc>
          <w:tcPr>
            <w:tcW w:w="1223" w:type="dxa"/>
            <w:tcBorders>
              <w:top w:val="single" w:sz="4" w:space="0" w:color="auto"/>
              <w:bottom w:val="single" w:sz="4" w:space="0" w:color="auto"/>
            </w:tcBorders>
            <w:shd w:val="clear" w:color="auto" w:fill="auto"/>
          </w:tcPr>
          <w:p w14:paraId="654B541F"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(1)</w:t>
            </w:r>
          </w:p>
        </w:tc>
        <w:tc>
          <w:tcPr>
            <w:tcW w:w="1081" w:type="dxa"/>
            <w:tcBorders>
              <w:top w:val="single" w:sz="4" w:space="0" w:color="auto"/>
              <w:bottom w:val="single" w:sz="4" w:space="0" w:color="auto"/>
            </w:tcBorders>
            <w:shd w:val="clear" w:color="auto" w:fill="auto"/>
          </w:tcPr>
          <w:p w14:paraId="15E7256C"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 xml:space="preserve">(2) </w:t>
            </w:r>
          </w:p>
        </w:tc>
        <w:tc>
          <w:tcPr>
            <w:tcW w:w="1081" w:type="dxa"/>
            <w:tcBorders>
              <w:top w:val="single" w:sz="4" w:space="0" w:color="auto"/>
              <w:bottom w:val="single" w:sz="4" w:space="0" w:color="auto"/>
            </w:tcBorders>
            <w:shd w:val="clear" w:color="auto" w:fill="auto"/>
          </w:tcPr>
          <w:p w14:paraId="5F9352E2"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(3)</w:t>
            </w:r>
          </w:p>
        </w:tc>
        <w:tc>
          <w:tcPr>
            <w:tcW w:w="1223" w:type="dxa"/>
            <w:tcBorders>
              <w:top w:val="single" w:sz="4" w:space="0" w:color="auto"/>
              <w:bottom w:val="single" w:sz="4" w:space="0" w:color="auto"/>
            </w:tcBorders>
            <w:shd w:val="clear" w:color="auto" w:fill="auto"/>
          </w:tcPr>
          <w:p w14:paraId="31DFA036"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(4)</w:t>
            </w:r>
          </w:p>
        </w:tc>
        <w:tc>
          <w:tcPr>
            <w:tcW w:w="1223" w:type="dxa"/>
            <w:tcBorders>
              <w:top w:val="single" w:sz="4" w:space="0" w:color="auto"/>
              <w:bottom w:val="single" w:sz="4" w:space="0" w:color="auto"/>
            </w:tcBorders>
            <w:shd w:val="clear" w:color="auto" w:fill="auto"/>
          </w:tcPr>
          <w:p w14:paraId="6B1217F9"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(5)</w:t>
            </w:r>
          </w:p>
        </w:tc>
        <w:tc>
          <w:tcPr>
            <w:tcW w:w="1081" w:type="dxa"/>
            <w:tcBorders>
              <w:top w:val="single" w:sz="4" w:space="0" w:color="auto"/>
              <w:bottom w:val="single" w:sz="4" w:space="0" w:color="auto"/>
            </w:tcBorders>
            <w:shd w:val="clear" w:color="auto" w:fill="auto"/>
          </w:tcPr>
          <w:p w14:paraId="302E9BED"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(6)</w:t>
            </w:r>
          </w:p>
        </w:tc>
      </w:tr>
      <w:tr w:rsidR="00726481" w:rsidRPr="003F79CF" w14:paraId="4A7C4220" w14:textId="77777777" w:rsidTr="00A71B25">
        <w:trPr>
          <w:jc w:val="center"/>
        </w:trPr>
        <w:tc>
          <w:tcPr>
            <w:tcW w:w="2835" w:type="dxa"/>
            <w:shd w:val="clear" w:color="auto" w:fill="auto"/>
          </w:tcPr>
          <w:p w14:paraId="098C1C66" w14:textId="77777777" w:rsidR="00726481" w:rsidRPr="003F79CF" w:rsidRDefault="00726481" w:rsidP="00726481">
            <w:pPr>
              <w:widowControl w:val="0"/>
              <w:autoSpaceDE w:val="0"/>
              <w:autoSpaceDN w:val="0"/>
              <w:adjustRightInd w:val="0"/>
              <w:jc w:val="center"/>
              <w:rPr>
                <w:b/>
                <w:bCs/>
                <w:sz w:val="20"/>
                <w:szCs w:val="20"/>
              </w:rPr>
            </w:pPr>
          </w:p>
        </w:tc>
        <w:tc>
          <w:tcPr>
            <w:tcW w:w="1223" w:type="dxa"/>
            <w:tcBorders>
              <w:top w:val="single" w:sz="4" w:space="0" w:color="auto"/>
              <w:bottom w:val="single" w:sz="4" w:space="0" w:color="auto"/>
            </w:tcBorders>
            <w:shd w:val="clear" w:color="auto" w:fill="auto"/>
          </w:tcPr>
          <w:p w14:paraId="5F2A3D36"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1</w:t>
            </w:r>
            <w:r w:rsidRPr="003F79CF">
              <w:rPr>
                <w:sz w:val="20"/>
                <w:szCs w:val="20"/>
                <w:vertAlign w:val="superscript"/>
              </w:rPr>
              <w:t>st</w:t>
            </w:r>
            <w:r w:rsidRPr="003F79CF">
              <w:rPr>
                <w:sz w:val="20"/>
                <w:szCs w:val="20"/>
              </w:rPr>
              <w:t xml:space="preserve"> stage</w:t>
            </w:r>
          </w:p>
        </w:tc>
        <w:tc>
          <w:tcPr>
            <w:tcW w:w="1081" w:type="dxa"/>
            <w:tcBorders>
              <w:top w:val="single" w:sz="4" w:space="0" w:color="auto"/>
              <w:bottom w:val="single" w:sz="4" w:space="0" w:color="auto"/>
            </w:tcBorders>
            <w:shd w:val="clear" w:color="auto" w:fill="auto"/>
          </w:tcPr>
          <w:p w14:paraId="727B1762"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2</w:t>
            </w:r>
            <w:r w:rsidRPr="003F79CF">
              <w:rPr>
                <w:sz w:val="20"/>
                <w:szCs w:val="20"/>
                <w:vertAlign w:val="superscript"/>
              </w:rPr>
              <w:t>nd</w:t>
            </w:r>
            <w:r w:rsidRPr="003F79CF">
              <w:rPr>
                <w:sz w:val="20"/>
                <w:szCs w:val="20"/>
              </w:rPr>
              <w:t xml:space="preserve"> stage</w:t>
            </w:r>
          </w:p>
        </w:tc>
        <w:tc>
          <w:tcPr>
            <w:tcW w:w="1081" w:type="dxa"/>
            <w:tcBorders>
              <w:top w:val="single" w:sz="4" w:space="0" w:color="auto"/>
              <w:bottom w:val="single" w:sz="4" w:space="0" w:color="auto"/>
            </w:tcBorders>
            <w:shd w:val="clear" w:color="auto" w:fill="auto"/>
          </w:tcPr>
          <w:p w14:paraId="773CF17A"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1</w:t>
            </w:r>
            <w:r w:rsidRPr="003F79CF">
              <w:rPr>
                <w:sz w:val="20"/>
                <w:szCs w:val="20"/>
                <w:vertAlign w:val="superscript"/>
              </w:rPr>
              <w:t>st</w:t>
            </w:r>
            <w:r w:rsidRPr="003F79CF">
              <w:rPr>
                <w:sz w:val="20"/>
                <w:szCs w:val="20"/>
              </w:rPr>
              <w:t xml:space="preserve"> stage</w:t>
            </w:r>
          </w:p>
        </w:tc>
        <w:tc>
          <w:tcPr>
            <w:tcW w:w="1223" w:type="dxa"/>
            <w:tcBorders>
              <w:top w:val="single" w:sz="4" w:space="0" w:color="auto"/>
              <w:bottom w:val="single" w:sz="4" w:space="0" w:color="auto"/>
            </w:tcBorders>
            <w:shd w:val="clear" w:color="auto" w:fill="auto"/>
          </w:tcPr>
          <w:p w14:paraId="7808BE4B"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2</w:t>
            </w:r>
            <w:r w:rsidRPr="003F79CF">
              <w:rPr>
                <w:sz w:val="20"/>
                <w:szCs w:val="20"/>
                <w:vertAlign w:val="superscript"/>
              </w:rPr>
              <w:t>nd</w:t>
            </w:r>
            <w:r w:rsidRPr="003F79CF">
              <w:rPr>
                <w:sz w:val="20"/>
                <w:szCs w:val="20"/>
              </w:rPr>
              <w:t xml:space="preserve"> stage</w:t>
            </w:r>
          </w:p>
        </w:tc>
        <w:tc>
          <w:tcPr>
            <w:tcW w:w="1223" w:type="dxa"/>
            <w:tcBorders>
              <w:top w:val="single" w:sz="4" w:space="0" w:color="auto"/>
              <w:bottom w:val="single" w:sz="4" w:space="0" w:color="auto"/>
            </w:tcBorders>
            <w:shd w:val="clear" w:color="auto" w:fill="auto"/>
          </w:tcPr>
          <w:p w14:paraId="02792F86"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1</w:t>
            </w:r>
            <w:r w:rsidRPr="003F79CF">
              <w:rPr>
                <w:sz w:val="20"/>
                <w:szCs w:val="20"/>
                <w:vertAlign w:val="superscript"/>
              </w:rPr>
              <w:t>st</w:t>
            </w:r>
            <w:r w:rsidRPr="003F79CF">
              <w:rPr>
                <w:sz w:val="20"/>
                <w:szCs w:val="20"/>
              </w:rPr>
              <w:t xml:space="preserve"> stage</w:t>
            </w:r>
          </w:p>
        </w:tc>
        <w:tc>
          <w:tcPr>
            <w:tcW w:w="1081" w:type="dxa"/>
            <w:tcBorders>
              <w:top w:val="single" w:sz="4" w:space="0" w:color="auto"/>
              <w:bottom w:val="single" w:sz="4" w:space="0" w:color="auto"/>
            </w:tcBorders>
            <w:shd w:val="clear" w:color="auto" w:fill="auto"/>
          </w:tcPr>
          <w:p w14:paraId="7E20C6EC" w14:textId="77777777" w:rsidR="00726481" w:rsidRPr="003F79CF" w:rsidRDefault="00726481" w:rsidP="00726481">
            <w:pPr>
              <w:widowControl w:val="0"/>
              <w:autoSpaceDE w:val="0"/>
              <w:autoSpaceDN w:val="0"/>
              <w:adjustRightInd w:val="0"/>
              <w:jc w:val="center"/>
              <w:rPr>
                <w:sz w:val="20"/>
                <w:szCs w:val="20"/>
              </w:rPr>
            </w:pPr>
            <w:r w:rsidRPr="003F79CF">
              <w:rPr>
                <w:sz w:val="20"/>
                <w:szCs w:val="20"/>
              </w:rPr>
              <w:t>2</w:t>
            </w:r>
            <w:r w:rsidRPr="003F79CF">
              <w:rPr>
                <w:sz w:val="20"/>
                <w:szCs w:val="20"/>
                <w:vertAlign w:val="superscript"/>
              </w:rPr>
              <w:t>nd</w:t>
            </w:r>
            <w:r w:rsidRPr="003F79CF">
              <w:rPr>
                <w:sz w:val="20"/>
                <w:szCs w:val="20"/>
              </w:rPr>
              <w:t xml:space="preserve"> stage</w:t>
            </w:r>
          </w:p>
        </w:tc>
      </w:tr>
      <w:tr w:rsidR="0032036B" w:rsidRPr="003F79CF" w14:paraId="451C7D31" w14:textId="77777777" w:rsidTr="00355194">
        <w:trPr>
          <w:jc w:val="center"/>
        </w:trPr>
        <w:tc>
          <w:tcPr>
            <w:tcW w:w="2835" w:type="dxa"/>
            <w:shd w:val="clear" w:color="auto" w:fill="auto"/>
            <w:vAlign w:val="center"/>
          </w:tcPr>
          <w:p w14:paraId="1C018FE2" w14:textId="77777777" w:rsidR="0032036B" w:rsidRPr="003F79CF" w:rsidRDefault="0032036B" w:rsidP="0032036B">
            <w:pPr>
              <w:widowControl w:val="0"/>
              <w:autoSpaceDE w:val="0"/>
              <w:autoSpaceDN w:val="0"/>
              <w:adjustRightInd w:val="0"/>
              <w:jc w:val="center"/>
              <w:rPr>
                <w:sz w:val="20"/>
                <w:szCs w:val="20"/>
              </w:rPr>
            </w:pPr>
            <w:r w:rsidRPr="003F79CF">
              <w:rPr>
                <w:rFonts w:eastAsia="DengXian"/>
                <w:sz w:val="20"/>
                <w:szCs w:val="20"/>
                <w:lang w:eastAsia="zh-CN"/>
              </w:rPr>
              <w:t>Syndicate reputation: lead to participant</w:t>
            </w:r>
          </w:p>
        </w:tc>
        <w:tc>
          <w:tcPr>
            <w:tcW w:w="1223" w:type="dxa"/>
            <w:tcBorders>
              <w:top w:val="single" w:sz="4" w:space="0" w:color="auto"/>
              <w:left w:val="nil"/>
              <w:bottom w:val="nil"/>
              <w:right w:val="nil"/>
            </w:tcBorders>
            <w:vAlign w:val="center"/>
          </w:tcPr>
          <w:p w14:paraId="02F984CE"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-0.038</w:t>
            </w:r>
            <w:r w:rsidRPr="006F1B90">
              <w:rPr>
                <w:sz w:val="20"/>
                <w:szCs w:val="20"/>
                <w:vertAlign w:val="superscript"/>
              </w:rPr>
              <w:t>***</w:t>
            </w:r>
          </w:p>
        </w:tc>
        <w:tc>
          <w:tcPr>
            <w:tcW w:w="1081" w:type="dxa"/>
            <w:tcBorders>
              <w:top w:val="single" w:sz="4" w:space="0" w:color="auto"/>
              <w:left w:val="nil"/>
              <w:bottom w:val="nil"/>
              <w:right w:val="nil"/>
            </w:tcBorders>
            <w:vAlign w:val="center"/>
          </w:tcPr>
          <w:p w14:paraId="3968930D"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single" w:sz="4" w:space="0" w:color="auto"/>
              <w:left w:val="nil"/>
              <w:bottom w:val="nil"/>
              <w:right w:val="nil"/>
            </w:tcBorders>
            <w:vAlign w:val="center"/>
          </w:tcPr>
          <w:p w14:paraId="7BDE26BF"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-0.037</w:t>
            </w:r>
            <w:r w:rsidRPr="006F1B90">
              <w:rPr>
                <w:sz w:val="20"/>
                <w:szCs w:val="20"/>
                <w:vertAlign w:val="superscript"/>
              </w:rPr>
              <w:t>***</w:t>
            </w:r>
          </w:p>
        </w:tc>
        <w:tc>
          <w:tcPr>
            <w:tcW w:w="1223" w:type="dxa"/>
            <w:tcBorders>
              <w:top w:val="single" w:sz="4" w:space="0" w:color="auto"/>
              <w:left w:val="nil"/>
              <w:bottom w:val="nil"/>
              <w:right w:val="nil"/>
            </w:tcBorders>
            <w:vAlign w:val="center"/>
          </w:tcPr>
          <w:p w14:paraId="14817A1B"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single" w:sz="4" w:space="0" w:color="auto"/>
              <w:left w:val="nil"/>
              <w:bottom w:val="nil"/>
              <w:right w:val="nil"/>
            </w:tcBorders>
            <w:vAlign w:val="center"/>
          </w:tcPr>
          <w:p w14:paraId="46361614"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-0.037</w:t>
            </w:r>
            <w:r w:rsidRPr="006F1B90">
              <w:rPr>
                <w:sz w:val="20"/>
                <w:szCs w:val="20"/>
                <w:vertAlign w:val="superscript"/>
              </w:rPr>
              <w:t>***</w:t>
            </w:r>
          </w:p>
        </w:tc>
        <w:tc>
          <w:tcPr>
            <w:tcW w:w="1081" w:type="dxa"/>
            <w:tcBorders>
              <w:top w:val="single" w:sz="4" w:space="0" w:color="auto"/>
              <w:left w:val="nil"/>
              <w:bottom w:val="nil"/>
              <w:right w:val="nil"/>
            </w:tcBorders>
            <w:vAlign w:val="center"/>
          </w:tcPr>
          <w:p w14:paraId="23F9E6EB" w14:textId="77777777" w:rsidR="0032036B" w:rsidRPr="003F79CF" w:rsidRDefault="0032036B" w:rsidP="00355194">
            <w:pPr>
              <w:widowControl w:val="0"/>
              <w:autoSpaceDE w:val="0"/>
              <w:autoSpaceDN w:val="0"/>
              <w:adjustRightInd w:val="0"/>
              <w:jc w:val="center"/>
              <w:rPr>
                <w:sz w:val="20"/>
                <w:szCs w:val="20"/>
              </w:rPr>
            </w:pPr>
          </w:p>
        </w:tc>
      </w:tr>
      <w:tr w:rsidR="0032036B" w:rsidRPr="003F79CF" w14:paraId="7EB56F4D" w14:textId="77777777" w:rsidTr="00355194">
        <w:trPr>
          <w:jc w:val="center"/>
        </w:trPr>
        <w:tc>
          <w:tcPr>
            <w:tcW w:w="2835" w:type="dxa"/>
            <w:shd w:val="clear" w:color="auto" w:fill="auto"/>
            <w:vAlign w:val="center"/>
          </w:tcPr>
          <w:p w14:paraId="70FBA700" w14:textId="77777777" w:rsidR="0032036B" w:rsidRPr="003F79CF" w:rsidRDefault="0032036B" w:rsidP="0032036B">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0142A1EA"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w:t>
            </w:r>
          </w:p>
        </w:tc>
        <w:tc>
          <w:tcPr>
            <w:tcW w:w="1081" w:type="dxa"/>
            <w:tcBorders>
              <w:top w:val="nil"/>
              <w:left w:val="nil"/>
              <w:bottom w:val="nil"/>
              <w:right w:val="nil"/>
            </w:tcBorders>
            <w:vAlign w:val="center"/>
          </w:tcPr>
          <w:p w14:paraId="744A4BAC"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6145F221"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w:t>
            </w:r>
          </w:p>
        </w:tc>
        <w:tc>
          <w:tcPr>
            <w:tcW w:w="1223" w:type="dxa"/>
            <w:tcBorders>
              <w:top w:val="nil"/>
              <w:left w:val="nil"/>
              <w:bottom w:val="nil"/>
              <w:right w:val="nil"/>
            </w:tcBorders>
            <w:vAlign w:val="center"/>
          </w:tcPr>
          <w:p w14:paraId="5366CFE7"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2A42AAAF"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w:t>
            </w:r>
          </w:p>
        </w:tc>
        <w:tc>
          <w:tcPr>
            <w:tcW w:w="1081" w:type="dxa"/>
            <w:tcBorders>
              <w:top w:val="nil"/>
              <w:left w:val="nil"/>
              <w:bottom w:val="nil"/>
              <w:right w:val="nil"/>
            </w:tcBorders>
            <w:vAlign w:val="center"/>
          </w:tcPr>
          <w:p w14:paraId="5A9AC647" w14:textId="77777777" w:rsidR="0032036B" w:rsidRPr="003F79CF" w:rsidRDefault="0032036B" w:rsidP="00355194">
            <w:pPr>
              <w:widowControl w:val="0"/>
              <w:autoSpaceDE w:val="0"/>
              <w:autoSpaceDN w:val="0"/>
              <w:adjustRightInd w:val="0"/>
              <w:jc w:val="center"/>
              <w:rPr>
                <w:sz w:val="20"/>
                <w:szCs w:val="20"/>
              </w:rPr>
            </w:pPr>
          </w:p>
        </w:tc>
      </w:tr>
      <w:tr w:rsidR="0032036B" w:rsidRPr="003F79CF" w14:paraId="626F31C2" w14:textId="77777777" w:rsidTr="00355194">
        <w:trPr>
          <w:jc w:val="center"/>
        </w:trPr>
        <w:tc>
          <w:tcPr>
            <w:tcW w:w="2835" w:type="dxa"/>
            <w:shd w:val="clear" w:color="auto" w:fill="auto"/>
            <w:vAlign w:val="center"/>
          </w:tcPr>
          <w:p w14:paraId="117BD131" w14:textId="77777777" w:rsidR="0032036B" w:rsidRPr="003F79CF" w:rsidRDefault="0032036B" w:rsidP="0032036B">
            <w:pPr>
              <w:widowControl w:val="0"/>
              <w:autoSpaceDE w:val="0"/>
              <w:autoSpaceDN w:val="0"/>
              <w:adjustRightInd w:val="0"/>
              <w:jc w:val="center"/>
              <w:rPr>
                <w:sz w:val="20"/>
                <w:szCs w:val="20"/>
              </w:rPr>
            </w:pPr>
            <w:r w:rsidRPr="003F79CF">
              <w:rPr>
                <w:rFonts w:eastAsia="DengXian"/>
                <w:sz w:val="20"/>
                <w:szCs w:val="20"/>
                <w:lang w:eastAsia="zh-CN"/>
              </w:rPr>
              <w:t>Syndicate reputation: reciprocal</w:t>
            </w:r>
          </w:p>
        </w:tc>
        <w:tc>
          <w:tcPr>
            <w:tcW w:w="1223" w:type="dxa"/>
            <w:tcBorders>
              <w:top w:val="nil"/>
              <w:left w:val="nil"/>
              <w:bottom w:val="nil"/>
              <w:right w:val="nil"/>
            </w:tcBorders>
            <w:vAlign w:val="center"/>
          </w:tcPr>
          <w:p w14:paraId="5614EDC9"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-0.049</w:t>
            </w:r>
            <w:r w:rsidRPr="006F1B90">
              <w:rPr>
                <w:sz w:val="20"/>
                <w:szCs w:val="20"/>
                <w:vertAlign w:val="superscript"/>
              </w:rPr>
              <w:t>***</w:t>
            </w:r>
          </w:p>
        </w:tc>
        <w:tc>
          <w:tcPr>
            <w:tcW w:w="1081" w:type="dxa"/>
            <w:tcBorders>
              <w:top w:val="nil"/>
              <w:left w:val="nil"/>
              <w:bottom w:val="nil"/>
              <w:right w:val="nil"/>
            </w:tcBorders>
            <w:vAlign w:val="center"/>
          </w:tcPr>
          <w:p w14:paraId="7BF31F91"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390EFEEE"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-0.048</w:t>
            </w:r>
            <w:r w:rsidRPr="006F1B90">
              <w:rPr>
                <w:sz w:val="20"/>
                <w:szCs w:val="20"/>
                <w:vertAlign w:val="superscript"/>
              </w:rPr>
              <w:t>***</w:t>
            </w:r>
          </w:p>
        </w:tc>
        <w:tc>
          <w:tcPr>
            <w:tcW w:w="1223" w:type="dxa"/>
            <w:tcBorders>
              <w:top w:val="nil"/>
              <w:left w:val="nil"/>
              <w:bottom w:val="nil"/>
              <w:right w:val="nil"/>
            </w:tcBorders>
            <w:vAlign w:val="center"/>
          </w:tcPr>
          <w:p w14:paraId="0F56B0AE"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0BC4A9E1"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-0.048</w:t>
            </w:r>
            <w:r w:rsidRPr="006F1B90">
              <w:rPr>
                <w:sz w:val="20"/>
                <w:szCs w:val="20"/>
                <w:vertAlign w:val="superscript"/>
              </w:rPr>
              <w:t>***</w:t>
            </w:r>
          </w:p>
        </w:tc>
        <w:tc>
          <w:tcPr>
            <w:tcW w:w="1081" w:type="dxa"/>
            <w:tcBorders>
              <w:top w:val="nil"/>
              <w:left w:val="nil"/>
              <w:bottom w:val="nil"/>
              <w:right w:val="nil"/>
            </w:tcBorders>
            <w:vAlign w:val="center"/>
          </w:tcPr>
          <w:p w14:paraId="12B5C5BA" w14:textId="77777777" w:rsidR="0032036B" w:rsidRPr="003F79CF" w:rsidRDefault="0032036B" w:rsidP="00355194">
            <w:pPr>
              <w:widowControl w:val="0"/>
              <w:autoSpaceDE w:val="0"/>
              <w:autoSpaceDN w:val="0"/>
              <w:adjustRightInd w:val="0"/>
              <w:jc w:val="center"/>
              <w:rPr>
                <w:sz w:val="20"/>
                <w:szCs w:val="20"/>
              </w:rPr>
            </w:pPr>
          </w:p>
        </w:tc>
      </w:tr>
      <w:tr w:rsidR="0032036B" w:rsidRPr="003F79CF" w14:paraId="02EED4FA" w14:textId="77777777" w:rsidTr="00355194">
        <w:trPr>
          <w:jc w:val="center"/>
        </w:trPr>
        <w:tc>
          <w:tcPr>
            <w:tcW w:w="2835" w:type="dxa"/>
            <w:shd w:val="clear" w:color="auto" w:fill="auto"/>
            <w:vAlign w:val="center"/>
          </w:tcPr>
          <w:p w14:paraId="5ED4BA5D" w14:textId="77777777" w:rsidR="0032036B" w:rsidRPr="003F79CF" w:rsidRDefault="0032036B" w:rsidP="0032036B">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21FE684A"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081" w:type="dxa"/>
            <w:tcBorders>
              <w:top w:val="nil"/>
              <w:left w:val="nil"/>
              <w:bottom w:val="nil"/>
              <w:right w:val="nil"/>
            </w:tcBorders>
            <w:vAlign w:val="center"/>
          </w:tcPr>
          <w:p w14:paraId="37F3A4F1"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190B8506"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223" w:type="dxa"/>
            <w:tcBorders>
              <w:top w:val="nil"/>
              <w:left w:val="nil"/>
              <w:bottom w:val="nil"/>
              <w:right w:val="nil"/>
            </w:tcBorders>
            <w:vAlign w:val="center"/>
          </w:tcPr>
          <w:p w14:paraId="69FAF7FE"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5C08A9AF"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081" w:type="dxa"/>
            <w:tcBorders>
              <w:top w:val="nil"/>
              <w:left w:val="nil"/>
              <w:bottom w:val="nil"/>
              <w:right w:val="nil"/>
            </w:tcBorders>
            <w:vAlign w:val="center"/>
          </w:tcPr>
          <w:p w14:paraId="53627351" w14:textId="77777777" w:rsidR="0032036B" w:rsidRPr="003F79CF" w:rsidRDefault="0032036B" w:rsidP="00355194">
            <w:pPr>
              <w:widowControl w:val="0"/>
              <w:autoSpaceDE w:val="0"/>
              <w:autoSpaceDN w:val="0"/>
              <w:adjustRightInd w:val="0"/>
              <w:jc w:val="center"/>
              <w:rPr>
                <w:sz w:val="20"/>
                <w:szCs w:val="20"/>
              </w:rPr>
            </w:pPr>
          </w:p>
        </w:tc>
      </w:tr>
      <w:tr w:rsidR="0032036B" w:rsidRPr="003F79CF" w14:paraId="3EFFFC62" w14:textId="77777777" w:rsidTr="00355194">
        <w:trPr>
          <w:jc w:val="center"/>
        </w:trPr>
        <w:tc>
          <w:tcPr>
            <w:tcW w:w="2835" w:type="dxa"/>
            <w:shd w:val="clear" w:color="auto" w:fill="auto"/>
            <w:vAlign w:val="center"/>
          </w:tcPr>
          <w:p w14:paraId="1F6D398A" w14:textId="77777777" w:rsidR="0032036B" w:rsidRPr="003F79CF" w:rsidRDefault="0032036B" w:rsidP="0032036B">
            <w:pPr>
              <w:widowControl w:val="0"/>
              <w:autoSpaceDE w:val="0"/>
              <w:autoSpaceDN w:val="0"/>
              <w:adjustRightInd w:val="0"/>
              <w:jc w:val="center"/>
              <w:rPr>
                <w:sz w:val="20"/>
                <w:szCs w:val="20"/>
              </w:rPr>
            </w:pPr>
            <w:r w:rsidRPr="003F79CF">
              <w:rPr>
                <w:rFonts w:eastAsia="DengXian"/>
                <w:sz w:val="20"/>
                <w:szCs w:val="20"/>
                <w:lang w:eastAsia="zh-CN"/>
              </w:rPr>
              <w:t>Lead agent share</w:t>
            </w:r>
          </w:p>
        </w:tc>
        <w:tc>
          <w:tcPr>
            <w:tcW w:w="1223" w:type="dxa"/>
            <w:tcBorders>
              <w:top w:val="nil"/>
              <w:left w:val="nil"/>
              <w:bottom w:val="nil"/>
              <w:right w:val="nil"/>
            </w:tcBorders>
            <w:vAlign w:val="center"/>
          </w:tcPr>
          <w:p w14:paraId="3C4517E3"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41B22526"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3.088</w:t>
            </w:r>
            <w:r w:rsidRPr="006F1B90">
              <w:rPr>
                <w:sz w:val="20"/>
                <w:szCs w:val="20"/>
                <w:vertAlign w:val="superscript"/>
              </w:rPr>
              <w:t>***</w:t>
            </w:r>
          </w:p>
        </w:tc>
        <w:tc>
          <w:tcPr>
            <w:tcW w:w="1081" w:type="dxa"/>
            <w:tcBorders>
              <w:top w:val="nil"/>
              <w:left w:val="nil"/>
              <w:bottom w:val="nil"/>
              <w:right w:val="nil"/>
            </w:tcBorders>
            <w:vAlign w:val="center"/>
          </w:tcPr>
          <w:p w14:paraId="6A47F9CB"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6646DC87"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3.121</w:t>
            </w:r>
            <w:r w:rsidRPr="006F1B90">
              <w:rPr>
                <w:sz w:val="20"/>
                <w:szCs w:val="20"/>
                <w:vertAlign w:val="superscript"/>
              </w:rPr>
              <w:t>***</w:t>
            </w:r>
          </w:p>
        </w:tc>
        <w:tc>
          <w:tcPr>
            <w:tcW w:w="1223" w:type="dxa"/>
            <w:tcBorders>
              <w:top w:val="nil"/>
              <w:left w:val="nil"/>
              <w:bottom w:val="nil"/>
              <w:right w:val="nil"/>
            </w:tcBorders>
            <w:vAlign w:val="center"/>
          </w:tcPr>
          <w:p w14:paraId="47870394"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21A12B1F"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3.117</w:t>
            </w:r>
            <w:r w:rsidRPr="006F1B90">
              <w:rPr>
                <w:sz w:val="20"/>
                <w:szCs w:val="20"/>
                <w:vertAlign w:val="superscript"/>
              </w:rPr>
              <w:t>***</w:t>
            </w:r>
          </w:p>
        </w:tc>
      </w:tr>
      <w:tr w:rsidR="0032036B" w:rsidRPr="003F79CF" w14:paraId="2D2C2E73" w14:textId="77777777" w:rsidTr="00355194">
        <w:trPr>
          <w:jc w:val="center"/>
        </w:trPr>
        <w:tc>
          <w:tcPr>
            <w:tcW w:w="2835" w:type="dxa"/>
            <w:shd w:val="clear" w:color="auto" w:fill="auto"/>
            <w:vAlign w:val="center"/>
          </w:tcPr>
          <w:p w14:paraId="7D82174F" w14:textId="77777777" w:rsidR="0032036B" w:rsidRPr="003F79CF" w:rsidRDefault="0032036B" w:rsidP="0032036B">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02C53E7E"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63FB26F0"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(0.72)</w:t>
            </w:r>
          </w:p>
        </w:tc>
        <w:tc>
          <w:tcPr>
            <w:tcW w:w="1081" w:type="dxa"/>
            <w:tcBorders>
              <w:top w:val="nil"/>
              <w:left w:val="nil"/>
              <w:bottom w:val="nil"/>
              <w:right w:val="nil"/>
            </w:tcBorders>
            <w:vAlign w:val="center"/>
          </w:tcPr>
          <w:p w14:paraId="3511A3C0"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00C3D013"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(0.75)</w:t>
            </w:r>
          </w:p>
        </w:tc>
        <w:tc>
          <w:tcPr>
            <w:tcW w:w="1223" w:type="dxa"/>
            <w:tcBorders>
              <w:top w:val="nil"/>
              <w:left w:val="nil"/>
              <w:bottom w:val="nil"/>
              <w:right w:val="nil"/>
            </w:tcBorders>
            <w:vAlign w:val="center"/>
          </w:tcPr>
          <w:p w14:paraId="73121BC7"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18C087F3"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(0.72)</w:t>
            </w:r>
          </w:p>
        </w:tc>
      </w:tr>
      <w:tr w:rsidR="0032036B" w:rsidRPr="003F79CF" w14:paraId="5EE07670" w14:textId="77777777" w:rsidTr="00355194">
        <w:trPr>
          <w:jc w:val="center"/>
        </w:trPr>
        <w:tc>
          <w:tcPr>
            <w:tcW w:w="2835" w:type="dxa"/>
            <w:shd w:val="clear" w:color="auto" w:fill="auto"/>
            <w:vAlign w:val="center"/>
          </w:tcPr>
          <w:p w14:paraId="12FEBBF6" w14:textId="77777777" w:rsidR="0032036B" w:rsidRPr="003F79CF" w:rsidRDefault="0026146F" w:rsidP="0026146F">
            <w:pPr>
              <w:widowControl w:val="0"/>
              <w:autoSpaceDE w:val="0"/>
              <w:autoSpaceDN w:val="0"/>
              <w:adjustRightInd w:val="0"/>
              <w:jc w:val="center"/>
              <w:rPr>
                <w:sz w:val="20"/>
                <w:szCs w:val="20"/>
              </w:rPr>
            </w:pPr>
            <w:r>
              <w:rPr>
                <w:rFonts w:eastAsia="DengXian"/>
                <w:sz w:val="20"/>
                <w:szCs w:val="20"/>
                <w:lang w:eastAsia="zh-CN"/>
              </w:rPr>
              <w:t>L</w:t>
            </w:r>
            <w:r w:rsidRPr="00F5316D">
              <w:rPr>
                <w:rFonts w:eastAsia="DengXian"/>
                <w:sz w:val="20"/>
                <w:szCs w:val="20"/>
                <w:lang w:eastAsia="zh-CN"/>
              </w:rPr>
              <w:t xml:space="preserve">arge CS </w:t>
            </w:r>
            <w:r w:rsidR="0099693E">
              <w:rPr>
                <w:rFonts w:eastAsia="DengXian"/>
                <w:sz w:val="20"/>
                <w:szCs w:val="20"/>
                <w:lang w:eastAsia="zh-CN"/>
              </w:rPr>
              <w:t>link</w:t>
            </w:r>
            <w:r w:rsidRPr="00F5316D">
              <w:rPr>
                <w:rFonts w:eastAsia="DengXian"/>
                <w:sz w:val="20"/>
                <w:szCs w:val="20"/>
                <w:lang w:eastAsia="zh-CN"/>
              </w:rPr>
              <w:t>s</w:t>
            </w:r>
          </w:p>
        </w:tc>
        <w:tc>
          <w:tcPr>
            <w:tcW w:w="1223" w:type="dxa"/>
            <w:tcBorders>
              <w:top w:val="nil"/>
              <w:left w:val="nil"/>
              <w:bottom w:val="nil"/>
              <w:right w:val="nil"/>
            </w:tcBorders>
            <w:vAlign w:val="center"/>
          </w:tcPr>
          <w:p w14:paraId="517D7919"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0.005</w:t>
            </w:r>
            <w:r w:rsidRPr="006F1B90">
              <w:rPr>
                <w:sz w:val="20"/>
                <w:szCs w:val="20"/>
                <w:vertAlign w:val="superscript"/>
              </w:rPr>
              <w:t>*</w:t>
            </w:r>
          </w:p>
        </w:tc>
        <w:tc>
          <w:tcPr>
            <w:tcW w:w="1081" w:type="dxa"/>
            <w:tcBorders>
              <w:top w:val="nil"/>
              <w:left w:val="nil"/>
              <w:bottom w:val="nil"/>
              <w:right w:val="nil"/>
            </w:tcBorders>
            <w:vAlign w:val="center"/>
          </w:tcPr>
          <w:p w14:paraId="559B9EC7"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0.044</w:t>
            </w:r>
          </w:p>
        </w:tc>
        <w:tc>
          <w:tcPr>
            <w:tcW w:w="1081" w:type="dxa"/>
            <w:tcBorders>
              <w:top w:val="nil"/>
              <w:left w:val="nil"/>
              <w:bottom w:val="nil"/>
              <w:right w:val="nil"/>
            </w:tcBorders>
            <w:vAlign w:val="center"/>
          </w:tcPr>
          <w:p w14:paraId="4E272B4F"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4FB54892" w14:textId="77777777" w:rsidR="0032036B" w:rsidRPr="002E256B" w:rsidRDefault="0032036B" w:rsidP="00355194">
            <w:pPr>
              <w:widowControl w:val="0"/>
              <w:autoSpaceDE w:val="0"/>
              <w:autoSpaceDN w:val="0"/>
              <w:adjustRightInd w:val="0"/>
              <w:jc w:val="center"/>
              <w:rPr>
                <w:rFonts w:eastAsia="DengXian"/>
                <w:sz w:val="20"/>
                <w:szCs w:val="20"/>
                <w:lang w:val="en-GB" w:eastAsia="zh-CN"/>
              </w:rPr>
            </w:pPr>
          </w:p>
        </w:tc>
        <w:tc>
          <w:tcPr>
            <w:tcW w:w="1223" w:type="dxa"/>
            <w:tcBorders>
              <w:top w:val="nil"/>
              <w:left w:val="nil"/>
              <w:bottom w:val="nil"/>
              <w:right w:val="nil"/>
            </w:tcBorders>
            <w:vAlign w:val="center"/>
          </w:tcPr>
          <w:p w14:paraId="78ADDED4"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414A6A65" w14:textId="77777777" w:rsidR="0032036B" w:rsidRPr="003F79CF" w:rsidRDefault="0032036B" w:rsidP="00355194">
            <w:pPr>
              <w:widowControl w:val="0"/>
              <w:autoSpaceDE w:val="0"/>
              <w:autoSpaceDN w:val="0"/>
              <w:adjustRightInd w:val="0"/>
              <w:jc w:val="center"/>
              <w:rPr>
                <w:sz w:val="20"/>
                <w:szCs w:val="20"/>
              </w:rPr>
            </w:pPr>
          </w:p>
        </w:tc>
      </w:tr>
      <w:tr w:rsidR="0032036B" w:rsidRPr="003F79CF" w14:paraId="0EA0F993" w14:textId="77777777" w:rsidTr="00355194">
        <w:trPr>
          <w:jc w:val="center"/>
        </w:trPr>
        <w:tc>
          <w:tcPr>
            <w:tcW w:w="2835" w:type="dxa"/>
            <w:shd w:val="clear" w:color="auto" w:fill="auto"/>
            <w:vAlign w:val="center"/>
          </w:tcPr>
          <w:p w14:paraId="642C870B" w14:textId="77777777" w:rsidR="0032036B" w:rsidRPr="003F79CF" w:rsidRDefault="0032036B" w:rsidP="0032036B">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1B45A177"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081" w:type="dxa"/>
            <w:tcBorders>
              <w:top w:val="nil"/>
              <w:left w:val="nil"/>
              <w:bottom w:val="nil"/>
              <w:right w:val="nil"/>
            </w:tcBorders>
            <w:vAlign w:val="center"/>
          </w:tcPr>
          <w:p w14:paraId="59501E5B"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(0.04)</w:t>
            </w:r>
          </w:p>
        </w:tc>
        <w:tc>
          <w:tcPr>
            <w:tcW w:w="1081" w:type="dxa"/>
            <w:tcBorders>
              <w:top w:val="nil"/>
              <w:left w:val="nil"/>
              <w:bottom w:val="nil"/>
              <w:right w:val="nil"/>
            </w:tcBorders>
            <w:vAlign w:val="center"/>
          </w:tcPr>
          <w:p w14:paraId="71A977E0"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0D68BF05"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0674D300"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4ACF529C" w14:textId="77777777" w:rsidR="0032036B" w:rsidRPr="003F79CF" w:rsidRDefault="0032036B" w:rsidP="00355194">
            <w:pPr>
              <w:widowControl w:val="0"/>
              <w:autoSpaceDE w:val="0"/>
              <w:autoSpaceDN w:val="0"/>
              <w:adjustRightInd w:val="0"/>
              <w:jc w:val="center"/>
              <w:rPr>
                <w:sz w:val="20"/>
                <w:szCs w:val="20"/>
              </w:rPr>
            </w:pPr>
          </w:p>
        </w:tc>
      </w:tr>
      <w:tr w:rsidR="0032036B" w:rsidRPr="003F79CF" w14:paraId="06AD147B" w14:textId="77777777" w:rsidTr="00355194">
        <w:trPr>
          <w:jc w:val="center"/>
        </w:trPr>
        <w:tc>
          <w:tcPr>
            <w:tcW w:w="2835" w:type="dxa"/>
            <w:shd w:val="clear" w:color="auto" w:fill="auto"/>
            <w:vAlign w:val="center"/>
          </w:tcPr>
          <w:p w14:paraId="50933A24" w14:textId="77777777" w:rsidR="0032036B" w:rsidRPr="003F79CF" w:rsidRDefault="0032036B" w:rsidP="0032036B">
            <w:pPr>
              <w:widowControl w:val="0"/>
              <w:autoSpaceDE w:val="0"/>
              <w:autoSpaceDN w:val="0"/>
              <w:adjustRightInd w:val="0"/>
              <w:jc w:val="center"/>
              <w:rPr>
                <w:sz w:val="20"/>
                <w:szCs w:val="20"/>
              </w:rPr>
            </w:pPr>
            <w:r w:rsidRPr="003F79CF">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3F79CF">
              <w:rPr>
                <w:rFonts w:eastAsia="DengXian"/>
                <w:sz w:val="20"/>
                <w:szCs w:val="20"/>
                <w:lang w:eastAsia="zh-CN"/>
              </w:rPr>
              <w:t>)</w:t>
            </w:r>
          </w:p>
        </w:tc>
        <w:tc>
          <w:tcPr>
            <w:tcW w:w="1223" w:type="dxa"/>
            <w:tcBorders>
              <w:top w:val="nil"/>
              <w:left w:val="nil"/>
              <w:bottom w:val="nil"/>
              <w:right w:val="nil"/>
            </w:tcBorders>
            <w:vAlign w:val="center"/>
          </w:tcPr>
          <w:p w14:paraId="3B2A6AB1"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654BEC8E"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2CBEDEC6"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0.017</w:t>
            </w:r>
            <w:r w:rsidRPr="006F1B90">
              <w:rPr>
                <w:sz w:val="20"/>
                <w:szCs w:val="20"/>
                <w:vertAlign w:val="superscript"/>
              </w:rPr>
              <w:t>***</w:t>
            </w:r>
          </w:p>
        </w:tc>
        <w:tc>
          <w:tcPr>
            <w:tcW w:w="1223" w:type="dxa"/>
            <w:tcBorders>
              <w:top w:val="nil"/>
              <w:left w:val="nil"/>
              <w:bottom w:val="nil"/>
              <w:right w:val="nil"/>
            </w:tcBorders>
            <w:vAlign w:val="center"/>
          </w:tcPr>
          <w:p w14:paraId="31752DF1"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-0.078</w:t>
            </w:r>
          </w:p>
        </w:tc>
        <w:tc>
          <w:tcPr>
            <w:tcW w:w="1223" w:type="dxa"/>
            <w:tcBorders>
              <w:top w:val="nil"/>
              <w:left w:val="nil"/>
              <w:bottom w:val="nil"/>
              <w:right w:val="nil"/>
            </w:tcBorders>
            <w:vAlign w:val="center"/>
          </w:tcPr>
          <w:p w14:paraId="7770527C"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0.042</w:t>
            </w:r>
            <w:r w:rsidRPr="006F1B90">
              <w:rPr>
                <w:sz w:val="20"/>
                <w:szCs w:val="20"/>
                <w:vertAlign w:val="superscript"/>
              </w:rPr>
              <w:t>***</w:t>
            </w:r>
          </w:p>
        </w:tc>
        <w:tc>
          <w:tcPr>
            <w:tcW w:w="1081" w:type="dxa"/>
            <w:tcBorders>
              <w:top w:val="nil"/>
              <w:left w:val="nil"/>
              <w:bottom w:val="nil"/>
              <w:right w:val="nil"/>
            </w:tcBorders>
            <w:vAlign w:val="center"/>
          </w:tcPr>
          <w:p w14:paraId="2B195A61"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0.059</w:t>
            </w:r>
          </w:p>
        </w:tc>
      </w:tr>
      <w:tr w:rsidR="0032036B" w:rsidRPr="003F79CF" w14:paraId="27BAB79F" w14:textId="77777777" w:rsidTr="00355194">
        <w:trPr>
          <w:jc w:val="center"/>
        </w:trPr>
        <w:tc>
          <w:tcPr>
            <w:tcW w:w="2835" w:type="dxa"/>
            <w:shd w:val="clear" w:color="auto" w:fill="auto"/>
            <w:vAlign w:val="center"/>
          </w:tcPr>
          <w:p w14:paraId="38F772F9" w14:textId="77777777" w:rsidR="0032036B" w:rsidRPr="003F79CF" w:rsidRDefault="0032036B" w:rsidP="0032036B">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08028E75"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651FC35E"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0E96D514"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223" w:type="dxa"/>
            <w:tcBorders>
              <w:top w:val="nil"/>
              <w:left w:val="nil"/>
              <w:bottom w:val="nil"/>
              <w:right w:val="nil"/>
            </w:tcBorders>
            <w:vAlign w:val="center"/>
          </w:tcPr>
          <w:p w14:paraId="4B791145"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(0.06)</w:t>
            </w:r>
          </w:p>
        </w:tc>
        <w:tc>
          <w:tcPr>
            <w:tcW w:w="1223" w:type="dxa"/>
            <w:tcBorders>
              <w:top w:val="nil"/>
              <w:left w:val="nil"/>
              <w:bottom w:val="nil"/>
              <w:right w:val="nil"/>
            </w:tcBorders>
            <w:vAlign w:val="center"/>
          </w:tcPr>
          <w:p w14:paraId="7E9855F6"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w:t>
            </w:r>
          </w:p>
        </w:tc>
        <w:tc>
          <w:tcPr>
            <w:tcW w:w="1081" w:type="dxa"/>
            <w:tcBorders>
              <w:top w:val="nil"/>
              <w:left w:val="nil"/>
              <w:bottom w:val="nil"/>
              <w:right w:val="nil"/>
            </w:tcBorders>
            <w:vAlign w:val="center"/>
          </w:tcPr>
          <w:p w14:paraId="3526ACAA"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(0.13)</w:t>
            </w:r>
          </w:p>
        </w:tc>
      </w:tr>
      <w:tr w:rsidR="0032036B" w:rsidRPr="003F79CF" w14:paraId="48C22C57" w14:textId="77777777" w:rsidTr="00355194">
        <w:trPr>
          <w:jc w:val="center"/>
        </w:trPr>
        <w:tc>
          <w:tcPr>
            <w:tcW w:w="2835" w:type="dxa"/>
            <w:shd w:val="clear" w:color="auto" w:fill="auto"/>
            <w:vAlign w:val="center"/>
          </w:tcPr>
          <w:p w14:paraId="41231BA3" w14:textId="77777777" w:rsidR="0032036B" w:rsidRPr="003F79CF" w:rsidRDefault="0032036B" w:rsidP="0032036B">
            <w:pPr>
              <w:widowControl w:val="0"/>
              <w:autoSpaceDE w:val="0"/>
              <w:autoSpaceDN w:val="0"/>
              <w:adjustRightInd w:val="0"/>
              <w:jc w:val="center"/>
              <w:rPr>
                <w:sz w:val="20"/>
                <w:szCs w:val="20"/>
              </w:rPr>
            </w:pPr>
            <w:r w:rsidRPr="003F79CF">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3F79CF">
              <w:rPr>
                <w:rFonts w:eastAsia="DengXian"/>
                <w:sz w:val="20"/>
                <w:szCs w:val="20"/>
                <w:lang w:eastAsia="zh-CN"/>
              </w:rPr>
              <w:t>)</w:t>
            </w:r>
            <w:r w:rsidRPr="003F79CF">
              <w:rPr>
                <w:rFonts w:eastAsia="DengXian"/>
                <w:sz w:val="20"/>
                <w:szCs w:val="20"/>
                <w:vertAlign w:val="superscript"/>
                <w:lang w:eastAsia="zh-CN"/>
              </w:rPr>
              <w:t>2</w:t>
            </w:r>
          </w:p>
        </w:tc>
        <w:tc>
          <w:tcPr>
            <w:tcW w:w="1223" w:type="dxa"/>
            <w:tcBorders>
              <w:top w:val="nil"/>
              <w:left w:val="nil"/>
              <w:bottom w:val="nil"/>
              <w:right w:val="nil"/>
            </w:tcBorders>
            <w:vAlign w:val="center"/>
          </w:tcPr>
          <w:p w14:paraId="7AE823FD"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36B990B4"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07F12388"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48ECDF97"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424A6CC3"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-0.029</w:t>
            </w:r>
            <w:r w:rsidRPr="006F1B90">
              <w:rPr>
                <w:sz w:val="20"/>
                <w:szCs w:val="20"/>
                <w:vertAlign w:val="superscript"/>
              </w:rPr>
              <w:t>**</w:t>
            </w:r>
          </w:p>
        </w:tc>
        <w:tc>
          <w:tcPr>
            <w:tcW w:w="1081" w:type="dxa"/>
            <w:tcBorders>
              <w:top w:val="nil"/>
              <w:left w:val="nil"/>
              <w:bottom w:val="nil"/>
              <w:right w:val="nil"/>
            </w:tcBorders>
            <w:vAlign w:val="center"/>
          </w:tcPr>
          <w:p w14:paraId="3C3B4490"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-0.160</w:t>
            </w:r>
          </w:p>
        </w:tc>
      </w:tr>
      <w:tr w:rsidR="0032036B" w:rsidRPr="003F79CF" w14:paraId="06DC3B76" w14:textId="77777777" w:rsidTr="00355194">
        <w:trPr>
          <w:jc w:val="center"/>
        </w:trPr>
        <w:tc>
          <w:tcPr>
            <w:tcW w:w="2835" w:type="dxa"/>
            <w:shd w:val="clear" w:color="auto" w:fill="auto"/>
            <w:vAlign w:val="center"/>
          </w:tcPr>
          <w:p w14:paraId="5C2BF240" w14:textId="77777777" w:rsidR="0032036B" w:rsidRPr="003F79CF" w:rsidRDefault="0032036B" w:rsidP="0032036B">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1CF969A1"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2755F9F1" w14:textId="77777777" w:rsidR="0032036B" w:rsidRPr="003F79CF" w:rsidRDefault="0032036B"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28624BB9"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5DFFC262" w14:textId="77777777" w:rsidR="0032036B" w:rsidRPr="003F79CF" w:rsidRDefault="0032036B"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37D12310"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w:t>
            </w:r>
          </w:p>
        </w:tc>
        <w:tc>
          <w:tcPr>
            <w:tcW w:w="1081" w:type="dxa"/>
            <w:tcBorders>
              <w:top w:val="nil"/>
              <w:left w:val="nil"/>
              <w:bottom w:val="nil"/>
              <w:right w:val="nil"/>
            </w:tcBorders>
            <w:vAlign w:val="center"/>
          </w:tcPr>
          <w:p w14:paraId="6D3AE125"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(0.12)</w:t>
            </w:r>
          </w:p>
        </w:tc>
      </w:tr>
      <w:tr w:rsidR="0032036B" w:rsidRPr="003F79CF" w14:paraId="6A0F4B12" w14:textId="77777777" w:rsidTr="00355194">
        <w:trPr>
          <w:jc w:val="center"/>
        </w:trPr>
        <w:tc>
          <w:tcPr>
            <w:tcW w:w="2835" w:type="dxa"/>
            <w:shd w:val="clear" w:color="auto" w:fill="auto"/>
          </w:tcPr>
          <w:p w14:paraId="49E1CA73" w14:textId="77777777" w:rsidR="0032036B" w:rsidRPr="003F79CF" w:rsidRDefault="0032036B" w:rsidP="0032036B">
            <w:pPr>
              <w:widowControl w:val="0"/>
              <w:autoSpaceDE w:val="0"/>
              <w:autoSpaceDN w:val="0"/>
              <w:adjustRightInd w:val="0"/>
              <w:jc w:val="center"/>
              <w:rPr>
                <w:sz w:val="20"/>
                <w:szCs w:val="20"/>
              </w:rPr>
            </w:pPr>
            <w:r w:rsidRPr="003F79CF">
              <w:rPr>
                <w:sz w:val="20"/>
                <w:szCs w:val="20"/>
              </w:rPr>
              <w:t>Term loan</w:t>
            </w:r>
          </w:p>
        </w:tc>
        <w:tc>
          <w:tcPr>
            <w:tcW w:w="1223" w:type="dxa"/>
            <w:tcBorders>
              <w:top w:val="nil"/>
              <w:left w:val="nil"/>
              <w:bottom w:val="nil"/>
              <w:right w:val="nil"/>
            </w:tcBorders>
            <w:vAlign w:val="center"/>
          </w:tcPr>
          <w:p w14:paraId="76207A89"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0.015</w:t>
            </w:r>
            <w:r w:rsidRPr="006F1B90">
              <w:rPr>
                <w:sz w:val="20"/>
                <w:szCs w:val="20"/>
                <w:vertAlign w:val="superscript"/>
              </w:rPr>
              <w:t>***</w:t>
            </w:r>
          </w:p>
        </w:tc>
        <w:tc>
          <w:tcPr>
            <w:tcW w:w="1081" w:type="dxa"/>
            <w:tcBorders>
              <w:top w:val="nil"/>
              <w:left w:val="nil"/>
              <w:bottom w:val="nil"/>
              <w:right w:val="nil"/>
            </w:tcBorders>
            <w:vAlign w:val="center"/>
          </w:tcPr>
          <w:p w14:paraId="5709D507"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0.276</w:t>
            </w:r>
            <w:r w:rsidRPr="006F1B90">
              <w:rPr>
                <w:sz w:val="20"/>
                <w:szCs w:val="20"/>
                <w:vertAlign w:val="superscript"/>
              </w:rPr>
              <w:t>***</w:t>
            </w:r>
          </w:p>
        </w:tc>
        <w:tc>
          <w:tcPr>
            <w:tcW w:w="1081" w:type="dxa"/>
            <w:tcBorders>
              <w:top w:val="nil"/>
              <w:left w:val="nil"/>
              <w:bottom w:val="nil"/>
              <w:right w:val="nil"/>
            </w:tcBorders>
            <w:vAlign w:val="center"/>
          </w:tcPr>
          <w:p w14:paraId="2F3E3FBE"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0.015</w:t>
            </w:r>
            <w:r w:rsidRPr="006F1B90">
              <w:rPr>
                <w:sz w:val="20"/>
                <w:szCs w:val="20"/>
                <w:vertAlign w:val="superscript"/>
              </w:rPr>
              <w:t>***</w:t>
            </w:r>
          </w:p>
        </w:tc>
        <w:tc>
          <w:tcPr>
            <w:tcW w:w="1223" w:type="dxa"/>
            <w:tcBorders>
              <w:top w:val="nil"/>
              <w:left w:val="nil"/>
              <w:bottom w:val="nil"/>
              <w:right w:val="nil"/>
            </w:tcBorders>
            <w:vAlign w:val="center"/>
          </w:tcPr>
          <w:p w14:paraId="02201978"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0.275</w:t>
            </w:r>
            <w:r w:rsidRPr="006F1B90">
              <w:rPr>
                <w:sz w:val="20"/>
                <w:szCs w:val="20"/>
                <w:vertAlign w:val="superscript"/>
              </w:rPr>
              <w:t>***</w:t>
            </w:r>
          </w:p>
        </w:tc>
        <w:tc>
          <w:tcPr>
            <w:tcW w:w="1223" w:type="dxa"/>
            <w:tcBorders>
              <w:top w:val="nil"/>
              <w:left w:val="nil"/>
              <w:bottom w:val="nil"/>
              <w:right w:val="nil"/>
            </w:tcBorders>
            <w:vAlign w:val="center"/>
          </w:tcPr>
          <w:p w14:paraId="247DC1F9"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0.015</w:t>
            </w:r>
            <w:r w:rsidRPr="006F1B90">
              <w:rPr>
                <w:sz w:val="20"/>
                <w:szCs w:val="20"/>
                <w:vertAlign w:val="superscript"/>
              </w:rPr>
              <w:t>***</w:t>
            </w:r>
          </w:p>
        </w:tc>
        <w:tc>
          <w:tcPr>
            <w:tcW w:w="1081" w:type="dxa"/>
            <w:tcBorders>
              <w:top w:val="nil"/>
              <w:left w:val="nil"/>
              <w:bottom w:val="nil"/>
              <w:right w:val="nil"/>
            </w:tcBorders>
            <w:vAlign w:val="center"/>
          </w:tcPr>
          <w:p w14:paraId="07873BD7"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0.274</w:t>
            </w:r>
            <w:r w:rsidRPr="006F1B90">
              <w:rPr>
                <w:sz w:val="20"/>
                <w:szCs w:val="20"/>
                <w:vertAlign w:val="superscript"/>
              </w:rPr>
              <w:t>***</w:t>
            </w:r>
          </w:p>
        </w:tc>
      </w:tr>
      <w:tr w:rsidR="0032036B" w:rsidRPr="003F79CF" w14:paraId="6BCFA3FA" w14:textId="77777777" w:rsidTr="00355194">
        <w:trPr>
          <w:jc w:val="center"/>
        </w:trPr>
        <w:tc>
          <w:tcPr>
            <w:tcW w:w="2835" w:type="dxa"/>
            <w:shd w:val="clear" w:color="auto" w:fill="auto"/>
          </w:tcPr>
          <w:p w14:paraId="67BFD292" w14:textId="77777777" w:rsidR="0032036B" w:rsidRPr="003F79CF" w:rsidRDefault="0032036B" w:rsidP="0032036B">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44FE0D7F"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081" w:type="dxa"/>
            <w:tcBorders>
              <w:top w:val="nil"/>
              <w:left w:val="nil"/>
              <w:bottom w:val="nil"/>
              <w:right w:val="nil"/>
            </w:tcBorders>
            <w:vAlign w:val="center"/>
          </w:tcPr>
          <w:p w14:paraId="61588E89"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(0.05)</w:t>
            </w:r>
          </w:p>
        </w:tc>
        <w:tc>
          <w:tcPr>
            <w:tcW w:w="1081" w:type="dxa"/>
            <w:tcBorders>
              <w:top w:val="nil"/>
              <w:left w:val="nil"/>
              <w:bottom w:val="nil"/>
              <w:right w:val="nil"/>
            </w:tcBorders>
            <w:vAlign w:val="center"/>
          </w:tcPr>
          <w:p w14:paraId="1D610FF6"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223" w:type="dxa"/>
            <w:tcBorders>
              <w:top w:val="nil"/>
              <w:left w:val="nil"/>
              <w:bottom w:val="nil"/>
              <w:right w:val="nil"/>
            </w:tcBorders>
            <w:vAlign w:val="center"/>
          </w:tcPr>
          <w:p w14:paraId="2FAE2350"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(0.05)</w:t>
            </w:r>
          </w:p>
        </w:tc>
        <w:tc>
          <w:tcPr>
            <w:tcW w:w="1223" w:type="dxa"/>
            <w:tcBorders>
              <w:top w:val="nil"/>
              <w:left w:val="nil"/>
              <w:bottom w:val="nil"/>
              <w:right w:val="nil"/>
            </w:tcBorders>
            <w:vAlign w:val="center"/>
          </w:tcPr>
          <w:p w14:paraId="468D90D3"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081" w:type="dxa"/>
            <w:tcBorders>
              <w:top w:val="nil"/>
              <w:left w:val="nil"/>
              <w:bottom w:val="nil"/>
              <w:right w:val="nil"/>
            </w:tcBorders>
            <w:vAlign w:val="center"/>
          </w:tcPr>
          <w:p w14:paraId="3FF9C38C"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(0.05)</w:t>
            </w:r>
          </w:p>
        </w:tc>
      </w:tr>
      <w:tr w:rsidR="0032036B" w:rsidRPr="003F79CF" w14:paraId="007412FB" w14:textId="77777777" w:rsidTr="00355194">
        <w:trPr>
          <w:jc w:val="center"/>
        </w:trPr>
        <w:tc>
          <w:tcPr>
            <w:tcW w:w="2835" w:type="dxa"/>
            <w:shd w:val="clear" w:color="auto" w:fill="auto"/>
          </w:tcPr>
          <w:p w14:paraId="17D2B106" w14:textId="77777777" w:rsidR="0032036B" w:rsidRPr="003F79CF" w:rsidRDefault="0032036B" w:rsidP="0032036B">
            <w:pPr>
              <w:widowControl w:val="0"/>
              <w:autoSpaceDE w:val="0"/>
              <w:autoSpaceDN w:val="0"/>
              <w:adjustRightInd w:val="0"/>
              <w:jc w:val="center"/>
              <w:rPr>
                <w:sz w:val="20"/>
                <w:szCs w:val="20"/>
              </w:rPr>
            </w:pPr>
            <w:r w:rsidRPr="003F79CF">
              <w:rPr>
                <w:sz w:val="20"/>
                <w:szCs w:val="20"/>
              </w:rPr>
              <w:t>Revolver</w:t>
            </w:r>
          </w:p>
        </w:tc>
        <w:tc>
          <w:tcPr>
            <w:tcW w:w="1223" w:type="dxa"/>
            <w:tcBorders>
              <w:top w:val="nil"/>
              <w:left w:val="nil"/>
              <w:bottom w:val="nil"/>
              <w:right w:val="nil"/>
            </w:tcBorders>
            <w:vAlign w:val="center"/>
          </w:tcPr>
          <w:p w14:paraId="08DDE8C2"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-0.014</w:t>
            </w:r>
            <w:r w:rsidRPr="006F1B90">
              <w:rPr>
                <w:sz w:val="20"/>
                <w:szCs w:val="20"/>
                <w:vertAlign w:val="superscript"/>
              </w:rPr>
              <w:t>***</w:t>
            </w:r>
          </w:p>
        </w:tc>
        <w:tc>
          <w:tcPr>
            <w:tcW w:w="1081" w:type="dxa"/>
            <w:tcBorders>
              <w:top w:val="nil"/>
              <w:left w:val="nil"/>
              <w:bottom w:val="nil"/>
              <w:right w:val="nil"/>
            </w:tcBorders>
            <w:vAlign w:val="center"/>
          </w:tcPr>
          <w:p w14:paraId="44370915"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0.077</w:t>
            </w:r>
          </w:p>
        </w:tc>
        <w:tc>
          <w:tcPr>
            <w:tcW w:w="1081" w:type="dxa"/>
            <w:tcBorders>
              <w:top w:val="nil"/>
              <w:left w:val="nil"/>
              <w:bottom w:val="nil"/>
              <w:right w:val="nil"/>
            </w:tcBorders>
            <w:vAlign w:val="center"/>
          </w:tcPr>
          <w:p w14:paraId="0E6443B9"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-0.015</w:t>
            </w:r>
            <w:r w:rsidRPr="006F1B90">
              <w:rPr>
                <w:sz w:val="20"/>
                <w:szCs w:val="20"/>
                <w:vertAlign w:val="superscript"/>
              </w:rPr>
              <w:t>***</w:t>
            </w:r>
          </w:p>
        </w:tc>
        <w:tc>
          <w:tcPr>
            <w:tcW w:w="1223" w:type="dxa"/>
            <w:tcBorders>
              <w:top w:val="nil"/>
              <w:left w:val="nil"/>
              <w:bottom w:val="nil"/>
              <w:right w:val="nil"/>
            </w:tcBorders>
            <w:vAlign w:val="center"/>
          </w:tcPr>
          <w:p w14:paraId="3786C28F"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0.078</w:t>
            </w:r>
          </w:p>
        </w:tc>
        <w:tc>
          <w:tcPr>
            <w:tcW w:w="1223" w:type="dxa"/>
            <w:tcBorders>
              <w:top w:val="nil"/>
              <w:left w:val="nil"/>
              <w:bottom w:val="nil"/>
              <w:right w:val="nil"/>
            </w:tcBorders>
            <w:vAlign w:val="center"/>
          </w:tcPr>
          <w:p w14:paraId="47E2C430"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-0.015</w:t>
            </w:r>
            <w:r w:rsidRPr="006F1B90">
              <w:rPr>
                <w:sz w:val="20"/>
                <w:szCs w:val="20"/>
                <w:vertAlign w:val="superscript"/>
              </w:rPr>
              <w:t>***</w:t>
            </w:r>
          </w:p>
        </w:tc>
        <w:tc>
          <w:tcPr>
            <w:tcW w:w="1081" w:type="dxa"/>
            <w:tcBorders>
              <w:top w:val="nil"/>
              <w:left w:val="nil"/>
              <w:bottom w:val="nil"/>
              <w:right w:val="nil"/>
            </w:tcBorders>
            <w:vAlign w:val="center"/>
          </w:tcPr>
          <w:p w14:paraId="618D2FEA"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0.078</w:t>
            </w:r>
          </w:p>
        </w:tc>
      </w:tr>
      <w:tr w:rsidR="0032036B" w:rsidRPr="003F79CF" w14:paraId="1E7FE818" w14:textId="77777777" w:rsidTr="00355194">
        <w:trPr>
          <w:jc w:val="center"/>
        </w:trPr>
        <w:tc>
          <w:tcPr>
            <w:tcW w:w="2835" w:type="dxa"/>
            <w:shd w:val="clear" w:color="auto" w:fill="auto"/>
          </w:tcPr>
          <w:p w14:paraId="0008DB0A" w14:textId="77777777" w:rsidR="0032036B" w:rsidRPr="003F79CF" w:rsidRDefault="0032036B" w:rsidP="0032036B">
            <w:pPr>
              <w:widowControl w:val="0"/>
              <w:autoSpaceDE w:val="0"/>
              <w:autoSpaceDN w:val="0"/>
              <w:adjustRightInd w:val="0"/>
              <w:jc w:val="center"/>
              <w:rPr>
                <w:sz w:val="20"/>
                <w:szCs w:val="20"/>
              </w:rPr>
            </w:pPr>
          </w:p>
        </w:tc>
        <w:tc>
          <w:tcPr>
            <w:tcW w:w="1223" w:type="dxa"/>
            <w:tcBorders>
              <w:top w:val="nil"/>
              <w:left w:val="nil"/>
              <w:bottom w:val="single" w:sz="4" w:space="0" w:color="auto"/>
              <w:right w:val="nil"/>
            </w:tcBorders>
            <w:vAlign w:val="center"/>
          </w:tcPr>
          <w:p w14:paraId="6EC7B66B"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081" w:type="dxa"/>
            <w:tcBorders>
              <w:top w:val="nil"/>
              <w:left w:val="nil"/>
              <w:bottom w:val="single" w:sz="4" w:space="0" w:color="auto"/>
              <w:right w:val="nil"/>
            </w:tcBorders>
            <w:vAlign w:val="center"/>
          </w:tcPr>
          <w:p w14:paraId="7EAE1D84"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(0.05)</w:t>
            </w:r>
          </w:p>
        </w:tc>
        <w:tc>
          <w:tcPr>
            <w:tcW w:w="1081" w:type="dxa"/>
            <w:tcBorders>
              <w:top w:val="nil"/>
              <w:left w:val="nil"/>
              <w:bottom w:val="single" w:sz="4" w:space="0" w:color="auto"/>
              <w:right w:val="nil"/>
            </w:tcBorders>
            <w:vAlign w:val="center"/>
          </w:tcPr>
          <w:p w14:paraId="78AF4144"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223" w:type="dxa"/>
            <w:tcBorders>
              <w:top w:val="nil"/>
              <w:left w:val="nil"/>
              <w:bottom w:val="single" w:sz="4" w:space="0" w:color="auto"/>
              <w:right w:val="nil"/>
            </w:tcBorders>
            <w:vAlign w:val="center"/>
          </w:tcPr>
          <w:p w14:paraId="7667D8B1"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(0.05)</w:t>
            </w:r>
          </w:p>
        </w:tc>
        <w:tc>
          <w:tcPr>
            <w:tcW w:w="1223" w:type="dxa"/>
            <w:tcBorders>
              <w:top w:val="nil"/>
              <w:left w:val="nil"/>
              <w:bottom w:val="single" w:sz="4" w:space="0" w:color="auto"/>
              <w:right w:val="nil"/>
            </w:tcBorders>
            <w:vAlign w:val="center"/>
          </w:tcPr>
          <w:p w14:paraId="08F0FC69"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(0.00)</w:t>
            </w:r>
          </w:p>
        </w:tc>
        <w:tc>
          <w:tcPr>
            <w:tcW w:w="1081" w:type="dxa"/>
            <w:tcBorders>
              <w:top w:val="nil"/>
              <w:left w:val="nil"/>
              <w:bottom w:val="single" w:sz="4" w:space="0" w:color="auto"/>
              <w:right w:val="nil"/>
            </w:tcBorders>
            <w:vAlign w:val="center"/>
          </w:tcPr>
          <w:p w14:paraId="200FF03C" w14:textId="77777777" w:rsidR="0032036B" w:rsidRPr="003F79CF" w:rsidRDefault="0032036B" w:rsidP="00355194">
            <w:pPr>
              <w:widowControl w:val="0"/>
              <w:autoSpaceDE w:val="0"/>
              <w:autoSpaceDN w:val="0"/>
              <w:adjustRightInd w:val="0"/>
              <w:jc w:val="center"/>
              <w:rPr>
                <w:sz w:val="20"/>
                <w:szCs w:val="20"/>
              </w:rPr>
            </w:pPr>
            <w:r w:rsidRPr="006F1B90">
              <w:rPr>
                <w:sz w:val="20"/>
                <w:szCs w:val="20"/>
              </w:rPr>
              <w:t>(0.05)</w:t>
            </w:r>
          </w:p>
        </w:tc>
      </w:tr>
      <w:tr w:rsidR="0032036B" w:rsidRPr="00A71B25" w14:paraId="7D7ED174" w14:textId="77777777" w:rsidTr="00A71B25">
        <w:trPr>
          <w:jc w:val="center"/>
        </w:trPr>
        <w:tc>
          <w:tcPr>
            <w:tcW w:w="2835" w:type="dxa"/>
            <w:shd w:val="clear" w:color="auto" w:fill="auto"/>
          </w:tcPr>
          <w:p w14:paraId="2BF7A056" w14:textId="77777777" w:rsidR="0032036B" w:rsidRPr="00A71B25" w:rsidRDefault="0032036B" w:rsidP="0032036B">
            <w:pPr>
              <w:widowControl w:val="0"/>
              <w:autoSpaceDE w:val="0"/>
              <w:autoSpaceDN w:val="0"/>
              <w:adjustRightInd w:val="0"/>
              <w:jc w:val="center"/>
              <w:rPr>
                <w:sz w:val="20"/>
                <w:szCs w:val="20"/>
              </w:rPr>
            </w:pPr>
            <w:r w:rsidRPr="00A71B25">
              <w:rPr>
                <w:sz w:val="20"/>
                <w:szCs w:val="20"/>
              </w:rPr>
              <w:t>Controls</w:t>
            </w:r>
          </w:p>
        </w:tc>
        <w:tc>
          <w:tcPr>
            <w:tcW w:w="1223" w:type="dxa"/>
            <w:tcBorders>
              <w:top w:val="single" w:sz="4" w:space="0" w:color="auto"/>
            </w:tcBorders>
            <w:shd w:val="clear" w:color="auto" w:fill="auto"/>
            <w:vAlign w:val="center"/>
          </w:tcPr>
          <w:p w14:paraId="55CEBEE2" w14:textId="77777777" w:rsidR="0032036B" w:rsidRPr="00A71B25" w:rsidRDefault="0032036B" w:rsidP="0032036B">
            <w:pPr>
              <w:widowControl w:val="0"/>
              <w:autoSpaceDE w:val="0"/>
              <w:autoSpaceDN w:val="0"/>
              <w:adjustRightInd w:val="0"/>
              <w:jc w:val="center"/>
              <w:rPr>
                <w:sz w:val="20"/>
                <w:szCs w:val="20"/>
              </w:rPr>
            </w:pPr>
            <w:r w:rsidRPr="00A71B25">
              <w:rPr>
                <w:rFonts w:eastAsia="DengXian"/>
                <w:sz w:val="20"/>
                <w:szCs w:val="20"/>
                <w:lang w:eastAsia="zh-CN"/>
              </w:rPr>
              <w:t>Yes</w:t>
            </w:r>
          </w:p>
        </w:tc>
        <w:tc>
          <w:tcPr>
            <w:tcW w:w="1081" w:type="dxa"/>
            <w:tcBorders>
              <w:top w:val="single" w:sz="4" w:space="0" w:color="auto"/>
            </w:tcBorders>
            <w:shd w:val="clear" w:color="auto" w:fill="auto"/>
            <w:vAlign w:val="center"/>
          </w:tcPr>
          <w:p w14:paraId="777DD46A" w14:textId="77777777" w:rsidR="0032036B" w:rsidRPr="00A71B25" w:rsidRDefault="0032036B" w:rsidP="0032036B">
            <w:pPr>
              <w:widowControl w:val="0"/>
              <w:autoSpaceDE w:val="0"/>
              <w:autoSpaceDN w:val="0"/>
              <w:adjustRightInd w:val="0"/>
              <w:jc w:val="center"/>
              <w:rPr>
                <w:sz w:val="20"/>
                <w:szCs w:val="20"/>
              </w:rPr>
            </w:pPr>
            <w:r w:rsidRPr="00A71B25">
              <w:rPr>
                <w:rFonts w:eastAsia="DengXian"/>
                <w:sz w:val="20"/>
                <w:szCs w:val="20"/>
                <w:lang w:eastAsia="zh-CN"/>
              </w:rPr>
              <w:t>Yes</w:t>
            </w:r>
          </w:p>
        </w:tc>
        <w:tc>
          <w:tcPr>
            <w:tcW w:w="1081" w:type="dxa"/>
            <w:tcBorders>
              <w:top w:val="single" w:sz="4" w:space="0" w:color="auto"/>
            </w:tcBorders>
            <w:shd w:val="clear" w:color="auto" w:fill="auto"/>
            <w:vAlign w:val="center"/>
          </w:tcPr>
          <w:p w14:paraId="314AF16D" w14:textId="77777777" w:rsidR="0032036B" w:rsidRPr="00A71B25" w:rsidRDefault="0032036B" w:rsidP="0032036B">
            <w:pPr>
              <w:widowControl w:val="0"/>
              <w:autoSpaceDE w:val="0"/>
              <w:autoSpaceDN w:val="0"/>
              <w:adjustRightInd w:val="0"/>
              <w:jc w:val="center"/>
              <w:rPr>
                <w:sz w:val="20"/>
                <w:szCs w:val="20"/>
              </w:rPr>
            </w:pPr>
            <w:r w:rsidRPr="00A71B25">
              <w:rPr>
                <w:rFonts w:eastAsia="DengXian"/>
                <w:sz w:val="20"/>
                <w:szCs w:val="20"/>
                <w:lang w:eastAsia="zh-CN"/>
              </w:rPr>
              <w:t>Yes</w:t>
            </w:r>
          </w:p>
        </w:tc>
        <w:tc>
          <w:tcPr>
            <w:tcW w:w="1223" w:type="dxa"/>
            <w:tcBorders>
              <w:top w:val="single" w:sz="4" w:space="0" w:color="auto"/>
            </w:tcBorders>
            <w:shd w:val="clear" w:color="auto" w:fill="auto"/>
            <w:vAlign w:val="center"/>
          </w:tcPr>
          <w:p w14:paraId="231CB373" w14:textId="77777777" w:rsidR="0032036B" w:rsidRPr="00A71B25" w:rsidRDefault="0032036B" w:rsidP="0032036B">
            <w:pPr>
              <w:widowControl w:val="0"/>
              <w:autoSpaceDE w:val="0"/>
              <w:autoSpaceDN w:val="0"/>
              <w:adjustRightInd w:val="0"/>
              <w:jc w:val="center"/>
              <w:rPr>
                <w:sz w:val="20"/>
                <w:szCs w:val="20"/>
              </w:rPr>
            </w:pPr>
            <w:r w:rsidRPr="00A71B25">
              <w:rPr>
                <w:rFonts w:eastAsia="DengXian"/>
                <w:sz w:val="20"/>
                <w:szCs w:val="20"/>
                <w:lang w:eastAsia="zh-CN"/>
              </w:rPr>
              <w:t>Yes</w:t>
            </w:r>
          </w:p>
        </w:tc>
        <w:tc>
          <w:tcPr>
            <w:tcW w:w="1223" w:type="dxa"/>
            <w:tcBorders>
              <w:top w:val="single" w:sz="4" w:space="0" w:color="auto"/>
            </w:tcBorders>
            <w:shd w:val="clear" w:color="auto" w:fill="auto"/>
            <w:vAlign w:val="center"/>
          </w:tcPr>
          <w:p w14:paraId="1F1CF5E1" w14:textId="77777777" w:rsidR="0032036B" w:rsidRPr="00A71B25" w:rsidRDefault="0032036B" w:rsidP="0032036B">
            <w:pPr>
              <w:widowControl w:val="0"/>
              <w:autoSpaceDE w:val="0"/>
              <w:autoSpaceDN w:val="0"/>
              <w:adjustRightInd w:val="0"/>
              <w:jc w:val="center"/>
              <w:rPr>
                <w:sz w:val="20"/>
                <w:szCs w:val="20"/>
              </w:rPr>
            </w:pPr>
            <w:r w:rsidRPr="00A71B25">
              <w:rPr>
                <w:rFonts w:eastAsia="DengXian"/>
                <w:sz w:val="20"/>
                <w:szCs w:val="20"/>
                <w:lang w:eastAsia="zh-CN"/>
              </w:rPr>
              <w:t>Yes</w:t>
            </w:r>
          </w:p>
        </w:tc>
        <w:tc>
          <w:tcPr>
            <w:tcW w:w="1081" w:type="dxa"/>
            <w:tcBorders>
              <w:top w:val="single" w:sz="4" w:space="0" w:color="auto"/>
            </w:tcBorders>
            <w:shd w:val="clear" w:color="auto" w:fill="auto"/>
            <w:vAlign w:val="center"/>
          </w:tcPr>
          <w:p w14:paraId="35118DEF" w14:textId="77777777" w:rsidR="0032036B" w:rsidRPr="00A71B25" w:rsidRDefault="0032036B" w:rsidP="0032036B">
            <w:pPr>
              <w:widowControl w:val="0"/>
              <w:autoSpaceDE w:val="0"/>
              <w:autoSpaceDN w:val="0"/>
              <w:adjustRightInd w:val="0"/>
              <w:jc w:val="center"/>
              <w:rPr>
                <w:sz w:val="20"/>
                <w:szCs w:val="20"/>
              </w:rPr>
            </w:pPr>
            <w:r w:rsidRPr="00A71B25">
              <w:rPr>
                <w:rFonts w:eastAsia="DengXian"/>
                <w:sz w:val="20"/>
                <w:szCs w:val="20"/>
                <w:lang w:eastAsia="zh-CN"/>
              </w:rPr>
              <w:t>Yes</w:t>
            </w:r>
          </w:p>
        </w:tc>
      </w:tr>
      <w:tr w:rsidR="0032036B" w:rsidRPr="00A71B25" w14:paraId="041AC8BD" w14:textId="77777777" w:rsidTr="0032036B">
        <w:trPr>
          <w:jc w:val="center"/>
        </w:trPr>
        <w:tc>
          <w:tcPr>
            <w:tcW w:w="2835" w:type="dxa"/>
            <w:shd w:val="clear" w:color="auto" w:fill="auto"/>
          </w:tcPr>
          <w:p w14:paraId="053641DC"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Year FE</w:t>
            </w:r>
          </w:p>
        </w:tc>
        <w:tc>
          <w:tcPr>
            <w:tcW w:w="1223" w:type="dxa"/>
            <w:shd w:val="clear" w:color="auto" w:fill="auto"/>
          </w:tcPr>
          <w:p w14:paraId="0D894BFF"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67353C84"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005F8DB7"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6CCC5F53"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7771D5AE" w14:textId="77777777" w:rsidR="0032036B" w:rsidRPr="00A71B25" w:rsidRDefault="0032036B" w:rsidP="0032036B">
            <w:pPr>
              <w:widowControl w:val="0"/>
              <w:autoSpaceDE w:val="0"/>
              <w:autoSpaceDN w:val="0"/>
              <w:adjustRightInd w:val="0"/>
              <w:jc w:val="center"/>
              <w:rPr>
                <w:sz w:val="20"/>
                <w:szCs w:val="20"/>
              </w:rPr>
            </w:pPr>
            <w:r w:rsidRPr="0024505F">
              <w:rPr>
                <w:rFonts w:eastAsia="DengXian"/>
                <w:sz w:val="20"/>
                <w:szCs w:val="20"/>
                <w:lang w:eastAsia="zh-CN"/>
              </w:rPr>
              <w:t>Yes</w:t>
            </w:r>
          </w:p>
        </w:tc>
        <w:tc>
          <w:tcPr>
            <w:tcW w:w="1081" w:type="dxa"/>
            <w:shd w:val="clear" w:color="auto" w:fill="auto"/>
          </w:tcPr>
          <w:p w14:paraId="651F7D67"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r>
      <w:tr w:rsidR="0032036B" w:rsidRPr="00A71B25" w14:paraId="0D0BDB49" w14:textId="77777777" w:rsidTr="008149BF">
        <w:trPr>
          <w:jc w:val="center"/>
        </w:trPr>
        <w:tc>
          <w:tcPr>
            <w:tcW w:w="2835" w:type="dxa"/>
            <w:shd w:val="clear" w:color="auto" w:fill="auto"/>
          </w:tcPr>
          <w:p w14:paraId="1293B8DB"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Borrower sector FE</w:t>
            </w:r>
          </w:p>
        </w:tc>
        <w:tc>
          <w:tcPr>
            <w:tcW w:w="1223" w:type="dxa"/>
            <w:shd w:val="clear" w:color="auto" w:fill="auto"/>
          </w:tcPr>
          <w:p w14:paraId="482753E5"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27CA43B9"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1594C748"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07ADDC0B"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33DF3F07" w14:textId="77777777" w:rsidR="0032036B" w:rsidRPr="00A71B25" w:rsidRDefault="0032036B" w:rsidP="0032036B">
            <w:pPr>
              <w:widowControl w:val="0"/>
              <w:autoSpaceDE w:val="0"/>
              <w:autoSpaceDN w:val="0"/>
              <w:adjustRightInd w:val="0"/>
              <w:jc w:val="center"/>
              <w:rPr>
                <w:sz w:val="20"/>
                <w:szCs w:val="20"/>
              </w:rPr>
            </w:pPr>
            <w:r w:rsidRPr="0024505F">
              <w:rPr>
                <w:rFonts w:eastAsia="DengXian"/>
                <w:sz w:val="20"/>
                <w:szCs w:val="20"/>
                <w:lang w:eastAsia="zh-CN"/>
              </w:rPr>
              <w:t>Yes</w:t>
            </w:r>
          </w:p>
        </w:tc>
        <w:tc>
          <w:tcPr>
            <w:tcW w:w="1081" w:type="dxa"/>
            <w:shd w:val="clear" w:color="auto" w:fill="auto"/>
          </w:tcPr>
          <w:p w14:paraId="1681CFC1"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r>
      <w:tr w:rsidR="0032036B" w:rsidRPr="00A71B25" w14:paraId="290D0E24" w14:textId="77777777" w:rsidTr="008149BF">
        <w:trPr>
          <w:jc w:val="center"/>
        </w:trPr>
        <w:tc>
          <w:tcPr>
            <w:tcW w:w="2835" w:type="dxa"/>
            <w:shd w:val="clear" w:color="auto" w:fill="auto"/>
          </w:tcPr>
          <w:p w14:paraId="1AE82D87"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Bank FE</w:t>
            </w:r>
          </w:p>
        </w:tc>
        <w:tc>
          <w:tcPr>
            <w:tcW w:w="1223" w:type="dxa"/>
            <w:shd w:val="clear" w:color="auto" w:fill="auto"/>
          </w:tcPr>
          <w:p w14:paraId="58275BC0"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78F7A811"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4FF793C7"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67ED2004"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0EF23AC8" w14:textId="77777777" w:rsidR="0032036B" w:rsidRPr="00A71B25" w:rsidRDefault="0032036B" w:rsidP="0032036B">
            <w:pPr>
              <w:widowControl w:val="0"/>
              <w:autoSpaceDE w:val="0"/>
              <w:autoSpaceDN w:val="0"/>
              <w:adjustRightInd w:val="0"/>
              <w:jc w:val="center"/>
              <w:rPr>
                <w:sz w:val="20"/>
                <w:szCs w:val="20"/>
              </w:rPr>
            </w:pPr>
            <w:r w:rsidRPr="0024505F">
              <w:rPr>
                <w:rFonts w:eastAsia="DengXian"/>
                <w:sz w:val="20"/>
                <w:szCs w:val="20"/>
                <w:lang w:eastAsia="zh-CN"/>
              </w:rPr>
              <w:t>Yes</w:t>
            </w:r>
          </w:p>
        </w:tc>
        <w:tc>
          <w:tcPr>
            <w:tcW w:w="1081" w:type="dxa"/>
            <w:shd w:val="clear" w:color="auto" w:fill="auto"/>
          </w:tcPr>
          <w:p w14:paraId="7DC5D1C2" w14:textId="77777777" w:rsidR="0032036B" w:rsidRPr="00A71B25" w:rsidRDefault="0032036B" w:rsidP="0032036B">
            <w:pPr>
              <w:widowControl w:val="0"/>
              <w:autoSpaceDE w:val="0"/>
              <w:autoSpaceDN w:val="0"/>
              <w:adjustRightInd w:val="0"/>
              <w:jc w:val="center"/>
              <w:rPr>
                <w:sz w:val="20"/>
                <w:szCs w:val="20"/>
              </w:rPr>
            </w:pPr>
            <w:r w:rsidRPr="00070779">
              <w:rPr>
                <w:sz w:val="20"/>
                <w:szCs w:val="20"/>
              </w:rPr>
              <w:t>Yes</w:t>
            </w:r>
          </w:p>
        </w:tc>
      </w:tr>
      <w:tr w:rsidR="0032036B" w:rsidRPr="00A71B25" w14:paraId="7E73D0F2" w14:textId="77777777" w:rsidTr="0032036B">
        <w:trPr>
          <w:jc w:val="center"/>
        </w:trPr>
        <w:tc>
          <w:tcPr>
            <w:tcW w:w="2835" w:type="dxa"/>
            <w:shd w:val="clear" w:color="auto" w:fill="auto"/>
          </w:tcPr>
          <w:p w14:paraId="74E44EEC" w14:textId="77777777" w:rsidR="0032036B" w:rsidRPr="00A71B25" w:rsidRDefault="0032036B" w:rsidP="0032036B">
            <w:pPr>
              <w:widowControl w:val="0"/>
              <w:autoSpaceDE w:val="0"/>
              <w:autoSpaceDN w:val="0"/>
              <w:adjustRightInd w:val="0"/>
              <w:jc w:val="center"/>
              <w:rPr>
                <w:sz w:val="20"/>
                <w:szCs w:val="20"/>
              </w:rPr>
            </w:pPr>
            <w:r w:rsidRPr="00A71B25">
              <w:rPr>
                <w:sz w:val="20"/>
                <w:szCs w:val="20"/>
              </w:rPr>
              <w:t>Adjusted R2</w:t>
            </w:r>
          </w:p>
        </w:tc>
        <w:tc>
          <w:tcPr>
            <w:tcW w:w="1223" w:type="dxa"/>
            <w:tcBorders>
              <w:left w:val="nil"/>
              <w:bottom w:val="nil"/>
              <w:right w:val="nil"/>
            </w:tcBorders>
          </w:tcPr>
          <w:p w14:paraId="75B49763" w14:textId="77777777" w:rsidR="0032036B" w:rsidRPr="00A71B25" w:rsidRDefault="0032036B" w:rsidP="0032036B">
            <w:pPr>
              <w:widowControl w:val="0"/>
              <w:autoSpaceDE w:val="0"/>
              <w:autoSpaceDN w:val="0"/>
              <w:adjustRightInd w:val="0"/>
              <w:jc w:val="center"/>
              <w:rPr>
                <w:sz w:val="20"/>
                <w:szCs w:val="20"/>
              </w:rPr>
            </w:pPr>
            <w:r w:rsidRPr="006F1B90">
              <w:rPr>
                <w:sz w:val="20"/>
                <w:szCs w:val="20"/>
              </w:rPr>
              <w:t>0.758</w:t>
            </w:r>
          </w:p>
        </w:tc>
        <w:tc>
          <w:tcPr>
            <w:tcW w:w="1081" w:type="dxa"/>
            <w:tcBorders>
              <w:left w:val="nil"/>
              <w:bottom w:val="nil"/>
              <w:right w:val="nil"/>
            </w:tcBorders>
          </w:tcPr>
          <w:p w14:paraId="2C20A149" w14:textId="77777777" w:rsidR="0032036B" w:rsidRPr="00A71B25" w:rsidRDefault="0032036B" w:rsidP="0032036B">
            <w:pPr>
              <w:widowControl w:val="0"/>
              <w:autoSpaceDE w:val="0"/>
              <w:autoSpaceDN w:val="0"/>
              <w:adjustRightInd w:val="0"/>
              <w:jc w:val="center"/>
              <w:rPr>
                <w:sz w:val="20"/>
                <w:szCs w:val="20"/>
              </w:rPr>
            </w:pPr>
            <w:r>
              <w:rPr>
                <w:sz w:val="20"/>
                <w:szCs w:val="20"/>
              </w:rPr>
              <w:t>0.566</w:t>
            </w:r>
          </w:p>
        </w:tc>
        <w:tc>
          <w:tcPr>
            <w:tcW w:w="1081" w:type="dxa"/>
            <w:tcBorders>
              <w:left w:val="nil"/>
              <w:bottom w:val="nil"/>
              <w:right w:val="nil"/>
            </w:tcBorders>
          </w:tcPr>
          <w:p w14:paraId="7AD82BC8" w14:textId="77777777" w:rsidR="0032036B" w:rsidRPr="00A71B25" w:rsidRDefault="0032036B" w:rsidP="0032036B">
            <w:pPr>
              <w:widowControl w:val="0"/>
              <w:autoSpaceDE w:val="0"/>
              <w:autoSpaceDN w:val="0"/>
              <w:adjustRightInd w:val="0"/>
              <w:jc w:val="center"/>
              <w:rPr>
                <w:sz w:val="20"/>
                <w:szCs w:val="20"/>
              </w:rPr>
            </w:pPr>
            <w:r w:rsidRPr="006F1B90">
              <w:rPr>
                <w:sz w:val="20"/>
                <w:szCs w:val="20"/>
              </w:rPr>
              <w:t>0.758</w:t>
            </w:r>
          </w:p>
        </w:tc>
        <w:tc>
          <w:tcPr>
            <w:tcW w:w="1223" w:type="dxa"/>
            <w:tcBorders>
              <w:left w:val="nil"/>
              <w:bottom w:val="nil"/>
              <w:right w:val="nil"/>
            </w:tcBorders>
          </w:tcPr>
          <w:p w14:paraId="521495AF" w14:textId="77777777" w:rsidR="0032036B" w:rsidRPr="00A71B25" w:rsidRDefault="007061D3" w:rsidP="0032036B">
            <w:pPr>
              <w:widowControl w:val="0"/>
              <w:autoSpaceDE w:val="0"/>
              <w:autoSpaceDN w:val="0"/>
              <w:adjustRightInd w:val="0"/>
              <w:jc w:val="center"/>
              <w:rPr>
                <w:sz w:val="20"/>
                <w:szCs w:val="20"/>
              </w:rPr>
            </w:pPr>
            <w:r>
              <w:rPr>
                <w:sz w:val="20"/>
                <w:szCs w:val="20"/>
              </w:rPr>
              <w:t>0.565</w:t>
            </w:r>
          </w:p>
        </w:tc>
        <w:tc>
          <w:tcPr>
            <w:tcW w:w="1223" w:type="dxa"/>
            <w:tcBorders>
              <w:left w:val="nil"/>
              <w:bottom w:val="nil"/>
              <w:right w:val="nil"/>
            </w:tcBorders>
          </w:tcPr>
          <w:p w14:paraId="7ABF487E" w14:textId="77777777" w:rsidR="0032036B" w:rsidRPr="00A71B25" w:rsidRDefault="0032036B" w:rsidP="0032036B">
            <w:pPr>
              <w:widowControl w:val="0"/>
              <w:autoSpaceDE w:val="0"/>
              <w:autoSpaceDN w:val="0"/>
              <w:adjustRightInd w:val="0"/>
              <w:jc w:val="center"/>
              <w:rPr>
                <w:sz w:val="20"/>
                <w:szCs w:val="20"/>
              </w:rPr>
            </w:pPr>
            <w:r w:rsidRPr="006F1B90">
              <w:rPr>
                <w:sz w:val="20"/>
                <w:szCs w:val="20"/>
              </w:rPr>
              <w:t>0.758</w:t>
            </w:r>
          </w:p>
        </w:tc>
        <w:tc>
          <w:tcPr>
            <w:tcW w:w="1081" w:type="dxa"/>
            <w:tcBorders>
              <w:left w:val="nil"/>
              <w:bottom w:val="nil"/>
              <w:right w:val="nil"/>
            </w:tcBorders>
          </w:tcPr>
          <w:p w14:paraId="174CF586" w14:textId="77777777" w:rsidR="0032036B" w:rsidRPr="00A71B25" w:rsidRDefault="007061D3" w:rsidP="0032036B">
            <w:pPr>
              <w:widowControl w:val="0"/>
              <w:autoSpaceDE w:val="0"/>
              <w:autoSpaceDN w:val="0"/>
              <w:adjustRightInd w:val="0"/>
              <w:jc w:val="center"/>
              <w:rPr>
                <w:sz w:val="20"/>
                <w:szCs w:val="20"/>
              </w:rPr>
            </w:pPr>
            <w:r>
              <w:rPr>
                <w:sz w:val="20"/>
                <w:szCs w:val="20"/>
              </w:rPr>
              <w:t>0.565</w:t>
            </w:r>
          </w:p>
        </w:tc>
      </w:tr>
      <w:tr w:rsidR="0032036B" w:rsidRPr="00A71B25" w14:paraId="4964E1DD" w14:textId="77777777" w:rsidTr="00D912F2">
        <w:trPr>
          <w:jc w:val="center"/>
        </w:trPr>
        <w:tc>
          <w:tcPr>
            <w:tcW w:w="2835" w:type="dxa"/>
            <w:tcBorders>
              <w:bottom w:val="single" w:sz="4" w:space="0" w:color="auto"/>
            </w:tcBorders>
            <w:shd w:val="clear" w:color="auto" w:fill="auto"/>
          </w:tcPr>
          <w:p w14:paraId="3C23C7C1" w14:textId="77777777" w:rsidR="0032036B" w:rsidRPr="00A71B25" w:rsidRDefault="0032036B" w:rsidP="0032036B">
            <w:pPr>
              <w:widowControl w:val="0"/>
              <w:autoSpaceDE w:val="0"/>
              <w:autoSpaceDN w:val="0"/>
              <w:adjustRightInd w:val="0"/>
              <w:jc w:val="center"/>
              <w:rPr>
                <w:sz w:val="20"/>
                <w:szCs w:val="20"/>
              </w:rPr>
            </w:pPr>
            <w:r w:rsidRPr="00A71B25">
              <w:rPr>
                <w:sz w:val="20"/>
                <w:szCs w:val="20"/>
              </w:rPr>
              <w:t>Obs.</w:t>
            </w:r>
          </w:p>
        </w:tc>
        <w:tc>
          <w:tcPr>
            <w:tcW w:w="1223" w:type="dxa"/>
            <w:tcBorders>
              <w:top w:val="nil"/>
              <w:left w:val="nil"/>
              <w:bottom w:val="single" w:sz="4" w:space="0" w:color="auto"/>
              <w:right w:val="nil"/>
            </w:tcBorders>
          </w:tcPr>
          <w:p w14:paraId="43B30A0F" w14:textId="77777777" w:rsidR="0032036B" w:rsidRPr="00A71B25" w:rsidRDefault="0032036B" w:rsidP="0032036B">
            <w:pPr>
              <w:widowControl w:val="0"/>
              <w:autoSpaceDE w:val="0"/>
              <w:autoSpaceDN w:val="0"/>
              <w:adjustRightInd w:val="0"/>
              <w:jc w:val="center"/>
              <w:rPr>
                <w:sz w:val="20"/>
                <w:szCs w:val="20"/>
              </w:rPr>
            </w:pPr>
            <w:r w:rsidRPr="006F1B90">
              <w:rPr>
                <w:sz w:val="20"/>
                <w:szCs w:val="20"/>
              </w:rPr>
              <w:t>8845.000</w:t>
            </w:r>
          </w:p>
        </w:tc>
        <w:tc>
          <w:tcPr>
            <w:tcW w:w="1081" w:type="dxa"/>
            <w:tcBorders>
              <w:top w:val="nil"/>
              <w:left w:val="nil"/>
              <w:bottom w:val="single" w:sz="4" w:space="0" w:color="auto"/>
              <w:right w:val="nil"/>
            </w:tcBorders>
          </w:tcPr>
          <w:p w14:paraId="4695BE36" w14:textId="77777777" w:rsidR="0032036B" w:rsidRPr="00A71B25" w:rsidRDefault="0032036B" w:rsidP="0032036B">
            <w:pPr>
              <w:widowControl w:val="0"/>
              <w:autoSpaceDE w:val="0"/>
              <w:autoSpaceDN w:val="0"/>
              <w:adjustRightInd w:val="0"/>
              <w:jc w:val="center"/>
              <w:rPr>
                <w:sz w:val="20"/>
                <w:szCs w:val="20"/>
              </w:rPr>
            </w:pPr>
            <w:r w:rsidRPr="006F1B90">
              <w:rPr>
                <w:sz w:val="20"/>
                <w:szCs w:val="20"/>
              </w:rPr>
              <w:t>8845.000</w:t>
            </w:r>
          </w:p>
        </w:tc>
        <w:tc>
          <w:tcPr>
            <w:tcW w:w="1081" w:type="dxa"/>
            <w:tcBorders>
              <w:top w:val="nil"/>
              <w:left w:val="nil"/>
              <w:bottom w:val="single" w:sz="4" w:space="0" w:color="auto"/>
              <w:right w:val="nil"/>
            </w:tcBorders>
          </w:tcPr>
          <w:p w14:paraId="79AEF282" w14:textId="77777777" w:rsidR="0032036B" w:rsidRPr="00A71B25" w:rsidRDefault="0032036B" w:rsidP="0032036B">
            <w:pPr>
              <w:widowControl w:val="0"/>
              <w:autoSpaceDE w:val="0"/>
              <w:autoSpaceDN w:val="0"/>
              <w:adjustRightInd w:val="0"/>
              <w:jc w:val="center"/>
              <w:rPr>
                <w:sz w:val="20"/>
                <w:szCs w:val="20"/>
              </w:rPr>
            </w:pPr>
            <w:r w:rsidRPr="006F1B90">
              <w:rPr>
                <w:sz w:val="20"/>
                <w:szCs w:val="20"/>
              </w:rPr>
              <w:t>8845.000</w:t>
            </w:r>
          </w:p>
        </w:tc>
        <w:tc>
          <w:tcPr>
            <w:tcW w:w="1223" w:type="dxa"/>
            <w:tcBorders>
              <w:top w:val="nil"/>
              <w:left w:val="nil"/>
              <w:bottom w:val="single" w:sz="4" w:space="0" w:color="auto"/>
              <w:right w:val="nil"/>
            </w:tcBorders>
          </w:tcPr>
          <w:p w14:paraId="479A5DB6" w14:textId="77777777" w:rsidR="0032036B" w:rsidRPr="00A71B25" w:rsidRDefault="0032036B" w:rsidP="0032036B">
            <w:pPr>
              <w:widowControl w:val="0"/>
              <w:autoSpaceDE w:val="0"/>
              <w:autoSpaceDN w:val="0"/>
              <w:adjustRightInd w:val="0"/>
              <w:jc w:val="center"/>
              <w:rPr>
                <w:sz w:val="20"/>
                <w:szCs w:val="20"/>
              </w:rPr>
            </w:pPr>
            <w:r w:rsidRPr="006F1B90">
              <w:rPr>
                <w:sz w:val="20"/>
                <w:szCs w:val="20"/>
              </w:rPr>
              <w:t>8845.000</w:t>
            </w:r>
          </w:p>
        </w:tc>
        <w:tc>
          <w:tcPr>
            <w:tcW w:w="1223" w:type="dxa"/>
            <w:tcBorders>
              <w:top w:val="nil"/>
              <w:left w:val="nil"/>
              <w:bottom w:val="single" w:sz="4" w:space="0" w:color="auto"/>
              <w:right w:val="nil"/>
            </w:tcBorders>
          </w:tcPr>
          <w:p w14:paraId="0809EBF5" w14:textId="77777777" w:rsidR="0032036B" w:rsidRPr="00A71B25" w:rsidRDefault="0032036B" w:rsidP="0032036B">
            <w:pPr>
              <w:widowControl w:val="0"/>
              <w:autoSpaceDE w:val="0"/>
              <w:autoSpaceDN w:val="0"/>
              <w:adjustRightInd w:val="0"/>
              <w:jc w:val="center"/>
              <w:rPr>
                <w:sz w:val="20"/>
                <w:szCs w:val="20"/>
              </w:rPr>
            </w:pPr>
            <w:r w:rsidRPr="006F1B90">
              <w:rPr>
                <w:sz w:val="20"/>
                <w:szCs w:val="20"/>
              </w:rPr>
              <w:t>8845.000</w:t>
            </w:r>
          </w:p>
        </w:tc>
        <w:tc>
          <w:tcPr>
            <w:tcW w:w="1081" w:type="dxa"/>
            <w:tcBorders>
              <w:top w:val="nil"/>
              <w:left w:val="nil"/>
              <w:bottom w:val="single" w:sz="4" w:space="0" w:color="auto"/>
              <w:right w:val="nil"/>
            </w:tcBorders>
          </w:tcPr>
          <w:p w14:paraId="7FADCB80" w14:textId="77777777" w:rsidR="0032036B" w:rsidRPr="00A71B25" w:rsidRDefault="0032036B" w:rsidP="0032036B">
            <w:pPr>
              <w:widowControl w:val="0"/>
              <w:autoSpaceDE w:val="0"/>
              <w:autoSpaceDN w:val="0"/>
              <w:adjustRightInd w:val="0"/>
              <w:jc w:val="center"/>
              <w:rPr>
                <w:sz w:val="20"/>
                <w:szCs w:val="20"/>
              </w:rPr>
            </w:pPr>
            <w:r w:rsidRPr="006F1B90">
              <w:rPr>
                <w:sz w:val="20"/>
                <w:szCs w:val="20"/>
              </w:rPr>
              <w:t>8845.000</w:t>
            </w:r>
          </w:p>
        </w:tc>
      </w:tr>
      <w:tr w:rsidR="0032036B" w:rsidRPr="00A71B25" w14:paraId="5F6369F8" w14:textId="77777777" w:rsidTr="008149BF">
        <w:trPr>
          <w:jc w:val="center"/>
        </w:trPr>
        <w:tc>
          <w:tcPr>
            <w:tcW w:w="2835" w:type="dxa"/>
            <w:tcBorders>
              <w:top w:val="single" w:sz="4" w:space="0" w:color="auto"/>
            </w:tcBorders>
            <w:shd w:val="clear" w:color="auto" w:fill="auto"/>
            <w:vAlign w:val="center"/>
          </w:tcPr>
          <w:p w14:paraId="3E39B892" w14:textId="77777777" w:rsidR="0032036B" w:rsidRPr="00A71B25" w:rsidRDefault="0032036B" w:rsidP="0032036B">
            <w:pPr>
              <w:widowControl w:val="0"/>
              <w:autoSpaceDE w:val="0"/>
              <w:autoSpaceDN w:val="0"/>
              <w:adjustRightInd w:val="0"/>
              <w:jc w:val="center"/>
              <w:rPr>
                <w:sz w:val="20"/>
                <w:szCs w:val="20"/>
              </w:rPr>
            </w:pPr>
            <w:r w:rsidRPr="00A71B25">
              <w:rPr>
                <w:b/>
                <w:bCs/>
                <w:sz w:val="20"/>
                <w:szCs w:val="20"/>
              </w:rPr>
              <w:t>Panel B: TCB</w:t>
            </w:r>
          </w:p>
        </w:tc>
        <w:tc>
          <w:tcPr>
            <w:tcW w:w="6912" w:type="dxa"/>
            <w:gridSpan w:val="6"/>
            <w:tcBorders>
              <w:top w:val="single" w:sz="4" w:space="0" w:color="auto"/>
              <w:bottom w:val="single" w:sz="4" w:space="0" w:color="auto"/>
            </w:tcBorders>
            <w:shd w:val="clear" w:color="auto" w:fill="auto"/>
            <w:vAlign w:val="center"/>
          </w:tcPr>
          <w:p w14:paraId="476A9859" w14:textId="77777777" w:rsidR="0032036B" w:rsidRPr="00A71B25" w:rsidRDefault="0032036B" w:rsidP="0032036B">
            <w:pPr>
              <w:widowControl w:val="0"/>
              <w:autoSpaceDE w:val="0"/>
              <w:autoSpaceDN w:val="0"/>
              <w:adjustRightInd w:val="0"/>
              <w:jc w:val="center"/>
              <w:rPr>
                <w:sz w:val="20"/>
                <w:szCs w:val="20"/>
              </w:rPr>
            </w:pPr>
          </w:p>
        </w:tc>
      </w:tr>
      <w:tr w:rsidR="00CA6C8C" w:rsidRPr="00A71B25" w14:paraId="1F78D331" w14:textId="77777777" w:rsidTr="00355194">
        <w:trPr>
          <w:jc w:val="center"/>
        </w:trPr>
        <w:tc>
          <w:tcPr>
            <w:tcW w:w="2835" w:type="dxa"/>
            <w:shd w:val="clear" w:color="auto" w:fill="auto"/>
            <w:vAlign w:val="center"/>
          </w:tcPr>
          <w:p w14:paraId="03E52E8E"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Syndicate reputation: lead to participant</w:t>
            </w:r>
          </w:p>
        </w:tc>
        <w:tc>
          <w:tcPr>
            <w:tcW w:w="1223" w:type="dxa"/>
            <w:tcBorders>
              <w:top w:val="single" w:sz="4" w:space="0" w:color="auto"/>
              <w:left w:val="nil"/>
              <w:bottom w:val="nil"/>
              <w:right w:val="nil"/>
            </w:tcBorders>
            <w:vAlign w:val="center"/>
          </w:tcPr>
          <w:p w14:paraId="0A37C0CD"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-0.038</w:t>
            </w:r>
            <w:r w:rsidRPr="005E2916">
              <w:rPr>
                <w:sz w:val="20"/>
                <w:szCs w:val="20"/>
                <w:vertAlign w:val="superscript"/>
              </w:rPr>
              <w:t>***</w:t>
            </w:r>
          </w:p>
        </w:tc>
        <w:tc>
          <w:tcPr>
            <w:tcW w:w="1081" w:type="dxa"/>
            <w:tcBorders>
              <w:top w:val="single" w:sz="4" w:space="0" w:color="auto"/>
              <w:left w:val="nil"/>
              <w:bottom w:val="nil"/>
              <w:right w:val="nil"/>
            </w:tcBorders>
            <w:vAlign w:val="center"/>
          </w:tcPr>
          <w:p w14:paraId="17EC2954"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single" w:sz="4" w:space="0" w:color="auto"/>
              <w:left w:val="nil"/>
              <w:bottom w:val="nil"/>
              <w:right w:val="nil"/>
            </w:tcBorders>
            <w:vAlign w:val="center"/>
          </w:tcPr>
          <w:p w14:paraId="59FA3F79"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-0.038</w:t>
            </w:r>
            <w:r w:rsidRPr="005E2916">
              <w:rPr>
                <w:sz w:val="20"/>
                <w:szCs w:val="20"/>
                <w:vertAlign w:val="superscript"/>
              </w:rPr>
              <w:t>***</w:t>
            </w:r>
          </w:p>
        </w:tc>
        <w:tc>
          <w:tcPr>
            <w:tcW w:w="1223" w:type="dxa"/>
            <w:tcBorders>
              <w:top w:val="single" w:sz="4" w:space="0" w:color="auto"/>
              <w:left w:val="nil"/>
              <w:bottom w:val="nil"/>
              <w:right w:val="nil"/>
            </w:tcBorders>
            <w:vAlign w:val="center"/>
          </w:tcPr>
          <w:p w14:paraId="7061FB7E"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single" w:sz="4" w:space="0" w:color="auto"/>
              <w:left w:val="nil"/>
              <w:bottom w:val="nil"/>
              <w:right w:val="nil"/>
            </w:tcBorders>
            <w:vAlign w:val="center"/>
          </w:tcPr>
          <w:p w14:paraId="79F9F83F"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-0.038</w:t>
            </w:r>
            <w:r w:rsidRPr="005E2916">
              <w:rPr>
                <w:sz w:val="20"/>
                <w:szCs w:val="20"/>
                <w:vertAlign w:val="superscript"/>
              </w:rPr>
              <w:t>***</w:t>
            </w:r>
          </w:p>
        </w:tc>
        <w:tc>
          <w:tcPr>
            <w:tcW w:w="1081" w:type="dxa"/>
            <w:tcBorders>
              <w:top w:val="single" w:sz="4" w:space="0" w:color="auto"/>
              <w:left w:val="nil"/>
              <w:bottom w:val="nil"/>
              <w:right w:val="nil"/>
            </w:tcBorders>
            <w:vAlign w:val="center"/>
          </w:tcPr>
          <w:p w14:paraId="05B58340" w14:textId="77777777" w:rsidR="00CA6C8C" w:rsidRPr="00A71B25" w:rsidRDefault="00CA6C8C" w:rsidP="00355194">
            <w:pPr>
              <w:widowControl w:val="0"/>
              <w:autoSpaceDE w:val="0"/>
              <w:autoSpaceDN w:val="0"/>
              <w:adjustRightInd w:val="0"/>
              <w:jc w:val="center"/>
              <w:rPr>
                <w:sz w:val="20"/>
                <w:szCs w:val="20"/>
              </w:rPr>
            </w:pPr>
          </w:p>
        </w:tc>
      </w:tr>
      <w:tr w:rsidR="00CA6C8C" w:rsidRPr="00A71B25" w14:paraId="77791249" w14:textId="77777777" w:rsidTr="00355194">
        <w:trPr>
          <w:jc w:val="center"/>
        </w:trPr>
        <w:tc>
          <w:tcPr>
            <w:tcW w:w="2835" w:type="dxa"/>
            <w:shd w:val="clear" w:color="auto" w:fill="auto"/>
            <w:vAlign w:val="center"/>
          </w:tcPr>
          <w:p w14:paraId="794AC754" w14:textId="77777777" w:rsidR="00CA6C8C" w:rsidRPr="00A71B25" w:rsidRDefault="00CA6C8C" w:rsidP="00CA6C8C">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44CDDB20"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(0.01)</w:t>
            </w:r>
          </w:p>
        </w:tc>
        <w:tc>
          <w:tcPr>
            <w:tcW w:w="1081" w:type="dxa"/>
            <w:tcBorders>
              <w:top w:val="nil"/>
              <w:left w:val="nil"/>
              <w:bottom w:val="nil"/>
              <w:right w:val="nil"/>
            </w:tcBorders>
            <w:vAlign w:val="center"/>
          </w:tcPr>
          <w:p w14:paraId="285C2CF9"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733617D5"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(0.01)</w:t>
            </w:r>
          </w:p>
        </w:tc>
        <w:tc>
          <w:tcPr>
            <w:tcW w:w="1223" w:type="dxa"/>
            <w:tcBorders>
              <w:top w:val="nil"/>
              <w:left w:val="nil"/>
              <w:bottom w:val="nil"/>
              <w:right w:val="nil"/>
            </w:tcBorders>
            <w:vAlign w:val="center"/>
          </w:tcPr>
          <w:p w14:paraId="7D3D3C3D"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313CE5B9"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(0.01)</w:t>
            </w:r>
          </w:p>
        </w:tc>
        <w:tc>
          <w:tcPr>
            <w:tcW w:w="1081" w:type="dxa"/>
            <w:tcBorders>
              <w:top w:val="nil"/>
              <w:left w:val="nil"/>
              <w:bottom w:val="nil"/>
              <w:right w:val="nil"/>
            </w:tcBorders>
            <w:vAlign w:val="center"/>
          </w:tcPr>
          <w:p w14:paraId="0845C3E6" w14:textId="77777777" w:rsidR="00CA6C8C" w:rsidRPr="00A71B25" w:rsidRDefault="00CA6C8C" w:rsidP="00355194">
            <w:pPr>
              <w:widowControl w:val="0"/>
              <w:autoSpaceDE w:val="0"/>
              <w:autoSpaceDN w:val="0"/>
              <w:adjustRightInd w:val="0"/>
              <w:jc w:val="center"/>
              <w:rPr>
                <w:sz w:val="20"/>
                <w:szCs w:val="20"/>
              </w:rPr>
            </w:pPr>
          </w:p>
        </w:tc>
      </w:tr>
      <w:tr w:rsidR="00CA6C8C" w:rsidRPr="00A71B25" w14:paraId="3024028A" w14:textId="77777777" w:rsidTr="00355194">
        <w:trPr>
          <w:jc w:val="center"/>
        </w:trPr>
        <w:tc>
          <w:tcPr>
            <w:tcW w:w="2835" w:type="dxa"/>
            <w:shd w:val="clear" w:color="auto" w:fill="auto"/>
            <w:vAlign w:val="center"/>
          </w:tcPr>
          <w:p w14:paraId="7ABF8283"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Syndicate reputation: reciprocal</w:t>
            </w:r>
          </w:p>
        </w:tc>
        <w:tc>
          <w:tcPr>
            <w:tcW w:w="1223" w:type="dxa"/>
            <w:tcBorders>
              <w:top w:val="nil"/>
              <w:left w:val="nil"/>
              <w:bottom w:val="nil"/>
              <w:right w:val="nil"/>
            </w:tcBorders>
            <w:vAlign w:val="center"/>
          </w:tcPr>
          <w:p w14:paraId="1FFECF82"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-0.054</w:t>
            </w:r>
            <w:r w:rsidRPr="005E2916">
              <w:rPr>
                <w:sz w:val="20"/>
                <w:szCs w:val="20"/>
                <w:vertAlign w:val="superscript"/>
              </w:rPr>
              <w:t>***</w:t>
            </w:r>
          </w:p>
        </w:tc>
        <w:tc>
          <w:tcPr>
            <w:tcW w:w="1081" w:type="dxa"/>
            <w:tcBorders>
              <w:top w:val="nil"/>
              <w:left w:val="nil"/>
              <w:bottom w:val="nil"/>
              <w:right w:val="nil"/>
            </w:tcBorders>
            <w:vAlign w:val="center"/>
          </w:tcPr>
          <w:p w14:paraId="0D6B61B5"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6B90080F"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-0.053</w:t>
            </w:r>
            <w:r w:rsidRPr="005E2916">
              <w:rPr>
                <w:sz w:val="20"/>
                <w:szCs w:val="20"/>
                <w:vertAlign w:val="superscript"/>
              </w:rPr>
              <w:t>***</w:t>
            </w:r>
          </w:p>
        </w:tc>
        <w:tc>
          <w:tcPr>
            <w:tcW w:w="1223" w:type="dxa"/>
            <w:tcBorders>
              <w:top w:val="nil"/>
              <w:left w:val="nil"/>
              <w:bottom w:val="nil"/>
              <w:right w:val="nil"/>
            </w:tcBorders>
            <w:vAlign w:val="center"/>
          </w:tcPr>
          <w:p w14:paraId="0F922735"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74F6C430"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-0.054</w:t>
            </w:r>
            <w:r w:rsidRPr="005E2916">
              <w:rPr>
                <w:sz w:val="20"/>
                <w:szCs w:val="20"/>
                <w:vertAlign w:val="superscript"/>
              </w:rPr>
              <w:t>***</w:t>
            </w:r>
          </w:p>
        </w:tc>
        <w:tc>
          <w:tcPr>
            <w:tcW w:w="1081" w:type="dxa"/>
            <w:tcBorders>
              <w:top w:val="nil"/>
              <w:left w:val="nil"/>
              <w:bottom w:val="nil"/>
              <w:right w:val="nil"/>
            </w:tcBorders>
            <w:vAlign w:val="center"/>
          </w:tcPr>
          <w:p w14:paraId="39D15E86" w14:textId="77777777" w:rsidR="00CA6C8C" w:rsidRPr="00A71B25" w:rsidRDefault="00CA6C8C" w:rsidP="00355194">
            <w:pPr>
              <w:widowControl w:val="0"/>
              <w:autoSpaceDE w:val="0"/>
              <w:autoSpaceDN w:val="0"/>
              <w:adjustRightInd w:val="0"/>
              <w:jc w:val="center"/>
              <w:rPr>
                <w:sz w:val="20"/>
                <w:szCs w:val="20"/>
              </w:rPr>
            </w:pPr>
          </w:p>
        </w:tc>
      </w:tr>
      <w:tr w:rsidR="00CA6C8C" w:rsidRPr="00A71B25" w14:paraId="5497B792" w14:textId="77777777" w:rsidTr="00355194">
        <w:trPr>
          <w:jc w:val="center"/>
        </w:trPr>
        <w:tc>
          <w:tcPr>
            <w:tcW w:w="2835" w:type="dxa"/>
            <w:shd w:val="clear" w:color="auto" w:fill="auto"/>
            <w:vAlign w:val="center"/>
          </w:tcPr>
          <w:p w14:paraId="70822306" w14:textId="77777777" w:rsidR="00CA6C8C" w:rsidRPr="00A71B25" w:rsidRDefault="00CA6C8C" w:rsidP="00CA6C8C">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4B86948A"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w:t>
            </w:r>
          </w:p>
        </w:tc>
        <w:tc>
          <w:tcPr>
            <w:tcW w:w="1081" w:type="dxa"/>
            <w:tcBorders>
              <w:top w:val="nil"/>
              <w:left w:val="nil"/>
              <w:bottom w:val="nil"/>
              <w:right w:val="nil"/>
            </w:tcBorders>
            <w:vAlign w:val="center"/>
          </w:tcPr>
          <w:p w14:paraId="04FD599D"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06638998"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w:t>
            </w:r>
          </w:p>
        </w:tc>
        <w:tc>
          <w:tcPr>
            <w:tcW w:w="1223" w:type="dxa"/>
            <w:tcBorders>
              <w:top w:val="nil"/>
              <w:left w:val="nil"/>
              <w:bottom w:val="nil"/>
              <w:right w:val="nil"/>
            </w:tcBorders>
            <w:vAlign w:val="center"/>
          </w:tcPr>
          <w:p w14:paraId="33A2507B"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74F6445D"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w:t>
            </w:r>
          </w:p>
        </w:tc>
        <w:tc>
          <w:tcPr>
            <w:tcW w:w="1081" w:type="dxa"/>
            <w:tcBorders>
              <w:top w:val="nil"/>
              <w:left w:val="nil"/>
              <w:bottom w:val="nil"/>
              <w:right w:val="nil"/>
            </w:tcBorders>
            <w:vAlign w:val="center"/>
          </w:tcPr>
          <w:p w14:paraId="26A9A124" w14:textId="77777777" w:rsidR="00CA6C8C" w:rsidRPr="00A71B25" w:rsidRDefault="00CA6C8C" w:rsidP="00355194">
            <w:pPr>
              <w:widowControl w:val="0"/>
              <w:autoSpaceDE w:val="0"/>
              <w:autoSpaceDN w:val="0"/>
              <w:adjustRightInd w:val="0"/>
              <w:jc w:val="center"/>
              <w:rPr>
                <w:sz w:val="20"/>
                <w:szCs w:val="20"/>
              </w:rPr>
            </w:pPr>
          </w:p>
        </w:tc>
      </w:tr>
      <w:tr w:rsidR="00CA6C8C" w:rsidRPr="00A71B25" w14:paraId="6CAD2AF1" w14:textId="77777777" w:rsidTr="00355194">
        <w:trPr>
          <w:jc w:val="center"/>
        </w:trPr>
        <w:tc>
          <w:tcPr>
            <w:tcW w:w="2835" w:type="dxa"/>
            <w:shd w:val="clear" w:color="auto" w:fill="auto"/>
            <w:vAlign w:val="center"/>
          </w:tcPr>
          <w:p w14:paraId="5B6A3F8B"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Lead agent share</w:t>
            </w:r>
          </w:p>
        </w:tc>
        <w:tc>
          <w:tcPr>
            <w:tcW w:w="1223" w:type="dxa"/>
            <w:tcBorders>
              <w:top w:val="nil"/>
              <w:left w:val="nil"/>
              <w:bottom w:val="nil"/>
              <w:right w:val="nil"/>
            </w:tcBorders>
            <w:vAlign w:val="center"/>
          </w:tcPr>
          <w:p w14:paraId="161499BB"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2F5A536E"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2.979</w:t>
            </w:r>
            <w:r w:rsidRPr="005E2916">
              <w:rPr>
                <w:sz w:val="20"/>
                <w:szCs w:val="20"/>
                <w:vertAlign w:val="superscript"/>
              </w:rPr>
              <w:t>***</w:t>
            </w:r>
          </w:p>
        </w:tc>
        <w:tc>
          <w:tcPr>
            <w:tcW w:w="1081" w:type="dxa"/>
            <w:tcBorders>
              <w:top w:val="nil"/>
              <w:left w:val="nil"/>
              <w:bottom w:val="nil"/>
              <w:right w:val="nil"/>
            </w:tcBorders>
            <w:vAlign w:val="center"/>
          </w:tcPr>
          <w:p w14:paraId="373F7B27"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196458FE"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2.989</w:t>
            </w:r>
            <w:r w:rsidRPr="005E2916">
              <w:rPr>
                <w:sz w:val="20"/>
                <w:szCs w:val="20"/>
                <w:vertAlign w:val="superscript"/>
              </w:rPr>
              <w:t>***</w:t>
            </w:r>
          </w:p>
        </w:tc>
        <w:tc>
          <w:tcPr>
            <w:tcW w:w="1223" w:type="dxa"/>
            <w:tcBorders>
              <w:top w:val="nil"/>
              <w:left w:val="nil"/>
              <w:bottom w:val="nil"/>
              <w:right w:val="nil"/>
            </w:tcBorders>
            <w:vAlign w:val="center"/>
          </w:tcPr>
          <w:p w14:paraId="39B6C93D"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3452EF25"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2.989</w:t>
            </w:r>
            <w:r w:rsidRPr="005E2916">
              <w:rPr>
                <w:sz w:val="20"/>
                <w:szCs w:val="20"/>
                <w:vertAlign w:val="superscript"/>
              </w:rPr>
              <w:t>***</w:t>
            </w:r>
          </w:p>
        </w:tc>
      </w:tr>
      <w:tr w:rsidR="00CA6C8C" w:rsidRPr="00A71B25" w14:paraId="46E821B1" w14:textId="77777777" w:rsidTr="00355194">
        <w:trPr>
          <w:jc w:val="center"/>
        </w:trPr>
        <w:tc>
          <w:tcPr>
            <w:tcW w:w="2835" w:type="dxa"/>
            <w:shd w:val="clear" w:color="auto" w:fill="auto"/>
            <w:vAlign w:val="center"/>
          </w:tcPr>
          <w:p w14:paraId="4A554AD9" w14:textId="77777777" w:rsidR="00CA6C8C" w:rsidRPr="00A71B25" w:rsidRDefault="00CA6C8C" w:rsidP="00CA6C8C">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452544DE"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41CFD0EA"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(0.64)</w:t>
            </w:r>
          </w:p>
        </w:tc>
        <w:tc>
          <w:tcPr>
            <w:tcW w:w="1081" w:type="dxa"/>
            <w:tcBorders>
              <w:top w:val="nil"/>
              <w:left w:val="nil"/>
              <w:bottom w:val="nil"/>
              <w:right w:val="nil"/>
            </w:tcBorders>
            <w:vAlign w:val="center"/>
          </w:tcPr>
          <w:p w14:paraId="5C8E79CC"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60E36A50"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(0.66)</w:t>
            </w:r>
          </w:p>
        </w:tc>
        <w:tc>
          <w:tcPr>
            <w:tcW w:w="1223" w:type="dxa"/>
            <w:tcBorders>
              <w:top w:val="nil"/>
              <w:left w:val="nil"/>
              <w:bottom w:val="nil"/>
              <w:right w:val="nil"/>
            </w:tcBorders>
            <w:vAlign w:val="center"/>
          </w:tcPr>
          <w:p w14:paraId="0F726BC9"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339DC700"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(0.64)</w:t>
            </w:r>
          </w:p>
        </w:tc>
      </w:tr>
      <w:tr w:rsidR="00CA6C8C" w:rsidRPr="00A71B25" w14:paraId="51A11B5E" w14:textId="77777777" w:rsidTr="00355194">
        <w:trPr>
          <w:jc w:val="center"/>
        </w:trPr>
        <w:tc>
          <w:tcPr>
            <w:tcW w:w="2835" w:type="dxa"/>
            <w:shd w:val="clear" w:color="auto" w:fill="auto"/>
            <w:vAlign w:val="center"/>
          </w:tcPr>
          <w:p w14:paraId="52616335" w14:textId="77777777" w:rsidR="00CA6C8C" w:rsidRPr="00A71B25" w:rsidRDefault="00DC5EBE" w:rsidP="00CA6C8C">
            <w:pPr>
              <w:widowControl w:val="0"/>
              <w:autoSpaceDE w:val="0"/>
              <w:autoSpaceDN w:val="0"/>
              <w:adjustRightInd w:val="0"/>
              <w:jc w:val="center"/>
              <w:rPr>
                <w:sz w:val="20"/>
                <w:szCs w:val="20"/>
              </w:rPr>
            </w:pPr>
            <w:r>
              <w:rPr>
                <w:rFonts w:eastAsia="DengXian"/>
                <w:sz w:val="20"/>
                <w:szCs w:val="20"/>
                <w:lang w:eastAsia="zh-CN"/>
              </w:rPr>
              <w:t>L</w:t>
            </w:r>
            <w:r w:rsidRPr="00F5316D">
              <w:rPr>
                <w:rFonts w:eastAsia="DengXian"/>
                <w:sz w:val="20"/>
                <w:szCs w:val="20"/>
                <w:lang w:eastAsia="zh-CN"/>
              </w:rPr>
              <w:t xml:space="preserve">arge CS </w:t>
            </w:r>
            <w:r w:rsidR="0099693E">
              <w:rPr>
                <w:rFonts w:eastAsia="DengXian"/>
                <w:sz w:val="20"/>
                <w:szCs w:val="20"/>
                <w:lang w:eastAsia="zh-CN"/>
              </w:rPr>
              <w:t>link</w:t>
            </w:r>
            <w:r w:rsidRPr="00F5316D">
              <w:rPr>
                <w:rFonts w:eastAsia="DengXian"/>
                <w:sz w:val="20"/>
                <w:szCs w:val="20"/>
                <w:lang w:eastAsia="zh-CN"/>
              </w:rPr>
              <w:t>s</w:t>
            </w:r>
          </w:p>
        </w:tc>
        <w:tc>
          <w:tcPr>
            <w:tcW w:w="1223" w:type="dxa"/>
            <w:tcBorders>
              <w:top w:val="nil"/>
              <w:left w:val="nil"/>
              <w:bottom w:val="nil"/>
              <w:right w:val="nil"/>
            </w:tcBorders>
            <w:vAlign w:val="center"/>
          </w:tcPr>
          <w:p w14:paraId="7D27D545"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0.008</w:t>
            </w:r>
            <w:r w:rsidRPr="005E2916">
              <w:rPr>
                <w:sz w:val="20"/>
                <w:szCs w:val="20"/>
                <w:vertAlign w:val="superscript"/>
              </w:rPr>
              <w:t>**</w:t>
            </w:r>
          </w:p>
        </w:tc>
        <w:tc>
          <w:tcPr>
            <w:tcW w:w="1081" w:type="dxa"/>
            <w:tcBorders>
              <w:top w:val="nil"/>
              <w:left w:val="nil"/>
              <w:bottom w:val="nil"/>
              <w:right w:val="nil"/>
            </w:tcBorders>
            <w:vAlign w:val="center"/>
          </w:tcPr>
          <w:p w14:paraId="7C2DC348"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0.008</w:t>
            </w:r>
          </w:p>
        </w:tc>
        <w:tc>
          <w:tcPr>
            <w:tcW w:w="1081" w:type="dxa"/>
            <w:tcBorders>
              <w:top w:val="nil"/>
              <w:left w:val="nil"/>
              <w:bottom w:val="nil"/>
              <w:right w:val="nil"/>
            </w:tcBorders>
            <w:vAlign w:val="center"/>
          </w:tcPr>
          <w:p w14:paraId="02A98DE2"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3DB4B9CB"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59487E68"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4D264E92" w14:textId="77777777" w:rsidR="00CA6C8C" w:rsidRPr="00A71B25" w:rsidRDefault="00CA6C8C" w:rsidP="00355194">
            <w:pPr>
              <w:widowControl w:val="0"/>
              <w:autoSpaceDE w:val="0"/>
              <w:autoSpaceDN w:val="0"/>
              <w:adjustRightInd w:val="0"/>
              <w:jc w:val="center"/>
              <w:rPr>
                <w:sz w:val="20"/>
                <w:szCs w:val="20"/>
              </w:rPr>
            </w:pPr>
          </w:p>
        </w:tc>
      </w:tr>
      <w:tr w:rsidR="00CA6C8C" w:rsidRPr="00A71B25" w14:paraId="1A9AE5A0" w14:textId="77777777" w:rsidTr="00355194">
        <w:trPr>
          <w:jc w:val="center"/>
        </w:trPr>
        <w:tc>
          <w:tcPr>
            <w:tcW w:w="2835" w:type="dxa"/>
            <w:shd w:val="clear" w:color="auto" w:fill="auto"/>
            <w:vAlign w:val="center"/>
          </w:tcPr>
          <w:p w14:paraId="2CA3C74E" w14:textId="77777777" w:rsidR="00CA6C8C" w:rsidRPr="00A71B25" w:rsidRDefault="00CA6C8C" w:rsidP="00CA6C8C">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2221D33B"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w:t>
            </w:r>
          </w:p>
        </w:tc>
        <w:tc>
          <w:tcPr>
            <w:tcW w:w="1081" w:type="dxa"/>
            <w:tcBorders>
              <w:top w:val="nil"/>
              <w:left w:val="nil"/>
              <w:bottom w:val="nil"/>
              <w:right w:val="nil"/>
            </w:tcBorders>
            <w:vAlign w:val="center"/>
          </w:tcPr>
          <w:p w14:paraId="06B13463"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(0.03)</w:t>
            </w:r>
          </w:p>
        </w:tc>
        <w:tc>
          <w:tcPr>
            <w:tcW w:w="1081" w:type="dxa"/>
            <w:tcBorders>
              <w:top w:val="nil"/>
              <w:left w:val="nil"/>
              <w:bottom w:val="nil"/>
              <w:right w:val="nil"/>
            </w:tcBorders>
            <w:vAlign w:val="center"/>
          </w:tcPr>
          <w:p w14:paraId="5733650C"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69B86834"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628293D7"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466E9019" w14:textId="77777777" w:rsidR="00CA6C8C" w:rsidRPr="00A71B25" w:rsidRDefault="00CA6C8C" w:rsidP="00355194">
            <w:pPr>
              <w:widowControl w:val="0"/>
              <w:autoSpaceDE w:val="0"/>
              <w:autoSpaceDN w:val="0"/>
              <w:adjustRightInd w:val="0"/>
              <w:jc w:val="center"/>
              <w:rPr>
                <w:sz w:val="20"/>
                <w:szCs w:val="20"/>
              </w:rPr>
            </w:pPr>
          </w:p>
        </w:tc>
      </w:tr>
      <w:tr w:rsidR="00CA6C8C" w:rsidRPr="00A71B25" w14:paraId="3C12E1BE" w14:textId="77777777" w:rsidTr="00355194">
        <w:trPr>
          <w:jc w:val="center"/>
        </w:trPr>
        <w:tc>
          <w:tcPr>
            <w:tcW w:w="2835" w:type="dxa"/>
            <w:shd w:val="clear" w:color="auto" w:fill="auto"/>
            <w:vAlign w:val="center"/>
          </w:tcPr>
          <w:p w14:paraId="4367FD19"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A71B25">
              <w:rPr>
                <w:rFonts w:eastAsia="DengXian"/>
                <w:sz w:val="20"/>
                <w:szCs w:val="20"/>
                <w:lang w:eastAsia="zh-CN"/>
              </w:rPr>
              <w:t>)</w:t>
            </w:r>
          </w:p>
        </w:tc>
        <w:tc>
          <w:tcPr>
            <w:tcW w:w="1223" w:type="dxa"/>
            <w:tcBorders>
              <w:top w:val="nil"/>
              <w:left w:val="nil"/>
              <w:bottom w:val="nil"/>
              <w:right w:val="nil"/>
            </w:tcBorders>
            <w:vAlign w:val="center"/>
          </w:tcPr>
          <w:p w14:paraId="076576FC"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5A925F49"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3C5E6722"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0.019</w:t>
            </w:r>
            <w:r w:rsidRPr="005E2916">
              <w:rPr>
                <w:sz w:val="20"/>
                <w:szCs w:val="20"/>
                <w:vertAlign w:val="superscript"/>
              </w:rPr>
              <w:t>***</w:t>
            </w:r>
          </w:p>
        </w:tc>
        <w:tc>
          <w:tcPr>
            <w:tcW w:w="1223" w:type="dxa"/>
            <w:tcBorders>
              <w:top w:val="nil"/>
              <w:left w:val="nil"/>
              <w:bottom w:val="nil"/>
              <w:right w:val="nil"/>
            </w:tcBorders>
            <w:vAlign w:val="center"/>
          </w:tcPr>
          <w:p w14:paraId="0CA7679C"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-0.063</w:t>
            </w:r>
          </w:p>
        </w:tc>
        <w:tc>
          <w:tcPr>
            <w:tcW w:w="1223" w:type="dxa"/>
            <w:tcBorders>
              <w:top w:val="nil"/>
              <w:left w:val="nil"/>
              <w:bottom w:val="nil"/>
              <w:right w:val="nil"/>
            </w:tcBorders>
            <w:vAlign w:val="center"/>
          </w:tcPr>
          <w:p w14:paraId="0D3E8080"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0.066</w:t>
            </w:r>
            <w:r w:rsidRPr="005E2916">
              <w:rPr>
                <w:sz w:val="20"/>
                <w:szCs w:val="20"/>
                <w:vertAlign w:val="superscript"/>
              </w:rPr>
              <w:t>***</w:t>
            </w:r>
          </w:p>
        </w:tc>
        <w:tc>
          <w:tcPr>
            <w:tcW w:w="1081" w:type="dxa"/>
            <w:tcBorders>
              <w:top w:val="nil"/>
              <w:left w:val="nil"/>
              <w:bottom w:val="nil"/>
              <w:right w:val="nil"/>
            </w:tcBorders>
            <w:vAlign w:val="center"/>
          </w:tcPr>
          <w:p w14:paraId="31D46426"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-0.043</w:t>
            </w:r>
          </w:p>
        </w:tc>
      </w:tr>
      <w:tr w:rsidR="00CA6C8C" w:rsidRPr="00A71B25" w14:paraId="0822C58A" w14:textId="77777777" w:rsidTr="00355194">
        <w:trPr>
          <w:jc w:val="center"/>
        </w:trPr>
        <w:tc>
          <w:tcPr>
            <w:tcW w:w="2835" w:type="dxa"/>
            <w:shd w:val="clear" w:color="auto" w:fill="auto"/>
            <w:vAlign w:val="center"/>
          </w:tcPr>
          <w:p w14:paraId="3B6B0AFE" w14:textId="77777777" w:rsidR="00CA6C8C" w:rsidRPr="00A71B25" w:rsidRDefault="00CA6C8C" w:rsidP="00CA6C8C">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14918B5E"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2E9C4780"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3C6FD5BD"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w:t>
            </w:r>
          </w:p>
        </w:tc>
        <w:tc>
          <w:tcPr>
            <w:tcW w:w="1223" w:type="dxa"/>
            <w:tcBorders>
              <w:top w:val="nil"/>
              <w:left w:val="nil"/>
              <w:bottom w:val="nil"/>
              <w:right w:val="nil"/>
            </w:tcBorders>
            <w:vAlign w:val="center"/>
          </w:tcPr>
          <w:p w14:paraId="29677E24"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(0.06)</w:t>
            </w:r>
          </w:p>
        </w:tc>
        <w:tc>
          <w:tcPr>
            <w:tcW w:w="1223" w:type="dxa"/>
            <w:tcBorders>
              <w:top w:val="nil"/>
              <w:left w:val="nil"/>
              <w:bottom w:val="nil"/>
              <w:right w:val="nil"/>
            </w:tcBorders>
            <w:vAlign w:val="center"/>
          </w:tcPr>
          <w:p w14:paraId="025EF3B0"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(0.01)</w:t>
            </w:r>
          </w:p>
        </w:tc>
        <w:tc>
          <w:tcPr>
            <w:tcW w:w="1081" w:type="dxa"/>
            <w:tcBorders>
              <w:top w:val="nil"/>
              <w:left w:val="nil"/>
              <w:bottom w:val="nil"/>
              <w:right w:val="nil"/>
            </w:tcBorders>
            <w:vAlign w:val="center"/>
          </w:tcPr>
          <w:p w14:paraId="0FB75ACB"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(0.12)</w:t>
            </w:r>
          </w:p>
        </w:tc>
      </w:tr>
      <w:tr w:rsidR="00CA6C8C" w:rsidRPr="00A71B25" w14:paraId="421D7F71" w14:textId="77777777" w:rsidTr="00355194">
        <w:trPr>
          <w:jc w:val="center"/>
        </w:trPr>
        <w:tc>
          <w:tcPr>
            <w:tcW w:w="2835" w:type="dxa"/>
            <w:shd w:val="clear" w:color="auto" w:fill="auto"/>
            <w:vAlign w:val="center"/>
          </w:tcPr>
          <w:p w14:paraId="3900F48F"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A71B25">
              <w:rPr>
                <w:rFonts w:eastAsia="DengXian"/>
                <w:sz w:val="20"/>
                <w:szCs w:val="20"/>
                <w:lang w:eastAsia="zh-CN"/>
              </w:rPr>
              <w:t>)</w:t>
            </w:r>
            <w:r w:rsidRPr="00A71B25">
              <w:rPr>
                <w:rFonts w:eastAsia="DengXian"/>
                <w:sz w:val="20"/>
                <w:szCs w:val="20"/>
                <w:vertAlign w:val="superscript"/>
                <w:lang w:eastAsia="zh-CN"/>
              </w:rPr>
              <w:t>2</w:t>
            </w:r>
          </w:p>
        </w:tc>
        <w:tc>
          <w:tcPr>
            <w:tcW w:w="1223" w:type="dxa"/>
            <w:tcBorders>
              <w:top w:val="nil"/>
              <w:left w:val="nil"/>
              <w:bottom w:val="nil"/>
              <w:right w:val="nil"/>
            </w:tcBorders>
            <w:vAlign w:val="center"/>
          </w:tcPr>
          <w:p w14:paraId="74B2D8FA"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0C3AF685"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4D0FFDFE"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798FE385"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201854E3"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-0.055</w:t>
            </w:r>
            <w:r w:rsidRPr="005E2916">
              <w:rPr>
                <w:sz w:val="20"/>
                <w:szCs w:val="20"/>
                <w:vertAlign w:val="superscript"/>
              </w:rPr>
              <w:t>***</w:t>
            </w:r>
          </w:p>
        </w:tc>
        <w:tc>
          <w:tcPr>
            <w:tcW w:w="1081" w:type="dxa"/>
            <w:tcBorders>
              <w:top w:val="nil"/>
              <w:left w:val="nil"/>
              <w:bottom w:val="nil"/>
              <w:right w:val="nil"/>
            </w:tcBorders>
            <w:vAlign w:val="center"/>
          </w:tcPr>
          <w:p w14:paraId="607D4DC6"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-0.023</w:t>
            </w:r>
          </w:p>
        </w:tc>
      </w:tr>
      <w:tr w:rsidR="00CA6C8C" w:rsidRPr="00A71B25" w14:paraId="62E63E21" w14:textId="77777777" w:rsidTr="00355194">
        <w:trPr>
          <w:jc w:val="center"/>
        </w:trPr>
        <w:tc>
          <w:tcPr>
            <w:tcW w:w="2835" w:type="dxa"/>
            <w:shd w:val="clear" w:color="auto" w:fill="auto"/>
            <w:vAlign w:val="center"/>
          </w:tcPr>
          <w:p w14:paraId="00AEFC14" w14:textId="77777777" w:rsidR="00CA6C8C" w:rsidRPr="00A71B25" w:rsidRDefault="00CA6C8C" w:rsidP="00CA6C8C">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54093F91"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01D86F47" w14:textId="77777777" w:rsidR="00CA6C8C" w:rsidRPr="00A71B25" w:rsidRDefault="00CA6C8C"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6731AE50"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77F923C1" w14:textId="77777777" w:rsidR="00CA6C8C" w:rsidRPr="00A71B25" w:rsidRDefault="00CA6C8C"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2BDD9B26"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(0.01)</w:t>
            </w:r>
          </w:p>
        </w:tc>
        <w:tc>
          <w:tcPr>
            <w:tcW w:w="1081" w:type="dxa"/>
            <w:tcBorders>
              <w:top w:val="nil"/>
              <w:left w:val="nil"/>
              <w:bottom w:val="nil"/>
              <w:right w:val="nil"/>
            </w:tcBorders>
            <w:vAlign w:val="center"/>
          </w:tcPr>
          <w:p w14:paraId="6F95DA57"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(0.11)</w:t>
            </w:r>
          </w:p>
        </w:tc>
      </w:tr>
      <w:tr w:rsidR="00CA6C8C" w:rsidRPr="00A71B25" w14:paraId="4F440E8E" w14:textId="77777777" w:rsidTr="00355194">
        <w:trPr>
          <w:jc w:val="center"/>
        </w:trPr>
        <w:tc>
          <w:tcPr>
            <w:tcW w:w="2835" w:type="dxa"/>
            <w:shd w:val="clear" w:color="auto" w:fill="auto"/>
          </w:tcPr>
          <w:p w14:paraId="35EA6203" w14:textId="77777777" w:rsidR="00CA6C8C" w:rsidRPr="00A71B25" w:rsidRDefault="00CA6C8C" w:rsidP="00CA6C8C">
            <w:pPr>
              <w:widowControl w:val="0"/>
              <w:autoSpaceDE w:val="0"/>
              <w:autoSpaceDN w:val="0"/>
              <w:adjustRightInd w:val="0"/>
              <w:jc w:val="center"/>
              <w:rPr>
                <w:sz w:val="20"/>
                <w:szCs w:val="20"/>
              </w:rPr>
            </w:pPr>
            <w:r w:rsidRPr="00A71B25">
              <w:rPr>
                <w:sz w:val="20"/>
                <w:szCs w:val="20"/>
              </w:rPr>
              <w:t>Term loan</w:t>
            </w:r>
          </w:p>
        </w:tc>
        <w:tc>
          <w:tcPr>
            <w:tcW w:w="1223" w:type="dxa"/>
            <w:tcBorders>
              <w:top w:val="nil"/>
              <w:left w:val="nil"/>
              <w:bottom w:val="nil"/>
              <w:right w:val="nil"/>
            </w:tcBorders>
            <w:vAlign w:val="center"/>
          </w:tcPr>
          <w:p w14:paraId="7BBEE7C0"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0.028</w:t>
            </w:r>
            <w:r w:rsidRPr="005E2916">
              <w:rPr>
                <w:sz w:val="20"/>
                <w:szCs w:val="20"/>
                <w:vertAlign w:val="superscript"/>
              </w:rPr>
              <w:t>***</w:t>
            </w:r>
          </w:p>
        </w:tc>
        <w:tc>
          <w:tcPr>
            <w:tcW w:w="1081" w:type="dxa"/>
            <w:tcBorders>
              <w:top w:val="nil"/>
              <w:left w:val="nil"/>
              <w:bottom w:val="nil"/>
              <w:right w:val="nil"/>
            </w:tcBorders>
            <w:vAlign w:val="center"/>
          </w:tcPr>
          <w:p w14:paraId="65CDA8B5"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0.745</w:t>
            </w:r>
            <w:r w:rsidRPr="005E2916">
              <w:rPr>
                <w:sz w:val="20"/>
                <w:szCs w:val="20"/>
                <w:vertAlign w:val="superscript"/>
              </w:rPr>
              <w:t>***</w:t>
            </w:r>
          </w:p>
        </w:tc>
        <w:tc>
          <w:tcPr>
            <w:tcW w:w="1081" w:type="dxa"/>
            <w:tcBorders>
              <w:top w:val="nil"/>
              <w:left w:val="nil"/>
              <w:bottom w:val="nil"/>
              <w:right w:val="nil"/>
            </w:tcBorders>
            <w:vAlign w:val="center"/>
          </w:tcPr>
          <w:p w14:paraId="1DCE209E"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0.028</w:t>
            </w:r>
            <w:r w:rsidRPr="005E2916">
              <w:rPr>
                <w:sz w:val="20"/>
                <w:szCs w:val="20"/>
                <w:vertAlign w:val="superscript"/>
              </w:rPr>
              <w:t>***</w:t>
            </w:r>
          </w:p>
        </w:tc>
        <w:tc>
          <w:tcPr>
            <w:tcW w:w="1223" w:type="dxa"/>
            <w:tcBorders>
              <w:top w:val="nil"/>
              <w:left w:val="nil"/>
              <w:bottom w:val="nil"/>
              <w:right w:val="nil"/>
            </w:tcBorders>
            <w:vAlign w:val="center"/>
          </w:tcPr>
          <w:p w14:paraId="07C6005A"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0.745</w:t>
            </w:r>
            <w:r w:rsidRPr="005E2916">
              <w:rPr>
                <w:sz w:val="20"/>
                <w:szCs w:val="20"/>
                <w:vertAlign w:val="superscript"/>
              </w:rPr>
              <w:t>***</w:t>
            </w:r>
          </w:p>
        </w:tc>
        <w:tc>
          <w:tcPr>
            <w:tcW w:w="1223" w:type="dxa"/>
            <w:tcBorders>
              <w:top w:val="nil"/>
              <w:left w:val="nil"/>
              <w:bottom w:val="nil"/>
              <w:right w:val="nil"/>
            </w:tcBorders>
            <w:vAlign w:val="center"/>
          </w:tcPr>
          <w:p w14:paraId="520843F4"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0.028</w:t>
            </w:r>
            <w:r w:rsidRPr="005E2916">
              <w:rPr>
                <w:sz w:val="20"/>
                <w:szCs w:val="20"/>
                <w:vertAlign w:val="superscript"/>
              </w:rPr>
              <w:t>***</w:t>
            </w:r>
          </w:p>
        </w:tc>
        <w:tc>
          <w:tcPr>
            <w:tcW w:w="1081" w:type="dxa"/>
            <w:tcBorders>
              <w:top w:val="nil"/>
              <w:left w:val="nil"/>
              <w:bottom w:val="nil"/>
              <w:right w:val="nil"/>
            </w:tcBorders>
            <w:vAlign w:val="center"/>
          </w:tcPr>
          <w:p w14:paraId="2223B784"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0.744</w:t>
            </w:r>
            <w:r w:rsidRPr="005E2916">
              <w:rPr>
                <w:sz w:val="20"/>
                <w:szCs w:val="20"/>
                <w:vertAlign w:val="superscript"/>
              </w:rPr>
              <w:t>***</w:t>
            </w:r>
          </w:p>
        </w:tc>
      </w:tr>
      <w:tr w:rsidR="00CA6C8C" w:rsidRPr="00A71B25" w14:paraId="3F8E2955" w14:textId="77777777" w:rsidTr="00355194">
        <w:trPr>
          <w:jc w:val="center"/>
        </w:trPr>
        <w:tc>
          <w:tcPr>
            <w:tcW w:w="2835" w:type="dxa"/>
            <w:shd w:val="clear" w:color="auto" w:fill="auto"/>
          </w:tcPr>
          <w:p w14:paraId="00EF41FE" w14:textId="77777777" w:rsidR="00CA6C8C" w:rsidRPr="00A71B25" w:rsidRDefault="00CA6C8C" w:rsidP="00CA6C8C">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75C37008"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(0.01)</w:t>
            </w:r>
          </w:p>
        </w:tc>
        <w:tc>
          <w:tcPr>
            <w:tcW w:w="1081" w:type="dxa"/>
            <w:tcBorders>
              <w:top w:val="nil"/>
              <w:left w:val="nil"/>
              <w:bottom w:val="nil"/>
              <w:right w:val="nil"/>
            </w:tcBorders>
            <w:vAlign w:val="center"/>
          </w:tcPr>
          <w:p w14:paraId="65ADDD0A"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(0.07)</w:t>
            </w:r>
          </w:p>
        </w:tc>
        <w:tc>
          <w:tcPr>
            <w:tcW w:w="1081" w:type="dxa"/>
            <w:tcBorders>
              <w:top w:val="nil"/>
              <w:left w:val="nil"/>
              <w:bottom w:val="nil"/>
              <w:right w:val="nil"/>
            </w:tcBorders>
            <w:vAlign w:val="center"/>
          </w:tcPr>
          <w:p w14:paraId="5A05B0DB"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(0.01)</w:t>
            </w:r>
          </w:p>
        </w:tc>
        <w:tc>
          <w:tcPr>
            <w:tcW w:w="1223" w:type="dxa"/>
            <w:tcBorders>
              <w:top w:val="nil"/>
              <w:left w:val="nil"/>
              <w:bottom w:val="nil"/>
              <w:right w:val="nil"/>
            </w:tcBorders>
            <w:vAlign w:val="center"/>
          </w:tcPr>
          <w:p w14:paraId="275EB4CD"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(0.05)</w:t>
            </w:r>
          </w:p>
        </w:tc>
        <w:tc>
          <w:tcPr>
            <w:tcW w:w="1223" w:type="dxa"/>
            <w:tcBorders>
              <w:top w:val="nil"/>
              <w:left w:val="nil"/>
              <w:bottom w:val="nil"/>
              <w:right w:val="nil"/>
            </w:tcBorders>
            <w:vAlign w:val="center"/>
          </w:tcPr>
          <w:p w14:paraId="774ADDE2"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(0.01)</w:t>
            </w:r>
          </w:p>
        </w:tc>
        <w:tc>
          <w:tcPr>
            <w:tcW w:w="1081" w:type="dxa"/>
            <w:tcBorders>
              <w:top w:val="nil"/>
              <w:left w:val="nil"/>
              <w:bottom w:val="nil"/>
              <w:right w:val="nil"/>
            </w:tcBorders>
            <w:vAlign w:val="center"/>
          </w:tcPr>
          <w:p w14:paraId="0E2F16E6"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(0.07)</w:t>
            </w:r>
          </w:p>
        </w:tc>
      </w:tr>
      <w:tr w:rsidR="00CA6C8C" w:rsidRPr="00A71B25" w14:paraId="764CE9A5" w14:textId="77777777" w:rsidTr="00355194">
        <w:trPr>
          <w:jc w:val="center"/>
        </w:trPr>
        <w:tc>
          <w:tcPr>
            <w:tcW w:w="2835" w:type="dxa"/>
            <w:shd w:val="clear" w:color="auto" w:fill="auto"/>
          </w:tcPr>
          <w:p w14:paraId="4BD4690F" w14:textId="77777777" w:rsidR="00CA6C8C" w:rsidRPr="00A71B25" w:rsidRDefault="00CA6C8C" w:rsidP="00CA6C8C">
            <w:pPr>
              <w:widowControl w:val="0"/>
              <w:autoSpaceDE w:val="0"/>
              <w:autoSpaceDN w:val="0"/>
              <w:adjustRightInd w:val="0"/>
              <w:jc w:val="center"/>
              <w:rPr>
                <w:sz w:val="20"/>
                <w:szCs w:val="20"/>
              </w:rPr>
            </w:pPr>
            <w:r w:rsidRPr="00A71B25">
              <w:rPr>
                <w:sz w:val="20"/>
                <w:szCs w:val="20"/>
              </w:rPr>
              <w:t>Revolver</w:t>
            </w:r>
          </w:p>
        </w:tc>
        <w:tc>
          <w:tcPr>
            <w:tcW w:w="1223" w:type="dxa"/>
            <w:tcBorders>
              <w:top w:val="nil"/>
              <w:left w:val="nil"/>
              <w:bottom w:val="nil"/>
              <w:right w:val="nil"/>
            </w:tcBorders>
            <w:vAlign w:val="center"/>
          </w:tcPr>
          <w:p w14:paraId="2ECF53B8"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-0.005</w:t>
            </w:r>
          </w:p>
        </w:tc>
        <w:tc>
          <w:tcPr>
            <w:tcW w:w="1081" w:type="dxa"/>
            <w:tcBorders>
              <w:top w:val="nil"/>
              <w:left w:val="nil"/>
              <w:bottom w:val="nil"/>
              <w:right w:val="nil"/>
            </w:tcBorders>
            <w:vAlign w:val="center"/>
          </w:tcPr>
          <w:p w14:paraId="62CB8991"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-0.105</w:t>
            </w:r>
          </w:p>
        </w:tc>
        <w:tc>
          <w:tcPr>
            <w:tcW w:w="1081" w:type="dxa"/>
            <w:tcBorders>
              <w:top w:val="nil"/>
              <w:left w:val="nil"/>
              <w:bottom w:val="nil"/>
              <w:right w:val="nil"/>
            </w:tcBorders>
            <w:vAlign w:val="center"/>
          </w:tcPr>
          <w:p w14:paraId="356963B5"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-0.005</w:t>
            </w:r>
          </w:p>
        </w:tc>
        <w:tc>
          <w:tcPr>
            <w:tcW w:w="1223" w:type="dxa"/>
            <w:tcBorders>
              <w:top w:val="nil"/>
              <w:left w:val="nil"/>
              <w:bottom w:val="nil"/>
              <w:right w:val="nil"/>
            </w:tcBorders>
            <w:vAlign w:val="center"/>
          </w:tcPr>
          <w:p w14:paraId="2722DD0A"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-0.105</w:t>
            </w:r>
            <w:r w:rsidRPr="005E2916">
              <w:rPr>
                <w:sz w:val="20"/>
                <w:szCs w:val="20"/>
                <w:vertAlign w:val="superscript"/>
              </w:rPr>
              <w:t>*</w:t>
            </w:r>
          </w:p>
        </w:tc>
        <w:tc>
          <w:tcPr>
            <w:tcW w:w="1223" w:type="dxa"/>
            <w:tcBorders>
              <w:top w:val="nil"/>
              <w:left w:val="nil"/>
              <w:bottom w:val="nil"/>
              <w:right w:val="nil"/>
            </w:tcBorders>
            <w:vAlign w:val="center"/>
          </w:tcPr>
          <w:p w14:paraId="7F868AA4"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-0.005</w:t>
            </w:r>
          </w:p>
        </w:tc>
        <w:tc>
          <w:tcPr>
            <w:tcW w:w="1081" w:type="dxa"/>
            <w:tcBorders>
              <w:top w:val="nil"/>
              <w:left w:val="nil"/>
              <w:bottom w:val="nil"/>
              <w:right w:val="nil"/>
            </w:tcBorders>
            <w:vAlign w:val="center"/>
          </w:tcPr>
          <w:p w14:paraId="6781B6C1"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-0.105</w:t>
            </w:r>
          </w:p>
        </w:tc>
      </w:tr>
      <w:tr w:rsidR="00CA6C8C" w:rsidRPr="00A71B25" w14:paraId="7AB3FCB9" w14:textId="77777777" w:rsidTr="00355194">
        <w:trPr>
          <w:jc w:val="center"/>
        </w:trPr>
        <w:tc>
          <w:tcPr>
            <w:tcW w:w="2835" w:type="dxa"/>
            <w:shd w:val="clear" w:color="auto" w:fill="auto"/>
          </w:tcPr>
          <w:p w14:paraId="7FAC4F7B" w14:textId="77777777" w:rsidR="00CA6C8C" w:rsidRPr="00A71B25" w:rsidRDefault="00CA6C8C" w:rsidP="00CA6C8C">
            <w:pPr>
              <w:widowControl w:val="0"/>
              <w:autoSpaceDE w:val="0"/>
              <w:autoSpaceDN w:val="0"/>
              <w:adjustRightInd w:val="0"/>
              <w:jc w:val="center"/>
              <w:rPr>
                <w:sz w:val="20"/>
                <w:szCs w:val="20"/>
              </w:rPr>
            </w:pPr>
          </w:p>
        </w:tc>
        <w:tc>
          <w:tcPr>
            <w:tcW w:w="1223" w:type="dxa"/>
            <w:tcBorders>
              <w:top w:val="nil"/>
              <w:left w:val="nil"/>
              <w:bottom w:val="single" w:sz="4" w:space="0" w:color="auto"/>
              <w:right w:val="nil"/>
            </w:tcBorders>
            <w:vAlign w:val="center"/>
          </w:tcPr>
          <w:p w14:paraId="10721B4C"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w:t>
            </w:r>
          </w:p>
        </w:tc>
        <w:tc>
          <w:tcPr>
            <w:tcW w:w="1081" w:type="dxa"/>
            <w:tcBorders>
              <w:top w:val="nil"/>
              <w:left w:val="nil"/>
              <w:bottom w:val="single" w:sz="4" w:space="0" w:color="auto"/>
              <w:right w:val="nil"/>
            </w:tcBorders>
            <w:vAlign w:val="center"/>
          </w:tcPr>
          <w:p w14:paraId="048DDE99"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(0.07)</w:t>
            </w:r>
          </w:p>
        </w:tc>
        <w:tc>
          <w:tcPr>
            <w:tcW w:w="1081" w:type="dxa"/>
            <w:tcBorders>
              <w:top w:val="nil"/>
              <w:left w:val="nil"/>
              <w:bottom w:val="single" w:sz="4" w:space="0" w:color="auto"/>
              <w:right w:val="nil"/>
            </w:tcBorders>
            <w:vAlign w:val="center"/>
          </w:tcPr>
          <w:p w14:paraId="51A13899"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w:t>
            </w:r>
          </w:p>
        </w:tc>
        <w:tc>
          <w:tcPr>
            <w:tcW w:w="1223" w:type="dxa"/>
            <w:tcBorders>
              <w:top w:val="nil"/>
              <w:left w:val="nil"/>
              <w:bottom w:val="single" w:sz="4" w:space="0" w:color="auto"/>
              <w:right w:val="nil"/>
            </w:tcBorders>
            <w:vAlign w:val="center"/>
          </w:tcPr>
          <w:p w14:paraId="31051515"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(0.06)</w:t>
            </w:r>
          </w:p>
        </w:tc>
        <w:tc>
          <w:tcPr>
            <w:tcW w:w="1223" w:type="dxa"/>
            <w:tcBorders>
              <w:top w:val="nil"/>
              <w:left w:val="nil"/>
              <w:bottom w:val="single" w:sz="4" w:space="0" w:color="auto"/>
              <w:right w:val="nil"/>
            </w:tcBorders>
            <w:vAlign w:val="center"/>
          </w:tcPr>
          <w:p w14:paraId="2B0695C1"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(0.00)</w:t>
            </w:r>
          </w:p>
        </w:tc>
        <w:tc>
          <w:tcPr>
            <w:tcW w:w="1081" w:type="dxa"/>
            <w:tcBorders>
              <w:top w:val="nil"/>
              <w:left w:val="nil"/>
              <w:bottom w:val="single" w:sz="4" w:space="0" w:color="auto"/>
              <w:right w:val="nil"/>
            </w:tcBorders>
            <w:vAlign w:val="center"/>
          </w:tcPr>
          <w:p w14:paraId="36ABDFC3" w14:textId="77777777" w:rsidR="00CA6C8C" w:rsidRPr="00A71B25" w:rsidRDefault="00CA6C8C" w:rsidP="00355194">
            <w:pPr>
              <w:widowControl w:val="0"/>
              <w:autoSpaceDE w:val="0"/>
              <w:autoSpaceDN w:val="0"/>
              <w:adjustRightInd w:val="0"/>
              <w:jc w:val="center"/>
              <w:rPr>
                <w:sz w:val="20"/>
                <w:szCs w:val="20"/>
              </w:rPr>
            </w:pPr>
            <w:r w:rsidRPr="005E2916">
              <w:rPr>
                <w:sz w:val="20"/>
                <w:szCs w:val="20"/>
              </w:rPr>
              <w:t>(0.07)</w:t>
            </w:r>
          </w:p>
        </w:tc>
      </w:tr>
      <w:tr w:rsidR="00CA6C8C" w:rsidRPr="00A71B25" w14:paraId="4DE2BFFC" w14:textId="77777777" w:rsidTr="00A71B25">
        <w:trPr>
          <w:jc w:val="center"/>
        </w:trPr>
        <w:tc>
          <w:tcPr>
            <w:tcW w:w="2835" w:type="dxa"/>
            <w:shd w:val="clear" w:color="auto" w:fill="auto"/>
          </w:tcPr>
          <w:p w14:paraId="65F350F2" w14:textId="77777777" w:rsidR="00CA6C8C" w:rsidRPr="00A71B25" w:rsidRDefault="00CA6C8C" w:rsidP="00CA6C8C">
            <w:pPr>
              <w:widowControl w:val="0"/>
              <w:autoSpaceDE w:val="0"/>
              <w:autoSpaceDN w:val="0"/>
              <w:adjustRightInd w:val="0"/>
              <w:jc w:val="center"/>
              <w:rPr>
                <w:sz w:val="20"/>
                <w:szCs w:val="20"/>
              </w:rPr>
            </w:pPr>
            <w:r w:rsidRPr="00A71B25">
              <w:rPr>
                <w:sz w:val="20"/>
                <w:szCs w:val="20"/>
              </w:rPr>
              <w:t>Controls</w:t>
            </w:r>
          </w:p>
        </w:tc>
        <w:tc>
          <w:tcPr>
            <w:tcW w:w="1223" w:type="dxa"/>
            <w:tcBorders>
              <w:top w:val="single" w:sz="4" w:space="0" w:color="auto"/>
            </w:tcBorders>
            <w:shd w:val="clear" w:color="auto" w:fill="auto"/>
            <w:vAlign w:val="center"/>
          </w:tcPr>
          <w:p w14:paraId="42754AFA"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Yes</w:t>
            </w:r>
          </w:p>
        </w:tc>
        <w:tc>
          <w:tcPr>
            <w:tcW w:w="1081" w:type="dxa"/>
            <w:tcBorders>
              <w:top w:val="single" w:sz="4" w:space="0" w:color="auto"/>
            </w:tcBorders>
            <w:shd w:val="clear" w:color="auto" w:fill="auto"/>
            <w:vAlign w:val="center"/>
          </w:tcPr>
          <w:p w14:paraId="28CA245A"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Yes</w:t>
            </w:r>
          </w:p>
        </w:tc>
        <w:tc>
          <w:tcPr>
            <w:tcW w:w="1081" w:type="dxa"/>
            <w:tcBorders>
              <w:top w:val="single" w:sz="4" w:space="0" w:color="auto"/>
            </w:tcBorders>
            <w:shd w:val="clear" w:color="auto" w:fill="auto"/>
            <w:vAlign w:val="center"/>
          </w:tcPr>
          <w:p w14:paraId="6DE147C4"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Yes</w:t>
            </w:r>
          </w:p>
        </w:tc>
        <w:tc>
          <w:tcPr>
            <w:tcW w:w="1223" w:type="dxa"/>
            <w:tcBorders>
              <w:top w:val="single" w:sz="4" w:space="0" w:color="auto"/>
            </w:tcBorders>
            <w:shd w:val="clear" w:color="auto" w:fill="auto"/>
            <w:vAlign w:val="center"/>
          </w:tcPr>
          <w:p w14:paraId="768B1772"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Yes</w:t>
            </w:r>
          </w:p>
        </w:tc>
        <w:tc>
          <w:tcPr>
            <w:tcW w:w="1223" w:type="dxa"/>
            <w:tcBorders>
              <w:top w:val="single" w:sz="4" w:space="0" w:color="auto"/>
            </w:tcBorders>
            <w:shd w:val="clear" w:color="auto" w:fill="auto"/>
            <w:vAlign w:val="center"/>
          </w:tcPr>
          <w:p w14:paraId="510F6A52"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Yes</w:t>
            </w:r>
          </w:p>
        </w:tc>
        <w:tc>
          <w:tcPr>
            <w:tcW w:w="1081" w:type="dxa"/>
            <w:tcBorders>
              <w:top w:val="single" w:sz="4" w:space="0" w:color="auto"/>
            </w:tcBorders>
            <w:shd w:val="clear" w:color="auto" w:fill="auto"/>
            <w:vAlign w:val="center"/>
          </w:tcPr>
          <w:p w14:paraId="576EBA02" w14:textId="77777777" w:rsidR="00CA6C8C" w:rsidRPr="00A71B25" w:rsidRDefault="00CA6C8C" w:rsidP="00CA6C8C">
            <w:pPr>
              <w:widowControl w:val="0"/>
              <w:autoSpaceDE w:val="0"/>
              <w:autoSpaceDN w:val="0"/>
              <w:adjustRightInd w:val="0"/>
              <w:jc w:val="center"/>
              <w:rPr>
                <w:sz w:val="20"/>
                <w:szCs w:val="20"/>
              </w:rPr>
            </w:pPr>
            <w:r w:rsidRPr="00A71B25">
              <w:rPr>
                <w:rFonts w:eastAsia="DengXian"/>
                <w:sz w:val="20"/>
                <w:szCs w:val="20"/>
                <w:lang w:eastAsia="zh-CN"/>
              </w:rPr>
              <w:t>Yes</w:t>
            </w:r>
          </w:p>
        </w:tc>
      </w:tr>
      <w:tr w:rsidR="00CA6C8C" w:rsidRPr="00A71B25" w14:paraId="48F7777E" w14:textId="77777777" w:rsidTr="00CA6C8C">
        <w:trPr>
          <w:jc w:val="center"/>
        </w:trPr>
        <w:tc>
          <w:tcPr>
            <w:tcW w:w="2835" w:type="dxa"/>
            <w:shd w:val="clear" w:color="auto" w:fill="auto"/>
          </w:tcPr>
          <w:p w14:paraId="0EEBF78C"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Year FE</w:t>
            </w:r>
          </w:p>
        </w:tc>
        <w:tc>
          <w:tcPr>
            <w:tcW w:w="1223" w:type="dxa"/>
            <w:shd w:val="clear" w:color="auto" w:fill="auto"/>
          </w:tcPr>
          <w:p w14:paraId="0D8476E7"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2DD22282"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71829D9B"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3AE52EFB"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05482DC7" w14:textId="77777777" w:rsidR="00CA6C8C" w:rsidRPr="00A71B25" w:rsidRDefault="00CA6C8C" w:rsidP="00CA6C8C">
            <w:pPr>
              <w:widowControl w:val="0"/>
              <w:autoSpaceDE w:val="0"/>
              <w:autoSpaceDN w:val="0"/>
              <w:adjustRightInd w:val="0"/>
              <w:jc w:val="center"/>
              <w:rPr>
                <w:sz w:val="20"/>
                <w:szCs w:val="20"/>
              </w:rPr>
            </w:pPr>
            <w:r w:rsidRPr="0024505F">
              <w:rPr>
                <w:rFonts w:eastAsia="DengXian"/>
                <w:sz w:val="20"/>
                <w:szCs w:val="20"/>
                <w:lang w:eastAsia="zh-CN"/>
              </w:rPr>
              <w:t>Yes</w:t>
            </w:r>
          </w:p>
        </w:tc>
        <w:tc>
          <w:tcPr>
            <w:tcW w:w="1081" w:type="dxa"/>
            <w:shd w:val="clear" w:color="auto" w:fill="auto"/>
          </w:tcPr>
          <w:p w14:paraId="3D10CF8F"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r>
      <w:tr w:rsidR="00CA6C8C" w:rsidRPr="00A71B25" w14:paraId="178ECE4F" w14:textId="77777777" w:rsidTr="00CA6C8C">
        <w:trPr>
          <w:jc w:val="center"/>
        </w:trPr>
        <w:tc>
          <w:tcPr>
            <w:tcW w:w="2835" w:type="dxa"/>
            <w:shd w:val="clear" w:color="auto" w:fill="auto"/>
          </w:tcPr>
          <w:p w14:paraId="58AFEEBE"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Borrower sector FE</w:t>
            </w:r>
          </w:p>
        </w:tc>
        <w:tc>
          <w:tcPr>
            <w:tcW w:w="1223" w:type="dxa"/>
          </w:tcPr>
          <w:p w14:paraId="7066E449"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081" w:type="dxa"/>
          </w:tcPr>
          <w:p w14:paraId="3650A8A0"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081" w:type="dxa"/>
          </w:tcPr>
          <w:p w14:paraId="4F61CF60"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223" w:type="dxa"/>
          </w:tcPr>
          <w:p w14:paraId="765D7A20"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223" w:type="dxa"/>
          </w:tcPr>
          <w:p w14:paraId="7B231F2C" w14:textId="77777777" w:rsidR="00CA6C8C" w:rsidRPr="00A71B25" w:rsidRDefault="00CA6C8C" w:rsidP="00CA6C8C">
            <w:pPr>
              <w:widowControl w:val="0"/>
              <w:autoSpaceDE w:val="0"/>
              <w:autoSpaceDN w:val="0"/>
              <w:adjustRightInd w:val="0"/>
              <w:jc w:val="center"/>
              <w:rPr>
                <w:sz w:val="20"/>
                <w:szCs w:val="20"/>
              </w:rPr>
            </w:pPr>
            <w:r w:rsidRPr="0024505F">
              <w:rPr>
                <w:rFonts w:eastAsia="DengXian"/>
                <w:sz w:val="20"/>
                <w:szCs w:val="20"/>
                <w:lang w:eastAsia="zh-CN"/>
              </w:rPr>
              <w:t>Yes</w:t>
            </w:r>
          </w:p>
        </w:tc>
        <w:tc>
          <w:tcPr>
            <w:tcW w:w="1081" w:type="dxa"/>
          </w:tcPr>
          <w:p w14:paraId="0D6FDD70"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r>
      <w:tr w:rsidR="00CA6C8C" w:rsidRPr="00A71B25" w14:paraId="730FB72C" w14:textId="77777777" w:rsidTr="00A71B25">
        <w:trPr>
          <w:jc w:val="center"/>
        </w:trPr>
        <w:tc>
          <w:tcPr>
            <w:tcW w:w="2835" w:type="dxa"/>
            <w:shd w:val="clear" w:color="auto" w:fill="auto"/>
          </w:tcPr>
          <w:p w14:paraId="5C8D5E27"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Bank FE</w:t>
            </w:r>
          </w:p>
        </w:tc>
        <w:tc>
          <w:tcPr>
            <w:tcW w:w="1223" w:type="dxa"/>
          </w:tcPr>
          <w:p w14:paraId="3661D383"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081" w:type="dxa"/>
          </w:tcPr>
          <w:p w14:paraId="61FC1E28"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081" w:type="dxa"/>
          </w:tcPr>
          <w:p w14:paraId="201DCF02"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223" w:type="dxa"/>
          </w:tcPr>
          <w:p w14:paraId="329B3779"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c>
          <w:tcPr>
            <w:tcW w:w="1223" w:type="dxa"/>
          </w:tcPr>
          <w:p w14:paraId="07ABFC32" w14:textId="77777777" w:rsidR="00CA6C8C" w:rsidRPr="00A71B25" w:rsidRDefault="00CA6C8C" w:rsidP="00CA6C8C">
            <w:pPr>
              <w:widowControl w:val="0"/>
              <w:autoSpaceDE w:val="0"/>
              <w:autoSpaceDN w:val="0"/>
              <w:adjustRightInd w:val="0"/>
              <w:jc w:val="center"/>
              <w:rPr>
                <w:sz w:val="20"/>
                <w:szCs w:val="20"/>
              </w:rPr>
            </w:pPr>
            <w:r w:rsidRPr="0024505F">
              <w:rPr>
                <w:rFonts w:eastAsia="DengXian"/>
                <w:sz w:val="20"/>
                <w:szCs w:val="20"/>
                <w:lang w:eastAsia="zh-CN"/>
              </w:rPr>
              <w:t>Yes</w:t>
            </w:r>
          </w:p>
        </w:tc>
        <w:tc>
          <w:tcPr>
            <w:tcW w:w="1081" w:type="dxa"/>
          </w:tcPr>
          <w:p w14:paraId="6BF6B878" w14:textId="77777777" w:rsidR="00CA6C8C" w:rsidRPr="00A71B25" w:rsidRDefault="00CA6C8C" w:rsidP="00CA6C8C">
            <w:pPr>
              <w:widowControl w:val="0"/>
              <w:autoSpaceDE w:val="0"/>
              <w:autoSpaceDN w:val="0"/>
              <w:adjustRightInd w:val="0"/>
              <w:jc w:val="center"/>
              <w:rPr>
                <w:sz w:val="20"/>
                <w:szCs w:val="20"/>
              </w:rPr>
            </w:pPr>
            <w:r w:rsidRPr="00070779">
              <w:rPr>
                <w:sz w:val="20"/>
                <w:szCs w:val="20"/>
              </w:rPr>
              <w:t>Yes</w:t>
            </w:r>
          </w:p>
        </w:tc>
      </w:tr>
      <w:tr w:rsidR="00CA6C8C" w:rsidRPr="00A71B25" w14:paraId="43B171CF" w14:textId="77777777" w:rsidTr="00CA6C8C">
        <w:trPr>
          <w:jc w:val="center"/>
        </w:trPr>
        <w:tc>
          <w:tcPr>
            <w:tcW w:w="2835" w:type="dxa"/>
            <w:shd w:val="clear" w:color="auto" w:fill="auto"/>
          </w:tcPr>
          <w:p w14:paraId="3CF2FC42" w14:textId="77777777" w:rsidR="00CA6C8C" w:rsidRPr="00A71B25" w:rsidRDefault="00CA6C8C" w:rsidP="00CA6C8C">
            <w:pPr>
              <w:widowControl w:val="0"/>
              <w:autoSpaceDE w:val="0"/>
              <w:autoSpaceDN w:val="0"/>
              <w:adjustRightInd w:val="0"/>
              <w:jc w:val="center"/>
              <w:rPr>
                <w:sz w:val="20"/>
                <w:szCs w:val="20"/>
              </w:rPr>
            </w:pPr>
            <w:r w:rsidRPr="00A71B25">
              <w:rPr>
                <w:sz w:val="20"/>
                <w:szCs w:val="20"/>
              </w:rPr>
              <w:t>Adjusted R2</w:t>
            </w:r>
          </w:p>
        </w:tc>
        <w:tc>
          <w:tcPr>
            <w:tcW w:w="1223" w:type="dxa"/>
            <w:tcBorders>
              <w:left w:val="nil"/>
              <w:bottom w:val="nil"/>
              <w:right w:val="nil"/>
            </w:tcBorders>
          </w:tcPr>
          <w:p w14:paraId="50C451C2" w14:textId="77777777" w:rsidR="00CA6C8C" w:rsidRPr="00A71B25" w:rsidRDefault="00CA6C8C" w:rsidP="00CA6C8C">
            <w:pPr>
              <w:widowControl w:val="0"/>
              <w:autoSpaceDE w:val="0"/>
              <w:autoSpaceDN w:val="0"/>
              <w:adjustRightInd w:val="0"/>
              <w:jc w:val="center"/>
              <w:rPr>
                <w:sz w:val="20"/>
                <w:szCs w:val="20"/>
              </w:rPr>
            </w:pPr>
            <w:r w:rsidRPr="005E2916">
              <w:rPr>
                <w:sz w:val="20"/>
                <w:szCs w:val="20"/>
              </w:rPr>
              <w:t>0.752</w:t>
            </w:r>
          </w:p>
        </w:tc>
        <w:tc>
          <w:tcPr>
            <w:tcW w:w="1081" w:type="dxa"/>
            <w:tcBorders>
              <w:left w:val="nil"/>
              <w:bottom w:val="nil"/>
              <w:right w:val="nil"/>
            </w:tcBorders>
          </w:tcPr>
          <w:p w14:paraId="16815AE4" w14:textId="77777777" w:rsidR="00CA6C8C" w:rsidRPr="00A71B25" w:rsidRDefault="00CA6C8C" w:rsidP="00CA6C8C">
            <w:pPr>
              <w:widowControl w:val="0"/>
              <w:autoSpaceDE w:val="0"/>
              <w:autoSpaceDN w:val="0"/>
              <w:adjustRightInd w:val="0"/>
              <w:jc w:val="center"/>
              <w:rPr>
                <w:sz w:val="20"/>
                <w:szCs w:val="20"/>
              </w:rPr>
            </w:pPr>
            <w:r>
              <w:rPr>
                <w:sz w:val="20"/>
                <w:szCs w:val="20"/>
              </w:rPr>
              <w:t>0.623</w:t>
            </w:r>
          </w:p>
        </w:tc>
        <w:tc>
          <w:tcPr>
            <w:tcW w:w="1081" w:type="dxa"/>
            <w:tcBorders>
              <w:left w:val="nil"/>
              <w:bottom w:val="nil"/>
              <w:right w:val="nil"/>
            </w:tcBorders>
          </w:tcPr>
          <w:p w14:paraId="7B88A761" w14:textId="77777777" w:rsidR="00CA6C8C" w:rsidRPr="00A71B25" w:rsidRDefault="00CA6C8C" w:rsidP="00CA6C8C">
            <w:pPr>
              <w:widowControl w:val="0"/>
              <w:autoSpaceDE w:val="0"/>
              <w:autoSpaceDN w:val="0"/>
              <w:adjustRightInd w:val="0"/>
              <w:jc w:val="center"/>
              <w:rPr>
                <w:sz w:val="20"/>
                <w:szCs w:val="20"/>
              </w:rPr>
            </w:pPr>
            <w:r w:rsidRPr="005E2916">
              <w:rPr>
                <w:sz w:val="20"/>
                <w:szCs w:val="20"/>
              </w:rPr>
              <w:t>0.753</w:t>
            </w:r>
          </w:p>
        </w:tc>
        <w:tc>
          <w:tcPr>
            <w:tcW w:w="1223" w:type="dxa"/>
            <w:tcBorders>
              <w:left w:val="nil"/>
              <w:bottom w:val="nil"/>
              <w:right w:val="nil"/>
            </w:tcBorders>
          </w:tcPr>
          <w:p w14:paraId="448A2A2D" w14:textId="77777777" w:rsidR="00CA6C8C" w:rsidRPr="00A71B25" w:rsidRDefault="00CA6C8C" w:rsidP="00CA6C8C">
            <w:pPr>
              <w:widowControl w:val="0"/>
              <w:autoSpaceDE w:val="0"/>
              <w:autoSpaceDN w:val="0"/>
              <w:adjustRightInd w:val="0"/>
              <w:jc w:val="center"/>
              <w:rPr>
                <w:sz w:val="20"/>
                <w:szCs w:val="20"/>
              </w:rPr>
            </w:pPr>
            <w:r>
              <w:rPr>
                <w:sz w:val="20"/>
                <w:szCs w:val="20"/>
              </w:rPr>
              <w:t>0.623</w:t>
            </w:r>
          </w:p>
        </w:tc>
        <w:tc>
          <w:tcPr>
            <w:tcW w:w="1223" w:type="dxa"/>
            <w:tcBorders>
              <w:left w:val="nil"/>
              <w:bottom w:val="nil"/>
              <w:right w:val="nil"/>
            </w:tcBorders>
          </w:tcPr>
          <w:p w14:paraId="0380D698" w14:textId="77777777" w:rsidR="00CA6C8C" w:rsidRPr="00A71B25" w:rsidRDefault="00CA6C8C" w:rsidP="00CA6C8C">
            <w:pPr>
              <w:widowControl w:val="0"/>
              <w:autoSpaceDE w:val="0"/>
              <w:autoSpaceDN w:val="0"/>
              <w:adjustRightInd w:val="0"/>
              <w:jc w:val="center"/>
              <w:rPr>
                <w:sz w:val="20"/>
                <w:szCs w:val="20"/>
              </w:rPr>
            </w:pPr>
            <w:r w:rsidRPr="005E2916">
              <w:rPr>
                <w:sz w:val="20"/>
                <w:szCs w:val="20"/>
              </w:rPr>
              <w:t>0.753</w:t>
            </w:r>
          </w:p>
        </w:tc>
        <w:tc>
          <w:tcPr>
            <w:tcW w:w="1081" w:type="dxa"/>
            <w:tcBorders>
              <w:left w:val="nil"/>
              <w:bottom w:val="nil"/>
              <w:right w:val="nil"/>
            </w:tcBorders>
          </w:tcPr>
          <w:p w14:paraId="00B53B52" w14:textId="77777777" w:rsidR="00CA6C8C" w:rsidRPr="00A71B25" w:rsidRDefault="00CA6C8C" w:rsidP="00CA6C8C">
            <w:pPr>
              <w:widowControl w:val="0"/>
              <w:autoSpaceDE w:val="0"/>
              <w:autoSpaceDN w:val="0"/>
              <w:adjustRightInd w:val="0"/>
              <w:jc w:val="center"/>
              <w:rPr>
                <w:sz w:val="20"/>
                <w:szCs w:val="20"/>
              </w:rPr>
            </w:pPr>
            <w:r>
              <w:rPr>
                <w:sz w:val="20"/>
                <w:szCs w:val="20"/>
              </w:rPr>
              <w:t>0.623</w:t>
            </w:r>
          </w:p>
        </w:tc>
      </w:tr>
      <w:tr w:rsidR="00CA6C8C" w:rsidRPr="00A71B25" w14:paraId="347F573B" w14:textId="77777777" w:rsidTr="00D912F2">
        <w:trPr>
          <w:jc w:val="center"/>
        </w:trPr>
        <w:tc>
          <w:tcPr>
            <w:tcW w:w="2835" w:type="dxa"/>
            <w:tcBorders>
              <w:bottom w:val="single" w:sz="4" w:space="0" w:color="auto"/>
            </w:tcBorders>
            <w:shd w:val="clear" w:color="auto" w:fill="auto"/>
          </w:tcPr>
          <w:p w14:paraId="0967F4CF" w14:textId="77777777" w:rsidR="00CA6C8C" w:rsidRPr="00A71B25" w:rsidRDefault="00CA6C8C" w:rsidP="00CA6C8C">
            <w:pPr>
              <w:widowControl w:val="0"/>
              <w:autoSpaceDE w:val="0"/>
              <w:autoSpaceDN w:val="0"/>
              <w:adjustRightInd w:val="0"/>
              <w:jc w:val="center"/>
              <w:rPr>
                <w:sz w:val="20"/>
                <w:szCs w:val="20"/>
              </w:rPr>
            </w:pPr>
            <w:r w:rsidRPr="00A71B25">
              <w:rPr>
                <w:sz w:val="20"/>
                <w:szCs w:val="20"/>
              </w:rPr>
              <w:t>Obs.</w:t>
            </w:r>
          </w:p>
        </w:tc>
        <w:tc>
          <w:tcPr>
            <w:tcW w:w="1223" w:type="dxa"/>
            <w:tcBorders>
              <w:top w:val="nil"/>
              <w:left w:val="nil"/>
              <w:bottom w:val="single" w:sz="4" w:space="0" w:color="auto"/>
              <w:right w:val="nil"/>
            </w:tcBorders>
          </w:tcPr>
          <w:p w14:paraId="742769A2" w14:textId="77777777" w:rsidR="00CA6C8C" w:rsidRPr="00A71B25" w:rsidRDefault="00CA6C8C" w:rsidP="00CA6C8C">
            <w:pPr>
              <w:widowControl w:val="0"/>
              <w:autoSpaceDE w:val="0"/>
              <w:autoSpaceDN w:val="0"/>
              <w:adjustRightInd w:val="0"/>
              <w:jc w:val="center"/>
              <w:rPr>
                <w:sz w:val="20"/>
                <w:szCs w:val="20"/>
              </w:rPr>
            </w:pPr>
            <w:r w:rsidRPr="005E2916">
              <w:rPr>
                <w:sz w:val="20"/>
                <w:szCs w:val="20"/>
              </w:rPr>
              <w:t>6228.000</w:t>
            </w:r>
          </w:p>
        </w:tc>
        <w:tc>
          <w:tcPr>
            <w:tcW w:w="1081" w:type="dxa"/>
            <w:tcBorders>
              <w:top w:val="nil"/>
              <w:left w:val="nil"/>
              <w:bottom w:val="single" w:sz="4" w:space="0" w:color="auto"/>
              <w:right w:val="nil"/>
            </w:tcBorders>
          </w:tcPr>
          <w:p w14:paraId="270C7426" w14:textId="77777777" w:rsidR="00CA6C8C" w:rsidRPr="00A71B25" w:rsidRDefault="00CA6C8C" w:rsidP="00CA6C8C">
            <w:pPr>
              <w:widowControl w:val="0"/>
              <w:autoSpaceDE w:val="0"/>
              <w:autoSpaceDN w:val="0"/>
              <w:adjustRightInd w:val="0"/>
              <w:jc w:val="center"/>
              <w:rPr>
                <w:sz w:val="20"/>
                <w:szCs w:val="20"/>
              </w:rPr>
            </w:pPr>
            <w:r w:rsidRPr="005E2916">
              <w:rPr>
                <w:sz w:val="20"/>
                <w:szCs w:val="20"/>
              </w:rPr>
              <w:t>6228.000</w:t>
            </w:r>
          </w:p>
        </w:tc>
        <w:tc>
          <w:tcPr>
            <w:tcW w:w="1081" w:type="dxa"/>
            <w:tcBorders>
              <w:top w:val="nil"/>
              <w:left w:val="nil"/>
              <w:bottom w:val="single" w:sz="4" w:space="0" w:color="auto"/>
              <w:right w:val="nil"/>
            </w:tcBorders>
          </w:tcPr>
          <w:p w14:paraId="23D098DE" w14:textId="77777777" w:rsidR="00CA6C8C" w:rsidRPr="00A71B25" w:rsidRDefault="00CA6C8C" w:rsidP="00CA6C8C">
            <w:pPr>
              <w:widowControl w:val="0"/>
              <w:autoSpaceDE w:val="0"/>
              <w:autoSpaceDN w:val="0"/>
              <w:adjustRightInd w:val="0"/>
              <w:jc w:val="center"/>
              <w:rPr>
                <w:sz w:val="20"/>
                <w:szCs w:val="20"/>
              </w:rPr>
            </w:pPr>
            <w:r w:rsidRPr="005E2916">
              <w:rPr>
                <w:sz w:val="20"/>
                <w:szCs w:val="20"/>
              </w:rPr>
              <w:t>6228.000</w:t>
            </w:r>
          </w:p>
        </w:tc>
        <w:tc>
          <w:tcPr>
            <w:tcW w:w="1223" w:type="dxa"/>
            <w:tcBorders>
              <w:top w:val="nil"/>
              <w:left w:val="nil"/>
              <w:bottom w:val="single" w:sz="4" w:space="0" w:color="auto"/>
              <w:right w:val="nil"/>
            </w:tcBorders>
          </w:tcPr>
          <w:p w14:paraId="148545EE" w14:textId="77777777" w:rsidR="00CA6C8C" w:rsidRPr="00A71B25" w:rsidRDefault="00CA6C8C" w:rsidP="00CA6C8C">
            <w:pPr>
              <w:widowControl w:val="0"/>
              <w:autoSpaceDE w:val="0"/>
              <w:autoSpaceDN w:val="0"/>
              <w:adjustRightInd w:val="0"/>
              <w:jc w:val="center"/>
              <w:rPr>
                <w:sz w:val="20"/>
                <w:szCs w:val="20"/>
              </w:rPr>
            </w:pPr>
            <w:r w:rsidRPr="005E2916">
              <w:rPr>
                <w:sz w:val="20"/>
                <w:szCs w:val="20"/>
              </w:rPr>
              <w:t>6228.000</w:t>
            </w:r>
          </w:p>
        </w:tc>
        <w:tc>
          <w:tcPr>
            <w:tcW w:w="1223" w:type="dxa"/>
            <w:tcBorders>
              <w:top w:val="nil"/>
              <w:left w:val="nil"/>
              <w:bottom w:val="single" w:sz="4" w:space="0" w:color="auto"/>
              <w:right w:val="nil"/>
            </w:tcBorders>
          </w:tcPr>
          <w:p w14:paraId="57D887A9" w14:textId="77777777" w:rsidR="00CA6C8C" w:rsidRPr="00A71B25" w:rsidRDefault="00CA6C8C" w:rsidP="00CA6C8C">
            <w:pPr>
              <w:widowControl w:val="0"/>
              <w:autoSpaceDE w:val="0"/>
              <w:autoSpaceDN w:val="0"/>
              <w:adjustRightInd w:val="0"/>
              <w:jc w:val="center"/>
              <w:rPr>
                <w:sz w:val="20"/>
                <w:szCs w:val="20"/>
              </w:rPr>
            </w:pPr>
            <w:r w:rsidRPr="005E2916">
              <w:rPr>
                <w:sz w:val="20"/>
                <w:szCs w:val="20"/>
              </w:rPr>
              <w:t>6228.000</w:t>
            </w:r>
          </w:p>
        </w:tc>
        <w:tc>
          <w:tcPr>
            <w:tcW w:w="1081" w:type="dxa"/>
            <w:tcBorders>
              <w:top w:val="nil"/>
              <w:left w:val="nil"/>
              <w:bottom w:val="single" w:sz="4" w:space="0" w:color="auto"/>
              <w:right w:val="nil"/>
            </w:tcBorders>
          </w:tcPr>
          <w:p w14:paraId="28D9542F" w14:textId="77777777" w:rsidR="00CA6C8C" w:rsidRPr="00A71B25" w:rsidRDefault="00CA6C8C" w:rsidP="00CA6C8C">
            <w:pPr>
              <w:widowControl w:val="0"/>
              <w:autoSpaceDE w:val="0"/>
              <w:autoSpaceDN w:val="0"/>
              <w:adjustRightInd w:val="0"/>
              <w:jc w:val="center"/>
              <w:rPr>
                <w:sz w:val="20"/>
                <w:szCs w:val="20"/>
              </w:rPr>
            </w:pPr>
            <w:r w:rsidRPr="005E2916">
              <w:rPr>
                <w:sz w:val="20"/>
                <w:szCs w:val="20"/>
              </w:rPr>
              <w:t>6228.000</w:t>
            </w:r>
          </w:p>
        </w:tc>
      </w:tr>
      <w:tr w:rsidR="00CA6C8C" w:rsidRPr="00A71B25" w14:paraId="4D252851" w14:textId="77777777" w:rsidTr="00A71B25">
        <w:trPr>
          <w:trHeight w:val="58"/>
          <w:jc w:val="center"/>
        </w:trPr>
        <w:tc>
          <w:tcPr>
            <w:tcW w:w="2835" w:type="dxa"/>
            <w:tcBorders>
              <w:top w:val="single" w:sz="4" w:space="0" w:color="auto"/>
            </w:tcBorders>
            <w:shd w:val="clear" w:color="auto" w:fill="auto"/>
          </w:tcPr>
          <w:p w14:paraId="14424934" w14:textId="77777777" w:rsidR="00CA6C8C" w:rsidRPr="00A71B25" w:rsidRDefault="00CA6C8C" w:rsidP="00CA6C8C">
            <w:pPr>
              <w:widowControl w:val="0"/>
              <w:autoSpaceDE w:val="0"/>
              <w:autoSpaceDN w:val="0"/>
              <w:adjustRightInd w:val="0"/>
              <w:jc w:val="center"/>
              <w:rPr>
                <w:sz w:val="20"/>
                <w:szCs w:val="20"/>
              </w:rPr>
            </w:pPr>
            <w:r w:rsidRPr="00A71B25">
              <w:rPr>
                <w:b/>
                <w:bCs/>
                <w:sz w:val="20"/>
                <w:szCs w:val="20"/>
              </w:rPr>
              <w:t>Panel C: Covenant index</w:t>
            </w:r>
          </w:p>
        </w:tc>
        <w:tc>
          <w:tcPr>
            <w:tcW w:w="6912" w:type="dxa"/>
            <w:gridSpan w:val="6"/>
            <w:tcBorders>
              <w:top w:val="single" w:sz="4" w:space="0" w:color="auto"/>
              <w:bottom w:val="single" w:sz="4" w:space="0" w:color="auto"/>
            </w:tcBorders>
            <w:shd w:val="clear" w:color="auto" w:fill="auto"/>
          </w:tcPr>
          <w:p w14:paraId="4DFF1067" w14:textId="77777777" w:rsidR="00CA6C8C" w:rsidRPr="00A71B25" w:rsidRDefault="00CA6C8C" w:rsidP="00CA6C8C">
            <w:pPr>
              <w:widowControl w:val="0"/>
              <w:autoSpaceDE w:val="0"/>
              <w:autoSpaceDN w:val="0"/>
              <w:adjustRightInd w:val="0"/>
              <w:jc w:val="center"/>
              <w:rPr>
                <w:sz w:val="20"/>
                <w:szCs w:val="20"/>
              </w:rPr>
            </w:pPr>
          </w:p>
        </w:tc>
      </w:tr>
      <w:tr w:rsidR="00355194" w:rsidRPr="00A71B25" w14:paraId="1B15F28C" w14:textId="77777777" w:rsidTr="00355194">
        <w:trPr>
          <w:jc w:val="center"/>
        </w:trPr>
        <w:tc>
          <w:tcPr>
            <w:tcW w:w="2835" w:type="dxa"/>
            <w:shd w:val="clear" w:color="auto" w:fill="auto"/>
            <w:vAlign w:val="center"/>
          </w:tcPr>
          <w:p w14:paraId="258890A8"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Syndicate reputation: lead to participant</w:t>
            </w:r>
          </w:p>
        </w:tc>
        <w:tc>
          <w:tcPr>
            <w:tcW w:w="1223" w:type="dxa"/>
            <w:tcBorders>
              <w:top w:val="single" w:sz="4" w:space="0" w:color="auto"/>
              <w:left w:val="nil"/>
              <w:bottom w:val="nil"/>
              <w:right w:val="nil"/>
            </w:tcBorders>
            <w:vAlign w:val="center"/>
          </w:tcPr>
          <w:p w14:paraId="03223FB9"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-0.038</w:t>
            </w:r>
            <w:r w:rsidRPr="00C03819">
              <w:rPr>
                <w:sz w:val="20"/>
                <w:szCs w:val="20"/>
                <w:vertAlign w:val="superscript"/>
              </w:rPr>
              <w:t>***</w:t>
            </w:r>
          </w:p>
        </w:tc>
        <w:tc>
          <w:tcPr>
            <w:tcW w:w="1081" w:type="dxa"/>
            <w:tcBorders>
              <w:top w:val="single" w:sz="4" w:space="0" w:color="auto"/>
              <w:left w:val="nil"/>
              <w:bottom w:val="nil"/>
              <w:right w:val="nil"/>
            </w:tcBorders>
            <w:vAlign w:val="center"/>
          </w:tcPr>
          <w:p w14:paraId="53F342A5"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single" w:sz="4" w:space="0" w:color="auto"/>
              <w:left w:val="nil"/>
              <w:bottom w:val="nil"/>
              <w:right w:val="nil"/>
            </w:tcBorders>
            <w:vAlign w:val="center"/>
          </w:tcPr>
          <w:p w14:paraId="365094C1"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-0.037</w:t>
            </w:r>
            <w:r w:rsidRPr="00C03819">
              <w:rPr>
                <w:sz w:val="20"/>
                <w:szCs w:val="20"/>
                <w:vertAlign w:val="superscript"/>
              </w:rPr>
              <w:t>***</w:t>
            </w:r>
          </w:p>
        </w:tc>
        <w:tc>
          <w:tcPr>
            <w:tcW w:w="1223" w:type="dxa"/>
            <w:tcBorders>
              <w:top w:val="single" w:sz="4" w:space="0" w:color="auto"/>
              <w:left w:val="nil"/>
              <w:bottom w:val="nil"/>
              <w:right w:val="nil"/>
            </w:tcBorders>
            <w:vAlign w:val="center"/>
          </w:tcPr>
          <w:p w14:paraId="4C676E4E"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single" w:sz="4" w:space="0" w:color="auto"/>
              <w:left w:val="nil"/>
              <w:bottom w:val="nil"/>
              <w:right w:val="nil"/>
            </w:tcBorders>
            <w:vAlign w:val="center"/>
          </w:tcPr>
          <w:p w14:paraId="36FF7709"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-0.037</w:t>
            </w:r>
            <w:r w:rsidRPr="00C03819">
              <w:rPr>
                <w:sz w:val="20"/>
                <w:szCs w:val="20"/>
                <w:vertAlign w:val="superscript"/>
              </w:rPr>
              <w:t>***</w:t>
            </w:r>
          </w:p>
        </w:tc>
        <w:tc>
          <w:tcPr>
            <w:tcW w:w="1081" w:type="dxa"/>
            <w:tcBorders>
              <w:top w:val="single" w:sz="4" w:space="0" w:color="auto"/>
              <w:left w:val="nil"/>
              <w:bottom w:val="nil"/>
              <w:right w:val="nil"/>
            </w:tcBorders>
            <w:vAlign w:val="center"/>
          </w:tcPr>
          <w:p w14:paraId="01865FCD" w14:textId="77777777" w:rsidR="00355194" w:rsidRPr="00A71B25" w:rsidRDefault="00355194" w:rsidP="00355194">
            <w:pPr>
              <w:widowControl w:val="0"/>
              <w:autoSpaceDE w:val="0"/>
              <w:autoSpaceDN w:val="0"/>
              <w:adjustRightInd w:val="0"/>
              <w:jc w:val="center"/>
              <w:rPr>
                <w:sz w:val="20"/>
                <w:szCs w:val="20"/>
              </w:rPr>
            </w:pPr>
          </w:p>
        </w:tc>
      </w:tr>
      <w:tr w:rsidR="00355194" w:rsidRPr="00A71B25" w14:paraId="5CE71D24" w14:textId="77777777" w:rsidTr="00355194">
        <w:trPr>
          <w:jc w:val="center"/>
        </w:trPr>
        <w:tc>
          <w:tcPr>
            <w:tcW w:w="2835" w:type="dxa"/>
            <w:shd w:val="clear" w:color="auto" w:fill="auto"/>
            <w:vAlign w:val="center"/>
          </w:tcPr>
          <w:p w14:paraId="3406ABBE"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7EF776EB"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w:t>
            </w:r>
          </w:p>
        </w:tc>
        <w:tc>
          <w:tcPr>
            <w:tcW w:w="1081" w:type="dxa"/>
            <w:tcBorders>
              <w:top w:val="nil"/>
              <w:left w:val="nil"/>
              <w:bottom w:val="nil"/>
              <w:right w:val="nil"/>
            </w:tcBorders>
            <w:vAlign w:val="center"/>
          </w:tcPr>
          <w:p w14:paraId="769A0439"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0DA1080E"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w:t>
            </w:r>
          </w:p>
        </w:tc>
        <w:tc>
          <w:tcPr>
            <w:tcW w:w="1223" w:type="dxa"/>
            <w:tcBorders>
              <w:top w:val="nil"/>
              <w:left w:val="nil"/>
              <w:bottom w:val="nil"/>
              <w:right w:val="nil"/>
            </w:tcBorders>
            <w:vAlign w:val="center"/>
          </w:tcPr>
          <w:p w14:paraId="75BEB29C"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2FD70D59"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w:t>
            </w:r>
          </w:p>
        </w:tc>
        <w:tc>
          <w:tcPr>
            <w:tcW w:w="1081" w:type="dxa"/>
            <w:tcBorders>
              <w:top w:val="nil"/>
              <w:left w:val="nil"/>
              <w:bottom w:val="nil"/>
              <w:right w:val="nil"/>
            </w:tcBorders>
            <w:vAlign w:val="center"/>
          </w:tcPr>
          <w:p w14:paraId="6827E0C7" w14:textId="77777777" w:rsidR="00355194" w:rsidRPr="00A71B25" w:rsidRDefault="00355194" w:rsidP="00355194">
            <w:pPr>
              <w:widowControl w:val="0"/>
              <w:autoSpaceDE w:val="0"/>
              <w:autoSpaceDN w:val="0"/>
              <w:adjustRightInd w:val="0"/>
              <w:jc w:val="center"/>
              <w:rPr>
                <w:sz w:val="20"/>
                <w:szCs w:val="20"/>
              </w:rPr>
            </w:pPr>
          </w:p>
        </w:tc>
      </w:tr>
      <w:tr w:rsidR="00355194" w:rsidRPr="00A71B25" w14:paraId="3DC7D9EA" w14:textId="77777777" w:rsidTr="00355194">
        <w:trPr>
          <w:jc w:val="center"/>
        </w:trPr>
        <w:tc>
          <w:tcPr>
            <w:tcW w:w="2835" w:type="dxa"/>
            <w:shd w:val="clear" w:color="auto" w:fill="auto"/>
            <w:vAlign w:val="center"/>
          </w:tcPr>
          <w:p w14:paraId="2955C8AB"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Syndicate reputation: reciprocal</w:t>
            </w:r>
          </w:p>
        </w:tc>
        <w:tc>
          <w:tcPr>
            <w:tcW w:w="1223" w:type="dxa"/>
            <w:tcBorders>
              <w:top w:val="nil"/>
              <w:left w:val="nil"/>
              <w:bottom w:val="nil"/>
              <w:right w:val="nil"/>
            </w:tcBorders>
            <w:vAlign w:val="center"/>
          </w:tcPr>
          <w:p w14:paraId="5B0012C0"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-0.046</w:t>
            </w:r>
            <w:r w:rsidRPr="00C03819">
              <w:rPr>
                <w:sz w:val="20"/>
                <w:szCs w:val="20"/>
                <w:vertAlign w:val="superscript"/>
              </w:rPr>
              <w:t>***</w:t>
            </w:r>
          </w:p>
        </w:tc>
        <w:tc>
          <w:tcPr>
            <w:tcW w:w="1081" w:type="dxa"/>
            <w:tcBorders>
              <w:top w:val="nil"/>
              <w:left w:val="nil"/>
              <w:bottom w:val="nil"/>
              <w:right w:val="nil"/>
            </w:tcBorders>
            <w:vAlign w:val="center"/>
          </w:tcPr>
          <w:p w14:paraId="2CDC264B"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14B5DD38"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-0.045</w:t>
            </w:r>
            <w:r w:rsidRPr="00C03819">
              <w:rPr>
                <w:sz w:val="20"/>
                <w:szCs w:val="20"/>
                <w:vertAlign w:val="superscript"/>
              </w:rPr>
              <w:t>***</w:t>
            </w:r>
          </w:p>
        </w:tc>
        <w:tc>
          <w:tcPr>
            <w:tcW w:w="1223" w:type="dxa"/>
            <w:tcBorders>
              <w:top w:val="nil"/>
              <w:left w:val="nil"/>
              <w:bottom w:val="nil"/>
              <w:right w:val="nil"/>
            </w:tcBorders>
            <w:vAlign w:val="center"/>
          </w:tcPr>
          <w:p w14:paraId="1FF47C3F"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014F3AA2"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-0.045</w:t>
            </w:r>
            <w:r w:rsidRPr="00C03819">
              <w:rPr>
                <w:sz w:val="20"/>
                <w:szCs w:val="20"/>
                <w:vertAlign w:val="superscript"/>
              </w:rPr>
              <w:t>***</w:t>
            </w:r>
          </w:p>
        </w:tc>
        <w:tc>
          <w:tcPr>
            <w:tcW w:w="1081" w:type="dxa"/>
            <w:tcBorders>
              <w:top w:val="nil"/>
              <w:left w:val="nil"/>
              <w:bottom w:val="nil"/>
              <w:right w:val="nil"/>
            </w:tcBorders>
            <w:vAlign w:val="center"/>
          </w:tcPr>
          <w:p w14:paraId="5788FFBD" w14:textId="77777777" w:rsidR="00355194" w:rsidRPr="00A71B25" w:rsidRDefault="00355194" w:rsidP="00355194">
            <w:pPr>
              <w:widowControl w:val="0"/>
              <w:autoSpaceDE w:val="0"/>
              <w:autoSpaceDN w:val="0"/>
              <w:adjustRightInd w:val="0"/>
              <w:jc w:val="center"/>
              <w:rPr>
                <w:sz w:val="20"/>
                <w:szCs w:val="20"/>
              </w:rPr>
            </w:pPr>
          </w:p>
        </w:tc>
      </w:tr>
      <w:tr w:rsidR="00355194" w:rsidRPr="00A71B25" w14:paraId="1A17630F" w14:textId="77777777" w:rsidTr="00355194">
        <w:trPr>
          <w:jc w:val="center"/>
        </w:trPr>
        <w:tc>
          <w:tcPr>
            <w:tcW w:w="2835" w:type="dxa"/>
            <w:shd w:val="clear" w:color="auto" w:fill="auto"/>
            <w:vAlign w:val="center"/>
          </w:tcPr>
          <w:p w14:paraId="36FFCCA9"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0E5B4364"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081" w:type="dxa"/>
            <w:tcBorders>
              <w:top w:val="nil"/>
              <w:left w:val="nil"/>
              <w:bottom w:val="nil"/>
              <w:right w:val="nil"/>
            </w:tcBorders>
            <w:vAlign w:val="center"/>
          </w:tcPr>
          <w:p w14:paraId="5E351E8E"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36E21583"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223" w:type="dxa"/>
            <w:tcBorders>
              <w:top w:val="nil"/>
              <w:left w:val="nil"/>
              <w:bottom w:val="nil"/>
              <w:right w:val="nil"/>
            </w:tcBorders>
            <w:vAlign w:val="center"/>
          </w:tcPr>
          <w:p w14:paraId="1A6019F5"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73D09DE6"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081" w:type="dxa"/>
            <w:tcBorders>
              <w:top w:val="nil"/>
              <w:left w:val="nil"/>
              <w:bottom w:val="nil"/>
              <w:right w:val="nil"/>
            </w:tcBorders>
            <w:vAlign w:val="center"/>
          </w:tcPr>
          <w:p w14:paraId="25466EDA" w14:textId="77777777" w:rsidR="00355194" w:rsidRPr="00A71B25" w:rsidRDefault="00355194" w:rsidP="00355194">
            <w:pPr>
              <w:widowControl w:val="0"/>
              <w:autoSpaceDE w:val="0"/>
              <w:autoSpaceDN w:val="0"/>
              <w:adjustRightInd w:val="0"/>
              <w:jc w:val="center"/>
              <w:rPr>
                <w:sz w:val="20"/>
                <w:szCs w:val="20"/>
              </w:rPr>
            </w:pPr>
          </w:p>
        </w:tc>
      </w:tr>
      <w:tr w:rsidR="00355194" w:rsidRPr="00A71B25" w14:paraId="0FA07DC8" w14:textId="77777777" w:rsidTr="00355194">
        <w:trPr>
          <w:jc w:val="center"/>
        </w:trPr>
        <w:tc>
          <w:tcPr>
            <w:tcW w:w="2835" w:type="dxa"/>
            <w:shd w:val="clear" w:color="auto" w:fill="auto"/>
            <w:vAlign w:val="center"/>
          </w:tcPr>
          <w:p w14:paraId="0E400354"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Lead agent share</w:t>
            </w:r>
          </w:p>
        </w:tc>
        <w:tc>
          <w:tcPr>
            <w:tcW w:w="1223" w:type="dxa"/>
            <w:tcBorders>
              <w:top w:val="nil"/>
              <w:left w:val="nil"/>
              <w:bottom w:val="nil"/>
              <w:right w:val="nil"/>
            </w:tcBorders>
            <w:vAlign w:val="center"/>
          </w:tcPr>
          <w:p w14:paraId="48CC6EEE"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65C869E4"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3.354</w:t>
            </w:r>
            <w:r w:rsidRPr="00C03819">
              <w:rPr>
                <w:sz w:val="20"/>
                <w:szCs w:val="20"/>
                <w:vertAlign w:val="superscript"/>
              </w:rPr>
              <w:t>***</w:t>
            </w:r>
          </w:p>
        </w:tc>
        <w:tc>
          <w:tcPr>
            <w:tcW w:w="1081" w:type="dxa"/>
            <w:tcBorders>
              <w:top w:val="nil"/>
              <w:left w:val="nil"/>
              <w:bottom w:val="nil"/>
              <w:right w:val="nil"/>
            </w:tcBorders>
            <w:vAlign w:val="center"/>
          </w:tcPr>
          <w:p w14:paraId="549329F7"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2CBDD647"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3.370</w:t>
            </w:r>
            <w:r w:rsidRPr="00C03819">
              <w:rPr>
                <w:sz w:val="20"/>
                <w:szCs w:val="20"/>
                <w:vertAlign w:val="superscript"/>
              </w:rPr>
              <w:t>***</w:t>
            </w:r>
          </w:p>
        </w:tc>
        <w:tc>
          <w:tcPr>
            <w:tcW w:w="1223" w:type="dxa"/>
            <w:tcBorders>
              <w:top w:val="nil"/>
              <w:left w:val="nil"/>
              <w:bottom w:val="nil"/>
              <w:right w:val="nil"/>
            </w:tcBorders>
            <w:vAlign w:val="center"/>
          </w:tcPr>
          <w:p w14:paraId="09D22AB4"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5EBCE4C0"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3.361</w:t>
            </w:r>
            <w:r w:rsidRPr="00C03819">
              <w:rPr>
                <w:sz w:val="20"/>
                <w:szCs w:val="20"/>
                <w:vertAlign w:val="superscript"/>
              </w:rPr>
              <w:t>***</w:t>
            </w:r>
          </w:p>
        </w:tc>
      </w:tr>
      <w:tr w:rsidR="00355194" w:rsidRPr="00A71B25" w14:paraId="0D53F2E6" w14:textId="77777777" w:rsidTr="00355194">
        <w:trPr>
          <w:jc w:val="center"/>
        </w:trPr>
        <w:tc>
          <w:tcPr>
            <w:tcW w:w="2835" w:type="dxa"/>
            <w:shd w:val="clear" w:color="auto" w:fill="auto"/>
            <w:vAlign w:val="center"/>
          </w:tcPr>
          <w:p w14:paraId="1B0627F1"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56370A90"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189D1121"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(1.06)</w:t>
            </w:r>
          </w:p>
        </w:tc>
        <w:tc>
          <w:tcPr>
            <w:tcW w:w="1081" w:type="dxa"/>
            <w:tcBorders>
              <w:top w:val="nil"/>
              <w:left w:val="nil"/>
              <w:bottom w:val="nil"/>
              <w:right w:val="nil"/>
            </w:tcBorders>
            <w:vAlign w:val="center"/>
          </w:tcPr>
          <w:p w14:paraId="5CA6D828"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07BF6714"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(1.23)</w:t>
            </w:r>
          </w:p>
        </w:tc>
        <w:tc>
          <w:tcPr>
            <w:tcW w:w="1223" w:type="dxa"/>
            <w:tcBorders>
              <w:top w:val="nil"/>
              <w:left w:val="nil"/>
              <w:bottom w:val="nil"/>
              <w:right w:val="nil"/>
            </w:tcBorders>
            <w:vAlign w:val="center"/>
          </w:tcPr>
          <w:p w14:paraId="54E216FF"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00991F57"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(1.06)</w:t>
            </w:r>
          </w:p>
        </w:tc>
      </w:tr>
      <w:tr w:rsidR="00355194" w:rsidRPr="00A71B25" w14:paraId="7386C63E" w14:textId="77777777" w:rsidTr="00355194">
        <w:trPr>
          <w:jc w:val="center"/>
        </w:trPr>
        <w:tc>
          <w:tcPr>
            <w:tcW w:w="2835" w:type="dxa"/>
            <w:shd w:val="clear" w:color="auto" w:fill="auto"/>
            <w:vAlign w:val="center"/>
          </w:tcPr>
          <w:p w14:paraId="689A0E10" w14:textId="77777777" w:rsidR="00355194" w:rsidRPr="00A71B25" w:rsidRDefault="00DC5EBE" w:rsidP="00355194">
            <w:pPr>
              <w:widowControl w:val="0"/>
              <w:autoSpaceDE w:val="0"/>
              <w:autoSpaceDN w:val="0"/>
              <w:adjustRightInd w:val="0"/>
              <w:jc w:val="center"/>
              <w:rPr>
                <w:sz w:val="20"/>
                <w:szCs w:val="20"/>
              </w:rPr>
            </w:pPr>
            <w:r>
              <w:rPr>
                <w:rFonts w:eastAsia="DengXian"/>
                <w:sz w:val="20"/>
                <w:szCs w:val="20"/>
                <w:lang w:eastAsia="zh-CN"/>
              </w:rPr>
              <w:t>L</w:t>
            </w:r>
            <w:r w:rsidRPr="00F5316D">
              <w:rPr>
                <w:rFonts w:eastAsia="DengXian"/>
                <w:sz w:val="20"/>
                <w:szCs w:val="20"/>
                <w:lang w:eastAsia="zh-CN"/>
              </w:rPr>
              <w:t xml:space="preserve">arge CS </w:t>
            </w:r>
            <w:r w:rsidR="0099693E">
              <w:rPr>
                <w:rFonts w:eastAsia="DengXian"/>
                <w:sz w:val="20"/>
                <w:szCs w:val="20"/>
                <w:lang w:eastAsia="zh-CN"/>
              </w:rPr>
              <w:t>link</w:t>
            </w:r>
            <w:r w:rsidRPr="00F5316D">
              <w:rPr>
                <w:rFonts w:eastAsia="DengXian"/>
                <w:sz w:val="20"/>
                <w:szCs w:val="20"/>
                <w:lang w:eastAsia="zh-CN"/>
              </w:rPr>
              <w:t>s</w:t>
            </w:r>
          </w:p>
        </w:tc>
        <w:tc>
          <w:tcPr>
            <w:tcW w:w="1223" w:type="dxa"/>
            <w:tcBorders>
              <w:top w:val="nil"/>
              <w:left w:val="nil"/>
              <w:bottom w:val="nil"/>
              <w:right w:val="nil"/>
            </w:tcBorders>
            <w:vAlign w:val="center"/>
          </w:tcPr>
          <w:p w14:paraId="791A5D1B"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0.006</w:t>
            </w:r>
            <w:r w:rsidRPr="00C03819">
              <w:rPr>
                <w:sz w:val="20"/>
                <w:szCs w:val="20"/>
                <w:vertAlign w:val="superscript"/>
              </w:rPr>
              <w:t>**</w:t>
            </w:r>
          </w:p>
        </w:tc>
        <w:tc>
          <w:tcPr>
            <w:tcW w:w="1081" w:type="dxa"/>
            <w:tcBorders>
              <w:top w:val="nil"/>
              <w:left w:val="nil"/>
              <w:bottom w:val="nil"/>
              <w:right w:val="nil"/>
            </w:tcBorders>
            <w:vAlign w:val="center"/>
          </w:tcPr>
          <w:p w14:paraId="0372BC83"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-0.022</w:t>
            </w:r>
          </w:p>
        </w:tc>
        <w:tc>
          <w:tcPr>
            <w:tcW w:w="1081" w:type="dxa"/>
            <w:tcBorders>
              <w:top w:val="nil"/>
              <w:left w:val="nil"/>
              <w:bottom w:val="nil"/>
              <w:right w:val="nil"/>
            </w:tcBorders>
            <w:vAlign w:val="center"/>
          </w:tcPr>
          <w:p w14:paraId="63B6B00D"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728CC0FB"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1CD44A5B"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17355190" w14:textId="77777777" w:rsidR="00355194" w:rsidRPr="00A71B25" w:rsidRDefault="00355194" w:rsidP="00355194">
            <w:pPr>
              <w:widowControl w:val="0"/>
              <w:autoSpaceDE w:val="0"/>
              <w:autoSpaceDN w:val="0"/>
              <w:adjustRightInd w:val="0"/>
              <w:jc w:val="center"/>
              <w:rPr>
                <w:sz w:val="20"/>
                <w:szCs w:val="20"/>
              </w:rPr>
            </w:pPr>
          </w:p>
        </w:tc>
      </w:tr>
      <w:tr w:rsidR="00355194" w:rsidRPr="00A71B25" w14:paraId="3628CE83" w14:textId="77777777" w:rsidTr="00355194">
        <w:trPr>
          <w:jc w:val="center"/>
        </w:trPr>
        <w:tc>
          <w:tcPr>
            <w:tcW w:w="2835" w:type="dxa"/>
            <w:shd w:val="clear" w:color="auto" w:fill="auto"/>
            <w:vAlign w:val="center"/>
          </w:tcPr>
          <w:p w14:paraId="14703CED"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30DE0213"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081" w:type="dxa"/>
            <w:tcBorders>
              <w:top w:val="nil"/>
              <w:left w:val="nil"/>
              <w:bottom w:val="nil"/>
              <w:right w:val="nil"/>
            </w:tcBorders>
            <w:vAlign w:val="center"/>
          </w:tcPr>
          <w:p w14:paraId="500272A9"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(0.04)</w:t>
            </w:r>
          </w:p>
        </w:tc>
        <w:tc>
          <w:tcPr>
            <w:tcW w:w="1081" w:type="dxa"/>
            <w:tcBorders>
              <w:top w:val="nil"/>
              <w:left w:val="nil"/>
              <w:bottom w:val="nil"/>
              <w:right w:val="nil"/>
            </w:tcBorders>
            <w:vAlign w:val="center"/>
          </w:tcPr>
          <w:p w14:paraId="08F59C7B"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5180E16A"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58548B54"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3E71FDF7" w14:textId="77777777" w:rsidR="00355194" w:rsidRPr="00A71B25" w:rsidRDefault="00355194" w:rsidP="00355194">
            <w:pPr>
              <w:widowControl w:val="0"/>
              <w:autoSpaceDE w:val="0"/>
              <w:autoSpaceDN w:val="0"/>
              <w:adjustRightInd w:val="0"/>
              <w:jc w:val="center"/>
              <w:rPr>
                <w:sz w:val="20"/>
                <w:szCs w:val="20"/>
              </w:rPr>
            </w:pPr>
          </w:p>
        </w:tc>
      </w:tr>
      <w:tr w:rsidR="00355194" w:rsidRPr="00A71B25" w14:paraId="3276DCB0" w14:textId="77777777" w:rsidTr="00355194">
        <w:trPr>
          <w:jc w:val="center"/>
        </w:trPr>
        <w:tc>
          <w:tcPr>
            <w:tcW w:w="2835" w:type="dxa"/>
            <w:shd w:val="clear" w:color="auto" w:fill="auto"/>
            <w:vAlign w:val="center"/>
          </w:tcPr>
          <w:p w14:paraId="56875300"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A71B25">
              <w:rPr>
                <w:rFonts w:eastAsia="DengXian"/>
                <w:sz w:val="20"/>
                <w:szCs w:val="20"/>
                <w:lang w:eastAsia="zh-CN"/>
              </w:rPr>
              <w:t>)</w:t>
            </w:r>
          </w:p>
        </w:tc>
        <w:tc>
          <w:tcPr>
            <w:tcW w:w="1223" w:type="dxa"/>
            <w:tcBorders>
              <w:top w:val="nil"/>
              <w:left w:val="nil"/>
              <w:bottom w:val="nil"/>
              <w:right w:val="nil"/>
            </w:tcBorders>
            <w:vAlign w:val="center"/>
          </w:tcPr>
          <w:p w14:paraId="208817EB"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200A61F2"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495C5702"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0.017</w:t>
            </w:r>
            <w:r w:rsidRPr="00C03819">
              <w:rPr>
                <w:sz w:val="20"/>
                <w:szCs w:val="20"/>
                <w:vertAlign w:val="superscript"/>
              </w:rPr>
              <w:t>***</w:t>
            </w:r>
          </w:p>
        </w:tc>
        <w:tc>
          <w:tcPr>
            <w:tcW w:w="1223" w:type="dxa"/>
            <w:tcBorders>
              <w:top w:val="nil"/>
              <w:left w:val="nil"/>
              <w:bottom w:val="nil"/>
              <w:right w:val="nil"/>
            </w:tcBorders>
            <w:vAlign w:val="center"/>
          </w:tcPr>
          <w:p w14:paraId="7682B640"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-0.104</w:t>
            </w:r>
          </w:p>
        </w:tc>
        <w:tc>
          <w:tcPr>
            <w:tcW w:w="1223" w:type="dxa"/>
            <w:tcBorders>
              <w:top w:val="nil"/>
              <w:left w:val="nil"/>
              <w:bottom w:val="nil"/>
              <w:right w:val="nil"/>
            </w:tcBorders>
            <w:vAlign w:val="center"/>
          </w:tcPr>
          <w:p w14:paraId="0F969CE1"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0.039</w:t>
            </w:r>
            <w:r w:rsidRPr="00C03819">
              <w:rPr>
                <w:sz w:val="20"/>
                <w:szCs w:val="20"/>
                <w:vertAlign w:val="superscript"/>
              </w:rPr>
              <w:t>***</w:t>
            </w:r>
          </w:p>
        </w:tc>
        <w:tc>
          <w:tcPr>
            <w:tcW w:w="1081" w:type="dxa"/>
            <w:tcBorders>
              <w:top w:val="nil"/>
              <w:left w:val="nil"/>
              <w:bottom w:val="nil"/>
              <w:right w:val="nil"/>
            </w:tcBorders>
            <w:vAlign w:val="center"/>
          </w:tcPr>
          <w:p w14:paraId="200D1F4F"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-0.003</w:t>
            </w:r>
          </w:p>
        </w:tc>
      </w:tr>
      <w:tr w:rsidR="00355194" w:rsidRPr="00A71B25" w14:paraId="50E8FFC4" w14:textId="77777777" w:rsidTr="00355194">
        <w:trPr>
          <w:jc w:val="center"/>
        </w:trPr>
        <w:tc>
          <w:tcPr>
            <w:tcW w:w="2835" w:type="dxa"/>
            <w:shd w:val="clear" w:color="auto" w:fill="auto"/>
            <w:vAlign w:val="center"/>
          </w:tcPr>
          <w:p w14:paraId="14FD0E41"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4B187D93"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05963F75"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700D10D1"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223" w:type="dxa"/>
            <w:tcBorders>
              <w:top w:val="nil"/>
              <w:left w:val="nil"/>
              <w:bottom w:val="nil"/>
              <w:right w:val="nil"/>
            </w:tcBorders>
            <w:vAlign w:val="center"/>
          </w:tcPr>
          <w:p w14:paraId="404B0D4C"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(0.08)</w:t>
            </w:r>
          </w:p>
        </w:tc>
        <w:tc>
          <w:tcPr>
            <w:tcW w:w="1223" w:type="dxa"/>
            <w:tcBorders>
              <w:top w:val="nil"/>
              <w:left w:val="nil"/>
              <w:bottom w:val="nil"/>
              <w:right w:val="nil"/>
            </w:tcBorders>
            <w:vAlign w:val="center"/>
          </w:tcPr>
          <w:p w14:paraId="1A4A01B1"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w:t>
            </w:r>
          </w:p>
        </w:tc>
        <w:tc>
          <w:tcPr>
            <w:tcW w:w="1081" w:type="dxa"/>
            <w:tcBorders>
              <w:top w:val="nil"/>
              <w:left w:val="nil"/>
              <w:bottom w:val="nil"/>
              <w:right w:val="nil"/>
            </w:tcBorders>
            <w:vAlign w:val="center"/>
          </w:tcPr>
          <w:p w14:paraId="242F980D"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(0.16)</w:t>
            </w:r>
          </w:p>
        </w:tc>
      </w:tr>
      <w:tr w:rsidR="00355194" w:rsidRPr="00A71B25" w14:paraId="5B498FCC" w14:textId="77777777" w:rsidTr="00355194">
        <w:trPr>
          <w:jc w:val="center"/>
        </w:trPr>
        <w:tc>
          <w:tcPr>
            <w:tcW w:w="2835" w:type="dxa"/>
            <w:shd w:val="clear" w:color="auto" w:fill="auto"/>
            <w:vAlign w:val="center"/>
          </w:tcPr>
          <w:p w14:paraId="15A8E244"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Log(</w:t>
            </w:r>
            <w:r w:rsidR="00DB5899">
              <w:rPr>
                <w:rFonts w:eastAsia="DengXian"/>
                <w:sz w:val="20"/>
                <w:szCs w:val="20"/>
                <w:lang w:eastAsia="zh-CN"/>
              </w:rPr>
              <w:t xml:space="preserve">Length large CS </w:t>
            </w:r>
            <w:r w:rsidR="0099693E">
              <w:rPr>
                <w:rFonts w:eastAsia="DengXian"/>
                <w:sz w:val="20"/>
                <w:szCs w:val="20"/>
                <w:lang w:eastAsia="zh-CN"/>
              </w:rPr>
              <w:t>link</w:t>
            </w:r>
            <w:r w:rsidR="00DB5899">
              <w:rPr>
                <w:rFonts w:eastAsia="DengXian"/>
                <w:sz w:val="20"/>
                <w:szCs w:val="20"/>
                <w:lang w:eastAsia="zh-CN"/>
              </w:rPr>
              <w:t>s</w:t>
            </w:r>
            <w:r w:rsidRPr="00A71B25">
              <w:rPr>
                <w:rFonts w:eastAsia="DengXian"/>
                <w:sz w:val="20"/>
                <w:szCs w:val="20"/>
                <w:lang w:eastAsia="zh-CN"/>
              </w:rPr>
              <w:t>)</w:t>
            </w:r>
            <w:r w:rsidRPr="00A71B25">
              <w:rPr>
                <w:rFonts w:eastAsia="DengXian"/>
                <w:sz w:val="20"/>
                <w:szCs w:val="20"/>
                <w:vertAlign w:val="superscript"/>
                <w:lang w:eastAsia="zh-CN"/>
              </w:rPr>
              <w:t>2</w:t>
            </w:r>
          </w:p>
        </w:tc>
        <w:tc>
          <w:tcPr>
            <w:tcW w:w="1223" w:type="dxa"/>
            <w:tcBorders>
              <w:top w:val="nil"/>
              <w:left w:val="nil"/>
              <w:bottom w:val="nil"/>
              <w:right w:val="nil"/>
            </w:tcBorders>
            <w:vAlign w:val="center"/>
          </w:tcPr>
          <w:p w14:paraId="0AFCF8F0"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25E6C570"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213120A6"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74BE344D"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3FE9706C"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-0.026</w:t>
            </w:r>
            <w:r w:rsidRPr="00C03819">
              <w:rPr>
                <w:sz w:val="20"/>
                <w:szCs w:val="20"/>
                <w:vertAlign w:val="superscript"/>
              </w:rPr>
              <w:t>**</w:t>
            </w:r>
          </w:p>
        </w:tc>
        <w:tc>
          <w:tcPr>
            <w:tcW w:w="1081" w:type="dxa"/>
            <w:tcBorders>
              <w:top w:val="nil"/>
              <w:left w:val="nil"/>
              <w:bottom w:val="nil"/>
              <w:right w:val="nil"/>
            </w:tcBorders>
            <w:vAlign w:val="center"/>
          </w:tcPr>
          <w:p w14:paraId="798AC236"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-0.119</w:t>
            </w:r>
          </w:p>
        </w:tc>
      </w:tr>
      <w:tr w:rsidR="00355194" w:rsidRPr="00A71B25" w14:paraId="788E6D06" w14:textId="77777777" w:rsidTr="00355194">
        <w:trPr>
          <w:jc w:val="center"/>
        </w:trPr>
        <w:tc>
          <w:tcPr>
            <w:tcW w:w="2835" w:type="dxa"/>
            <w:shd w:val="clear" w:color="auto" w:fill="auto"/>
            <w:vAlign w:val="center"/>
          </w:tcPr>
          <w:p w14:paraId="301E5A74"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1780E9B6"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4792AF3A" w14:textId="77777777" w:rsidR="00355194" w:rsidRPr="00A71B25" w:rsidRDefault="00355194" w:rsidP="00355194">
            <w:pPr>
              <w:widowControl w:val="0"/>
              <w:autoSpaceDE w:val="0"/>
              <w:autoSpaceDN w:val="0"/>
              <w:adjustRightInd w:val="0"/>
              <w:jc w:val="center"/>
              <w:rPr>
                <w:sz w:val="20"/>
                <w:szCs w:val="20"/>
              </w:rPr>
            </w:pPr>
          </w:p>
        </w:tc>
        <w:tc>
          <w:tcPr>
            <w:tcW w:w="1081" w:type="dxa"/>
            <w:tcBorders>
              <w:top w:val="nil"/>
              <w:left w:val="nil"/>
              <w:bottom w:val="nil"/>
              <w:right w:val="nil"/>
            </w:tcBorders>
            <w:vAlign w:val="center"/>
          </w:tcPr>
          <w:p w14:paraId="6159222E"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33811DF2"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7B66A194"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w:t>
            </w:r>
          </w:p>
        </w:tc>
        <w:tc>
          <w:tcPr>
            <w:tcW w:w="1081" w:type="dxa"/>
            <w:tcBorders>
              <w:top w:val="nil"/>
              <w:left w:val="nil"/>
              <w:bottom w:val="nil"/>
              <w:right w:val="nil"/>
            </w:tcBorders>
            <w:vAlign w:val="center"/>
          </w:tcPr>
          <w:p w14:paraId="2B51B4B6"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(0.18)</w:t>
            </w:r>
          </w:p>
        </w:tc>
      </w:tr>
      <w:tr w:rsidR="00355194" w:rsidRPr="00A71B25" w14:paraId="6B27AB3D" w14:textId="77777777" w:rsidTr="00355194">
        <w:trPr>
          <w:jc w:val="center"/>
        </w:trPr>
        <w:tc>
          <w:tcPr>
            <w:tcW w:w="2835" w:type="dxa"/>
            <w:shd w:val="clear" w:color="auto" w:fill="auto"/>
          </w:tcPr>
          <w:p w14:paraId="0AF98741" w14:textId="77777777" w:rsidR="00355194" w:rsidRPr="00A71B25" w:rsidRDefault="00355194" w:rsidP="00355194">
            <w:pPr>
              <w:widowControl w:val="0"/>
              <w:autoSpaceDE w:val="0"/>
              <w:autoSpaceDN w:val="0"/>
              <w:adjustRightInd w:val="0"/>
              <w:jc w:val="center"/>
              <w:rPr>
                <w:sz w:val="20"/>
                <w:szCs w:val="20"/>
              </w:rPr>
            </w:pPr>
            <w:r w:rsidRPr="00A71B25">
              <w:rPr>
                <w:sz w:val="20"/>
                <w:szCs w:val="20"/>
              </w:rPr>
              <w:t>Term loan</w:t>
            </w:r>
          </w:p>
        </w:tc>
        <w:tc>
          <w:tcPr>
            <w:tcW w:w="1223" w:type="dxa"/>
            <w:tcBorders>
              <w:top w:val="nil"/>
              <w:left w:val="nil"/>
              <w:bottom w:val="nil"/>
              <w:right w:val="nil"/>
            </w:tcBorders>
            <w:vAlign w:val="center"/>
          </w:tcPr>
          <w:p w14:paraId="21C676B2"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0.018</w:t>
            </w:r>
            <w:r w:rsidRPr="00C03819">
              <w:rPr>
                <w:sz w:val="20"/>
                <w:szCs w:val="20"/>
                <w:vertAlign w:val="superscript"/>
              </w:rPr>
              <w:t>***</w:t>
            </w:r>
          </w:p>
        </w:tc>
        <w:tc>
          <w:tcPr>
            <w:tcW w:w="1081" w:type="dxa"/>
            <w:tcBorders>
              <w:top w:val="nil"/>
              <w:left w:val="nil"/>
              <w:bottom w:val="nil"/>
              <w:right w:val="nil"/>
            </w:tcBorders>
            <w:vAlign w:val="center"/>
          </w:tcPr>
          <w:p w14:paraId="55C45956"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0.304</w:t>
            </w:r>
            <w:r w:rsidRPr="00C03819">
              <w:rPr>
                <w:sz w:val="20"/>
                <w:szCs w:val="20"/>
                <w:vertAlign w:val="superscript"/>
              </w:rPr>
              <w:t>***</w:t>
            </w:r>
          </w:p>
        </w:tc>
        <w:tc>
          <w:tcPr>
            <w:tcW w:w="1081" w:type="dxa"/>
            <w:tcBorders>
              <w:top w:val="nil"/>
              <w:left w:val="nil"/>
              <w:bottom w:val="nil"/>
              <w:right w:val="nil"/>
            </w:tcBorders>
            <w:vAlign w:val="center"/>
          </w:tcPr>
          <w:p w14:paraId="68A42DCD"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0.018</w:t>
            </w:r>
            <w:r w:rsidRPr="00C03819">
              <w:rPr>
                <w:sz w:val="20"/>
                <w:szCs w:val="20"/>
                <w:vertAlign w:val="superscript"/>
              </w:rPr>
              <w:t>***</w:t>
            </w:r>
          </w:p>
        </w:tc>
        <w:tc>
          <w:tcPr>
            <w:tcW w:w="1223" w:type="dxa"/>
            <w:tcBorders>
              <w:top w:val="nil"/>
              <w:left w:val="nil"/>
              <w:bottom w:val="nil"/>
              <w:right w:val="nil"/>
            </w:tcBorders>
            <w:vAlign w:val="center"/>
          </w:tcPr>
          <w:p w14:paraId="7D7E1172"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0.304</w:t>
            </w:r>
            <w:r w:rsidRPr="00C03819">
              <w:rPr>
                <w:sz w:val="20"/>
                <w:szCs w:val="20"/>
                <w:vertAlign w:val="superscript"/>
              </w:rPr>
              <w:t>***</w:t>
            </w:r>
          </w:p>
        </w:tc>
        <w:tc>
          <w:tcPr>
            <w:tcW w:w="1223" w:type="dxa"/>
            <w:tcBorders>
              <w:top w:val="nil"/>
              <w:left w:val="nil"/>
              <w:bottom w:val="nil"/>
              <w:right w:val="nil"/>
            </w:tcBorders>
            <w:vAlign w:val="center"/>
          </w:tcPr>
          <w:p w14:paraId="68704BE8"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0.018</w:t>
            </w:r>
            <w:r w:rsidRPr="00C03819">
              <w:rPr>
                <w:sz w:val="20"/>
                <w:szCs w:val="20"/>
                <w:vertAlign w:val="superscript"/>
              </w:rPr>
              <w:t>***</w:t>
            </w:r>
          </w:p>
        </w:tc>
        <w:tc>
          <w:tcPr>
            <w:tcW w:w="1081" w:type="dxa"/>
            <w:tcBorders>
              <w:top w:val="nil"/>
              <w:left w:val="nil"/>
              <w:bottom w:val="nil"/>
              <w:right w:val="nil"/>
            </w:tcBorders>
            <w:vAlign w:val="center"/>
          </w:tcPr>
          <w:p w14:paraId="371CE91C"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0.303</w:t>
            </w:r>
            <w:r w:rsidRPr="00C03819">
              <w:rPr>
                <w:sz w:val="20"/>
                <w:szCs w:val="20"/>
                <w:vertAlign w:val="superscript"/>
              </w:rPr>
              <w:t>***</w:t>
            </w:r>
          </w:p>
        </w:tc>
      </w:tr>
      <w:tr w:rsidR="00355194" w:rsidRPr="00A71B25" w14:paraId="1439CDB4" w14:textId="77777777" w:rsidTr="00355194">
        <w:trPr>
          <w:jc w:val="center"/>
        </w:trPr>
        <w:tc>
          <w:tcPr>
            <w:tcW w:w="2835" w:type="dxa"/>
            <w:shd w:val="clear" w:color="auto" w:fill="auto"/>
          </w:tcPr>
          <w:p w14:paraId="6BE13BB8"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nil"/>
              <w:right w:val="nil"/>
            </w:tcBorders>
            <w:vAlign w:val="center"/>
          </w:tcPr>
          <w:p w14:paraId="3ABCE5B9"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081" w:type="dxa"/>
            <w:tcBorders>
              <w:top w:val="nil"/>
              <w:left w:val="nil"/>
              <w:bottom w:val="nil"/>
              <w:right w:val="nil"/>
            </w:tcBorders>
            <w:vAlign w:val="center"/>
          </w:tcPr>
          <w:p w14:paraId="7BC5C8FD"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(0.07)</w:t>
            </w:r>
          </w:p>
        </w:tc>
        <w:tc>
          <w:tcPr>
            <w:tcW w:w="1081" w:type="dxa"/>
            <w:tcBorders>
              <w:top w:val="nil"/>
              <w:left w:val="nil"/>
              <w:bottom w:val="nil"/>
              <w:right w:val="nil"/>
            </w:tcBorders>
            <w:vAlign w:val="center"/>
          </w:tcPr>
          <w:p w14:paraId="6DBC897E"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223" w:type="dxa"/>
            <w:tcBorders>
              <w:top w:val="nil"/>
              <w:left w:val="nil"/>
              <w:bottom w:val="nil"/>
              <w:right w:val="nil"/>
            </w:tcBorders>
            <w:vAlign w:val="center"/>
          </w:tcPr>
          <w:p w14:paraId="74F3A314"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(0.08)</w:t>
            </w:r>
          </w:p>
        </w:tc>
        <w:tc>
          <w:tcPr>
            <w:tcW w:w="1223" w:type="dxa"/>
            <w:tcBorders>
              <w:top w:val="nil"/>
              <w:left w:val="nil"/>
              <w:bottom w:val="nil"/>
              <w:right w:val="nil"/>
            </w:tcBorders>
            <w:vAlign w:val="center"/>
          </w:tcPr>
          <w:p w14:paraId="41C41D4B"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081" w:type="dxa"/>
            <w:tcBorders>
              <w:top w:val="nil"/>
              <w:left w:val="nil"/>
              <w:bottom w:val="nil"/>
              <w:right w:val="nil"/>
            </w:tcBorders>
            <w:vAlign w:val="center"/>
          </w:tcPr>
          <w:p w14:paraId="1BA496CC"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(0.07)</w:t>
            </w:r>
          </w:p>
        </w:tc>
      </w:tr>
      <w:tr w:rsidR="00355194" w:rsidRPr="00A71B25" w14:paraId="65888477" w14:textId="77777777" w:rsidTr="00355194">
        <w:trPr>
          <w:jc w:val="center"/>
        </w:trPr>
        <w:tc>
          <w:tcPr>
            <w:tcW w:w="2835" w:type="dxa"/>
            <w:shd w:val="clear" w:color="auto" w:fill="auto"/>
          </w:tcPr>
          <w:p w14:paraId="089531B5" w14:textId="77777777" w:rsidR="00355194" w:rsidRPr="00A71B25" w:rsidRDefault="00355194" w:rsidP="00355194">
            <w:pPr>
              <w:widowControl w:val="0"/>
              <w:autoSpaceDE w:val="0"/>
              <w:autoSpaceDN w:val="0"/>
              <w:adjustRightInd w:val="0"/>
              <w:jc w:val="center"/>
              <w:rPr>
                <w:sz w:val="20"/>
                <w:szCs w:val="20"/>
              </w:rPr>
            </w:pPr>
            <w:r w:rsidRPr="00A71B25">
              <w:rPr>
                <w:sz w:val="20"/>
                <w:szCs w:val="20"/>
              </w:rPr>
              <w:t>Revolver</w:t>
            </w:r>
          </w:p>
        </w:tc>
        <w:tc>
          <w:tcPr>
            <w:tcW w:w="1223" w:type="dxa"/>
            <w:tcBorders>
              <w:top w:val="nil"/>
              <w:left w:val="nil"/>
              <w:bottom w:val="nil"/>
              <w:right w:val="nil"/>
            </w:tcBorders>
            <w:vAlign w:val="center"/>
          </w:tcPr>
          <w:p w14:paraId="5EA0B2E3"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-0.012</w:t>
            </w:r>
            <w:r w:rsidRPr="00C03819">
              <w:rPr>
                <w:sz w:val="20"/>
                <w:szCs w:val="20"/>
                <w:vertAlign w:val="superscript"/>
              </w:rPr>
              <w:t>***</w:t>
            </w:r>
          </w:p>
        </w:tc>
        <w:tc>
          <w:tcPr>
            <w:tcW w:w="1081" w:type="dxa"/>
            <w:tcBorders>
              <w:top w:val="nil"/>
              <w:left w:val="nil"/>
              <w:bottom w:val="nil"/>
              <w:right w:val="nil"/>
            </w:tcBorders>
            <w:vAlign w:val="center"/>
          </w:tcPr>
          <w:p w14:paraId="55FB88E7"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-0.051</w:t>
            </w:r>
          </w:p>
        </w:tc>
        <w:tc>
          <w:tcPr>
            <w:tcW w:w="1081" w:type="dxa"/>
            <w:tcBorders>
              <w:top w:val="nil"/>
              <w:left w:val="nil"/>
              <w:bottom w:val="nil"/>
              <w:right w:val="nil"/>
            </w:tcBorders>
            <w:vAlign w:val="center"/>
          </w:tcPr>
          <w:p w14:paraId="2DBFE8FA"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-0.012</w:t>
            </w:r>
            <w:r w:rsidRPr="00C03819">
              <w:rPr>
                <w:sz w:val="20"/>
                <w:szCs w:val="20"/>
                <w:vertAlign w:val="superscript"/>
              </w:rPr>
              <w:t>***</w:t>
            </w:r>
          </w:p>
        </w:tc>
        <w:tc>
          <w:tcPr>
            <w:tcW w:w="1223" w:type="dxa"/>
            <w:tcBorders>
              <w:top w:val="nil"/>
              <w:left w:val="nil"/>
              <w:bottom w:val="nil"/>
              <w:right w:val="nil"/>
            </w:tcBorders>
            <w:vAlign w:val="center"/>
          </w:tcPr>
          <w:p w14:paraId="3659773E"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-0.051</w:t>
            </w:r>
          </w:p>
        </w:tc>
        <w:tc>
          <w:tcPr>
            <w:tcW w:w="1223" w:type="dxa"/>
            <w:tcBorders>
              <w:top w:val="nil"/>
              <w:left w:val="nil"/>
              <w:bottom w:val="nil"/>
              <w:right w:val="nil"/>
            </w:tcBorders>
            <w:vAlign w:val="center"/>
          </w:tcPr>
          <w:p w14:paraId="214056BF"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-0.012</w:t>
            </w:r>
            <w:r w:rsidRPr="00C03819">
              <w:rPr>
                <w:sz w:val="20"/>
                <w:szCs w:val="20"/>
                <w:vertAlign w:val="superscript"/>
              </w:rPr>
              <w:t>***</w:t>
            </w:r>
          </w:p>
        </w:tc>
        <w:tc>
          <w:tcPr>
            <w:tcW w:w="1081" w:type="dxa"/>
            <w:tcBorders>
              <w:top w:val="nil"/>
              <w:left w:val="nil"/>
              <w:bottom w:val="nil"/>
              <w:right w:val="nil"/>
            </w:tcBorders>
            <w:vAlign w:val="center"/>
          </w:tcPr>
          <w:p w14:paraId="3C4CB354"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-0.051</w:t>
            </w:r>
          </w:p>
        </w:tc>
      </w:tr>
      <w:tr w:rsidR="00355194" w:rsidRPr="00A71B25" w14:paraId="18B6B347" w14:textId="77777777" w:rsidTr="00355194">
        <w:trPr>
          <w:jc w:val="center"/>
        </w:trPr>
        <w:tc>
          <w:tcPr>
            <w:tcW w:w="2835" w:type="dxa"/>
            <w:shd w:val="clear" w:color="auto" w:fill="auto"/>
          </w:tcPr>
          <w:p w14:paraId="414EB919" w14:textId="77777777" w:rsidR="00355194" w:rsidRPr="00A71B25" w:rsidRDefault="00355194" w:rsidP="00355194">
            <w:pPr>
              <w:widowControl w:val="0"/>
              <w:autoSpaceDE w:val="0"/>
              <w:autoSpaceDN w:val="0"/>
              <w:adjustRightInd w:val="0"/>
              <w:jc w:val="center"/>
              <w:rPr>
                <w:sz w:val="20"/>
                <w:szCs w:val="20"/>
              </w:rPr>
            </w:pPr>
          </w:p>
        </w:tc>
        <w:tc>
          <w:tcPr>
            <w:tcW w:w="1223" w:type="dxa"/>
            <w:tcBorders>
              <w:top w:val="nil"/>
              <w:left w:val="nil"/>
              <w:bottom w:val="single" w:sz="4" w:space="0" w:color="auto"/>
              <w:right w:val="nil"/>
            </w:tcBorders>
            <w:vAlign w:val="center"/>
          </w:tcPr>
          <w:p w14:paraId="041FD531"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081" w:type="dxa"/>
            <w:tcBorders>
              <w:top w:val="nil"/>
              <w:left w:val="nil"/>
              <w:bottom w:val="single" w:sz="4" w:space="0" w:color="auto"/>
              <w:right w:val="nil"/>
            </w:tcBorders>
            <w:vAlign w:val="center"/>
          </w:tcPr>
          <w:p w14:paraId="54427BDC"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(0.05)</w:t>
            </w:r>
          </w:p>
        </w:tc>
        <w:tc>
          <w:tcPr>
            <w:tcW w:w="1081" w:type="dxa"/>
            <w:tcBorders>
              <w:top w:val="nil"/>
              <w:left w:val="nil"/>
              <w:bottom w:val="single" w:sz="4" w:space="0" w:color="auto"/>
              <w:right w:val="nil"/>
            </w:tcBorders>
            <w:vAlign w:val="center"/>
          </w:tcPr>
          <w:p w14:paraId="15969691"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223" w:type="dxa"/>
            <w:tcBorders>
              <w:top w:val="nil"/>
              <w:left w:val="nil"/>
              <w:bottom w:val="single" w:sz="4" w:space="0" w:color="auto"/>
              <w:right w:val="nil"/>
            </w:tcBorders>
            <w:vAlign w:val="center"/>
          </w:tcPr>
          <w:p w14:paraId="4D1B04E1"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(0.05)</w:t>
            </w:r>
          </w:p>
        </w:tc>
        <w:tc>
          <w:tcPr>
            <w:tcW w:w="1223" w:type="dxa"/>
            <w:tcBorders>
              <w:top w:val="nil"/>
              <w:left w:val="nil"/>
              <w:bottom w:val="single" w:sz="4" w:space="0" w:color="auto"/>
              <w:right w:val="nil"/>
            </w:tcBorders>
            <w:vAlign w:val="center"/>
          </w:tcPr>
          <w:p w14:paraId="2096FB2A"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(0.00)</w:t>
            </w:r>
          </w:p>
        </w:tc>
        <w:tc>
          <w:tcPr>
            <w:tcW w:w="1081" w:type="dxa"/>
            <w:tcBorders>
              <w:top w:val="nil"/>
              <w:left w:val="nil"/>
              <w:bottom w:val="single" w:sz="4" w:space="0" w:color="auto"/>
              <w:right w:val="nil"/>
            </w:tcBorders>
            <w:vAlign w:val="center"/>
          </w:tcPr>
          <w:p w14:paraId="5B2E426A"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(0.05)</w:t>
            </w:r>
          </w:p>
        </w:tc>
      </w:tr>
      <w:tr w:rsidR="00355194" w:rsidRPr="00A71B25" w14:paraId="011D4531" w14:textId="77777777" w:rsidTr="00A71B25">
        <w:trPr>
          <w:jc w:val="center"/>
        </w:trPr>
        <w:tc>
          <w:tcPr>
            <w:tcW w:w="2835" w:type="dxa"/>
            <w:shd w:val="clear" w:color="auto" w:fill="auto"/>
          </w:tcPr>
          <w:p w14:paraId="34086B4F" w14:textId="77777777" w:rsidR="00355194" w:rsidRPr="00A71B25" w:rsidRDefault="00355194" w:rsidP="00355194">
            <w:pPr>
              <w:widowControl w:val="0"/>
              <w:autoSpaceDE w:val="0"/>
              <w:autoSpaceDN w:val="0"/>
              <w:adjustRightInd w:val="0"/>
              <w:jc w:val="center"/>
              <w:rPr>
                <w:sz w:val="20"/>
                <w:szCs w:val="20"/>
              </w:rPr>
            </w:pPr>
            <w:r w:rsidRPr="00A71B25">
              <w:rPr>
                <w:sz w:val="20"/>
                <w:szCs w:val="20"/>
              </w:rPr>
              <w:t>Controls</w:t>
            </w:r>
          </w:p>
        </w:tc>
        <w:tc>
          <w:tcPr>
            <w:tcW w:w="1223" w:type="dxa"/>
            <w:tcBorders>
              <w:top w:val="single" w:sz="4" w:space="0" w:color="auto"/>
            </w:tcBorders>
            <w:shd w:val="clear" w:color="auto" w:fill="auto"/>
            <w:vAlign w:val="center"/>
          </w:tcPr>
          <w:p w14:paraId="4209783C"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Yes</w:t>
            </w:r>
          </w:p>
        </w:tc>
        <w:tc>
          <w:tcPr>
            <w:tcW w:w="1081" w:type="dxa"/>
            <w:tcBorders>
              <w:top w:val="single" w:sz="4" w:space="0" w:color="auto"/>
            </w:tcBorders>
            <w:shd w:val="clear" w:color="auto" w:fill="auto"/>
            <w:vAlign w:val="center"/>
          </w:tcPr>
          <w:p w14:paraId="00567B07"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Yes</w:t>
            </w:r>
          </w:p>
        </w:tc>
        <w:tc>
          <w:tcPr>
            <w:tcW w:w="1081" w:type="dxa"/>
            <w:tcBorders>
              <w:top w:val="single" w:sz="4" w:space="0" w:color="auto"/>
            </w:tcBorders>
            <w:shd w:val="clear" w:color="auto" w:fill="auto"/>
            <w:vAlign w:val="center"/>
          </w:tcPr>
          <w:p w14:paraId="10BA7E3B"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Yes</w:t>
            </w:r>
          </w:p>
        </w:tc>
        <w:tc>
          <w:tcPr>
            <w:tcW w:w="1223" w:type="dxa"/>
            <w:tcBorders>
              <w:top w:val="single" w:sz="4" w:space="0" w:color="auto"/>
            </w:tcBorders>
            <w:shd w:val="clear" w:color="auto" w:fill="auto"/>
            <w:vAlign w:val="center"/>
          </w:tcPr>
          <w:p w14:paraId="5D896A3C"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Yes</w:t>
            </w:r>
          </w:p>
        </w:tc>
        <w:tc>
          <w:tcPr>
            <w:tcW w:w="1223" w:type="dxa"/>
            <w:tcBorders>
              <w:top w:val="single" w:sz="4" w:space="0" w:color="auto"/>
            </w:tcBorders>
            <w:shd w:val="clear" w:color="auto" w:fill="auto"/>
            <w:vAlign w:val="center"/>
          </w:tcPr>
          <w:p w14:paraId="7BBD6EF8"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Yes</w:t>
            </w:r>
          </w:p>
        </w:tc>
        <w:tc>
          <w:tcPr>
            <w:tcW w:w="1081" w:type="dxa"/>
            <w:tcBorders>
              <w:top w:val="single" w:sz="4" w:space="0" w:color="auto"/>
            </w:tcBorders>
            <w:shd w:val="clear" w:color="auto" w:fill="auto"/>
            <w:vAlign w:val="center"/>
          </w:tcPr>
          <w:p w14:paraId="2D571715" w14:textId="77777777" w:rsidR="00355194" w:rsidRPr="00A71B25" w:rsidRDefault="00355194" w:rsidP="00355194">
            <w:pPr>
              <w:widowControl w:val="0"/>
              <w:autoSpaceDE w:val="0"/>
              <w:autoSpaceDN w:val="0"/>
              <w:adjustRightInd w:val="0"/>
              <w:jc w:val="center"/>
              <w:rPr>
                <w:sz w:val="20"/>
                <w:szCs w:val="20"/>
              </w:rPr>
            </w:pPr>
            <w:r w:rsidRPr="00A71B25">
              <w:rPr>
                <w:rFonts w:eastAsia="DengXian"/>
                <w:sz w:val="20"/>
                <w:szCs w:val="20"/>
                <w:lang w:eastAsia="zh-CN"/>
              </w:rPr>
              <w:t>Yes</w:t>
            </w:r>
          </w:p>
        </w:tc>
      </w:tr>
      <w:tr w:rsidR="00355194" w:rsidRPr="00A71B25" w14:paraId="1F9D0662" w14:textId="77777777" w:rsidTr="00355194">
        <w:trPr>
          <w:jc w:val="center"/>
        </w:trPr>
        <w:tc>
          <w:tcPr>
            <w:tcW w:w="2835" w:type="dxa"/>
            <w:shd w:val="clear" w:color="auto" w:fill="auto"/>
          </w:tcPr>
          <w:p w14:paraId="5AF423FE"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Year FE</w:t>
            </w:r>
          </w:p>
        </w:tc>
        <w:tc>
          <w:tcPr>
            <w:tcW w:w="1223" w:type="dxa"/>
            <w:shd w:val="clear" w:color="auto" w:fill="auto"/>
          </w:tcPr>
          <w:p w14:paraId="6315B425"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52ACD1D2"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4AFA5216"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002BE5F2"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2F212120" w14:textId="77777777" w:rsidR="00355194" w:rsidRPr="00A71B25" w:rsidRDefault="00355194" w:rsidP="00355194">
            <w:pPr>
              <w:widowControl w:val="0"/>
              <w:autoSpaceDE w:val="0"/>
              <w:autoSpaceDN w:val="0"/>
              <w:adjustRightInd w:val="0"/>
              <w:jc w:val="center"/>
              <w:rPr>
                <w:sz w:val="20"/>
                <w:szCs w:val="20"/>
              </w:rPr>
            </w:pPr>
            <w:r w:rsidRPr="0024505F">
              <w:rPr>
                <w:rFonts w:eastAsia="DengXian"/>
                <w:sz w:val="20"/>
                <w:szCs w:val="20"/>
                <w:lang w:eastAsia="zh-CN"/>
              </w:rPr>
              <w:t>Yes</w:t>
            </w:r>
          </w:p>
        </w:tc>
        <w:tc>
          <w:tcPr>
            <w:tcW w:w="1081" w:type="dxa"/>
            <w:shd w:val="clear" w:color="auto" w:fill="auto"/>
          </w:tcPr>
          <w:p w14:paraId="2500828C"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r>
      <w:tr w:rsidR="00355194" w:rsidRPr="00A71B25" w14:paraId="0D2B6771" w14:textId="77777777" w:rsidTr="00A71B25">
        <w:trPr>
          <w:jc w:val="center"/>
        </w:trPr>
        <w:tc>
          <w:tcPr>
            <w:tcW w:w="2835" w:type="dxa"/>
            <w:shd w:val="clear" w:color="auto" w:fill="auto"/>
          </w:tcPr>
          <w:p w14:paraId="660AA90D"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Borrower sector FE</w:t>
            </w:r>
          </w:p>
        </w:tc>
        <w:tc>
          <w:tcPr>
            <w:tcW w:w="1223" w:type="dxa"/>
            <w:shd w:val="clear" w:color="auto" w:fill="auto"/>
          </w:tcPr>
          <w:p w14:paraId="4204548E"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3B2C9697"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3899F1E0"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04E1021C"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471A9695" w14:textId="77777777" w:rsidR="00355194" w:rsidRPr="00A71B25" w:rsidRDefault="00355194" w:rsidP="00355194">
            <w:pPr>
              <w:widowControl w:val="0"/>
              <w:autoSpaceDE w:val="0"/>
              <w:autoSpaceDN w:val="0"/>
              <w:adjustRightInd w:val="0"/>
              <w:jc w:val="center"/>
              <w:rPr>
                <w:sz w:val="20"/>
                <w:szCs w:val="20"/>
              </w:rPr>
            </w:pPr>
            <w:r w:rsidRPr="0024505F">
              <w:rPr>
                <w:rFonts w:eastAsia="DengXian"/>
                <w:sz w:val="20"/>
                <w:szCs w:val="20"/>
                <w:lang w:eastAsia="zh-CN"/>
              </w:rPr>
              <w:t>Yes</w:t>
            </w:r>
          </w:p>
        </w:tc>
        <w:tc>
          <w:tcPr>
            <w:tcW w:w="1081" w:type="dxa"/>
            <w:shd w:val="clear" w:color="auto" w:fill="auto"/>
          </w:tcPr>
          <w:p w14:paraId="620FA4A0"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r>
      <w:tr w:rsidR="00355194" w:rsidRPr="00A71B25" w14:paraId="3964462E" w14:textId="77777777" w:rsidTr="00A71B25">
        <w:trPr>
          <w:jc w:val="center"/>
        </w:trPr>
        <w:tc>
          <w:tcPr>
            <w:tcW w:w="2835" w:type="dxa"/>
            <w:shd w:val="clear" w:color="auto" w:fill="auto"/>
          </w:tcPr>
          <w:p w14:paraId="552C214E"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Bank FE</w:t>
            </w:r>
          </w:p>
        </w:tc>
        <w:tc>
          <w:tcPr>
            <w:tcW w:w="1223" w:type="dxa"/>
            <w:shd w:val="clear" w:color="auto" w:fill="auto"/>
          </w:tcPr>
          <w:p w14:paraId="1906A393"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2EBE0A02"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081" w:type="dxa"/>
            <w:shd w:val="clear" w:color="auto" w:fill="auto"/>
          </w:tcPr>
          <w:p w14:paraId="4B92ACC4"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54FAC454"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c>
          <w:tcPr>
            <w:tcW w:w="1223" w:type="dxa"/>
            <w:shd w:val="clear" w:color="auto" w:fill="auto"/>
          </w:tcPr>
          <w:p w14:paraId="334A9E49" w14:textId="77777777" w:rsidR="00355194" w:rsidRPr="00A71B25" w:rsidRDefault="00355194" w:rsidP="00355194">
            <w:pPr>
              <w:widowControl w:val="0"/>
              <w:autoSpaceDE w:val="0"/>
              <w:autoSpaceDN w:val="0"/>
              <w:adjustRightInd w:val="0"/>
              <w:jc w:val="center"/>
              <w:rPr>
                <w:sz w:val="20"/>
                <w:szCs w:val="20"/>
              </w:rPr>
            </w:pPr>
            <w:r w:rsidRPr="0024505F">
              <w:rPr>
                <w:rFonts w:eastAsia="DengXian"/>
                <w:sz w:val="20"/>
                <w:szCs w:val="20"/>
                <w:lang w:eastAsia="zh-CN"/>
              </w:rPr>
              <w:t>Yes</w:t>
            </w:r>
          </w:p>
        </w:tc>
        <w:tc>
          <w:tcPr>
            <w:tcW w:w="1081" w:type="dxa"/>
            <w:shd w:val="clear" w:color="auto" w:fill="auto"/>
          </w:tcPr>
          <w:p w14:paraId="50A73335" w14:textId="77777777" w:rsidR="00355194" w:rsidRPr="00A71B25" w:rsidRDefault="00355194" w:rsidP="00355194">
            <w:pPr>
              <w:widowControl w:val="0"/>
              <w:autoSpaceDE w:val="0"/>
              <w:autoSpaceDN w:val="0"/>
              <w:adjustRightInd w:val="0"/>
              <w:jc w:val="center"/>
              <w:rPr>
                <w:sz w:val="20"/>
                <w:szCs w:val="20"/>
              </w:rPr>
            </w:pPr>
            <w:r w:rsidRPr="00070779">
              <w:rPr>
                <w:sz w:val="20"/>
                <w:szCs w:val="20"/>
              </w:rPr>
              <w:t>Yes</w:t>
            </w:r>
          </w:p>
        </w:tc>
      </w:tr>
      <w:tr w:rsidR="00355194" w:rsidRPr="00A71B25" w14:paraId="7C0BEBA9" w14:textId="77777777" w:rsidTr="00355194">
        <w:trPr>
          <w:jc w:val="center"/>
        </w:trPr>
        <w:tc>
          <w:tcPr>
            <w:tcW w:w="2835" w:type="dxa"/>
            <w:shd w:val="clear" w:color="auto" w:fill="auto"/>
          </w:tcPr>
          <w:p w14:paraId="56E528F4" w14:textId="77777777" w:rsidR="00355194" w:rsidRPr="00A71B25" w:rsidRDefault="00355194" w:rsidP="00355194">
            <w:pPr>
              <w:widowControl w:val="0"/>
              <w:autoSpaceDE w:val="0"/>
              <w:autoSpaceDN w:val="0"/>
              <w:adjustRightInd w:val="0"/>
              <w:jc w:val="center"/>
              <w:rPr>
                <w:sz w:val="20"/>
                <w:szCs w:val="20"/>
              </w:rPr>
            </w:pPr>
            <w:r w:rsidRPr="00A71B25">
              <w:rPr>
                <w:sz w:val="20"/>
                <w:szCs w:val="20"/>
              </w:rPr>
              <w:t>Adjusted R2</w:t>
            </w:r>
          </w:p>
        </w:tc>
        <w:tc>
          <w:tcPr>
            <w:tcW w:w="1223" w:type="dxa"/>
            <w:tcBorders>
              <w:left w:val="nil"/>
              <w:bottom w:val="nil"/>
              <w:right w:val="nil"/>
            </w:tcBorders>
          </w:tcPr>
          <w:p w14:paraId="3060F51A"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0.759</w:t>
            </w:r>
          </w:p>
        </w:tc>
        <w:tc>
          <w:tcPr>
            <w:tcW w:w="1081" w:type="dxa"/>
            <w:tcBorders>
              <w:left w:val="nil"/>
              <w:bottom w:val="nil"/>
              <w:right w:val="nil"/>
            </w:tcBorders>
          </w:tcPr>
          <w:p w14:paraId="12A7C5D5" w14:textId="77777777" w:rsidR="00355194" w:rsidRPr="00A71B25" w:rsidRDefault="00355194" w:rsidP="00355194">
            <w:pPr>
              <w:widowControl w:val="0"/>
              <w:autoSpaceDE w:val="0"/>
              <w:autoSpaceDN w:val="0"/>
              <w:adjustRightInd w:val="0"/>
              <w:jc w:val="center"/>
              <w:rPr>
                <w:sz w:val="20"/>
                <w:szCs w:val="20"/>
              </w:rPr>
            </w:pPr>
            <w:r>
              <w:rPr>
                <w:sz w:val="20"/>
                <w:szCs w:val="20"/>
              </w:rPr>
              <w:t>0.402</w:t>
            </w:r>
          </w:p>
        </w:tc>
        <w:tc>
          <w:tcPr>
            <w:tcW w:w="1081" w:type="dxa"/>
            <w:tcBorders>
              <w:left w:val="nil"/>
              <w:bottom w:val="nil"/>
              <w:right w:val="nil"/>
            </w:tcBorders>
          </w:tcPr>
          <w:p w14:paraId="495D389F"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0.759</w:t>
            </w:r>
          </w:p>
        </w:tc>
        <w:tc>
          <w:tcPr>
            <w:tcW w:w="1223" w:type="dxa"/>
            <w:tcBorders>
              <w:left w:val="nil"/>
              <w:bottom w:val="nil"/>
              <w:right w:val="nil"/>
            </w:tcBorders>
          </w:tcPr>
          <w:p w14:paraId="1852071A" w14:textId="77777777" w:rsidR="00355194" w:rsidRPr="002E256B" w:rsidRDefault="00355194" w:rsidP="00355194">
            <w:pPr>
              <w:widowControl w:val="0"/>
              <w:autoSpaceDE w:val="0"/>
              <w:autoSpaceDN w:val="0"/>
              <w:adjustRightInd w:val="0"/>
              <w:jc w:val="center"/>
              <w:rPr>
                <w:rFonts w:eastAsia="DengXian"/>
                <w:sz w:val="20"/>
                <w:szCs w:val="20"/>
                <w:lang w:eastAsia="zh-CN"/>
              </w:rPr>
            </w:pPr>
            <w:r w:rsidRPr="002E256B">
              <w:rPr>
                <w:rFonts w:eastAsia="DengXian"/>
                <w:sz w:val="20"/>
                <w:szCs w:val="20"/>
                <w:lang w:eastAsia="zh-CN"/>
              </w:rPr>
              <w:t>0.402</w:t>
            </w:r>
          </w:p>
        </w:tc>
        <w:tc>
          <w:tcPr>
            <w:tcW w:w="1223" w:type="dxa"/>
            <w:tcBorders>
              <w:left w:val="nil"/>
              <w:bottom w:val="nil"/>
              <w:right w:val="nil"/>
            </w:tcBorders>
          </w:tcPr>
          <w:p w14:paraId="1DE73408"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0.759</w:t>
            </w:r>
          </w:p>
        </w:tc>
        <w:tc>
          <w:tcPr>
            <w:tcW w:w="1081" w:type="dxa"/>
            <w:tcBorders>
              <w:left w:val="nil"/>
              <w:bottom w:val="nil"/>
              <w:right w:val="nil"/>
            </w:tcBorders>
          </w:tcPr>
          <w:p w14:paraId="49C3EA9A" w14:textId="77777777" w:rsidR="00355194" w:rsidRPr="00A71B25" w:rsidRDefault="00355194" w:rsidP="00355194">
            <w:pPr>
              <w:widowControl w:val="0"/>
              <w:autoSpaceDE w:val="0"/>
              <w:autoSpaceDN w:val="0"/>
              <w:adjustRightInd w:val="0"/>
              <w:jc w:val="center"/>
              <w:rPr>
                <w:sz w:val="20"/>
                <w:szCs w:val="20"/>
                <w:lang w:val="en-GB"/>
              </w:rPr>
            </w:pPr>
            <w:r>
              <w:rPr>
                <w:sz w:val="20"/>
                <w:szCs w:val="20"/>
                <w:lang w:val="en-GB"/>
              </w:rPr>
              <w:t>0.402</w:t>
            </w:r>
          </w:p>
        </w:tc>
      </w:tr>
      <w:tr w:rsidR="00355194" w:rsidRPr="00A71B25" w14:paraId="3423D850" w14:textId="77777777" w:rsidTr="00D912F2">
        <w:trPr>
          <w:jc w:val="center"/>
        </w:trPr>
        <w:tc>
          <w:tcPr>
            <w:tcW w:w="2835" w:type="dxa"/>
            <w:tcBorders>
              <w:bottom w:val="single" w:sz="4" w:space="0" w:color="auto"/>
            </w:tcBorders>
            <w:shd w:val="clear" w:color="auto" w:fill="auto"/>
          </w:tcPr>
          <w:p w14:paraId="705CAACD" w14:textId="77777777" w:rsidR="00355194" w:rsidRPr="00A71B25" w:rsidRDefault="00355194" w:rsidP="00355194">
            <w:pPr>
              <w:widowControl w:val="0"/>
              <w:autoSpaceDE w:val="0"/>
              <w:autoSpaceDN w:val="0"/>
              <w:adjustRightInd w:val="0"/>
              <w:jc w:val="center"/>
              <w:rPr>
                <w:sz w:val="20"/>
                <w:szCs w:val="20"/>
              </w:rPr>
            </w:pPr>
            <w:r w:rsidRPr="00A71B25">
              <w:rPr>
                <w:sz w:val="20"/>
                <w:szCs w:val="20"/>
              </w:rPr>
              <w:t>Obs.</w:t>
            </w:r>
          </w:p>
        </w:tc>
        <w:tc>
          <w:tcPr>
            <w:tcW w:w="1223" w:type="dxa"/>
            <w:tcBorders>
              <w:top w:val="nil"/>
              <w:left w:val="nil"/>
              <w:bottom w:val="single" w:sz="4" w:space="0" w:color="auto"/>
              <w:right w:val="nil"/>
            </w:tcBorders>
          </w:tcPr>
          <w:p w14:paraId="2E1176C8"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9307.000</w:t>
            </w:r>
          </w:p>
        </w:tc>
        <w:tc>
          <w:tcPr>
            <w:tcW w:w="1081" w:type="dxa"/>
            <w:tcBorders>
              <w:top w:val="nil"/>
              <w:left w:val="nil"/>
              <w:bottom w:val="single" w:sz="4" w:space="0" w:color="auto"/>
              <w:right w:val="nil"/>
            </w:tcBorders>
          </w:tcPr>
          <w:p w14:paraId="6F069751"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9307.000</w:t>
            </w:r>
          </w:p>
        </w:tc>
        <w:tc>
          <w:tcPr>
            <w:tcW w:w="1081" w:type="dxa"/>
            <w:tcBorders>
              <w:top w:val="nil"/>
              <w:left w:val="nil"/>
              <w:bottom w:val="single" w:sz="4" w:space="0" w:color="auto"/>
              <w:right w:val="nil"/>
            </w:tcBorders>
          </w:tcPr>
          <w:p w14:paraId="6AE7F543"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9307.000</w:t>
            </w:r>
          </w:p>
        </w:tc>
        <w:tc>
          <w:tcPr>
            <w:tcW w:w="1223" w:type="dxa"/>
            <w:tcBorders>
              <w:top w:val="nil"/>
              <w:left w:val="nil"/>
              <w:bottom w:val="single" w:sz="4" w:space="0" w:color="auto"/>
              <w:right w:val="nil"/>
            </w:tcBorders>
          </w:tcPr>
          <w:p w14:paraId="5FB8E879"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9307.000</w:t>
            </w:r>
          </w:p>
        </w:tc>
        <w:tc>
          <w:tcPr>
            <w:tcW w:w="1223" w:type="dxa"/>
            <w:tcBorders>
              <w:top w:val="nil"/>
              <w:left w:val="nil"/>
              <w:bottom w:val="single" w:sz="4" w:space="0" w:color="auto"/>
              <w:right w:val="nil"/>
            </w:tcBorders>
          </w:tcPr>
          <w:p w14:paraId="53BB61C4"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9307.000</w:t>
            </w:r>
          </w:p>
        </w:tc>
        <w:tc>
          <w:tcPr>
            <w:tcW w:w="1081" w:type="dxa"/>
            <w:tcBorders>
              <w:top w:val="nil"/>
              <w:left w:val="nil"/>
              <w:bottom w:val="single" w:sz="4" w:space="0" w:color="auto"/>
              <w:right w:val="nil"/>
            </w:tcBorders>
          </w:tcPr>
          <w:p w14:paraId="56A2870D" w14:textId="77777777" w:rsidR="00355194" w:rsidRPr="00A71B25" w:rsidRDefault="00355194" w:rsidP="00355194">
            <w:pPr>
              <w:widowControl w:val="0"/>
              <w:autoSpaceDE w:val="0"/>
              <w:autoSpaceDN w:val="0"/>
              <w:adjustRightInd w:val="0"/>
              <w:jc w:val="center"/>
              <w:rPr>
                <w:sz w:val="20"/>
                <w:szCs w:val="20"/>
              </w:rPr>
            </w:pPr>
            <w:r w:rsidRPr="00C03819">
              <w:rPr>
                <w:sz w:val="20"/>
                <w:szCs w:val="20"/>
              </w:rPr>
              <w:t>9307.000</w:t>
            </w:r>
          </w:p>
        </w:tc>
      </w:tr>
    </w:tbl>
    <w:p w14:paraId="5E2E3FB1" w14:textId="77777777" w:rsidR="00726481" w:rsidRPr="00070779" w:rsidRDefault="00726481" w:rsidP="00726481">
      <w:pPr>
        <w:widowControl w:val="0"/>
        <w:autoSpaceDE w:val="0"/>
        <w:autoSpaceDN w:val="0"/>
        <w:adjustRightInd w:val="0"/>
        <w:rPr>
          <w:b/>
          <w:szCs w:val="20"/>
        </w:rPr>
      </w:pPr>
    </w:p>
    <w:p w14:paraId="2F4E3FD8" w14:textId="77777777" w:rsidR="00726481" w:rsidRDefault="00726481" w:rsidP="002D1408">
      <w:pPr>
        <w:widowControl w:val="0"/>
        <w:autoSpaceDE w:val="0"/>
        <w:autoSpaceDN w:val="0"/>
        <w:adjustRightInd w:val="0"/>
        <w:jc w:val="center"/>
        <w:rPr>
          <w:b/>
          <w:szCs w:val="20"/>
        </w:rPr>
      </w:pPr>
    </w:p>
    <w:p w14:paraId="67F41370" w14:textId="77777777" w:rsidR="00726481" w:rsidRDefault="00726481" w:rsidP="002D1408">
      <w:pPr>
        <w:widowControl w:val="0"/>
        <w:autoSpaceDE w:val="0"/>
        <w:autoSpaceDN w:val="0"/>
        <w:adjustRightInd w:val="0"/>
        <w:jc w:val="center"/>
        <w:rPr>
          <w:b/>
          <w:szCs w:val="20"/>
        </w:rPr>
      </w:pPr>
    </w:p>
    <w:p w14:paraId="199AA4F4" w14:textId="77777777" w:rsidR="00726481" w:rsidRDefault="00726481" w:rsidP="002D1408">
      <w:pPr>
        <w:widowControl w:val="0"/>
        <w:autoSpaceDE w:val="0"/>
        <w:autoSpaceDN w:val="0"/>
        <w:adjustRightInd w:val="0"/>
        <w:jc w:val="center"/>
        <w:rPr>
          <w:b/>
          <w:szCs w:val="20"/>
        </w:rPr>
      </w:pPr>
    </w:p>
    <w:p w14:paraId="5CB6E261" w14:textId="77777777" w:rsidR="00726481" w:rsidRDefault="00726481" w:rsidP="002D1408">
      <w:pPr>
        <w:widowControl w:val="0"/>
        <w:autoSpaceDE w:val="0"/>
        <w:autoSpaceDN w:val="0"/>
        <w:adjustRightInd w:val="0"/>
        <w:jc w:val="center"/>
        <w:rPr>
          <w:b/>
          <w:szCs w:val="20"/>
        </w:rPr>
      </w:pPr>
    </w:p>
    <w:p w14:paraId="6F1796DA" w14:textId="77777777" w:rsidR="00726481" w:rsidRDefault="00726481" w:rsidP="002D1408">
      <w:pPr>
        <w:widowControl w:val="0"/>
        <w:autoSpaceDE w:val="0"/>
        <w:autoSpaceDN w:val="0"/>
        <w:adjustRightInd w:val="0"/>
        <w:jc w:val="center"/>
        <w:rPr>
          <w:b/>
          <w:szCs w:val="20"/>
        </w:rPr>
      </w:pPr>
    </w:p>
    <w:p w14:paraId="77030D72" w14:textId="77777777" w:rsidR="00726481" w:rsidRDefault="00726481" w:rsidP="002D1408">
      <w:pPr>
        <w:widowControl w:val="0"/>
        <w:autoSpaceDE w:val="0"/>
        <w:autoSpaceDN w:val="0"/>
        <w:adjustRightInd w:val="0"/>
        <w:jc w:val="center"/>
        <w:rPr>
          <w:b/>
          <w:szCs w:val="20"/>
        </w:rPr>
      </w:pPr>
    </w:p>
    <w:p w14:paraId="4B27D01D" w14:textId="77777777" w:rsidR="00726481" w:rsidRDefault="00726481" w:rsidP="002D1408">
      <w:pPr>
        <w:widowControl w:val="0"/>
        <w:autoSpaceDE w:val="0"/>
        <w:autoSpaceDN w:val="0"/>
        <w:adjustRightInd w:val="0"/>
        <w:jc w:val="center"/>
        <w:rPr>
          <w:b/>
          <w:szCs w:val="20"/>
        </w:rPr>
      </w:pPr>
    </w:p>
    <w:p w14:paraId="5167D28F" w14:textId="77777777" w:rsidR="00726481" w:rsidRDefault="00726481" w:rsidP="002D1408">
      <w:pPr>
        <w:widowControl w:val="0"/>
        <w:autoSpaceDE w:val="0"/>
        <w:autoSpaceDN w:val="0"/>
        <w:adjustRightInd w:val="0"/>
        <w:jc w:val="center"/>
        <w:rPr>
          <w:b/>
          <w:szCs w:val="20"/>
        </w:rPr>
      </w:pPr>
    </w:p>
    <w:p w14:paraId="1705929E" w14:textId="77777777" w:rsidR="00726481" w:rsidRDefault="00726481" w:rsidP="002D1408">
      <w:pPr>
        <w:widowControl w:val="0"/>
        <w:autoSpaceDE w:val="0"/>
        <w:autoSpaceDN w:val="0"/>
        <w:adjustRightInd w:val="0"/>
        <w:jc w:val="center"/>
        <w:rPr>
          <w:b/>
          <w:szCs w:val="20"/>
        </w:rPr>
      </w:pPr>
    </w:p>
    <w:p w14:paraId="4BD662A2" w14:textId="77777777" w:rsidR="00726481" w:rsidRDefault="00726481" w:rsidP="002D1408">
      <w:pPr>
        <w:widowControl w:val="0"/>
        <w:autoSpaceDE w:val="0"/>
        <w:autoSpaceDN w:val="0"/>
        <w:adjustRightInd w:val="0"/>
        <w:jc w:val="center"/>
        <w:rPr>
          <w:b/>
          <w:szCs w:val="20"/>
        </w:rPr>
      </w:pPr>
    </w:p>
    <w:p w14:paraId="7A92B345" w14:textId="77777777" w:rsidR="00726481" w:rsidRDefault="00726481" w:rsidP="002D1408">
      <w:pPr>
        <w:widowControl w:val="0"/>
        <w:autoSpaceDE w:val="0"/>
        <w:autoSpaceDN w:val="0"/>
        <w:adjustRightInd w:val="0"/>
        <w:jc w:val="center"/>
        <w:rPr>
          <w:b/>
          <w:szCs w:val="20"/>
        </w:rPr>
      </w:pPr>
    </w:p>
    <w:p w14:paraId="68F456C6" w14:textId="77777777" w:rsidR="00726481" w:rsidRDefault="00726481" w:rsidP="002D1408">
      <w:pPr>
        <w:widowControl w:val="0"/>
        <w:autoSpaceDE w:val="0"/>
        <w:autoSpaceDN w:val="0"/>
        <w:adjustRightInd w:val="0"/>
        <w:jc w:val="center"/>
        <w:rPr>
          <w:b/>
          <w:szCs w:val="20"/>
        </w:rPr>
      </w:pPr>
    </w:p>
    <w:p w14:paraId="00B1DBC0" w14:textId="77777777" w:rsidR="00726481" w:rsidRDefault="00726481" w:rsidP="002D1408">
      <w:pPr>
        <w:widowControl w:val="0"/>
        <w:autoSpaceDE w:val="0"/>
        <w:autoSpaceDN w:val="0"/>
        <w:adjustRightInd w:val="0"/>
        <w:jc w:val="center"/>
        <w:rPr>
          <w:b/>
          <w:szCs w:val="20"/>
        </w:rPr>
      </w:pPr>
    </w:p>
    <w:p w14:paraId="424804DB" w14:textId="77777777" w:rsidR="00726481" w:rsidRDefault="00726481" w:rsidP="002D1408">
      <w:pPr>
        <w:widowControl w:val="0"/>
        <w:autoSpaceDE w:val="0"/>
        <w:autoSpaceDN w:val="0"/>
        <w:adjustRightInd w:val="0"/>
        <w:jc w:val="center"/>
        <w:rPr>
          <w:b/>
          <w:szCs w:val="20"/>
        </w:rPr>
      </w:pPr>
    </w:p>
    <w:p w14:paraId="5FEF1090" w14:textId="77777777" w:rsidR="00726481" w:rsidRDefault="00726481" w:rsidP="002D1408">
      <w:pPr>
        <w:widowControl w:val="0"/>
        <w:autoSpaceDE w:val="0"/>
        <w:autoSpaceDN w:val="0"/>
        <w:adjustRightInd w:val="0"/>
        <w:jc w:val="center"/>
        <w:rPr>
          <w:b/>
          <w:szCs w:val="20"/>
        </w:rPr>
      </w:pPr>
    </w:p>
    <w:p w14:paraId="715B42CB" w14:textId="77777777" w:rsidR="00726481" w:rsidRDefault="00726481" w:rsidP="002D1408">
      <w:pPr>
        <w:widowControl w:val="0"/>
        <w:autoSpaceDE w:val="0"/>
        <w:autoSpaceDN w:val="0"/>
        <w:adjustRightInd w:val="0"/>
        <w:jc w:val="center"/>
        <w:rPr>
          <w:b/>
          <w:szCs w:val="20"/>
        </w:rPr>
      </w:pPr>
    </w:p>
    <w:p w14:paraId="551E67D2" w14:textId="77777777" w:rsidR="00726481" w:rsidRDefault="00726481" w:rsidP="002D1408">
      <w:pPr>
        <w:widowControl w:val="0"/>
        <w:autoSpaceDE w:val="0"/>
        <w:autoSpaceDN w:val="0"/>
        <w:adjustRightInd w:val="0"/>
        <w:jc w:val="center"/>
        <w:rPr>
          <w:b/>
          <w:szCs w:val="20"/>
        </w:rPr>
      </w:pPr>
    </w:p>
    <w:p w14:paraId="0A81C9B8" w14:textId="77777777" w:rsidR="00DD31C8" w:rsidRDefault="00DD31C8" w:rsidP="002D1408">
      <w:pPr>
        <w:widowControl w:val="0"/>
        <w:autoSpaceDE w:val="0"/>
        <w:autoSpaceDN w:val="0"/>
        <w:adjustRightInd w:val="0"/>
        <w:jc w:val="center"/>
        <w:rPr>
          <w:b/>
          <w:szCs w:val="20"/>
        </w:rPr>
      </w:pPr>
    </w:p>
    <w:p w14:paraId="302456EF" w14:textId="77777777" w:rsidR="00DD31C8" w:rsidRDefault="00DD31C8" w:rsidP="002D1408">
      <w:pPr>
        <w:widowControl w:val="0"/>
        <w:autoSpaceDE w:val="0"/>
        <w:autoSpaceDN w:val="0"/>
        <w:adjustRightInd w:val="0"/>
        <w:jc w:val="center"/>
        <w:rPr>
          <w:b/>
          <w:szCs w:val="20"/>
        </w:rPr>
      </w:pPr>
    </w:p>
    <w:p w14:paraId="7D27E669" w14:textId="77777777" w:rsidR="00DD31C8" w:rsidRDefault="00DD31C8" w:rsidP="002D1408">
      <w:pPr>
        <w:widowControl w:val="0"/>
        <w:autoSpaceDE w:val="0"/>
        <w:autoSpaceDN w:val="0"/>
        <w:adjustRightInd w:val="0"/>
        <w:jc w:val="center"/>
        <w:rPr>
          <w:b/>
          <w:szCs w:val="20"/>
        </w:rPr>
      </w:pPr>
    </w:p>
    <w:p w14:paraId="7EBF574E" w14:textId="77777777" w:rsidR="00DD31C8" w:rsidRDefault="00DD31C8" w:rsidP="002D1408">
      <w:pPr>
        <w:widowControl w:val="0"/>
        <w:autoSpaceDE w:val="0"/>
        <w:autoSpaceDN w:val="0"/>
        <w:adjustRightInd w:val="0"/>
        <w:jc w:val="center"/>
        <w:rPr>
          <w:b/>
          <w:szCs w:val="20"/>
        </w:rPr>
      </w:pPr>
    </w:p>
    <w:p w14:paraId="0D8553A2" w14:textId="77777777" w:rsidR="007147C8" w:rsidRDefault="007147C8" w:rsidP="00010EA7">
      <w:pPr>
        <w:widowControl w:val="0"/>
        <w:autoSpaceDE w:val="0"/>
        <w:autoSpaceDN w:val="0"/>
        <w:adjustRightInd w:val="0"/>
        <w:jc w:val="center"/>
        <w:rPr>
          <w:b/>
          <w:szCs w:val="20"/>
        </w:rPr>
        <w:sectPr w:rsidR="007147C8" w:rsidSect="00F46DBC">
          <w:footerReference w:type="default" r:id="rId15"/>
          <w:pgSz w:w="12240" w:h="15840"/>
          <w:pgMar w:top="1440" w:right="1440" w:bottom="1440" w:left="1440" w:header="720" w:footer="720" w:gutter="0"/>
          <w:cols w:space="720"/>
          <w:noEndnote/>
          <w:docGrid w:linePitch="326"/>
        </w:sectPr>
      </w:pPr>
    </w:p>
    <w:p w14:paraId="4EE630E9" w14:textId="77777777" w:rsidR="000F6D47" w:rsidRPr="00CE7D45" w:rsidRDefault="000F6D47" w:rsidP="000F6D47">
      <w:pPr>
        <w:widowControl w:val="0"/>
        <w:autoSpaceDE w:val="0"/>
        <w:autoSpaceDN w:val="0"/>
        <w:adjustRightInd w:val="0"/>
        <w:jc w:val="center"/>
        <w:rPr>
          <w:b/>
          <w:szCs w:val="20"/>
        </w:rPr>
      </w:pPr>
      <w:r w:rsidRPr="00CE7D45">
        <w:rPr>
          <w:b/>
          <w:szCs w:val="20"/>
        </w:rPr>
        <w:t>TABLE 8</w:t>
      </w:r>
    </w:p>
    <w:p w14:paraId="6FEF4A49" w14:textId="77777777" w:rsidR="000F6D47" w:rsidRPr="00CE7D45" w:rsidRDefault="000F6D47" w:rsidP="000F6D47">
      <w:pPr>
        <w:jc w:val="center"/>
        <w:rPr>
          <w:b/>
          <w:bCs/>
          <w:lang w:val="en-GB"/>
        </w:rPr>
      </w:pPr>
      <w:r w:rsidRPr="00CE7D45">
        <w:rPr>
          <w:b/>
          <w:bCs/>
        </w:rPr>
        <w:t>Pricing: Governance links between the borrower and the lead agent</w:t>
      </w:r>
      <w:r>
        <w:rPr>
          <w:b/>
          <w:bCs/>
        </w:rPr>
        <w:t xml:space="preserve"> and 2007-2009 financial crisis</w:t>
      </w:r>
    </w:p>
    <w:p w14:paraId="4A01C516" w14:textId="77777777" w:rsidR="000F6D47" w:rsidRDefault="000F6D47" w:rsidP="000F6D47">
      <w:pPr>
        <w:widowControl w:val="0"/>
        <w:tabs>
          <w:tab w:val="left" w:pos="11907"/>
        </w:tabs>
        <w:autoSpaceDE w:val="0"/>
        <w:autoSpaceDN w:val="0"/>
        <w:adjustRightInd w:val="0"/>
        <w:ind w:left="-1276" w:right="-1215"/>
        <w:jc w:val="both"/>
        <w:rPr>
          <w:sz w:val="22"/>
          <w:szCs w:val="22"/>
        </w:rPr>
      </w:pPr>
      <w:r w:rsidRPr="00070779">
        <w:rPr>
          <w:sz w:val="22"/>
          <w:szCs w:val="22"/>
        </w:rPr>
        <w:t xml:space="preserve">This table reports the results of the model for the spread required by the lead </w:t>
      </w:r>
      <w:r>
        <w:rPr>
          <w:sz w:val="22"/>
          <w:szCs w:val="22"/>
        </w:rPr>
        <w:t>agent</w:t>
      </w:r>
      <w:r w:rsidRPr="00070779">
        <w:rPr>
          <w:sz w:val="22"/>
          <w:szCs w:val="22"/>
        </w:rPr>
        <w:t>, Eq (</w:t>
      </w:r>
      <w:r>
        <w:rPr>
          <w:sz w:val="22"/>
          <w:szCs w:val="22"/>
        </w:rPr>
        <w:t>2</w:t>
      </w:r>
      <w:r w:rsidRPr="00070779">
        <w:rPr>
          <w:sz w:val="22"/>
          <w:szCs w:val="22"/>
        </w:rPr>
        <w:t>). The dependent variables for Panel A and Panel B are</w:t>
      </w:r>
      <w:r>
        <w:rPr>
          <w:sz w:val="22"/>
          <w:szCs w:val="22"/>
        </w:rPr>
        <w:t xml:space="preserve"> respectively</w:t>
      </w:r>
      <w:r w:rsidRPr="00070779">
        <w:rPr>
          <w:sz w:val="22"/>
          <w:szCs w:val="22"/>
        </w:rPr>
        <w:t xml:space="preserve"> </w:t>
      </w:r>
      <w:r w:rsidRPr="00967BEA">
        <w:rPr>
          <w:i/>
          <w:iCs/>
          <w:sz w:val="22"/>
          <w:szCs w:val="22"/>
        </w:rPr>
        <w:t>AISD</w:t>
      </w:r>
      <w:r>
        <w:rPr>
          <w:sz w:val="22"/>
          <w:szCs w:val="22"/>
        </w:rPr>
        <w:t xml:space="preserve"> </w:t>
      </w:r>
      <w:r w:rsidRPr="00070779">
        <w:rPr>
          <w:sz w:val="22"/>
          <w:szCs w:val="22"/>
        </w:rPr>
        <w:t xml:space="preserve">and </w:t>
      </w:r>
      <w:r>
        <w:rPr>
          <w:i/>
          <w:iCs/>
          <w:sz w:val="22"/>
          <w:szCs w:val="22"/>
        </w:rPr>
        <w:t>TCB</w:t>
      </w:r>
      <w:r w:rsidRPr="00070779">
        <w:rPr>
          <w:sz w:val="22"/>
          <w:szCs w:val="22"/>
        </w:rPr>
        <w:t>. Columns (1), (3)</w:t>
      </w:r>
      <w:r>
        <w:rPr>
          <w:sz w:val="22"/>
          <w:szCs w:val="22"/>
        </w:rPr>
        <w:t>,</w:t>
      </w:r>
      <w:r w:rsidRPr="00070779">
        <w:rPr>
          <w:sz w:val="22"/>
          <w:szCs w:val="22"/>
        </w:rPr>
        <w:t xml:space="preserve"> (5)</w:t>
      </w:r>
      <w:r>
        <w:rPr>
          <w:sz w:val="22"/>
          <w:szCs w:val="22"/>
        </w:rPr>
        <w:t xml:space="preserve">, (7), (9) and (11) </w:t>
      </w:r>
      <w:r w:rsidRPr="00070779">
        <w:rPr>
          <w:sz w:val="22"/>
          <w:szCs w:val="22"/>
        </w:rPr>
        <w:t>report the first-stage results from a 2SLS estimation where we regress syndicate reputation variables against the lead agent participation. Columns (2), (4)</w:t>
      </w:r>
      <w:r>
        <w:rPr>
          <w:sz w:val="22"/>
          <w:szCs w:val="22"/>
        </w:rPr>
        <w:t>,</w:t>
      </w:r>
      <w:r w:rsidRPr="00070779">
        <w:rPr>
          <w:sz w:val="22"/>
          <w:szCs w:val="22"/>
        </w:rPr>
        <w:t xml:space="preserve"> (6)</w:t>
      </w:r>
      <w:r>
        <w:rPr>
          <w:sz w:val="22"/>
          <w:szCs w:val="22"/>
        </w:rPr>
        <w:t>, (8), (10) and (12)</w:t>
      </w:r>
      <w:r w:rsidRPr="00070779">
        <w:rPr>
          <w:sz w:val="22"/>
          <w:szCs w:val="22"/>
        </w:rPr>
        <w:t xml:space="preserve"> report the second</w:t>
      </w:r>
      <w:r w:rsidR="00845607">
        <w:rPr>
          <w:sz w:val="22"/>
          <w:szCs w:val="22"/>
        </w:rPr>
        <w:t>-</w:t>
      </w:r>
      <w:r w:rsidRPr="00070779">
        <w:rPr>
          <w:sz w:val="22"/>
          <w:szCs w:val="22"/>
        </w:rPr>
        <w:t xml:space="preserve">stage results of the 2SLS estimation. </w:t>
      </w:r>
      <w:r w:rsidRPr="00FC4381">
        <w:rPr>
          <w:sz w:val="22"/>
          <w:szCs w:val="22"/>
        </w:rPr>
        <w:t>Panel A refers to the test relative to governance links between the borrower and the lead agent</w:t>
      </w:r>
      <w:r w:rsidR="00A97714" w:rsidRPr="00FC4381">
        <w:rPr>
          <w:sz w:val="22"/>
          <w:szCs w:val="22"/>
        </w:rPr>
        <w:t xml:space="preserve">, while Panel B </w:t>
      </w:r>
      <w:r w:rsidRPr="00FC4381">
        <w:rPr>
          <w:sz w:val="22"/>
          <w:szCs w:val="22"/>
        </w:rPr>
        <w:t>exclude</w:t>
      </w:r>
      <w:r w:rsidR="00A97714" w:rsidRPr="00FC4381">
        <w:rPr>
          <w:sz w:val="22"/>
          <w:szCs w:val="22"/>
        </w:rPr>
        <w:t>s the</w:t>
      </w:r>
      <w:r w:rsidRPr="00FC4381">
        <w:rPr>
          <w:sz w:val="22"/>
          <w:szCs w:val="22"/>
        </w:rPr>
        <w:t xml:space="preserve"> facilities </w:t>
      </w:r>
      <w:r w:rsidR="00845607">
        <w:rPr>
          <w:sz w:val="22"/>
          <w:szCs w:val="22"/>
        </w:rPr>
        <w:t xml:space="preserve">that </w:t>
      </w:r>
      <w:r w:rsidR="00A97714" w:rsidRPr="00FC4381">
        <w:rPr>
          <w:sz w:val="22"/>
          <w:szCs w:val="22"/>
        </w:rPr>
        <w:t xml:space="preserve">originated </w:t>
      </w:r>
      <w:r w:rsidRPr="00FC4381">
        <w:rPr>
          <w:sz w:val="22"/>
          <w:szCs w:val="22"/>
        </w:rPr>
        <w:t>during the 2007-2009 financial crisis. All</w:t>
      </w:r>
      <w:r w:rsidRPr="00070779">
        <w:rPr>
          <w:sz w:val="22"/>
          <w:szCs w:val="22"/>
        </w:rPr>
        <w:t xml:space="preserve"> specifications include year, bank, and borrower sector-fixed effects. All independent variables are defined in Table A1 of the Appendix. Standard errors are clustered at borrower level and reported in parentheses. ***, **, and * denote statistical significance at the 1%, 5%, and 10% levels, respectively. </w:t>
      </w:r>
    </w:p>
    <w:tbl>
      <w:tblPr>
        <w:tblW w:w="6000" w:type="pct"/>
        <w:jc w:val="center"/>
        <w:tblLayout w:type="fixed"/>
        <w:tblLook w:val="04A0" w:firstRow="1" w:lastRow="0" w:firstColumn="1" w:lastColumn="0" w:noHBand="0" w:noVBand="1"/>
      </w:tblPr>
      <w:tblGrid>
        <w:gridCol w:w="1936"/>
        <w:gridCol w:w="1136"/>
        <w:gridCol w:w="1136"/>
        <w:gridCol w:w="1135"/>
        <w:gridCol w:w="1135"/>
        <w:gridCol w:w="1135"/>
        <w:gridCol w:w="1135"/>
        <w:gridCol w:w="1135"/>
        <w:gridCol w:w="1135"/>
        <w:gridCol w:w="1135"/>
        <w:gridCol w:w="1135"/>
        <w:gridCol w:w="1135"/>
        <w:gridCol w:w="1129"/>
      </w:tblGrid>
      <w:tr w:rsidR="000F6D47" w:rsidRPr="007147C8" w14:paraId="202CF9C8" w14:textId="77777777" w:rsidTr="00400B64">
        <w:trPr>
          <w:jc w:val="center"/>
        </w:trPr>
        <w:tc>
          <w:tcPr>
            <w:tcW w:w="622" w:type="pct"/>
            <w:tcBorders>
              <w:top w:val="single" w:sz="4" w:space="0" w:color="auto"/>
            </w:tcBorders>
            <w:vAlign w:val="center"/>
          </w:tcPr>
          <w:p w14:paraId="40F2AC7E" w14:textId="77777777" w:rsidR="000F6D47" w:rsidRPr="007147C8" w:rsidRDefault="000F6D47" w:rsidP="000F6D47">
            <w:pPr>
              <w:widowControl w:val="0"/>
              <w:autoSpaceDE w:val="0"/>
              <w:autoSpaceDN w:val="0"/>
              <w:adjustRightInd w:val="0"/>
              <w:jc w:val="center"/>
              <w:rPr>
                <w:rFonts w:eastAsia="DengXian"/>
                <w:b/>
                <w:bCs/>
                <w:sz w:val="20"/>
                <w:szCs w:val="20"/>
                <w:lang w:eastAsia="zh-CN"/>
              </w:rPr>
            </w:pPr>
            <w:r w:rsidRPr="007147C8">
              <w:rPr>
                <w:rFonts w:eastAsia="DengXian"/>
                <w:b/>
                <w:bCs/>
                <w:sz w:val="20"/>
                <w:szCs w:val="20"/>
                <w:lang w:eastAsia="zh-CN"/>
              </w:rPr>
              <w:t>Panel A:</w:t>
            </w:r>
            <w:r w:rsidR="00FC4381">
              <w:rPr>
                <w:rFonts w:eastAsia="DengXian"/>
                <w:b/>
                <w:bCs/>
                <w:sz w:val="20"/>
                <w:szCs w:val="20"/>
                <w:lang w:eastAsia="zh-CN"/>
              </w:rPr>
              <w:t xml:space="preserve"> Governance Links</w:t>
            </w:r>
          </w:p>
        </w:tc>
        <w:tc>
          <w:tcPr>
            <w:tcW w:w="2190" w:type="pct"/>
            <w:gridSpan w:val="6"/>
            <w:tcBorders>
              <w:top w:val="single" w:sz="4" w:space="0" w:color="auto"/>
              <w:bottom w:val="single" w:sz="4" w:space="0" w:color="auto"/>
            </w:tcBorders>
            <w:vAlign w:val="center"/>
          </w:tcPr>
          <w:p w14:paraId="38D02CE6" w14:textId="77777777" w:rsidR="000F6D47" w:rsidRPr="007147C8" w:rsidRDefault="000F6D47" w:rsidP="000F6D47">
            <w:pPr>
              <w:widowControl w:val="0"/>
              <w:autoSpaceDE w:val="0"/>
              <w:autoSpaceDN w:val="0"/>
              <w:adjustRightInd w:val="0"/>
              <w:jc w:val="center"/>
              <w:rPr>
                <w:rFonts w:eastAsia="DengXian"/>
                <w:sz w:val="20"/>
                <w:szCs w:val="20"/>
                <w:lang w:eastAsia="zh-CN"/>
              </w:rPr>
            </w:pPr>
            <w:r>
              <w:rPr>
                <w:rFonts w:eastAsia="DengXian"/>
                <w:sz w:val="20"/>
                <w:szCs w:val="20"/>
                <w:lang w:eastAsia="zh-CN"/>
              </w:rPr>
              <w:t>AISD</w:t>
            </w:r>
          </w:p>
        </w:tc>
        <w:tc>
          <w:tcPr>
            <w:tcW w:w="2187" w:type="pct"/>
            <w:gridSpan w:val="6"/>
            <w:tcBorders>
              <w:top w:val="single" w:sz="4" w:space="0" w:color="auto"/>
              <w:bottom w:val="single" w:sz="4" w:space="0" w:color="auto"/>
            </w:tcBorders>
            <w:vAlign w:val="center"/>
          </w:tcPr>
          <w:p w14:paraId="25574634" w14:textId="77777777" w:rsidR="000F6D47" w:rsidRPr="007147C8" w:rsidRDefault="000F6D47" w:rsidP="000F6D47">
            <w:pPr>
              <w:widowControl w:val="0"/>
              <w:autoSpaceDE w:val="0"/>
              <w:autoSpaceDN w:val="0"/>
              <w:adjustRightInd w:val="0"/>
              <w:jc w:val="center"/>
              <w:rPr>
                <w:rFonts w:eastAsia="DengXian"/>
                <w:sz w:val="20"/>
                <w:szCs w:val="20"/>
                <w:lang w:eastAsia="zh-CN"/>
              </w:rPr>
            </w:pPr>
            <w:r>
              <w:rPr>
                <w:rFonts w:eastAsia="DengXian"/>
                <w:sz w:val="20"/>
                <w:szCs w:val="20"/>
                <w:lang w:eastAsia="zh-CN"/>
              </w:rPr>
              <w:t>TCB</w:t>
            </w:r>
          </w:p>
        </w:tc>
      </w:tr>
      <w:tr w:rsidR="000F6D47" w:rsidRPr="007147C8" w14:paraId="338E45AE" w14:textId="77777777" w:rsidTr="00400B64">
        <w:trPr>
          <w:jc w:val="center"/>
        </w:trPr>
        <w:tc>
          <w:tcPr>
            <w:tcW w:w="622" w:type="pct"/>
            <w:vAlign w:val="center"/>
          </w:tcPr>
          <w:p w14:paraId="78772CAB" w14:textId="77777777" w:rsidR="000F6D47" w:rsidRPr="007147C8" w:rsidRDefault="000F6D47" w:rsidP="000F6D47">
            <w:pPr>
              <w:widowControl w:val="0"/>
              <w:autoSpaceDE w:val="0"/>
              <w:autoSpaceDN w:val="0"/>
              <w:adjustRightInd w:val="0"/>
              <w:jc w:val="center"/>
              <w:rPr>
                <w:rFonts w:eastAsia="DengXian"/>
                <w:b/>
                <w:bCs/>
                <w:sz w:val="20"/>
                <w:szCs w:val="20"/>
                <w:lang w:eastAsia="zh-CN"/>
              </w:rPr>
            </w:pPr>
          </w:p>
        </w:tc>
        <w:tc>
          <w:tcPr>
            <w:tcW w:w="365" w:type="pct"/>
            <w:tcBorders>
              <w:top w:val="single" w:sz="4" w:space="0" w:color="auto"/>
              <w:bottom w:val="single" w:sz="4" w:space="0" w:color="auto"/>
            </w:tcBorders>
            <w:vAlign w:val="center"/>
          </w:tcPr>
          <w:p w14:paraId="0EF9931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p>
        </w:tc>
        <w:tc>
          <w:tcPr>
            <w:tcW w:w="365" w:type="pct"/>
            <w:tcBorders>
              <w:top w:val="single" w:sz="4" w:space="0" w:color="auto"/>
              <w:bottom w:val="single" w:sz="4" w:space="0" w:color="auto"/>
            </w:tcBorders>
            <w:vAlign w:val="center"/>
          </w:tcPr>
          <w:p w14:paraId="178D5DB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p>
        </w:tc>
        <w:tc>
          <w:tcPr>
            <w:tcW w:w="365" w:type="pct"/>
            <w:tcBorders>
              <w:top w:val="single" w:sz="4" w:space="0" w:color="auto"/>
              <w:bottom w:val="single" w:sz="4" w:space="0" w:color="auto"/>
            </w:tcBorders>
            <w:vAlign w:val="center"/>
          </w:tcPr>
          <w:p w14:paraId="2551B07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(3)</w:t>
            </w:r>
          </w:p>
        </w:tc>
        <w:tc>
          <w:tcPr>
            <w:tcW w:w="365" w:type="pct"/>
            <w:tcBorders>
              <w:top w:val="single" w:sz="4" w:space="0" w:color="auto"/>
              <w:bottom w:val="single" w:sz="4" w:space="0" w:color="auto"/>
            </w:tcBorders>
            <w:vAlign w:val="center"/>
          </w:tcPr>
          <w:p w14:paraId="49EC984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(4)</w:t>
            </w:r>
          </w:p>
        </w:tc>
        <w:tc>
          <w:tcPr>
            <w:tcW w:w="365" w:type="pct"/>
            <w:tcBorders>
              <w:top w:val="single" w:sz="4" w:space="0" w:color="auto"/>
              <w:bottom w:val="single" w:sz="4" w:space="0" w:color="auto"/>
            </w:tcBorders>
            <w:vAlign w:val="center"/>
          </w:tcPr>
          <w:p w14:paraId="149AD91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(5)</w:t>
            </w:r>
          </w:p>
        </w:tc>
        <w:tc>
          <w:tcPr>
            <w:tcW w:w="365" w:type="pct"/>
            <w:tcBorders>
              <w:top w:val="single" w:sz="4" w:space="0" w:color="auto"/>
              <w:bottom w:val="single" w:sz="4" w:space="0" w:color="auto"/>
            </w:tcBorders>
            <w:vAlign w:val="center"/>
          </w:tcPr>
          <w:p w14:paraId="13867C5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(6)</w:t>
            </w:r>
          </w:p>
        </w:tc>
        <w:tc>
          <w:tcPr>
            <w:tcW w:w="365" w:type="pct"/>
            <w:tcBorders>
              <w:top w:val="single" w:sz="4" w:space="0" w:color="auto"/>
              <w:bottom w:val="single" w:sz="4" w:space="0" w:color="auto"/>
            </w:tcBorders>
            <w:vAlign w:val="center"/>
          </w:tcPr>
          <w:p w14:paraId="295D695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(7)</w:t>
            </w:r>
          </w:p>
        </w:tc>
        <w:tc>
          <w:tcPr>
            <w:tcW w:w="365" w:type="pct"/>
            <w:tcBorders>
              <w:top w:val="single" w:sz="4" w:space="0" w:color="auto"/>
              <w:bottom w:val="single" w:sz="4" w:space="0" w:color="auto"/>
            </w:tcBorders>
            <w:vAlign w:val="center"/>
          </w:tcPr>
          <w:p w14:paraId="7F9F87A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(8)</w:t>
            </w:r>
          </w:p>
        </w:tc>
        <w:tc>
          <w:tcPr>
            <w:tcW w:w="365" w:type="pct"/>
            <w:tcBorders>
              <w:top w:val="single" w:sz="4" w:space="0" w:color="auto"/>
              <w:bottom w:val="single" w:sz="4" w:space="0" w:color="auto"/>
            </w:tcBorders>
            <w:vAlign w:val="center"/>
          </w:tcPr>
          <w:p w14:paraId="2624B37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w:t>
            </w:r>
            <w:r>
              <w:rPr>
                <w:rFonts w:eastAsia="DengXian"/>
                <w:sz w:val="20"/>
                <w:szCs w:val="20"/>
                <w:lang w:eastAsia="zh-CN"/>
              </w:rPr>
              <w:t>9</w:t>
            </w:r>
            <w:r w:rsidRPr="007147C8">
              <w:rPr>
                <w:rFonts w:eastAsia="DengXian"/>
                <w:sz w:val="20"/>
                <w:szCs w:val="20"/>
                <w:lang w:eastAsia="zh-CN"/>
              </w:rPr>
              <w:t>)</w:t>
            </w:r>
          </w:p>
        </w:tc>
        <w:tc>
          <w:tcPr>
            <w:tcW w:w="365" w:type="pct"/>
            <w:tcBorders>
              <w:top w:val="single" w:sz="4" w:space="0" w:color="auto"/>
              <w:bottom w:val="single" w:sz="4" w:space="0" w:color="auto"/>
            </w:tcBorders>
            <w:vAlign w:val="center"/>
          </w:tcPr>
          <w:p w14:paraId="6906B2B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w:t>
            </w:r>
            <w:r>
              <w:rPr>
                <w:rFonts w:eastAsia="DengXian"/>
                <w:sz w:val="20"/>
                <w:szCs w:val="20"/>
                <w:lang w:eastAsia="zh-CN"/>
              </w:rPr>
              <w:t>10</w:t>
            </w:r>
            <w:r w:rsidRPr="007147C8">
              <w:rPr>
                <w:rFonts w:eastAsia="DengXian"/>
                <w:sz w:val="20"/>
                <w:szCs w:val="20"/>
                <w:lang w:eastAsia="zh-CN"/>
              </w:rPr>
              <w:t>)</w:t>
            </w:r>
          </w:p>
        </w:tc>
        <w:tc>
          <w:tcPr>
            <w:tcW w:w="365" w:type="pct"/>
            <w:tcBorders>
              <w:top w:val="single" w:sz="4" w:space="0" w:color="auto"/>
              <w:bottom w:val="single" w:sz="4" w:space="0" w:color="auto"/>
            </w:tcBorders>
            <w:vAlign w:val="center"/>
          </w:tcPr>
          <w:p w14:paraId="41036E2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w:t>
            </w:r>
            <w:r>
              <w:rPr>
                <w:rFonts w:eastAsia="DengXian"/>
                <w:sz w:val="20"/>
                <w:szCs w:val="20"/>
                <w:lang w:eastAsia="zh-CN"/>
              </w:rPr>
              <w:t>11</w:t>
            </w:r>
            <w:r w:rsidRPr="007147C8">
              <w:rPr>
                <w:rFonts w:eastAsia="DengXian"/>
                <w:sz w:val="20"/>
                <w:szCs w:val="20"/>
                <w:lang w:eastAsia="zh-CN"/>
              </w:rPr>
              <w:t>)</w:t>
            </w:r>
          </w:p>
        </w:tc>
        <w:tc>
          <w:tcPr>
            <w:tcW w:w="363" w:type="pct"/>
            <w:tcBorders>
              <w:top w:val="single" w:sz="4" w:space="0" w:color="auto"/>
              <w:bottom w:val="single" w:sz="4" w:space="0" w:color="auto"/>
            </w:tcBorders>
            <w:vAlign w:val="center"/>
          </w:tcPr>
          <w:p w14:paraId="3BA4925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w:t>
            </w:r>
            <w:r>
              <w:rPr>
                <w:rFonts w:eastAsia="DengXian"/>
                <w:sz w:val="20"/>
                <w:szCs w:val="20"/>
                <w:lang w:eastAsia="zh-CN"/>
              </w:rPr>
              <w:t>12</w:t>
            </w:r>
            <w:r w:rsidRPr="007147C8">
              <w:rPr>
                <w:rFonts w:eastAsia="DengXian"/>
                <w:sz w:val="20"/>
                <w:szCs w:val="20"/>
                <w:lang w:eastAsia="zh-CN"/>
              </w:rPr>
              <w:t>)</w:t>
            </w:r>
          </w:p>
        </w:tc>
      </w:tr>
      <w:tr w:rsidR="000F6D47" w:rsidRPr="007147C8" w14:paraId="16465EF7" w14:textId="77777777" w:rsidTr="00400B64">
        <w:trPr>
          <w:jc w:val="center"/>
        </w:trPr>
        <w:tc>
          <w:tcPr>
            <w:tcW w:w="622" w:type="pct"/>
            <w:vAlign w:val="center"/>
          </w:tcPr>
          <w:p w14:paraId="741401A5"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bottom w:val="single" w:sz="4" w:space="0" w:color="auto"/>
            </w:tcBorders>
            <w:vAlign w:val="center"/>
          </w:tcPr>
          <w:p w14:paraId="3E90043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35FD78F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5817235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0AB327C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160ADEF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3A181DA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4A36F99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3A12193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635DC9B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200F511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06A58A6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3" w:type="pct"/>
            <w:tcBorders>
              <w:top w:val="single" w:sz="4" w:space="0" w:color="auto"/>
              <w:bottom w:val="single" w:sz="4" w:space="0" w:color="auto"/>
            </w:tcBorders>
            <w:vAlign w:val="center"/>
          </w:tcPr>
          <w:p w14:paraId="17BBAF72"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r>
      <w:tr w:rsidR="000F6D47" w:rsidRPr="007147C8" w14:paraId="36B2D938" w14:textId="77777777" w:rsidTr="00400B64">
        <w:trPr>
          <w:jc w:val="center"/>
        </w:trPr>
        <w:tc>
          <w:tcPr>
            <w:tcW w:w="622" w:type="pct"/>
            <w:vAlign w:val="center"/>
          </w:tcPr>
          <w:p w14:paraId="24B5E633"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bottom w:val="single" w:sz="4" w:space="0" w:color="auto"/>
            </w:tcBorders>
            <w:vAlign w:val="center"/>
            <w:hideMark/>
          </w:tcPr>
          <w:p w14:paraId="714CFC6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tcBorders>
              <w:top w:val="single" w:sz="4" w:space="0" w:color="auto"/>
              <w:bottom w:val="single" w:sz="4" w:space="0" w:color="auto"/>
            </w:tcBorders>
            <w:vAlign w:val="center"/>
            <w:hideMark/>
          </w:tcPr>
          <w:p w14:paraId="317BFF5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c>
          <w:tcPr>
            <w:tcW w:w="365" w:type="pct"/>
            <w:tcBorders>
              <w:top w:val="single" w:sz="4" w:space="0" w:color="auto"/>
              <w:bottom w:val="single" w:sz="4" w:space="0" w:color="auto"/>
            </w:tcBorders>
            <w:vAlign w:val="center"/>
          </w:tcPr>
          <w:p w14:paraId="7D008E0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tcBorders>
              <w:top w:val="single" w:sz="4" w:space="0" w:color="auto"/>
              <w:bottom w:val="single" w:sz="4" w:space="0" w:color="auto"/>
            </w:tcBorders>
            <w:vAlign w:val="center"/>
          </w:tcPr>
          <w:p w14:paraId="19560E1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c>
          <w:tcPr>
            <w:tcW w:w="365" w:type="pct"/>
            <w:tcBorders>
              <w:top w:val="single" w:sz="4" w:space="0" w:color="auto"/>
              <w:bottom w:val="single" w:sz="4" w:space="0" w:color="auto"/>
            </w:tcBorders>
            <w:vAlign w:val="center"/>
            <w:hideMark/>
          </w:tcPr>
          <w:p w14:paraId="156871B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tcBorders>
              <w:top w:val="single" w:sz="4" w:space="0" w:color="auto"/>
              <w:bottom w:val="single" w:sz="4" w:space="0" w:color="auto"/>
            </w:tcBorders>
            <w:vAlign w:val="center"/>
            <w:hideMark/>
          </w:tcPr>
          <w:p w14:paraId="62E0152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c>
          <w:tcPr>
            <w:tcW w:w="365" w:type="pct"/>
            <w:tcBorders>
              <w:top w:val="single" w:sz="4" w:space="0" w:color="auto"/>
              <w:bottom w:val="single" w:sz="4" w:space="0" w:color="auto"/>
            </w:tcBorders>
            <w:vAlign w:val="center"/>
          </w:tcPr>
          <w:p w14:paraId="499893E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tcBorders>
              <w:top w:val="single" w:sz="4" w:space="0" w:color="auto"/>
              <w:bottom w:val="single" w:sz="4" w:space="0" w:color="auto"/>
            </w:tcBorders>
            <w:vAlign w:val="center"/>
          </w:tcPr>
          <w:p w14:paraId="7D6E956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c>
          <w:tcPr>
            <w:tcW w:w="365" w:type="pct"/>
            <w:tcBorders>
              <w:top w:val="single" w:sz="4" w:space="0" w:color="auto"/>
              <w:bottom w:val="single" w:sz="4" w:space="0" w:color="auto"/>
            </w:tcBorders>
            <w:vAlign w:val="center"/>
          </w:tcPr>
          <w:p w14:paraId="166668C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tcBorders>
              <w:top w:val="single" w:sz="4" w:space="0" w:color="auto"/>
              <w:bottom w:val="single" w:sz="4" w:space="0" w:color="auto"/>
            </w:tcBorders>
            <w:vAlign w:val="center"/>
          </w:tcPr>
          <w:p w14:paraId="71CDBA4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c>
          <w:tcPr>
            <w:tcW w:w="365" w:type="pct"/>
            <w:tcBorders>
              <w:top w:val="single" w:sz="4" w:space="0" w:color="auto"/>
              <w:bottom w:val="single" w:sz="4" w:space="0" w:color="auto"/>
            </w:tcBorders>
            <w:vAlign w:val="center"/>
          </w:tcPr>
          <w:p w14:paraId="7C714EC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3" w:type="pct"/>
            <w:tcBorders>
              <w:top w:val="single" w:sz="4" w:space="0" w:color="auto"/>
              <w:bottom w:val="single" w:sz="4" w:space="0" w:color="auto"/>
            </w:tcBorders>
            <w:vAlign w:val="center"/>
          </w:tcPr>
          <w:p w14:paraId="21E704E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r>
      <w:tr w:rsidR="000F6D47" w:rsidRPr="007147C8" w14:paraId="0B2A01A4" w14:textId="77777777" w:rsidTr="00400B64">
        <w:trPr>
          <w:jc w:val="center"/>
        </w:trPr>
        <w:tc>
          <w:tcPr>
            <w:tcW w:w="622" w:type="pct"/>
            <w:vAlign w:val="center"/>
            <w:hideMark/>
          </w:tcPr>
          <w:p w14:paraId="06441D0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Syndicate reputation: lead to participant</w:t>
            </w:r>
          </w:p>
        </w:tc>
        <w:tc>
          <w:tcPr>
            <w:tcW w:w="365" w:type="pct"/>
            <w:tcBorders>
              <w:top w:val="single" w:sz="4" w:space="0" w:color="auto"/>
            </w:tcBorders>
            <w:vAlign w:val="center"/>
          </w:tcPr>
          <w:p w14:paraId="7E1952C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-0.039</w:t>
            </w:r>
            <w:r w:rsidRPr="007147C8">
              <w:rPr>
                <w:sz w:val="20"/>
                <w:szCs w:val="20"/>
                <w:vertAlign w:val="superscript"/>
              </w:rPr>
              <w:t>***</w:t>
            </w:r>
          </w:p>
        </w:tc>
        <w:tc>
          <w:tcPr>
            <w:tcW w:w="365" w:type="pct"/>
            <w:tcBorders>
              <w:top w:val="single" w:sz="4" w:space="0" w:color="auto"/>
            </w:tcBorders>
            <w:vAlign w:val="center"/>
          </w:tcPr>
          <w:p w14:paraId="2C8A7F74"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tcBorders>
            <w:vAlign w:val="center"/>
          </w:tcPr>
          <w:p w14:paraId="58485E1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-0.038</w:t>
            </w:r>
            <w:r w:rsidRPr="007147C8">
              <w:rPr>
                <w:sz w:val="20"/>
                <w:szCs w:val="20"/>
                <w:vertAlign w:val="superscript"/>
              </w:rPr>
              <w:t>***</w:t>
            </w:r>
          </w:p>
        </w:tc>
        <w:tc>
          <w:tcPr>
            <w:tcW w:w="365" w:type="pct"/>
            <w:tcBorders>
              <w:top w:val="single" w:sz="4" w:space="0" w:color="auto"/>
            </w:tcBorders>
            <w:vAlign w:val="center"/>
          </w:tcPr>
          <w:p w14:paraId="6B4E1668"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tcBorders>
            <w:vAlign w:val="center"/>
          </w:tcPr>
          <w:p w14:paraId="2DBE784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-0.038</w:t>
            </w:r>
            <w:r w:rsidRPr="007147C8">
              <w:rPr>
                <w:sz w:val="20"/>
                <w:szCs w:val="20"/>
                <w:vertAlign w:val="superscript"/>
              </w:rPr>
              <w:t>***</w:t>
            </w:r>
          </w:p>
        </w:tc>
        <w:tc>
          <w:tcPr>
            <w:tcW w:w="365" w:type="pct"/>
            <w:tcBorders>
              <w:top w:val="single" w:sz="4" w:space="0" w:color="auto"/>
            </w:tcBorders>
            <w:vAlign w:val="center"/>
          </w:tcPr>
          <w:p w14:paraId="7F186C24"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tcBorders>
          </w:tcPr>
          <w:p w14:paraId="66F99E0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-0.039</w:t>
            </w:r>
            <w:r w:rsidRPr="00E36303">
              <w:rPr>
                <w:sz w:val="20"/>
                <w:szCs w:val="20"/>
                <w:vertAlign w:val="superscript"/>
              </w:rPr>
              <w:t>***</w:t>
            </w:r>
          </w:p>
        </w:tc>
        <w:tc>
          <w:tcPr>
            <w:tcW w:w="365" w:type="pct"/>
            <w:tcBorders>
              <w:top w:val="single" w:sz="4" w:space="0" w:color="auto"/>
            </w:tcBorders>
          </w:tcPr>
          <w:p w14:paraId="11317E64"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tcBorders>
          </w:tcPr>
          <w:p w14:paraId="32CA8D1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-0.038</w:t>
            </w:r>
            <w:r w:rsidRPr="00E36303">
              <w:rPr>
                <w:sz w:val="20"/>
                <w:szCs w:val="20"/>
                <w:vertAlign w:val="superscript"/>
              </w:rPr>
              <w:t>***</w:t>
            </w:r>
          </w:p>
        </w:tc>
        <w:tc>
          <w:tcPr>
            <w:tcW w:w="365" w:type="pct"/>
            <w:tcBorders>
              <w:top w:val="single" w:sz="4" w:space="0" w:color="auto"/>
            </w:tcBorders>
          </w:tcPr>
          <w:p w14:paraId="1F94294A"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tcBorders>
          </w:tcPr>
          <w:p w14:paraId="1200C59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-0.038</w:t>
            </w:r>
            <w:r w:rsidRPr="00E36303">
              <w:rPr>
                <w:sz w:val="20"/>
                <w:szCs w:val="20"/>
                <w:vertAlign w:val="superscript"/>
              </w:rPr>
              <w:t>***</w:t>
            </w:r>
          </w:p>
        </w:tc>
        <w:tc>
          <w:tcPr>
            <w:tcW w:w="363" w:type="pct"/>
            <w:tcBorders>
              <w:top w:val="single" w:sz="4" w:space="0" w:color="auto"/>
            </w:tcBorders>
          </w:tcPr>
          <w:p w14:paraId="42A9E7AF"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r>
      <w:tr w:rsidR="000F6D47" w:rsidRPr="007147C8" w14:paraId="14F0E57D" w14:textId="77777777" w:rsidTr="00400B64">
        <w:trPr>
          <w:jc w:val="center"/>
        </w:trPr>
        <w:tc>
          <w:tcPr>
            <w:tcW w:w="622" w:type="pct"/>
            <w:vAlign w:val="center"/>
          </w:tcPr>
          <w:p w14:paraId="658D949E"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38B596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w:t>
            </w:r>
          </w:p>
        </w:tc>
        <w:tc>
          <w:tcPr>
            <w:tcW w:w="365" w:type="pct"/>
            <w:vAlign w:val="center"/>
          </w:tcPr>
          <w:p w14:paraId="13F17C64"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23DD61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w:t>
            </w:r>
          </w:p>
        </w:tc>
        <w:tc>
          <w:tcPr>
            <w:tcW w:w="365" w:type="pct"/>
            <w:vAlign w:val="center"/>
          </w:tcPr>
          <w:p w14:paraId="094B921E"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331473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w:t>
            </w:r>
          </w:p>
        </w:tc>
        <w:tc>
          <w:tcPr>
            <w:tcW w:w="365" w:type="pct"/>
            <w:vAlign w:val="center"/>
          </w:tcPr>
          <w:p w14:paraId="0486CDCC"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Pr>
          <w:p w14:paraId="4291CE6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(0.01)</w:t>
            </w:r>
          </w:p>
        </w:tc>
        <w:tc>
          <w:tcPr>
            <w:tcW w:w="365" w:type="pct"/>
          </w:tcPr>
          <w:p w14:paraId="6EA7D6E0"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Pr>
          <w:p w14:paraId="37EB359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(0.01)</w:t>
            </w:r>
          </w:p>
        </w:tc>
        <w:tc>
          <w:tcPr>
            <w:tcW w:w="365" w:type="pct"/>
          </w:tcPr>
          <w:p w14:paraId="55733F50"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Pr>
          <w:p w14:paraId="4150C40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(0.01)</w:t>
            </w:r>
          </w:p>
        </w:tc>
        <w:tc>
          <w:tcPr>
            <w:tcW w:w="363" w:type="pct"/>
          </w:tcPr>
          <w:p w14:paraId="527CB321"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r>
      <w:tr w:rsidR="000F6D47" w:rsidRPr="007147C8" w14:paraId="273F74E5" w14:textId="77777777" w:rsidTr="00400B64">
        <w:trPr>
          <w:jc w:val="center"/>
        </w:trPr>
        <w:tc>
          <w:tcPr>
            <w:tcW w:w="622" w:type="pct"/>
            <w:vAlign w:val="center"/>
            <w:hideMark/>
          </w:tcPr>
          <w:p w14:paraId="78A0A07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Syndicate reputation: reciprocal</w:t>
            </w:r>
          </w:p>
        </w:tc>
        <w:tc>
          <w:tcPr>
            <w:tcW w:w="365" w:type="pct"/>
            <w:vAlign w:val="center"/>
          </w:tcPr>
          <w:p w14:paraId="4539981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-0.049</w:t>
            </w:r>
            <w:r w:rsidRPr="007147C8">
              <w:rPr>
                <w:sz w:val="20"/>
                <w:szCs w:val="20"/>
                <w:vertAlign w:val="superscript"/>
              </w:rPr>
              <w:t>***</w:t>
            </w:r>
          </w:p>
        </w:tc>
        <w:tc>
          <w:tcPr>
            <w:tcW w:w="365" w:type="pct"/>
            <w:vAlign w:val="center"/>
          </w:tcPr>
          <w:p w14:paraId="4D8CFC61"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4BAF46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-0.049</w:t>
            </w:r>
            <w:r w:rsidRPr="007147C8">
              <w:rPr>
                <w:sz w:val="20"/>
                <w:szCs w:val="20"/>
                <w:vertAlign w:val="superscript"/>
              </w:rPr>
              <w:t>***</w:t>
            </w:r>
          </w:p>
        </w:tc>
        <w:tc>
          <w:tcPr>
            <w:tcW w:w="365" w:type="pct"/>
            <w:vAlign w:val="center"/>
          </w:tcPr>
          <w:p w14:paraId="033EBAC2"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88F65D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-0.049</w:t>
            </w:r>
            <w:r w:rsidRPr="007147C8">
              <w:rPr>
                <w:sz w:val="20"/>
                <w:szCs w:val="20"/>
                <w:vertAlign w:val="superscript"/>
              </w:rPr>
              <w:t>***</w:t>
            </w:r>
          </w:p>
        </w:tc>
        <w:tc>
          <w:tcPr>
            <w:tcW w:w="365" w:type="pct"/>
            <w:vAlign w:val="center"/>
          </w:tcPr>
          <w:p w14:paraId="5041C564"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Pr>
          <w:p w14:paraId="063E5C3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-0.046</w:t>
            </w:r>
            <w:r w:rsidRPr="00E36303">
              <w:rPr>
                <w:sz w:val="20"/>
                <w:szCs w:val="20"/>
                <w:vertAlign w:val="superscript"/>
              </w:rPr>
              <w:t>***</w:t>
            </w:r>
          </w:p>
        </w:tc>
        <w:tc>
          <w:tcPr>
            <w:tcW w:w="365" w:type="pct"/>
          </w:tcPr>
          <w:p w14:paraId="2165012D"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Pr>
          <w:p w14:paraId="3AEAE89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-0.046</w:t>
            </w:r>
            <w:r w:rsidRPr="00E36303">
              <w:rPr>
                <w:sz w:val="20"/>
                <w:szCs w:val="20"/>
                <w:vertAlign w:val="superscript"/>
              </w:rPr>
              <w:t>***</w:t>
            </w:r>
          </w:p>
        </w:tc>
        <w:tc>
          <w:tcPr>
            <w:tcW w:w="365" w:type="pct"/>
          </w:tcPr>
          <w:p w14:paraId="60EA19D6"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Pr>
          <w:p w14:paraId="0FEE01E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-0.046</w:t>
            </w:r>
            <w:r w:rsidRPr="00E36303">
              <w:rPr>
                <w:sz w:val="20"/>
                <w:szCs w:val="20"/>
                <w:vertAlign w:val="superscript"/>
              </w:rPr>
              <w:t>***</w:t>
            </w:r>
          </w:p>
        </w:tc>
        <w:tc>
          <w:tcPr>
            <w:tcW w:w="363" w:type="pct"/>
          </w:tcPr>
          <w:p w14:paraId="38CCE379"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r>
      <w:tr w:rsidR="000F6D47" w:rsidRPr="007147C8" w14:paraId="588F94F5" w14:textId="77777777" w:rsidTr="00400B64">
        <w:trPr>
          <w:jc w:val="center"/>
        </w:trPr>
        <w:tc>
          <w:tcPr>
            <w:tcW w:w="622" w:type="pct"/>
            <w:vAlign w:val="center"/>
          </w:tcPr>
          <w:p w14:paraId="48744A29"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04DDFF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(0.00)</w:t>
            </w:r>
          </w:p>
        </w:tc>
        <w:tc>
          <w:tcPr>
            <w:tcW w:w="365" w:type="pct"/>
            <w:vAlign w:val="center"/>
          </w:tcPr>
          <w:p w14:paraId="36969F43"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B68A99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(0.00)</w:t>
            </w:r>
          </w:p>
        </w:tc>
        <w:tc>
          <w:tcPr>
            <w:tcW w:w="365" w:type="pct"/>
            <w:vAlign w:val="center"/>
          </w:tcPr>
          <w:p w14:paraId="093E5D3F"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88C027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(0.00)</w:t>
            </w:r>
          </w:p>
        </w:tc>
        <w:tc>
          <w:tcPr>
            <w:tcW w:w="365" w:type="pct"/>
            <w:vAlign w:val="center"/>
          </w:tcPr>
          <w:p w14:paraId="6E4875FC"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Pr>
          <w:p w14:paraId="6CE3390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(0.00)</w:t>
            </w:r>
          </w:p>
        </w:tc>
        <w:tc>
          <w:tcPr>
            <w:tcW w:w="365" w:type="pct"/>
          </w:tcPr>
          <w:p w14:paraId="6410DFAB"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tcPr>
          <w:p w14:paraId="7661A09F"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(0.00)</w:t>
            </w:r>
          </w:p>
        </w:tc>
        <w:tc>
          <w:tcPr>
            <w:tcW w:w="365" w:type="pct"/>
          </w:tcPr>
          <w:p w14:paraId="1A5BFD7C"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tcPr>
          <w:p w14:paraId="56182C20"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(0.00)</w:t>
            </w:r>
          </w:p>
        </w:tc>
        <w:tc>
          <w:tcPr>
            <w:tcW w:w="363" w:type="pct"/>
          </w:tcPr>
          <w:p w14:paraId="7861BCA9"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r>
      <w:tr w:rsidR="000F6D47" w:rsidRPr="007147C8" w14:paraId="329C4A72" w14:textId="77777777" w:rsidTr="00400B64">
        <w:trPr>
          <w:jc w:val="center"/>
        </w:trPr>
        <w:tc>
          <w:tcPr>
            <w:tcW w:w="622" w:type="pct"/>
            <w:vAlign w:val="center"/>
            <w:hideMark/>
          </w:tcPr>
          <w:p w14:paraId="175254B2"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vAlign w:val="center"/>
          </w:tcPr>
          <w:p w14:paraId="4C87F466"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6B7CEB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3.198</w:t>
            </w:r>
            <w:r w:rsidRPr="007147C8">
              <w:rPr>
                <w:sz w:val="20"/>
                <w:szCs w:val="20"/>
                <w:vertAlign w:val="superscript"/>
              </w:rPr>
              <w:t>***</w:t>
            </w:r>
          </w:p>
        </w:tc>
        <w:tc>
          <w:tcPr>
            <w:tcW w:w="365" w:type="pct"/>
            <w:vAlign w:val="center"/>
          </w:tcPr>
          <w:p w14:paraId="2481036A"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46CCC4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3.229</w:t>
            </w:r>
            <w:r w:rsidRPr="007147C8">
              <w:rPr>
                <w:sz w:val="20"/>
                <w:szCs w:val="20"/>
                <w:vertAlign w:val="superscript"/>
              </w:rPr>
              <w:t>***</w:t>
            </w:r>
          </w:p>
        </w:tc>
        <w:tc>
          <w:tcPr>
            <w:tcW w:w="365" w:type="pct"/>
            <w:vAlign w:val="center"/>
          </w:tcPr>
          <w:p w14:paraId="5CE69B29"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5DB510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3.225</w:t>
            </w:r>
            <w:r w:rsidRPr="007147C8">
              <w:rPr>
                <w:sz w:val="20"/>
                <w:szCs w:val="20"/>
                <w:vertAlign w:val="superscript"/>
              </w:rPr>
              <w:t>***</w:t>
            </w:r>
          </w:p>
        </w:tc>
        <w:tc>
          <w:tcPr>
            <w:tcW w:w="365" w:type="pct"/>
          </w:tcPr>
          <w:p w14:paraId="19C07148" w14:textId="77777777" w:rsidR="000F6D47" w:rsidRPr="007147C8" w:rsidRDefault="000F6D47" w:rsidP="000F6D47">
            <w:pPr>
              <w:widowControl w:val="0"/>
              <w:autoSpaceDE w:val="0"/>
              <w:autoSpaceDN w:val="0"/>
              <w:adjustRightInd w:val="0"/>
              <w:jc w:val="center"/>
              <w:rPr>
                <w:sz w:val="20"/>
                <w:szCs w:val="20"/>
              </w:rPr>
            </w:pPr>
          </w:p>
        </w:tc>
        <w:tc>
          <w:tcPr>
            <w:tcW w:w="365" w:type="pct"/>
          </w:tcPr>
          <w:p w14:paraId="06C694AD"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3.630</w:t>
            </w:r>
            <w:r w:rsidRPr="00E36303">
              <w:rPr>
                <w:sz w:val="20"/>
                <w:szCs w:val="20"/>
                <w:vertAlign w:val="superscript"/>
              </w:rPr>
              <w:t>***</w:t>
            </w:r>
          </w:p>
        </w:tc>
        <w:tc>
          <w:tcPr>
            <w:tcW w:w="365" w:type="pct"/>
          </w:tcPr>
          <w:p w14:paraId="0B426933" w14:textId="77777777" w:rsidR="000F6D47" w:rsidRPr="00840219" w:rsidRDefault="000F6D47" w:rsidP="000F6D47">
            <w:pPr>
              <w:widowControl w:val="0"/>
              <w:autoSpaceDE w:val="0"/>
              <w:autoSpaceDN w:val="0"/>
              <w:adjustRightInd w:val="0"/>
              <w:jc w:val="center"/>
              <w:rPr>
                <w:sz w:val="20"/>
                <w:szCs w:val="20"/>
              </w:rPr>
            </w:pPr>
          </w:p>
        </w:tc>
        <w:tc>
          <w:tcPr>
            <w:tcW w:w="365" w:type="pct"/>
          </w:tcPr>
          <w:p w14:paraId="0DCA6D6C"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3.648</w:t>
            </w:r>
            <w:r w:rsidRPr="00E36303">
              <w:rPr>
                <w:sz w:val="20"/>
                <w:szCs w:val="20"/>
                <w:vertAlign w:val="superscript"/>
              </w:rPr>
              <w:t>***</w:t>
            </w:r>
          </w:p>
        </w:tc>
        <w:tc>
          <w:tcPr>
            <w:tcW w:w="365" w:type="pct"/>
          </w:tcPr>
          <w:p w14:paraId="29D47BF0" w14:textId="77777777" w:rsidR="000F6D47" w:rsidRPr="00840219" w:rsidRDefault="000F6D47" w:rsidP="000F6D47">
            <w:pPr>
              <w:widowControl w:val="0"/>
              <w:autoSpaceDE w:val="0"/>
              <w:autoSpaceDN w:val="0"/>
              <w:adjustRightInd w:val="0"/>
              <w:jc w:val="center"/>
              <w:rPr>
                <w:sz w:val="20"/>
                <w:szCs w:val="20"/>
              </w:rPr>
            </w:pPr>
          </w:p>
        </w:tc>
        <w:tc>
          <w:tcPr>
            <w:tcW w:w="363" w:type="pct"/>
          </w:tcPr>
          <w:p w14:paraId="57A36666"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3.638</w:t>
            </w:r>
            <w:r w:rsidRPr="00E36303">
              <w:rPr>
                <w:sz w:val="20"/>
                <w:szCs w:val="20"/>
                <w:vertAlign w:val="superscript"/>
              </w:rPr>
              <w:t>***</w:t>
            </w:r>
          </w:p>
        </w:tc>
      </w:tr>
      <w:tr w:rsidR="000F6D47" w:rsidRPr="007147C8" w14:paraId="20BF6902" w14:textId="77777777" w:rsidTr="00400B64">
        <w:trPr>
          <w:jc w:val="center"/>
        </w:trPr>
        <w:tc>
          <w:tcPr>
            <w:tcW w:w="622" w:type="pct"/>
            <w:vAlign w:val="center"/>
          </w:tcPr>
          <w:p w14:paraId="30E0C6C4"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A360E64"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6D2ED3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(0.71)</w:t>
            </w:r>
          </w:p>
        </w:tc>
        <w:tc>
          <w:tcPr>
            <w:tcW w:w="365" w:type="pct"/>
            <w:vAlign w:val="center"/>
          </w:tcPr>
          <w:p w14:paraId="24E33D7C"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CBA841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(0.73)</w:t>
            </w:r>
          </w:p>
        </w:tc>
        <w:tc>
          <w:tcPr>
            <w:tcW w:w="365" w:type="pct"/>
            <w:vAlign w:val="center"/>
          </w:tcPr>
          <w:p w14:paraId="5A6AD347"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F3831F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(0.71)</w:t>
            </w:r>
          </w:p>
        </w:tc>
        <w:tc>
          <w:tcPr>
            <w:tcW w:w="365" w:type="pct"/>
          </w:tcPr>
          <w:p w14:paraId="39E1D581" w14:textId="77777777" w:rsidR="000F6D47" w:rsidRPr="007147C8" w:rsidRDefault="000F6D47" w:rsidP="000F6D47">
            <w:pPr>
              <w:widowControl w:val="0"/>
              <w:autoSpaceDE w:val="0"/>
              <w:autoSpaceDN w:val="0"/>
              <w:adjustRightInd w:val="0"/>
              <w:jc w:val="center"/>
              <w:rPr>
                <w:sz w:val="20"/>
                <w:szCs w:val="20"/>
              </w:rPr>
            </w:pPr>
          </w:p>
        </w:tc>
        <w:tc>
          <w:tcPr>
            <w:tcW w:w="365" w:type="pct"/>
          </w:tcPr>
          <w:p w14:paraId="27C88A9C"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(1.07)</w:t>
            </w:r>
          </w:p>
        </w:tc>
        <w:tc>
          <w:tcPr>
            <w:tcW w:w="365" w:type="pct"/>
          </w:tcPr>
          <w:p w14:paraId="537A46DB" w14:textId="77777777" w:rsidR="000F6D47" w:rsidRPr="00840219" w:rsidRDefault="000F6D47" w:rsidP="000F6D47">
            <w:pPr>
              <w:widowControl w:val="0"/>
              <w:autoSpaceDE w:val="0"/>
              <w:autoSpaceDN w:val="0"/>
              <w:adjustRightInd w:val="0"/>
              <w:jc w:val="center"/>
              <w:rPr>
                <w:sz w:val="20"/>
                <w:szCs w:val="20"/>
              </w:rPr>
            </w:pPr>
          </w:p>
        </w:tc>
        <w:tc>
          <w:tcPr>
            <w:tcW w:w="365" w:type="pct"/>
          </w:tcPr>
          <w:p w14:paraId="14FD24A4"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(1.22)</w:t>
            </w:r>
          </w:p>
        </w:tc>
        <w:tc>
          <w:tcPr>
            <w:tcW w:w="365" w:type="pct"/>
          </w:tcPr>
          <w:p w14:paraId="4E735C54" w14:textId="77777777" w:rsidR="000F6D47" w:rsidRPr="00840219" w:rsidRDefault="000F6D47" w:rsidP="000F6D47">
            <w:pPr>
              <w:widowControl w:val="0"/>
              <w:autoSpaceDE w:val="0"/>
              <w:autoSpaceDN w:val="0"/>
              <w:adjustRightInd w:val="0"/>
              <w:jc w:val="center"/>
              <w:rPr>
                <w:sz w:val="20"/>
                <w:szCs w:val="20"/>
              </w:rPr>
            </w:pPr>
          </w:p>
        </w:tc>
        <w:tc>
          <w:tcPr>
            <w:tcW w:w="363" w:type="pct"/>
          </w:tcPr>
          <w:p w14:paraId="3AA9D78F"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(1.07)</w:t>
            </w:r>
          </w:p>
        </w:tc>
      </w:tr>
      <w:tr w:rsidR="000F6D47" w:rsidRPr="007147C8" w14:paraId="524910E3" w14:textId="77777777" w:rsidTr="00400B64">
        <w:trPr>
          <w:trHeight w:val="84"/>
          <w:jc w:val="center"/>
        </w:trPr>
        <w:tc>
          <w:tcPr>
            <w:tcW w:w="622" w:type="pct"/>
            <w:vAlign w:val="center"/>
            <w:hideMark/>
          </w:tcPr>
          <w:p w14:paraId="6A2C465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Large CS links</w:t>
            </w:r>
          </w:p>
        </w:tc>
        <w:tc>
          <w:tcPr>
            <w:tcW w:w="365" w:type="pct"/>
            <w:vAlign w:val="center"/>
          </w:tcPr>
          <w:p w14:paraId="3F92946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0.005</w:t>
            </w:r>
            <w:r w:rsidRPr="007147C8">
              <w:rPr>
                <w:sz w:val="20"/>
                <w:szCs w:val="20"/>
                <w:vertAlign w:val="superscript"/>
              </w:rPr>
              <w:t>*</w:t>
            </w:r>
          </w:p>
        </w:tc>
        <w:tc>
          <w:tcPr>
            <w:tcW w:w="365" w:type="pct"/>
            <w:vAlign w:val="center"/>
          </w:tcPr>
          <w:p w14:paraId="7553FA5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0.041</w:t>
            </w:r>
          </w:p>
        </w:tc>
        <w:tc>
          <w:tcPr>
            <w:tcW w:w="365" w:type="pct"/>
            <w:vAlign w:val="center"/>
          </w:tcPr>
          <w:p w14:paraId="31B90F3D"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238A7366"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179DA89"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AC18261"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Pr>
          <w:p w14:paraId="3CB3771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0.005</w:t>
            </w:r>
            <w:r w:rsidRPr="00E36303">
              <w:rPr>
                <w:sz w:val="20"/>
                <w:szCs w:val="20"/>
                <w:vertAlign w:val="superscript"/>
              </w:rPr>
              <w:t>**</w:t>
            </w:r>
          </w:p>
        </w:tc>
        <w:tc>
          <w:tcPr>
            <w:tcW w:w="365" w:type="pct"/>
          </w:tcPr>
          <w:p w14:paraId="4BEC7B81"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-0.026</w:t>
            </w:r>
          </w:p>
        </w:tc>
        <w:tc>
          <w:tcPr>
            <w:tcW w:w="365" w:type="pct"/>
          </w:tcPr>
          <w:p w14:paraId="4A4AEF03"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tcPr>
          <w:p w14:paraId="37C01630"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tcPr>
          <w:p w14:paraId="5F200FF2"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3" w:type="pct"/>
          </w:tcPr>
          <w:p w14:paraId="6C108EF4"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r>
      <w:tr w:rsidR="000F6D47" w:rsidRPr="007147C8" w14:paraId="3FA6F9B1" w14:textId="77777777" w:rsidTr="00400B64">
        <w:trPr>
          <w:jc w:val="center"/>
        </w:trPr>
        <w:tc>
          <w:tcPr>
            <w:tcW w:w="622" w:type="pct"/>
            <w:vAlign w:val="center"/>
          </w:tcPr>
          <w:p w14:paraId="5819C42F"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6F88123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(0.00)</w:t>
            </w:r>
          </w:p>
        </w:tc>
        <w:tc>
          <w:tcPr>
            <w:tcW w:w="365" w:type="pct"/>
            <w:vAlign w:val="center"/>
          </w:tcPr>
          <w:p w14:paraId="5230C63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(0.04)</w:t>
            </w:r>
          </w:p>
        </w:tc>
        <w:tc>
          <w:tcPr>
            <w:tcW w:w="365" w:type="pct"/>
            <w:vAlign w:val="center"/>
          </w:tcPr>
          <w:p w14:paraId="34300E68"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2A585FF"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31255CA"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171EB2B"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Pr>
          <w:p w14:paraId="4A57A0B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(0.00)</w:t>
            </w:r>
          </w:p>
        </w:tc>
        <w:tc>
          <w:tcPr>
            <w:tcW w:w="365" w:type="pct"/>
          </w:tcPr>
          <w:p w14:paraId="1EBD935B"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E36303">
              <w:rPr>
                <w:sz w:val="20"/>
                <w:szCs w:val="20"/>
              </w:rPr>
              <w:t>(0.04)</w:t>
            </w:r>
          </w:p>
        </w:tc>
        <w:tc>
          <w:tcPr>
            <w:tcW w:w="365" w:type="pct"/>
          </w:tcPr>
          <w:p w14:paraId="69CABBBC"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tcPr>
          <w:p w14:paraId="2191058C"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tcPr>
          <w:p w14:paraId="538E9510"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3" w:type="pct"/>
          </w:tcPr>
          <w:p w14:paraId="1FF97269"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r>
      <w:tr w:rsidR="000F6D47" w:rsidRPr="007147C8" w14:paraId="5839A551" w14:textId="77777777" w:rsidTr="00400B64">
        <w:trPr>
          <w:jc w:val="center"/>
        </w:trPr>
        <w:tc>
          <w:tcPr>
            <w:tcW w:w="622" w:type="pct"/>
            <w:vAlign w:val="center"/>
            <w:hideMark/>
          </w:tcPr>
          <w:p w14:paraId="03C5C31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Log(Length large CS links)</w:t>
            </w:r>
          </w:p>
        </w:tc>
        <w:tc>
          <w:tcPr>
            <w:tcW w:w="365" w:type="pct"/>
            <w:vAlign w:val="center"/>
          </w:tcPr>
          <w:p w14:paraId="54D9D6EB"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416CA7D"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963047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0.016</w:t>
            </w:r>
            <w:r w:rsidRPr="007147C8">
              <w:rPr>
                <w:sz w:val="20"/>
                <w:szCs w:val="20"/>
                <w:vertAlign w:val="superscript"/>
              </w:rPr>
              <w:t>***</w:t>
            </w:r>
          </w:p>
        </w:tc>
        <w:tc>
          <w:tcPr>
            <w:tcW w:w="365" w:type="pct"/>
            <w:vAlign w:val="center"/>
          </w:tcPr>
          <w:p w14:paraId="26AE0D2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-0.082</w:t>
            </w:r>
          </w:p>
        </w:tc>
        <w:tc>
          <w:tcPr>
            <w:tcW w:w="365" w:type="pct"/>
            <w:vAlign w:val="center"/>
          </w:tcPr>
          <w:p w14:paraId="7E3BBAE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0.042</w:t>
            </w:r>
            <w:r w:rsidRPr="007147C8">
              <w:rPr>
                <w:sz w:val="20"/>
                <w:szCs w:val="20"/>
                <w:vertAlign w:val="superscript"/>
              </w:rPr>
              <w:t>***</w:t>
            </w:r>
          </w:p>
        </w:tc>
        <w:tc>
          <w:tcPr>
            <w:tcW w:w="365" w:type="pct"/>
            <w:vAlign w:val="center"/>
          </w:tcPr>
          <w:p w14:paraId="547D338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0.063</w:t>
            </w:r>
          </w:p>
        </w:tc>
        <w:tc>
          <w:tcPr>
            <w:tcW w:w="365" w:type="pct"/>
          </w:tcPr>
          <w:p w14:paraId="622EFAE4" w14:textId="77777777" w:rsidR="000F6D47" w:rsidRPr="007147C8" w:rsidRDefault="000F6D47" w:rsidP="000F6D47">
            <w:pPr>
              <w:widowControl w:val="0"/>
              <w:autoSpaceDE w:val="0"/>
              <w:autoSpaceDN w:val="0"/>
              <w:adjustRightInd w:val="0"/>
              <w:jc w:val="center"/>
              <w:rPr>
                <w:sz w:val="20"/>
                <w:szCs w:val="20"/>
              </w:rPr>
            </w:pPr>
          </w:p>
        </w:tc>
        <w:tc>
          <w:tcPr>
            <w:tcW w:w="365" w:type="pct"/>
          </w:tcPr>
          <w:p w14:paraId="3F5BDACA" w14:textId="77777777" w:rsidR="000F6D47" w:rsidRPr="00840219" w:rsidRDefault="000F6D47" w:rsidP="000F6D47">
            <w:pPr>
              <w:widowControl w:val="0"/>
              <w:autoSpaceDE w:val="0"/>
              <w:autoSpaceDN w:val="0"/>
              <w:adjustRightInd w:val="0"/>
              <w:jc w:val="center"/>
              <w:rPr>
                <w:sz w:val="20"/>
                <w:szCs w:val="20"/>
              </w:rPr>
            </w:pPr>
          </w:p>
        </w:tc>
        <w:tc>
          <w:tcPr>
            <w:tcW w:w="365" w:type="pct"/>
          </w:tcPr>
          <w:p w14:paraId="41E548AE"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0.016</w:t>
            </w:r>
            <w:r w:rsidRPr="00E36303">
              <w:rPr>
                <w:sz w:val="20"/>
                <w:szCs w:val="20"/>
                <w:vertAlign w:val="superscript"/>
              </w:rPr>
              <w:t>***</w:t>
            </w:r>
          </w:p>
        </w:tc>
        <w:tc>
          <w:tcPr>
            <w:tcW w:w="365" w:type="pct"/>
          </w:tcPr>
          <w:p w14:paraId="14221820"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-0.112</w:t>
            </w:r>
          </w:p>
        </w:tc>
        <w:tc>
          <w:tcPr>
            <w:tcW w:w="365" w:type="pct"/>
          </w:tcPr>
          <w:p w14:paraId="7B044017"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0.039</w:t>
            </w:r>
            <w:r w:rsidRPr="00E36303">
              <w:rPr>
                <w:sz w:val="20"/>
                <w:szCs w:val="20"/>
                <w:vertAlign w:val="superscript"/>
              </w:rPr>
              <w:t>***</w:t>
            </w:r>
          </w:p>
        </w:tc>
        <w:tc>
          <w:tcPr>
            <w:tcW w:w="363" w:type="pct"/>
          </w:tcPr>
          <w:p w14:paraId="6D1BA298"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0.004</w:t>
            </w:r>
          </w:p>
        </w:tc>
      </w:tr>
      <w:tr w:rsidR="000F6D47" w:rsidRPr="007147C8" w14:paraId="063CEC54" w14:textId="77777777" w:rsidTr="00400B64">
        <w:trPr>
          <w:jc w:val="center"/>
        </w:trPr>
        <w:tc>
          <w:tcPr>
            <w:tcW w:w="622" w:type="pct"/>
            <w:vAlign w:val="center"/>
          </w:tcPr>
          <w:p w14:paraId="3687F742"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92568DC"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B347725"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6CB9B4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(0.00)</w:t>
            </w:r>
          </w:p>
        </w:tc>
        <w:tc>
          <w:tcPr>
            <w:tcW w:w="365" w:type="pct"/>
            <w:vAlign w:val="center"/>
          </w:tcPr>
          <w:p w14:paraId="3C10247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(0.06)</w:t>
            </w:r>
          </w:p>
        </w:tc>
        <w:tc>
          <w:tcPr>
            <w:tcW w:w="365" w:type="pct"/>
            <w:vAlign w:val="center"/>
          </w:tcPr>
          <w:p w14:paraId="5254D6B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w:t>
            </w:r>
          </w:p>
        </w:tc>
        <w:tc>
          <w:tcPr>
            <w:tcW w:w="365" w:type="pct"/>
            <w:vAlign w:val="center"/>
          </w:tcPr>
          <w:p w14:paraId="1BBE9F6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(0.13)</w:t>
            </w:r>
          </w:p>
        </w:tc>
        <w:tc>
          <w:tcPr>
            <w:tcW w:w="365" w:type="pct"/>
          </w:tcPr>
          <w:p w14:paraId="7AF6C3C1" w14:textId="77777777" w:rsidR="000F6D47" w:rsidRPr="007147C8" w:rsidRDefault="000F6D47" w:rsidP="000F6D47">
            <w:pPr>
              <w:widowControl w:val="0"/>
              <w:autoSpaceDE w:val="0"/>
              <w:autoSpaceDN w:val="0"/>
              <w:adjustRightInd w:val="0"/>
              <w:jc w:val="center"/>
              <w:rPr>
                <w:sz w:val="20"/>
                <w:szCs w:val="20"/>
              </w:rPr>
            </w:pPr>
          </w:p>
        </w:tc>
        <w:tc>
          <w:tcPr>
            <w:tcW w:w="365" w:type="pct"/>
          </w:tcPr>
          <w:p w14:paraId="67C0B4ED" w14:textId="77777777" w:rsidR="000F6D47" w:rsidRPr="00840219" w:rsidRDefault="000F6D47" w:rsidP="000F6D47">
            <w:pPr>
              <w:widowControl w:val="0"/>
              <w:autoSpaceDE w:val="0"/>
              <w:autoSpaceDN w:val="0"/>
              <w:adjustRightInd w:val="0"/>
              <w:jc w:val="center"/>
              <w:rPr>
                <w:sz w:val="20"/>
                <w:szCs w:val="20"/>
              </w:rPr>
            </w:pPr>
          </w:p>
        </w:tc>
        <w:tc>
          <w:tcPr>
            <w:tcW w:w="365" w:type="pct"/>
          </w:tcPr>
          <w:p w14:paraId="66E9E500"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(0.00)</w:t>
            </w:r>
          </w:p>
        </w:tc>
        <w:tc>
          <w:tcPr>
            <w:tcW w:w="365" w:type="pct"/>
          </w:tcPr>
          <w:p w14:paraId="36032956"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(0.08)</w:t>
            </w:r>
          </w:p>
        </w:tc>
        <w:tc>
          <w:tcPr>
            <w:tcW w:w="365" w:type="pct"/>
          </w:tcPr>
          <w:p w14:paraId="32559725"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(0.01)</w:t>
            </w:r>
          </w:p>
        </w:tc>
        <w:tc>
          <w:tcPr>
            <w:tcW w:w="363" w:type="pct"/>
          </w:tcPr>
          <w:p w14:paraId="1894242F"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(0.17)</w:t>
            </w:r>
          </w:p>
        </w:tc>
      </w:tr>
      <w:tr w:rsidR="000F6D47" w:rsidRPr="007147C8" w14:paraId="01D4BFBB" w14:textId="77777777" w:rsidTr="00400B64">
        <w:trPr>
          <w:jc w:val="center"/>
        </w:trPr>
        <w:tc>
          <w:tcPr>
            <w:tcW w:w="622" w:type="pct"/>
            <w:vAlign w:val="center"/>
            <w:hideMark/>
          </w:tcPr>
          <w:p w14:paraId="6A43106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Log(Length large CS links)</w:t>
            </w:r>
            <w:r w:rsidRPr="007147C8">
              <w:rPr>
                <w:rFonts w:eastAsia="DengXian"/>
                <w:sz w:val="20"/>
                <w:szCs w:val="20"/>
                <w:vertAlign w:val="superscript"/>
                <w:lang w:eastAsia="zh-CN"/>
              </w:rPr>
              <w:t>2</w:t>
            </w:r>
          </w:p>
        </w:tc>
        <w:tc>
          <w:tcPr>
            <w:tcW w:w="365" w:type="pct"/>
            <w:vAlign w:val="center"/>
          </w:tcPr>
          <w:p w14:paraId="29D940F8"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E9E461C"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68F455BE"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08A555C"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55F95D2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-0.030</w:t>
            </w:r>
            <w:r w:rsidRPr="007147C8">
              <w:rPr>
                <w:sz w:val="20"/>
                <w:szCs w:val="20"/>
                <w:vertAlign w:val="superscript"/>
              </w:rPr>
              <w:t>**</w:t>
            </w:r>
          </w:p>
        </w:tc>
        <w:tc>
          <w:tcPr>
            <w:tcW w:w="365" w:type="pct"/>
            <w:vAlign w:val="center"/>
          </w:tcPr>
          <w:p w14:paraId="5A77538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-0.170</w:t>
            </w:r>
          </w:p>
        </w:tc>
        <w:tc>
          <w:tcPr>
            <w:tcW w:w="365" w:type="pct"/>
          </w:tcPr>
          <w:p w14:paraId="2ECBFD05" w14:textId="77777777" w:rsidR="000F6D47" w:rsidRPr="007147C8" w:rsidRDefault="000F6D47" w:rsidP="000F6D47">
            <w:pPr>
              <w:widowControl w:val="0"/>
              <w:autoSpaceDE w:val="0"/>
              <w:autoSpaceDN w:val="0"/>
              <w:adjustRightInd w:val="0"/>
              <w:jc w:val="center"/>
              <w:rPr>
                <w:sz w:val="20"/>
                <w:szCs w:val="20"/>
              </w:rPr>
            </w:pPr>
          </w:p>
        </w:tc>
        <w:tc>
          <w:tcPr>
            <w:tcW w:w="365" w:type="pct"/>
          </w:tcPr>
          <w:p w14:paraId="62B66B47" w14:textId="77777777" w:rsidR="000F6D47" w:rsidRPr="00840219" w:rsidRDefault="000F6D47" w:rsidP="000F6D47">
            <w:pPr>
              <w:widowControl w:val="0"/>
              <w:autoSpaceDE w:val="0"/>
              <w:autoSpaceDN w:val="0"/>
              <w:adjustRightInd w:val="0"/>
              <w:jc w:val="center"/>
              <w:rPr>
                <w:sz w:val="20"/>
                <w:szCs w:val="20"/>
              </w:rPr>
            </w:pPr>
          </w:p>
        </w:tc>
        <w:tc>
          <w:tcPr>
            <w:tcW w:w="365" w:type="pct"/>
          </w:tcPr>
          <w:p w14:paraId="0B3E610E" w14:textId="77777777" w:rsidR="000F6D47" w:rsidRPr="00840219" w:rsidRDefault="000F6D47" w:rsidP="000F6D47">
            <w:pPr>
              <w:widowControl w:val="0"/>
              <w:autoSpaceDE w:val="0"/>
              <w:autoSpaceDN w:val="0"/>
              <w:adjustRightInd w:val="0"/>
              <w:jc w:val="center"/>
              <w:rPr>
                <w:sz w:val="20"/>
                <w:szCs w:val="20"/>
              </w:rPr>
            </w:pPr>
          </w:p>
        </w:tc>
        <w:tc>
          <w:tcPr>
            <w:tcW w:w="365" w:type="pct"/>
          </w:tcPr>
          <w:p w14:paraId="731E1CE4" w14:textId="77777777" w:rsidR="000F6D47" w:rsidRPr="00840219" w:rsidRDefault="000F6D47" w:rsidP="000F6D47">
            <w:pPr>
              <w:widowControl w:val="0"/>
              <w:autoSpaceDE w:val="0"/>
              <w:autoSpaceDN w:val="0"/>
              <w:adjustRightInd w:val="0"/>
              <w:jc w:val="center"/>
              <w:rPr>
                <w:sz w:val="20"/>
                <w:szCs w:val="20"/>
              </w:rPr>
            </w:pPr>
          </w:p>
        </w:tc>
        <w:tc>
          <w:tcPr>
            <w:tcW w:w="365" w:type="pct"/>
          </w:tcPr>
          <w:p w14:paraId="6547499E"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-0.027</w:t>
            </w:r>
            <w:r w:rsidRPr="00E36303">
              <w:rPr>
                <w:sz w:val="20"/>
                <w:szCs w:val="20"/>
                <w:vertAlign w:val="superscript"/>
              </w:rPr>
              <w:t>**</w:t>
            </w:r>
          </w:p>
        </w:tc>
        <w:tc>
          <w:tcPr>
            <w:tcW w:w="363" w:type="pct"/>
          </w:tcPr>
          <w:p w14:paraId="7AE016B9"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-0.136</w:t>
            </w:r>
          </w:p>
        </w:tc>
      </w:tr>
      <w:tr w:rsidR="000F6D47" w:rsidRPr="007147C8" w14:paraId="3D5C9D0A" w14:textId="77777777" w:rsidTr="00400B64">
        <w:trPr>
          <w:jc w:val="center"/>
        </w:trPr>
        <w:tc>
          <w:tcPr>
            <w:tcW w:w="622" w:type="pct"/>
            <w:vAlign w:val="center"/>
          </w:tcPr>
          <w:p w14:paraId="59CC1A9C"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625BCED"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70CD89F1"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831C516"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8628B13"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77E269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w:t>
            </w:r>
          </w:p>
        </w:tc>
        <w:tc>
          <w:tcPr>
            <w:tcW w:w="365" w:type="pct"/>
            <w:vAlign w:val="center"/>
          </w:tcPr>
          <w:p w14:paraId="0D9ACAF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(0.12)</w:t>
            </w:r>
          </w:p>
        </w:tc>
        <w:tc>
          <w:tcPr>
            <w:tcW w:w="365" w:type="pct"/>
          </w:tcPr>
          <w:p w14:paraId="06693F59" w14:textId="77777777" w:rsidR="000F6D47" w:rsidRPr="007147C8" w:rsidRDefault="000F6D47" w:rsidP="000F6D47">
            <w:pPr>
              <w:widowControl w:val="0"/>
              <w:autoSpaceDE w:val="0"/>
              <w:autoSpaceDN w:val="0"/>
              <w:adjustRightInd w:val="0"/>
              <w:jc w:val="center"/>
              <w:rPr>
                <w:sz w:val="20"/>
                <w:szCs w:val="20"/>
              </w:rPr>
            </w:pPr>
          </w:p>
        </w:tc>
        <w:tc>
          <w:tcPr>
            <w:tcW w:w="365" w:type="pct"/>
          </w:tcPr>
          <w:p w14:paraId="0EAFF61A" w14:textId="77777777" w:rsidR="000F6D47" w:rsidRPr="00840219" w:rsidRDefault="000F6D47" w:rsidP="000F6D47">
            <w:pPr>
              <w:widowControl w:val="0"/>
              <w:autoSpaceDE w:val="0"/>
              <w:autoSpaceDN w:val="0"/>
              <w:adjustRightInd w:val="0"/>
              <w:jc w:val="center"/>
              <w:rPr>
                <w:sz w:val="20"/>
                <w:szCs w:val="20"/>
              </w:rPr>
            </w:pPr>
          </w:p>
        </w:tc>
        <w:tc>
          <w:tcPr>
            <w:tcW w:w="365" w:type="pct"/>
          </w:tcPr>
          <w:p w14:paraId="0F8102D7" w14:textId="77777777" w:rsidR="000F6D47" w:rsidRPr="00840219" w:rsidRDefault="000F6D47" w:rsidP="000F6D47">
            <w:pPr>
              <w:widowControl w:val="0"/>
              <w:autoSpaceDE w:val="0"/>
              <w:autoSpaceDN w:val="0"/>
              <w:adjustRightInd w:val="0"/>
              <w:jc w:val="center"/>
              <w:rPr>
                <w:sz w:val="20"/>
                <w:szCs w:val="20"/>
              </w:rPr>
            </w:pPr>
          </w:p>
        </w:tc>
        <w:tc>
          <w:tcPr>
            <w:tcW w:w="365" w:type="pct"/>
          </w:tcPr>
          <w:p w14:paraId="635698D7" w14:textId="77777777" w:rsidR="000F6D47" w:rsidRPr="00840219" w:rsidRDefault="000F6D47" w:rsidP="000F6D47">
            <w:pPr>
              <w:widowControl w:val="0"/>
              <w:autoSpaceDE w:val="0"/>
              <w:autoSpaceDN w:val="0"/>
              <w:adjustRightInd w:val="0"/>
              <w:jc w:val="center"/>
              <w:rPr>
                <w:sz w:val="20"/>
                <w:szCs w:val="20"/>
              </w:rPr>
            </w:pPr>
          </w:p>
        </w:tc>
        <w:tc>
          <w:tcPr>
            <w:tcW w:w="365" w:type="pct"/>
          </w:tcPr>
          <w:p w14:paraId="0C326CCA"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(0.01)</w:t>
            </w:r>
          </w:p>
        </w:tc>
        <w:tc>
          <w:tcPr>
            <w:tcW w:w="363" w:type="pct"/>
          </w:tcPr>
          <w:p w14:paraId="05843E74"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(0.19)</w:t>
            </w:r>
          </w:p>
        </w:tc>
      </w:tr>
      <w:tr w:rsidR="000F6D47" w:rsidRPr="007147C8" w14:paraId="3B96C65B" w14:textId="77777777" w:rsidTr="00400B64">
        <w:trPr>
          <w:jc w:val="center"/>
        </w:trPr>
        <w:tc>
          <w:tcPr>
            <w:tcW w:w="622" w:type="pct"/>
            <w:vAlign w:val="center"/>
          </w:tcPr>
          <w:p w14:paraId="25016B9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Lender Link</w:t>
            </w:r>
          </w:p>
        </w:tc>
        <w:tc>
          <w:tcPr>
            <w:tcW w:w="365" w:type="pct"/>
            <w:vAlign w:val="center"/>
          </w:tcPr>
          <w:p w14:paraId="428A3DD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0.019</w:t>
            </w:r>
            <w:r w:rsidRPr="007147C8">
              <w:rPr>
                <w:sz w:val="20"/>
                <w:szCs w:val="20"/>
                <w:vertAlign w:val="superscript"/>
              </w:rPr>
              <w:t>***</w:t>
            </w:r>
          </w:p>
        </w:tc>
        <w:tc>
          <w:tcPr>
            <w:tcW w:w="365" w:type="pct"/>
            <w:vAlign w:val="center"/>
          </w:tcPr>
          <w:p w14:paraId="4C73A98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-0.023</w:t>
            </w:r>
          </w:p>
        </w:tc>
        <w:tc>
          <w:tcPr>
            <w:tcW w:w="365" w:type="pct"/>
            <w:vAlign w:val="center"/>
          </w:tcPr>
          <w:p w14:paraId="0C3BE8B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0.018</w:t>
            </w:r>
            <w:r w:rsidRPr="007147C8">
              <w:rPr>
                <w:sz w:val="20"/>
                <w:szCs w:val="20"/>
                <w:vertAlign w:val="superscript"/>
              </w:rPr>
              <w:t>***</w:t>
            </w:r>
          </w:p>
        </w:tc>
        <w:tc>
          <w:tcPr>
            <w:tcW w:w="365" w:type="pct"/>
            <w:vAlign w:val="center"/>
          </w:tcPr>
          <w:p w14:paraId="715B057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-0.018</w:t>
            </w:r>
          </w:p>
        </w:tc>
        <w:tc>
          <w:tcPr>
            <w:tcW w:w="365" w:type="pct"/>
            <w:vAlign w:val="center"/>
          </w:tcPr>
          <w:p w14:paraId="4BEEDD9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0.018</w:t>
            </w:r>
            <w:r w:rsidRPr="007147C8">
              <w:rPr>
                <w:sz w:val="20"/>
                <w:szCs w:val="20"/>
                <w:vertAlign w:val="superscript"/>
              </w:rPr>
              <w:t>***</w:t>
            </w:r>
          </w:p>
        </w:tc>
        <w:tc>
          <w:tcPr>
            <w:tcW w:w="365" w:type="pct"/>
            <w:vAlign w:val="center"/>
          </w:tcPr>
          <w:p w14:paraId="25B888E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-0.019</w:t>
            </w:r>
          </w:p>
        </w:tc>
        <w:tc>
          <w:tcPr>
            <w:tcW w:w="365" w:type="pct"/>
          </w:tcPr>
          <w:p w14:paraId="336900F4" w14:textId="77777777" w:rsidR="000F6D47" w:rsidRPr="007147C8" w:rsidRDefault="000F6D47" w:rsidP="000F6D47">
            <w:pPr>
              <w:widowControl w:val="0"/>
              <w:autoSpaceDE w:val="0"/>
              <w:autoSpaceDN w:val="0"/>
              <w:adjustRightInd w:val="0"/>
              <w:jc w:val="center"/>
              <w:rPr>
                <w:sz w:val="20"/>
                <w:szCs w:val="20"/>
              </w:rPr>
            </w:pPr>
            <w:r w:rsidRPr="00E36303">
              <w:rPr>
                <w:sz w:val="20"/>
                <w:szCs w:val="20"/>
              </w:rPr>
              <w:t>0.020</w:t>
            </w:r>
            <w:r w:rsidRPr="00E36303">
              <w:rPr>
                <w:sz w:val="20"/>
                <w:szCs w:val="20"/>
                <w:vertAlign w:val="superscript"/>
              </w:rPr>
              <w:t>***</w:t>
            </w:r>
          </w:p>
        </w:tc>
        <w:tc>
          <w:tcPr>
            <w:tcW w:w="365" w:type="pct"/>
          </w:tcPr>
          <w:p w14:paraId="5E564DDB"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-0.147</w:t>
            </w:r>
            <w:r w:rsidRPr="00E36303">
              <w:rPr>
                <w:sz w:val="20"/>
                <w:szCs w:val="20"/>
                <w:vertAlign w:val="superscript"/>
              </w:rPr>
              <w:t>*</w:t>
            </w:r>
          </w:p>
        </w:tc>
        <w:tc>
          <w:tcPr>
            <w:tcW w:w="365" w:type="pct"/>
          </w:tcPr>
          <w:p w14:paraId="2FF5B3C2"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0.019</w:t>
            </w:r>
            <w:r w:rsidRPr="00E36303">
              <w:rPr>
                <w:sz w:val="20"/>
                <w:szCs w:val="20"/>
                <w:vertAlign w:val="superscript"/>
              </w:rPr>
              <w:t>***</w:t>
            </w:r>
          </w:p>
        </w:tc>
        <w:tc>
          <w:tcPr>
            <w:tcW w:w="365" w:type="pct"/>
          </w:tcPr>
          <w:p w14:paraId="7FFDF436"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-0.141</w:t>
            </w:r>
            <w:r w:rsidRPr="00E36303">
              <w:rPr>
                <w:sz w:val="20"/>
                <w:szCs w:val="20"/>
                <w:vertAlign w:val="superscript"/>
              </w:rPr>
              <w:t>*</w:t>
            </w:r>
          </w:p>
        </w:tc>
        <w:tc>
          <w:tcPr>
            <w:tcW w:w="365" w:type="pct"/>
          </w:tcPr>
          <w:p w14:paraId="4C8EBA8C"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0.019</w:t>
            </w:r>
            <w:r w:rsidRPr="00E36303">
              <w:rPr>
                <w:sz w:val="20"/>
                <w:szCs w:val="20"/>
                <w:vertAlign w:val="superscript"/>
              </w:rPr>
              <w:t>***</w:t>
            </w:r>
          </w:p>
        </w:tc>
        <w:tc>
          <w:tcPr>
            <w:tcW w:w="363" w:type="pct"/>
          </w:tcPr>
          <w:p w14:paraId="1A975B50"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-0.142</w:t>
            </w:r>
            <w:r w:rsidRPr="00E36303">
              <w:rPr>
                <w:sz w:val="20"/>
                <w:szCs w:val="20"/>
                <w:vertAlign w:val="superscript"/>
              </w:rPr>
              <w:t>*</w:t>
            </w:r>
          </w:p>
        </w:tc>
      </w:tr>
      <w:tr w:rsidR="000F6D47" w:rsidRPr="007147C8" w14:paraId="63A6350A" w14:textId="77777777" w:rsidTr="00400B64">
        <w:trPr>
          <w:jc w:val="center"/>
        </w:trPr>
        <w:tc>
          <w:tcPr>
            <w:tcW w:w="622" w:type="pct"/>
            <w:vAlign w:val="center"/>
          </w:tcPr>
          <w:p w14:paraId="2244770A"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bottom w:val="single" w:sz="4" w:space="0" w:color="auto"/>
            </w:tcBorders>
            <w:vAlign w:val="center"/>
          </w:tcPr>
          <w:p w14:paraId="3797764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w:t>
            </w:r>
          </w:p>
        </w:tc>
        <w:tc>
          <w:tcPr>
            <w:tcW w:w="365" w:type="pct"/>
            <w:tcBorders>
              <w:bottom w:val="single" w:sz="4" w:space="0" w:color="auto"/>
            </w:tcBorders>
            <w:vAlign w:val="center"/>
          </w:tcPr>
          <w:p w14:paraId="48A14BB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(0.06)</w:t>
            </w:r>
          </w:p>
        </w:tc>
        <w:tc>
          <w:tcPr>
            <w:tcW w:w="365" w:type="pct"/>
            <w:tcBorders>
              <w:bottom w:val="single" w:sz="4" w:space="0" w:color="auto"/>
            </w:tcBorders>
            <w:vAlign w:val="center"/>
          </w:tcPr>
          <w:p w14:paraId="6EE3C2F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w:t>
            </w:r>
          </w:p>
        </w:tc>
        <w:tc>
          <w:tcPr>
            <w:tcW w:w="365" w:type="pct"/>
            <w:tcBorders>
              <w:bottom w:val="single" w:sz="4" w:space="0" w:color="auto"/>
            </w:tcBorders>
            <w:vAlign w:val="center"/>
          </w:tcPr>
          <w:p w14:paraId="32BA684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(0.06)</w:t>
            </w:r>
          </w:p>
        </w:tc>
        <w:tc>
          <w:tcPr>
            <w:tcW w:w="365" w:type="pct"/>
            <w:tcBorders>
              <w:bottom w:val="single" w:sz="4" w:space="0" w:color="auto"/>
            </w:tcBorders>
            <w:vAlign w:val="center"/>
          </w:tcPr>
          <w:p w14:paraId="343E2AD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(0.01)</w:t>
            </w:r>
          </w:p>
        </w:tc>
        <w:tc>
          <w:tcPr>
            <w:tcW w:w="365" w:type="pct"/>
            <w:tcBorders>
              <w:bottom w:val="single" w:sz="4" w:space="0" w:color="auto"/>
            </w:tcBorders>
            <w:vAlign w:val="center"/>
          </w:tcPr>
          <w:p w14:paraId="4FFED19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(0.06)</w:t>
            </w:r>
          </w:p>
        </w:tc>
        <w:tc>
          <w:tcPr>
            <w:tcW w:w="365" w:type="pct"/>
            <w:tcBorders>
              <w:bottom w:val="single" w:sz="4" w:space="0" w:color="auto"/>
            </w:tcBorders>
          </w:tcPr>
          <w:p w14:paraId="7DBBC3B4" w14:textId="77777777" w:rsidR="000F6D47" w:rsidRPr="007147C8" w:rsidRDefault="000F6D47" w:rsidP="000F6D47">
            <w:pPr>
              <w:widowControl w:val="0"/>
              <w:autoSpaceDE w:val="0"/>
              <w:autoSpaceDN w:val="0"/>
              <w:adjustRightInd w:val="0"/>
              <w:jc w:val="center"/>
              <w:rPr>
                <w:sz w:val="20"/>
                <w:szCs w:val="20"/>
              </w:rPr>
            </w:pPr>
            <w:r w:rsidRPr="00E36303">
              <w:rPr>
                <w:sz w:val="20"/>
                <w:szCs w:val="20"/>
              </w:rPr>
              <w:t>(0.01)</w:t>
            </w:r>
          </w:p>
        </w:tc>
        <w:tc>
          <w:tcPr>
            <w:tcW w:w="365" w:type="pct"/>
            <w:tcBorders>
              <w:bottom w:val="single" w:sz="4" w:space="0" w:color="auto"/>
            </w:tcBorders>
          </w:tcPr>
          <w:p w14:paraId="274FCA87"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(0.08)</w:t>
            </w:r>
          </w:p>
        </w:tc>
        <w:tc>
          <w:tcPr>
            <w:tcW w:w="365" w:type="pct"/>
            <w:tcBorders>
              <w:bottom w:val="single" w:sz="4" w:space="0" w:color="auto"/>
            </w:tcBorders>
          </w:tcPr>
          <w:p w14:paraId="3B195384"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(0.01)</w:t>
            </w:r>
          </w:p>
        </w:tc>
        <w:tc>
          <w:tcPr>
            <w:tcW w:w="365" w:type="pct"/>
            <w:tcBorders>
              <w:bottom w:val="single" w:sz="4" w:space="0" w:color="auto"/>
            </w:tcBorders>
          </w:tcPr>
          <w:p w14:paraId="55A5CAD0"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(0.08)</w:t>
            </w:r>
          </w:p>
        </w:tc>
        <w:tc>
          <w:tcPr>
            <w:tcW w:w="365" w:type="pct"/>
            <w:tcBorders>
              <w:bottom w:val="single" w:sz="4" w:space="0" w:color="auto"/>
            </w:tcBorders>
          </w:tcPr>
          <w:p w14:paraId="546281ED"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(0.01)</w:t>
            </w:r>
          </w:p>
        </w:tc>
        <w:tc>
          <w:tcPr>
            <w:tcW w:w="363" w:type="pct"/>
            <w:tcBorders>
              <w:bottom w:val="single" w:sz="4" w:space="0" w:color="auto"/>
            </w:tcBorders>
          </w:tcPr>
          <w:p w14:paraId="621F3E4F"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(0.08)</w:t>
            </w:r>
          </w:p>
        </w:tc>
      </w:tr>
      <w:tr w:rsidR="000F6D47" w:rsidRPr="007147C8" w14:paraId="7F55B3B3" w14:textId="77777777" w:rsidTr="00400B64">
        <w:trPr>
          <w:jc w:val="center"/>
        </w:trPr>
        <w:tc>
          <w:tcPr>
            <w:tcW w:w="622" w:type="pct"/>
            <w:vAlign w:val="center"/>
          </w:tcPr>
          <w:p w14:paraId="7A4DA063" w14:textId="77777777" w:rsidR="000F6D47" w:rsidRPr="007147C8" w:rsidRDefault="000F6D47" w:rsidP="000F6D47">
            <w:pPr>
              <w:widowControl w:val="0"/>
              <w:autoSpaceDE w:val="0"/>
              <w:autoSpaceDN w:val="0"/>
              <w:adjustRightInd w:val="0"/>
              <w:jc w:val="center"/>
              <w:rPr>
                <w:rFonts w:eastAsia="DengXian"/>
                <w:sz w:val="20"/>
                <w:szCs w:val="20"/>
                <w:lang w:eastAsia="zh-CN"/>
              </w:rPr>
            </w:pPr>
            <w:r>
              <w:rPr>
                <w:rFonts w:eastAsia="DengXian"/>
                <w:sz w:val="20"/>
                <w:szCs w:val="20"/>
                <w:lang w:eastAsia="zh-CN"/>
              </w:rPr>
              <w:t>Controls</w:t>
            </w:r>
          </w:p>
        </w:tc>
        <w:tc>
          <w:tcPr>
            <w:tcW w:w="365" w:type="pct"/>
            <w:tcBorders>
              <w:top w:val="single" w:sz="4" w:space="0" w:color="auto"/>
            </w:tcBorders>
            <w:vAlign w:val="center"/>
          </w:tcPr>
          <w:p w14:paraId="0F0EFB6A" w14:textId="77777777" w:rsidR="000F6D47" w:rsidRPr="007147C8"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4CCFD851" w14:textId="77777777" w:rsidR="000F6D47" w:rsidRPr="007147C8"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5CAA67DA" w14:textId="77777777" w:rsidR="000F6D47" w:rsidRPr="007147C8"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105EFA87" w14:textId="77777777" w:rsidR="000F6D47" w:rsidRPr="007147C8"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26BDC8D6" w14:textId="77777777" w:rsidR="000F6D47" w:rsidRPr="007147C8"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59CE91A2" w14:textId="77777777" w:rsidR="000F6D47" w:rsidRPr="007147C8"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64B5D029" w14:textId="77777777" w:rsidR="000F6D47" w:rsidRPr="007147C8"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2DFFACB5" w14:textId="77777777" w:rsidR="000F6D47" w:rsidRPr="00840219"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4491603D" w14:textId="77777777" w:rsidR="000F6D47" w:rsidRPr="00840219"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1825DEC0" w14:textId="77777777" w:rsidR="000F6D47" w:rsidRPr="00840219"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7FDF3660" w14:textId="77777777" w:rsidR="000F6D47" w:rsidRPr="00840219"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3" w:type="pct"/>
            <w:tcBorders>
              <w:top w:val="single" w:sz="4" w:space="0" w:color="auto"/>
            </w:tcBorders>
            <w:vAlign w:val="center"/>
          </w:tcPr>
          <w:p w14:paraId="3135FDC8" w14:textId="77777777" w:rsidR="000F6D47" w:rsidRPr="00840219"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r>
      <w:tr w:rsidR="000F6D47" w:rsidRPr="007147C8" w14:paraId="501644F9" w14:textId="77777777" w:rsidTr="00400B64">
        <w:trPr>
          <w:jc w:val="center"/>
        </w:trPr>
        <w:tc>
          <w:tcPr>
            <w:tcW w:w="622" w:type="pct"/>
            <w:vAlign w:val="center"/>
          </w:tcPr>
          <w:p w14:paraId="15DBD64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Bank FE</w:t>
            </w:r>
          </w:p>
        </w:tc>
        <w:tc>
          <w:tcPr>
            <w:tcW w:w="365" w:type="pct"/>
            <w:vAlign w:val="center"/>
          </w:tcPr>
          <w:p w14:paraId="2DB7821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740747B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5657CFC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01CB3FC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6D5B063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58096F8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7D0863D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45EAE1C2"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5EE3A139"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5DACE810"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4D4F9E48"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3" w:type="pct"/>
            <w:vAlign w:val="center"/>
          </w:tcPr>
          <w:p w14:paraId="0277FC4A"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r>
      <w:tr w:rsidR="000F6D47" w:rsidRPr="007147C8" w14:paraId="29BFDD44" w14:textId="77777777" w:rsidTr="00400B64">
        <w:trPr>
          <w:jc w:val="center"/>
        </w:trPr>
        <w:tc>
          <w:tcPr>
            <w:tcW w:w="622" w:type="pct"/>
            <w:vAlign w:val="center"/>
          </w:tcPr>
          <w:p w14:paraId="0160F71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Borrower sector FE</w:t>
            </w:r>
          </w:p>
        </w:tc>
        <w:tc>
          <w:tcPr>
            <w:tcW w:w="365" w:type="pct"/>
            <w:vAlign w:val="center"/>
          </w:tcPr>
          <w:p w14:paraId="7FF4677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5E3294A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557DAE3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5192901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7EAE76B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060DBC8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580548F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5DCC72EF"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076220CE"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5A913A7A"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107D4AA4"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3" w:type="pct"/>
            <w:vAlign w:val="center"/>
          </w:tcPr>
          <w:p w14:paraId="31A533C5"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r>
      <w:tr w:rsidR="000F6D47" w:rsidRPr="007147C8" w14:paraId="5B095983" w14:textId="77777777" w:rsidTr="00400B64">
        <w:trPr>
          <w:jc w:val="center"/>
        </w:trPr>
        <w:tc>
          <w:tcPr>
            <w:tcW w:w="622" w:type="pct"/>
            <w:vAlign w:val="center"/>
          </w:tcPr>
          <w:p w14:paraId="4098453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Year FE</w:t>
            </w:r>
          </w:p>
        </w:tc>
        <w:tc>
          <w:tcPr>
            <w:tcW w:w="365" w:type="pct"/>
            <w:vAlign w:val="center"/>
          </w:tcPr>
          <w:p w14:paraId="2CA4C5D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4847C2E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040C9E9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732CC0B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16E9759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154FC36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3007C85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359E8D59"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1EA168F3"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3143EF0C"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5" w:type="pct"/>
            <w:vAlign w:val="center"/>
          </w:tcPr>
          <w:p w14:paraId="16365EC0"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c>
          <w:tcPr>
            <w:tcW w:w="363" w:type="pct"/>
            <w:vAlign w:val="center"/>
          </w:tcPr>
          <w:p w14:paraId="3EDDB8DA"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Yes</w:t>
            </w:r>
          </w:p>
        </w:tc>
      </w:tr>
      <w:tr w:rsidR="000F6D47" w:rsidRPr="007147C8" w14:paraId="5DD628C2" w14:textId="77777777" w:rsidTr="00400B64">
        <w:trPr>
          <w:jc w:val="center"/>
        </w:trPr>
        <w:tc>
          <w:tcPr>
            <w:tcW w:w="622" w:type="pct"/>
            <w:vAlign w:val="center"/>
            <w:hideMark/>
          </w:tcPr>
          <w:p w14:paraId="10BBDA0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Adjusted R2</w:t>
            </w:r>
          </w:p>
        </w:tc>
        <w:tc>
          <w:tcPr>
            <w:tcW w:w="365" w:type="pct"/>
            <w:vAlign w:val="center"/>
          </w:tcPr>
          <w:p w14:paraId="11A7CD1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0.771</w:t>
            </w:r>
          </w:p>
        </w:tc>
        <w:tc>
          <w:tcPr>
            <w:tcW w:w="365" w:type="pct"/>
            <w:vAlign w:val="center"/>
          </w:tcPr>
          <w:p w14:paraId="6D735B3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0.558</w:t>
            </w:r>
          </w:p>
        </w:tc>
        <w:tc>
          <w:tcPr>
            <w:tcW w:w="365" w:type="pct"/>
            <w:vAlign w:val="center"/>
          </w:tcPr>
          <w:p w14:paraId="7D8057B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0.772</w:t>
            </w:r>
          </w:p>
        </w:tc>
        <w:tc>
          <w:tcPr>
            <w:tcW w:w="365" w:type="pct"/>
            <w:vAlign w:val="center"/>
          </w:tcPr>
          <w:p w14:paraId="3FB169B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0.557</w:t>
            </w:r>
          </w:p>
        </w:tc>
        <w:tc>
          <w:tcPr>
            <w:tcW w:w="365" w:type="pct"/>
            <w:vAlign w:val="center"/>
          </w:tcPr>
          <w:p w14:paraId="143226F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0.772</w:t>
            </w:r>
          </w:p>
        </w:tc>
        <w:tc>
          <w:tcPr>
            <w:tcW w:w="365" w:type="pct"/>
            <w:vAlign w:val="center"/>
          </w:tcPr>
          <w:p w14:paraId="630CB6A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0.557</w:t>
            </w:r>
          </w:p>
        </w:tc>
        <w:tc>
          <w:tcPr>
            <w:tcW w:w="365" w:type="pct"/>
          </w:tcPr>
          <w:p w14:paraId="79C71879" w14:textId="77777777" w:rsidR="000F6D47" w:rsidRPr="007147C8" w:rsidRDefault="000F6D47" w:rsidP="000F6D47">
            <w:pPr>
              <w:widowControl w:val="0"/>
              <w:autoSpaceDE w:val="0"/>
              <w:autoSpaceDN w:val="0"/>
              <w:adjustRightInd w:val="0"/>
              <w:jc w:val="center"/>
              <w:rPr>
                <w:sz w:val="20"/>
                <w:szCs w:val="20"/>
              </w:rPr>
            </w:pPr>
            <w:r w:rsidRPr="00E36303">
              <w:rPr>
                <w:sz w:val="20"/>
                <w:szCs w:val="20"/>
              </w:rPr>
              <w:t>0.772</w:t>
            </w:r>
          </w:p>
        </w:tc>
        <w:tc>
          <w:tcPr>
            <w:tcW w:w="365" w:type="pct"/>
          </w:tcPr>
          <w:p w14:paraId="6602DFED"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0.390</w:t>
            </w:r>
          </w:p>
        </w:tc>
        <w:tc>
          <w:tcPr>
            <w:tcW w:w="365" w:type="pct"/>
          </w:tcPr>
          <w:p w14:paraId="17557E9C"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0.773</w:t>
            </w:r>
          </w:p>
        </w:tc>
        <w:tc>
          <w:tcPr>
            <w:tcW w:w="365" w:type="pct"/>
          </w:tcPr>
          <w:p w14:paraId="45E6F5A5"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0.390</w:t>
            </w:r>
          </w:p>
        </w:tc>
        <w:tc>
          <w:tcPr>
            <w:tcW w:w="365" w:type="pct"/>
          </w:tcPr>
          <w:p w14:paraId="486AA604"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0.773</w:t>
            </w:r>
          </w:p>
        </w:tc>
        <w:tc>
          <w:tcPr>
            <w:tcW w:w="363" w:type="pct"/>
          </w:tcPr>
          <w:p w14:paraId="3E6FB095"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0.390</w:t>
            </w:r>
          </w:p>
        </w:tc>
      </w:tr>
      <w:tr w:rsidR="000F6D47" w:rsidRPr="007147C8" w14:paraId="78C98343" w14:textId="77777777" w:rsidTr="00400B64">
        <w:trPr>
          <w:jc w:val="center"/>
        </w:trPr>
        <w:tc>
          <w:tcPr>
            <w:tcW w:w="622" w:type="pct"/>
            <w:tcBorders>
              <w:bottom w:val="single" w:sz="4" w:space="0" w:color="auto"/>
            </w:tcBorders>
            <w:vAlign w:val="center"/>
            <w:hideMark/>
          </w:tcPr>
          <w:p w14:paraId="7BE6722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Obs.</w:t>
            </w:r>
          </w:p>
        </w:tc>
        <w:tc>
          <w:tcPr>
            <w:tcW w:w="365" w:type="pct"/>
            <w:tcBorders>
              <w:bottom w:val="single" w:sz="4" w:space="0" w:color="auto"/>
            </w:tcBorders>
            <w:vAlign w:val="center"/>
          </w:tcPr>
          <w:p w14:paraId="52B5BCD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8845.000</w:t>
            </w:r>
          </w:p>
        </w:tc>
        <w:tc>
          <w:tcPr>
            <w:tcW w:w="365" w:type="pct"/>
            <w:tcBorders>
              <w:bottom w:val="single" w:sz="4" w:space="0" w:color="auto"/>
            </w:tcBorders>
            <w:vAlign w:val="center"/>
          </w:tcPr>
          <w:p w14:paraId="211AAEB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8845.000</w:t>
            </w:r>
          </w:p>
        </w:tc>
        <w:tc>
          <w:tcPr>
            <w:tcW w:w="365" w:type="pct"/>
            <w:tcBorders>
              <w:bottom w:val="single" w:sz="4" w:space="0" w:color="auto"/>
            </w:tcBorders>
            <w:vAlign w:val="center"/>
          </w:tcPr>
          <w:p w14:paraId="17AD932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8845.000</w:t>
            </w:r>
          </w:p>
        </w:tc>
        <w:tc>
          <w:tcPr>
            <w:tcW w:w="365" w:type="pct"/>
            <w:tcBorders>
              <w:bottom w:val="single" w:sz="4" w:space="0" w:color="auto"/>
            </w:tcBorders>
            <w:vAlign w:val="center"/>
          </w:tcPr>
          <w:p w14:paraId="78F3E00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8845.000</w:t>
            </w:r>
          </w:p>
        </w:tc>
        <w:tc>
          <w:tcPr>
            <w:tcW w:w="365" w:type="pct"/>
            <w:tcBorders>
              <w:bottom w:val="single" w:sz="4" w:space="0" w:color="auto"/>
            </w:tcBorders>
            <w:vAlign w:val="center"/>
          </w:tcPr>
          <w:p w14:paraId="3EE5DBE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8845.000</w:t>
            </w:r>
          </w:p>
        </w:tc>
        <w:tc>
          <w:tcPr>
            <w:tcW w:w="365" w:type="pct"/>
            <w:tcBorders>
              <w:bottom w:val="single" w:sz="4" w:space="0" w:color="auto"/>
            </w:tcBorders>
            <w:vAlign w:val="center"/>
          </w:tcPr>
          <w:p w14:paraId="1332473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sz w:val="20"/>
                <w:szCs w:val="20"/>
              </w:rPr>
              <w:t>8845.000</w:t>
            </w:r>
          </w:p>
        </w:tc>
        <w:tc>
          <w:tcPr>
            <w:tcW w:w="365" w:type="pct"/>
            <w:tcBorders>
              <w:bottom w:val="single" w:sz="4" w:space="0" w:color="auto"/>
            </w:tcBorders>
          </w:tcPr>
          <w:p w14:paraId="0AE222EF" w14:textId="77777777" w:rsidR="000F6D47" w:rsidRPr="007147C8" w:rsidRDefault="000F6D47" w:rsidP="000F6D47">
            <w:pPr>
              <w:widowControl w:val="0"/>
              <w:autoSpaceDE w:val="0"/>
              <w:autoSpaceDN w:val="0"/>
              <w:adjustRightInd w:val="0"/>
              <w:jc w:val="center"/>
              <w:rPr>
                <w:sz w:val="20"/>
                <w:szCs w:val="20"/>
              </w:rPr>
            </w:pPr>
            <w:r w:rsidRPr="00E36303">
              <w:rPr>
                <w:sz w:val="20"/>
                <w:szCs w:val="20"/>
              </w:rPr>
              <w:t>9307.000</w:t>
            </w:r>
          </w:p>
        </w:tc>
        <w:tc>
          <w:tcPr>
            <w:tcW w:w="365" w:type="pct"/>
            <w:tcBorders>
              <w:bottom w:val="single" w:sz="4" w:space="0" w:color="auto"/>
            </w:tcBorders>
          </w:tcPr>
          <w:p w14:paraId="2062CF2B"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9307.000</w:t>
            </w:r>
          </w:p>
        </w:tc>
        <w:tc>
          <w:tcPr>
            <w:tcW w:w="365" w:type="pct"/>
            <w:tcBorders>
              <w:bottom w:val="single" w:sz="4" w:space="0" w:color="auto"/>
            </w:tcBorders>
          </w:tcPr>
          <w:p w14:paraId="09B25BC6"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9307.000</w:t>
            </w:r>
          </w:p>
        </w:tc>
        <w:tc>
          <w:tcPr>
            <w:tcW w:w="365" w:type="pct"/>
            <w:tcBorders>
              <w:bottom w:val="single" w:sz="4" w:space="0" w:color="auto"/>
            </w:tcBorders>
          </w:tcPr>
          <w:p w14:paraId="1A77626B"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9307.000</w:t>
            </w:r>
          </w:p>
        </w:tc>
        <w:tc>
          <w:tcPr>
            <w:tcW w:w="365" w:type="pct"/>
            <w:tcBorders>
              <w:bottom w:val="single" w:sz="4" w:space="0" w:color="auto"/>
            </w:tcBorders>
          </w:tcPr>
          <w:p w14:paraId="71077224"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9307.000</w:t>
            </w:r>
          </w:p>
        </w:tc>
        <w:tc>
          <w:tcPr>
            <w:tcW w:w="363" w:type="pct"/>
            <w:tcBorders>
              <w:bottom w:val="single" w:sz="4" w:space="0" w:color="auto"/>
            </w:tcBorders>
          </w:tcPr>
          <w:p w14:paraId="45B2D606" w14:textId="77777777" w:rsidR="000F6D47" w:rsidRPr="00840219" w:rsidRDefault="000F6D47" w:rsidP="000F6D47">
            <w:pPr>
              <w:widowControl w:val="0"/>
              <w:autoSpaceDE w:val="0"/>
              <w:autoSpaceDN w:val="0"/>
              <w:adjustRightInd w:val="0"/>
              <w:jc w:val="center"/>
              <w:rPr>
                <w:sz w:val="20"/>
                <w:szCs w:val="20"/>
              </w:rPr>
            </w:pPr>
            <w:r w:rsidRPr="00E36303">
              <w:rPr>
                <w:sz w:val="20"/>
                <w:szCs w:val="20"/>
              </w:rPr>
              <w:t>9307.000</w:t>
            </w:r>
          </w:p>
        </w:tc>
      </w:tr>
    </w:tbl>
    <w:p w14:paraId="65BD8E6F" w14:textId="77777777" w:rsidR="000F6D47" w:rsidRPr="00070779" w:rsidRDefault="000F6D47" w:rsidP="000F6D47">
      <w:pPr>
        <w:widowControl w:val="0"/>
        <w:autoSpaceDE w:val="0"/>
        <w:autoSpaceDN w:val="0"/>
        <w:adjustRightInd w:val="0"/>
        <w:jc w:val="center"/>
        <w:rPr>
          <w:b/>
          <w:szCs w:val="20"/>
        </w:rPr>
      </w:pPr>
    </w:p>
    <w:p w14:paraId="340E2426" w14:textId="77777777" w:rsidR="000F6D47" w:rsidRDefault="000F6D47" w:rsidP="000F6D47">
      <w:pPr>
        <w:jc w:val="center"/>
        <w:rPr>
          <w:b/>
          <w:bCs/>
          <w:color w:val="FF0000"/>
          <w:lang w:val="en-GB"/>
        </w:rPr>
      </w:pPr>
    </w:p>
    <w:p w14:paraId="1D8D87E5" w14:textId="77777777" w:rsidR="000F6D47" w:rsidRPr="00CE7D45" w:rsidRDefault="000F6D47" w:rsidP="000F6D47">
      <w:pPr>
        <w:widowControl w:val="0"/>
        <w:autoSpaceDE w:val="0"/>
        <w:autoSpaceDN w:val="0"/>
        <w:adjustRightInd w:val="0"/>
        <w:jc w:val="center"/>
        <w:rPr>
          <w:b/>
          <w:szCs w:val="20"/>
        </w:rPr>
      </w:pPr>
      <w:r w:rsidRPr="00CE7D45">
        <w:rPr>
          <w:b/>
          <w:szCs w:val="20"/>
        </w:rPr>
        <w:t>TABLE 8</w:t>
      </w:r>
      <w:r>
        <w:rPr>
          <w:b/>
          <w:szCs w:val="20"/>
        </w:rPr>
        <w:t xml:space="preserve"> (</w:t>
      </w:r>
      <w:r w:rsidR="00845607">
        <w:rPr>
          <w:b/>
          <w:szCs w:val="20"/>
        </w:rPr>
        <w:t>c</w:t>
      </w:r>
      <w:r>
        <w:rPr>
          <w:b/>
          <w:szCs w:val="20"/>
        </w:rPr>
        <w:t>ontinued)</w:t>
      </w:r>
    </w:p>
    <w:tbl>
      <w:tblPr>
        <w:tblW w:w="6000" w:type="pct"/>
        <w:jc w:val="center"/>
        <w:tblLayout w:type="fixed"/>
        <w:tblLook w:val="04A0" w:firstRow="1" w:lastRow="0" w:firstColumn="1" w:lastColumn="0" w:noHBand="0" w:noVBand="1"/>
      </w:tblPr>
      <w:tblGrid>
        <w:gridCol w:w="1936"/>
        <w:gridCol w:w="1136"/>
        <w:gridCol w:w="1136"/>
        <w:gridCol w:w="1135"/>
        <w:gridCol w:w="1135"/>
        <w:gridCol w:w="1135"/>
        <w:gridCol w:w="1135"/>
        <w:gridCol w:w="1135"/>
        <w:gridCol w:w="1135"/>
        <w:gridCol w:w="1135"/>
        <w:gridCol w:w="1135"/>
        <w:gridCol w:w="1135"/>
        <w:gridCol w:w="1129"/>
      </w:tblGrid>
      <w:tr w:rsidR="000F6D47" w:rsidRPr="007147C8" w14:paraId="4624576F" w14:textId="77777777" w:rsidTr="00400B64">
        <w:trPr>
          <w:jc w:val="center"/>
        </w:trPr>
        <w:tc>
          <w:tcPr>
            <w:tcW w:w="622" w:type="pct"/>
            <w:tcBorders>
              <w:top w:val="single" w:sz="4" w:space="0" w:color="auto"/>
            </w:tcBorders>
            <w:vAlign w:val="center"/>
          </w:tcPr>
          <w:p w14:paraId="59A3179C" w14:textId="77777777" w:rsidR="000F6D47" w:rsidRPr="007147C8" w:rsidRDefault="000F6D47" w:rsidP="000F6D47">
            <w:pPr>
              <w:widowControl w:val="0"/>
              <w:autoSpaceDE w:val="0"/>
              <w:autoSpaceDN w:val="0"/>
              <w:adjustRightInd w:val="0"/>
              <w:jc w:val="center"/>
              <w:rPr>
                <w:rFonts w:eastAsia="DengXian"/>
                <w:b/>
                <w:bCs/>
                <w:sz w:val="20"/>
                <w:szCs w:val="20"/>
                <w:lang w:eastAsia="zh-CN"/>
              </w:rPr>
            </w:pPr>
            <w:r w:rsidRPr="007147C8">
              <w:rPr>
                <w:rFonts w:eastAsia="DengXian"/>
                <w:b/>
                <w:bCs/>
                <w:sz w:val="20"/>
                <w:szCs w:val="20"/>
                <w:lang w:eastAsia="zh-CN"/>
              </w:rPr>
              <w:t xml:space="preserve">Panel </w:t>
            </w:r>
            <w:r>
              <w:rPr>
                <w:rFonts w:eastAsia="DengXian"/>
                <w:b/>
                <w:bCs/>
                <w:sz w:val="20"/>
                <w:szCs w:val="20"/>
                <w:lang w:eastAsia="zh-CN"/>
              </w:rPr>
              <w:t>B</w:t>
            </w:r>
            <w:r w:rsidRPr="007147C8">
              <w:rPr>
                <w:rFonts w:eastAsia="DengXian"/>
                <w:b/>
                <w:bCs/>
                <w:sz w:val="20"/>
                <w:szCs w:val="20"/>
                <w:lang w:eastAsia="zh-CN"/>
              </w:rPr>
              <w:t>:</w:t>
            </w:r>
            <w:r w:rsidR="00FC4381">
              <w:rPr>
                <w:rFonts w:eastAsia="DengXian"/>
                <w:b/>
                <w:bCs/>
                <w:sz w:val="20"/>
                <w:szCs w:val="20"/>
                <w:lang w:eastAsia="zh-CN"/>
              </w:rPr>
              <w:t xml:space="preserve"> Excluding the 2007-09 Financial Crisis</w:t>
            </w:r>
          </w:p>
        </w:tc>
        <w:tc>
          <w:tcPr>
            <w:tcW w:w="2190" w:type="pct"/>
            <w:gridSpan w:val="6"/>
            <w:tcBorders>
              <w:top w:val="single" w:sz="4" w:space="0" w:color="auto"/>
              <w:bottom w:val="single" w:sz="4" w:space="0" w:color="auto"/>
            </w:tcBorders>
            <w:vAlign w:val="center"/>
          </w:tcPr>
          <w:p w14:paraId="60CD9715" w14:textId="77777777" w:rsidR="000F6D47" w:rsidRPr="007147C8" w:rsidRDefault="000F6D47" w:rsidP="000F6D47">
            <w:pPr>
              <w:widowControl w:val="0"/>
              <w:autoSpaceDE w:val="0"/>
              <w:autoSpaceDN w:val="0"/>
              <w:adjustRightInd w:val="0"/>
              <w:jc w:val="center"/>
              <w:rPr>
                <w:rFonts w:eastAsia="DengXian"/>
                <w:sz w:val="20"/>
                <w:szCs w:val="20"/>
                <w:lang w:eastAsia="zh-CN"/>
              </w:rPr>
            </w:pPr>
            <w:r>
              <w:rPr>
                <w:rFonts w:eastAsia="DengXian"/>
                <w:sz w:val="20"/>
                <w:szCs w:val="20"/>
                <w:lang w:eastAsia="zh-CN"/>
              </w:rPr>
              <w:t>AISD</w:t>
            </w:r>
          </w:p>
        </w:tc>
        <w:tc>
          <w:tcPr>
            <w:tcW w:w="2187" w:type="pct"/>
            <w:gridSpan w:val="6"/>
            <w:tcBorders>
              <w:top w:val="single" w:sz="4" w:space="0" w:color="auto"/>
              <w:bottom w:val="single" w:sz="4" w:space="0" w:color="auto"/>
            </w:tcBorders>
            <w:vAlign w:val="center"/>
          </w:tcPr>
          <w:p w14:paraId="4A29F18C" w14:textId="77777777" w:rsidR="000F6D47" w:rsidRPr="007147C8" w:rsidRDefault="000F6D47" w:rsidP="000F6D47">
            <w:pPr>
              <w:widowControl w:val="0"/>
              <w:autoSpaceDE w:val="0"/>
              <w:autoSpaceDN w:val="0"/>
              <w:adjustRightInd w:val="0"/>
              <w:jc w:val="center"/>
              <w:rPr>
                <w:rFonts w:eastAsia="DengXian"/>
                <w:sz w:val="20"/>
                <w:szCs w:val="20"/>
                <w:lang w:eastAsia="zh-CN"/>
              </w:rPr>
            </w:pPr>
            <w:r>
              <w:rPr>
                <w:rFonts w:eastAsia="DengXian"/>
                <w:sz w:val="20"/>
                <w:szCs w:val="20"/>
                <w:lang w:eastAsia="zh-CN"/>
              </w:rPr>
              <w:t>TCB</w:t>
            </w:r>
          </w:p>
        </w:tc>
      </w:tr>
      <w:tr w:rsidR="000F6D47" w:rsidRPr="007147C8" w14:paraId="51003B62" w14:textId="77777777" w:rsidTr="00400B64">
        <w:trPr>
          <w:jc w:val="center"/>
        </w:trPr>
        <w:tc>
          <w:tcPr>
            <w:tcW w:w="622" w:type="pct"/>
            <w:vAlign w:val="center"/>
          </w:tcPr>
          <w:p w14:paraId="7B3B136A" w14:textId="77777777" w:rsidR="000F6D47" w:rsidRPr="007147C8" w:rsidRDefault="000F6D47" w:rsidP="000F6D47">
            <w:pPr>
              <w:widowControl w:val="0"/>
              <w:autoSpaceDE w:val="0"/>
              <w:autoSpaceDN w:val="0"/>
              <w:adjustRightInd w:val="0"/>
              <w:jc w:val="center"/>
              <w:rPr>
                <w:rFonts w:eastAsia="DengXian"/>
                <w:b/>
                <w:bCs/>
                <w:sz w:val="20"/>
                <w:szCs w:val="20"/>
                <w:lang w:eastAsia="zh-CN"/>
              </w:rPr>
            </w:pPr>
          </w:p>
        </w:tc>
        <w:tc>
          <w:tcPr>
            <w:tcW w:w="365" w:type="pct"/>
            <w:tcBorders>
              <w:top w:val="single" w:sz="4" w:space="0" w:color="auto"/>
              <w:bottom w:val="single" w:sz="4" w:space="0" w:color="auto"/>
            </w:tcBorders>
            <w:vAlign w:val="center"/>
          </w:tcPr>
          <w:p w14:paraId="2464BE6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p>
        </w:tc>
        <w:tc>
          <w:tcPr>
            <w:tcW w:w="365" w:type="pct"/>
            <w:tcBorders>
              <w:top w:val="single" w:sz="4" w:space="0" w:color="auto"/>
              <w:bottom w:val="single" w:sz="4" w:space="0" w:color="auto"/>
            </w:tcBorders>
            <w:vAlign w:val="center"/>
          </w:tcPr>
          <w:p w14:paraId="47E9105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p>
        </w:tc>
        <w:tc>
          <w:tcPr>
            <w:tcW w:w="365" w:type="pct"/>
            <w:tcBorders>
              <w:top w:val="single" w:sz="4" w:space="0" w:color="auto"/>
              <w:bottom w:val="single" w:sz="4" w:space="0" w:color="auto"/>
            </w:tcBorders>
            <w:vAlign w:val="center"/>
          </w:tcPr>
          <w:p w14:paraId="5323D54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(3)</w:t>
            </w:r>
          </w:p>
        </w:tc>
        <w:tc>
          <w:tcPr>
            <w:tcW w:w="365" w:type="pct"/>
            <w:tcBorders>
              <w:top w:val="single" w:sz="4" w:space="0" w:color="auto"/>
              <w:bottom w:val="single" w:sz="4" w:space="0" w:color="auto"/>
            </w:tcBorders>
            <w:vAlign w:val="center"/>
          </w:tcPr>
          <w:p w14:paraId="20BA0D8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(4)</w:t>
            </w:r>
          </w:p>
        </w:tc>
        <w:tc>
          <w:tcPr>
            <w:tcW w:w="365" w:type="pct"/>
            <w:tcBorders>
              <w:top w:val="single" w:sz="4" w:space="0" w:color="auto"/>
              <w:bottom w:val="single" w:sz="4" w:space="0" w:color="auto"/>
            </w:tcBorders>
            <w:vAlign w:val="center"/>
          </w:tcPr>
          <w:p w14:paraId="1CA62D9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(5)</w:t>
            </w:r>
          </w:p>
        </w:tc>
        <w:tc>
          <w:tcPr>
            <w:tcW w:w="365" w:type="pct"/>
            <w:tcBorders>
              <w:top w:val="single" w:sz="4" w:space="0" w:color="auto"/>
              <w:bottom w:val="single" w:sz="4" w:space="0" w:color="auto"/>
            </w:tcBorders>
            <w:vAlign w:val="center"/>
          </w:tcPr>
          <w:p w14:paraId="2E2EE3A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(6)</w:t>
            </w:r>
          </w:p>
        </w:tc>
        <w:tc>
          <w:tcPr>
            <w:tcW w:w="365" w:type="pct"/>
            <w:tcBorders>
              <w:top w:val="single" w:sz="4" w:space="0" w:color="auto"/>
              <w:bottom w:val="single" w:sz="4" w:space="0" w:color="auto"/>
            </w:tcBorders>
            <w:vAlign w:val="center"/>
          </w:tcPr>
          <w:p w14:paraId="57DF43B2"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(7)</w:t>
            </w:r>
          </w:p>
        </w:tc>
        <w:tc>
          <w:tcPr>
            <w:tcW w:w="365" w:type="pct"/>
            <w:tcBorders>
              <w:top w:val="single" w:sz="4" w:space="0" w:color="auto"/>
              <w:bottom w:val="single" w:sz="4" w:space="0" w:color="auto"/>
            </w:tcBorders>
            <w:vAlign w:val="center"/>
          </w:tcPr>
          <w:p w14:paraId="2B34E3F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(8)</w:t>
            </w:r>
          </w:p>
        </w:tc>
        <w:tc>
          <w:tcPr>
            <w:tcW w:w="365" w:type="pct"/>
            <w:tcBorders>
              <w:top w:val="single" w:sz="4" w:space="0" w:color="auto"/>
              <w:bottom w:val="single" w:sz="4" w:space="0" w:color="auto"/>
            </w:tcBorders>
            <w:vAlign w:val="center"/>
          </w:tcPr>
          <w:p w14:paraId="2719A46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w:t>
            </w:r>
            <w:r>
              <w:rPr>
                <w:rFonts w:eastAsia="DengXian"/>
                <w:sz w:val="20"/>
                <w:szCs w:val="20"/>
                <w:lang w:eastAsia="zh-CN"/>
              </w:rPr>
              <w:t>9</w:t>
            </w:r>
            <w:r w:rsidRPr="007147C8">
              <w:rPr>
                <w:rFonts w:eastAsia="DengXian"/>
                <w:sz w:val="20"/>
                <w:szCs w:val="20"/>
                <w:lang w:eastAsia="zh-CN"/>
              </w:rPr>
              <w:t>)</w:t>
            </w:r>
          </w:p>
        </w:tc>
        <w:tc>
          <w:tcPr>
            <w:tcW w:w="365" w:type="pct"/>
            <w:tcBorders>
              <w:top w:val="single" w:sz="4" w:space="0" w:color="auto"/>
              <w:bottom w:val="single" w:sz="4" w:space="0" w:color="auto"/>
            </w:tcBorders>
            <w:vAlign w:val="center"/>
          </w:tcPr>
          <w:p w14:paraId="1DC546C2"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w:t>
            </w:r>
            <w:r>
              <w:rPr>
                <w:rFonts w:eastAsia="DengXian"/>
                <w:sz w:val="20"/>
                <w:szCs w:val="20"/>
                <w:lang w:eastAsia="zh-CN"/>
              </w:rPr>
              <w:t>10</w:t>
            </w:r>
            <w:r w:rsidRPr="007147C8">
              <w:rPr>
                <w:rFonts w:eastAsia="DengXian"/>
                <w:sz w:val="20"/>
                <w:szCs w:val="20"/>
                <w:lang w:eastAsia="zh-CN"/>
              </w:rPr>
              <w:t>)</w:t>
            </w:r>
          </w:p>
        </w:tc>
        <w:tc>
          <w:tcPr>
            <w:tcW w:w="365" w:type="pct"/>
            <w:tcBorders>
              <w:top w:val="single" w:sz="4" w:space="0" w:color="auto"/>
              <w:bottom w:val="single" w:sz="4" w:space="0" w:color="auto"/>
            </w:tcBorders>
            <w:vAlign w:val="center"/>
          </w:tcPr>
          <w:p w14:paraId="3438488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w:t>
            </w:r>
            <w:r>
              <w:rPr>
                <w:rFonts w:eastAsia="DengXian"/>
                <w:sz w:val="20"/>
                <w:szCs w:val="20"/>
                <w:lang w:eastAsia="zh-CN"/>
              </w:rPr>
              <w:t>11</w:t>
            </w:r>
            <w:r w:rsidRPr="007147C8">
              <w:rPr>
                <w:rFonts w:eastAsia="DengXian"/>
                <w:sz w:val="20"/>
                <w:szCs w:val="20"/>
                <w:lang w:eastAsia="zh-CN"/>
              </w:rPr>
              <w:t>)</w:t>
            </w:r>
          </w:p>
        </w:tc>
        <w:tc>
          <w:tcPr>
            <w:tcW w:w="363" w:type="pct"/>
            <w:tcBorders>
              <w:top w:val="single" w:sz="4" w:space="0" w:color="auto"/>
              <w:bottom w:val="single" w:sz="4" w:space="0" w:color="auto"/>
            </w:tcBorders>
            <w:vAlign w:val="center"/>
          </w:tcPr>
          <w:p w14:paraId="6E4465B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w:t>
            </w:r>
            <w:r>
              <w:rPr>
                <w:rFonts w:eastAsia="DengXian"/>
                <w:sz w:val="20"/>
                <w:szCs w:val="20"/>
                <w:lang w:eastAsia="zh-CN"/>
              </w:rPr>
              <w:t>12</w:t>
            </w:r>
            <w:r w:rsidRPr="007147C8">
              <w:rPr>
                <w:rFonts w:eastAsia="DengXian"/>
                <w:sz w:val="20"/>
                <w:szCs w:val="20"/>
                <w:lang w:eastAsia="zh-CN"/>
              </w:rPr>
              <w:t>)</w:t>
            </w:r>
          </w:p>
        </w:tc>
      </w:tr>
      <w:tr w:rsidR="000F6D47" w:rsidRPr="007147C8" w14:paraId="0A192F6C" w14:textId="77777777" w:rsidTr="00400B64">
        <w:trPr>
          <w:jc w:val="center"/>
        </w:trPr>
        <w:tc>
          <w:tcPr>
            <w:tcW w:w="622" w:type="pct"/>
            <w:vAlign w:val="center"/>
          </w:tcPr>
          <w:p w14:paraId="10F30721"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bottom w:val="single" w:sz="4" w:space="0" w:color="auto"/>
            </w:tcBorders>
            <w:vAlign w:val="center"/>
          </w:tcPr>
          <w:p w14:paraId="56653F6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053D1D2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1494C58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2A6B7E4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78D82B4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1801398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0209D2A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4DE42BB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456EB2E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42D3009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c>
          <w:tcPr>
            <w:tcW w:w="365" w:type="pct"/>
            <w:tcBorders>
              <w:top w:val="single" w:sz="4" w:space="0" w:color="auto"/>
              <w:bottom w:val="single" w:sz="4" w:space="0" w:color="auto"/>
            </w:tcBorders>
            <w:vAlign w:val="center"/>
          </w:tcPr>
          <w:p w14:paraId="33CAA08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1</w:t>
            </w:r>
            <w:r w:rsidRPr="007147C8">
              <w:rPr>
                <w:rFonts w:eastAsia="DengXian"/>
                <w:sz w:val="20"/>
                <w:szCs w:val="20"/>
                <w:vertAlign w:val="superscript"/>
                <w:lang w:eastAsia="zh-CN"/>
              </w:rPr>
              <w:t>st</w:t>
            </w:r>
            <w:r w:rsidRPr="007147C8">
              <w:rPr>
                <w:rFonts w:eastAsia="DengXian"/>
                <w:sz w:val="20"/>
                <w:szCs w:val="20"/>
                <w:lang w:eastAsia="zh-CN"/>
              </w:rPr>
              <w:t xml:space="preserve"> stage</w:t>
            </w:r>
          </w:p>
        </w:tc>
        <w:tc>
          <w:tcPr>
            <w:tcW w:w="363" w:type="pct"/>
            <w:tcBorders>
              <w:top w:val="single" w:sz="4" w:space="0" w:color="auto"/>
              <w:bottom w:val="single" w:sz="4" w:space="0" w:color="auto"/>
            </w:tcBorders>
            <w:vAlign w:val="center"/>
          </w:tcPr>
          <w:p w14:paraId="7F7D6F0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2</w:t>
            </w:r>
            <w:r w:rsidRPr="007147C8">
              <w:rPr>
                <w:rFonts w:eastAsia="DengXian"/>
                <w:sz w:val="20"/>
                <w:szCs w:val="20"/>
                <w:vertAlign w:val="superscript"/>
                <w:lang w:eastAsia="zh-CN"/>
              </w:rPr>
              <w:t>nd</w:t>
            </w:r>
            <w:r w:rsidRPr="007147C8">
              <w:rPr>
                <w:rFonts w:eastAsia="DengXian"/>
                <w:sz w:val="20"/>
                <w:szCs w:val="20"/>
                <w:lang w:eastAsia="zh-CN"/>
              </w:rPr>
              <w:t xml:space="preserve"> stage</w:t>
            </w:r>
          </w:p>
        </w:tc>
      </w:tr>
      <w:tr w:rsidR="000F6D47" w:rsidRPr="007147C8" w14:paraId="0CD38D9D" w14:textId="77777777" w:rsidTr="00400B64">
        <w:trPr>
          <w:jc w:val="center"/>
        </w:trPr>
        <w:tc>
          <w:tcPr>
            <w:tcW w:w="622" w:type="pct"/>
            <w:vAlign w:val="center"/>
          </w:tcPr>
          <w:p w14:paraId="033CE7A1"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bottom w:val="single" w:sz="4" w:space="0" w:color="auto"/>
            </w:tcBorders>
            <w:vAlign w:val="center"/>
            <w:hideMark/>
          </w:tcPr>
          <w:p w14:paraId="528EB11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tcBorders>
              <w:top w:val="single" w:sz="4" w:space="0" w:color="auto"/>
              <w:bottom w:val="single" w:sz="4" w:space="0" w:color="auto"/>
            </w:tcBorders>
            <w:vAlign w:val="center"/>
            <w:hideMark/>
          </w:tcPr>
          <w:p w14:paraId="472D135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c>
          <w:tcPr>
            <w:tcW w:w="365" w:type="pct"/>
            <w:tcBorders>
              <w:top w:val="single" w:sz="4" w:space="0" w:color="auto"/>
              <w:bottom w:val="single" w:sz="4" w:space="0" w:color="auto"/>
            </w:tcBorders>
            <w:vAlign w:val="center"/>
          </w:tcPr>
          <w:p w14:paraId="274B690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tcBorders>
              <w:top w:val="single" w:sz="4" w:space="0" w:color="auto"/>
              <w:bottom w:val="single" w:sz="4" w:space="0" w:color="auto"/>
            </w:tcBorders>
            <w:vAlign w:val="center"/>
          </w:tcPr>
          <w:p w14:paraId="1309713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c>
          <w:tcPr>
            <w:tcW w:w="365" w:type="pct"/>
            <w:tcBorders>
              <w:top w:val="single" w:sz="4" w:space="0" w:color="auto"/>
              <w:bottom w:val="single" w:sz="4" w:space="0" w:color="auto"/>
            </w:tcBorders>
            <w:vAlign w:val="center"/>
            <w:hideMark/>
          </w:tcPr>
          <w:p w14:paraId="6C48F08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tcBorders>
              <w:top w:val="single" w:sz="4" w:space="0" w:color="auto"/>
              <w:bottom w:val="single" w:sz="4" w:space="0" w:color="auto"/>
            </w:tcBorders>
            <w:vAlign w:val="center"/>
            <w:hideMark/>
          </w:tcPr>
          <w:p w14:paraId="453FF83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c>
          <w:tcPr>
            <w:tcW w:w="365" w:type="pct"/>
            <w:tcBorders>
              <w:top w:val="single" w:sz="4" w:space="0" w:color="auto"/>
              <w:bottom w:val="single" w:sz="4" w:space="0" w:color="auto"/>
            </w:tcBorders>
            <w:vAlign w:val="center"/>
          </w:tcPr>
          <w:p w14:paraId="4222C81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tcBorders>
              <w:top w:val="single" w:sz="4" w:space="0" w:color="auto"/>
              <w:bottom w:val="single" w:sz="4" w:space="0" w:color="auto"/>
            </w:tcBorders>
            <w:vAlign w:val="center"/>
          </w:tcPr>
          <w:p w14:paraId="4B62562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c>
          <w:tcPr>
            <w:tcW w:w="365" w:type="pct"/>
            <w:tcBorders>
              <w:top w:val="single" w:sz="4" w:space="0" w:color="auto"/>
              <w:bottom w:val="single" w:sz="4" w:space="0" w:color="auto"/>
            </w:tcBorders>
            <w:vAlign w:val="center"/>
          </w:tcPr>
          <w:p w14:paraId="1690A49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tcBorders>
              <w:top w:val="single" w:sz="4" w:space="0" w:color="auto"/>
              <w:bottom w:val="single" w:sz="4" w:space="0" w:color="auto"/>
            </w:tcBorders>
            <w:vAlign w:val="center"/>
          </w:tcPr>
          <w:p w14:paraId="4606D6B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c>
          <w:tcPr>
            <w:tcW w:w="365" w:type="pct"/>
            <w:tcBorders>
              <w:top w:val="single" w:sz="4" w:space="0" w:color="auto"/>
              <w:bottom w:val="single" w:sz="4" w:space="0" w:color="auto"/>
            </w:tcBorders>
            <w:vAlign w:val="center"/>
          </w:tcPr>
          <w:p w14:paraId="0F6854F2"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3" w:type="pct"/>
            <w:tcBorders>
              <w:top w:val="single" w:sz="4" w:space="0" w:color="auto"/>
              <w:bottom w:val="single" w:sz="4" w:space="0" w:color="auto"/>
            </w:tcBorders>
            <w:vAlign w:val="center"/>
          </w:tcPr>
          <w:p w14:paraId="308F844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AISD</w:t>
            </w:r>
          </w:p>
        </w:tc>
      </w:tr>
      <w:tr w:rsidR="000F6D47" w:rsidRPr="007147C8" w14:paraId="62AC4452" w14:textId="77777777" w:rsidTr="00400B64">
        <w:trPr>
          <w:jc w:val="center"/>
        </w:trPr>
        <w:tc>
          <w:tcPr>
            <w:tcW w:w="622" w:type="pct"/>
            <w:vAlign w:val="center"/>
            <w:hideMark/>
          </w:tcPr>
          <w:p w14:paraId="2AEC7B6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Syndicate reputation: lead to participant</w:t>
            </w:r>
          </w:p>
        </w:tc>
        <w:tc>
          <w:tcPr>
            <w:tcW w:w="365" w:type="pct"/>
            <w:tcBorders>
              <w:top w:val="single" w:sz="4" w:space="0" w:color="auto"/>
            </w:tcBorders>
            <w:vAlign w:val="center"/>
          </w:tcPr>
          <w:p w14:paraId="4D460CA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-0.040</w:t>
            </w:r>
            <w:r w:rsidRPr="0097026F">
              <w:rPr>
                <w:sz w:val="20"/>
                <w:szCs w:val="20"/>
                <w:vertAlign w:val="superscript"/>
              </w:rPr>
              <w:t>***</w:t>
            </w:r>
          </w:p>
        </w:tc>
        <w:tc>
          <w:tcPr>
            <w:tcW w:w="365" w:type="pct"/>
            <w:tcBorders>
              <w:top w:val="single" w:sz="4" w:space="0" w:color="auto"/>
            </w:tcBorders>
            <w:vAlign w:val="center"/>
          </w:tcPr>
          <w:p w14:paraId="13616441"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tcBorders>
            <w:vAlign w:val="center"/>
          </w:tcPr>
          <w:p w14:paraId="1A4FBA7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-0.040</w:t>
            </w:r>
            <w:r w:rsidRPr="0097026F">
              <w:rPr>
                <w:sz w:val="20"/>
                <w:szCs w:val="20"/>
                <w:vertAlign w:val="superscript"/>
              </w:rPr>
              <w:t>***</w:t>
            </w:r>
          </w:p>
        </w:tc>
        <w:tc>
          <w:tcPr>
            <w:tcW w:w="365" w:type="pct"/>
            <w:tcBorders>
              <w:top w:val="single" w:sz="4" w:space="0" w:color="auto"/>
            </w:tcBorders>
            <w:vAlign w:val="center"/>
          </w:tcPr>
          <w:p w14:paraId="7FB0A763"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tcBorders>
            <w:vAlign w:val="center"/>
          </w:tcPr>
          <w:p w14:paraId="37128A7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-0.039</w:t>
            </w:r>
            <w:r w:rsidRPr="0097026F">
              <w:rPr>
                <w:sz w:val="20"/>
                <w:szCs w:val="20"/>
                <w:vertAlign w:val="superscript"/>
              </w:rPr>
              <w:t>***</w:t>
            </w:r>
          </w:p>
        </w:tc>
        <w:tc>
          <w:tcPr>
            <w:tcW w:w="365" w:type="pct"/>
            <w:tcBorders>
              <w:top w:val="single" w:sz="4" w:space="0" w:color="auto"/>
            </w:tcBorders>
            <w:vAlign w:val="center"/>
          </w:tcPr>
          <w:p w14:paraId="5D569054"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tcBorders>
            <w:vAlign w:val="center"/>
          </w:tcPr>
          <w:p w14:paraId="5CEBE0F2"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-0.038</w:t>
            </w:r>
            <w:r w:rsidRPr="004F62F3">
              <w:rPr>
                <w:sz w:val="20"/>
                <w:szCs w:val="20"/>
                <w:vertAlign w:val="superscript"/>
              </w:rPr>
              <w:t>***</w:t>
            </w:r>
          </w:p>
        </w:tc>
        <w:tc>
          <w:tcPr>
            <w:tcW w:w="365" w:type="pct"/>
            <w:tcBorders>
              <w:top w:val="single" w:sz="4" w:space="0" w:color="auto"/>
            </w:tcBorders>
            <w:vAlign w:val="center"/>
          </w:tcPr>
          <w:p w14:paraId="60219C79"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tcBorders>
            <w:vAlign w:val="center"/>
          </w:tcPr>
          <w:p w14:paraId="047CB1C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-0.038</w:t>
            </w:r>
            <w:r w:rsidRPr="004F62F3">
              <w:rPr>
                <w:sz w:val="20"/>
                <w:szCs w:val="20"/>
                <w:vertAlign w:val="superscript"/>
              </w:rPr>
              <w:t>***</w:t>
            </w:r>
          </w:p>
        </w:tc>
        <w:tc>
          <w:tcPr>
            <w:tcW w:w="365" w:type="pct"/>
            <w:tcBorders>
              <w:top w:val="single" w:sz="4" w:space="0" w:color="auto"/>
            </w:tcBorders>
            <w:vAlign w:val="center"/>
          </w:tcPr>
          <w:p w14:paraId="3EBC5D95"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top w:val="single" w:sz="4" w:space="0" w:color="auto"/>
            </w:tcBorders>
            <w:vAlign w:val="center"/>
          </w:tcPr>
          <w:p w14:paraId="5B5EEB8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-0.038</w:t>
            </w:r>
            <w:r w:rsidRPr="004F62F3">
              <w:rPr>
                <w:sz w:val="20"/>
                <w:szCs w:val="20"/>
                <w:vertAlign w:val="superscript"/>
              </w:rPr>
              <w:t>***</w:t>
            </w:r>
          </w:p>
        </w:tc>
        <w:tc>
          <w:tcPr>
            <w:tcW w:w="363" w:type="pct"/>
            <w:tcBorders>
              <w:top w:val="single" w:sz="4" w:space="0" w:color="auto"/>
            </w:tcBorders>
            <w:vAlign w:val="center"/>
          </w:tcPr>
          <w:p w14:paraId="637D8D8D"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r>
      <w:tr w:rsidR="000F6D47" w:rsidRPr="007147C8" w14:paraId="5BCCB54D" w14:textId="77777777" w:rsidTr="00400B64">
        <w:trPr>
          <w:jc w:val="center"/>
        </w:trPr>
        <w:tc>
          <w:tcPr>
            <w:tcW w:w="622" w:type="pct"/>
            <w:vAlign w:val="center"/>
          </w:tcPr>
          <w:p w14:paraId="05C5DF6D"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318FFB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(0.01)</w:t>
            </w:r>
          </w:p>
        </w:tc>
        <w:tc>
          <w:tcPr>
            <w:tcW w:w="365" w:type="pct"/>
            <w:vAlign w:val="center"/>
          </w:tcPr>
          <w:p w14:paraId="4116BBEA"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2033CED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(0.01)</w:t>
            </w:r>
          </w:p>
        </w:tc>
        <w:tc>
          <w:tcPr>
            <w:tcW w:w="365" w:type="pct"/>
            <w:vAlign w:val="center"/>
          </w:tcPr>
          <w:p w14:paraId="7E929E83"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59D7FF5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(0.01)</w:t>
            </w:r>
          </w:p>
        </w:tc>
        <w:tc>
          <w:tcPr>
            <w:tcW w:w="365" w:type="pct"/>
            <w:vAlign w:val="center"/>
          </w:tcPr>
          <w:p w14:paraId="4E6AF72E"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78998C5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(0.01)</w:t>
            </w:r>
          </w:p>
        </w:tc>
        <w:tc>
          <w:tcPr>
            <w:tcW w:w="365" w:type="pct"/>
            <w:vAlign w:val="center"/>
          </w:tcPr>
          <w:p w14:paraId="35AA676F"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654EE83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(0.01)</w:t>
            </w:r>
          </w:p>
        </w:tc>
        <w:tc>
          <w:tcPr>
            <w:tcW w:w="365" w:type="pct"/>
            <w:vAlign w:val="center"/>
          </w:tcPr>
          <w:p w14:paraId="1F2F461F"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73A1D95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(0.01)</w:t>
            </w:r>
          </w:p>
        </w:tc>
        <w:tc>
          <w:tcPr>
            <w:tcW w:w="363" w:type="pct"/>
            <w:vAlign w:val="center"/>
          </w:tcPr>
          <w:p w14:paraId="231AF243"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r>
      <w:tr w:rsidR="000F6D47" w:rsidRPr="007147C8" w14:paraId="495E5990" w14:textId="77777777" w:rsidTr="00400B64">
        <w:trPr>
          <w:jc w:val="center"/>
        </w:trPr>
        <w:tc>
          <w:tcPr>
            <w:tcW w:w="622" w:type="pct"/>
            <w:vAlign w:val="center"/>
            <w:hideMark/>
          </w:tcPr>
          <w:p w14:paraId="5754375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Syndicate reputation: reciprocal</w:t>
            </w:r>
          </w:p>
        </w:tc>
        <w:tc>
          <w:tcPr>
            <w:tcW w:w="365" w:type="pct"/>
            <w:vAlign w:val="center"/>
          </w:tcPr>
          <w:p w14:paraId="54DB114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-0.045</w:t>
            </w:r>
            <w:r w:rsidRPr="0097026F">
              <w:rPr>
                <w:sz w:val="20"/>
                <w:szCs w:val="20"/>
                <w:vertAlign w:val="superscript"/>
              </w:rPr>
              <w:t>***</w:t>
            </w:r>
          </w:p>
        </w:tc>
        <w:tc>
          <w:tcPr>
            <w:tcW w:w="365" w:type="pct"/>
            <w:vAlign w:val="center"/>
          </w:tcPr>
          <w:p w14:paraId="73332F2D"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DA5D5C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-0.045</w:t>
            </w:r>
            <w:r w:rsidRPr="0097026F">
              <w:rPr>
                <w:sz w:val="20"/>
                <w:szCs w:val="20"/>
                <w:vertAlign w:val="superscript"/>
              </w:rPr>
              <w:t>***</w:t>
            </w:r>
          </w:p>
        </w:tc>
        <w:tc>
          <w:tcPr>
            <w:tcW w:w="365" w:type="pct"/>
            <w:vAlign w:val="center"/>
          </w:tcPr>
          <w:p w14:paraId="2E05D8BB"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158375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-0.045</w:t>
            </w:r>
            <w:r w:rsidRPr="0097026F">
              <w:rPr>
                <w:sz w:val="20"/>
                <w:szCs w:val="20"/>
                <w:vertAlign w:val="superscript"/>
              </w:rPr>
              <w:t>***</w:t>
            </w:r>
          </w:p>
        </w:tc>
        <w:tc>
          <w:tcPr>
            <w:tcW w:w="365" w:type="pct"/>
            <w:vAlign w:val="center"/>
          </w:tcPr>
          <w:p w14:paraId="204F709A"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229F8AAE"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-0.054</w:t>
            </w:r>
            <w:r w:rsidRPr="004F62F3">
              <w:rPr>
                <w:sz w:val="20"/>
                <w:szCs w:val="20"/>
                <w:vertAlign w:val="superscript"/>
              </w:rPr>
              <w:t>***</w:t>
            </w:r>
          </w:p>
        </w:tc>
        <w:tc>
          <w:tcPr>
            <w:tcW w:w="365" w:type="pct"/>
            <w:vAlign w:val="center"/>
          </w:tcPr>
          <w:p w14:paraId="5D97FAAB"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2A785A9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-0.054</w:t>
            </w:r>
            <w:r w:rsidRPr="004F62F3">
              <w:rPr>
                <w:sz w:val="20"/>
                <w:szCs w:val="20"/>
                <w:vertAlign w:val="superscript"/>
              </w:rPr>
              <w:t>***</w:t>
            </w:r>
          </w:p>
        </w:tc>
        <w:tc>
          <w:tcPr>
            <w:tcW w:w="365" w:type="pct"/>
            <w:vAlign w:val="center"/>
          </w:tcPr>
          <w:p w14:paraId="663774D2"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788977B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-0.054</w:t>
            </w:r>
            <w:r w:rsidRPr="004F62F3">
              <w:rPr>
                <w:sz w:val="20"/>
                <w:szCs w:val="20"/>
                <w:vertAlign w:val="superscript"/>
              </w:rPr>
              <w:t>***</w:t>
            </w:r>
          </w:p>
        </w:tc>
        <w:tc>
          <w:tcPr>
            <w:tcW w:w="363" w:type="pct"/>
            <w:vAlign w:val="center"/>
          </w:tcPr>
          <w:p w14:paraId="4CC1FEF2"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r>
      <w:tr w:rsidR="000F6D47" w:rsidRPr="007147C8" w14:paraId="329FF824" w14:textId="77777777" w:rsidTr="00400B64">
        <w:trPr>
          <w:jc w:val="center"/>
        </w:trPr>
        <w:tc>
          <w:tcPr>
            <w:tcW w:w="622" w:type="pct"/>
            <w:vAlign w:val="center"/>
          </w:tcPr>
          <w:p w14:paraId="439EC660"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D2D1B4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(0.00)</w:t>
            </w:r>
          </w:p>
        </w:tc>
        <w:tc>
          <w:tcPr>
            <w:tcW w:w="365" w:type="pct"/>
            <w:vAlign w:val="center"/>
          </w:tcPr>
          <w:p w14:paraId="067C5ACC"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6BB3FC1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(0.00)</w:t>
            </w:r>
          </w:p>
        </w:tc>
        <w:tc>
          <w:tcPr>
            <w:tcW w:w="365" w:type="pct"/>
            <w:vAlign w:val="center"/>
          </w:tcPr>
          <w:p w14:paraId="72DA7F67"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356813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(0.00)</w:t>
            </w:r>
          </w:p>
        </w:tc>
        <w:tc>
          <w:tcPr>
            <w:tcW w:w="365" w:type="pct"/>
            <w:vAlign w:val="center"/>
          </w:tcPr>
          <w:p w14:paraId="68A8CD83"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2EE0F7F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(0.00)</w:t>
            </w:r>
          </w:p>
        </w:tc>
        <w:tc>
          <w:tcPr>
            <w:tcW w:w="365" w:type="pct"/>
            <w:vAlign w:val="center"/>
          </w:tcPr>
          <w:p w14:paraId="07950B8F"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7BE91E19"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(0.00)</w:t>
            </w:r>
          </w:p>
        </w:tc>
        <w:tc>
          <w:tcPr>
            <w:tcW w:w="365" w:type="pct"/>
            <w:vAlign w:val="center"/>
          </w:tcPr>
          <w:p w14:paraId="3934AB48"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49BA8EC"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(0.00)</w:t>
            </w:r>
          </w:p>
        </w:tc>
        <w:tc>
          <w:tcPr>
            <w:tcW w:w="363" w:type="pct"/>
            <w:vAlign w:val="center"/>
          </w:tcPr>
          <w:p w14:paraId="52AC2F50"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r>
      <w:tr w:rsidR="000F6D47" w:rsidRPr="007147C8" w14:paraId="3656E9C6" w14:textId="77777777" w:rsidTr="00400B64">
        <w:trPr>
          <w:jc w:val="center"/>
        </w:trPr>
        <w:tc>
          <w:tcPr>
            <w:tcW w:w="622" w:type="pct"/>
            <w:vAlign w:val="center"/>
            <w:hideMark/>
          </w:tcPr>
          <w:p w14:paraId="3DFF3C0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Lead agent share</w:t>
            </w:r>
          </w:p>
        </w:tc>
        <w:tc>
          <w:tcPr>
            <w:tcW w:w="365" w:type="pct"/>
            <w:vAlign w:val="center"/>
          </w:tcPr>
          <w:p w14:paraId="03AE557A"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5211CBA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2.956</w:t>
            </w:r>
            <w:r w:rsidRPr="00840219">
              <w:rPr>
                <w:sz w:val="20"/>
                <w:szCs w:val="20"/>
                <w:vertAlign w:val="superscript"/>
              </w:rPr>
              <w:t>***</w:t>
            </w:r>
          </w:p>
        </w:tc>
        <w:tc>
          <w:tcPr>
            <w:tcW w:w="365" w:type="pct"/>
            <w:vAlign w:val="center"/>
          </w:tcPr>
          <w:p w14:paraId="0FBE0D66"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914CC1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2.988</w:t>
            </w:r>
            <w:r w:rsidRPr="00840219">
              <w:rPr>
                <w:sz w:val="20"/>
                <w:szCs w:val="20"/>
                <w:vertAlign w:val="superscript"/>
              </w:rPr>
              <w:t>***</w:t>
            </w:r>
          </w:p>
        </w:tc>
        <w:tc>
          <w:tcPr>
            <w:tcW w:w="365" w:type="pct"/>
            <w:vAlign w:val="center"/>
          </w:tcPr>
          <w:p w14:paraId="7DE62D26"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25EFDC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2.985</w:t>
            </w:r>
            <w:r w:rsidRPr="00840219">
              <w:rPr>
                <w:sz w:val="20"/>
                <w:szCs w:val="20"/>
                <w:vertAlign w:val="superscript"/>
              </w:rPr>
              <w:t>***</w:t>
            </w:r>
          </w:p>
        </w:tc>
        <w:tc>
          <w:tcPr>
            <w:tcW w:w="365" w:type="pct"/>
            <w:vAlign w:val="center"/>
          </w:tcPr>
          <w:p w14:paraId="11395471" w14:textId="77777777" w:rsidR="000F6D47" w:rsidRPr="007147C8" w:rsidRDefault="000F6D47" w:rsidP="000F6D47">
            <w:pPr>
              <w:widowControl w:val="0"/>
              <w:autoSpaceDE w:val="0"/>
              <w:autoSpaceDN w:val="0"/>
              <w:adjustRightInd w:val="0"/>
              <w:jc w:val="center"/>
              <w:rPr>
                <w:sz w:val="20"/>
                <w:szCs w:val="20"/>
              </w:rPr>
            </w:pPr>
          </w:p>
        </w:tc>
        <w:tc>
          <w:tcPr>
            <w:tcW w:w="365" w:type="pct"/>
            <w:vAlign w:val="center"/>
          </w:tcPr>
          <w:p w14:paraId="5F69348A"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3.247</w:t>
            </w:r>
            <w:r w:rsidRPr="004F62F3">
              <w:rPr>
                <w:sz w:val="20"/>
                <w:szCs w:val="20"/>
                <w:vertAlign w:val="superscript"/>
              </w:rPr>
              <w:t>***</w:t>
            </w:r>
          </w:p>
        </w:tc>
        <w:tc>
          <w:tcPr>
            <w:tcW w:w="365" w:type="pct"/>
            <w:vAlign w:val="center"/>
          </w:tcPr>
          <w:p w14:paraId="62117988" w14:textId="77777777" w:rsidR="000F6D47" w:rsidRPr="00840219" w:rsidRDefault="000F6D47" w:rsidP="000F6D47">
            <w:pPr>
              <w:widowControl w:val="0"/>
              <w:autoSpaceDE w:val="0"/>
              <w:autoSpaceDN w:val="0"/>
              <w:adjustRightInd w:val="0"/>
              <w:jc w:val="center"/>
              <w:rPr>
                <w:sz w:val="20"/>
                <w:szCs w:val="20"/>
              </w:rPr>
            </w:pPr>
          </w:p>
        </w:tc>
        <w:tc>
          <w:tcPr>
            <w:tcW w:w="365" w:type="pct"/>
            <w:vAlign w:val="center"/>
          </w:tcPr>
          <w:p w14:paraId="537049B8"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3.254</w:t>
            </w:r>
            <w:r w:rsidRPr="004F62F3">
              <w:rPr>
                <w:sz w:val="20"/>
                <w:szCs w:val="20"/>
                <w:vertAlign w:val="superscript"/>
              </w:rPr>
              <w:t>***</w:t>
            </w:r>
          </w:p>
        </w:tc>
        <w:tc>
          <w:tcPr>
            <w:tcW w:w="365" w:type="pct"/>
            <w:vAlign w:val="center"/>
          </w:tcPr>
          <w:p w14:paraId="15C90697" w14:textId="77777777" w:rsidR="000F6D47" w:rsidRPr="00840219" w:rsidRDefault="000F6D47" w:rsidP="000F6D47">
            <w:pPr>
              <w:widowControl w:val="0"/>
              <w:autoSpaceDE w:val="0"/>
              <w:autoSpaceDN w:val="0"/>
              <w:adjustRightInd w:val="0"/>
              <w:jc w:val="center"/>
              <w:rPr>
                <w:sz w:val="20"/>
                <w:szCs w:val="20"/>
              </w:rPr>
            </w:pPr>
          </w:p>
        </w:tc>
        <w:tc>
          <w:tcPr>
            <w:tcW w:w="363" w:type="pct"/>
            <w:vAlign w:val="center"/>
          </w:tcPr>
          <w:p w14:paraId="5C0E942A"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3.254</w:t>
            </w:r>
            <w:r w:rsidRPr="004F62F3">
              <w:rPr>
                <w:sz w:val="20"/>
                <w:szCs w:val="20"/>
                <w:vertAlign w:val="superscript"/>
              </w:rPr>
              <w:t>***</w:t>
            </w:r>
          </w:p>
        </w:tc>
      </w:tr>
      <w:tr w:rsidR="000F6D47" w:rsidRPr="007147C8" w14:paraId="33CD501C" w14:textId="77777777" w:rsidTr="00400B64">
        <w:trPr>
          <w:jc w:val="center"/>
        </w:trPr>
        <w:tc>
          <w:tcPr>
            <w:tcW w:w="622" w:type="pct"/>
            <w:vAlign w:val="center"/>
          </w:tcPr>
          <w:p w14:paraId="3F531497"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7149BF84"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54522E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(0.73)</w:t>
            </w:r>
          </w:p>
        </w:tc>
        <w:tc>
          <w:tcPr>
            <w:tcW w:w="365" w:type="pct"/>
            <w:vAlign w:val="center"/>
          </w:tcPr>
          <w:p w14:paraId="38593D81"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5299572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(0.74)</w:t>
            </w:r>
          </w:p>
        </w:tc>
        <w:tc>
          <w:tcPr>
            <w:tcW w:w="365" w:type="pct"/>
            <w:vAlign w:val="center"/>
          </w:tcPr>
          <w:p w14:paraId="5FB246F7"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555967F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(0.54)</w:t>
            </w:r>
          </w:p>
        </w:tc>
        <w:tc>
          <w:tcPr>
            <w:tcW w:w="365" w:type="pct"/>
            <w:vAlign w:val="center"/>
          </w:tcPr>
          <w:p w14:paraId="61F660B2" w14:textId="77777777" w:rsidR="000F6D47" w:rsidRPr="007147C8" w:rsidRDefault="000F6D47" w:rsidP="000F6D47">
            <w:pPr>
              <w:widowControl w:val="0"/>
              <w:autoSpaceDE w:val="0"/>
              <w:autoSpaceDN w:val="0"/>
              <w:adjustRightInd w:val="0"/>
              <w:jc w:val="center"/>
              <w:rPr>
                <w:sz w:val="20"/>
                <w:szCs w:val="20"/>
              </w:rPr>
            </w:pPr>
          </w:p>
        </w:tc>
        <w:tc>
          <w:tcPr>
            <w:tcW w:w="365" w:type="pct"/>
            <w:vAlign w:val="center"/>
          </w:tcPr>
          <w:p w14:paraId="43E87111"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(0.79)</w:t>
            </w:r>
          </w:p>
        </w:tc>
        <w:tc>
          <w:tcPr>
            <w:tcW w:w="365" w:type="pct"/>
            <w:vAlign w:val="center"/>
          </w:tcPr>
          <w:p w14:paraId="4746824D" w14:textId="77777777" w:rsidR="000F6D47" w:rsidRPr="00840219" w:rsidRDefault="000F6D47" w:rsidP="000F6D47">
            <w:pPr>
              <w:widowControl w:val="0"/>
              <w:autoSpaceDE w:val="0"/>
              <w:autoSpaceDN w:val="0"/>
              <w:adjustRightInd w:val="0"/>
              <w:jc w:val="center"/>
              <w:rPr>
                <w:sz w:val="20"/>
                <w:szCs w:val="20"/>
              </w:rPr>
            </w:pPr>
          </w:p>
        </w:tc>
        <w:tc>
          <w:tcPr>
            <w:tcW w:w="365" w:type="pct"/>
            <w:vAlign w:val="center"/>
          </w:tcPr>
          <w:p w14:paraId="770197BD"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(0.79)</w:t>
            </w:r>
          </w:p>
        </w:tc>
        <w:tc>
          <w:tcPr>
            <w:tcW w:w="365" w:type="pct"/>
            <w:vAlign w:val="center"/>
          </w:tcPr>
          <w:p w14:paraId="132730B6" w14:textId="77777777" w:rsidR="000F6D47" w:rsidRPr="00840219" w:rsidRDefault="000F6D47" w:rsidP="000F6D47">
            <w:pPr>
              <w:widowControl w:val="0"/>
              <w:autoSpaceDE w:val="0"/>
              <w:autoSpaceDN w:val="0"/>
              <w:adjustRightInd w:val="0"/>
              <w:jc w:val="center"/>
              <w:rPr>
                <w:sz w:val="20"/>
                <w:szCs w:val="20"/>
              </w:rPr>
            </w:pPr>
          </w:p>
        </w:tc>
        <w:tc>
          <w:tcPr>
            <w:tcW w:w="363" w:type="pct"/>
            <w:vAlign w:val="center"/>
          </w:tcPr>
          <w:p w14:paraId="6184841E"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(0.52)</w:t>
            </w:r>
          </w:p>
        </w:tc>
      </w:tr>
      <w:tr w:rsidR="000F6D47" w:rsidRPr="007147C8" w14:paraId="29686682" w14:textId="77777777" w:rsidTr="00400B64">
        <w:trPr>
          <w:trHeight w:val="84"/>
          <w:jc w:val="center"/>
        </w:trPr>
        <w:tc>
          <w:tcPr>
            <w:tcW w:w="622" w:type="pct"/>
            <w:vAlign w:val="center"/>
            <w:hideMark/>
          </w:tcPr>
          <w:p w14:paraId="66871A8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Large CS links</w:t>
            </w:r>
          </w:p>
        </w:tc>
        <w:tc>
          <w:tcPr>
            <w:tcW w:w="365" w:type="pct"/>
            <w:vAlign w:val="center"/>
          </w:tcPr>
          <w:p w14:paraId="6810F35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0.005</w:t>
            </w:r>
            <w:r w:rsidRPr="0097026F">
              <w:rPr>
                <w:sz w:val="20"/>
                <w:szCs w:val="20"/>
                <w:vertAlign w:val="superscript"/>
              </w:rPr>
              <w:t>**</w:t>
            </w:r>
          </w:p>
        </w:tc>
        <w:tc>
          <w:tcPr>
            <w:tcW w:w="365" w:type="pct"/>
            <w:vAlign w:val="center"/>
          </w:tcPr>
          <w:p w14:paraId="6D547C6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0.049</w:t>
            </w:r>
          </w:p>
        </w:tc>
        <w:tc>
          <w:tcPr>
            <w:tcW w:w="365" w:type="pct"/>
            <w:vAlign w:val="center"/>
          </w:tcPr>
          <w:p w14:paraId="5D35DB9A"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76368EC4"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260FDDA8"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9B73199"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3F6A3E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0.007</w:t>
            </w:r>
            <w:r w:rsidRPr="004F62F3">
              <w:rPr>
                <w:sz w:val="20"/>
                <w:szCs w:val="20"/>
                <w:vertAlign w:val="superscript"/>
              </w:rPr>
              <w:t>**</w:t>
            </w:r>
          </w:p>
        </w:tc>
        <w:tc>
          <w:tcPr>
            <w:tcW w:w="365" w:type="pct"/>
            <w:vAlign w:val="center"/>
          </w:tcPr>
          <w:p w14:paraId="77FBCA22"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0.003</w:t>
            </w:r>
          </w:p>
        </w:tc>
        <w:tc>
          <w:tcPr>
            <w:tcW w:w="365" w:type="pct"/>
            <w:vAlign w:val="center"/>
          </w:tcPr>
          <w:p w14:paraId="1186710B"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6DAB5BAE"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61E91440"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3" w:type="pct"/>
            <w:vAlign w:val="center"/>
          </w:tcPr>
          <w:p w14:paraId="45BAC6C6"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r>
      <w:tr w:rsidR="000F6D47" w:rsidRPr="007147C8" w14:paraId="758B9851" w14:textId="77777777" w:rsidTr="00400B64">
        <w:trPr>
          <w:jc w:val="center"/>
        </w:trPr>
        <w:tc>
          <w:tcPr>
            <w:tcW w:w="622" w:type="pct"/>
            <w:vAlign w:val="center"/>
          </w:tcPr>
          <w:p w14:paraId="25315522"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709BACE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(0.00)</w:t>
            </w:r>
          </w:p>
        </w:tc>
        <w:tc>
          <w:tcPr>
            <w:tcW w:w="365" w:type="pct"/>
            <w:vAlign w:val="center"/>
          </w:tcPr>
          <w:p w14:paraId="1F44F28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(0.04)</w:t>
            </w:r>
          </w:p>
        </w:tc>
        <w:tc>
          <w:tcPr>
            <w:tcW w:w="365" w:type="pct"/>
            <w:vAlign w:val="center"/>
          </w:tcPr>
          <w:p w14:paraId="331A2D4B"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E486BD1"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B5CF50A"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08313862"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634CC07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(0.00)</w:t>
            </w:r>
          </w:p>
        </w:tc>
        <w:tc>
          <w:tcPr>
            <w:tcW w:w="365" w:type="pct"/>
            <w:vAlign w:val="center"/>
          </w:tcPr>
          <w:p w14:paraId="1280B6A1"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4F62F3">
              <w:rPr>
                <w:sz w:val="20"/>
                <w:szCs w:val="20"/>
              </w:rPr>
              <w:t>(0.04)</w:t>
            </w:r>
          </w:p>
        </w:tc>
        <w:tc>
          <w:tcPr>
            <w:tcW w:w="365" w:type="pct"/>
            <w:vAlign w:val="center"/>
          </w:tcPr>
          <w:p w14:paraId="6EEAFBB4"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7C71197"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3AFAA898"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c>
          <w:tcPr>
            <w:tcW w:w="363" w:type="pct"/>
            <w:vAlign w:val="center"/>
          </w:tcPr>
          <w:p w14:paraId="3D22A7C9" w14:textId="77777777" w:rsidR="000F6D47" w:rsidRPr="00840219" w:rsidRDefault="000F6D47" w:rsidP="000F6D47">
            <w:pPr>
              <w:widowControl w:val="0"/>
              <w:autoSpaceDE w:val="0"/>
              <w:autoSpaceDN w:val="0"/>
              <w:adjustRightInd w:val="0"/>
              <w:jc w:val="center"/>
              <w:rPr>
                <w:rFonts w:eastAsia="DengXian"/>
                <w:sz w:val="20"/>
                <w:szCs w:val="20"/>
                <w:lang w:eastAsia="zh-CN"/>
              </w:rPr>
            </w:pPr>
          </w:p>
        </w:tc>
      </w:tr>
      <w:tr w:rsidR="000F6D47" w:rsidRPr="007147C8" w14:paraId="78728C09" w14:textId="77777777" w:rsidTr="00400B64">
        <w:trPr>
          <w:jc w:val="center"/>
        </w:trPr>
        <w:tc>
          <w:tcPr>
            <w:tcW w:w="622" w:type="pct"/>
            <w:vAlign w:val="center"/>
            <w:hideMark/>
          </w:tcPr>
          <w:p w14:paraId="075F548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Log(Length large CS links)</w:t>
            </w:r>
          </w:p>
        </w:tc>
        <w:tc>
          <w:tcPr>
            <w:tcW w:w="365" w:type="pct"/>
            <w:vAlign w:val="center"/>
          </w:tcPr>
          <w:p w14:paraId="6F39ED72"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C570FAC"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53010AA2"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0.015</w:t>
            </w:r>
            <w:r w:rsidRPr="0097026F">
              <w:rPr>
                <w:sz w:val="20"/>
                <w:szCs w:val="20"/>
                <w:vertAlign w:val="superscript"/>
              </w:rPr>
              <w:t>***</w:t>
            </w:r>
          </w:p>
        </w:tc>
        <w:tc>
          <w:tcPr>
            <w:tcW w:w="365" w:type="pct"/>
            <w:vAlign w:val="center"/>
          </w:tcPr>
          <w:p w14:paraId="6A01B7D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-0.064</w:t>
            </w:r>
          </w:p>
        </w:tc>
        <w:tc>
          <w:tcPr>
            <w:tcW w:w="365" w:type="pct"/>
            <w:vAlign w:val="center"/>
          </w:tcPr>
          <w:p w14:paraId="5EF604B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0.038</w:t>
            </w:r>
            <w:r w:rsidRPr="0097026F">
              <w:rPr>
                <w:sz w:val="20"/>
                <w:szCs w:val="20"/>
                <w:vertAlign w:val="superscript"/>
              </w:rPr>
              <w:t>***</w:t>
            </w:r>
          </w:p>
        </w:tc>
        <w:tc>
          <w:tcPr>
            <w:tcW w:w="365" w:type="pct"/>
            <w:vAlign w:val="center"/>
          </w:tcPr>
          <w:p w14:paraId="1F201CB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0.066</w:t>
            </w:r>
          </w:p>
        </w:tc>
        <w:tc>
          <w:tcPr>
            <w:tcW w:w="365" w:type="pct"/>
            <w:vAlign w:val="center"/>
          </w:tcPr>
          <w:p w14:paraId="2DF9E3A8" w14:textId="77777777" w:rsidR="000F6D47" w:rsidRPr="007147C8" w:rsidRDefault="000F6D47" w:rsidP="000F6D47">
            <w:pPr>
              <w:widowControl w:val="0"/>
              <w:autoSpaceDE w:val="0"/>
              <w:autoSpaceDN w:val="0"/>
              <w:adjustRightInd w:val="0"/>
              <w:jc w:val="center"/>
              <w:rPr>
                <w:sz w:val="20"/>
                <w:szCs w:val="20"/>
              </w:rPr>
            </w:pPr>
          </w:p>
        </w:tc>
        <w:tc>
          <w:tcPr>
            <w:tcW w:w="365" w:type="pct"/>
            <w:vAlign w:val="center"/>
          </w:tcPr>
          <w:p w14:paraId="669F7BB2" w14:textId="77777777" w:rsidR="000F6D47" w:rsidRPr="00840219" w:rsidRDefault="000F6D47" w:rsidP="000F6D47">
            <w:pPr>
              <w:widowControl w:val="0"/>
              <w:autoSpaceDE w:val="0"/>
              <w:autoSpaceDN w:val="0"/>
              <w:adjustRightInd w:val="0"/>
              <w:jc w:val="center"/>
              <w:rPr>
                <w:sz w:val="20"/>
                <w:szCs w:val="20"/>
              </w:rPr>
            </w:pPr>
          </w:p>
        </w:tc>
        <w:tc>
          <w:tcPr>
            <w:tcW w:w="365" w:type="pct"/>
            <w:vAlign w:val="center"/>
          </w:tcPr>
          <w:p w14:paraId="0F594970"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0.018</w:t>
            </w:r>
            <w:r w:rsidRPr="004F62F3">
              <w:rPr>
                <w:sz w:val="20"/>
                <w:szCs w:val="20"/>
                <w:vertAlign w:val="superscript"/>
              </w:rPr>
              <w:t>***</w:t>
            </w:r>
          </w:p>
        </w:tc>
        <w:tc>
          <w:tcPr>
            <w:tcW w:w="365" w:type="pct"/>
            <w:vAlign w:val="center"/>
          </w:tcPr>
          <w:p w14:paraId="6F630522"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-0.050</w:t>
            </w:r>
          </w:p>
        </w:tc>
        <w:tc>
          <w:tcPr>
            <w:tcW w:w="365" w:type="pct"/>
            <w:vAlign w:val="center"/>
          </w:tcPr>
          <w:p w14:paraId="44C8D313"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0.067</w:t>
            </w:r>
            <w:r w:rsidRPr="004F62F3">
              <w:rPr>
                <w:sz w:val="20"/>
                <w:szCs w:val="20"/>
                <w:vertAlign w:val="superscript"/>
              </w:rPr>
              <w:t>***</w:t>
            </w:r>
          </w:p>
        </w:tc>
        <w:tc>
          <w:tcPr>
            <w:tcW w:w="363" w:type="pct"/>
            <w:vAlign w:val="center"/>
          </w:tcPr>
          <w:p w14:paraId="67566521"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0.001</w:t>
            </w:r>
          </w:p>
        </w:tc>
      </w:tr>
      <w:tr w:rsidR="000F6D47" w:rsidRPr="007147C8" w14:paraId="0948034C" w14:textId="77777777" w:rsidTr="00400B64">
        <w:trPr>
          <w:jc w:val="center"/>
        </w:trPr>
        <w:tc>
          <w:tcPr>
            <w:tcW w:w="622" w:type="pct"/>
            <w:vAlign w:val="center"/>
          </w:tcPr>
          <w:p w14:paraId="5D73286F"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25E30B35"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231C4C7"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1A56B59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(0.00)</w:t>
            </w:r>
          </w:p>
        </w:tc>
        <w:tc>
          <w:tcPr>
            <w:tcW w:w="365" w:type="pct"/>
            <w:vAlign w:val="center"/>
          </w:tcPr>
          <w:p w14:paraId="0B80937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(0.06)</w:t>
            </w:r>
          </w:p>
        </w:tc>
        <w:tc>
          <w:tcPr>
            <w:tcW w:w="365" w:type="pct"/>
            <w:vAlign w:val="center"/>
          </w:tcPr>
          <w:p w14:paraId="5EA6AFA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(0.01)</w:t>
            </w:r>
          </w:p>
        </w:tc>
        <w:tc>
          <w:tcPr>
            <w:tcW w:w="365" w:type="pct"/>
            <w:vAlign w:val="center"/>
          </w:tcPr>
          <w:p w14:paraId="3BAE391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(0.09)</w:t>
            </w:r>
          </w:p>
        </w:tc>
        <w:tc>
          <w:tcPr>
            <w:tcW w:w="365" w:type="pct"/>
            <w:vAlign w:val="center"/>
          </w:tcPr>
          <w:p w14:paraId="25D11EDE" w14:textId="77777777" w:rsidR="000F6D47" w:rsidRPr="007147C8" w:rsidRDefault="000F6D47" w:rsidP="000F6D47">
            <w:pPr>
              <w:widowControl w:val="0"/>
              <w:autoSpaceDE w:val="0"/>
              <w:autoSpaceDN w:val="0"/>
              <w:adjustRightInd w:val="0"/>
              <w:jc w:val="center"/>
              <w:rPr>
                <w:sz w:val="20"/>
                <w:szCs w:val="20"/>
              </w:rPr>
            </w:pPr>
          </w:p>
        </w:tc>
        <w:tc>
          <w:tcPr>
            <w:tcW w:w="365" w:type="pct"/>
            <w:vAlign w:val="center"/>
          </w:tcPr>
          <w:p w14:paraId="6299F99F" w14:textId="77777777" w:rsidR="000F6D47" w:rsidRPr="00840219" w:rsidRDefault="000F6D47" w:rsidP="000F6D47">
            <w:pPr>
              <w:widowControl w:val="0"/>
              <w:autoSpaceDE w:val="0"/>
              <w:autoSpaceDN w:val="0"/>
              <w:adjustRightInd w:val="0"/>
              <w:jc w:val="center"/>
              <w:rPr>
                <w:sz w:val="20"/>
                <w:szCs w:val="20"/>
              </w:rPr>
            </w:pPr>
          </w:p>
        </w:tc>
        <w:tc>
          <w:tcPr>
            <w:tcW w:w="365" w:type="pct"/>
            <w:vAlign w:val="center"/>
          </w:tcPr>
          <w:p w14:paraId="480A33D6"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(0.01)</w:t>
            </w:r>
          </w:p>
        </w:tc>
        <w:tc>
          <w:tcPr>
            <w:tcW w:w="365" w:type="pct"/>
            <w:vAlign w:val="center"/>
          </w:tcPr>
          <w:p w14:paraId="4A7361DF"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(0.07)</w:t>
            </w:r>
          </w:p>
        </w:tc>
        <w:tc>
          <w:tcPr>
            <w:tcW w:w="365" w:type="pct"/>
            <w:vAlign w:val="center"/>
          </w:tcPr>
          <w:p w14:paraId="477E8CA4"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(0.01)</w:t>
            </w:r>
          </w:p>
        </w:tc>
        <w:tc>
          <w:tcPr>
            <w:tcW w:w="363" w:type="pct"/>
            <w:vAlign w:val="center"/>
          </w:tcPr>
          <w:p w14:paraId="5CE6473E"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(0.13)</w:t>
            </w:r>
          </w:p>
        </w:tc>
      </w:tr>
      <w:tr w:rsidR="000F6D47" w:rsidRPr="007147C8" w14:paraId="6C5350B3" w14:textId="77777777" w:rsidTr="00400B64">
        <w:trPr>
          <w:jc w:val="center"/>
        </w:trPr>
        <w:tc>
          <w:tcPr>
            <w:tcW w:w="622" w:type="pct"/>
            <w:vAlign w:val="center"/>
            <w:hideMark/>
          </w:tcPr>
          <w:p w14:paraId="2AB3320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Log(Length large CS links)</w:t>
            </w:r>
            <w:r w:rsidRPr="007147C8">
              <w:rPr>
                <w:rFonts w:eastAsia="DengXian"/>
                <w:sz w:val="20"/>
                <w:szCs w:val="20"/>
                <w:vertAlign w:val="superscript"/>
                <w:lang w:eastAsia="zh-CN"/>
              </w:rPr>
              <w:t>2</w:t>
            </w:r>
          </w:p>
        </w:tc>
        <w:tc>
          <w:tcPr>
            <w:tcW w:w="365" w:type="pct"/>
            <w:vAlign w:val="center"/>
          </w:tcPr>
          <w:p w14:paraId="37942CD0"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4A87E65A"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5A9CECC6"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51345F37"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vAlign w:val="center"/>
          </w:tcPr>
          <w:p w14:paraId="6135A16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-0.026</w:t>
            </w:r>
            <w:r w:rsidRPr="0097026F">
              <w:rPr>
                <w:sz w:val="20"/>
                <w:szCs w:val="20"/>
                <w:vertAlign w:val="superscript"/>
              </w:rPr>
              <w:t>**</w:t>
            </w:r>
          </w:p>
        </w:tc>
        <w:tc>
          <w:tcPr>
            <w:tcW w:w="365" w:type="pct"/>
            <w:vAlign w:val="center"/>
          </w:tcPr>
          <w:p w14:paraId="617E3094"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-0.152</w:t>
            </w:r>
          </w:p>
        </w:tc>
        <w:tc>
          <w:tcPr>
            <w:tcW w:w="365" w:type="pct"/>
            <w:vAlign w:val="center"/>
          </w:tcPr>
          <w:p w14:paraId="411A8C23" w14:textId="77777777" w:rsidR="000F6D47" w:rsidRPr="007147C8" w:rsidRDefault="000F6D47" w:rsidP="000F6D47">
            <w:pPr>
              <w:widowControl w:val="0"/>
              <w:autoSpaceDE w:val="0"/>
              <w:autoSpaceDN w:val="0"/>
              <w:adjustRightInd w:val="0"/>
              <w:jc w:val="center"/>
              <w:rPr>
                <w:sz w:val="20"/>
                <w:szCs w:val="20"/>
              </w:rPr>
            </w:pPr>
          </w:p>
        </w:tc>
        <w:tc>
          <w:tcPr>
            <w:tcW w:w="365" w:type="pct"/>
            <w:vAlign w:val="center"/>
          </w:tcPr>
          <w:p w14:paraId="327EE38C" w14:textId="77777777" w:rsidR="000F6D47" w:rsidRPr="00840219" w:rsidRDefault="000F6D47" w:rsidP="000F6D47">
            <w:pPr>
              <w:widowControl w:val="0"/>
              <w:autoSpaceDE w:val="0"/>
              <w:autoSpaceDN w:val="0"/>
              <w:adjustRightInd w:val="0"/>
              <w:jc w:val="center"/>
              <w:rPr>
                <w:sz w:val="20"/>
                <w:szCs w:val="20"/>
              </w:rPr>
            </w:pPr>
          </w:p>
        </w:tc>
        <w:tc>
          <w:tcPr>
            <w:tcW w:w="365" w:type="pct"/>
            <w:vAlign w:val="center"/>
          </w:tcPr>
          <w:p w14:paraId="48EC3A9D" w14:textId="77777777" w:rsidR="000F6D47" w:rsidRPr="00840219" w:rsidRDefault="000F6D47" w:rsidP="000F6D47">
            <w:pPr>
              <w:widowControl w:val="0"/>
              <w:autoSpaceDE w:val="0"/>
              <w:autoSpaceDN w:val="0"/>
              <w:adjustRightInd w:val="0"/>
              <w:jc w:val="center"/>
              <w:rPr>
                <w:sz w:val="20"/>
                <w:szCs w:val="20"/>
              </w:rPr>
            </w:pPr>
          </w:p>
        </w:tc>
        <w:tc>
          <w:tcPr>
            <w:tcW w:w="365" w:type="pct"/>
            <w:vAlign w:val="center"/>
          </w:tcPr>
          <w:p w14:paraId="29918130" w14:textId="77777777" w:rsidR="000F6D47" w:rsidRPr="00840219" w:rsidRDefault="000F6D47" w:rsidP="000F6D47">
            <w:pPr>
              <w:widowControl w:val="0"/>
              <w:autoSpaceDE w:val="0"/>
              <w:autoSpaceDN w:val="0"/>
              <w:adjustRightInd w:val="0"/>
              <w:jc w:val="center"/>
              <w:rPr>
                <w:sz w:val="20"/>
                <w:szCs w:val="20"/>
              </w:rPr>
            </w:pPr>
          </w:p>
        </w:tc>
        <w:tc>
          <w:tcPr>
            <w:tcW w:w="365" w:type="pct"/>
            <w:vAlign w:val="center"/>
          </w:tcPr>
          <w:p w14:paraId="4E15D458"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-0.058</w:t>
            </w:r>
            <w:r w:rsidRPr="004F62F3">
              <w:rPr>
                <w:sz w:val="20"/>
                <w:szCs w:val="20"/>
                <w:vertAlign w:val="superscript"/>
              </w:rPr>
              <w:t>***</w:t>
            </w:r>
          </w:p>
        </w:tc>
        <w:tc>
          <w:tcPr>
            <w:tcW w:w="363" w:type="pct"/>
            <w:vAlign w:val="center"/>
          </w:tcPr>
          <w:p w14:paraId="36801FDE"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-0.060</w:t>
            </w:r>
          </w:p>
        </w:tc>
      </w:tr>
      <w:tr w:rsidR="000F6D47" w:rsidRPr="007147C8" w14:paraId="7FF7A0DF" w14:textId="77777777" w:rsidTr="00400B64">
        <w:trPr>
          <w:jc w:val="center"/>
        </w:trPr>
        <w:tc>
          <w:tcPr>
            <w:tcW w:w="622" w:type="pct"/>
            <w:vAlign w:val="center"/>
          </w:tcPr>
          <w:p w14:paraId="534BE70D"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bottom w:val="single" w:sz="4" w:space="0" w:color="auto"/>
            </w:tcBorders>
            <w:vAlign w:val="center"/>
          </w:tcPr>
          <w:p w14:paraId="21EBB9A9"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bottom w:val="single" w:sz="4" w:space="0" w:color="auto"/>
            </w:tcBorders>
            <w:vAlign w:val="center"/>
          </w:tcPr>
          <w:p w14:paraId="6B3E5D5C"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bottom w:val="single" w:sz="4" w:space="0" w:color="auto"/>
            </w:tcBorders>
            <w:vAlign w:val="center"/>
          </w:tcPr>
          <w:p w14:paraId="529091E0"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bottom w:val="single" w:sz="4" w:space="0" w:color="auto"/>
            </w:tcBorders>
            <w:vAlign w:val="center"/>
          </w:tcPr>
          <w:p w14:paraId="0F39172B" w14:textId="77777777" w:rsidR="000F6D47" w:rsidRPr="007147C8" w:rsidRDefault="000F6D47" w:rsidP="000F6D47">
            <w:pPr>
              <w:widowControl w:val="0"/>
              <w:autoSpaceDE w:val="0"/>
              <w:autoSpaceDN w:val="0"/>
              <w:adjustRightInd w:val="0"/>
              <w:jc w:val="center"/>
              <w:rPr>
                <w:rFonts w:eastAsia="DengXian"/>
                <w:sz w:val="20"/>
                <w:szCs w:val="20"/>
                <w:lang w:eastAsia="zh-CN"/>
              </w:rPr>
            </w:pPr>
          </w:p>
        </w:tc>
        <w:tc>
          <w:tcPr>
            <w:tcW w:w="365" w:type="pct"/>
            <w:tcBorders>
              <w:bottom w:val="single" w:sz="4" w:space="0" w:color="auto"/>
            </w:tcBorders>
            <w:vAlign w:val="center"/>
          </w:tcPr>
          <w:p w14:paraId="1C3A897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(0.01)</w:t>
            </w:r>
          </w:p>
        </w:tc>
        <w:tc>
          <w:tcPr>
            <w:tcW w:w="365" w:type="pct"/>
            <w:tcBorders>
              <w:bottom w:val="single" w:sz="4" w:space="0" w:color="auto"/>
            </w:tcBorders>
            <w:vAlign w:val="center"/>
          </w:tcPr>
          <w:p w14:paraId="0CB8609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(0.10)</w:t>
            </w:r>
          </w:p>
        </w:tc>
        <w:tc>
          <w:tcPr>
            <w:tcW w:w="365" w:type="pct"/>
            <w:tcBorders>
              <w:bottom w:val="single" w:sz="4" w:space="0" w:color="auto"/>
            </w:tcBorders>
            <w:vAlign w:val="center"/>
          </w:tcPr>
          <w:p w14:paraId="185E49D7" w14:textId="77777777" w:rsidR="000F6D47" w:rsidRPr="007147C8" w:rsidRDefault="000F6D47" w:rsidP="000F6D47">
            <w:pPr>
              <w:widowControl w:val="0"/>
              <w:autoSpaceDE w:val="0"/>
              <w:autoSpaceDN w:val="0"/>
              <w:adjustRightInd w:val="0"/>
              <w:jc w:val="center"/>
              <w:rPr>
                <w:sz w:val="20"/>
                <w:szCs w:val="20"/>
              </w:rPr>
            </w:pPr>
          </w:p>
        </w:tc>
        <w:tc>
          <w:tcPr>
            <w:tcW w:w="365" w:type="pct"/>
            <w:tcBorders>
              <w:bottom w:val="single" w:sz="4" w:space="0" w:color="auto"/>
            </w:tcBorders>
            <w:vAlign w:val="center"/>
          </w:tcPr>
          <w:p w14:paraId="74436D6E" w14:textId="77777777" w:rsidR="000F6D47" w:rsidRPr="00840219" w:rsidRDefault="000F6D47" w:rsidP="000F6D47">
            <w:pPr>
              <w:widowControl w:val="0"/>
              <w:autoSpaceDE w:val="0"/>
              <w:autoSpaceDN w:val="0"/>
              <w:adjustRightInd w:val="0"/>
              <w:jc w:val="center"/>
              <w:rPr>
                <w:sz w:val="20"/>
                <w:szCs w:val="20"/>
              </w:rPr>
            </w:pPr>
          </w:p>
        </w:tc>
        <w:tc>
          <w:tcPr>
            <w:tcW w:w="365" w:type="pct"/>
            <w:tcBorders>
              <w:bottom w:val="single" w:sz="4" w:space="0" w:color="auto"/>
            </w:tcBorders>
            <w:vAlign w:val="center"/>
          </w:tcPr>
          <w:p w14:paraId="59CA1B3B" w14:textId="77777777" w:rsidR="000F6D47" w:rsidRPr="00840219" w:rsidRDefault="000F6D47" w:rsidP="000F6D47">
            <w:pPr>
              <w:widowControl w:val="0"/>
              <w:autoSpaceDE w:val="0"/>
              <w:autoSpaceDN w:val="0"/>
              <w:adjustRightInd w:val="0"/>
              <w:jc w:val="center"/>
              <w:rPr>
                <w:sz w:val="20"/>
                <w:szCs w:val="20"/>
              </w:rPr>
            </w:pPr>
          </w:p>
        </w:tc>
        <w:tc>
          <w:tcPr>
            <w:tcW w:w="365" w:type="pct"/>
            <w:tcBorders>
              <w:bottom w:val="single" w:sz="4" w:space="0" w:color="auto"/>
            </w:tcBorders>
            <w:vAlign w:val="center"/>
          </w:tcPr>
          <w:p w14:paraId="39839374" w14:textId="77777777" w:rsidR="000F6D47" w:rsidRPr="00840219" w:rsidRDefault="000F6D47" w:rsidP="000F6D47">
            <w:pPr>
              <w:widowControl w:val="0"/>
              <w:autoSpaceDE w:val="0"/>
              <w:autoSpaceDN w:val="0"/>
              <w:adjustRightInd w:val="0"/>
              <w:jc w:val="center"/>
              <w:rPr>
                <w:sz w:val="20"/>
                <w:szCs w:val="20"/>
              </w:rPr>
            </w:pPr>
          </w:p>
        </w:tc>
        <w:tc>
          <w:tcPr>
            <w:tcW w:w="365" w:type="pct"/>
            <w:tcBorders>
              <w:bottom w:val="single" w:sz="4" w:space="0" w:color="auto"/>
            </w:tcBorders>
            <w:vAlign w:val="center"/>
          </w:tcPr>
          <w:p w14:paraId="07BCADFF"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(0.01)</w:t>
            </w:r>
          </w:p>
        </w:tc>
        <w:tc>
          <w:tcPr>
            <w:tcW w:w="363" w:type="pct"/>
            <w:tcBorders>
              <w:bottom w:val="single" w:sz="4" w:space="0" w:color="auto"/>
            </w:tcBorders>
            <w:vAlign w:val="center"/>
          </w:tcPr>
          <w:p w14:paraId="6C6BD5D8"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(0.14)</w:t>
            </w:r>
          </w:p>
        </w:tc>
      </w:tr>
      <w:tr w:rsidR="000F6D47" w:rsidRPr="007147C8" w14:paraId="069A222D" w14:textId="77777777" w:rsidTr="00400B64">
        <w:trPr>
          <w:jc w:val="center"/>
        </w:trPr>
        <w:tc>
          <w:tcPr>
            <w:tcW w:w="622" w:type="pct"/>
            <w:vAlign w:val="center"/>
          </w:tcPr>
          <w:p w14:paraId="59E3904F" w14:textId="77777777" w:rsidR="000F6D47" w:rsidRPr="007147C8" w:rsidRDefault="000F6D47" w:rsidP="000F6D47">
            <w:pPr>
              <w:widowControl w:val="0"/>
              <w:autoSpaceDE w:val="0"/>
              <w:autoSpaceDN w:val="0"/>
              <w:adjustRightInd w:val="0"/>
              <w:jc w:val="center"/>
              <w:rPr>
                <w:rFonts w:eastAsia="DengXian"/>
                <w:sz w:val="20"/>
                <w:szCs w:val="20"/>
                <w:lang w:eastAsia="zh-CN"/>
              </w:rPr>
            </w:pPr>
            <w:r>
              <w:rPr>
                <w:rFonts w:eastAsia="DengXian"/>
                <w:sz w:val="20"/>
                <w:szCs w:val="20"/>
                <w:lang w:eastAsia="zh-CN"/>
              </w:rPr>
              <w:t>Controls</w:t>
            </w:r>
          </w:p>
        </w:tc>
        <w:tc>
          <w:tcPr>
            <w:tcW w:w="365" w:type="pct"/>
            <w:tcBorders>
              <w:top w:val="single" w:sz="4" w:space="0" w:color="auto"/>
            </w:tcBorders>
            <w:vAlign w:val="center"/>
          </w:tcPr>
          <w:p w14:paraId="0A2405F0" w14:textId="77777777" w:rsidR="000F6D47" w:rsidRPr="007147C8"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2304767F" w14:textId="77777777" w:rsidR="000F6D47" w:rsidRPr="007147C8" w:rsidRDefault="000F6D47" w:rsidP="000F6D47">
            <w:pPr>
              <w:widowControl w:val="0"/>
              <w:autoSpaceDE w:val="0"/>
              <w:autoSpaceDN w:val="0"/>
              <w:adjustRightInd w:val="0"/>
              <w:jc w:val="center"/>
              <w:rPr>
                <w:sz w:val="20"/>
                <w:szCs w:val="20"/>
              </w:rPr>
            </w:pPr>
            <w:r w:rsidRPr="00840219">
              <w:rPr>
                <w:rFonts w:eastAsia="DengXian"/>
                <w:sz w:val="20"/>
                <w:szCs w:val="20"/>
                <w:lang w:eastAsia="zh-CN"/>
              </w:rPr>
              <w:t>Yes</w:t>
            </w:r>
          </w:p>
        </w:tc>
        <w:tc>
          <w:tcPr>
            <w:tcW w:w="365" w:type="pct"/>
            <w:tcBorders>
              <w:top w:val="single" w:sz="4" w:space="0" w:color="auto"/>
            </w:tcBorders>
            <w:vAlign w:val="center"/>
          </w:tcPr>
          <w:p w14:paraId="7D42A35A" w14:textId="77777777" w:rsidR="000F6D47" w:rsidRPr="007147C8" w:rsidRDefault="000F6D47" w:rsidP="000F6D47">
            <w:pPr>
              <w:widowControl w:val="0"/>
              <w:autoSpaceDE w:val="0"/>
              <w:autoSpaceDN w:val="0"/>
              <w:adjustRightInd w:val="0"/>
              <w:jc w:val="center"/>
              <w:rPr>
                <w:sz w:val="20"/>
                <w:szCs w:val="20"/>
              </w:rPr>
            </w:pPr>
            <w:r w:rsidRPr="00840219">
              <w:rPr>
                <w:rFonts w:eastAsia="DengXian"/>
                <w:sz w:val="20"/>
                <w:szCs w:val="20"/>
                <w:lang w:eastAsia="zh-CN"/>
              </w:rPr>
              <w:t>Yes</w:t>
            </w:r>
          </w:p>
        </w:tc>
        <w:tc>
          <w:tcPr>
            <w:tcW w:w="365" w:type="pct"/>
            <w:tcBorders>
              <w:top w:val="single" w:sz="4" w:space="0" w:color="auto"/>
            </w:tcBorders>
            <w:vAlign w:val="center"/>
          </w:tcPr>
          <w:p w14:paraId="00819CE6" w14:textId="77777777" w:rsidR="000F6D47" w:rsidRPr="007147C8" w:rsidRDefault="000F6D47" w:rsidP="000F6D47">
            <w:pPr>
              <w:widowControl w:val="0"/>
              <w:autoSpaceDE w:val="0"/>
              <w:autoSpaceDN w:val="0"/>
              <w:adjustRightInd w:val="0"/>
              <w:jc w:val="center"/>
              <w:rPr>
                <w:sz w:val="20"/>
                <w:szCs w:val="20"/>
              </w:rPr>
            </w:pPr>
            <w:r w:rsidRPr="00840219">
              <w:rPr>
                <w:rFonts w:eastAsia="DengXian"/>
                <w:sz w:val="20"/>
                <w:szCs w:val="20"/>
                <w:lang w:eastAsia="zh-CN"/>
              </w:rPr>
              <w:t>Yes</w:t>
            </w:r>
          </w:p>
        </w:tc>
        <w:tc>
          <w:tcPr>
            <w:tcW w:w="365" w:type="pct"/>
            <w:tcBorders>
              <w:top w:val="single" w:sz="4" w:space="0" w:color="auto"/>
            </w:tcBorders>
            <w:vAlign w:val="center"/>
          </w:tcPr>
          <w:p w14:paraId="076CD7EF" w14:textId="77777777" w:rsidR="000F6D47" w:rsidRPr="007147C8" w:rsidRDefault="000F6D47" w:rsidP="000F6D47">
            <w:pPr>
              <w:widowControl w:val="0"/>
              <w:autoSpaceDE w:val="0"/>
              <w:autoSpaceDN w:val="0"/>
              <w:adjustRightInd w:val="0"/>
              <w:jc w:val="center"/>
              <w:rPr>
                <w:sz w:val="20"/>
                <w:szCs w:val="20"/>
              </w:rPr>
            </w:pPr>
            <w:r w:rsidRPr="00840219">
              <w:rPr>
                <w:rFonts w:eastAsia="DengXian"/>
                <w:sz w:val="20"/>
                <w:szCs w:val="20"/>
                <w:lang w:eastAsia="zh-CN"/>
              </w:rPr>
              <w:t>Yes</w:t>
            </w:r>
          </w:p>
        </w:tc>
        <w:tc>
          <w:tcPr>
            <w:tcW w:w="365" w:type="pct"/>
            <w:tcBorders>
              <w:top w:val="single" w:sz="4" w:space="0" w:color="auto"/>
            </w:tcBorders>
            <w:vAlign w:val="center"/>
          </w:tcPr>
          <w:p w14:paraId="75A49E06" w14:textId="77777777" w:rsidR="000F6D47" w:rsidRPr="007147C8" w:rsidRDefault="000F6D47" w:rsidP="000F6D47">
            <w:pPr>
              <w:widowControl w:val="0"/>
              <w:autoSpaceDE w:val="0"/>
              <w:autoSpaceDN w:val="0"/>
              <w:adjustRightInd w:val="0"/>
              <w:jc w:val="center"/>
              <w:rPr>
                <w:sz w:val="20"/>
                <w:szCs w:val="20"/>
              </w:rPr>
            </w:pPr>
            <w:r w:rsidRPr="00840219">
              <w:rPr>
                <w:rFonts w:eastAsia="DengXian"/>
                <w:sz w:val="20"/>
                <w:szCs w:val="20"/>
                <w:lang w:eastAsia="zh-CN"/>
              </w:rPr>
              <w:t>Yes</w:t>
            </w:r>
          </w:p>
        </w:tc>
        <w:tc>
          <w:tcPr>
            <w:tcW w:w="365" w:type="pct"/>
            <w:tcBorders>
              <w:top w:val="single" w:sz="4" w:space="0" w:color="auto"/>
            </w:tcBorders>
            <w:vAlign w:val="center"/>
          </w:tcPr>
          <w:p w14:paraId="474F4C58" w14:textId="77777777" w:rsidR="000F6D47" w:rsidRPr="007147C8" w:rsidRDefault="000F6D47" w:rsidP="000F6D47">
            <w:pPr>
              <w:widowControl w:val="0"/>
              <w:autoSpaceDE w:val="0"/>
              <w:autoSpaceDN w:val="0"/>
              <w:adjustRightInd w:val="0"/>
              <w:jc w:val="center"/>
              <w:rPr>
                <w:sz w:val="20"/>
                <w:szCs w:val="20"/>
              </w:rPr>
            </w:pPr>
            <w:r w:rsidRPr="000C54BE">
              <w:rPr>
                <w:rFonts w:eastAsia="DengXian"/>
                <w:sz w:val="20"/>
                <w:szCs w:val="20"/>
                <w:lang w:eastAsia="zh-CN"/>
              </w:rPr>
              <w:t>Yes</w:t>
            </w:r>
          </w:p>
        </w:tc>
        <w:tc>
          <w:tcPr>
            <w:tcW w:w="365" w:type="pct"/>
            <w:tcBorders>
              <w:top w:val="single" w:sz="4" w:space="0" w:color="auto"/>
            </w:tcBorders>
            <w:vAlign w:val="center"/>
          </w:tcPr>
          <w:p w14:paraId="4830AD73" w14:textId="77777777" w:rsidR="000F6D47" w:rsidRPr="00840219" w:rsidRDefault="000F6D47" w:rsidP="000F6D47">
            <w:pPr>
              <w:widowControl w:val="0"/>
              <w:autoSpaceDE w:val="0"/>
              <w:autoSpaceDN w:val="0"/>
              <w:adjustRightInd w:val="0"/>
              <w:jc w:val="center"/>
              <w:rPr>
                <w:sz w:val="20"/>
                <w:szCs w:val="20"/>
              </w:rPr>
            </w:pPr>
            <w:r w:rsidRPr="00840219">
              <w:rPr>
                <w:rFonts w:eastAsia="DengXian"/>
                <w:sz w:val="20"/>
                <w:szCs w:val="20"/>
                <w:lang w:eastAsia="zh-CN"/>
              </w:rPr>
              <w:t>Yes</w:t>
            </w:r>
          </w:p>
        </w:tc>
        <w:tc>
          <w:tcPr>
            <w:tcW w:w="365" w:type="pct"/>
            <w:tcBorders>
              <w:top w:val="single" w:sz="4" w:space="0" w:color="auto"/>
            </w:tcBorders>
            <w:vAlign w:val="center"/>
          </w:tcPr>
          <w:p w14:paraId="0E7AFAAF" w14:textId="77777777" w:rsidR="000F6D47" w:rsidRPr="00840219" w:rsidRDefault="000F6D47" w:rsidP="000F6D47">
            <w:pPr>
              <w:widowControl w:val="0"/>
              <w:autoSpaceDE w:val="0"/>
              <w:autoSpaceDN w:val="0"/>
              <w:adjustRightInd w:val="0"/>
              <w:jc w:val="center"/>
              <w:rPr>
                <w:sz w:val="20"/>
                <w:szCs w:val="20"/>
              </w:rPr>
            </w:pPr>
            <w:r w:rsidRPr="00840219">
              <w:rPr>
                <w:rFonts w:eastAsia="DengXian"/>
                <w:sz w:val="20"/>
                <w:szCs w:val="20"/>
                <w:lang w:eastAsia="zh-CN"/>
              </w:rPr>
              <w:t>Yes</w:t>
            </w:r>
          </w:p>
        </w:tc>
        <w:tc>
          <w:tcPr>
            <w:tcW w:w="365" w:type="pct"/>
            <w:tcBorders>
              <w:top w:val="single" w:sz="4" w:space="0" w:color="auto"/>
            </w:tcBorders>
            <w:vAlign w:val="center"/>
          </w:tcPr>
          <w:p w14:paraId="1EEFC040" w14:textId="77777777" w:rsidR="000F6D47" w:rsidRPr="00840219" w:rsidRDefault="000F6D47" w:rsidP="000F6D47">
            <w:pPr>
              <w:widowControl w:val="0"/>
              <w:autoSpaceDE w:val="0"/>
              <w:autoSpaceDN w:val="0"/>
              <w:adjustRightInd w:val="0"/>
              <w:jc w:val="center"/>
              <w:rPr>
                <w:sz w:val="20"/>
                <w:szCs w:val="20"/>
              </w:rPr>
            </w:pPr>
            <w:r w:rsidRPr="00840219">
              <w:rPr>
                <w:rFonts w:eastAsia="DengXian"/>
                <w:sz w:val="20"/>
                <w:szCs w:val="20"/>
                <w:lang w:eastAsia="zh-CN"/>
              </w:rPr>
              <w:t>Yes</w:t>
            </w:r>
          </w:p>
        </w:tc>
        <w:tc>
          <w:tcPr>
            <w:tcW w:w="365" w:type="pct"/>
            <w:tcBorders>
              <w:top w:val="single" w:sz="4" w:space="0" w:color="auto"/>
            </w:tcBorders>
            <w:vAlign w:val="center"/>
          </w:tcPr>
          <w:p w14:paraId="6EAF2553" w14:textId="77777777" w:rsidR="000F6D47" w:rsidRPr="00840219" w:rsidRDefault="000F6D47" w:rsidP="000F6D47">
            <w:pPr>
              <w:widowControl w:val="0"/>
              <w:autoSpaceDE w:val="0"/>
              <w:autoSpaceDN w:val="0"/>
              <w:adjustRightInd w:val="0"/>
              <w:jc w:val="center"/>
              <w:rPr>
                <w:sz w:val="20"/>
                <w:szCs w:val="20"/>
              </w:rPr>
            </w:pPr>
            <w:r w:rsidRPr="00840219">
              <w:rPr>
                <w:rFonts w:eastAsia="DengXian"/>
                <w:sz w:val="20"/>
                <w:szCs w:val="20"/>
                <w:lang w:eastAsia="zh-CN"/>
              </w:rPr>
              <w:t>Yes</w:t>
            </w:r>
          </w:p>
        </w:tc>
        <w:tc>
          <w:tcPr>
            <w:tcW w:w="363" w:type="pct"/>
            <w:tcBorders>
              <w:top w:val="single" w:sz="4" w:space="0" w:color="auto"/>
            </w:tcBorders>
            <w:vAlign w:val="center"/>
          </w:tcPr>
          <w:p w14:paraId="5037C555" w14:textId="77777777" w:rsidR="000F6D47" w:rsidRPr="00840219" w:rsidRDefault="000F6D47" w:rsidP="000F6D47">
            <w:pPr>
              <w:widowControl w:val="0"/>
              <w:autoSpaceDE w:val="0"/>
              <w:autoSpaceDN w:val="0"/>
              <w:adjustRightInd w:val="0"/>
              <w:jc w:val="center"/>
              <w:rPr>
                <w:sz w:val="20"/>
                <w:szCs w:val="20"/>
              </w:rPr>
            </w:pPr>
            <w:r w:rsidRPr="00840219">
              <w:rPr>
                <w:rFonts w:eastAsia="DengXian"/>
                <w:sz w:val="20"/>
                <w:szCs w:val="20"/>
                <w:lang w:eastAsia="zh-CN"/>
              </w:rPr>
              <w:t>Yes</w:t>
            </w:r>
          </w:p>
        </w:tc>
      </w:tr>
      <w:tr w:rsidR="000F6D47" w:rsidRPr="007147C8" w14:paraId="2A600739" w14:textId="77777777" w:rsidTr="00400B64">
        <w:trPr>
          <w:jc w:val="center"/>
        </w:trPr>
        <w:tc>
          <w:tcPr>
            <w:tcW w:w="622" w:type="pct"/>
            <w:vAlign w:val="center"/>
          </w:tcPr>
          <w:p w14:paraId="621DD91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Bank FE</w:t>
            </w:r>
          </w:p>
        </w:tc>
        <w:tc>
          <w:tcPr>
            <w:tcW w:w="365" w:type="pct"/>
            <w:vAlign w:val="center"/>
          </w:tcPr>
          <w:p w14:paraId="2E1DF86F"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FB6F7A">
              <w:rPr>
                <w:rFonts w:eastAsia="DengXian"/>
                <w:sz w:val="20"/>
                <w:szCs w:val="20"/>
                <w:lang w:eastAsia="zh-CN"/>
              </w:rPr>
              <w:t>Yes</w:t>
            </w:r>
          </w:p>
        </w:tc>
        <w:tc>
          <w:tcPr>
            <w:tcW w:w="365" w:type="pct"/>
            <w:vAlign w:val="center"/>
          </w:tcPr>
          <w:p w14:paraId="4ED0933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32AB829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78BE834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3FBEDDC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184F3B4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32A171F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FB6F7A">
              <w:rPr>
                <w:rFonts w:eastAsia="DengXian"/>
                <w:sz w:val="20"/>
                <w:szCs w:val="20"/>
                <w:lang w:eastAsia="zh-CN"/>
              </w:rPr>
              <w:t>Yes</w:t>
            </w:r>
          </w:p>
        </w:tc>
        <w:tc>
          <w:tcPr>
            <w:tcW w:w="365" w:type="pct"/>
            <w:vAlign w:val="center"/>
          </w:tcPr>
          <w:p w14:paraId="769E483A"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3145D30E"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5EBE8ED6"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4F7A7DE9"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3" w:type="pct"/>
            <w:vAlign w:val="center"/>
          </w:tcPr>
          <w:p w14:paraId="293D2924"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r>
      <w:tr w:rsidR="000F6D47" w:rsidRPr="007147C8" w14:paraId="234E2B94" w14:textId="77777777" w:rsidTr="00400B64">
        <w:trPr>
          <w:jc w:val="center"/>
        </w:trPr>
        <w:tc>
          <w:tcPr>
            <w:tcW w:w="622" w:type="pct"/>
            <w:vAlign w:val="center"/>
          </w:tcPr>
          <w:p w14:paraId="4101D19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Borrower sector FE</w:t>
            </w:r>
          </w:p>
        </w:tc>
        <w:tc>
          <w:tcPr>
            <w:tcW w:w="365" w:type="pct"/>
            <w:vAlign w:val="center"/>
          </w:tcPr>
          <w:p w14:paraId="7DD1D342"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B8580C">
              <w:rPr>
                <w:rFonts w:eastAsia="DengXian"/>
                <w:sz w:val="20"/>
                <w:szCs w:val="20"/>
                <w:lang w:eastAsia="zh-CN"/>
              </w:rPr>
              <w:t>Yes</w:t>
            </w:r>
          </w:p>
        </w:tc>
        <w:tc>
          <w:tcPr>
            <w:tcW w:w="365" w:type="pct"/>
            <w:vAlign w:val="center"/>
          </w:tcPr>
          <w:p w14:paraId="75A2898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7782F84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767C9057"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23BA48E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3C8A892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29BD47FC"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B8580C">
              <w:rPr>
                <w:rFonts w:eastAsia="DengXian"/>
                <w:sz w:val="20"/>
                <w:szCs w:val="20"/>
                <w:lang w:eastAsia="zh-CN"/>
              </w:rPr>
              <w:t>Yes</w:t>
            </w:r>
          </w:p>
        </w:tc>
        <w:tc>
          <w:tcPr>
            <w:tcW w:w="365" w:type="pct"/>
            <w:vAlign w:val="center"/>
          </w:tcPr>
          <w:p w14:paraId="5D7F50B5"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78481880"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00E0E429"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4E9D9D89"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3" w:type="pct"/>
            <w:vAlign w:val="center"/>
          </w:tcPr>
          <w:p w14:paraId="0FB163CB"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r>
      <w:tr w:rsidR="000F6D47" w:rsidRPr="007147C8" w14:paraId="5792E7CC" w14:textId="77777777" w:rsidTr="00400B64">
        <w:trPr>
          <w:jc w:val="center"/>
        </w:trPr>
        <w:tc>
          <w:tcPr>
            <w:tcW w:w="622" w:type="pct"/>
            <w:vAlign w:val="center"/>
          </w:tcPr>
          <w:p w14:paraId="08EA958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Year FE</w:t>
            </w:r>
          </w:p>
        </w:tc>
        <w:tc>
          <w:tcPr>
            <w:tcW w:w="365" w:type="pct"/>
            <w:vAlign w:val="center"/>
          </w:tcPr>
          <w:p w14:paraId="2A76F77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B8580C">
              <w:rPr>
                <w:rFonts w:eastAsia="DengXian"/>
                <w:sz w:val="20"/>
                <w:szCs w:val="20"/>
                <w:lang w:eastAsia="zh-CN"/>
              </w:rPr>
              <w:t>Yes</w:t>
            </w:r>
          </w:p>
        </w:tc>
        <w:tc>
          <w:tcPr>
            <w:tcW w:w="365" w:type="pct"/>
            <w:vAlign w:val="center"/>
          </w:tcPr>
          <w:p w14:paraId="31007C8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7AB5266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128EE01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0E386FE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2629FA0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336A148B"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B8580C">
              <w:rPr>
                <w:rFonts w:eastAsia="DengXian"/>
                <w:sz w:val="20"/>
                <w:szCs w:val="20"/>
                <w:lang w:eastAsia="zh-CN"/>
              </w:rPr>
              <w:t>Yes</w:t>
            </w:r>
          </w:p>
        </w:tc>
        <w:tc>
          <w:tcPr>
            <w:tcW w:w="365" w:type="pct"/>
            <w:vAlign w:val="center"/>
          </w:tcPr>
          <w:p w14:paraId="07A2FA35"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12657157"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58B9BEEA"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5" w:type="pct"/>
            <w:vAlign w:val="center"/>
          </w:tcPr>
          <w:p w14:paraId="68DE0C91"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c>
          <w:tcPr>
            <w:tcW w:w="363" w:type="pct"/>
            <w:vAlign w:val="center"/>
          </w:tcPr>
          <w:p w14:paraId="299516A8" w14:textId="77777777" w:rsidR="000F6D47" w:rsidRPr="00840219" w:rsidRDefault="000F6D47" w:rsidP="000F6D47">
            <w:pPr>
              <w:widowControl w:val="0"/>
              <w:autoSpaceDE w:val="0"/>
              <w:autoSpaceDN w:val="0"/>
              <w:adjustRightInd w:val="0"/>
              <w:jc w:val="center"/>
              <w:rPr>
                <w:rFonts w:eastAsia="DengXian"/>
                <w:sz w:val="20"/>
                <w:szCs w:val="20"/>
                <w:lang w:eastAsia="zh-CN"/>
              </w:rPr>
            </w:pPr>
            <w:r w:rsidRPr="00840219">
              <w:rPr>
                <w:rFonts w:eastAsia="DengXian"/>
                <w:sz w:val="20"/>
                <w:szCs w:val="20"/>
                <w:lang w:eastAsia="zh-CN"/>
              </w:rPr>
              <w:t>Yes</w:t>
            </w:r>
          </w:p>
        </w:tc>
      </w:tr>
      <w:tr w:rsidR="000F6D47" w:rsidRPr="007147C8" w14:paraId="6FC1AD36" w14:textId="77777777" w:rsidTr="00400B64">
        <w:trPr>
          <w:jc w:val="center"/>
        </w:trPr>
        <w:tc>
          <w:tcPr>
            <w:tcW w:w="622" w:type="pct"/>
            <w:vAlign w:val="center"/>
            <w:hideMark/>
          </w:tcPr>
          <w:p w14:paraId="39D362DD"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Adjusted R2</w:t>
            </w:r>
          </w:p>
        </w:tc>
        <w:tc>
          <w:tcPr>
            <w:tcW w:w="365" w:type="pct"/>
            <w:vAlign w:val="center"/>
          </w:tcPr>
          <w:p w14:paraId="7D848562"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0.758</w:t>
            </w:r>
          </w:p>
        </w:tc>
        <w:tc>
          <w:tcPr>
            <w:tcW w:w="365" w:type="pct"/>
            <w:vAlign w:val="center"/>
          </w:tcPr>
          <w:p w14:paraId="5FFDFD4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0.562</w:t>
            </w:r>
          </w:p>
        </w:tc>
        <w:tc>
          <w:tcPr>
            <w:tcW w:w="365" w:type="pct"/>
            <w:vAlign w:val="center"/>
          </w:tcPr>
          <w:p w14:paraId="2DEA9696"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0.775</w:t>
            </w:r>
          </w:p>
        </w:tc>
        <w:tc>
          <w:tcPr>
            <w:tcW w:w="365" w:type="pct"/>
            <w:vAlign w:val="center"/>
          </w:tcPr>
          <w:p w14:paraId="1B9FD3C2"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0.561</w:t>
            </w:r>
          </w:p>
        </w:tc>
        <w:tc>
          <w:tcPr>
            <w:tcW w:w="365" w:type="pct"/>
            <w:vAlign w:val="center"/>
          </w:tcPr>
          <w:p w14:paraId="5D8B761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97026F">
              <w:rPr>
                <w:sz w:val="20"/>
                <w:szCs w:val="20"/>
              </w:rPr>
              <w:t>0.759</w:t>
            </w:r>
          </w:p>
        </w:tc>
        <w:tc>
          <w:tcPr>
            <w:tcW w:w="365" w:type="pct"/>
            <w:vAlign w:val="center"/>
          </w:tcPr>
          <w:p w14:paraId="4A3E4E89"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0.561</w:t>
            </w:r>
          </w:p>
        </w:tc>
        <w:tc>
          <w:tcPr>
            <w:tcW w:w="365" w:type="pct"/>
            <w:vAlign w:val="center"/>
          </w:tcPr>
          <w:p w14:paraId="5357B31D" w14:textId="77777777" w:rsidR="000F6D47" w:rsidRPr="007147C8" w:rsidRDefault="000F6D47" w:rsidP="000F6D47">
            <w:pPr>
              <w:widowControl w:val="0"/>
              <w:autoSpaceDE w:val="0"/>
              <w:autoSpaceDN w:val="0"/>
              <w:adjustRightInd w:val="0"/>
              <w:jc w:val="center"/>
              <w:rPr>
                <w:sz w:val="20"/>
                <w:szCs w:val="20"/>
              </w:rPr>
            </w:pPr>
            <w:r w:rsidRPr="004F62F3">
              <w:rPr>
                <w:sz w:val="20"/>
                <w:szCs w:val="20"/>
              </w:rPr>
              <w:t>0.752</w:t>
            </w:r>
          </w:p>
        </w:tc>
        <w:tc>
          <w:tcPr>
            <w:tcW w:w="365" w:type="pct"/>
            <w:vAlign w:val="center"/>
          </w:tcPr>
          <w:p w14:paraId="667F351A" w14:textId="77777777" w:rsidR="000F6D47" w:rsidRPr="00840219" w:rsidRDefault="000F6D47" w:rsidP="000F6D47">
            <w:pPr>
              <w:widowControl w:val="0"/>
              <w:autoSpaceDE w:val="0"/>
              <w:autoSpaceDN w:val="0"/>
              <w:adjustRightInd w:val="0"/>
              <w:jc w:val="center"/>
              <w:rPr>
                <w:sz w:val="20"/>
                <w:szCs w:val="20"/>
              </w:rPr>
            </w:pPr>
            <w:r>
              <w:rPr>
                <w:sz w:val="20"/>
                <w:szCs w:val="20"/>
              </w:rPr>
              <w:t>0.500</w:t>
            </w:r>
          </w:p>
        </w:tc>
        <w:tc>
          <w:tcPr>
            <w:tcW w:w="365" w:type="pct"/>
            <w:vAlign w:val="center"/>
          </w:tcPr>
          <w:p w14:paraId="392510EB"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0.753</w:t>
            </w:r>
          </w:p>
        </w:tc>
        <w:tc>
          <w:tcPr>
            <w:tcW w:w="365" w:type="pct"/>
            <w:vAlign w:val="center"/>
          </w:tcPr>
          <w:p w14:paraId="5E06E57B" w14:textId="77777777" w:rsidR="000F6D47" w:rsidRPr="00840219" w:rsidRDefault="000F6D47" w:rsidP="000F6D47">
            <w:pPr>
              <w:widowControl w:val="0"/>
              <w:autoSpaceDE w:val="0"/>
              <w:autoSpaceDN w:val="0"/>
              <w:adjustRightInd w:val="0"/>
              <w:jc w:val="center"/>
              <w:rPr>
                <w:sz w:val="20"/>
                <w:szCs w:val="20"/>
              </w:rPr>
            </w:pPr>
            <w:r>
              <w:rPr>
                <w:sz w:val="20"/>
                <w:szCs w:val="20"/>
              </w:rPr>
              <w:t>0.500</w:t>
            </w:r>
          </w:p>
        </w:tc>
        <w:tc>
          <w:tcPr>
            <w:tcW w:w="365" w:type="pct"/>
            <w:vAlign w:val="center"/>
          </w:tcPr>
          <w:p w14:paraId="499E7EEB" w14:textId="77777777" w:rsidR="000F6D47" w:rsidRPr="00840219" w:rsidRDefault="000F6D47" w:rsidP="000F6D47">
            <w:pPr>
              <w:widowControl w:val="0"/>
              <w:autoSpaceDE w:val="0"/>
              <w:autoSpaceDN w:val="0"/>
              <w:adjustRightInd w:val="0"/>
              <w:jc w:val="center"/>
              <w:rPr>
                <w:sz w:val="20"/>
                <w:szCs w:val="20"/>
              </w:rPr>
            </w:pPr>
            <w:r w:rsidRPr="004F62F3">
              <w:rPr>
                <w:sz w:val="20"/>
                <w:szCs w:val="20"/>
              </w:rPr>
              <w:t>0.753</w:t>
            </w:r>
          </w:p>
        </w:tc>
        <w:tc>
          <w:tcPr>
            <w:tcW w:w="363" w:type="pct"/>
            <w:vAlign w:val="center"/>
          </w:tcPr>
          <w:p w14:paraId="6077D20A" w14:textId="77777777" w:rsidR="000F6D47" w:rsidRPr="00840219" w:rsidRDefault="000F6D47" w:rsidP="000F6D47">
            <w:pPr>
              <w:widowControl w:val="0"/>
              <w:autoSpaceDE w:val="0"/>
              <w:autoSpaceDN w:val="0"/>
              <w:adjustRightInd w:val="0"/>
              <w:jc w:val="center"/>
              <w:rPr>
                <w:sz w:val="20"/>
                <w:szCs w:val="20"/>
              </w:rPr>
            </w:pPr>
            <w:r>
              <w:rPr>
                <w:sz w:val="20"/>
                <w:szCs w:val="20"/>
              </w:rPr>
              <w:t>0.500</w:t>
            </w:r>
          </w:p>
        </w:tc>
      </w:tr>
      <w:tr w:rsidR="000F6D47" w:rsidRPr="007147C8" w14:paraId="18D20F64" w14:textId="77777777" w:rsidTr="00400B64">
        <w:trPr>
          <w:jc w:val="center"/>
        </w:trPr>
        <w:tc>
          <w:tcPr>
            <w:tcW w:w="622" w:type="pct"/>
            <w:tcBorders>
              <w:bottom w:val="single" w:sz="4" w:space="0" w:color="auto"/>
            </w:tcBorders>
            <w:vAlign w:val="center"/>
            <w:hideMark/>
          </w:tcPr>
          <w:p w14:paraId="741ED9D0"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7147C8">
              <w:rPr>
                <w:rFonts w:eastAsia="DengXian"/>
                <w:sz w:val="20"/>
                <w:szCs w:val="20"/>
                <w:lang w:eastAsia="zh-CN"/>
              </w:rPr>
              <w:t>Obs.</w:t>
            </w:r>
          </w:p>
        </w:tc>
        <w:tc>
          <w:tcPr>
            <w:tcW w:w="365" w:type="pct"/>
            <w:tcBorders>
              <w:bottom w:val="single" w:sz="4" w:space="0" w:color="auto"/>
            </w:tcBorders>
            <w:vAlign w:val="center"/>
          </w:tcPr>
          <w:p w14:paraId="5E9701AA"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8384.000</w:t>
            </w:r>
          </w:p>
        </w:tc>
        <w:tc>
          <w:tcPr>
            <w:tcW w:w="365" w:type="pct"/>
            <w:tcBorders>
              <w:bottom w:val="single" w:sz="4" w:space="0" w:color="auto"/>
            </w:tcBorders>
            <w:vAlign w:val="center"/>
          </w:tcPr>
          <w:p w14:paraId="6227AF6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8384.000</w:t>
            </w:r>
          </w:p>
        </w:tc>
        <w:tc>
          <w:tcPr>
            <w:tcW w:w="365" w:type="pct"/>
            <w:tcBorders>
              <w:bottom w:val="single" w:sz="4" w:space="0" w:color="auto"/>
            </w:tcBorders>
            <w:vAlign w:val="center"/>
          </w:tcPr>
          <w:p w14:paraId="2780B153"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8384.000</w:t>
            </w:r>
          </w:p>
        </w:tc>
        <w:tc>
          <w:tcPr>
            <w:tcW w:w="365" w:type="pct"/>
            <w:tcBorders>
              <w:bottom w:val="single" w:sz="4" w:space="0" w:color="auto"/>
            </w:tcBorders>
            <w:vAlign w:val="center"/>
          </w:tcPr>
          <w:p w14:paraId="0F1F8BC1"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8384.000</w:t>
            </w:r>
          </w:p>
        </w:tc>
        <w:tc>
          <w:tcPr>
            <w:tcW w:w="365" w:type="pct"/>
            <w:tcBorders>
              <w:bottom w:val="single" w:sz="4" w:space="0" w:color="auto"/>
            </w:tcBorders>
            <w:vAlign w:val="center"/>
          </w:tcPr>
          <w:p w14:paraId="48413358"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8384.000</w:t>
            </w:r>
          </w:p>
        </w:tc>
        <w:tc>
          <w:tcPr>
            <w:tcW w:w="365" w:type="pct"/>
            <w:tcBorders>
              <w:bottom w:val="single" w:sz="4" w:space="0" w:color="auto"/>
            </w:tcBorders>
            <w:vAlign w:val="center"/>
          </w:tcPr>
          <w:p w14:paraId="085B94B5" w14:textId="77777777" w:rsidR="000F6D47" w:rsidRPr="007147C8" w:rsidRDefault="000F6D47" w:rsidP="000F6D47">
            <w:pPr>
              <w:widowControl w:val="0"/>
              <w:autoSpaceDE w:val="0"/>
              <w:autoSpaceDN w:val="0"/>
              <w:adjustRightInd w:val="0"/>
              <w:jc w:val="center"/>
              <w:rPr>
                <w:rFonts w:eastAsia="DengXian"/>
                <w:sz w:val="20"/>
                <w:szCs w:val="20"/>
                <w:lang w:eastAsia="zh-CN"/>
              </w:rPr>
            </w:pPr>
            <w:r w:rsidRPr="00840219">
              <w:rPr>
                <w:sz w:val="20"/>
                <w:szCs w:val="20"/>
              </w:rPr>
              <w:t>8384.000</w:t>
            </w:r>
          </w:p>
        </w:tc>
        <w:tc>
          <w:tcPr>
            <w:tcW w:w="365" w:type="pct"/>
            <w:tcBorders>
              <w:bottom w:val="single" w:sz="4" w:space="0" w:color="auto"/>
            </w:tcBorders>
          </w:tcPr>
          <w:p w14:paraId="3C64A026" w14:textId="77777777" w:rsidR="000F6D47" w:rsidRPr="007147C8" w:rsidRDefault="000F6D47" w:rsidP="000F6D47">
            <w:pPr>
              <w:widowControl w:val="0"/>
              <w:autoSpaceDE w:val="0"/>
              <w:autoSpaceDN w:val="0"/>
              <w:adjustRightInd w:val="0"/>
              <w:jc w:val="center"/>
              <w:rPr>
                <w:sz w:val="20"/>
                <w:szCs w:val="20"/>
              </w:rPr>
            </w:pPr>
            <w:r w:rsidRPr="003C3CD0">
              <w:rPr>
                <w:sz w:val="20"/>
                <w:szCs w:val="20"/>
              </w:rPr>
              <w:t>5861.000</w:t>
            </w:r>
          </w:p>
        </w:tc>
        <w:tc>
          <w:tcPr>
            <w:tcW w:w="365" w:type="pct"/>
            <w:tcBorders>
              <w:bottom w:val="single" w:sz="4" w:space="0" w:color="auto"/>
            </w:tcBorders>
          </w:tcPr>
          <w:p w14:paraId="7B6094B6" w14:textId="77777777" w:rsidR="000F6D47" w:rsidRPr="00840219" w:rsidRDefault="000F6D47" w:rsidP="000F6D47">
            <w:pPr>
              <w:widowControl w:val="0"/>
              <w:autoSpaceDE w:val="0"/>
              <w:autoSpaceDN w:val="0"/>
              <w:adjustRightInd w:val="0"/>
              <w:jc w:val="center"/>
              <w:rPr>
                <w:sz w:val="20"/>
                <w:szCs w:val="20"/>
              </w:rPr>
            </w:pPr>
            <w:r w:rsidRPr="003C3CD0">
              <w:rPr>
                <w:sz w:val="20"/>
                <w:szCs w:val="20"/>
              </w:rPr>
              <w:t>5861.000</w:t>
            </w:r>
          </w:p>
        </w:tc>
        <w:tc>
          <w:tcPr>
            <w:tcW w:w="365" w:type="pct"/>
            <w:tcBorders>
              <w:bottom w:val="single" w:sz="4" w:space="0" w:color="auto"/>
            </w:tcBorders>
          </w:tcPr>
          <w:p w14:paraId="43361230" w14:textId="77777777" w:rsidR="000F6D47" w:rsidRPr="00840219" w:rsidRDefault="000F6D47" w:rsidP="000F6D47">
            <w:pPr>
              <w:widowControl w:val="0"/>
              <w:autoSpaceDE w:val="0"/>
              <w:autoSpaceDN w:val="0"/>
              <w:adjustRightInd w:val="0"/>
              <w:jc w:val="center"/>
              <w:rPr>
                <w:sz w:val="20"/>
                <w:szCs w:val="20"/>
              </w:rPr>
            </w:pPr>
            <w:r w:rsidRPr="003C3CD0">
              <w:rPr>
                <w:sz w:val="20"/>
                <w:szCs w:val="20"/>
              </w:rPr>
              <w:t>5861.000</w:t>
            </w:r>
          </w:p>
        </w:tc>
        <w:tc>
          <w:tcPr>
            <w:tcW w:w="365" w:type="pct"/>
            <w:tcBorders>
              <w:bottom w:val="single" w:sz="4" w:space="0" w:color="auto"/>
            </w:tcBorders>
          </w:tcPr>
          <w:p w14:paraId="0C648FE3" w14:textId="77777777" w:rsidR="000F6D47" w:rsidRPr="00840219" w:rsidRDefault="000F6D47" w:rsidP="000F6D47">
            <w:pPr>
              <w:widowControl w:val="0"/>
              <w:autoSpaceDE w:val="0"/>
              <w:autoSpaceDN w:val="0"/>
              <w:adjustRightInd w:val="0"/>
              <w:jc w:val="center"/>
              <w:rPr>
                <w:sz w:val="20"/>
                <w:szCs w:val="20"/>
              </w:rPr>
            </w:pPr>
            <w:r w:rsidRPr="003C3CD0">
              <w:rPr>
                <w:sz w:val="20"/>
                <w:szCs w:val="20"/>
              </w:rPr>
              <w:t>5861.000</w:t>
            </w:r>
          </w:p>
        </w:tc>
        <w:tc>
          <w:tcPr>
            <w:tcW w:w="365" w:type="pct"/>
            <w:tcBorders>
              <w:bottom w:val="single" w:sz="4" w:space="0" w:color="auto"/>
            </w:tcBorders>
          </w:tcPr>
          <w:p w14:paraId="08F09FC8" w14:textId="77777777" w:rsidR="000F6D47" w:rsidRPr="00840219" w:rsidRDefault="000F6D47" w:rsidP="000F6D47">
            <w:pPr>
              <w:widowControl w:val="0"/>
              <w:autoSpaceDE w:val="0"/>
              <w:autoSpaceDN w:val="0"/>
              <w:adjustRightInd w:val="0"/>
              <w:jc w:val="center"/>
              <w:rPr>
                <w:sz w:val="20"/>
                <w:szCs w:val="20"/>
              </w:rPr>
            </w:pPr>
            <w:r w:rsidRPr="003C3CD0">
              <w:rPr>
                <w:sz w:val="20"/>
                <w:szCs w:val="20"/>
              </w:rPr>
              <w:t>5861.000</w:t>
            </w:r>
          </w:p>
        </w:tc>
        <w:tc>
          <w:tcPr>
            <w:tcW w:w="363" w:type="pct"/>
            <w:tcBorders>
              <w:bottom w:val="single" w:sz="4" w:space="0" w:color="auto"/>
            </w:tcBorders>
          </w:tcPr>
          <w:p w14:paraId="122E647F" w14:textId="77777777" w:rsidR="000F6D47" w:rsidRPr="00840219" w:rsidRDefault="000F6D47" w:rsidP="000F6D47">
            <w:pPr>
              <w:widowControl w:val="0"/>
              <w:autoSpaceDE w:val="0"/>
              <w:autoSpaceDN w:val="0"/>
              <w:adjustRightInd w:val="0"/>
              <w:jc w:val="center"/>
              <w:rPr>
                <w:sz w:val="20"/>
                <w:szCs w:val="20"/>
              </w:rPr>
            </w:pPr>
            <w:r w:rsidRPr="003C3CD0">
              <w:rPr>
                <w:sz w:val="20"/>
                <w:szCs w:val="20"/>
              </w:rPr>
              <w:t>5861.000</w:t>
            </w:r>
          </w:p>
        </w:tc>
      </w:tr>
    </w:tbl>
    <w:p w14:paraId="4DA52C18" w14:textId="77777777" w:rsidR="000F6D47" w:rsidRDefault="000F6D47" w:rsidP="000F6D47">
      <w:pPr>
        <w:jc w:val="center"/>
        <w:rPr>
          <w:b/>
          <w:bCs/>
          <w:color w:val="FF0000"/>
          <w:lang w:val="en-GB"/>
        </w:rPr>
      </w:pPr>
    </w:p>
    <w:p w14:paraId="54997A78" w14:textId="77777777" w:rsidR="000F6D47" w:rsidRDefault="000F6D47" w:rsidP="000F6D47">
      <w:pPr>
        <w:widowControl w:val="0"/>
        <w:autoSpaceDE w:val="0"/>
        <w:autoSpaceDN w:val="0"/>
        <w:adjustRightInd w:val="0"/>
        <w:jc w:val="center"/>
        <w:rPr>
          <w:b/>
          <w:szCs w:val="20"/>
        </w:rPr>
      </w:pPr>
    </w:p>
    <w:p w14:paraId="1EFC4110" w14:textId="77777777" w:rsidR="00DD31C8" w:rsidRPr="000E6C72" w:rsidRDefault="00DD31C8" w:rsidP="00DD31C8">
      <w:pPr>
        <w:widowControl w:val="0"/>
        <w:autoSpaceDE w:val="0"/>
        <w:autoSpaceDN w:val="0"/>
        <w:adjustRightInd w:val="0"/>
        <w:jc w:val="center"/>
        <w:rPr>
          <w:b/>
          <w:color w:val="FF0000"/>
          <w:szCs w:val="20"/>
        </w:rPr>
      </w:pPr>
    </w:p>
    <w:p w14:paraId="4E58B2C4" w14:textId="77777777" w:rsidR="00010EA7" w:rsidRDefault="00010EA7" w:rsidP="002D1408">
      <w:pPr>
        <w:widowControl w:val="0"/>
        <w:autoSpaceDE w:val="0"/>
        <w:autoSpaceDN w:val="0"/>
        <w:adjustRightInd w:val="0"/>
        <w:jc w:val="center"/>
      </w:pPr>
    </w:p>
    <w:p w14:paraId="3BCEECA2" w14:textId="77777777" w:rsidR="00010EA7" w:rsidRDefault="00010EA7" w:rsidP="00010EA7">
      <w:pPr>
        <w:widowControl w:val="0"/>
        <w:autoSpaceDE w:val="0"/>
        <w:autoSpaceDN w:val="0"/>
        <w:adjustRightInd w:val="0"/>
        <w:jc w:val="center"/>
        <w:rPr>
          <w:b/>
          <w:szCs w:val="20"/>
        </w:rPr>
      </w:pPr>
    </w:p>
    <w:p w14:paraId="0C58DE1E" w14:textId="77777777" w:rsidR="00010EA7" w:rsidRDefault="00010EA7" w:rsidP="004D3DFC">
      <w:pPr>
        <w:widowControl w:val="0"/>
        <w:autoSpaceDE w:val="0"/>
        <w:autoSpaceDN w:val="0"/>
        <w:adjustRightInd w:val="0"/>
      </w:pPr>
    </w:p>
    <w:p w14:paraId="484DE184" w14:textId="77777777" w:rsidR="007147C8" w:rsidRDefault="007147C8" w:rsidP="002D1408">
      <w:pPr>
        <w:widowControl w:val="0"/>
        <w:autoSpaceDE w:val="0"/>
        <w:autoSpaceDN w:val="0"/>
        <w:adjustRightInd w:val="0"/>
        <w:jc w:val="center"/>
        <w:sectPr w:rsidR="007147C8" w:rsidSect="007147C8">
          <w:pgSz w:w="15840" w:h="12240" w:orient="landscape"/>
          <w:pgMar w:top="1440" w:right="1440" w:bottom="1440" w:left="1440" w:header="720" w:footer="720" w:gutter="0"/>
          <w:cols w:space="720"/>
          <w:noEndnote/>
          <w:docGrid w:linePitch="326"/>
        </w:sectPr>
      </w:pPr>
    </w:p>
    <w:bookmarkEnd w:id="36"/>
    <w:p w14:paraId="6ED15CC4" w14:textId="77777777" w:rsidR="00D130B4" w:rsidRDefault="00FC4381" w:rsidP="00D130B4">
      <w:pPr>
        <w:autoSpaceDE w:val="0"/>
        <w:autoSpaceDN w:val="0"/>
        <w:adjustRightInd w:val="0"/>
        <w:jc w:val="center"/>
        <w:rPr>
          <w:b/>
          <w:bCs/>
        </w:rPr>
      </w:pPr>
      <w:r>
        <w:rPr>
          <w:b/>
          <w:bCs/>
        </w:rPr>
        <w:t>Appendix A</w:t>
      </w:r>
      <w:r w:rsidR="00D130B4">
        <w:rPr>
          <w:b/>
          <w:bCs/>
        </w:rPr>
        <w:t>: Variables</w:t>
      </w:r>
      <w:r w:rsidR="00823DEA">
        <w:rPr>
          <w:b/>
          <w:bCs/>
        </w:rPr>
        <w:t xml:space="preserve"> Definitions</w:t>
      </w:r>
    </w:p>
    <w:p w14:paraId="70E0C6E8" w14:textId="77777777" w:rsidR="00FC4381" w:rsidRDefault="00FC4381" w:rsidP="00D130B4">
      <w:pPr>
        <w:autoSpaceDE w:val="0"/>
        <w:autoSpaceDN w:val="0"/>
        <w:adjustRightInd w:val="0"/>
        <w:jc w:val="center"/>
        <w:rPr>
          <w:b/>
          <w:bC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3"/>
        <w:gridCol w:w="5670"/>
      </w:tblGrid>
      <w:tr w:rsidR="00D130B4" w:rsidRPr="004D3DFC" w14:paraId="7E94566D" w14:textId="77777777" w:rsidTr="008F5DE1">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A3BAE49" w14:textId="77777777" w:rsidR="00D130B4" w:rsidRPr="004D3DFC" w:rsidRDefault="00D130B4" w:rsidP="008F5DE1">
            <w:pPr>
              <w:jc w:val="center"/>
              <w:rPr>
                <w:b/>
                <w:sz w:val="22"/>
                <w:szCs w:val="22"/>
                <w:lang w:eastAsia="zh-CN"/>
              </w:rPr>
            </w:pPr>
            <w:r w:rsidRPr="004D3DFC">
              <w:rPr>
                <w:b/>
                <w:sz w:val="22"/>
                <w:szCs w:val="22"/>
                <w:lang w:eastAsia="zh-CN"/>
              </w:rPr>
              <w:t>Variable</w:t>
            </w: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E9A1809" w14:textId="77777777" w:rsidR="00D130B4" w:rsidRPr="004D3DFC" w:rsidRDefault="00D130B4" w:rsidP="008F5DE1">
            <w:pPr>
              <w:jc w:val="center"/>
              <w:rPr>
                <w:b/>
                <w:sz w:val="22"/>
                <w:szCs w:val="22"/>
                <w:lang w:eastAsia="zh-CN"/>
              </w:rPr>
            </w:pPr>
            <w:r w:rsidRPr="004D3DFC">
              <w:rPr>
                <w:b/>
                <w:sz w:val="22"/>
                <w:szCs w:val="22"/>
                <w:lang w:eastAsia="zh-CN"/>
              </w:rPr>
              <w:t>Source</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5898F24D" w14:textId="77777777" w:rsidR="00D130B4" w:rsidRPr="004D3DFC" w:rsidRDefault="00D130B4" w:rsidP="008F5DE1">
            <w:pPr>
              <w:jc w:val="center"/>
              <w:rPr>
                <w:b/>
                <w:sz w:val="22"/>
                <w:szCs w:val="22"/>
                <w:lang w:eastAsia="zh-CN"/>
              </w:rPr>
            </w:pPr>
            <w:r w:rsidRPr="004D3DFC">
              <w:rPr>
                <w:b/>
                <w:sz w:val="22"/>
                <w:szCs w:val="22"/>
                <w:lang w:eastAsia="zh-CN"/>
              </w:rPr>
              <w:t>Description</w:t>
            </w:r>
          </w:p>
        </w:tc>
      </w:tr>
      <w:tr w:rsidR="00D130B4" w:rsidRPr="004D3DFC" w14:paraId="5D89C6B0" w14:textId="77777777" w:rsidTr="004D3DFC">
        <w:trPr>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C4875D" w14:textId="77777777" w:rsidR="00D130B4" w:rsidRPr="004D3DFC" w:rsidRDefault="00D130B4" w:rsidP="004D3DFC">
            <w:pPr>
              <w:jc w:val="center"/>
              <w:rPr>
                <w:sz w:val="22"/>
                <w:szCs w:val="22"/>
                <w:lang w:eastAsia="zh-CN"/>
              </w:rPr>
            </w:pPr>
            <w:r w:rsidRPr="004D3DFC">
              <w:rPr>
                <w:i/>
                <w:sz w:val="22"/>
                <w:szCs w:val="22"/>
                <w:lang w:eastAsia="zh-CN"/>
              </w:rPr>
              <w:t>Price terms</w:t>
            </w:r>
          </w:p>
        </w:tc>
      </w:tr>
      <w:tr w:rsidR="00D130B4" w:rsidRPr="004D3DFC" w14:paraId="058ACAB2"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827DB" w14:textId="77777777" w:rsidR="00D130B4" w:rsidRPr="004D3DFC" w:rsidRDefault="00D130B4" w:rsidP="004D3DFC">
            <w:pPr>
              <w:jc w:val="center"/>
              <w:rPr>
                <w:sz w:val="22"/>
                <w:szCs w:val="22"/>
                <w:lang w:eastAsia="zh-CN"/>
              </w:rPr>
            </w:pPr>
            <w:r w:rsidRPr="004D3DFC">
              <w:rPr>
                <w:rStyle w:val="Strong"/>
                <w:b w:val="0"/>
                <w:sz w:val="22"/>
                <w:szCs w:val="22"/>
              </w:rPr>
              <w:t>All-in-spread-drawn</w:t>
            </w:r>
            <w:r w:rsidR="00902AFF" w:rsidRPr="004D3DFC">
              <w:rPr>
                <w:rStyle w:val="Strong"/>
                <w:b w:val="0"/>
                <w:sz w:val="22"/>
                <w:szCs w:val="22"/>
              </w:rPr>
              <w:t xml:space="preserve"> (AISD)</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DAED6" w14:textId="77777777" w:rsidR="00D130B4" w:rsidRPr="004D3DFC" w:rsidRDefault="00D130B4"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32691D03" w14:textId="77777777" w:rsidR="00D130B4" w:rsidRPr="004D3DFC" w:rsidRDefault="00D130B4" w:rsidP="005C604D">
            <w:pPr>
              <w:rPr>
                <w:sz w:val="22"/>
                <w:szCs w:val="22"/>
                <w:lang w:eastAsia="zh-CN"/>
              </w:rPr>
            </w:pPr>
            <w:r w:rsidRPr="004D3DFC">
              <w:rPr>
                <w:rStyle w:val="Strong"/>
                <w:b w:val="0"/>
                <w:sz w:val="22"/>
                <w:szCs w:val="22"/>
              </w:rPr>
              <w:t>All-in-spread-drawn is the sum of the annual spread paid over LIBOR for each dollar drawn down from the loan and annual fee.</w:t>
            </w:r>
          </w:p>
        </w:tc>
      </w:tr>
      <w:tr w:rsidR="009A4E7D" w:rsidRPr="004D3DFC" w14:paraId="254186A8"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8EB088" w14:textId="77777777" w:rsidR="009A4E7D" w:rsidRPr="004D3DFC" w:rsidRDefault="009A4E7D" w:rsidP="004D3DFC">
            <w:pPr>
              <w:jc w:val="center"/>
              <w:rPr>
                <w:rStyle w:val="Strong"/>
                <w:b w:val="0"/>
                <w:sz w:val="22"/>
                <w:szCs w:val="22"/>
              </w:rPr>
            </w:pPr>
            <w:r w:rsidRPr="004D3DFC">
              <w:rPr>
                <w:rStyle w:val="Strong"/>
                <w:b w:val="0"/>
                <w:sz w:val="22"/>
                <w:szCs w:val="22"/>
              </w:rPr>
              <w:t>Total cost of borrowing</w:t>
            </w:r>
            <w:r w:rsidR="008B2E1F" w:rsidRPr="004D3DFC">
              <w:rPr>
                <w:rStyle w:val="Strong"/>
                <w:b w:val="0"/>
                <w:sz w:val="22"/>
                <w:szCs w:val="22"/>
              </w:rPr>
              <w:t xml:space="preserve"> </w:t>
            </w:r>
            <w:r w:rsidR="00902AFF" w:rsidRPr="004D3DFC">
              <w:rPr>
                <w:rStyle w:val="Strong"/>
                <w:b w:val="0"/>
                <w:sz w:val="22"/>
                <w:szCs w:val="22"/>
              </w:rPr>
              <w:t>(</w:t>
            </w:r>
            <w:r w:rsidR="00967BEA" w:rsidRPr="004D3DFC">
              <w:rPr>
                <w:rStyle w:val="Strong"/>
                <w:b w:val="0"/>
                <w:sz w:val="22"/>
                <w:szCs w:val="22"/>
              </w:rPr>
              <w:t>TCB</w:t>
            </w:r>
            <w:r w:rsidR="00902AFF" w:rsidRPr="004D3DFC">
              <w:rPr>
                <w:rStyle w:val="Strong"/>
                <w:b w:val="0"/>
                <w:sz w:val="22"/>
                <w:szCs w:val="22"/>
              </w:rPr>
              <w:t>)</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5172F24" w14:textId="77777777" w:rsidR="009A4E7D" w:rsidRPr="004D3DFC" w:rsidRDefault="009A4E7D"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5785AD5" w14:textId="77777777" w:rsidR="009A4E7D" w:rsidRPr="004D3DFC" w:rsidRDefault="00603C20" w:rsidP="00EC29C1">
            <w:pPr>
              <w:rPr>
                <w:rStyle w:val="Strong"/>
                <w:b w:val="0"/>
                <w:sz w:val="22"/>
                <w:szCs w:val="22"/>
              </w:rPr>
            </w:pPr>
            <w:r>
              <w:rPr>
                <w:rStyle w:val="Strong"/>
                <w:b w:val="0"/>
                <w:sz w:val="22"/>
                <w:szCs w:val="22"/>
              </w:rPr>
              <w:t>T</w:t>
            </w:r>
            <w:r w:rsidR="00EC29C1" w:rsidRPr="004D3DFC">
              <w:rPr>
                <w:rStyle w:val="Strong"/>
                <w:b w:val="0"/>
                <w:sz w:val="22"/>
                <w:szCs w:val="22"/>
              </w:rPr>
              <w:t>he total cost of borrowing accounts for fees, spreads, and the likelihood that they will have to be paid.</w:t>
            </w:r>
            <w:r w:rsidRPr="004D3DFC">
              <w:rPr>
                <w:rStyle w:val="Strong"/>
                <w:b w:val="0"/>
                <w:sz w:val="22"/>
                <w:szCs w:val="22"/>
              </w:rPr>
              <w:t xml:space="preserve"> </w:t>
            </w:r>
            <w:r>
              <w:rPr>
                <w:rStyle w:val="Strong"/>
                <w:b w:val="0"/>
                <w:sz w:val="22"/>
                <w:szCs w:val="22"/>
              </w:rPr>
              <w:t xml:space="preserve">The construction of the variable follows </w:t>
            </w:r>
            <w:r w:rsidRPr="004D3DFC">
              <w:rPr>
                <w:rStyle w:val="Strong"/>
                <w:b w:val="0"/>
                <w:sz w:val="22"/>
                <w:szCs w:val="22"/>
              </w:rPr>
              <w:t>Berg, Saunders and Steffen (2016)</w:t>
            </w:r>
            <w:r w:rsidR="00845607">
              <w:rPr>
                <w:rStyle w:val="Strong"/>
                <w:b w:val="0"/>
                <w:sz w:val="22"/>
                <w:szCs w:val="22"/>
              </w:rPr>
              <w:t>.</w:t>
            </w:r>
          </w:p>
        </w:tc>
      </w:tr>
      <w:tr w:rsidR="00D130B4" w:rsidRPr="004D3DFC" w14:paraId="7D77C9A1"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79673" w14:textId="77777777" w:rsidR="00D130B4" w:rsidRPr="004D3DFC" w:rsidRDefault="00D130B4" w:rsidP="004D3DFC">
            <w:pPr>
              <w:jc w:val="center"/>
              <w:rPr>
                <w:sz w:val="22"/>
                <w:szCs w:val="22"/>
                <w:lang w:eastAsia="zh-CN"/>
              </w:rPr>
            </w:pPr>
            <w:r w:rsidRPr="004D3DFC">
              <w:rPr>
                <w:sz w:val="22"/>
                <w:szCs w:val="22"/>
                <w:lang w:eastAsia="zh-CN"/>
              </w:rPr>
              <w:t xml:space="preserve">Covenant </w:t>
            </w:r>
            <w:r w:rsidR="00220D66" w:rsidRPr="004D3DFC">
              <w:rPr>
                <w:sz w:val="22"/>
                <w:szCs w:val="22"/>
                <w:lang w:eastAsia="zh-CN"/>
              </w:rPr>
              <w:t>i</w:t>
            </w:r>
            <w:r w:rsidRPr="004D3DFC">
              <w:rPr>
                <w:sz w:val="22"/>
                <w:szCs w:val="22"/>
                <w:lang w:eastAsia="zh-CN"/>
              </w:rPr>
              <w:t>ndex</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39531" w14:textId="77777777" w:rsidR="00D130B4" w:rsidRPr="004D3DFC" w:rsidRDefault="00D130B4"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2E6F435B" w14:textId="77777777" w:rsidR="00D130B4" w:rsidRPr="004D3DFC" w:rsidRDefault="00D130B4" w:rsidP="005C604D">
            <w:pPr>
              <w:rPr>
                <w:sz w:val="22"/>
                <w:szCs w:val="22"/>
                <w:lang w:eastAsia="zh-CN"/>
              </w:rPr>
            </w:pPr>
            <w:r w:rsidRPr="004D3DFC">
              <w:rPr>
                <w:sz w:val="22"/>
                <w:szCs w:val="22"/>
                <w:lang w:eastAsia="zh-CN"/>
              </w:rPr>
              <w:t>Following Bradley and Roberts (20</w:t>
            </w:r>
            <w:r w:rsidR="00D900FC" w:rsidRPr="004D3DFC">
              <w:rPr>
                <w:sz w:val="22"/>
                <w:szCs w:val="22"/>
                <w:lang w:eastAsia="zh-CN"/>
              </w:rPr>
              <w:t>15</w:t>
            </w:r>
            <w:r w:rsidRPr="004D3DFC">
              <w:rPr>
                <w:sz w:val="22"/>
                <w:szCs w:val="22"/>
                <w:lang w:eastAsia="zh-CN"/>
              </w:rPr>
              <w:t xml:space="preserve">), we build a covenant index that considers </w:t>
            </w:r>
            <w:r w:rsidRPr="004D3DFC">
              <w:rPr>
                <w:rFonts w:eastAsia="DengXian"/>
                <w:sz w:val="22"/>
                <w:szCs w:val="22"/>
                <w:lang w:eastAsia="zh-CN"/>
              </w:rPr>
              <w:t>equity sweeps, debt sweeps, asset sweeps, dividend restrictions, and secured debt. A</w:t>
            </w:r>
            <w:r w:rsidRPr="004D3DFC">
              <w:rPr>
                <w:sz w:val="22"/>
                <w:szCs w:val="22"/>
                <w:lang w:eastAsia="zh-CN"/>
              </w:rPr>
              <w:t>ll five different covenants are coded as 1, and 0 otherwise, and then summed</w:t>
            </w:r>
            <w:r w:rsidR="004E4DB8" w:rsidRPr="004D3DFC">
              <w:rPr>
                <w:sz w:val="22"/>
                <w:szCs w:val="22"/>
                <w:lang w:eastAsia="zh-CN"/>
              </w:rPr>
              <w:t xml:space="preserve"> </w:t>
            </w:r>
            <w:r w:rsidRPr="004D3DFC">
              <w:rPr>
                <w:sz w:val="22"/>
                <w:szCs w:val="22"/>
                <w:lang w:eastAsia="zh-CN"/>
              </w:rPr>
              <w:t>up.</w:t>
            </w:r>
          </w:p>
        </w:tc>
      </w:tr>
      <w:tr w:rsidR="00D130B4" w:rsidRPr="004D3DFC" w14:paraId="63460F83" w14:textId="77777777" w:rsidTr="004D3DFC">
        <w:trPr>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7F21F1" w14:textId="77777777" w:rsidR="00D130B4" w:rsidRPr="004D3DFC" w:rsidRDefault="00D130B4" w:rsidP="004D3DFC">
            <w:pPr>
              <w:autoSpaceDE w:val="0"/>
              <w:autoSpaceDN w:val="0"/>
              <w:adjustRightInd w:val="0"/>
              <w:jc w:val="center"/>
              <w:rPr>
                <w:sz w:val="22"/>
                <w:szCs w:val="22"/>
                <w:lang w:eastAsia="zh-CN"/>
              </w:rPr>
            </w:pPr>
            <w:r w:rsidRPr="004D3DFC">
              <w:rPr>
                <w:i/>
                <w:sz w:val="22"/>
                <w:szCs w:val="22"/>
                <w:lang w:eastAsia="zh-CN"/>
              </w:rPr>
              <w:t>Loan characteristics</w:t>
            </w:r>
          </w:p>
        </w:tc>
      </w:tr>
      <w:tr w:rsidR="00D130B4" w:rsidRPr="004D3DFC" w14:paraId="5301EC1E"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E0343" w14:textId="77777777" w:rsidR="00D130B4" w:rsidRPr="004D3DFC" w:rsidRDefault="00D130B4" w:rsidP="004D3DFC">
            <w:pPr>
              <w:jc w:val="center"/>
              <w:rPr>
                <w:sz w:val="22"/>
                <w:szCs w:val="22"/>
                <w:lang w:eastAsia="zh-CN"/>
              </w:rPr>
            </w:pPr>
            <w:r w:rsidRPr="00234459">
              <w:rPr>
                <w:sz w:val="22"/>
                <w:szCs w:val="22"/>
                <w:lang w:eastAsia="zh-CN"/>
              </w:rPr>
              <w:t>Facility Amount</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FDFAF" w14:textId="77777777" w:rsidR="00D130B4" w:rsidRPr="004D3DFC" w:rsidRDefault="00D130B4"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2414F4D9" w14:textId="77777777" w:rsidR="00D130B4" w:rsidRPr="004D3DFC" w:rsidRDefault="00D130B4">
            <w:pPr>
              <w:autoSpaceDE w:val="0"/>
              <w:autoSpaceDN w:val="0"/>
              <w:adjustRightInd w:val="0"/>
              <w:rPr>
                <w:sz w:val="22"/>
                <w:szCs w:val="22"/>
                <w:lang w:eastAsia="zh-CN"/>
              </w:rPr>
            </w:pPr>
            <w:r w:rsidRPr="004D3DFC">
              <w:rPr>
                <w:sz w:val="22"/>
                <w:szCs w:val="22"/>
                <w:lang w:eastAsia="zh-CN"/>
              </w:rPr>
              <w:t>Facility amount in USD million as indicated in</w:t>
            </w:r>
            <w:r w:rsidR="00050C9B" w:rsidRPr="004D3DFC">
              <w:rPr>
                <w:sz w:val="22"/>
                <w:szCs w:val="22"/>
                <w:lang w:eastAsia="zh-CN"/>
              </w:rPr>
              <w:t xml:space="preserve"> </w:t>
            </w:r>
            <w:r w:rsidRPr="004D3DFC">
              <w:rPr>
                <w:sz w:val="22"/>
                <w:szCs w:val="22"/>
                <w:lang w:eastAsia="zh-CN"/>
              </w:rPr>
              <w:t xml:space="preserve">the field </w:t>
            </w:r>
            <w:r w:rsidRPr="004D3DFC">
              <w:rPr>
                <w:i/>
                <w:sz w:val="22"/>
                <w:szCs w:val="22"/>
                <w:lang w:eastAsia="zh-CN"/>
              </w:rPr>
              <w:t>FacilityAmt</w:t>
            </w:r>
            <w:r w:rsidRPr="004D3DFC">
              <w:rPr>
                <w:sz w:val="22"/>
                <w:szCs w:val="22"/>
                <w:lang w:eastAsia="zh-CN"/>
              </w:rPr>
              <w:t xml:space="preserve"> in the facility table in</w:t>
            </w:r>
            <w:r w:rsidR="00050C9B" w:rsidRPr="004D3DFC">
              <w:rPr>
                <w:sz w:val="22"/>
                <w:szCs w:val="22"/>
                <w:lang w:eastAsia="zh-CN"/>
              </w:rPr>
              <w:t xml:space="preserve"> </w:t>
            </w:r>
            <w:r w:rsidRPr="004D3DFC">
              <w:rPr>
                <w:sz w:val="22"/>
                <w:szCs w:val="22"/>
                <w:lang w:eastAsia="zh-CN"/>
              </w:rPr>
              <w:t>Dealscan, adjusted for inflation in 2005 dollars.</w:t>
            </w:r>
          </w:p>
        </w:tc>
      </w:tr>
      <w:tr w:rsidR="00D130B4" w:rsidRPr="004D3DFC" w14:paraId="346E770E"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C1916" w14:textId="77777777" w:rsidR="00D130B4" w:rsidRPr="004D3DFC" w:rsidRDefault="00D130B4" w:rsidP="004D3DFC">
            <w:pPr>
              <w:jc w:val="center"/>
              <w:rPr>
                <w:sz w:val="22"/>
                <w:szCs w:val="22"/>
                <w:lang w:eastAsia="zh-CN"/>
              </w:rPr>
            </w:pPr>
            <w:r w:rsidRPr="004D3DFC">
              <w:rPr>
                <w:sz w:val="22"/>
                <w:szCs w:val="22"/>
                <w:lang w:eastAsia="zh-CN"/>
              </w:rPr>
              <w:t>Facility Maturity</w:t>
            </w:r>
            <w:r w:rsidR="004D3DFC" w:rsidRPr="004D3DFC">
              <w:rPr>
                <w:sz w:val="22"/>
                <w:szCs w:val="22"/>
                <w:lang w:eastAsia="zh-CN"/>
              </w:rPr>
              <w:t xml:space="preserve"> (in month)</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B20D5" w14:textId="77777777" w:rsidR="00D130B4" w:rsidRPr="004D3DFC" w:rsidRDefault="00D130B4"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6A575BED" w14:textId="77777777" w:rsidR="00D130B4" w:rsidRPr="004D3DFC" w:rsidRDefault="00D130B4" w:rsidP="00CE7D45">
            <w:pPr>
              <w:autoSpaceDE w:val="0"/>
              <w:autoSpaceDN w:val="0"/>
              <w:adjustRightInd w:val="0"/>
              <w:rPr>
                <w:sz w:val="22"/>
                <w:szCs w:val="22"/>
                <w:lang w:eastAsia="zh-CN"/>
              </w:rPr>
            </w:pPr>
            <w:r w:rsidRPr="004D3DFC">
              <w:rPr>
                <w:sz w:val="22"/>
                <w:szCs w:val="22"/>
                <w:lang w:eastAsia="zh-CN"/>
              </w:rPr>
              <w:t>Facility maturity in months as indicated in the</w:t>
            </w:r>
            <w:r w:rsidR="00050C9B" w:rsidRPr="004D3DFC">
              <w:rPr>
                <w:sz w:val="22"/>
                <w:szCs w:val="22"/>
                <w:lang w:eastAsia="zh-CN"/>
              </w:rPr>
              <w:t xml:space="preserve"> </w:t>
            </w:r>
            <w:r w:rsidRPr="004D3DFC">
              <w:rPr>
                <w:sz w:val="22"/>
                <w:szCs w:val="22"/>
                <w:lang w:eastAsia="zh-CN"/>
              </w:rPr>
              <w:t xml:space="preserve">field </w:t>
            </w:r>
            <w:r w:rsidRPr="004D3DFC">
              <w:rPr>
                <w:i/>
                <w:sz w:val="22"/>
                <w:szCs w:val="22"/>
                <w:lang w:eastAsia="zh-CN"/>
              </w:rPr>
              <w:t>Maturity</w:t>
            </w:r>
            <w:r w:rsidRPr="004D3DFC">
              <w:rPr>
                <w:sz w:val="22"/>
                <w:szCs w:val="22"/>
                <w:lang w:eastAsia="zh-CN"/>
              </w:rPr>
              <w:t xml:space="preserve"> in the facility table in Dealscan.</w:t>
            </w:r>
          </w:p>
        </w:tc>
      </w:tr>
      <w:tr w:rsidR="00D130B4" w:rsidRPr="004D3DFC" w14:paraId="71216172" w14:textId="77777777" w:rsidTr="004D3DFC">
        <w:trPr>
          <w:trHeight w:val="728"/>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A1367" w14:textId="77777777" w:rsidR="00D130B4" w:rsidRPr="004D3DFC" w:rsidRDefault="00D130B4" w:rsidP="004D3DFC">
            <w:pPr>
              <w:jc w:val="center"/>
              <w:rPr>
                <w:sz w:val="22"/>
                <w:szCs w:val="22"/>
                <w:lang w:eastAsia="zh-CN"/>
              </w:rPr>
            </w:pPr>
            <w:r w:rsidRPr="004D3DFC">
              <w:rPr>
                <w:sz w:val="22"/>
                <w:szCs w:val="22"/>
                <w:lang w:eastAsia="zh-CN"/>
              </w:rPr>
              <w:t>Syndicate Size</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71C8E" w14:textId="77777777" w:rsidR="00D130B4" w:rsidRPr="004D3DFC" w:rsidRDefault="00D130B4"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687F27A9" w14:textId="5911D267" w:rsidR="00D130B4" w:rsidRPr="004D3DFC" w:rsidRDefault="00D130B4" w:rsidP="00D8256B">
            <w:pPr>
              <w:autoSpaceDE w:val="0"/>
              <w:autoSpaceDN w:val="0"/>
              <w:adjustRightInd w:val="0"/>
              <w:rPr>
                <w:sz w:val="22"/>
                <w:szCs w:val="22"/>
                <w:lang w:eastAsia="zh-CN"/>
              </w:rPr>
            </w:pPr>
            <w:r w:rsidRPr="004D3DFC">
              <w:rPr>
                <w:sz w:val="22"/>
                <w:szCs w:val="22"/>
                <w:lang w:eastAsia="zh-CN"/>
              </w:rPr>
              <w:t>Following Berg</w:t>
            </w:r>
            <w:r w:rsidR="00D8256B" w:rsidRPr="004D3DFC">
              <w:rPr>
                <w:sz w:val="22"/>
                <w:szCs w:val="22"/>
                <w:lang w:eastAsia="zh-CN"/>
              </w:rPr>
              <w:t xml:space="preserve"> et al.</w:t>
            </w:r>
            <w:r w:rsidR="00D900FC" w:rsidRPr="004D3DFC">
              <w:rPr>
                <w:sz w:val="22"/>
                <w:szCs w:val="22"/>
                <w:lang w:eastAsia="zh-CN"/>
              </w:rPr>
              <w:t xml:space="preserve"> </w:t>
            </w:r>
            <w:r w:rsidRPr="004D3DFC">
              <w:rPr>
                <w:sz w:val="22"/>
                <w:szCs w:val="22"/>
                <w:lang w:eastAsia="zh-CN"/>
              </w:rPr>
              <w:t>(2016), number of lenders (lead</w:t>
            </w:r>
            <w:r w:rsidR="00050C9B" w:rsidRPr="004D3DFC">
              <w:rPr>
                <w:sz w:val="22"/>
                <w:szCs w:val="22"/>
                <w:lang w:eastAsia="zh-CN"/>
              </w:rPr>
              <w:t xml:space="preserve"> </w:t>
            </w:r>
            <w:r w:rsidR="00834D75">
              <w:rPr>
                <w:sz w:val="22"/>
                <w:szCs w:val="22"/>
                <w:lang w:eastAsia="zh-CN"/>
              </w:rPr>
              <w:t>agent</w:t>
            </w:r>
            <w:r w:rsidRPr="004D3DFC">
              <w:rPr>
                <w:sz w:val="22"/>
                <w:szCs w:val="22"/>
                <w:lang w:eastAsia="zh-CN"/>
              </w:rPr>
              <w:t xml:space="preserve"> and participants) of a syndicated loan facility as indicated by the LenderShares table in Dealscan.</w:t>
            </w:r>
          </w:p>
        </w:tc>
      </w:tr>
      <w:tr w:rsidR="00883791" w:rsidRPr="004D3DFC" w14:paraId="4A1B5FF6" w14:textId="77777777" w:rsidTr="004D3DFC">
        <w:trPr>
          <w:trHeight w:val="728"/>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A45790" w14:textId="77777777" w:rsidR="00883791" w:rsidRPr="004D3DFC" w:rsidRDefault="00883791" w:rsidP="004D3DFC">
            <w:pPr>
              <w:jc w:val="center"/>
              <w:rPr>
                <w:sz w:val="22"/>
                <w:szCs w:val="22"/>
                <w:lang w:eastAsia="zh-CN"/>
              </w:rPr>
            </w:pPr>
            <w:r w:rsidRPr="004D3DFC">
              <w:rPr>
                <w:sz w:val="22"/>
                <w:szCs w:val="22"/>
                <w:lang w:eastAsia="zh-CN"/>
              </w:rPr>
              <w:t>Term Loan</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3C0009C" w14:textId="77777777" w:rsidR="00883791" w:rsidRPr="004D3DFC" w:rsidRDefault="00883791"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7E43D95" w14:textId="77777777" w:rsidR="00883791" w:rsidRPr="004D3DFC" w:rsidRDefault="00CB7515" w:rsidP="004B2193">
            <w:pPr>
              <w:autoSpaceDE w:val="0"/>
              <w:autoSpaceDN w:val="0"/>
              <w:adjustRightInd w:val="0"/>
              <w:rPr>
                <w:sz w:val="22"/>
                <w:szCs w:val="22"/>
                <w:lang w:eastAsia="zh-CN"/>
              </w:rPr>
            </w:pPr>
            <w:r w:rsidRPr="004D3DFC">
              <w:rPr>
                <w:sz w:val="22"/>
                <w:szCs w:val="22"/>
                <w:lang w:eastAsia="zh-CN"/>
              </w:rPr>
              <w:t>Following Lim</w:t>
            </w:r>
            <w:r w:rsidR="00F73C00" w:rsidRPr="004D3DFC">
              <w:rPr>
                <w:sz w:val="22"/>
                <w:szCs w:val="22"/>
                <w:lang w:eastAsia="zh-CN"/>
              </w:rPr>
              <w:t xml:space="preserve"> et al.</w:t>
            </w:r>
            <w:r w:rsidRPr="004D3DFC">
              <w:rPr>
                <w:color w:val="211D1E"/>
                <w:sz w:val="22"/>
                <w:szCs w:val="22"/>
              </w:rPr>
              <w:t xml:space="preserve"> (2014), term loan is a dummy </w:t>
            </w:r>
            <w:r w:rsidRPr="004D3DFC">
              <w:rPr>
                <w:sz w:val="22"/>
                <w:szCs w:val="22"/>
                <w:lang w:eastAsia="zh-CN"/>
              </w:rPr>
              <w:t xml:space="preserve">that takes a value of one if the facility type is term loan A facility, otherwise it is equal to </w:t>
            </w:r>
            <w:r w:rsidR="004B2193">
              <w:rPr>
                <w:sz w:val="22"/>
                <w:szCs w:val="22"/>
                <w:lang w:eastAsia="zh-CN"/>
              </w:rPr>
              <w:t>0</w:t>
            </w:r>
            <w:r w:rsidRPr="004D3DFC">
              <w:rPr>
                <w:sz w:val="22"/>
                <w:szCs w:val="22"/>
                <w:lang w:eastAsia="zh-CN"/>
              </w:rPr>
              <w:t>.</w:t>
            </w:r>
          </w:p>
        </w:tc>
      </w:tr>
      <w:tr w:rsidR="00883791" w:rsidRPr="004D3DFC" w14:paraId="57090B72" w14:textId="77777777" w:rsidTr="004D3DFC">
        <w:trPr>
          <w:trHeight w:val="728"/>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3D2A40" w14:textId="77777777" w:rsidR="00883791" w:rsidRPr="004D3DFC" w:rsidRDefault="00883791" w:rsidP="004D3DFC">
            <w:pPr>
              <w:jc w:val="center"/>
              <w:rPr>
                <w:sz w:val="22"/>
                <w:szCs w:val="22"/>
                <w:lang w:eastAsia="zh-CN"/>
              </w:rPr>
            </w:pPr>
            <w:r w:rsidRPr="004D3DFC">
              <w:rPr>
                <w:sz w:val="22"/>
                <w:szCs w:val="22"/>
                <w:lang w:eastAsia="zh-CN"/>
              </w:rPr>
              <w:t>Revolver Loan</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08A9079" w14:textId="77777777" w:rsidR="00883791" w:rsidRPr="004D3DFC" w:rsidRDefault="00883791"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D546C6" w14:textId="77777777" w:rsidR="00883791" w:rsidRPr="004D3DFC" w:rsidRDefault="00CB7515" w:rsidP="004E4DB8">
            <w:pPr>
              <w:autoSpaceDE w:val="0"/>
              <w:autoSpaceDN w:val="0"/>
              <w:adjustRightInd w:val="0"/>
              <w:rPr>
                <w:sz w:val="22"/>
                <w:szCs w:val="22"/>
                <w:lang w:eastAsia="zh-CN"/>
              </w:rPr>
            </w:pPr>
            <w:r w:rsidRPr="004D3DFC">
              <w:rPr>
                <w:sz w:val="22"/>
                <w:szCs w:val="22"/>
                <w:lang w:eastAsia="zh-CN"/>
              </w:rPr>
              <w:t>Following Lim</w:t>
            </w:r>
            <w:r w:rsidR="00F73C00" w:rsidRPr="004D3DFC">
              <w:rPr>
                <w:sz w:val="22"/>
                <w:szCs w:val="22"/>
                <w:lang w:eastAsia="zh-CN"/>
              </w:rPr>
              <w:t xml:space="preserve"> et al.</w:t>
            </w:r>
            <w:r w:rsidRPr="004D3DFC">
              <w:rPr>
                <w:color w:val="211D1E"/>
                <w:sz w:val="22"/>
                <w:szCs w:val="22"/>
              </w:rPr>
              <w:t xml:space="preserve"> (2014), </w:t>
            </w:r>
            <w:r w:rsidRPr="004D3DFC">
              <w:rPr>
                <w:sz w:val="22"/>
                <w:szCs w:val="22"/>
                <w:lang w:eastAsia="zh-CN"/>
              </w:rPr>
              <w:t xml:space="preserve">revolver loan is a dummy that takes a value of </w:t>
            </w:r>
            <w:r w:rsidR="004E4DB8" w:rsidRPr="004D3DFC">
              <w:rPr>
                <w:sz w:val="22"/>
                <w:szCs w:val="22"/>
                <w:lang w:eastAsia="zh-CN"/>
              </w:rPr>
              <w:t xml:space="preserve">1 </w:t>
            </w:r>
            <w:r w:rsidRPr="004D3DFC">
              <w:rPr>
                <w:sz w:val="22"/>
                <w:szCs w:val="22"/>
                <w:lang w:eastAsia="zh-CN"/>
              </w:rPr>
              <w:t xml:space="preserve">if the facility type is a revolving line of credit (revolver line, revolver, 364-day facility, demand loan, limited line), and </w:t>
            </w:r>
            <w:r w:rsidR="004E4DB8" w:rsidRPr="004D3DFC">
              <w:rPr>
                <w:sz w:val="22"/>
                <w:szCs w:val="22"/>
                <w:lang w:eastAsia="zh-CN"/>
              </w:rPr>
              <w:t>0</w:t>
            </w:r>
            <w:r w:rsidR="00477BBB" w:rsidRPr="004D3DFC">
              <w:rPr>
                <w:sz w:val="22"/>
                <w:szCs w:val="22"/>
                <w:lang w:eastAsia="zh-CN"/>
              </w:rPr>
              <w:t xml:space="preserve"> </w:t>
            </w:r>
            <w:r w:rsidRPr="004D3DFC">
              <w:rPr>
                <w:sz w:val="22"/>
                <w:szCs w:val="22"/>
                <w:lang w:eastAsia="zh-CN"/>
              </w:rPr>
              <w:t>otherwise.</w:t>
            </w:r>
          </w:p>
        </w:tc>
      </w:tr>
      <w:tr w:rsidR="007E3DC2" w:rsidRPr="004D3DFC" w14:paraId="4DADBE56" w14:textId="77777777" w:rsidTr="004D3DFC">
        <w:trPr>
          <w:trHeight w:val="728"/>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08F573" w14:textId="77777777" w:rsidR="007E3DC2" w:rsidRPr="004D3DFC" w:rsidRDefault="00F85BFB" w:rsidP="004D3DFC">
            <w:pPr>
              <w:jc w:val="center"/>
              <w:rPr>
                <w:sz w:val="22"/>
                <w:szCs w:val="22"/>
                <w:lang w:eastAsia="zh-CN"/>
              </w:rPr>
            </w:pPr>
            <w:r w:rsidRPr="004D3DFC">
              <w:rPr>
                <w:sz w:val="22"/>
                <w:szCs w:val="22"/>
                <w:lang w:eastAsia="zh-CN"/>
              </w:rPr>
              <w:t>Institutional investor</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FBCF8DF" w14:textId="77777777" w:rsidR="007E3DC2" w:rsidRPr="004D3DFC" w:rsidRDefault="003A4AFD"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FA4506A" w14:textId="77777777" w:rsidR="007E3DC2" w:rsidRPr="004D3DFC" w:rsidRDefault="003729C2" w:rsidP="004E4DB8">
            <w:pPr>
              <w:autoSpaceDE w:val="0"/>
              <w:autoSpaceDN w:val="0"/>
              <w:adjustRightInd w:val="0"/>
              <w:rPr>
                <w:sz w:val="22"/>
                <w:szCs w:val="22"/>
                <w:lang w:eastAsia="zh-CN"/>
              </w:rPr>
            </w:pPr>
            <w:r w:rsidRPr="004D3DFC">
              <w:rPr>
                <w:sz w:val="22"/>
                <w:szCs w:val="22"/>
                <w:lang w:eastAsia="zh-CN"/>
              </w:rPr>
              <w:t xml:space="preserve">Following Lim et al. (2014), </w:t>
            </w:r>
            <w:r w:rsidR="00845607">
              <w:rPr>
                <w:sz w:val="22"/>
                <w:szCs w:val="22"/>
                <w:lang w:eastAsia="zh-CN"/>
              </w:rPr>
              <w:t>i</w:t>
            </w:r>
            <w:r w:rsidR="00F85BFB" w:rsidRPr="004D3DFC">
              <w:rPr>
                <w:sz w:val="22"/>
                <w:szCs w:val="22"/>
                <w:lang w:eastAsia="zh-CN"/>
              </w:rPr>
              <w:t xml:space="preserve">nstitutional investor </w:t>
            </w:r>
            <w:r w:rsidRPr="004D3DFC">
              <w:rPr>
                <w:sz w:val="22"/>
                <w:szCs w:val="22"/>
                <w:lang w:eastAsia="zh-CN"/>
              </w:rPr>
              <w:t>is a dummy that takes a value of 1 if at least one institutional investor that is neither a commercial nor an investment bank is involved in the lending syndicate, and 0 otherwise.</w:t>
            </w:r>
            <w:r w:rsidR="00A92440" w:rsidRPr="004D3DFC">
              <w:rPr>
                <w:sz w:val="22"/>
                <w:szCs w:val="22"/>
                <w:lang w:eastAsia="zh-CN"/>
              </w:rPr>
              <w:t xml:space="preserve"> Following Lim et al. (2014), the dummy is</w:t>
            </w:r>
            <w:r w:rsidRPr="004D3DFC">
              <w:rPr>
                <w:sz w:val="22"/>
                <w:szCs w:val="22"/>
                <w:lang w:eastAsia="zh-CN"/>
              </w:rPr>
              <w:t xml:space="preserve"> </w:t>
            </w:r>
            <w:r w:rsidR="00CC6FBD" w:rsidRPr="004D3DFC">
              <w:rPr>
                <w:sz w:val="22"/>
                <w:szCs w:val="22"/>
                <w:lang w:eastAsia="zh-CN"/>
              </w:rPr>
              <w:t xml:space="preserve">constructed </w:t>
            </w:r>
            <w:r w:rsidR="00A92440" w:rsidRPr="004D3DFC">
              <w:rPr>
                <w:sz w:val="22"/>
                <w:szCs w:val="22"/>
                <w:lang w:eastAsia="zh-CN"/>
              </w:rPr>
              <w:t>based on Deal</w:t>
            </w:r>
            <w:r w:rsidR="00845607">
              <w:rPr>
                <w:sz w:val="22"/>
                <w:szCs w:val="22"/>
                <w:lang w:eastAsia="zh-CN"/>
              </w:rPr>
              <w:t>s</w:t>
            </w:r>
            <w:r w:rsidR="00A92440" w:rsidRPr="004D3DFC">
              <w:rPr>
                <w:sz w:val="22"/>
                <w:szCs w:val="22"/>
                <w:lang w:eastAsia="zh-CN"/>
              </w:rPr>
              <w:t>can's classification (“Finance companies”).</w:t>
            </w:r>
          </w:p>
        </w:tc>
      </w:tr>
      <w:tr w:rsidR="007E3DC2" w:rsidRPr="004D3DFC" w14:paraId="3092A05B" w14:textId="77777777" w:rsidTr="004D3DFC">
        <w:trPr>
          <w:trHeight w:val="456"/>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6BBC31" w14:textId="77777777" w:rsidR="007E3DC2" w:rsidRPr="004D3DFC" w:rsidRDefault="003A4AFD" w:rsidP="004D3DFC">
            <w:pPr>
              <w:jc w:val="center"/>
              <w:rPr>
                <w:sz w:val="22"/>
                <w:szCs w:val="22"/>
                <w:lang w:eastAsia="zh-CN"/>
              </w:rPr>
            </w:pPr>
            <w:r w:rsidRPr="004D3DFC">
              <w:rPr>
                <w:sz w:val="22"/>
                <w:szCs w:val="22"/>
                <w:lang w:eastAsia="zh-CN"/>
              </w:rPr>
              <w:t>Non-US dollar facility</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1F5A33" w14:textId="77777777" w:rsidR="007E3DC2" w:rsidRPr="004D3DFC" w:rsidRDefault="003A4AFD"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2D42B6C" w14:textId="77777777" w:rsidR="007E3DC2" w:rsidRPr="004D3DFC" w:rsidRDefault="005253B2" w:rsidP="00735C35">
            <w:pPr>
              <w:autoSpaceDE w:val="0"/>
              <w:autoSpaceDN w:val="0"/>
              <w:adjustRightInd w:val="0"/>
              <w:rPr>
                <w:sz w:val="22"/>
                <w:szCs w:val="22"/>
                <w:lang w:eastAsia="zh-CN"/>
              </w:rPr>
            </w:pPr>
            <w:r w:rsidRPr="004D3DFC">
              <w:rPr>
                <w:sz w:val="22"/>
                <w:szCs w:val="22"/>
                <w:lang w:eastAsia="zh-CN"/>
              </w:rPr>
              <w:t xml:space="preserve">It is a dummy equal to 1 if the facility is in </w:t>
            </w:r>
            <w:r w:rsidRPr="004D3DFC">
              <w:rPr>
                <w:sz w:val="22"/>
                <w:szCs w:val="22"/>
              </w:rPr>
              <w:t>foreign currency, and 0 otherwise.</w:t>
            </w:r>
          </w:p>
        </w:tc>
      </w:tr>
      <w:tr w:rsidR="00735C35" w:rsidRPr="004D3DFC" w14:paraId="72D88433" w14:textId="77777777" w:rsidTr="004D3DFC">
        <w:trPr>
          <w:trHeight w:val="322"/>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1E9FE6" w14:textId="77777777" w:rsidR="00735C35" w:rsidRPr="004D3DFC" w:rsidRDefault="00982BB2" w:rsidP="004D3DFC">
            <w:pPr>
              <w:jc w:val="center"/>
              <w:rPr>
                <w:sz w:val="22"/>
                <w:szCs w:val="22"/>
                <w:lang w:eastAsia="zh-CN"/>
              </w:rPr>
            </w:pPr>
            <w:bookmarkStart w:id="41" w:name="_Hlk48914225"/>
            <w:r w:rsidRPr="004D3DFC">
              <w:rPr>
                <w:sz w:val="22"/>
                <w:szCs w:val="22"/>
                <w:lang w:eastAsia="zh-CN"/>
              </w:rPr>
              <w:t xml:space="preserve">Loan portfolio </w:t>
            </w:r>
            <w:r w:rsidR="00EC29C1" w:rsidRPr="004D3DFC">
              <w:rPr>
                <w:sz w:val="22"/>
                <w:szCs w:val="22"/>
                <w:lang w:eastAsia="zh-CN"/>
              </w:rPr>
              <w:t>exposure</w:t>
            </w:r>
            <w:bookmarkEnd w:id="41"/>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5E8F00E" w14:textId="77777777" w:rsidR="00735C35" w:rsidRPr="004D3DFC" w:rsidRDefault="00EC29C1"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4E1715" w14:textId="77777777" w:rsidR="00735C35" w:rsidRPr="004D3DFC" w:rsidRDefault="00EC29C1" w:rsidP="00735C35">
            <w:pPr>
              <w:autoSpaceDE w:val="0"/>
              <w:autoSpaceDN w:val="0"/>
              <w:adjustRightInd w:val="0"/>
              <w:rPr>
                <w:sz w:val="22"/>
                <w:szCs w:val="22"/>
                <w:lang w:eastAsia="zh-CN"/>
              </w:rPr>
            </w:pPr>
            <w:bookmarkStart w:id="42" w:name="_Hlk48913282"/>
            <w:r w:rsidRPr="004D3DFC">
              <w:rPr>
                <w:sz w:val="22"/>
                <w:szCs w:val="22"/>
                <w:lang w:eastAsia="zh-CN"/>
              </w:rPr>
              <w:t xml:space="preserve">It </w:t>
            </w:r>
            <w:r w:rsidR="00982BB2" w:rsidRPr="004D3DFC">
              <w:rPr>
                <w:sz w:val="22"/>
                <w:szCs w:val="22"/>
                <w:lang w:eastAsia="zh-CN"/>
              </w:rPr>
              <w:t>measures the</w:t>
            </w:r>
            <w:r w:rsidRPr="004D3DFC">
              <w:rPr>
                <w:sz w:val="22"/>
                <w:szCs w:val="22"/>
                <w:lang w:eastAsia="zh-CN"/>
              </w:rPr>
              <w:t xml:space="preserve"> </w:t>
            </w:r>
            <w:r w:rsidR="00982BB2" w:rsidRPr="004D3DFC">
              <w:rPr>
                <w:sz w:val="22"/>
                <w:szCs w:val="22"/>
                <w:lang w:eastAsia="zh-CN"/>
              </w:rPr>
              <w:t xml:space="preserve">outstanding </w:t>
            </w:r>
            <w:r w:rsidRPr="004D3DFC">
              <w:rPr>
                <w:sz w:val="22"/>
                <w:szCs w:val="22"/>
                <w:lang w:eastAsia="zh-CN"/>
              </w:rPr>
              <w:t xml:space="preserve">amount </w:t>
            </w:r>
            <w:r w:rsidR="00D74CDD" w:rsidRPr="004D3DFC">
              <w:rPr>
                <w:sz w:val="22"/>
                <w:szCs w:val="22"/>
                <w:lang w:eastAsia="zh-CN"/>
              </w:rPr>
              <w:t>lent to a certain borrower against the total outstanding loan issued by that bank.</w:t>
            </w:r>
            <w:bookmarkEnd w:id="42"/>
          </w:p>
        </w:tc>
      </w:tr>
      <w:tr w:rsidR="00D130B4" w:rsidRPr="004D3DFC" w14:paraId="033A9245" w14:textId="77777777" w:rsidTr="004D3DFC">
        <w:trPr>
          <w:trHeight w:val="255"/>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54973A" w14:textId="77777777" w:rsidR="00D130B4" w:rsidRPr="004D3DFC" w:rsidRDefault="00D130B4" w:rsidP="004D3DFC">
            <w:pPr>
              <w:autoSpaceDE w:val="0"/>
              <w:autoSpaceDN w:val="0"/>
              <w:adjustRightInd w:val="0"/>
              <w:jc w:val="center"/>
              <w:rPr>
                <w:i/>
                <w:sz w:val="22"/>
                <w:szCs w:val="22"/>
                <w:lang w:eastAsia="zh-CN"/>
              </w:rPr>
            </w:pPr>
            <w:r w:rsidRPr="004D3DFC">
              <w:rPr>
                <w:i/>
                <w:sz w:val="22"/>
                <w:szCs w:val="22"/>
                <w:lang w:eastAsia="zh-CN"/>
              </w:rPr>
              <w:t>Syndicate Reputation</w:t>
            </w:r>
          </w:p>
        </w:tc>
      </w:tr>
      <w:tr w:rsidR="00D130B4" w:rsidRPr="004D3DFC" w14:paraId="2655F3BD" w14:textId="77777777" w:rsidTr="004D3DFC">
        <w:trPr>
          <w:trHeight w:val="25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90A20D4" w14:textId="77777777" w:rsidR="00D130B4" w:rsidRPr="004D3DFC" w:rsidRDefault="00D130B4" w:rsidP="004D3DFC">
            <w:pPr>
              <w:jc w:val="center"/>
              <w:rPr>
                <w:sz w:val="22"/>
                <w:szCs w:val="22"/>
                <w:lang w:eastAsia="zh-CN"/>
              </w:rPr>
            </w:pPr>
            <w:r w:rsidRPr="004D3DFC">
              <w:rPr>
                <w:sz w:val="22"/>
                <w:szCs w:val="22"/>
                <w:lang w:eastAsia="zh-CN"/>
              </w:rPr>
              <w:t>Syndicate reputation: lead to participant</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9A54F7" w14:textId="77777777" w:rsidR="00D130B4" w:rsidRPr="004D3DFC" w:rsidRDefault="00D130B4"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FBA3A27" w14:textId="77777777" w:rsidR="00D130B4" w:rsidRPr="004D3DFC" w:rsidRDefault="00D130B4" w:rsidP="008F5DE1">
            <w:pPr>
              <w:autoSpaceDE w:val="0"/>
              <w:autoSpaceDN w:val="0"/>
              <w:adjustRightInd w:val="0"/>
              <w:rPr>
                <w:sz w:val="22"/>
                <w:szCs w:val="22"/>
                <w:lang w:eastAsia="zh-CN"/>
              </w:rPr>
            </w:pPr>
            <w:r w:rsidRPr="004D3DFC">
              <w:rPr>
                <w:sz w:val="22"/>
                <w:szCs w:val="22"/>
                <w:lang w:eastAsia="zh-CN"/>
              </w:rPr>
              <w:t>Following Ivashina (2009), the maximum per</w:t>
            </w:r>
            <w:r w:rsidR="004E4DB8" w:rsidRPr="004D3DFC">
              <w:rPr>
                <w:sz w:val="22"/>
                <w:szCs w:val="22"/>
                <w:lang w:eastAsia="zh-CN"/>
              </w:rPr>
              <w:t xml:space="preserve"> </w:t>
            </w:r>
            <w:r w:rsidRPr="004D3DFC">
              <w:rPr>
                <w:sz w:val="22"/>
                <w:szCs w:val="22"/>
                <w:lang w:eastAsia="zh-CN"/>
              </w:rPr>
              <w:t>cent number of deals arranged by the same lead agent with the same participa</w:t>
            </w:r>
            <w:r w:rsidR="008F7C05" w:rsidRPr="004D3DFC">
              <w:rPr>
                <w:sz w:val="22"/>
                <w:szCs w:val="22"/>
                <w:lang w:eastAsia="zh-CN"/>
              </w:rPr>
              <w:t xml:space="preserve">nts </w:t>
            </w:r>
            <w:r w:rsidRPr="004D3DFC">
              <w:rPr>
                <w:sz w:val="22"/>
                <w:szCs w:val="22"/>
                <w:lang w:eastAsia="zh-CN"/>
              </w:rPr>
              <w:t>against the total number of deals organized by the lead agent over a five-year horizon.</w:t>
            </w:r>
          </w:p>
        </w:tc>
      </w:tr>
      <w:tr w:rsidR="00D130B4" w:rsidRPr="004D3DFC" w14:paraId="1DAE0875" w14:textId="77777777" w:rsidTr="004D3DFC">
        <w:trPr>
          <w:trHeight w:val="25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746004" w14:textId="77777777" w:rsidR="00D130B4" w:rsidRPr="004D3DFC" w:rsidRDefault="00D130B4" w:rsidP="004D3DFC">
            <w:pPr>
              <w:jc w:val="center"/>
              <w:rPr>
                <w:sz w:val="22"/>
                <w:szCs w:val="22"/>
                <w:lang w:eastAsia="zh-CN"/>
              </w:rPr>
            </w:pPr>
            <w:r w:rsidRPr="004D3DFC">
              <w:rPr>
                <w:sz w:val="22"/>
                <w:szCs w:val="22"/>
                <w:lang w:eastAsia="zh-CN"/>
              </w:rPr>
              <w:t>Syndicate reputation: reciprocal</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D9468CB" w14:textId="77777777" w:rsidR="00D130B4" w:rsidRPr="004D3DFC" w:rsidRDefault="00D130B4"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8530CC" w14:textId="77777777" w:rsidR="00D130B4" w:rsidRPr="004D3DFC" w:rsidRDefault="00D130B4" w:rsidP="004E4DB8">
            <w:pPr>
              <w:autoSpaceDE w:val="0"/>
              <w:autoSpaceDN w:val="0"/>
              <w:adjustRightInd w:val="0"/>
              <w:rPr>
                <w:sz w:val="22"/>
                <w:szCs w:val="22"/>
                <w:lang w:eastAsia="zh-CN"/>
              </w:rPr>
            </w:pPr>
            <w:r w:rsidRPr="004D3DFC">
              <w:rPr>
                <w:sz w:val="22"/>
                <w:szCs w:val="22"/>
                <w:lang w:eastAsia="zh-CN"/>
              </w:rPr>
              <w:t xml:space="preserve">Following Ivashina (2009), dummy variable that is equal to </w:t>
            </w:r>
            <w:r w:rsidR="004E4DB8" w:rsidRPr="004D3DFC">
              <w:rPr>
                <w:sz w:val="22"/>
                <w:szCs w:val="22"/>
                <w:lang w:eastAsia="zh-CN"/>
              </w:rPr>
              <w:t xml:space="preserve">1 </w:t>
            </w:r>
            <w:r w:rsidRPr="004D3DFC">
              <w:rPr>
                <w:sz w:val="22"/>
                <w:szCs w:val="22"/>
                <w:lang w:eastAsia="zh-CN"/>
              </w:rPr>
              <w:t>if the same lead agent and the same partici</w:t>
            </w:r>
            <w:r w:rsidR="00477BBB" w:rsidRPr="004D3DFC">
              <w:rPr>
                <w:sz w:val="22"/>
                <w:szCs w:val="22"/>
                <w:lang w:eastAsia="zh-CN"/>
              </w:rPr>
              <w:t>pants</w:t>
            </w:r>
            <w:r w:rsidRPr="004D3DFC">
              <w:rPr>
                <w:sz w:val="22"/>
                <w:szCs w:val="22"/>
                <w:lang w:eastAsia="zh-CN"/>
              </w:rPr>
              <w:t xml:space="preserve"> switch role over a five-year horizon prior to the current syndication.</w:t>
            </w:r>
          </w:p>
        </w:tc>
      </w:tr>
      <w:tr w:rsidR="00D130B4" w:rsidRPr="004D3DFC" w14:paraId="376A3898" w14:textId="77777777" w:rsidTr="004D3DFC">
        <w:trPr>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873E35" w14:textId="77777777" w:rsidR="00D130B4" w:rsidRPr="004D3DFC" w:rsidRDefault="00D130B4" w:rsidP="004D3DFC">
            <w:pPr>
              <w:autoSpaceDE w:val="0"/>
              <w:autoSpaceDN w:val="0"/>
              <w:adjustRightInd w:val="0"/>
              <w:jc w:val="center"/>
              <w:rPr>
                <w:sz w:val="22"/>
                <w:szCs w:val="22"/>
                <w:lang w:eastAsia="zh-CN"/>
              </w:rPr>
            </w:pPr>
            <w:r w:rsidRPr="004D3DFC">
              <w:rPr>
                <w:i/>
                <w:sz w:val="22"/>
                <w:szCs w:val="22"/>
                <w:lang w:eastAsia="zh-CN"/>
              </w:rPr>
              <w:t>Syndicate Structure</w:t>
            </w:r>
          </w:p>
        </w:tc>
      </w:tr>
      <w:tr w:rsidR="00D130B4" w:rsidRPr="004D3DFC" w14:paraId="7BC4BDC5"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9E1AF" w14:textId="77777777" w:rsidR="00D130B4" w:rsidRPr="004D3DFC" w:rsidRDefault="00D130B4" w:rsidP="004D3DFC">
            <w:pPr>
              <w:jc w:val="center"/>
              <w:rPr>
                <w:sz w:val="22"/>
                <w:szCs w:val="22"/>
                <w:lang w:eastAsia="zh-CN"/>
              </w:rPr>
            </w:pPr>
            <w:r w:rsidRPr="004D3DFC">
              <w:rPr>
                <w:sz w:val="22"/>
                <w:szCs w:val="22"/>
                <w:lang w:eastAsia="zh-CN"/>
              </w:rPr>
              <w:t xml:space="preserve">Lead </w:t>
            </w:r>
            <w:r w:rsidR="00782C38" w:rsidRPr="004D3DFC">
              <w:rPr>
                <w:sz w:val="22"/>
                <w:szCs w:val="22"/>
                <w:lang w:eastAsia="zh-CN"/>
              </w:rPr>
              <w:t xml:space="preserve">agent </w:t>
            </w:r>
            <w:r w:rsidRPr="004D3DFC">
              <w:rPr>
                <w:sz w:val="22"/>
                <w:szCs w:val="22"/>
                <w:lang w:eastAsia="zh-CN"/>
              </w:rPr>
              <w:t>share</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AE78" w14:textId="77777777" w:rsidR="00D130B4" w:rsidRPr="004D3DFC" w:rsidRDefault="00D130B4"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3AE91EC4" w14:textId="77777777" w:rsidR="00D130B4" w:rsidRPr="004D3DFC" w:rsidRDefault="00D130B4" w:rsidP="008F5DE1">
            <w:pPr>
              <w:autoSpaceDE w:val="0"/>
              <w:autoSpaceDN w:val="0"/>
              <w:adjustRightInd w:val="0"/>
              <w:rPr>
                <w:sz w:val="22"/>
                <w:szCs w:val="22"/>
                <w:lang w:eastAsia="zh-CN"/>
              </w:rPr>
            </w:pPr>
            <w:r w:rsidRPr="004D3DFC">
              <w:rPr>
                <w:sz w:val="22"/>
                <w:szCs w:val="22"/>
                <w:lang w:eastAsia="zh-CN"/>
              </w:rPr>
              <w:t>Following Sufi (2007), percentage retained by the leader lender of a syndicated loan facility as</w:t>
            </w:r>
          </w:p>
          <w:p w14:paraId="1C4E1D3F" w14:textId="77777777" w:rsidR="00D130B4" w:rsidRPr="004D3DFC" w:rsidRDefault="00D130B4" w:rsidP="008F5DE1">
            <w:pPr>
              <w:autoSpaceDE w:val="0"/>
              <w:autoSpaceDN w:val="0"/>
              <w:adjustRightInd w:val="0"/>
              <w:rPr>
                <w:sz w:val="22"/>
                <w:szCs w:val="22"/>
                <w:lang w:eastAsia="zh-CN"/>
              </w:rPr>
            </w:pPr>
            <w:r w:rsidRPr="004D3DFC">
              <w:rPr>
                <w:sz w:val="22"/>
                <w:szCs w:val="22"/>
                <w:lang w:eastAsia="zh-CN"/>
              </w:rPr>
              <w:t>indicated by the LenderShares table in Dealscan.</w:t>
            </w:r>
          </w:p>
        </w:tc>
      </w:tr>
      <w:tr w:rsidR="00D130B4" w:rsidRPr="004D3DFC" w14:paraId="36DDEA06" w14:textId="77777777" w:rsidTr="004D3DFC">
        <w:trPr>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B11E22" w14:textId="77777777" w:rsidR="00D130B4" w:rsidRPr="004D3DFC" w:rsidRDefault="0043098D" w:rsidP="004D3DFC">
            <w:pPr>
              <w:jc w:val="center"/>
              <w:rPr>
                <w:sz w:val="22"/>
                <w:szCs w:val="22"/>
                <w:lang w:eastAsia="zh-CN"/>
              </w:rPr>
            </w:pPr>
            <w:r w:rsidRPr="004D3DFC">
              <w:rPr>
                <w:i/>
                <w:sz w:val="22"/>
                <w:szCs w:val="22"/>
                <w:lang w:eastAsia="zh-CN"/>
              </w:rPr>
              <w:t xml:space="preserve">Large </w:t>
            </w:r>
            <w:r w:rsidR="00C2325A" w:rsidRPr="004D3DFC">
              <w:rPr>
                <w:i/>
                <w:sz w:val="22"/>
                <w:szCs w:val="22"/>
                <w:lang w:eastAsia="zh-CN"/>
              </w:rPr>
              <w:t>customer</w:t>
            </w:r>
            <w:r w:rsidR="005F5619" w:rsidRPr="004D3DFC">
              <w:rPr>
                <w:i/>
                <w:sz w:val="22"/>
                <w:szCs w:val="22"/>
                <w:lang w:eastAsia="zh-CN"/>
              </w:rPr>
              <w:t>-Supplier</w:t>
            </w:r>
          </w:p>
        </w:tc>
      </w:tr>
      <w:tr w:rsidR="00D130B4" w:rsidRPr="004D3DFC" w14:paraId="0D989F79"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7C2B1" w14:textId="77777777" w:rsidR="00D130B4" w:rsidRPr="004D3DFC" w:rsidRDefault="00FA2BA1" w:rsidP="004D3DFC">
            <w:pPr>
              <w:jc w:val="center"/>
              <w:rPr>
                <w:sz w:val="22"/>
                <w:szCs w:val="22"/>
                <w:lang w:eastAsia="zh-CN"/>
              </w:rPr>
            </w:pPr>
            <w:r w:rsidRPr="004D3DFC">
              <w:rPr>
                <w:sz w:val="22"/>
                <w:szCs w:val="22"/>
              </w:rPr>
              <w:t xml:space="preserve">Large CS </w:t>
            </w:r>
            <w:r w:rsidR="0099693E" w:rsidRPr="004D3DFC">
              <w:rPr>
                <w:sz w:val="22"/>
                <w:szCs w:val="22"/>
              </w:rPr>
              <w:t>link</w:t>
            </w:r>
            <w:r w:rsidRPr="004D3DFC">
              <w:rPr>
                <w:sz w:val="22"/>
                <w:szCs w:val="22"/>
              </w:rPr>
              <w:t>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4EA52" w14:textId="77777777" w:rsidR="00D130B4" w:rsidRPr="004D3DFC" w:rsidRDefault="00D130B4" w:rsidP="004D3DFC">
            <w:pPr>
              <w:jc w:val="center"/>
              <w:rPr>
                <w:sz w:val="22"/>
                <w:szCs w:val="22"/>
                <w:lang w:eastAsia="zh-CN"/>
              </w:rPr>
            </w:pPr>
            <w:r w:rsidRPr="004D3DFC">
              <w:rPr>
                <w:sz w:val="22"/>
                <w:szCs w:val="22"/>
                <w:lang w:eastAsia="zh-CN"/>
              </w:rPr>
              <w:t>Compustat</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46BE4CE4" w14:textId="77777777" w:rsidR="00D130B4" w:rsidRPr="004D3DFC" w:rsidRDefault="00D130B4" w:rsidP="004E4DB8">
            <w:pPr>
              <w:rPr>
                <w:sz w:val="22"/>
                <w:szCs w:val="22"/>
                <w:lang w:eastAsia="zh-CN"/>
              </w:rPr>
            </w:pPr>
            <w:r w:rsidRPr="004D3DFC">
              <w:rPr>
                <w:sz w:val="22"/>
                <w:szCs w:val="22"/>
                <w:lang w:eastAsia="zh-CN"/>
              </w:rPr>
              <w:t>It is</w:t>
            </w:r>
            <w:r w:rsidR="00823DEA" w:rsidRPr="004D3DFC">
              <w:rPr>
                <w:sz w:val="22"/>
                <w:szCs w:val="22"/>
                <w:lang w:eastAsia="zh-CN"/>
              </w:rPr>
              <w:t xml:space="preserve"> an indicator variable</w:t>
            </w:r>
            <w:r w:rsidRPr="004D3DFC">
              <w:rPr>
                <w:sz w:val="22"/>
                <w:szCs w:val="22"/>
                <w:lang w:eastAsia="zh-CN"/>
              </w:rPr>
              <w:t xml:space="preserve"> that takes the value of 1 if the borrower has at least one </w:t>
            </w:r>
            <w:r w:rsidR="0043098D" w:rsidRPr="004D3DFC">
              <w:rPr>
                <w:sz w:val="22"/>
                <w:szCs w:val="22"/>
                <w:lang w:eastAsia="zh-CN"/>
              </w:rPr>
              <w:t xml:space="preserve">large </w:t>
            </w:r>
            <w:r w:rsidR="00C2325A" w:rsidRPr="004D3DFC">
              <w:rPr>
                <w:sz w:val="22"/>
                <w:szCs w:val="22"/>
                <w:lang w:eastAsia="zh-CN"/>
              </w:rPr>
              <w:t>customer</w:t>
            </w:r>
            <w:r w:rsidR="00FA2BA1" w:rsidRPr="004D3DFC">
              <w:rPr>
                <w:sz w:val="22"/>
                <w:szCs w:val="22"/>
                <w:lang w:eastAsia="zh-CN"/>
              </w:rPr>
              <w:t>-supplier firm</w:t>
            </w:r>
            <w:r w:rsidRPr="004D3DFC">
              <w:rPr>
                <w:sz w:val="22"/>
                <w:szCs w:val="22"/>
                <w:lang w:eastAsia="zh-CN"/>
              </w:rPr>
              <w:t xml:space="preserve"> </w:t>
            </w:r>
            <w:r w:rsidR="005143E7" w:rsidRPr="004D3DFC">
              <w:rPr>
                <w:sz w:val="22"/>
                <w:szCs w:val="22"/>
                <w:lang w:eastAsia="zh-CN"/>
              </w:rPr>
              <w:t xml:space="preserve">located in the US </w:t>
            </w:r>
            <w:r w:rsidRPr="004D3DFC">
              <w:rPr>
                <w:sz w:val="22"/>
                <w:szCs w:val="22"/>
                <w:lang w:eastAsia="zh-CN"/>
              </w:rPr>
              <w:t xml:space="preserve">over the last five years; otherwise it is </w:t>
            </w:r>
            <w:r w:rsidR="004E4DB8" w:rsidRPr="004D3DFC">
              <w:rPr>
                <w:sz w:val="22"/>
                <w:szCs w:val="22"/>
                <w:lang w:eastAsia="zh-CN"/>
              </w:rPr>
              <w:t>0</w:t>
            </w:r>
            <w:r w:rsidRPr="004D3DFC">
              <w:rPr>
                <w:sz w:val="22"/>
                <w:szCs w:val="22"/>
                <w:lang w:eastAsia="zh-CN"/>
              </w:rPr>
              <w:t xml:space="preserve">. The data </w:t>
            </w:r>
            <w:r w:rsidR="007821D6">
              <w:rPr>
                <w:sz w:val="22"/>
                <w:szCs w:val="22"/>
                <w:lang w:eastAsia="zh-CN"/>
              </w:rPr>
              <w:t xml:space="preserve">on </w:t>
            </w:r>
            <w:r w:rsidR="0043098D" w:rsidRPr="004D3DFC">
              <w:rPr>
                <w:sz w:val="22"/>
                <w:szCs w:val="22"/>
                <w:lang w:eastAsia="zh-CN"/>
              </w:rPr>
              <w:t xml:space="preserve">large </w:t>
            </w:r>
            <w:r w:rsidR="00C2325A" w:rsidRPr="004D3DFC">
              <w:rPr>
                <w:sz w:val="22"/>
                <w:szCs w:val="22"/>
                <w:lang w:eastAsia="zh-CN"/>
              </w:rPr>
              <w:t>customer</w:t>
            </w:r>
            <w:r w:rsidR="00FA2BA1" w:rsidRPr="004D3DFC">
              <w:rPr>
                <w:sz w:val="22"/>
                <w:szCs w:val="22"/>
                <w:lang w:eastAsia="zh-CN"/>
              </w:rPr>
              <w:t>-supplier</w:t>
            </w:r>
            <w:r w:rsidRPr="004D3DFC">
              <w:rPr>
                <w:sz w:val="22"/>
                <w:szCs w:val="22"/>
                <w:lang w:eastAsia="zh-CN"/>
              </w:rPr>
              <w:t xml:space="preserve"> is retrieved from Compustat Segment Customer database.</w:t>
            </w:r>
          </w:p>
        </w:tc>
      </w:tr>
      <w:tr w:rsidR="009B58C6" w:rsidRPr="004D3DFC" w14:paraId="2B66D167"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2A93DD" w14:textId="26AE7FF6" w:rsidR="009B58C6" w:rsidRPr="004D3DFC" w:rsidRDefault="00DB5899" w:rsidP="004D3DFC">
            <w:pPr>
              <w:jc w:val="center"/>
              <w:rPr>
                <w:sz w:val="22"/>
                <w:szCs w:val="22"/>
                <w:lang w:eastAsia="zh-CN"/>
              </w:rPr>
            </w:pPr>
            <w:r w:rsidRPr="004D3DFC">
              <w:rPr>
                <w:sz w:val="22"/>
                <w:szCs w:val="22"/>
                <w:lang w:eastAsia="zh-CN"/>
              </w:rPr>
              <w:t xml:space="preserve">Length large CS </w:t>
            </w:r>
            <w:r w:rsidR="0099693E" w:rsidRPr="004D3DFC">
              <w:rPr>
                <w:sz w:val="22"/>
                <w:szCs w:val="22"/>
                <w:lang w:eastAsia="zh-CN"/>
              </w:rPr>
              <w:t>link</w:t>
            </w:r>
            <w:r w:rsidRPr="004D3DFC">
              <w:rPr>
                <w:sz w:val="22"/>
                <w:szCs w:val="22"/>
                <w:lang w:eastAsia="zh-CN"/>
              </w:rPr>
              <w:t>s</w:t>
            </w:r>
            <w:r w:rsidR="004D3DFC" w:rsidRPr="004D3DFC">
              <w:rPr>
                <w:sz w:val="22"/>
                <w:szCs w:val="22"/>
                <w:lang w:eastAsia="zh-CN"/>
              </w:rPr>
              <w:t xml:space="preserve"> </w:t>
            </w:r>
            <w:r w:rsidR="004D3DFC" w:rsidRPr="00A058FE">
              <w:rPr>
                <w:sz w:val="22"/>
                <w:szCs w:val="22"/>
                <w:lang w:eastAsia="zh-CN"/>
              </w:rPr>
              <w:t>(in year</w:t>
            </w:r>
            <w:r w:rsidR="002D4EE3" w:rsidRPr="00A058FE">
              <w:rPr>
                <w:sz w:val="22"/>
                <w:szCs w:val="22"/>
                <w:lang w:eastAsia="zh-CN"/>
              </w:rPr>
              <w:t>s</w:t>
            </w:r>
            <w:r w:rsidR="004D3DFC" w:rsidRPr="00A058FE">
              <w:rPr>
                <w:sz w:val="22"/>
                <w:szCs w:val="22"/>
                <w:lang w:eastAsia="zh-CN"/>
              </w:rPr>
              <w:t>)</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37753E4" w14:textId="77777777" w:rsidR="009B58C6" w:rsidRPr="004D3DFC" w:rsidRDefault="00EC29C1" w:rsidP="004D3DFC">
            <w:pPr>
              <w:jc w:val="center"/>
              <w:rPr>
                <w:sz w:val="22"/>
                <w:szCs w:val="22"/>
                <w:lang w:eastAsia="zh-CN"/>
              </w:rPr>
            </w:pPr>
            <w:r w:rsidRPr="004D3DFC">
              <w:rPr>
                <w:sz w:val="22"/>
                <w:szCs w:val="22"/>
                <w:lang w:eastAsia="zh-CN"/>
              </w:rPr>
              <w:t>Compustat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D9F3B3" w14:textId="77777777" w:rsidR="009B58C6" w:rsidRPr="004D3DFC" w:rsidRDefault="00B93A5A" w:rsidP="004E4DB8">
            <w:pPr>
              <w:rPr>
                <w:sz w:val="22"/>
                <w:szCs w:val="22"/>
                <w:lang w:eastAsia="zh-CN"/>
              </w:rPr>
            </w:pPr>
            <w:r w:rsidRPr="004D3DFC">
              <w:rPr>
                <w:sz w:val="22"/>
                <w:szCs w:val="22"/>
              </w:rPr>
              <w:t xml:space="preserve">The average length of the </w:t>
            </w:r>
            <w:r w:rsidR="0043098D" w:rsidRPr="004D3DFC">
              <w:rPr>
                <w:sz w:val="22"/>
                <w:szCs w:val="22"/>
              </w:rPr>
              <w:t xml:space="preserve">large </w:t>
            </w:r>
            <w:r w:rsidR="00C2325A" w:rsidRPr="004D3DFC">
              <w:rPr>
                <w:sz w:val="22"/>
                <w:szCs w:val="22"/>
              </w:rPr>
              <w:t>customer</w:t>
            </w:r>
            <w:r w:rsidR="00FA2BA1" w:rsidRPr="004D3DFC">
              <w:rPr>
                <w:sz w:val="22"/>
                <w:szCs w:val="22"/>
              </w:rPr>
              <w:t>-supplier</w:t>
            </w:r>
            <w:r w:rsidRPr="004D3DFC">
              <w:rPr>
                <w:sz w:val="22"/>
                <w:szCs w:val="22"/>
              </w:rPr>
              <w:t xml:space="preserve"> relationships of a borrower the year before receiving a loan</w:t>
            </w:r>
          </w:p>
        </w:tc>
      </w:tr>
      <w:tr w:rsidR="009A4E7D" w:rsidRPr="004D3DFC" w14:paraId="4D3CBB34"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7C18D0" w14:textId="57DA7E88" w:rsidR="009A4E7D" w:rsidRPr="004D3DFC" w:rsidRDefault="00DB5899" w:rsidP="004D3DFC">
            <w:pPr>
              <w:jc w:val="center"/>
              <w:rPr>
                <w:sz w:val="22"/>
                <w:szCs w:val="22"/>
                <w:lang w:eastAsia="zh-CN"/>
              </w:rPr>
            </w:pPr>
            <w:r w:rsidRPr="004D3DFC">
              <w:rPr>
                <w:sz w:val="22"/>
                <w:szCs w:val="22"/>
                <w:lang w:eastAsia="zh-CN"/>
              </w:rPr>
              <w:t>RL via large CS</w:t>
            </w:r>
            <w:r w:rsidR="00A756F8">
              <w:rPr>
                <w:sz w:val="22"/>
                <w:szCs w:val="22"/>
                <w:lang w:eastAsia="zh-CN"/>
              </w:rPr>
              <w:t xml:space="preserve"> links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DD0A67A" w14:textId="77777777" w:rsidR="009A4E7D" w:rsidRPr="004D3DFC" w:rsidRDefault="009A4E7D" w:rsidP="004D3DFC">
            <w:pPr>
              <w:jc w:val="center"/>
              <w:rPr>
                <w:sz w:val="22"/>
                <w:szCs w:val="22"/>
                <w:lang w:eastAsia="zh-CN"/>
              </w:rPr>
            </w:pPr>
            <w:r w:rsidRPr="004D3DFC">
              <w:rPr>
                <w:sz w:val="22"/>
                <w:szCs w:val="22"/>
                <w:lang w:eastAsia="zh-CN"/>
              </w:rPr>
              <w:t>Dealscan/ Compustat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8F51AB" w14:textId="77777777" w:rsidR="009A4E7D" w:rsidRPr="004D3DFC" w:rsidRDefault="009A4E7D" w:rsidP="009A4E7D">
            <w:pPr>
              <w:rPr>
                <w:sz w:val="22"/>
                <w:szCs w:val="22"/>
                <w:lang w:eastAsia="zh-CN"/>
              </w:rPr>
            </w:pPr>
            <w:bookmarkStart w:id="43" w:name="_Hlk48901617"/>
            <w:r w:rsidRPr="004D3DFC">
              <w:rPr>
                <w:sz w:val="22"/>
                <w:szCs w:val="22"/>
                <w:lang w:eastAsia="zh-CN"/>
              </w:rPr>
              <w:t xml:space="preserve">It is an indicator variable that takes the value of 1 under two criteria: 1) if the borrower has at least one </w:t>
            </w:r>
            <w:r w:rsidR="0043098D" w:rsidRPr="004D3DFC">
              <w:rPr>
                <w:sz w:val="22"/>
                <w:szCs w:val="22"/>
                <w:lang w:eastAsia="zh-CN"/>
              </w:rPr>
              <w:t xml:space="preserve">large </w:t>
            </w:r>
            <w:r w:rsidR="00C2325A" w:rsidRPr="004D3DFC">
              <w:rPr>
                <w:sz w:val="22"/>
                <w:szCs w:val="22"/>
                <w:lang w:eastAsia="zh-CN"/>
              </w:rPr>
              <w:t>customer</w:t>
            </w:r>
            <w:r w:rsidR="00FA2BA1" w:rsidRPr="004D3DFC">
              <w:rPr>
                <w:sz w:val="22"/>
                <w:szCs w:val="22"/>
                <w:lang w:eastAsia="zh-CN"/>
              </w:rPr>
              <w:t xml:space="preserve">-supplier firm </w:t>
            </w:r>
            <w:r w:rsidRPr="004D3DFC">
              <w:rPr>
                <w:sz w:val="22"/>
                <w:szCs w:val="22"/>
                <w:lang w:eastAsia="zh-CN"/>
              </w:rPr>
              <w:t xml:space="preserve">over the last previous five years; 2) at least one </w:t>
            </w:r>
            <w:r w:rsidR="0043098D" w:rsidRPr="004D3DFC">
              <w:rPr>
                <w:sz w:val="22"/>
                <w:szCs w:val="22"/>
                <w:lang w:eastAsia="zh-CN"/>
              </w:rPr>
              <w:t xml:space="preserve">large </w:t>
            </w:r>
            <w:r w:rsidR="00C2325A" w:rsidRPr="004D3DFC">
              <w:rPr>
                <w:sz w:val="22"/>
                <w:szCs w:val="22"/>
                <w:lang w:eastAsia="zh-CN"/>
              </w:rPr>
              <w:t>customer</w:t>
            </w:r>
            <w:r w:rsidR="00FA2BA1" w:rsidRPr="004D3DFC">
              <w:rPr>
                <w:sz w:val="22"/>
                <w:szCs w:val="22"/>
                <w:lang w:eastAsia="zh-CN"/>
              </w:rPr>
              <w:t xml:space="preserve">-supplier firm </w:t>
            </w:r>
            <w:r w:rsidRPr="004D3DFC">
              <w:rPr>
                <w:sz w:val="22"/>
                <w:szCs w:val="22"/>
                <w:lang w:eastAsia="zh-CN"/>
              </w:rPr>
              <w:t xml:space="preserve">has received a loan over the last five years from the same bank. The dummy is equal to 0 if at least one of the above two criteria is not satisfied. </w:t>
            </w:r>
            <w:r w:rsidR="00EB22F3" w:rsidRPr="004D3DFC">
              <w:rPr>
                <w:sz w:val="22"/>
                <w:szCs w:val="22"/>
                <w:lang w:eastAsia="zh-CN"/>
              </w:rPr>
              <w:t>The data</w:t>
            </w:r>
            <w:r w:rsidR="007821D6">
              <w:rPr>
                <w:sz w:val="22"/>
                <w:szCs w:val="22"/>
                <w:lang w:eastAsia="zh-CN"/>
              </w:rPr>
              <w:t xml:space="preserve"> on</w:t>
            </w:r>
            <w:r w:rsidR="00EB22F3" w:rsidRPr="004D3DFC">
              <w:rPr>
                <w:sz w:val="22"/>
                <w:szCs w:val="22"/>
                <w:lang w:eastAsia="zh-CN"/>
              </w:rPr>
              <w:t xml:space="preserve"> </w:t>
            </w:r>
            <w:r w:rsidR="0043098D" w:rsidRPr="004D3DFC">
              <w:rPr>
                <w:sz w:val="22"/>
                <w:szCs w:val="22"/>
                <w:lang w:eastAsia="zh-CN"/>
              </w:rPr>
              <w:t xml:space="preserve">large </w:t>
            </w:r>
            <w:r w:rsidR="00C2325A" w:rsidRPr="004D3DFC">
              <w:rPr>
                <w:sz w:val="22"/>
                <w:szCs w:val="22"/>
                <w:lang w:eastAsia="zh-CN"/>
              </w:rPr>
              <w:t>customer</w:t>
            </w:r>
            <w:r w:rsidR="00EB22F3" w:rsidRPr="004D3DFC">
              <w:rPr>
                <w:sz w:val="22"/>
                <w:szCs w:val="22"/>
                <w:lang w:eastAsia="zh-CN"/>
              </w:rPr>
              <w:t>-supplier is retrieved from Compustat Segment Customer database.</w:t>
            </w:r>
            <w:bookmarkEnd w:id="43"/>
          </w:p>
        </w:tc>
      </w:tr>
      <w:tr w:rsidR="009A4E7D" w:rsidRPr="004D3DFC" w14:paraId="7ACE880A"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E68891" w14:textId="77777777" w:rsidR="009A4E7D" w:rsidRPr="004D3DFC" w:rsidRDefault="00EC29C1" w:rsidP="004D3DFC">
            <w:pPr>
              <w:jc w:val="center"/>
              <w:rPr>
                <w:sz w:val="22"/>
                <w:szCs w:val="22"/>
                <w:lang w:eastAsia="zh-CN"/>
              </w:rPr>
            </w:pPr>
            <w:r w:rsidRPr="004D3DFC">
              <w:rPr>
                <w:sz w:val="22"/>
                <w:szCs w:val="22"/>
                <w:lang w:eastAsia="zh-CN"/>
              </w:rPr>
              <w:t>Supplier</w:t>
            </w:r>
            <w:r w:rsidR="00D74CDD" w:rsidRPr="004D3DFC">
              <w:rPr>
                <w:sz w:val="22"/>
                <w:szCs w:val="22"/>
                <w:lang w:eastAsia="zh-CN"/>
              </w:rPr>
              <w:t>/Customer</w:t>
            </w:r>
            <w:r w:rsidRPr="004D3DFC">
              <w:rPr>
                <w:sz w:val="22"/>
                <w:szCs w:val="22"/>
                <w:lang w:eastAsia="zh-CN"/>
              </w:rPr>
              <w:t xml:space="preserve"> HHI</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011F1E1" w14:textId="77777777" w:rsidR="009A4E7D" w:rsidRPr="004D3DFC" w:rsidRDefault="00EC29C1" w:rsidP="004D3DFC">
            <w:pPr>
              <w:jc w:val="center"/>
              <w:rPr>
                <w:sz w:val="22"/>
                <w:szCs w:val="22"/>
                <w:lang w:eastAsia="zh-CN"/>
              </w:rPr>
            </w:pPr>
            <w:r w:rsidRPr="004D3DFC">
              <w:rPr>
                <w:sz w:val="22"/>
                <w:szCs w:val="22"/>
                <w:lang w:eastAsia="zh-CN"/>
              </w:rPr>
              <w:t>Compustat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B78F7FD" w14:textId="77777777" w:rsidR="009A4E7D" w:rsidRPr="004D3DFC" w:rsidRDefault="00D74CDD" w:rsidP="009A4E7D">
            <w:pPr>
              <w:rPr>
                <w:sz w:val="22"/>
                <w:szCs w:val="22"/>
                <w:lang w:eastAsia="zh-CN"/>
              </w:rPr>
            </w:pPr>
            <w:r w:rsidRPr="004D3DFC">
              <w:rPr>
                <w:sz w:val="22"/>
                <w:szCs w:val="22"/>
                <w:lang w:eastAsia="zh-CN"/>
              </w:rPr>
              <w:t xml:space="preserve">It is the Herfindahl Index measuring the supplier (customer) concentration level of a certain borrower. </w:t>
            </w:r>
          </w:p>
        </w:tc>
      </w:tr>
      <w:tr w:rsidR="009A4E7D" w:rsidRPr="004D3DFC" w14:paraId="72F04487" w14:textId="77777777" w:rsidTr="004D3DFC">
        <w:trPr>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45DB05" w14:textId="77777777" w:rsidR="009A4E7D" w:rsidRPr="004D3DFC" w:rsidRDefault="009A4E7D" w:rsidP="004D3DFC">
            <w:pPr>
              <w:jc w:val="center"/>
              <w:rPr>
                <w:sz w:val="22"/>
                <w:szCs w:val="22"/>
                <w:lang w:eastAsia="zh-CN"/>
              </w:rPr>
            </w:pPr>
            <w:r w:rsidRPr="004D3DFC">
              <w:rPr>
                <w:i/>
                <w:sz w:val="22"/>
                <w:szCs w:val="22"/>
                <w:lang w:eastAsia="zh-CN"/>
              </w:rPr>
              <w:t>Borrower characteristics</w:t>
            </w:r>
          </w:p>
        </w:tc>
      </w:tr>
      <w:tr w:rsidR="009A4E7D" w:rsidRPr="004D3DFC" w14:paraId="3E06E0E7" w14:textId="77777777" w:rsidTr="004D3DFC">
        <w:trPr>
          <w:trHeight w:val="221"/>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81D699" w14:textId="77777777" w:rsidR="009A4E7D" w:rsidRPr="004D3DFC" w:rsidRDefault="009A4E7D" w:rsidP="004D3DFC">
            <w:pPr>
              <w:autoSpaceDE w:val="0"/>
              <w:autoSpaceDN w:val="0"/>
              <w:adjustRightInd w:val="0"/>
              <w:jc w:val="center"/>
              <w:rPr>
                <w:sz w:val="22"/>
                <w:szCs w:val="22"/>
                <w:lang w:eastAsia="zh-CN"/>
              </w:rPr>
            </w:pPr>
            <w:r w:rsidRPr="004D3DFC">
              <w:rPr>
                <w:sz w:val="22"/>
                <w:szCs w:val="22"/>
                <w:lang w:eastAsia="zh-CN"/>
              </w:rPr>
              <w:t>Total assets</w:t>
            </w:r>
            <w:r w:rsidR="004D3DFC" w:rsidRPr="004D3DFC">
              <w:rPr>
                <w:sz w:val="22"/>
                <w:szCs w:val="22"/>
                <w:lang w:eastAsia="zh-CN"/>
              </w:rPr>
              <w:t xml:space="preserve"> (in million)</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26042" w14:textId="77777777" w:rsidR="009A4E7D" w:rsidRPr="004D3DFC" w:rsidRDefault="009A4E7D" w:rsidP="004D3DFC">
            <w:pPr>
              <w:jc w:val="center"/>
              <w:rPr>
                <w:sz w:val="22"/>
                <w:szCs w:val="22"/>
                <w:lang w:eastAsia="zh-CN"/>
              </w:rPr>
            </w:pPr>
            <w:r w:rsidRPr="004D3DFC">
              <w:rPr>
                <w:sz w:val="22"/>
                <w:szCs w:val="22"/>
                <w:lang w:eastAsia="zh-CN"/>
              </w:rPr>
              <w:t>Compustat</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6203920D" w14:textId="77777777" w:rsidR="009A4E7D" w:rsidRPr="004D3DFC" w:rsidRDefault="009A4E7D" w:rsidP="009A4E7D">
            <w:pPr>
              <w:autoSpaceDE w:val="0"/>
              <w:autoSpaceDN w:val="0"/>
              <w:adjustRightInd w:val="0"/>
              <w:rPr>
                <w:sz w:val="22"/>
                <w:szCs w:val="22"/>
                <w:lang w:eastAsia="zh-CN"/>
              </w:rPr>
            </w:pPr>
            <w:r w:rsidRPr="004D3DFC">
              <w:rPr>
                <w:sz w:val="22"/>
                <w:szCs w:val="22"/>
                <w:lang w:eastAsia="zh-CN"/>
              </w:rPr>
              <w:t>It is the logarithm of total assets.</w:t>
            </w:r>
          </w:p>
        </w:tc>
      </w:tr>
      <w:tr w:rsidR="009A4E7D" w:rsidRPr="004D3DFC" w14:paraId="30F18355"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ED224" w14:textId="77777777" w:rsidR="009A4E7D" w:rsidRPr="004D3DFC" w:rsidRDefault="009A4E7D" w:rsidP="004D3DFC">
            <w:pPr>
              <w:jc w:val="center"/>
              <w:rPr>
                <w:sz w:val="22"/>
                <w:szCs w:val="22"/>
                <w:lang w:eastAsia="zh-CN"/>
              </w:rPr>
            </w:pPr>
            <w:r w:rsidRPr="004D3DFC">
              <w:rPr>
                <w:sz w:val="22"/>
                <w:szCs w:val="22"/>
                <w:lang w:eastAsia="zh-CN"/>
              </w:rPr>
              <w:t>Leverage</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068D8" w14:textId="77777777" w:rsidR="009A4E7D" w:rsidRPr="004D3DFC" w:rsidRDefault="009A4E7D" w:rsidP="004D3DFC">
            <w:pPr>
              <w:jc w:val="center"/>
              <w:rPr>
                <w:sz w:val="22"/>
                <w:szCs w:val="22"/>
                <w:lang w:eastAsia="zh-CN"/>
              </w:rPr>
            </w:pPr>
            <w:r w:rsidRPr="004D3DFC">
              <w:rPr>
                <w:sz w:val="22"/>
                <w:szCs w:val="22"/>
                <w:lang w:eastAsia="zh-CN"/>
              </w:rPr>
              <w:t>Compustat</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43C32865" w14:textId="77777777" w:rsidR="009A4E7D" w:rsidRPr="004D3DFC" w:rsidRDefault="009A4E7D" w:rsidP="009A4E7D">
            <w:pPr>
              <w:rPr>
                <w:sz w:val="22"/>
                <w:szCs w:val="22"/>
                <w:lang w:eastAsia="zh-CN"/>
              </w:rPr>
            </w:pPr>
            <w:r w:rsidRPr="004D3DFC">
              <w:rPr>
                <w:sz w:val="22"/>
                <w:szCs w:val="22"/>
                <w:lang w:eastAsia="zh-CN"/>
              </w:rPr>
              <w:t>Ratio of book value of total debt to book value of assets.</w:t>
            </w:r>
          </w:p>
        </w:tc>
      </w:tr>
      <w:tr w:rsidR="009A4E7D" w:rsidRPr="004D3DFC" w14:paraId="6CC6C3D3"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2926" w14:textId="77777777" w:rsidR="009A4E7D" w:rsidRPr="004D3DFC" w:rsidRDefault="009A4E7D" w:rsidP="004D3DFC">
            <w:pPr>
              <w:jc w:val="center"/>
              <w:rPr>
                <w:sz w:val="22"/>
                <w:szCs w:val="22"/>
                <w:lang w:eastAsia="zh-CN"/>
              </w:rPr>
            </w:pPr>
            <w:r w:rsidRPr="004D3DFC">
              <w:rPr>
                <w:sz w:val="22"/>
                <w:szCs w:val="22"/>
                <w:lang w:eastAsia="zh-CN"/>
              </w:rPr>
              <w:t>Profitability (ROA)</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F6568" w14:textId="77777777" w:rsidR="009A4E7D" w:rsidRPr="004D3DFC" w:rsidRDefault="009A4E7D" w:rsidP="004D3DFC">
            <w:pPr>
              <w:jc w:val="center"/>
              <w:rPr>
                <w:sz w:val="22"/>
                <w:szCs w:val="22"/>
                <w:lang w:eastAsia="zh-CN"/>
              </w:rPr>
            </w:pPr>
            <w:r w:rsidRPr="004D3DFC">
              <w:rPr>
                <w:sz w:val="22"/>
                <w:szCs w:val="22"/>
                <w:lang w:eastAsia="zh-CN"/>
              </w:rPr>
              <w:t>Compustat</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61C20F03" w14:textId="77777777" w:rsidR="009A4E7D" w:rsidRPr="004D3DFC" w:rsidRDefault="009A4E7D" w:rsidP="009A4E7D">
            <w:pPr>
              <w:rPr>
                <w:sz w:val="22"/>
                <w:szCs w:val="22"/>
                <w:lang w:eastAsia="zh-CN"/>
              </w:rPr>
            </w:pPr>
            <w:r w:rsidRPr="004D3DFC">
              <w:rPr>
                <w:sz w:val="22"/>
                <w:szCs w:val="22"/>
                <w:lang w:eastAsia="zh-CN"/>
              </w:rPr>
              <w:t>Ratio of net income to total assets.</w:t>
            </w:r>
          </w:p>
        </w:tc>
      </w:tr>
      <w:tr w:rsidR="009A4E7D" w:rsidRPr="004D3DFC" w14:paraId="5FC854F8"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35869" w14:textId="77777777" w:rsidR="009A4E7D" w:rsidRPr="004D3DFC" w:rsidRDefault="009A4E7D" w:rsidP="004D3DFC">
            <w:pPr>
              <w:jc w:val="center"/>
              <w:rPr>
                <w:sz w:val="22"/>
                <w:szCs w:val="22"/>
                <w:lang w:eastAsia="zh-CN"/>
              </w:rPr>
            </w:pPr>
            <w:r w:rsidRPr="004D3DFC">
              <w:rPr>
                <w:sz w:val="22"/>
                <w:szCs w:val="22"/>
                <w:lang w:eastAsia="zh-CN"/>
              </w:rPr>
              <w:t>Cash</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37735" w14:textId="77777777" w:rsidR="009A4E7D" w:rsidRPr="004D3DFC" w:rsidRDefault="009A4E7D" w:rsidP="004D3DFC">
            <w:pPr>
              <w:jc w:val="center"/>
              <w:rPr>
                <w:sz w:val="22"/>
                <w:szCs w:val="22"/>
                <w:lang w:eastAsia="zh-CN"/>
              </w:rPr>
            </w:pPr>
            <w:r w:rsidRPr="004D3DFC">
              <w:rPr>
                <w:sz w:val="22"/>
                <w:szCs w:val="22"/>
                <w:lang w:eastAsia="zh-CN"/>
              </w:rPr>
              <w:t>Compustat</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40B0F589" w14:textId="77777777" w:rsidR="009A4E7D" w:rsidRPr="004D3DFC" w:rsidRDefault="009A4E7D" w:rsidP="009A4E7D">
            <w:pPr>
              <w:rPr>
                <w:sz w:val="22"/>
                <w:szCs w:val="22"/>
                <w:lang w:eastAsia="zh-CN"/>
              </w:rPr>
            </w:pPr>
            <w:r w:rsidRPr="004D3DFC">
              <w:rPr>
                <w:sz w:val="22"/>
                <w:szCs w:val="22"/>
                <w:lang w:eastAsia="zh-CN"/>
              </w:rPr>
              <w:t>Cash is equal to the sum of cash and short-term investments to total assets.</w:t>
            </w:r>
          </w:p>
        </w:tc>
      </w:tr>
      <w:tr w:rsidR="009A4E7D" w:rsidRPr="004D3DFC" w14:paraId="7DC076E6"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0A3E2" w14:textId="77777777" w:rsidR="009A4E7D" w:rsidRPr="004D3DFC" w:rsidRDefault="009A4E7D" w:rsidP="004D3DFC">
            <w:pPr>
              <w:jc w:val="center"/>
              <w:rPr>
                <w:sz w:val="22"/>
                <w:szCs w:val="22"/>
                <w:lang w:eastAsia="zh-CN"/>
              </w:rPr>
            </w:pPr>
            <w:r w:rsidRPr="004D3DFC">
              <w:rPr>
                <w:sz w:val="22"/>
                <w:szCs w:val="22"/>
                <w:lang w:eastAsia="zh-CN"/>
              </w:rPr>
              <w:t>CAPX</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BDD42" w14:textId="77777777" w:rsidR="009A4E7D" w:rsidRPr="004D3DFC" w:rsidRDefault="009A4E7D" w:rsidP="004D3DFC">
            <w:pPr>
              <w:jc w:val="center"/>
              <w:rPr>
                <w:sz w:val="22"/>
                <w:szCs w:val="22"/>
                <w:lang w:eastAsia="zh-CN"/>
              </w:rPr>
            </w:pPr>
            <w:r w:rsidRPr="004D3DFC">
              <w:rPr>
                <w:sz w:val="22"/>
                <w:szCs w:val="22"/>
                <w:lang w:eastAsia="zh-CN"/>
              </w:rPr>
              <w:t>Compustat</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007403BF" w14:textId="77777777" w:rsidR="009A4E7D" w:rsidRPr="004D3DFC" w:rsidRDefault="009A4E7D" w:rsidP="009A4E7D">
            <w:pPr>
              <w:rPr>
                <w:sz w:val="22"/>
                <w:szCs w:val="22"/>
                <w:lang w:eastAsia="zh-CN"/>
              </w:rPr>
            </w:pPr>
            <w:r w:rsidRPr="004D3DFC">
              <w:rPr>
                <w:sz w:val="22"/>
                <w:szCs w:val="22"/>
                <w:lang w:eastAsia="zh-CN"/>
              </w:rPr>
              <w:t>CAPX is the logarithm of capital expenditures.</w:t>
            </w:r>
          </w:p>
        </w:tc>
      </w:tr>
      <w:tr w:rsidR="009A4E7D" w:rsidRPr="004D3DFC" w14:paraId="6ED0BC7D" w14:textId="77777777" w:rsidTr="004D3DFC">
        <w:trPr>
          <w:trHeight w:val="163"/>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E3E74" w14:textId="77777777" w:rsidR="009A4E7D" w:rsidRPr="004D3DFC" w:rsidRDefault="009A4E7D" w:rsidP="004D3DFC">
            <w:pPr>
              <w:jc w:val="center"/>
              <w:rPr>
                <w:sz w:val="22"/>
                <w:szCs w:val="22"/>
                <w:lang w:eastAsia="zh-CN"/>
              </w:rPr>
            </w:pPr>
            <w:r w:rsidRPr="004D3DFC">
              <w:rPr>
                <w:sz w:val="22"/>
                <w:szCs w:val="22"/>
                <w:lang w:eastAsia="zh-CN"/>
              </w:rPr>
              <w:t>Tobin’s Q</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ED8E8" w14:textId="77777777" w:rsidR="009A4E7D" w:rsidRPr="004D3DFC" w:rsidRDefault="009A4E7D" w:rsidP="004D3DFC">
            <w:pPr>
              <w:jc w:val="center"/>
              <w:rPr>
                <w:sz w:val="22"/>
                <w:szCs w:val="22"/>
                <w:lang w:eastAsia="zh-CN"/>
              </w:rPr>
            </w:pPr>
            <w:r w:rsidRPr="004D3DFC">
              <w:rPr>
                <w:sz w:val="22"/>
                <w:szCs w:val="22"/>
                <w:lang w:eastAsia="zh-CN"/>
              </w:rPr>
              <w:t>Compustat</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7A642447" w14:textId="77777777" w:rsidR="009A4E7D" w:rsidRPr="004D3DFC" w:rsidRDefault="009A4E7D" w:rsidP="009A4E7D">
            <w:pPr>
              <w:rPr>
                <w:sz w:val="22"/>
                <w:szCs w:val="22"/>
                <w:lang w:eastAsia="zh-CN"/>
              </w:rPr>
            </w:pPr>
            <w:r w:rsidRPr="004D3DFC">
              <w:rPr>
                <w:sz w:val="22"/>
                <w:szCs w:val="22"/>
                <w:lang w:eastAsia="zh-CN"/>
              </w:rPr>
              <w:t>It is the ratio of (book value of assets – book value of equity + market value of equity) to book value of assets.</w:t>
            </w:r>
          </w:p>
        </w:tc>
      </w:tr>
      <w:tr w:rsidR="00977CB3" w:rsidRPr="004D3DFC" w14:paraId="7967531D"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8DBFB9F" w14:textId="77777777" w:rsidR="00977CB3" w:rsidRPr="004D3DFC" w:rsidRDefault="00EC3ABE" w:rsidP="004D3DFC">
            <w:pPr>
              <w:jc w:val="center"/>
              <w:rPr>
                <w:sz w:val="22"/>
                <w:szCs w:val="22"/>
                <w:lang w:eastAsia="zh-CN"/>
              </w:rPr>
            </w:pPr>
            <w:r w:rsidRPr="004D3DFC">
              <w:rPr>
                <w:sz w:val="22"/>
                <w:szCs w:val="22"/>
              </w:rPr>
              <w:t>Lender Link</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A50F87A" w14:textId="77777777" w:rsidR="00977CB3" w:rsidRPr="004D3DFC" w:rsidRDefault="00977CB3" w:rsidP="004D3DFC">
            <w:pPr>
              <w:jc w:val="center"/>
              <w:rPr>
                <w:sz w:val="22"/>
                <w:szCs w:val="22"/>
                <w:lang w:eastAsia="zh-CN"/>
              </w:rPr>
            </w:pPr>
            <w:r w:rsidRPr="004D3DFC">
              <w:rPr>
                <w:sz w:val="22"/>
                <w:szCs w:val="22"/>
                <w:lang w:eastAsia="zh-CN"/>
              </w:rPr>
              <w:t>Boardex</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F592182" w14:textId="77777777" w:rsidR="00977CB3" w:rsidRPr="004D3DFC" w:rsidRDefault="00EB22F3" w:rsidP="009A4E7D">
            <w:pPr>
              <w:rPr>
                <w:sz w:val="22"/>
                <w:szCs w:val="22"/>
                <w:lang w:eastAsia="zh-CN"/>
              </w:rPr>
            </w:pPr>
            <w:r w:rsidRPr="004D3DFC">
              <w:rPr>
                <w:sz w:val="22"/>
                <w:szCs w:val="22"/>
              </w:rPr>
              <w:t xml:space="preserve">Similarly, to Guner et al. (2008), it is a dummy equal to 1 </w:t>
            </w:r>
            <w:r w:rsidRPr="004D3DFC">
              <w:rPr>
                <w:sz w:val="22"/>
                <w:szCs w:val="22"/>
                <w:lang w:eastAsia="zh-CN"/>
              </w:rPr>
              <w:t>if within the 5</w:t>
            </w:r>
            <w:r w:rsidR="00845607">
              <w:rPr>
                <w:sz w:val="22"/>
                <w:szCs w:val="22"/>
                <w:lang w:eastAsia="zh-CN"/>
              </w:rPr>
              <w:t>-</w:t>
            </w:r>
            <w:r w:rsidRPr="004D3DFC">
              <w:rPr>
                <w:sz w:val="22"/>
                <w:szCs w:val="22"/>
                <w:lang w:eastAsia="zh-CN"/>
              </w:rPr>
              <w:t>year window before receiving the loan if the borrower has at least one director sits in the board of the lead agent</w:t>
            </w:r>
            <w:r w:rsidRPr="004D3DFC">
              <w:rPr>
                <w:sz w:val="22"/>
                <w:szCs w:val="22"/>
              </w:rPr>
              <w:t>.</w:t>
            </w:r>
          </w:p>
        </w:tc>
      </w:tr>
      <w:tr w:rsidR="009A4E7D" w:rsidRPr="004D3DFC" w14:paraId="071353B2" w14:textId="77777777" w:rsidTr="004D3DFC">
        <w:trPr>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EC660A" w14:textId="77777777" w:rsidR="009A4E7D" w:rsidRPr="004D3DFC" w:rsidRDefault="009A4E7D" w:rsidP="004D3DFC">
            <w:pPr>
              <w:jc w:val="center"/>
              <w:rPr>
                <w:sz w:val="22"/>
                <w:szCs w:val="22"/>
                <w:lang w:eastAsia="zh-CN"/>
              </w:rPr>
            </w:pPr>
            <w:r w:rsidRPr="004D3DFC">
              <w:rPr>
                <w:i/>
                <w:sz w:val="22"/>
                <w:szCs w:val="22"/>
                <w:lang w:eastAsia="zh-CN"/>
              </w:rPr>
              <w:t>Relationship Lending</w:t>
            </w:r>
          </w:p>
        </w:tc>
      </w:tr>
      <w:tr w:rsidR="009A4E7D" w:rsidRPr="004D3DFC" w14:paraId="638F5E11" w14:textId="77777777" w:rsidTr="004D3DFC">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E80C6" w14:textId="77777777" w:rsidR="009A4E7D" w:rsidRPr="004D3DFC" w:rsidRDefault="009A4E7D" w:rsidP="004D3DFC">
            <w:pPr>
              <w:jc w:val="center"/>
              <w:rPr>
                <w:sz w:val="22"/>
                <w:szCs w:val="22"/>
                <w:lang w:eastAsia="zh-CN"/>
              </w:rPr>
            </w:pPr>
            <w:r w:rsidRPr="004D3DFC">
              <w:rPr>
                <w:sz w:val="22"/>
                <w:szCs w:val="22"/>
                <w:lang w:eastAsia="zh-CN"/>
              </w:rPr>
              <w:t>Past Lending</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EECBF" w14:textId="77777777" w:rsidR="009A4E7D" w:rsidRPr="004D3DFC" w:rsidRDefault="009A4E7D" w:rsidP="004D3DFC">
            <w:pPr>
              <w:jc w:val="center"/>
              <w:rPr>
                <w:sz w:val="22"/>
                <w:szCs w:val="22"/>
                <w:lang w:eastAsia="zh-CN"/>
              </w:rPr>
            </w:pPr>
            <w:r w:rsidRPr="004D3DFC">
              <w:rPr>
                <w:sz w:val="22"/>
                <w:szCs w:val="22"/>
                <w:lang w:eastAsia="zh-CN"/>
              </w:rPr>
              <w:t>Dealscan</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306D136F" w14:textId="77777777" w:rsidR="009A4E7D" w:rsidRPr="004D3DFC" w:rsidRDefault="009A4E7D" w:rsidP="009A4E7D">
            <w:pPr>
              <w:rPr>
                <w:sz w:val="22"/>
                <w:szCs w:val="22"/>
                <w:lang w:eastAsia="zh-CN"/>
              </w:rPr>
            </w:pPr>
            <w:r w:rsidRPr="004D3DFC">
              <w:rPr>
                <w:sz w:val="22"/>
                <w:szCs w:val="22"/>
                <w:lang w:eastAsia="zh-CN"/>
              </w:rPr>
              <w:t xml:space="preserve">It is the logarithm of number of loans received in the last </w:t>
            </w:r>
            <w:r w:rsidR="004B2193">
              <w:rPr>
                <w:sz w:val="22"/>
                <w:szCs w:val="22"/>
                <w:lang w:eastAsia="zh-CN"/>
              </w:rPr>
              <w:t>five</w:t>
            </w:r>
            <w:r w:rsidRPr="004D3DFC">
              <w:rPr>
                <w:sz w:val="22"/>
                <w:szCs w:val="22"/>
                <w:lang w:eastAsia="zh-CN"/>
              </w:rPr>
              <w:t xml:space="preserve"> years.</w:t>
            </w:r>
          </w:p>
        </w:tc>
      </w:tr>
      <w:bookmarkEnd w:id="37"/>
    </w:tbl>
    <w:p w14:paraId="0E189CBA" w14:textId="77777777" w:rsidR="00981922" w:rsidRDefault="00981922" w:rsidP="000B75DD">
      <w:pPr>
        <w:widowControl w:val="0"/>
        <w:autoSpaceDE w:val="0"/>
        <w:autoSpaceDN w:val="0"/>
        <w:adjustRightInd w:val="0"/>
        <w:rPr>
          <w:b/>
          <w:szCs w:val="20"/>
        </w:rPr>
      </w:pPr>
    </w:p>
    <w:p w14:paraId="61414A49" w14:textId="77777777" w:rsidR="00EB22F3" w:rsidRDefault="00EB22F3" w:rsidP="000B75DD">
      <w:pPr>
        <w:widowControl w:val="0"/>
        <w:autoSpaceDE w:val="0"/>
        <w:autoSpaceDN w:val="0"/>
        <w:adjustRightInd w:val="0"/>
        <w:rPr>
          <w:b/>
          <w:szCs w:val="20"/>
        </w:rPr>
      </w:pPr>
    </w:p>
    <w:p w14:paraId="20CBADA2" w14:textId="77777777" w:rsidR="00187770" w:rsidRPr="007821D6" w:rsidRDefault="00187770" w:rsidP="00EC5C6B">
      <w:pPr>
        <w:widowControl w:val="0"/>
        <w:autoSpaceDE w:val="0"/>
        <w:autoSpaceDN w:val="0"/>
        <w:adjustRightInd w:val="0"/>
        <w:rPr>
          <w:b/>
          <w:szCs w:val="20"/>
          <w:highlight w:val="yellow"/>
        </w:rPr>
        <w:sectPr w:rsidR="00187770" w:rsidRPr="007821D6" w:rsidSect="007147C8">
          <w:pgSz w:w="12240" w:h="15840"/>
          <w:pgMar w:top="1440" w:right="1440" w:bottom="1440" w:left="1440" w:header="720" w:footer="720" w:gutter="0"/>
          <w:cols w:space="720"/>
          <w:noEndnote/>
          <w:docGrid w:linePitch="326"/>
        </w:sectPr>
      </w:pPr>
    </w:p>
    <w:p w14:paraId="40D0F4E5" w14:textId="77777777" w:rsidR="00FC73F8" w:rsidRDefault="00FC4381" w:rsidP="00FC73F8">
      <w:pPr>
        <w:autoSpaceDE w:val="0"/>
        <w:autoSpaceDN w:val="0"/>
        <w:adjustRightInd w:val="0"/>
        <w:jc w:val="center"/>
        <w:rPr>
          <w:b/>
          <w:bCs/>
        </w:rPr>
      </w:pPr>
      <w:r>
        <w:rPr>
          <w:b/>
          <w:bCs/>
        </w:rPr>
        <w:t>Appendix B</w:t>
      </w:r>
      <w:r w:rsidR="00FC73F8">
        <w:rPr>
          <w:b/>
          <w:bCs/>
        </w:rPr>
        <w:t>: Correlation matrix</w:t>
      </w:r>
    </w:p>
    <w:p w14:paraId="2B4FD540" w14:textId="77777777" w:rsidR="00FC4381" w:rsidRDefault="00FC4381" w:rsidP="00FC4381">
      <w:pPr>
        <w:autoSpaceDE w:val="0"/>
        <w:autoSpaceDN w:val="0"/>
        <w:adjustRightInd w:val="0"/>
        <w:rPr>
          <w:sz w:val="22"/>
          <w:szCs w:val="22"/>
        </w:rPr>
      </w:pPr>
      <w:r w:rsidRPr="00070779">
        <w:rPr>
          <w:sz w:val="22"/>
          <w:szCs w:val="22"/>
        </w:rPr>
        <w:t xml:space="preserve">This table reports the </w:t>
      </w:r>
      <w:r>
        <w:rPr>
          <w:sz w:val="22"/>
          <w:szCs w:val="22"/>
        </w:rPr>
        <w:t xml:space="preserve">pairwise correlation between the variables used in the analysis. </w:t>
      </w:r>
    </w:p>
    <w:p w14:paraId="30B4CCD8" w14:textId="77777777" w:rsidR="00FC4381" w:rsidRDefault="00FC4381" w:rsidP="00FC4381">
      <w:pPr>
        <w:autoSpaceDE w:val="0"/>
        <w:autoSpaceDN w:val="0"/>
        <w:adjustRightInd w:val="0"/>
        <w:rPr>
          <w:b/>
          <w:bCs/>
        </w:rPr>
      </w:pPr>
    </w:p>
    <w:tbl>
      <w:tblPr>
        <w:tblW w:w="1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556"/>
        <w:gridCol w:w="556"/>
        <w:gridCol w:w="556"/>
        <w:gridCol w:w="556"/>
        <w:gridCol w:w="556"/>
        <w:gridCol w:w="556"/>
        <w:gridCol w:w="556"/>
        <w:gridCol w:w="556"/>
        <w:gridCol w:w="556"/>
        <w:gridCol w:w="556"/>
        <w:gridCol w:w="556"/>
        <w:gridCol w:w="556"/>
        <w:gridCol w:w="556"/>
        <w:gridCol w:w="556"/>
        <w:gridCol w:w="556"/>
        <w:gridCol w:w="556"/>
        <w:gridCol w:w="556"/>
        <w:gridCol w:w="556"/>
        <w:gridCol w:w="556"/>
        <w:gridCol w:w="556"/>
        <w:gridCol w:w="556"/>
        <w:gridCol w:w="556"/>
      </w:tblGrid>
      <w:tr w:rsidR="00FC73F8" w:rsidRPr="00E62EC6" w14:paraId="27957626" w14:textId="77777777" w:rsidTr="00FC73F8">
        <w:trPr>
          <w:trHeight w:val="290"/>
          <w:jc w:val="center"/>
        </w:trPr>
        <w:tc>
          <w:tcPr>
            <w:tcW w:w="2158" w:type="dxa"/>
            <w:shd w:val="clear" w:color="auto" w:fill="auto"/>
            <w:noWrap/>
            <w:vAlign w:val="center"/>
            <w:hideMark/>
          </w:tcPr>
          <w:p w14:paraId="23235715" w14:textId="77777777" w:rsidR="00E62EC6" w:rsidRPr="00E62EC6" w:rsidRDefault="00E62EC6" w:rsidP="00E20FF5">
            <w:pPr>
              <w:rPr>
                <w:b/>
                <w:bCs/>
                <w:color w:val="000000"/>
                <w:sz w:val="16"/>
                <w:szCs w:val="16"/>
                <w:lang w:val="en-GB"/>
              </w:rPr>
            </w:pPr>
            <w:r w:rsidRPr="00E62EC6">
              <w:rPr>
                <w:b/>
                <w:bCs/>
                <w:color w:val="000000"/>
                <w:sz w:val="16"/>
                <w:szCs w:val="16"/>
                <w:lang w:val="en-GB" w:eastAsia="zh-CN"/>
              </w:rPr>
              <w:t>Variable</w:t>
            </w:r>
          </w:p>
        </w:tc>
        <w:tc>
          <w:tcPr>
            <w:tcW w:w="556" w:type="dxa"/>
            <w:shd w:val="clear" w:color="auto" w:fill="auto"/>
            <w:noWrap/>
            <w:vAlign w:val="center"/>
            <w:hideMark/>
          </w:tcPr>
          <w:p w14:paraId="1DD08797"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1</w:t>
            </w:r>
          </w:p>
        </w:tc>
        <w:tc>
          <w:tcPr>
            <w:tcW w:w="556" w:type="dxa"/>
            <w:shd w:val="clear" w:color="auto" w:fill="auto"/>
            <w:noWrap/>
            <w:vAlign w:val="center"/>
            <w:hideMark/>
          </w:tcPr>
          <w:p w14:paraId="63EE5FDB"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2</w:t>
            </w:r>
          </w:p>
        </w:tc>
        <w:tc>
          <w:tcPr>
            <w:tcW w:w="556" w:type="dxa"/>
            <w:shd w:val="clear" w:color="auto" w:fill="auto"/>
            <w:noWrap/>
            <w:vAlign w:val="center"/>
            <w:hideMark/>
          </w:tcPr>
          <w:p w14:paraId="4AE030A5"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3</w:t>
            </w:r>
          </w:p>
        </w:tc>
        <w:tc>
          <w:tcPr>
            <w:tcW w:w="556" w:type="dxa"/>
            <w:shd w:val="clear" w:color="auto" w:fill="auto"/>
            <w:noWrap/>
            <w:vAlign w:val="center"/>
            <w:hideMark/>
          </w:tcPr>
          <w:p w14:paraId="15B70CDA"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4</w:t>
            </w:r>
          </w:p>
        </w:tc>
        <w:tc>
          <w:tcPr>
            <w:tcW w:w="556" w:type="dxa"/>
            <w:shd w:val="clear" w:color="auto" w:fill="auto"/>
            <w:noWrap/>
            <w:vAlign w:val="center"/>
            <w:hideMark/>
          </w:tcPr>
          <w:p w14:paraId="2A74B1AE"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5</w:t>
            </w:r>
          </w:p>
        </w:tc>
        <w:tc>
          <w:tcPr>
            <w:tcW w:w="556" w:type="dxa"/>
            <w:shd w:val="clear" w:color="auto" w:fill="auto"/>
            <w:noWrap/>
            <w:vAlign w:val="center"/>
            <w:hideMark/>
          </w:tcPr>
          <w:p w14:paraId="59D139AD"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6</w:t>
            </w:r>
          </w:p>
        </w:tc>
        <w:tc>
          <w:tcPr>
            <w:tcW w:w="556" w:type="dxa"/>
            <w:shd w:val="clear" w:color="auto" w:fill="auto"/>
            <w:noWrap/>
            <w:vAlign w:val="center"/>
            <w:hideMark/>
          </w:tcPr>
          <w:p w14:paraId="4A9E770A"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7</w:t>
            </w:r>
          </w:p>
        </w:tc>
        <w:tc>
          <w:tcPr>
            <w:tcW w:w="556" w:type="dxa"/>
            <w:shd w:val="clear" w:color="auto" w:fill="auto"/>
            <w:noWrap/>
            <w:vAlign w:val="center"/>
            <w:hideMark/>
          </w:tcPr>
          <w:p w14:paraId="3C49A8A1"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8</w:t>
            </w:r>
          </w:p>
        </w:tc>
        <w:tc>
          <w:tcPr>
            <w:tcW w:w="556" w:type="dxa"/>
            <w:shd w:val="clear" w:color="auto" w:fill="auto"/>
            <w:noWrap/>
            <w:vAlign w:val="center"/>
            <w:hideMark/>
          </w:tcPr>
          <w:p w14:paraId="70D6F4D6"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9</w:t>
            </w:r>
          </w:p>
        </w:tc>
        <w:tc>
          <w:tcPr>
            <w:tcW w:w="556" w:type="dxa"/>
            <w:shd w:val="clear" w:color="auto" w:fill="auto"/>
            <w:noWrap/>
            <w:vAlign w:val="center"/>
            <w:hideMark/>
          </w:tcPr>
          <w:p w14:paraId="017BB978"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10</w:t>
            </w:r>
          </w:p>
        </w:tc>
        <w:tc>
          <w:tcPr>
            <w:tcW w:w="556" w:type="dxa"/>
            <w:shd w:val="clear" w:color="auto" w:fill="auto"/>
            <w:noWrap/>
            <w:vAlign w:val="center"/>
            <w:hideMark/>
          </w:tcPr>
          <w:p w14:paraId="0286F0A9"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11</w:t>
            </w:r>
          </w:p>
        </w:tc>
        <w:tc>
          <w:tcPr>
            <w:tcW w:w="556" w:type="dxa"/>
            <w:shd w:val="clear" w:color="auto" w:fill="auto"/>
            <w:noWrap/>
            <w:vAlign w:val="center"/>
            <w:hideMark/>
          </w:tcPr>
          <w:p w14:paraId="0DCB427D"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12</w:t>
            </w:r>
          </w:p>
        </w:tc>
        <w:tc>
          <w:tcPr>
            <w:tcW w:w="556" w:type="dxa"/>
            <w:shd w:val="clear" w:color="auto" w:fill="auto"/>
            <w:noWrap/>
            <w:vAlign w:val="center"/>
            <w:hideMark/>
          </w:tcPr>
          <w:p w14:paraId="49C27223"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13</w:t>
            </w:r>
          </w:p>
        </w:tc>
        <w:tc>
          <w:tcPr>
            <w:tcW w:w="556" w:type="dxa"/>
            <w:shd w:val="clear" w:color="auto" w:fill="auto"/>
            <w:noWrap/>
            <w:vAlign w:val="center"/>
            <w:hideMark/>
          </w:tcPr>
          <w:p w14:paraId="43A18729"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14</w:t>
            </w:r>
          </w:p>
        </w:tc>
        <w:tc>
          <w:tcPr>
            <w:tcW w:w="556" w:type="dxa"/>
            <w:shd w:val="clear" w:color="auto" w:fill="auto"/>
            <w:noWrap/>
            <w:vAlign w:val="center"/>
            <w:hideMark/>
          </w:tcPr>
          <w:p w14:paraId="26CB1B58"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15</w:t>
            </w:r>
          </w:p>
        </w:tc>
        <w:tc>
          <w:tcPr>
            <w:tcW w:w="556" w:type="dxa"/>
            <w:shd w:val="clear" w:color="auto" w:fill="auto"/>
            <w:noWrap/>
            <w:vAlign w:val="center"/>
            <w:hideMark/>
          </w:tcPr>
          <w:p w14:paraId="58E4C493" w14:textId="77777777" w:rsidR="00E62EC6" w:rsidRPr="00E62EC6" w:rsidRDefault="00E20FF5" w:rsidP="00E20FF5">
            <w:pPr>
              <w:jc w:val="center"/>
              <w:rPr>
                <w:b/>
                <w:bCs/>
                <w:color w:val="000000"/>
                <w:sz w:val="16"/>
                <w:szCs w:val="16"/>
                <w:lang w:val="en-GB"/>
              </w:rPr>
            </w:pPr>
            <w:r>
              <w:rPr>
                <w:b/>
                <w:bCs/>
                <w:color w:val="000000"/>
                <w:sz w:val="16"/>
                <w:szCs w:val="16"/>
                <w:lang w:val="en-GB" w:eastAsia="zh-CN"/>
              </w:rPr>
              <w:t>1</w:t>
            </w:r>
            <w:r w:rsidR="00E62EC6" w:rsidRPr="00E62EC6">
              <w:rPr>
                <w:b/>
                <w:bCs/>
                <w:color w:val="000000"/>
                <w:sz w:val="16"/>
                <w:szCs w:val="16"/>
                <w:lang w:val="en-GB" w:eastAsia="zh-CN"/>
              </w:rPr>
              <w:t>6</w:t>
            </w:r>
          </w:p>
        </w:tc>
        <w:tc>
          <w:tcPr>
            <w:tcW w:w="556" w:type="dxa"/>
            <w:shd w:val="clear" w:color="auto" w:fill="auto"/>
            <w:noWrap/>
            <w:vAlign w:val="center"/>
            <w:hideMark/>
          </w:tcPr>
          <w:p w14:paraId="5B5631CA"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17</w:t>
            </w:r>
          </w:p>
        </w:tc>
        <w:tc>
          <w:tcPr>
            <w:tcW w:w="556" w:type="dxa"/>
            <w:shd w:val="clear" w:color="auto" w:fill="auto"/>
            <w:noWrap/>
            <w:vAlign w:val="center"/>
            <w:hideMark/>
          </w:tcPr>
          <w:p w14:paraId="14C0EBED"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18</w:t>
            </w:r>
          </w:p>
        </w:tc>
        <w:tc>
          <w:tcPr>
            <w:tcW w:w="556" w:type="dxa"/>
            <w:shd w:val="clear" w:color="auto" w:fill="auto"/>
            <w:noWrap/>
            <w:vAlign w:val="center"/>
            <w:hideMark/>
          </w:tcPr>
          <w:p w14:paraId="482798E5"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19</w:t>
            </w:r>
          </w:p>
        </w:tc>
        <w:tc>
          <w:tcPr>
            <w:tcW w:w="556" w:type="dxa"/>
            <w:shd w:val="clear" w:color="auto" w:fill="auto"/>
            <w:noWrap/>
            <w:vAlign w:val="center"/>
            <w:hideMark/>
          </w:tcPr>
          <w:p w14:paraId="32217311"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20</w:t>
            </w:r>
          </w:p>
        </w:tc>
        <w:tc>
          <w:tcPr>
            <w:tcW w:w="556" w:type="dxa"/>
            <w:shd w:val="clear" w:color="auto" w:fill="auto"/>
            <w:noWrap/>
            <w:vAlign w:val="center"/>
            <w:hideMark/>
          </w:tcPr>
          <w:p w14:paraId="48481FE7"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21</w:t>
            </w:r>
          </w:p>
        </w:tc>
        <w:tc>
          <w:tcPr>
            <w:tcW w:w="556" w:type="dxa"/>
            <w:shd w:val="clear" w:color="auto" w:fill="auto"/>
            <w:noWrap/>
            <w:vAlign w:val="center"/>
            <w:hideMark/>
          </w:tcPr>
          <w:p w14:paraId="11FCBAC3" w14:textId="77777777" w:rsidR="00E62EC6" w:rsidRPr="00E62EC6" w:rsidRDefault="00E62EC6" w:rsidP="00E20FF5">
            <w:pPr>
              <w:jc w:val="center"/>
              <w:rPr>
                <w:b/>
                <w:bCs/>
                <w:color w:val="000000"/>
                <w:sz w:val="16"/>
                <w:szCs w:val="16"/>
                <w:lang w:val="en-GB"/>
              </w:rPr>
            </w:pPr>
            <w:r w:rsidRPr="00E62EC6">
              <w:rPr>
                <w:b/>
                <w:bCs/>
                <w:color w:val="000000"/>
                <w:sz w:val="16"/>
                <w:szCs w:val="16"/>
                <w:lang w:val="en-GB" w:eastAsia="zh-CN"/>
              </w:rPr>
              <w:t>22</w:t>
            </w:r>
          </w:p>
        </w:tc>
      </w:tr>
      <w:tr w:rsidR="00FC73F8" w:rsidRPr="00E62EC6" w14:paraId="48652980" w14:textId="77777777" w:rsidTr="00FC73F8">
        <w:trPr>
          <w:trHeight w:val="290"/>
          <w:jc w:val="center"/>
        </w:trPr>
        <w:tc>
          <w:tcPr>
            <w:tcW w:w="2158" w:type="dxa"/>
            <w:shd w:val="clear" w:color="auto" w:fill="auto"/>
            <w:noWrap/>
            <w:vAlign w:val="center"/>
            <w:hideMark/>
          </w:tcPr>
          <w:p w14:paraId="2BE26932" w14:textId="77777777" w:rsidR="00E62EC6" w:rsidRPr="00E62EC6" w:rsidRDefault="00E62EC6" w:rsidP="00E20FF5">
            <w:pPr>
              <w:rPr>
                <w:color w:val="000000"/>
                <w:sz w:val="16"/>
                <w:szCs w:val="16"/>
                <w:lang w:val="en-GB"/>
              </w:rPr>
            </w:pPr>
            <w:r w:rsidRPr="00E62EC6">
              <w:rPr>
                <w:color w:val="000000"/>
                <w:sz w:val="16"/>
                <w:szCs w:val="16"/>
                <w:lang w:val="en-GB" w:eastAsia="zh-CN"/>
              </w:rPr>
              <w:t>(1)</w:t>
            </w:r>
            <w:r w:rsidR="00FC4381">
              <w:rPr>
                <w:color w:val="000000"/>
                <w:sz w:val="16"/>
                <w:szCs w:val="16"/>
                <w:lang w:val="en-GB" w:eastAsia="zh-CN"/>
              </w:rPr>
              <w:t xml:space="preserve"> </w:t>
            </w:r>
            <w:r w:rsidRPr="00E62EC6">
              <w:rPr>
                <w:color w:val="000000"/>
                <w:sz w:val="16"/>
                <w:szCs w:val="16"/>
                <w:lang w:val="en-GB" w:eastAsia="zh-CN"/>
              </w:rPr>
              <w:t>Large CS links</w:t>
            </w:r>
          </w:p>
        </w:tc>
        <w:tc>
          <w:tcPr>
            <w:tcW w:w="556" w:type="dxa"/>
            <w:shd w:val="clear" w:color="auto" w:fill="auto"/>
            <w:noWrap/>
            <w:vAlign w:val="center"/>
            <w:hideMark/>
          </w:tcPr>
          <w:p w14:paraId="27EA7164"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680CD514"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4F57529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408E53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44D5D5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701E86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F3EB56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3C20A6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616176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88C287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3F99F4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A60EB5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33071E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48F290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324BCA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366B38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6021FDA"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A8CD7E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844378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C12F1C3"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DD196C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C919747" w14:textId="77777777" w:rsidR="00E62EC6" w:rsidRPr="00E62EC6" w:rsidRDefault="00E62EC6" w:rsidP="00E20FF5">
            <w:pPr>
              <w:jc w:val="center"/>
              <w:rPr>
                <w:sz w:val="20"/>
                <w:szCs w:val="20"/>
                <w:lang w:val="en-GB"/>
              </w:rPr>
            </w:pPr>
          </w:p>
        </w:tc>
      </w:tr>
      <w:tr w:rsidR="00FC73F8" w:rsidRPr="00E62EC6" w14:paraId="219165B9" w14:textId="77777777" w:rsidTr="00FC73F8">
        <w:trPr>
          <w:trHeight w:val="290"/>
          <w:jc w:val="center"/>
        </w:trPr>
        <w:tc>
          <w:tcPr>
            <w:tcW w:w="2158" w:type="dxa"/>
            <w:shd w:val="clear" w:color="auto" w:fill="auto"/>
            <w:noWrap/>
            <w:vAlign w:val="center"/>
            <w:hideMark/>
          </w:tcPr>
          <w:p w14:paraId="6BF601DE" w14:textId="77777777" w:rsidR="00E62EC6" w:rsidRPr="00E62EC6" w:rsidRDefault="00E62EC6" w:rsidP="00E20FF5">
            <w:pPr>
              <w:rPr>
                <w:color w:val="000000"/>
                <w:sz w:val="16"/>
                <w:szCs w:val="16"/>
                <w:lang w:val="en-GB"/>
              </w:rPr>
            </w:pPr>
            <w:r w:rsidRPr="00E62EC6">
              <w:rPr>
                <w:color w:val="000000"/>
                <w:sz w:val="16"/>
                <w:szCs w:val="16"/>
                <w:lang w:val="en-GB" w:eastAsia="zh-CN"/>
              </w:rPr>
              <w:t>(2) Supplier HHI</w:t>
            </w:r>
          </w:p>
        </w:tc>
        <w:tc>
          <w:tcPr>
            <w:tcW w:w="556" w:type="dxa"/>
            <w:shd w:val="clear" w:color="auto" w:fill="auto"/>
            <w:noWrap/>
            <w:vAlign w:val="center"/>
            <w:hideMark/>
          </w:tcPr>
          <w:p w14:paraId="57B290D7" w14:textId="77777777" w:rsidR="00E62EC6" w:rsidRPr="00E62EC6" w:rsidRDefault="00E62EC6" w:rsidP="00E20FF5">
            <w:pPr>
              <w:jc w:val="center"/>
              <w:rPr>
                <w:color w:val="000000"/>
                <w:sz w:val="16"/>
                <w:szCs w:val="16"/>
                <w:lang w:val="en-GB"/>
              </w:rPr>
            </w:pPr>
            <w:r w:rsidRPr="00E62EC6">
              <w:rPr>
                <w:color w:val="000000"/>
                <w:sz w:val="16"/>
                <w:szCs w:val="16"/>
              </w:rPr>
              <w:t>0.36</w:t>
            </w:r>
          </w:p>
        </w:tc>
        <w:tc>
          <w:tcPr>
            <w:tcW w:w="556" w:type="dxa"/>
            <w:shd w:val="clear" w:color="auto" w:fill="auto"/>
            <w:noWrap/>
            <w:vAlign w:val="center"/>
            <w:hideMark/>
          </w:tcPr>
          <w:p w14:paraId="786B7739"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4DC9ADDB"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4D1F96F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FEFEEA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2A363D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13A33E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0E5137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F29403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C91FC8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7911451"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3C5426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190BD6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8C0339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08954F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F8D91C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51D3C8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DA8EA3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42DA5D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63FA72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2FC8E2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DE6928F" w14:textId="77777777" w:rsidR="00E62EC6" w:rsidRPr="00E62EC6" w:rsidRDefault="00E62EC6" w:rsidP="00E20FF5">
            <w:pPr>
              <w:jc w:val="center"/>
              <w:rPr>
                <w:sz w:val="20"/>
                <w:szCs w:val="20"/>
                <w:lang w:val="en-GB"/>
              </w:rPr>
            </w:pPr>
          </w:p>
        </w:tc>
      </w:tr>
      <w:tr w:rsidR="00FC73F8" w:rsidRPr="00E62EC6" w14:paraId="2948D684" w14:textId="77777777" w:rsidTr="00FC73F8">
        <w:trPr>
          <w:trHeight w:val="290"/>
          <w:jc w:val="center"/>
        </w:trPr>
        <w:tc>
          <w:tcPr>
            <w:tcW w:w="2158" w:type="dxa"/>
            <w:shd w:val="clear" w:color="auto" w:fill="auto"/>
            <w:noWrap/>
            <w:vAlign w:val="center"/>
            <w:hideMark/>
          </w:tcPr>
          <w:p w14:paraId="61F821A7" w14:textId="77777777" w:rsidR="00E62EC6" w:rsidRPr="00E62EC6" w:rsidRDefault="00E62EC6" w:rsidP="00E20FF5">
            <w:pPr>
              <w:rPr>
                <w:color w:val="000000"/>
                <w:sz w:val="16"/>
                <w:szCs w:val="16"/>
                <w:lang w:val="en-GB"/>
              </w:rPr>
            </w:pPr>
            <w:r w:rsidRPr="00E62EC6">
              <w:rPr>
                <w:color w:val="000000"/>
                <w:sz w:val="16"/>
                <w:szCs w:val="16"/>
                <w:lang w:val="en-GB" w:eastAsia="zh-CN"/>
              </w:rPr>
              <w:t>(3) Customer HHI</w:t>
            </w:r>
          </w:p>
        </w:tc>
        <w:tc>
          <w:tcPr>
            <w:tcW w:w="556" w:type="dxa"/>
            <w:shd w:val="clear" w:color="auto" w:fill="auto"/>
            <w:noWrap/>
            <w:vAlign w:val="center"/>
            <w:hideMark/>
          </w:tcPr>
          <w:p w14:paraId="072FED65" w14:textId="77777777" w:rsidR="00E62EC6" w:rsidRPr="00E62EC6" w:rsidRDefault="00E62EC6" w:rsidP="00E20FF5">
            <w:pPr>
              <w:jc w:val="center"/>
              <w:rPr>
                <w:color w:val="000000"/>
                <w:sz w:val="16"/>
                <w:szCs w:val="16"/>
                <w:lang w:val="en-GB"/>
              </w:rPr>
            </w:pPr>
            <w:r w:rsidRPr="00E62EC6">
              <w:rPr>
                <w:color w:val="000000"/>
                <w:sz w:val="16"/>
                <w:szCs w:val="16"/>
              </w:rPr>
              <w:t>0.37</w:t>
            </w:r>
          </w:p>
        </w:tc>
        <w:tc>
          <w:tcPr>
            <w:tcW w:w="556" w:type="dxa"/>
            <w:shd w:val="clear" w:color="auto" w:fill="auto"/>
            <w:noWrap/>
            <w:vAlign w:val="center"/>
            <w:hideMark/>
          </w:tcPr>
          <w:p w14:paraId="54B2FA7B"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714022C3"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44828A20"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5EF9CE0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062E68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D326AA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233AAC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32B105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61E0203"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840205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F251E4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E07ECA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10F82F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B20EB1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8E7C0A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DD589D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4162DD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1EA3D91"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248CC0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DC8E98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FB40C4E" w14:textId="77777777" w:rsidR="00E62EC6" w:rsidRPr="00E62EC6" w:rsidRDefault="00E62EC6" w:rsidP="00E20FF5">
            <w:pPr>
              <w:jc w:val="center"/>
              <w:rPr>
                <w:sz w:val="20"/>
                <w:szCs w:val="20"/>
                <w:lang w:val="en-GB"/>
              </w:rPr>
            </w:pPr>
          </w:p>
        </w:tc>
      </w:tr>
      <w:tr w:rsidR="00FC73F8" w:rsidRPr="00E62EC6" w14:paraId="6340F0D2" w14:textId="77777777" w:rsidTr="00FC73F8">
        <w:trPr>
          <w:trHeight w:val="290"/>
          <w:jc w:val="center"/>
        </w:trPr>
        <w:tc>
          <w:tcPr>
            <w:tcW w:w="2158" w:type="dxa"/>
            <w:shd w:val="clear" w:color="auto" w:fill="auto"/>
            <w:noWrap/>
            <w:vAlign w:val="center"/>
            <w:hideMark/>
          </w:tcPr>
          <w:p w14:paraId="6A5A590C" w14:textId="77777777" w:rsidR="00E62EC6" w:rsidRPr="00E62EC6" w:rsidRDefault="00E62EC6" w:rsidP="00E20FF5">
            <w:pPr>
              <w:rPr>
                <w:color w:val="000000"/>
                <w:sz w:val="16"/>
                <w:szCs w:val="16"/>
                <w:lang w:val="en-GB"/>
              </w:rPr>
            </w:pPr>
            <w:r w:rsidRPr="00E62EC6">
              <w:rPr>
                <w:color w:val="000000"/>
                <w:sz w:val="16"/>
                <w:szCs w:val="16"/>
                <w:lang w:val="en-GB" w:eastAsia="zh-CN"/>
              </w:rPr>
              <w:t>(4) Log(Length large CS links)</w:t>
            </w:r>
          </w:p>
        </w:tc>
        <w:tc>
          <w:tcPr>
            <w:tcW w:w="556" w:type="dxa"/>
            <w:shd w:val="clear" w:color="auto" w:fill="auto"/>
            <w:noWrap/>
            <w:vAlign w:val="center"/>
            <w:hideMark/>
          </w:tcPr>
          <w:p w14:paraId="27170C0F" w14:textId="77777777" w:rsidR="00E62EC6" w:rsidRPr="00E62EC6" w:rsidRDefault="00E62EC6" w:rsidP="00E20FF5">
            <w:pPr>
              <w:jc w:val="center"/>
              <w:rPr>
                <w:color w:val="000000"/>
                <w:sz w:val="16"/>
                <w:szCs w:val="16"/>
                <w:lang w:val="en-GB"/>
              </w:rPr>
            </w:pPr>
            <w:r w:rsidRPr="00E62EC6">
              <w:rPr>
                <w:color w:val="000000"/>
                <w:sz w:val="16"/>
                <w:szCs w:val="16"/>
              </w:rPr>
              <w:t>0.6</w:t>
            </w:r>
          </w:p>
        </w:tc>
        <w:tc>
          <w:tcPr>
            <w:tcW w:w="556" w:type="dxa"/>
            <w:shd w:val="clear" w:color="auto" w:fill="auto"/>
            <w:noWrap/>
            <w:vAlign w:val="center"/>
            <w:hideMark/>
          </w:tcPr>
          <w:p w14:paraId="3A36681A" w14:textId="77777777" w:rsidR="00E62EC6" w:rsidRPr="00E62EC6" w:rsidRDefault="00E62EC6" w:rsidP="00E20FF5">
            <w:pPr>
              <w:jc w:val="center"/>
              <w:rPr>
                <w:color w:val="000000"/>
                <w:sz w:val="16"/>
                <w:szCs w:val="16"/>
                <w:lang w:val="en-GB"/>
              </w:rPr>
            </w:pPr>
            <w:r w:rsidRPr="00E62EC6">
              <w:rPr>
                <w:color w:val="000000"/>
                <w:sz w:val="16"/>
                <w:szCs w:val="16"/>
              </w:rPr>
              <w:t>0.33</w:t>
            </w:r>
          </w:p>
        </w:tc>
        <w:tc>
          <w:tcPr>
            <w:tcW w:w="556" w:type="dxa"/>
            <w:shd w:val="clear" w:color="auto" w:fill="auto"/>
            <w:noWrap/>
            <w:vAlign w:val="center"/>
            <w:hideMark/>
          </w:tcPr>
          <w:p w14:paraId="54448051" w14:textId="77777777" w:rsidR="00E62EC6" w:rsidRPr="00E62EC6" w:rsidRDefault="00E62EC6" w:rsidP="00E20FF5">
            <w:pPr>
              <w:jc w:val="center"/>
              <w:rPr>
                <w:color w:val="000000"/>
                <w:sz w:val="16"/>
                <w:szCs w:val="16"/>
                <w:lang w:val="en-GB"/>
              </w:rPr>
            </w:pPr>
            <w:r w:rsidRPr="00E62EC6">
              <w:rPr>
                <w:color w:val="000000"/>
                <w:sz w:val="16"/>
                <w:szCs w:val="16"/>
              </w:rPr>
              <w:t>0.36</w:t>
            </w:r>
          </w:p>
        </w:tc>
        <w:tc>
          <w:tcPr>
            <w:tcW w:w="556" w:type="dxa"/>
            <w:shd w:val="clear" w:color="auto" w:fill="auto"/>
            <w:noWrap/>
            <w:vAlign w:val="center"/>
            <w:hideMark/>
          </w:tcPr>
          <w:p w14:paraId="62FB7938"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6466325B"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3FA6C52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BE6E2FA"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39E814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2D2C01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A1FDB6A"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331600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83DC363"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47D747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BE91E3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938236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9B30BF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4DE217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8B701A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FC6AC8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3D5502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9706F8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972C6CA" w14:textId="77777777" w:rsidR="00E62EC6" w:rsidRPr="00E62EC6" w:rsidRDefault="00E62EC6" w:rsidP="00E20FF5">
            <w:pPr>
              <w:jc w:val="center"/>
              <w:rPr>
                <w:sz w:val="20"/>
                <w:szCs w:val="20"/>
                <w:lang w:val="en-GB"/>
              </w:rPr>
            </w:pPr>
          </w:p>
        </w:tc>
      </w:tr>
      <w:tr w:rsidR="00FC73F8" w:rsidRPr="00E62EC6" w14:paraId="303F7BC7" w14:textId="77777777" w:rsidTr="00FC73F8">
        <w:trPr>
          <w:trHeight w:val="290"/>
          <w:jc w:val="center"/>
        </w:trPr>
        <w:tc>
          <w:tcPr>
            <w:tcW w:w="2158" w:type="dxa"/>
            <w:shd w:val="clear" w:color="auto" w:fill="auto"/>
            <w:noWrap/>
            <w:vAlign w:val="center"/>
            <w:hideMark/>
          </w:tcPr>
          <w:p w14:paraId="4D63A665" w14:textId="77777777" w:rsidR="00E62EC6" w:rsidRPr="00E62EC6" w:rsidRDefault="00E62EC6" w:rsidP="00E20FF5">
            <w:pPr>
              <w:rPr>
                <w:color w:val="000000"/>
                <w:sz w:val="16"/>
                <w:szCs w:val="16"/>
                <w:lang w:val="en-GB"/>
              </w:rPr>
            </w:pPr>
            <w:r w:rsidRPr="00E62EC6">
              <w:rPr>
                <w:color w:val="000000"/>
                <w:sz w:val="16"/>
                <w:szCs w:val="16"/>
                <w:lang w:val="en-GB" w:eastAsia="zh-CN"/>
              </w:rPr>
              <w:t>(5) Syndicate reputation: lead to participant</w:t>
            </w:r>
          </w:p>
        </w:tc>
        <w:tc>
          <w:tcPr>
            <w:tcW w:w="556" w:type="dxa"/>
            <w:shd w:val="clear" w:color="auto" w:fill="auto"/>
            <w:noWrap/>
            <w:vAlign w:val="center"/>
            <w:hideMark/>
          </w:tcPr>
          <w:p w14:paraId="02F33F12" w14:textId="77777777" w:rsidR="00E62EC6" w:rsidRPr="00E62EC6" w:rsidRDefault="00E62EC6" w:rsidP="00E20FF5">
            <w:pPr>
              <w:jc w:val="center"/>
              <w:rPr>
                <w:color w:val="000000"/>
                <w:sz w:val="16"/>
                <w:szCs w:val="16"/>
                <w:lang w:val="en-GB"/>
              </w:rPr>
            </w:pPr>
            <w:r w:rsidRPr="00E62EC6">
              <w:rPr>
                <w:color w:val="000000"/>
                <w:sz w:val="16"/>
                <w:szCs w:val="16"/>
              </w:rPr>
              <w:t>0.13</w:t>
            </w:r>
          </w:p>
        </w:tc>
        <w:tc>
          <w:tcPr>
            <w:tcW w:w="556" w:type="dxa"/>
            <w:shd w:val="clear" w:color="auto" w:fill="auto"/>
            <w:noWrap/>
            <w:vAlign w:val="center"/>
            <w:hideMark/>
          </w:tcPr>
          <w:p w14:paraId="48C748DD" w14:textId="77777777" w:rsidR="00E62EC6" w:rsidRPr="00E62EC6" w:rsidRDefault="00E62EC6" w:rsidP="00E20FF5">
            <w:pPr>
              <w:jc w:val="center"/>
              <w:rPr>
                <w:color w:val="000000"/>
                <w:sz w:val="16"/>
                <w:szCs w:val="16"/>
                <w:lang w:val="en-GB"/>
              </w:rPr>
            </w:pPr>
            <w:r w:rsidRPr="00E62EC6">
              <w:rPr>
                <w:color w:val="000000"/>
                <w:sz w:val="16"/>
                <w:szCs w:val="16"/>
              </w:rPr>
              <w:t>0.14</w:t>
            </w:r>
          </w:p>
        </w:tc>
        <w:tc>
          <w:tcPr>
            <w:tcW w:w="556" w:type="dxa"/>
            <w:shd w:val="clear" w:color="auto" w:fill="auto"/>
            <w:noWrap/>
            <w:vAlign w:val="center"/>
            <w:hideMark/>
          </w:tcPr>
          <w:p w14:paraId="20433063"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4CA4183C" w14:textId="77777777" w:rsidR="00E62EC6" w:rsidRPr="00E62EC6" w:rsidRDefault="00E62EC6" w:rsidP="00E20FF5">
            <w:pPr>
              <w:jc w:val="center"/>
              <w:rPr>
                <w:color w:val="000000"/>
                <w:sz w:val="16"/>
                <w:szCs w:val="16"/>
                <w:lang w:val="en-GB"/>
              </w:rPr>
            </w:pPr>
            <w:r w:rsidRPr="00E62EC6">
              <w:rPr>
                <w:color w:val="000000"/>
                <w:sz w:val="16"/>
                <w:szCs w:val="16"/>
              </w:rPr>
              <w:t>0.15</w:t>
            </w:r>
          </w:p>
        </w:tc>
        <w:tc>
          <w:tcPr>
            <w:tcW w:w="556" w:type="dxa"/>
            <w:shd w:val="clear" w:color="auto" w:fill="auto"/>
            <w:noWrap/>
            <w:vAlign w:val="center"/>
            <w:hideMark/>
          </w:tcPr>
          <w:p w14:paraId="4E42A092"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6D16D4A8"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1FE9262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E692FA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457290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ECE1DA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454724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6B0C2C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62CC32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E4782D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8742E01"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C15AE6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6D0C803"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295FB3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ED3954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61250B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7AF051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06365A6" w14:textId="77777777" w:rsidR="00E62EC6" w:rsidRPr="00E62EC6" w:rsidRDefault="00E62EC6" w:rsidP="00E20FF5">
            <w:pPr>
              <w:jc w:val="center"/>
              <w:rPr>
                <w:sz w:val="20"/>
                <w:szCs w:val="20"/>
                <w:lang w:val="en-GB"/>
              </w:rPr>
            </w:pPr>
          </w:p>
        </w:tc>
      </w:tr>
      <w:tr w:rsidR="00FC73F8" w:rsidRPr="00E62EC6" w14:paraId="381DF311" w14:textId="77777777" w:rsidTr="00FC73F8">
        <w:trPr>
          <w:trHeight w:val="290"/>
          <w:jc w:val="center"/>
        </w:trPr>
        <w:tc>
          <w:tcPr>
            <w:tcW w:w="2158" w:type="dxa"/>
            <w:shd w:val="clear" w:color="auto" w:fill="auto"/>
            <w:noWrap/>
            <w:vAlign w:val="center"/>
            <w:hideMark/>
          </w:tcPr>
          <w:p w14:paraId="0E7C5F7B" w14:textId="77777777" w:rsidR="00E62EC6" w:rsidRPr="00E62EC6" w:rsidRDefault="00E62EC6" w:rsidP="00E20FF5">
            <w:pPr>
              <w:rPr>
                <w:color w:val="000000"/>
                <w:sz w:val="16"/>
                <w:szCs w:val="16"/>
                <w:lang w:val="en-GB"/>
              </w:rPr>
            </w:pPr>
            <w:r w:rsidRPr="00E62EC6">
              <w:rPr>
                <w:color w:val="000000"/>
                <w:sz w:val="16"/>
                <w:szCs w:val="16"/>
                <w:lang w:val="en-GB" w:eastAsia="zh-CN"/>
              </w:rPr>
              <w:t>(6) Syndicate reputation: reciprocal</w:t>
            </w:r>
          </w:p>
        </w:tc>
        <w:tc>
          <w:tcPr>
            <w:tcW w:w="556" w:type="dxa"/>
            <w:shd w:val="clear" w:color="auto" w:fill="auto"/>
            <w:noWrap/>
            <w:vAlign w:val="center"/>
            <w:hideMark/>
          </w:tcPr>
          <w:p w14:paraId="5467B186" w14:textId="77777777" w:rsidR="00E62EC6" w:rsidRPr="00E62EC6" w:rsidRDefault="00E62EC6" w:rsidP="00E20FF5">
            <w:pPr>
              <w:jc w:val="center"/>
              <w:rPr>
                <w:color w:val="000000"/>
                <w:sz w:val="16"/>
                <w:szCs w:val="16"/>
                <w:lang w:val="en-GB"/>
              </w:rPr>
            </w:pPr>
            <w:r w:rsidRPr="00E62EC6">
              <w:rPr>
                <w:color w:val="000000"/>
                <w:sz w:val="16"/>
                <w:szCs w:val="16"/>
              </w:rPr>
              <w:t>0.09</w:t>
            </w:r>
          </w:p>
        </w:tc>
        <w:tc>
          <w:tcPr>
            <w:tcW w:w="556" w:type="dxa"/>
            <w:shd w:val="clear" w:color="auto" w:fill="auto"/>
            <w:noWrap/>
            <w:vAlign w:val="center"/>
            <w:hideMark/>
          </w:tcPr>
          <w:p w14:paraId="2912323B" w14:textId="77777777" w:rsidR="00E62EC6" w:rsidRPr="00E62EC6" w:rsidRDefault="00E62EC6" w:rsidP="00E20FF5">
            <w:pPr>
              <w:jc w:val="center"/>
              <w:rPr>
                <w:color w:val="000000"/>
                <w:sz w:val="16"/>
                <w:szCs w:val="16"/>
                <w:lang w:val="en-GB"/>
              </w:rPr>
            </w:pPr>
            <w:r w:rsidRPr="00E62EC6">
              <w:rPr>
                <w:color w:val="000000"/>
                <w:sz w:val="16"/>
                <w:szCs w:val="16"/>
              </w:rPr>
              <w:t>0.12</w:t>
            </w:r>
          </w:p>
        </w:tc>
        <w:tc>
          <w:tcPr>
            <w:tcW w:w="556" w:type="dxa"/>
            <w:shd w:val="clear" w:color="auto" w:fill="auto"/>
            <w:noWrap/>
            <w:vAlign w:val="center"/>
            <w:hideMark/>
          </w:tcPr>
          <w:p w14:paraId="3A1DBF06"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22362EDC" w14:textId="77777777" w:rsidR="00E62EC6" w:rsidRPr="00E62EC6" w:rsidRDefault="00E62EC6" w:rsidP="00E20FF5">
            <w:pPr>
              <w:jc w:val="center"/>
              <w:rPr>
                <w:color w:val="000000"/>
                <w:sz w:val="16"/>
                <w:szCs w:val="16"/>
                <w:lang w:val="en-GB"/>
              </w:rPr>
            </w:pPr>
            <w:r w:rsidRPr="00E62EC6">
              <w:rPr>
                <w:color w:val="000000"/>
                <w:sz w:val="16"/>
                <w:szCs w:val="16"/>
              </w:rPr>
              <w:t>0.11</w:t>
            </w:r>
          </w:p>
        </w:tc>
        <w:tc>
          <w:tcPr>
            <w:tcW w:w="556" w:type="dxa"/>
            <w:shd w:val="clear" w:color="auto" w:fill="auto"/>
            <w:noWrap/>
            <w:vAlign w:val="center"/>
            <w:hideMark/>
          </w:tcPr>
          <w:p w14:paraId="13B0740F" w14:textId="77777777" w:rsidR="00E62EC6" w:rsidRPr="00E62EC6" w:rsidRDefault="00E62EC6" w:rsidP="00E20FF5">
            <w:pPr>
              <w:jc w:val="center"/>
              <w:rPr>
                <w:color w:val="000000"/>
                <w:sz w:val="16"/>
                <w:szCs w:val="16"/>
                <w:lang w:val="en-GB"/>
              </w:rPr>
            </w:pPr>
            <w:r w:rsidRPr="00E62EC6">
              <w:rPr>
                <w:color w:val="000000"/>
                <w:sz w:val="16"/>
                <w:szCs w:val="16"/>
              </w:rPr>
              <w:t>0.42</w:t>
            </w:r>
          </w:p>
        </w:tc>
        <w:tc>
          <w:tcPr>
            <w:tcW w:w="556" w:type="dxa"/>
            <w:shd w:val="clear" w:color="auto" w:fill="auto"/>
            <w:noWrap/>
            <w:vAlign w:val="center"/>
            <w:hideMark/>
          </w:tcPr>
          <w:p w14:paraId="73611786"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6ED052BB"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4902D53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CBB17A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087CFC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53B5BF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143D59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26501F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808C52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3807AD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2F664F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18D00F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969A9C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5A3FEE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F774CA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EC4368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86C91B1" w14:textId="77777777" w:rsidR="00E62EC6" w:rsidRPr="00E62EC6" w:rsidRDefault="00E62EC6" w:rsidP="00E20FF5">
            <w:pPr>
              <w:jc w:val="center"/>
              <w:rPr>
                <w:sz w:val="20"/>
                <w:szCs w:val="20"/>
                <w:lang w:val="en-GB"/>
              </w:rPr>
            </w:pPr>
          </w:p>
        </w:tc>
      </w:tr>
      <w:tr w:rsidR="00FC73F8" w:rsidRPr="00E62EC6" w14:paraId="18F734DB" w14:textId="77777777" w:rsidTr="00FC73F8">
        <w:trPr>
          <w:trHeight w:val="290"/>
          <w:jc w:val="center"/>
        </w:trPr>
        <w:tc>
          <w:tcPr>
            <w:tcW w:w="2158" w:type="dxa"/>
            <w:shd w:val="clear" w:color="auto" w:fill="auto"/>
            <w:noWrap/>
            <w:vAlign w:val="center"/>
            <w:hideMark/>
          </w:tcPr>
          <w:p w14:paraId="70029CC1" w14:textId="77777777" w:rsidR="00E62EC6" w:rsidRPr="00E62EC6" w:rsidRDefault="00E62EC6" w:rsidP="00E20FF5">
            <w:pPr>
              <w:rPr>
                <w:color w:val="000000"/>
                <w:sz w:val="16"/>
                <w:szCs w:val="16"/>
                <w:lang w:val="en-GB"/>
              </w:rPr>
            </w:pPr>
            <w:r w:rsidRPr="00E62EC6">
              <w:rPr>
                <w:color w:val="000000"/>
                <w:sz w:val="16"/>
                <w:szCs w:val="16"/>
                <w:lang w:val="en-GB" w:eastAsia="zh-CN"/>
              </w:rPr>
              <w:t>(7) Past lending</w:t>
            </w:r>
          </w:p>
        </w:tc>
        <w:tc>
          <w:tcPr>
            <w:tcW w:w="556" w:type="dxa"/>
            <w:shd w:val="clear" w:color="auto" w:fill="auto"/>
            <w:noWrap/>
            <w:vAlign w:val="center"/>
            <w:hideMark/>
          </w:tcPr>
          <w:p w14:paraId="2F448031" w14:textId="77777777" w:rsidR="00E62EC6" w:rsidRPr="00E62EC6" w:rsidRDefault="00E62EC6" w:rsidP="00E20FF5">
            <w:pPr>
              <w:jc w:val="center"/>
              <w:rPr>
                <w:color w:val="000000"/>
                <w:sz w:val="16"/>
                <w:szCs w:val="16"/>
                <w:lang w:val="en-GB"/>
              </w:rPr>
            </w:pPr>
            <w:r w:rsidRPr="00E62EC6">
              <w:rPr>
                <w:color w:val="000000"/>
                <w:sz w:val="16"/>
                <w:szCs w:val="16"/>
              </w:rPr>
              <w:t>0.17</w:t>
            </w:r>
          </w:p>
        </w:tc>
        <w:tc>
          <w:tcPr>
            <w:tcW w:w="556" w:type="dxa"/>
            <w:shd w:val="clear" w:color="auto" w:fill="auto"/>
            <w:noWrap/>
            <w:vAlign w:val="center"/>
            <w:hideMark/>
          </w:tcPr>
          <w:p w14:paraId="71F696D0" w14:textId="77777777" w:rsidR="00E62EC6" w:rsidRPr="00E62EC6" w:rsidRDefault="00E62EC6" w:rsidP="00E20FF5">
            <w:pPr>
              <w:jc w:val="center"/>
              <w:rPr>
                <w:color w:val="000000"/>
                <w:sz w:val="16"/>
                <w:szCs w:val="16"/>
                <w:lang w:val="en-GB"/>
              </w:rPr>
            </w:pPr>
            <w:r w:rsidRPr="00E62EC6">
              <w:rPr>
                <w:color w:val="000000"/>
                <w:sz w:val="16"/>
                <w:szCs w:val="16"/>
              </w:rPr>
              <w:t>0.16</w:t>
            </w:r>
          </w:p>
        </w:tc>
        <w:tc>
          <w:tcPr>
            <w:tcW w:w="556" w:type="dxa"/>
            <w:shd w:val="clear" w:color="auto" w:fill="auto"/>
            <w:noWrap/>
            <w:vAlign w:val="center"/>
            <w:hideMark/>
          </w:tcPr>
          <w:p w14:paraId="1C04A08D"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789005C7" w14:textId="77777777" w:rsidR="00E62EC6" w:rsidRPr="00E62EC6" w:rsidRDefault="00E62EC6" w:rsidP="00E20FF5">
            <w:pPr>
              <w:jc w:val="center"/>
              <w:rPr>
                <w:color w:val="000000"/>
                <w:sz w:val="16"/>
                <w:szCs w:val="16"/>
                <w:lang w:val="en-GB"/>
              </w:rPr>
            </w:pPr>
            <w:r w:rsidRPr="00E62EC6">
              <w:rPr>
                <w:color w:val="000000"/>
                <w:sz w:val="16"/>
                <w:szCs w:val="16"/>
              </w:rPr>
              <w:t>0.13</w:t>
            </w:r>
          </w:p>
        </w:tc>
        <w:tc>
          <w:tcPr>
            <w:tcW w:w="556" w:type="dxa"/>
            <w:shd w:val="clear" w:color="auto" w:fill="auto"/>
            <w:noWrap/>
            <w:vAlign w:val="center"/>
            <w:hideMark/>
          </w:tcPr>
          <w:p w14:paraId="483AAB36" w14:textId="77777777" w:rsidR="00E62EC6" w:rsidRPr="00E62EC6" w:rsidRDefault="00E62EC6" w:rsidP="00E20FF5">
            <w:pPr>
              <w:jc w:val="center"/>
              <w:rPr>
                <w:color w:val="000000"/>
                <w:sz w:val="16"/>
                <w:szCs w:val="16"/>
                <w:lang w:val="en-GB"/>
              </w:rPr>
            </w:pPr>
            <w:r w:rsidRPr="00E62EC6">
              <w:rPr>
                <w:color w:val="000000"/>
                <w:sz w:val="16"/>
                <w:szCs w:val="16"/>
              </w:rPr>
              <w:t>0.26</w:t>
            </w:r>
          </w:p>
        </w:tc>
        <w:tc>
          <w:tcPr>
            <w:tcW w:w="556" w:type="dxa"/>
            <w:shd w:val="clear" w:color="auto" w:fill="auto"/>
            <w:noWrap/>
            <w:vAlign w:val="center"/>
            <w:hideMark/>
          </w:tcPr>
          <w:p w14:paraId="0DC723A4" w14:textId="77777777" w:rsidR="00E62EC6" w:rsidRPr="00E62EC6" w:rsidRDefault="00E62EC6" w:rsidP="00E20FF5">
            <w:pPr>
              <w:jc w:val="center"/>
              <w:rPr>
                <w:color w:val="000000"/>
                <w:sz w:val="16"/>
                <w:szCs w:val="16"/>
                <w:lang w:val="en-GB"/>
              </w:rPr>
            </w:pPr>
            <w:r w:rsidRPr="00E62EC6">
              <w:rPr>
                <w:color w:val="000000"/>
                <w:sz w:val="16"/>
                <w:szCs w:val="16"/>
              </w:rPr>
              <w:t>0.25</w:t>
            </w:r>
          </w:p>
        </w:tc>
        <w:tc>
          <w:tcPr>
            <w:tcW w:w="556" w:type="dxa"/>
            <w:shd w:val="clear" w:color="auto" w:fill="auto"/>
            <w:noWrap/>
            <w:vAlign w:val="center"/>
            <w:hideMark/>
          </w:tcPr>
          <w:p w14:paraId="2BAF0912"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74FBBDBE"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78AB29CA"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96F2FA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9850573"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F2EBB1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ECBF83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1FDF27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64B26E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C1F5E4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A71A4A3"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4C5D3F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460660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1379541"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C65AF9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40EDB13" w14:textId="77777777" w:rsidR="00E62EC6" w:rsidRPr="00E62EC6" w:rsidRDefault="00E62EC6" w:rsidP="00E20FF5">
            <w:pPr>
              <w:jc w:val="center"/>
              <w:rPr>
                <w:sz w:val="20"/>
                <w:szCs w:val="20"/>
                <w:lang w:val="en-GB"/>
              </w:rPr>
            </w:pPr>
          </w:p>
        </w:tc>
      </w:tr>
      <w:tr w:rsidR="00FC73F8" w:rsidRPr="00E62EC6" w14:paraId="5118ED64" w14:textId="77777777" w:rsidTr="00FC73F8">
        <w:trPr>
          <w:trHeight w:val="320"/>
          <w:jc w:val="center"/>
        </w:trPr>
        <w:tc>
          <w:tcPr>
            <w:tcW w:w="2158" w:type="dxa"/>
            <w:shd w:val="clear" w:color="auto" w:fill="auto"/>
            <w:noWrap/>
            <w:vAlign w:val="center"/>
            <w:hideMark/>
          </w:tcPr>
          <w:p w14:paraId="5EB37DF0" w14:textId="77777777" w:rsidR="00E62EC6" w:rsidRPr="00E62EC6" w:rsidRDefault="00E62EC6" w:rsidP="00E20FF5">
            <w:pPr>
              <w:rPr>
                <w:color w:val="000000"/>
                <w:sz w:val="16"/>
                <w:szCs w:val="16"/>
                <w:lang w:val="en-GB"/>
              </w:rPr>
            </w:pPr>
            <w:r w:rsidRPr="00E62EC6">
              <w:rPr>
                <w:color w:val="000000"/>
                <w:sz w:val="16"/>
                <w:szCs w:val="16"/>
                <w:lang w:val="en-GB" w:eastAsia="zh-CN"/>
              </w:rPr>
              <w:t>(8) Lead agent share</w:t>
            </w:r>
          </w:p>
        </w:tc>
        <w:tc>
          <w:tcPr>
            <w:tcW w:w="556" w:type="dxa"/>
            <w:shd w:val="clear" w:color="auto" w:fill="auto"/>
            <w:noWrap/>
            <w:vAlign w:val="center"/>
            <w:hideMark/>
          </w:tcPr>
          <w:p w14:paraId="26F34BDC" w14:textId="77777777" w:rsidR="00E62EC6" w:rsidRPr="00E62EC6" w:rsidRDefault="00E62EC6" w:rsidP="00E20FF5">
            <w:pPr>
              <w:jc w:val="center"/>
              <w:rPr>
                <w:color w:val="000000"/>
                <w:sz w:val="16"/>
                <w:szCs w:val="16"/>
                <w:lang w:val="en-GB"/>
              </w:rPr>
            </w:pPr>
            <w:r w:rsidRPr="00E62EC6">
              <w:rPr>
                <w:color w:val="000000"/>
                <w:sz w:val="16"/>
                <w:szCs w:val="16"/>
              </w:rPr>
              <w:t>-0.16</w:t>
            </w:r>
          </w:p>
        </w:tc>
        <w:tc>
          <w:tcPr>
            <w:tcW w:w="556" w:type="dxa"/>
            <w:shd w:val="clear" w:color="auto" w:fill="auto"/>
            <w:noWrap/>
            <w:vAlign w:val="center"/>
            <w:hideMark/>
          </w:tcPr>
          <w:p w14:paraId="5EB2116F" w14:textId="77777777" w:rsidR="00E62EC6" w:rsidRPr="00E62EC6" w:rsidRDefault="00E62EC6" w:rsidP="00E20FF5">
            <w:pPr>
              <w:jc w:val="center"/>
              <w:rPr>
                <w:color w:val="000000"/>
                <w:sz w:val="16"/>
                <w:szCs w:val="16"/>
                <w:lang w:val="en-GB"/>
              </w:rPr>
            </w:pPr>
            <w:r w:rsidRPr="00E62EC6">
              <w:rPr>
                <w:color w:val="000000"/>
                <w:sz w:val="16"/>
                <w:szCs w:val="16"/>
              </w:rPr>
              <w:t>-0.21</w:t>
            </w:r>
          </w:p>
        </w:tc>
        <w:tc>
          <w:tcPr>
            <w:tcW w:w="556" w:type="dxa"/>
            <w:shd w:val="clear" w:color="auto" w:fill="auto"/>
            <w:noWrap/>
            <w:vAlign w:val="center"/>
            <w:hideMark/>
          </w:tcPr>
          <w:p w14:paraId="7053B958"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56FA65FF" w14:textId="77777777" w:rsidR="00E62EC6" w:rsidRPr="00E62EC6" w:rsidRDefault="00E62EC6" w:rsidP="00E20FF5">
            <w:pPr>
              <w:jc w:val="center"/>
              <w:rPr>
                <w:color w:val="000000"/>
                <w:sz w:val="16"/>
                <w:szCs w:val="16"/>
                <w:lang w:val="en-GB"/>
              </w:rPr>
            </w:pPr>
            <w:r w:rsidRPr="00E62EC6">
              <w:rPr>
                <w:color w:val="000000"/>
                <w:sz w:val="16"/>
                <w:szCs w:val="16"/>
              </w:rPr>
              <w:t>-0.16</w:t>
            </w:r>
          </w:p>
        </w:tc>
        <w:tc>
          <w:tcPr>
            <w:tcW w:w="556" w:type="dxa"/>
            <w:shd w:val="clear" w:color="auto" w:fill="auto"/>
            <w:noWrap/>
            <w:vAlign w:val="center"/>
            <w:hideMark/>
          </w:tcPr>
          <w:p w14:paraId="5F27B962" w14:textId="77777777" w:rsidR="00E62EC6" w:rsidRPr="00E62EC6" w:rsidRDefault="00E62EC6" w:rsidP="00E20FF5">
            <w:pPr>
              <w:jc w:val="center"/>
              <w:rPr>
                <w:color w:val="000000"/>
                <w:sz w:val="16"/>
                <w:szCs w:val="16"/>
                <w:lang w:val="en-GB"/>
              </w:rPr>
            </w:pPr>
            <w:r w:rsidRPr="00E62EC6">
              <w:rPr>
                <w:color w:val="000000"/>
                <w:sz w:val="16"/>
                <w:szCs w:val="16"/>
              </w:rPr>
              <w:t>-0.48</w:t>
            </w:r>
          </w:p>
        </w:tc>
        <w:tc>
          <w:tcPr>
            <w:tcW w:w="556" w:type="dxa"/>
            <w:shd w:val="clear" w:color="auto" w:fill="auto"/>
            <w:noWrap/>
            <w:vAlign w:val="center"/>
            <w:hideMark/>
          </w:tcPr>
          <w:p w14:paraId="11FFC4F6" w14:textId="77777777" w:rsidR="00E62EC6" w:rsidRPr="00E62EC6" w:rsidRDefault="00E62EC6" w:rsidP="00E20FF5">
            <w:pPr>
              <w:jc w:val="center"/>
              <w:rPr>
                <w:color w:val="000000"/>
                <w:sz w:val="16"/>
                <w:szCs w:val="16"/>
                <w:lang w:val="en-GB"/>
              </w:rPr>
            </w:pPr>
            <w:r w:rsidRPr="00E62EC6">
              <w:rPr>
                <w:color w:val="000000"/>
                <w:sz w:val="16"/>
                <w:szCs w:val="16"/>
              </w:rPr>
              <w:t>-0.5</w:t>
            </w:r>
          </w:p>
        </w:tc>
        <w:tc>
          <w:tcPr>
            <w:tcW w:w="556" w:type="dxa"/>
            <w:shd w:val="clear" w:color="auto" w:fill="auto"/>
            <w:noWrap/>
            <w:vAlign w:val="center"/>
            <w:hideMark/>
          </w:tcPr>
          <w:p w14:paraId="1C33DB79" w14:textId="77777777" w:rsidR="00E62EC6" w:rsidRPr="00E62EC6" w:rsidRDefault="00E62EC6" w:rsidP="00E20FF5">
            <w:pPr>
              <w:jc w:val="center"/>
              <w:rPr>
                <w:color w:val="000000"/>
                <w:sz w:val="16"/>
                <w:szCs w:val="16"/>
                <w:lang w:val="en-GB"/>
              </w:rPr>
            </w:pPr>
            <w:r w:rsidRPr="00E62EC6">
              <w:rPr>
                <w:color w:val="000000"/>
                <w:sz w:val="16"/>
                <w:szCs w:val="16"/>
              </w:rPr>
              <w:t>-0.34</w:t>
            </w:r>
          </w:p>
        </w:tc>
        <w:tc>
          <w:tcPr>
            <w:tcW w:w="556" w:type="dxa"/>
            <w:shd w:val="clear" w:color="auto" w:fill="auto"/>
            <w:noWrap/>
            <w:vAlign w:val="center"/>
            <w:hideMark/>
          </w:tcPr>
          <w:p w14:paraId="0C777D16"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5F067D72"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1707710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388FC7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94ABEB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3836FF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46BF9E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D5EE73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CD8E9B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88B0F4A"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9D63C63"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AD765C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468458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F403BC3"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E417B03" w14:textId="77777777" w:rsidR="00E62EC6" w:rsidRPr="00E62EC6" w:rsidRDefault="00E62EC6" w:rsidP="00E20FF5">
            <w:pPr>
              <w:jc w:val="center"/>
              <w:rPr>
                <w:sz w:val="20"/>
                <w:szCs w:val="20"/>
                <w:lang w:val="en-GB"/>
              </w:rPr>
            </w:pPr>
          </w:p>
        </w:tc>
      </w:tr>
      <w:tr w:rsidR="00FC73F8" w:rsidRPr="00E62EC6" w14:paraId="6FA95A66" w14:textId="77777777" w:rsidTr="00FC73F8">
        <w:trPr>
          <w:trHeight w:val="290"/>
          <w:jc w:val="center"/>
        </w:trPr>
        <w:tc>
          <w:tcPr>
            <w:tcW w:w="2158" w:type="dxa"/>
            <w:shd w:val="clear" w:color="auto" w:fill="auto"/>
            <w:noWrap/>
            <w:vAlign w:val="center"/>
            <w:hideMark/>
          </w:tcPr>
          <w:p w14:paraId="44580439" w14:textId="77777777" w:rsidR="00E62EC6" w:rsidRPr="00E62EC6" w:rsidRDefault="00E62EC6" w:rsidP="00E20FF5">
            <w:pPr>
              <w:rPr>
                <w:color w:val="000000"/>
                <w:sz w:val="16"/>
                <w:szCs w:val="16"/>
                <w:lang w:val="en-GB"/>
              </w:rPr>
            </w:pPr>
            <w:r w:rsidRPr="00E62EC6">
              <w:rPr>
                <w:color w:val="000000"/>
                <w:sz w:val="16"/>
                <w:szCs w:val="16"/>
                <w:lang w:val="en-GB" w:eastAsia="zh-CN"/>
              </w:rPr>
              <w:t>(9) Total asset</w:t>
            </w:r>
          </w:p>
        </w:tc>
        <w:tc>
          <w:tcPr>
            <w:tcW w:w="556" w:type="dxa"/>
            <w:shd w:val="clear" w:color="auto" w:fill="auto"/>
            <w:noWrap/>
            <w:vAlign w:val="center"/>
            <w:hideMark/>
          </w:tcPr>
          <w:p w14:paraId="7FA6D1F3" w14:textId="77777777" w:rsidR="00E62EC6" w:rsidRPr="00E62EC6" w:rsidRDefault="00E62EC6" w:rsidP="00E20FF5">
            <w:pPr>
              <w:jc w:val="center"/>
              <w:rPr>
                <w:color w:val="000000"/>
                <w:sz w:val="16"/>
                <w:szCs w:val="16"/>
                <w:lang w:val="en-GB"/>
              </w:rPr>
            </w:pPr>
            <w:r w:rsidRPr="00E62EC6">
              <w:rPr>
                <w:color w:val="000000"/>
                <w:sz w:val="16"/>
                <w:szCs w:val="16"/>
              </w:rPr>
              <w:t>0.28</w:t>
            </w:r>
          </w:p>
        </w:tc>
        <w:tc>
          <w:tcPr>
            <w:tcW w:w="556" w:type="dxa"/>
            <w:shd w:val="clear" w:color="auto" w:fill="auto"/>
            <w:noWrap/>
            <w:vAlign w:val="center"/>
            <w:hideMark/>
          </w:tcPr>
          <w:p w14:paraId="3DD14FEA" w14:textId="77777777" w:rsidR="00E62EC6" w:rsidRPr="00E62EC6" w:rsidRDefault="00E62EC6" w:rsidP="00E20FF5">
            <w:pPr>
              <w:jc w:val="center"/>
              <w:rPr>
                <w:color w:val="000000"/>
                <w:sz w:val="16"/>
                <w:szCs w:val="16"/>
                <w:lang w:val="en-GB"/>
              </w:rPr>
            </w:pPr>
            <w:r w:rsidRPr="00E62EC6">
              <w:rPr>
                <w:color w:val="000000"/>
                <w:sz w:val="16"/>
                <w:szCs w:val="16"/>
              </w:rPr>
              <w:t>0.3</w:t>
            </w:r>
          </w:p>
        </w:tc>
        <w:tc>
          <w:tcPr>
            <w:tcW w:w="556" w:type="dxa"/>
            <w:shd w:val="clear" w:color="auto" w:fill="auto"/>
            <w:noWrap/>
            <w:vAlign w:val="center"/>
            <w:hideMark/>
          </w:tcPr>
          <w:p w14:paraId="21F38892" w14:textId="77777777" w:rsidR="00E62EC6" w:rsidRPr="00E62EC6" w:rsidRDefault="00E62EC6" w:rsidP="00E20FF5">
            <w:pPr>
              <w:jc w:val="center"/>
              <w:rPr>
                <w:color w:val="000000"/>
                <w:sz w:val="16"/>
                <w:szCs w:val="16"/>
                <w:lang w:val="en-GB"/>
              </w:rPr>
            </w:pPr>
            <w:r w:rsidRPr="00E62EC6">
              <w:rPr>
                <w:color w:val="000000"/>
                <w:sz w:val="16"/>
                <w:szCs w:val="16"/>
              </w:rPr>
              <w:t>-0.08</w:t>
            </w:r>
          </w:p>
        </w:tc>
        <w:tc>
          <w:tcPr>
            <w:tcW w:w="556" w:type="dxa"/>
            <w:shd w:val="clear" w:color="auto" w:fill="auto"/>
            <w:noWrap/>
            <w:vAlign w:val="center"/>
            <w:hideMark/>
          </w:tcPr>
          <w:p w14:paraId="16CB043C" w14:textId="77777777" w:rsidR="00E62EC6" w:rsidRPr="00E62EC6" w:rsidRDefault="00E62EC6" w:rsidP="00E20FF5">
            <w:pPr>
              <w:jc w:val="center"/>
              <w:rPr>
                <w:color w:val="000000"/>
                <w:sz w:val="16"/>
                <w:szCs w:val="16"/>
                <w:lang w:val="en-GB"/>
              </w:rPr>
            </w:pPr>
            <w:r w:rsidRPr="00E62EC6">
              <w:rPr>
                <w:color w:val="000000"/>
                <w:sz w:val="16"/>
                <w:szCs w:val="16"/>
              </w:rPr>
              <w:t>0.3</w:t>
            </w:r>
          </w:p>
        </w:tc>
        <w:tc>
          <w:tcPr>
            <w:tcW w:w="556" w:type="dxa"/>
            <w:shd w:val="clear" w:color="auto" w:fill="auto"/>
            <w:noWrap/>
            <w:vAlign w:val="center"/>
            <w:hideMark/>
          </w:tcPr>
          <w:p w14:paraId="056E384F" w14:textId="77777777" w:rsidR="00E62EC6" w:rsidRPr="00E62EC6" w:rsidRDefault="00E62EC6" w:rsidP="00E20FF5">
            <w:pPr>
              <w:jc w:val="center"/>
              <w:rPr>
                <w:color w:val="000000"/>
                <w:sz w:val="16"/>
                <w:szCs w:val="16"/>
                <w:lang w:val="en-GB"/>
              </w:rPr>
            </w:pPr>
            <w:r w:rsidRPr="00E62EC6">
              <w:rPr>
                <w:color w:val="000000"/>
                <w:sz w:val="16"/>
                <w:szCs w:val="16"/>
              </w:rPr>
              <w:t>0.49</w:t>
            </w:r>
          </w:p>
        </w:tc>
        <w:tc>
          <w:tcPr>
            <w:tcW w:w="556" w:type="dxa"/>
            <w:shd w:val="clear" w:color="auto" w:fill="auto"/>
            <w:noWrap/>
            <w:vAlign w:val="center"/>
            <w:hideMark/>
          </w:tcPr>
          <w:p w14:paraId="7072DF40" w14:textId="77777777" w:rsidR="00E62EC6" w:rsidRPr="00E62EC6" w:rsidRDefault="00E62EC6" w:rsidP="00E20FF5">
            <w:pPr>
              <w:jc w:val="center"/>
              <w:rPr>
                <w:color w:val="000000"/>
                <w:sz w:val="16"/>
                <w:szCs w:val="16"/>
                <w:lang w:val="en-GB"/>
              </w:rPr>
            </w:pPr>
            <w:r w:rsidRPr="00E62EC6">
              <w:rPr>
                <w:color w:val="000000"/>
                <w:sz w:val="16"/>
                <w:szCs w:val="16"/>
              </w:rPr>
              <w:t>0.41</w:t>
            </w:r>
          </w:p>
        </w:tc>
        <w:tc>
          <w:tcPr>
            <w:tcW w:w="556" w:type="dxa"/>
            <w:shd w:val="clear" w:color="auto" w:fill="auto"/>
            <w:noWrap/>
            <w:vAlign w:val="center"/>
            <w:hideMark/>
          </w:tcPr>
          <w:p w14:paraId="01EB8F11" w14:textId="77777777" w:rsidR="00E62EC6" w:rsidRPr="00E62EC6" w:rsidRDefault="00E62EC6" w:rsidP="00E20FF5">
            <w:pPr>
              <w:jc w:val="center"/>
              <w:rPr>
                <w:color w:val="000000"/>
                <w:sz w:val="16"/>
                <w:szCs w:val="16"/>
                <w:lang w:val="en-GB"/>
              </w:rPr>
            </w:pPr>
            <w:r w:rsidRPr="00E62EC6">
              <w:rPr>
                <w:color w:val="000000"/>
                <w:sz w:val="16"/>
                <w:szCs w:val="16"/>
              </w:rPr>
              <w:t>0.44</w:t>
            </w:r>
          </w:p>
        </w:tc>
        <w:tc>
          <w:tcPr>
            <w:tcW w:w="556" w:type="dxa"/>
            <w:shd w:val="clear" w:color="auto" w:fill="auto"/>
            <w:noWrap/>
            <w:vAlign w:val="center"/>
            <w:hideMark/>
          </w:tcPr>
          <w:p w14:paraId="44DC398C" w14:textId="77777777" w:rsidR="00E62EC6" w:rsidRPr="00E62EC6" w:rsidRDefault="00E62EC6" w:rsidP="00E20FF5">
            <w:pPr>
              <w:jc w:val="center"/>
              <w:rPr>
                <w:color w:val="000000"/>
                <w:sz w:val="16"/>
                <w:szCs w:val="16"/>
                <w:lang w:val="en-GB"/>
              </w:rPr>
            </w:pPr>
            <w:r w:rsidRPr="00E62EC6">
              <w:rPr>
                <w:color w:val="000000"/>
                <w:sz w:val="16"/>
                <w:szCs w:val="16"/>
              </w:rPr>
              <w:t>-0.59</w:t>
            </w:r>
          </w:p>
        </w:tc>
        <w:tc>
          <w:tcPr>
            <w:tcW w:w="556" w:type="dxa"/>
            <w:shd w:val="clear" w:color="auto" w:fill="auto"/>
            <w:noWrap/>
            <w:vAlign w:val="center"/>
            <w:hideMark/>
          </w:tcPr>
          <w:p w14:paraId="4F987672"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2704C1F1"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7C90FBC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1193C6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02FB76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19BBEC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EF3131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E302CA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92EC21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1D8ACA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06409F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8DE077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8D2354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353C494" w14:textId="77777777" w:rsidR="00E62EC6" w:rsidRPr="00E62EC6" w:rsidRDefault="00E62EC6" w:rsidP="00E20FF5">
            <w:pPr>
              <w:jc w:val="center"/>
              <w:rPr>
                <w:sz w:val="20"/>
                <w:szCs w:val="20"/>
                <w:lang w:val="en-GB"/>
              </w:rPr>
            </w:pPr>
          </w:p>
        </w:tc>
      </w:tr>
      <w:tr w:rsidR="00FC73F8" w:rsidRPr="00E62EC6" w14:paraId="24093EE0" w14:textId="77777777" w:rsidTr="00FC73F8">
        <w:trPr>
          <w:trHeight w:val="290"/>
          <w:jc w:val="center"/>
        </w:trPr>
        <w:tc>
          <w:tcPr>
            <w:tcW w:w="2158" w:type="dxa"/>
            <w:shd w:val="clear" w:color="auto" w:fill="auto"/>
            <w:noWrap/>
            <w:vAlign w:val="center"/>
            <w:hideMark/>
          </w:tcPr>
          <w:p w14:paraId="4EFDE5FA" w14:textId="77777777" w:rsidR="00E62EC6" w:rsidRPr="00E62EC6" w:rsidRDefault="00E62EC6" w:rsidP="00E20FF5">
            <w:pPr>
              <w:rPr>
                <w:color w:val="000000"/>
                <w:sz w:val="16"/>
                <w:szCs w:val="16"/>
                <w:lang w:val="en-GB"/>
              </w:rPr>
            </w:pPr>
            <w:r w:rsidRPr="00E62EC6">
              <w:rPr>
                <w:color w:val="000000"/>
                <w:sz w:val="16"/>
                <w:szCs w:val="16"/>
                <w:lang w:val="en-GB" w:eastAsia="zh-CN"/>
              </w:rPr>
              <w:t>(10) ROA</w:t>
            </w:r>
          </w:p>
        </w:tc>
        <w:tc>
          <w:tcPr>
            <w:tcW w:w="556" w:type="dxa"/>
            <w:shd w:val="clear" w:color="auto" w:fill="auto"/>
            <w:noWrap/>
            <w:vAlign w:val="center"/>
            <w:hideMark/>
          </w:tcPr>
          <w:p w14:paraId="7D6C8973"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47E1F49E"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42722458"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2FE920BB"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1D997AD4" w14:textId="77777777" w:rsidR="00E62EC6" w:rsidRPr="00E62EC6" w:rsidRDefault="00E62EC6" w:rsidP="00E20FF5">
            <w:pPr>
              <w:jc w:val="center"/>
              <w:rPr>
                <w:color w:val="000000"/>
                <w:sz w:val="16"/>
                <w:szCs w:val="16"/>
                <w:lang w:val="en-GB"/>
              </w:rPr>
            </w:pPr>
            <w:r w:rsidRPr="00E62EC6">
              <w:rPr>
                <w:color w:val="000000"/>
                <w:sz w:val="16"/>
                <w:szCs w:val="16"/>
              </w:rPr>
              <w:t>0.08</w:t>
            </w:r>
          </w:p>
        </w:tc>
        <w:tc>
          <w:tcPr>
            <w:tcW w:w="556" w:type="dxa"/>
            <w:shd w:val="clear" w:color="auto" w:fill="auto"/>
            <w:noWrap/>
            <w:vAlign w:val="center"/>
            <w:hideMark/>
          </w:tcPr>
          <w:p w14:paraId="2409E924" w14:textId="77777777" w:rsidR="00E62EC6" w:rsidRPr="00E62EC6" w:rsidRDefault="00E62EC6" w:rsidP="00E20FF5">
            <w:pPr>
              <w:jc w:val="center"/>
              <w:rPr>
                <w:color w:val="000000"/>
                <w:sz w:val="16"/>
                <w:szCs w:val="16"/>
                <w:lang w:val="en-GB"/>
              </w:rPr>
            </w:pPr>
            <w:r w:rsidRPr="00E62EC6">
              <w:rPr>
                <w:color w:val="000000"/>
                <w:sz w:val="16"/>
                <w:szCs w:val="16"/>
              </w:rPr>
              <w:t>0.11</w:t>
            </w:r>
          </w:p>
        </w:tc>
        <w:tc>
          <w:tcPr>
            <w:tcW w:w="556" w:type="dxa"/>
            <w:shd w:val="clear" w:color="auto" w:fill="auto"/>
            <w:noWrap/>
            <w:vAlign w:val="center"/>
            <w:hideMark/>
          </w:tcPr>
          <w:p w14:paraId="2B41C08D"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1484BD16" w14:textId="77777777" w:rsidR="00E62EC6" w:rsidRPr="00E62EC6" w:rsidRDefault="00E62EC6" w:rsidP="00E20FF5">
            <w:pPr>
              <w:jc w:val="center"/>
              <w:rPr>
                <w:color w:val="000000"/>
                <w:sz w:val="16"/>
                <w:szCs w:val="16"/>
                <w:lang w:val="en-GB"/>
              </w:rPr>
            </w:pPr>
            <w:r w:rsidRPr="00E62EC6">
              <w:rPr>
                <w:color w:val="000000"/>
                <w:sz w:val="16"/>
                <w:szCs w:val="16"/>
              </w:rPr>
              <w:t>-0.11</w:t>
            </w:r>
          </w:p>
        </w:tc>
        <w:tc>
          <w:tcPr>
            <w:tcW w:w="556" w:type="dxa"/>
            <w:shd w:val="clear" w:color="auto" w:fill="auto"/>
            <w:noWrap/>
            <w:vAlign w:val="center"/>
            <w:hideMark/>
          </w:tcPr>
          <w:p w14:paraId="4356C2FE"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7283677B"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3625D863"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64EB2DC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D48D12A"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D8CFAD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48102D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456FD6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843FF3A"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3A357B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C690D3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52D4CA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5E3643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F874906" w14:textId="77777777" w:rsidR="00E62EC6" w:rsidRPr="00E62EC6" w:rsidRDefault="00E62EC6" w:rsidP="00E20FF5">
            <w:pPr>
              <w:jc w:val="center"/>
              <w:rPr>
                <w:sz w:val="20"/>
                <w:szCs w:val="20"/>
                <w:lang w:val="en-GB"/>
              </w:rPr>
            </w:pPr>
          </w:p>
        </w:tc>
      </w:tr>
      <w:tr w:rsidR="00FC73F8" w:rsidRPr="00E62EC6" w14:paraId="37DE7152" w14:textId="77777777" w:rsidTr="00FC73F8">
        <w:trPr>
          <w:trHeight w:val="290"/>
          <w:jc w:val="center"/>
        </w:trPr>
        <w:tc>
          <w:tcPr>
            <w:tcW w:w="2158" w:type="dxa"/>
            <w:shd w:val="clear" w:color="auto" w:fill="auto"/>
            <w:noWrap/>
            <w:vAlign w:val="center"/>
            <w:hideMark/>
          </w:tcPr>
          <w:p w14:paraId="11BDED19" w14:textId="77777777" w:rsidR="00E62EC6" w:rsidRPr="00E62EC6" w:rsidRDefault="00E62EC6" w:rsidP="00E20FF5">
            <w:pPr>
              <w:rPr>
                <w:color w:val="000000"/>
                <w:sz w:val="16"/>
                <w:szCs w:val="16"/>
                <w:lang w:val="en-GB"/>
              </w:rPr>
            </w:pPr>
            <w:r w:rsidRPr="00E62EC6">
              <w:rPr>
                <w:color w:val="000000"/>
                <w:sz w:val="16"/>
                <w:szCs w:val="16"/>
                <w:lang w:val="en-GB" w:eastAsia="zh-CN"/>
              </w:rPr>
              <w:t>(11) Tobin's Q</w:t>
            </w:r>
          </w:p>
        </w:tc>
        <w:tc>
          <w:tcPr>
            <w:tcW w:w="556" w:type="dxa"/>
            <w:shd w:val="clear" w:color="auto" w:fill="auto"/>
            <w:noWrap/>
            <w:vAlign w:val="center"/>
            <w:hideMark/>
          </w:tcPr>
          <w:p w14:paraId="3E3D83C4" w14:textId="77777777" w:rsidR="00E62EC6" w:rsidRPr="00E62EC6" w:rsidRDefault="00E62EC6" w:rsidP="00E20FF5">
            <w:pPr>
              <w:jc w:val="center"/>
              <w:rPr>
                <w:color w:val="000000"/>
                <w:sz w:val="16"/>
                <w:szCs w:val="16"/>
                <w:lang w:val="en-GB"/>
              </w:rPr>
            </w:pPr>
            <w:r w:rsidRPr="00E62EC6">
              <w:rPr>
                <w:color w:val="000000"/>
                <w:sz w:val="16"/>
                <w:szCs w:val="16"/>
              </w:rPr>
              <w:t>0.08</w:t>
            </w:r>
          </w:p>
        </w:tc>
        <w:tc>
          <w:tcPr>
            <w:tcW w:w="556" w:type="dxa"/>
            <w:shd w:val="clear" w:color="auto" w:fill="auto"/>
            <w:noWrap/>
            <w:vAlign w:val="center"/>
            <w:hideMark/>
          </w:tcPr>
          <w:p w14:paraId="58F4CC12" w14:textId="77777777" w:rsidR="00E62EC6" w:rsidRPr="00E62EC6" w:rsidRDefault="00E62EC6" w:rsidP="00E20FF5">
            <w:pPr>
              <w:jc w:val="center"/>
              <w:rPr>
                <w:color w:val="000000"/>
                <w:sz w:val="16"/>
                <w:szCs w:val="16"/>
                <w:lang w:val="en-GB"/>
              </w:rPr>
            </w:pPr>
            <w:r w:rsidRPr="00E62EC6">
              <w:rPr>
                <w:color w:val="000000"/>
                <w:sz w:val="16"/>
                <w:szCs w:val="16"/>
              </w:rPr>
              <w:t>0.06</w:t>
            </w:r>
          </w:p>
        </w:tc>
        <w:tc>
          <w:tcPr>
            <w:tcW w:w="556" w:type="dxa"/>
            <w:shd w:val="clear" w:color="auto" w:fill="auto"/>
            <w:noWrap/>
            <w:vAlign w:val="center"/>
            <w:hideMark/>
          </w:tcPr>
          <w:p w14:paraId="4245AE86"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0645184F"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23C24912"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6F79FE1E" w14:textId="77777777" w:rsidR="00E62EC6" w:rsidRPr="00E62EC6" w:rsidRDefault="00E62EC6" w:rsidP="00E20FF5">
            <w:pPr>
              <w:jc w:val="center"/>
              <w:rPr>
                <w:color w:val="000000"/>
                <w:sz w:val="16"/>
                <w:szCs w:val="16"/>
                <w:lang w:val="en-GB"/>
              </w:rPr>
            </w:pPr>
            <w:r w:rsidRPr="00E62EC6">
              <w:rPr>
                <w:color w:val="000000"/>
                <w:sz w:val="16"/>
                <w:szCs w:val="16"/>
              </w:rPr>
              <w:t>0.06</w:t>
            </w:r>
          </w:p>
        </w:tc>
        <w:tc>
          <w:tcPr>
            <w:tcW w:w="556" w:type="dxa"/>
            <w:shd w:val="clear" w:color="auto" w:fill="auto"/>
            <w:noWrap/>
            <w:vAlign w:val="center"/>
            <w:hideMark/>
          </w:tcPr>
          <w:p w14:paraId="3616C926"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232F8136"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707CB640"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7B68B9F2" w14:textId="77777777" w:rsidR="00E62EC6" w:rsidRPr="00E62EC6" w:rsidRDefault="00E62EC6" w:rsidP="00E20FF5">
            <w:pPr>
              <w:jc w:val="center"/>
              <w:rPr>
                <w:color w:val="000000"/>
                <w:sz w:val="16"/>
                <w:szCs w:val="16"/>
                <w:lang w:val="en-GB"/>
              </w:rPr>
            </w:pPr>
            <w:r w:rsidRPr="00E62EC6">
              <w:rPr>
                <w:color w:val="000000"/>
                <w:sz w:val="16"/>
                <w:szCs w:val="16"/>
              </w:rPr>
              <w:t>0.39</w:t>
            </w:r>
          </w:p>
        </w:tc>
        <w:tc>
          <w:tcPr>
            <w:tcW w:w="556" w:type="dxa"/>
            <w:shd w:val="clear" w:color="auto" w:fill="auto"/>
            <w:noWrap/>
            <w:vAlign w:val="center"/>
            <w:hideMark/>
          </w:tcPr>
          <w:p w14:paraId="7BB26D20"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07115A57"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3FC37CD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99A3281"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B90613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CEF745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94E3DB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9A34E3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8FD0DD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F09CEB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64C573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9BAA1CF" w14:textId="77777777" w:rsidR="00E62EC6" w:rsidRPr="00E62EC6" w:rsidRDefault="00E62EC6" w:rsidP="00E20FF5">
            <w:pPr>
              <w:jc w:val="center"/>
              <w:rPr>
                <w:sz w:val="20"/>
                <w:szCs w:val="20"/>
                <w:lang w:val="en-GB"/>
              </w:rPr>
            </w:pPr>
          </w:p>
        </w:tc>
      </w:tr>
      <w:tr w:rsidR="00FC73F8" w:rsidRPr="00E62EC6" w14:paraId="03C3C495" w14:textId="77777777" w:rsidTr="00FC73F8">
        <w:trPr>
          <w:trHeight w:val="290"/>
          <w:jc w:val="center"/>
        </w:trPr>
        <w:tc>
          <w:tcPr>
            <w:tcW w:w="2158" w:type="dxa"/>
            <w:shd w:val="clear" w:color="auto" w:fill="auto"/>
            <w:noWrap/>
            <w:vAlign w:val="center"/>
            <w:hideMark/>
          </w:tcPr>
          <w:p w14:paraId="6BAE1893" w14:textId="77777777" w:rsidR="00E62EC6" w:rsidRPr="00E62EC6" w:rsidRDefault="00E62EC6" w:rsidP="00E20FF5">
            <w:pPr>
              <w:rPr>
                <w:color w:val="000000"/>
                <w:sz w:val="16"/>
                <w:szCs w:val="16"/>
                <w:lang w:val="en-GB"/>
              </w:rPr>
            </w:pPr>
            <w:r w:rsidRPr="00E62EC6">
              <w:rPr>
                <w:color w:val="000000"/>
                <w:sz w:val="16"/>
                <w:szCs w:val="16"/>
                <w:lang w:val="en-GB" w:eastAsia="zh-CN"/>
              </w:rPr>
              <w:t>(12) Cash</w:t>
            </w:r>
          </w:p>
        </w:tc>
        <w:tc>
          <w:tcPr>
            <w:tcW w:w="556" w:type="dxa"/>
            <w:shd w:val="clear" w:color="auto" w:fill="auto"/>
            <w:noWrap/>
            <w:vAlign w:val="center"/>
            <w:hideMark/>
          </w:tcPr>
          <w:p w14:paraId="10F1ABAD"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2253D175"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04974588"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3A532595"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22D5A14B"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78997DC1"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337A4834" w14:textId="77777777" w:rsidR="00E62EC6" w:rsidRPr="00E62EC6" w:rsidRDefault="00E62EC6" w:rsidP="00E20FF5">
            <w:pPr>
              <w:jc w:val="center"/>
              <w:rPr>
                <w:color w:val="000000"/>
                <w:sz w:val="16"/>
                <w:szCs w:val="16"/>
                <w:lang w:val="en-GB"/>
              </w:rPr>
            </w:pPr>
            <w:r w:rsidRPr="00E62EC6">
              <w:rPr>
                <w:color w:val="000000"/>
                <w:sz w:val="16"/>
                <w:szCs w:val="16"/>
              </w:rPr>
              <w:t>-0.15</w:t>
            </w:r>
          </w:p>
        </w:tc>
        <w:tc>
          <w:tcPr>
            <w:tcW w:w="556" w:type="dxa"/>
            <w:shd w:val="clear" w:color="auto" w:fill="auto"/>
            <w:noWrap/>
            <w:vAlign w:val="center"/>
            <w:hideMark/>
          </w:tcPr>
          <w:p w14:paraId="7530CCBA"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6C2AF39A"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46D05AD9"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423A1312" w14:textId="77777777" w:rsidR="00E62EC6" w:rsidRPr="00E62EC6" w:rsidRDefault="00E62EC6" w:rsidP="00E20FF5">
            <w:pPr>
              <w:jc w:val="center"/>
              <w:rPr>
                <w:color w:val="000000"/>
                <w:sz w:val="16"/>
                <w:szCs w:val="16"/>
                <w:lang w:val="en-GB"/>
              </w:rPr>
            </w:pPr>
            <w:r w:rsidRPr="00E62EC6">
              <w:rPr>
                <w:color w:val="000000"/>
                <w:sz w:val="16"/>
                <w:szCs w:val="16"/>
              </w:rPr>
              <w:t>0.32</w:t>
            </w:r>
          </w:p>
        </w:tc>
        <w:tc>
          <w:tcPr>
            <w:tcW w:w="556" w:type="dxa"/>
            <w:shd w:val="clear" w:color="auto" w:fill="auto"/>
            <w:noWrap/>
            <w:vAlign w:val="center"/>
            <w:hideMark/>
          </w:tcPr>
          <w:p w14:paraId="48FA6404"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48DBDC6C"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35A3F573"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E0C0AE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F0C113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CFE6E22"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77D3FCC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A95EE0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4DA881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EA3E7F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106FA7A" w14:textId="77777777" w:rsidR="00E62EC6" w:rsidRPr="00E62EC6" w:rsidRDefault="00E62EC6" w:rsidP="00E20FF5">
            <w:pPr>
              <w:jc w:val="center"/>
              <w:rPr>
                <w:sz w:val="20"/>
                <w:szCs w:val="20"/>
                <w:lang w:val="en-GB"/>
              </w:rPr>
            </w:pPr>
          </w:p>
        </w:tc>
      </w:tr>
      <w:tr w:rsidR="00FC73F8" w:rsidRPr="00E62EC6" w14:paraId="00FAF548" w14:textId="77777777" w:rsidTr="00FC73F8">
        <w:trPr>
          <w:trHeight w:val="290"/>
          <w:jc w:val="center"/>
        </w:trPr>
        <w:tc>
          <w:tcPr>
            <w:tcW w:w="2158" w:type="dxa"/>
            <w:shd w:val="clear" w:color="auto" w:fill="auto"/>
            <w:noWrap/>
            <w:vAlign w:val="center"/>
            <w:hideMark/>
          </w:tcPr>
          <w:p w14:paraId="08594CB1" w14:textId="77777777" w:rsidR="00E62EC6" w:rsidRPr="00E62EC6" w:rsidRDefault="00E62EC6" w:rsidP="00E20FF5">
            <w:pPr>
              <w:rPr>
                <w:color w:val="000000"/>
                <w:sz w:val="16"/>
                <w:szCs w:val="16"/>
                <w:lang w:val="en-GB"/>
              </w:rPr>
            </w:pPr>
            <w:r w:rsidRPr="00E62EC6">
              <w:rPr>
                <w:color w:val="000000"/>
                <w:sz w:val="16"/>
                <w:szCs w:val="16"/>
                <w:lang w:val="en-GB" w:eastAsia="zh-CN"/>
              </w:rPr>
              <w:t>(13) Leverage</w:t>
            </w:r>
          </w:p>
        </w:tc>
        <w:tc>
          <w:tcPr>
            <w:tcW w:w="556" w:type="dxa"/>
            <w:shd w:val="clear" w:color="auto" w:fill="auto"/>
            <w:noWrap/>
            <w:vAlign w:val="center"/>
            <w:hideMark/>
          </w:tcPr>
          <w:p w14:paraId="64DFE8FD"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7CFA25CD"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23893178"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613B9625"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45FBE335"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6B4832F5"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4BD7BE84" w14:textId="77777777" w:rsidR="00E62EC6" w:rsidRPr="00E62EC6" w:rsidRDefault="00E62EC6" w:rsidP="00E20FF5">
            <w:pPr>
              <w:jc w:val="center"/>
              <w:rPr>
                <w:color w:val="000000"/>
                <w:sz w:val="16"/>
                <w:szCs w:val="16"/>
                <w:lang w:val="en-GB"/>
              </w:rPr>
            </w:pPr>
            <w:r w:rsidRPr="00E62EC6">
              <w:rPr>
                <w:color w:val="000000"/>
                <w:sz w:val="16"/>
                <w:szCs w:val="16"/>
              </w:rPr>
              <w:t>0.14</w:t>
            </w:r>
          </w:p>
        </w:tc>
        <w:tc>
          <w:tcPr>
            <w:tcW w:w="556" w:type="dxa"/>
            <w:shd w:val="clear" w:color="auto" w:fill="auto"/>
            <w:noWrap/>
            <w:vAlign w:val="center"/>
            <w:hideMark/>
          </w:tcPr>
          <w:p w14:paraId="2EB49BCE"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61C9FD1C"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1CFFFBC2" w14:textId="77777777" w:rsidR="00E62EC6" w:rsidRPr="00E62EC6" w:rsidRDefault="00E62EC6" w:rsidP="00E20FF5">
            <w:pPr>
              <w:jc w:val="center"/>
              <w:rPr>
                <w:color w:val="000000"/>
                <w:sz w:val="16"/>
                <w:szCs w:val="16"/>
                <w:lang w:val="en-GB"/>
              </w:rPr>
            </w:pPr>
            <w:r w:rsidRPr="00E62EC6">
              <w:rPr>
                <w:color w:val="000000"/>
                <w:sz w:val="16"/>
                <w:szCs w:val="16"/>
              </w:rPr>
              <w:t>-0.18</w:t>
            </w:r>
          </w:p>
        </w:tc>
        <w:tc>
          <w:tcPr>
            <w:tcW w:w="556" w:type="dxa"/>
            <w:shd w:val="clear" w:color="auto" w:fill="auto"/>
            <w:noWrap/>
            <w:vAlign w:val="center"/>
            <w:hideMark/>
          </w:tcPr>
          <w:p w14:paraId="2369FA20" w14:textId="77777777" w:rsidR="00E62EC6" w:rsidRPr="00E62EC6" w:rsidRDefault="00E62EC6" w:rsidP="00E20FF5">
            <w:pPr>
              <w:jc w:val="center"/>
              <w:rPr>
                <w:color w:val="000000"/>
                <w:sz w:val="16"/>
                <w:szCs w:val="16"/>
                <w:lang w:val="en-GB"/>
              </w:rPr>
            </w:pPr>
            <w:r w:rsidRPr="00E62EC6">
              <w:rPr>
                <w:color w:val="000000"/>
                <w:sz w:val="16"/>
                <w:szCs w:val="16"/>
              </w:rPr>
              <w:t>-0.13</w:t>
            </w:r>
          </w:p>
        </w:tc>
        <w:tc>
          <w:tcPr>
            <w:tcW w:w="556" w:type="dxa"/>
            <w:shd w:val="clear" w:color="auto" w:fill="auto"/>
            <w:noWrap/>
            <w:vAlign w:val="center"/>
            <w:hideMark/>
          </w:tcPr>
          <w:p w14:paraId="33AD5D64" w14:textId="77777777" w:rsidR="00E62EC6" w:rsidRPr="00E62EC6" w:rsidRDefault="00E62EC6" w:rsidP="00E20FF5">
            <w:pPr>
              <w:jc w:val="center"/>
              <w:rPr>
                <w:color w:val="000000"/>
                <w:sz w:val="16"/>
                <w:szCs w:val="16"/>
                <w:lang w:val="en-GB"/>
              </w:rPr>
            </w:pPr>
            <w:r w:rsidRPr="00E62EC6">
              <w:rPr>
                <w:color w:val="000000"/>
                <w:sz w:val="16"/>
                <w:szCs w:val="16"/>
              </w:rPr>
              <w:t>-0.28</w:t>
            </w:r>
          </w:p>
        </w:tc>
        <w:tc>
          <w:tcPr>
            <w:tcW w:w="556" w:type="dxa"/>
            <w:shd w:val="clear" w:color="auto" w:fill="auto"/>
            <w:noWrap/>
            <w:vAlign w:val="center"/>
            <w:hideMark/>
          </w:tcPr>
          <w:p w14:paraId="1CE48EE9"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074B425C"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6D3D825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BBEF37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78DFEC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D750D1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E82EBB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F98A6B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6E4083E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C115BC9" w14:textId="77777777" w:rsidR="00E62EC6" w:rsidRPr="00E62EC6" w:rsidRDefault="00E62EC6" w:rsidP="00E20FF5">
            <w:pPr>
              <w:jc w:val="center"/>
              <w:rPr>
                <w:sz w:val="20"/>
                <w:szCs w:val="20"/>
                <w:lang w:val="en-GB"/>
              </w:rPr>
            </w:pPr>
          </w:p>
        </w:tc>
      </w:tr>
      <w:tr w:rsidR="00FC73F8" w:rsidRPr="00E62EC6" w14:paraId="29364642" w14:textId="77777777" w:rsidTr="00FC73F8">
        <w:trPr>
          <w:trHeight w:val="290"/>
          <w:jc w:val="center"/>
        </w:trPr>
        <w:tc>
          <w:tcPr>
            <w:tcW w:w="2158" w:type="dxa"/>
            <w:shd w:val="clear" w:color="auto" w:fill="auto"/>
            <w:noWrap/>
            <w:vAlign w:val="center"/>
            <w:hideMark/>
          </w:tcPr>
          <w:p w14:paraId="36A074AB" w14:textId="77777777" w:rsidR="00E62EC6" w:rsidRPr="00E62EC6" w:rsidRDefault="00E62EC6" w:rsidP="00E20FF5">
            <w:pPr>
              <w:rPr>
                <w:color w:val="000000"/>
                <w:sz w:val="16"/>
                <w:szCs w:val="16"/>
                <w:lang w:val="en-GB"/>
              </w:rPr>
            </w:pPr>
            <w:r w:rsidRPr="00E62EC6">
              <w:rPr>
                <w:color w:val="000000"/>
                <w:sz w:val="16"/>
                <w:szCs w:val="16"/>
                <w:lang w:val="en-GB" w:eastAsia="zh-CN"/>
              </w:rPr>
              <w:t>(14) CAPX</w:t>
            </w:r>
          </w:p>
        </w:tc>
        <w:tc>
          <w:tcPr>
            <w:tcW w:w="556" w:type="dxa"/>
            <w:shd w:val="clear" w:color="auto" w:fill="auto"/>
            <w:noWrap/>
            <w:vAlign w:val="center"/>
            <w:hideMark/>
          </w:tcPr>
          <w:p w14:paraId="44A88FBA" w14:textId="77777777" w:rsidR="00E62EC6" w:rsidRPr="00E62EC6" w:rsidRDefault="00E62EC6" w:rsidP="00E20FF5">
            <w:pPr>
              <w:jc w:val="center"/>
              <w:rPr>
                <w:color w:val="000000"/>
                <w:sz w:val="16"/>
                <w:szCs w:val="16"/>
                <w:lang w:val="en-GB"/>
              </w:rPr>
            </w:pPr>
            <w:r w:rsidRPr="00E62EC6">
              <w:rPr>
                <w:color w:val="000000"/>
                <w:sz w:val="16"/>
                <w:szCs w:val="16"/>
              </w:rPr>
              <w:t>0.34</w:t>
            </w:r>
          </w:p>
        </w:tc>
        <w:tc>
          <w:tcPr>
            <w:tcW w:w="556" w:type="dxa"/>
            <w:shd w:val="clear" w:color="auto" w:fill="auto"/>
            <w:noWrap/>
            <w:vAlign w:val="center"/>
            <w:hideMark/>
          </w:tcPr>
          <w:p w14:paraId="119E9C14" w14:textId="77777777" w:rsidR="00E62EC6" w:rsidRPr="00E62EC6" w:rsidRDefault="00E62EC6" w:rsidP="00E20FF5">
            <w:pPr>
              <w:jc w:val="center"/>
              <w:rPr>
                <w:color w:val="000000"/>
                <w:sz w:val="16"/>
                <w:szCs w:val="16"/>
                <w:lang w:val="en-GB"/>
              </w:rPr>
            </w:pPr>
            <w:r w:rsidRPr="00E62EC6">
              <w:rPr>
                <w:color w:val="000000"/>
                <w:sz w:val="16"/>
                <w:szCs w:val="16"/>
              </w:rPr>
              <w:t>0.31</w:t>
            </w:r>
          </w:p>
        </w:tc>
        <w:tc>
          <w:tcPr>
            <w:tcW w:w="556" w:type="dxa"/>
            <w:shd w:val="clear" w:color="auto" w:fill="auto"/>
            <w:noWrap/>
            <w:vAlign w:val="center"/>
            <w:hideMark/>
          </w:tcPr>
          <w:p w14:paraId="0CD66603"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18144427" w14:textId="77777777" w:rsidR="00E62EC6" w:rsidRPr="00E62EC6" w:rsidRDefault="00E62EC6" w:rsidP="00E20FF5">
            <w:pPr>
              <w:jc w:val="center"/>
              <w:rPr>
                <w:color w:val="000000"/>
                <w:sz w:val="16"/>
                <w:szCs w:val="16"/>
                <w:lang w:val="en-GB"/>
              </w:rPr>
            </w:pPr>
            <w:r w:rsidRPr="00E62EC6">
              <w:rPr>
                <w:color w:val="000000"/>
                <w:sz w:val="16"/>
                <w:szCs w:val="16"/>
              </w:rPr>
              <w:t>0.31</w:t>
            </w:r>
          </w:p>
        </w:tc>
        <w:tc>
          <w:tcPr>
            <w:tcW w:w="556" w:type="dxa"/>
            <w:shd w:val="clear" w:color="auto" w:fill="auto"/>
            <w:noWrap/>
            <w:vAlign w:val="center"/>
            <w:hideMark/>
          </w:tcPr>
          <w:p w14:paraId="5C875572" w14:textId="77777777" w:rsidR="00E62EC6" w:rsidRPr="00E62EC6" w:rsidRDefault="00E62EC6" w:rsidP="00E20FF5">
            <w:pPr>
              <w:jc w:val="center"/>
              <w:rPr>
                <w:color w:val="000000"/>
                <w:sz w:val="16"/>
                <w:szCs w:val="16"/>
                <w:lang w:val="en-GB"/>
              </w:rPr>
            </w:pPr>
            <w:r w:rsidRPr="00E62EC6">
              <w:rPr>
                <w:color w:val="000000"/>
                <w:sz w:val="16"/>
                <w:szCs w:val="16"/>
              </w:rPr>
              <w:t>0.42</w:t>
            </w:r>
          </w:p>
        </w:tc>
        <w:tc>
          <w:tcPr>
            <w:tcW w:w="556" w:type="dxa"/>
            <w:shd w:val="clear" w:color="auto" w:fill="auto"/>
            <w:noWrap/>
            <w:vAlign w:val="center"/>
            <w:hideMark/>
          </w:tcPr>
          <w:p w14:paraId="4EE5E8FB" w14:textId="77777777" w:rsidR="00E62EC6" w:rsidRPr="00E62EC6" w:rsidRDefault="00E62EC6" w:rsidP="00E20FF5">
            <w:pPr>
              <w:jc w:val="center"/>
              <w:rPr>
                <w:color w:val="000000"/>
                <w:sz w:val="16"/>
                <w:szCs w:val="16"/>
                <w:lang w:val="en-GB"/>
              </w:rPr>
            </w:pPr>
            <w:r w:rsidRPr="00E62EC6">
              <w:rPr>
                <w:color w:val="000000"/>
                <w:sz w:val="16"/>
                <w:szCs w:val="16"/>
              </w:rPr>
              <w:t>0.35</w:t>
            </w:r>
          </w:p>
        </w:tc>
        <w:tc>
          <w:tcPr>
            <w:tcW w:w="556" w:type="dxa"/>
            <w:shd w:val="clear" w:color="auto" w:fill="auto"/>
            <w:noWrap/>
            <w:vAlign w:val="center"/>
            <w:hideMark/>
          </w:tcPr>
          <w:p w14:paraId="6527B49B" w14:textId="77777777" w:rsidR="00E62EC6" w:rsidRPr="00E62EC6" w:rsidRDefault="00E62EC6" w:rsidP="00E20FF5">
            <w:pPr>
              <w:jc w:val="center"/>
              <w:rPr>
                <w:color w:val="000000"/>
                <w:sz w:val="16"/>
                <w:szCs w:val="16"/>
                <w:lang w:val="en-GB"/>
              </w:rPr>
            </w:pPr>
            <w:r w:rsidRPr="00E62EC6">
              <w:rPr>
                <w:color w:val="000000"/>
                <w:sz w:val="16"/>
                <w:szCs w:val="16"/>
              </w:rPr>
              <w:t>0.39</w:t>
            </w:r>
          </w:p>
        </w:tc>
        <w:tc>
          <w:tcPr>
            <w:tcW w:w="556" w:type="dxa"/>
            <w:shd w:val="clear" w:color="auto" w:fill="auto"/>
            <w:noWrap/>
            <w:vAlign w:val="center"/>
            <w:hideMark/>
          </w:tcPr>
          <w:p w14:paraId="3F488CD4" w14:textId="77777777" w:rsidR="00E62EC6" w:rsidRPr="00E62EC6" w:rsidRDefault="00E62EC6" w:rsidP="00E20FF5">
            <w:pPr>
              <w:jc w:val="center"/>
              <w:rPr>
                <w:color w:val="000000"/>
                <w:sz w:val="16"/>
                <w:szCs w:val="16"/>
                <w:lang w:val="en-GB"/>
              </w:rPr>
            </w:pPr>
            <w:r w:rsidRPr="00E62EC6">
              <w:rPr>
                <w:color w:val="000000"/>
                <w:sz w:val="16"/>
                <w:szCs w:val="16"/>
              </w:rPr>
              <w:t>-0.52</w:t>
            </w:r>
          </w:p>
        </w:tc>
        <w:tc>
          <w:tcPr>
            <w:tcW w:w="556" w:type="dxa"/>
            <w:shd w:val="clear" w:color="auto" w:fill="auto"/>
            <w:noWrap/>
            <w:vAlign w:val="center"/>
            <w:hideMark/>
          </w:tcPr>
          <w:p w14:paraId="5D4F77C8" w14:textId="77777777" w:rsidR="00E62EC6" w:rsidRPr="00E62EC6" w:rsidRDefault="00E62EC6" w:rsidP="00E20FF5">
            <w:pPr>
              <w:jc w:val="center"/>
              <w:rPr>
                <w:color w:val="000000"/>
                <w:sz w:val="16"/>
                <w:szCs w:val="16"/>
                <w:lang w:val="en-GB"/>
              </w:rPr>
            </w:pPr>
            <w:r w:rsidRPr="00E62EC6">
              <w:rPr>
                <w:color w:val="000000"/>
                <w:sz w:val="16"/>
                <w:szCs w:val="16"/>
              </w:rPr>
              <w:t>0.83</w:t>
            </w:r>
          </w:p>
        </w:tc>
        <w:tc>
          <w:tcPr>
            <w:tcW w:w="556" w:type="dxa"/>
            <w:shd w:val="clear" w:color="auto" w:fill="auto"/>
            <w:noWrap/>
            <w:vAlign w:val="center"/>
            <w:hideMark/>
          </w:tcPr>
          <w:p w14:paraId="4CB31A88"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0E0DBC4F"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3FFDE190" w14:textId="77777777" w:rsidR="00E62EC6" w:rsidRPr="00E62EC6" w:rsidRDefault="00E62EC6" w:rsidP="00E20FF5">
            <w:pPr>
              <w:jc w:val="center"/>
              <w:rPr>
                <w:color w:val="000000"/>
                <w:sz w:val="16"/>
                <w:szCs w:val="16"/>
                <w:lang w:val="en-GB"/>
              </w:rPr>
            </w:pPr>
            <w:r w:rsidRPr="00E62EC6">
              <w:rPr>
                <w:color w:val="000000"/>
                <w:sz w:val="16"/>
                <w:szCs w:val="16"/>
              </w:rPr>
              <w:t>-0.1</w:t>
            </w:r>
          </w:p>
        </w:tc>
        <w:tc>
          <w:tcPr>
            <w:tcW w:w="556" w:type="dxa"/>
            <w:shd w:val="clear" w:color="auto" w:fill="auto"/>
            <w:noWrap/>
            <w:vAlign w:val="center"/>
            <w:hideMark/>
          </w:tcPr>
          <w:p w14:paraId="09C33A5E"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21A2CE97"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7DDC314C"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035C248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0F2028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F5779F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9EFB84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C7E3BAA"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1C3AC7E"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ABD3F67" w14:textId="77777777" w:rsidR="00E62EC6" w:rsidRPr="00E62EC6" w:rsidRDefault="00E62EC6" w:rsidP="00E20FF5">
            <w:pPr>
              <w:jc w:val="center"/>
              <w:rPr>
                <w:sz w:val="20"/>
                <w:szCs w:val="20"/>
                <w:lang w:val="en-GB"/>
              </w:rPr>
            </w:pPr>
          </w:p>
        </w:tc>
      </w:tr>
      <w:tr w:rsidR="00FC73F8" w:rsidRPr="00E62EC6" w14:paraId="5DEC87BB" w14:textId="77777777" w:rsidTr="00FC73F8">
        <w:trPr>
          <w:trHeight w:val="290"/>
          <w:jc w:val="center"/>
        </w:trPr>
        <w:tc>
          <w:tcPr>
            <w:tcW w:w="2158" w:type="dxa"/>
            <w:shd w:val="clear" w:color="auto" w:fill="auto"/>
            <w:noWrap/>
            <w:vAlign w:val="center"/>
            <w:hideMark/>
          </w:tcPr>
          <w:p w14:paraId="223224C6" w14:textId="77777777" w:rsidR="00E62EC6" w:rsidRPr="00E62EC6" w:rsidRDefault="00E62EC6" w:rsidP="00E20FF5">
            <w:pPr>
              <w:rPr>
                <w:color w:val="000000"/>
                <w:sz w:val="16"/>
                <w:szCs w:val="16"/>
                <w:lang w:val="en-GB"/>
              </w:rPr>
            </w:pPr>
            <w:r w:rsidRPr="00E62EC6">
              <w:rPr>
                <w:color w:val="000000"/>
                <w:sz w:val="16"/>
                <w:szCs w:val="16"/>
                <w:lang w:val="en-GB" w:eastAsia="zh-CN"/>
              </w:rPr>
              <w:t>(15) Log(Facility amount)</w:t>
            </w:r>
          </w:p>
        </w:tc>
        <w:tc>
          <w:tcPr>
            <w:tcW w:w="556" w:type="dxa"/>
            <w:shd w:val="clear" w:color="auto" w:fill="auto"/>
            <w:noWrap/>
            <w:vAlign w:val="center"/>
            <w:hideMark/>
          </w:tcPr>
          <w:p w14:paraId="78B98EC0" w14:textId="77777777" w:rsidR="00E62EC6" w:rsidRPr="00E62EC6" w:rsidRDefault="00E62EC6" w:rsidP="00E20FF5">
            <w:pPr>
              <w:jc w:val="center"/>
              <w:rPr>
                <w:color w:val="000000"/>
                <w:sz w:val="16"/>
                <w:szCs w:val="16"/>
                <w:lang w:val="en-GB"/>
              </w:rPr>
            </w:pPr>
            <w:r w:rsidRPr="00E62EC6">
              <w:rPr>
                <w:color w:val="000000"/>
                <w:sz w:val="16"/>
                <w:szCs w:val="16"/>
              </w:rPr>
              <w:t>0.24</w:t>
            </w:r>
          </w:p>
        </w:tc>
        <w:tc>
          <w:tcPr>
            <w:tcW w:w="556" w:type="dxa"/>
            <w:shd w:val="clear" w:color="auto" w:fill="auto"/>
            <w:noWrap/>
            <w:vAlign w:val="center"/>
            <w:hideMark/>
          </w:tcPr>
          <w:p w14:paraId="01A65F41" w14:textId="77777777" w:rsidR="00E62EC6" w:rsidRPr="00E62EC6" w:rsidRDefault="00E62EC6" w:rsidP="00E20FF5">
            <w:pPr>
              <w:jc w:val="center"/>
              <w:rPr>
                <w:color w:val="000000"/>
                <w:sz w:val="16"/>
                <w:szCs w:val="16"/>
                <w:lang w:val="en-GB"/>
              </w:rPr>
            </w:pPr>
            <w:r w:rsidRPr="00E62EC6">
              <w:rPr>
                <w:color w:val="000000"/>
                <w:sz w:val="16"/>
                <w:szCs w:val="16"/>
              </w:rPr>
              <w:t>0.27</w:t>
            </w:r>
          </w:p>
        </w:tc>
        <w:tc>
          <w:tcPr>
            <w:tcW w:w="556" w:type="dxa"/>
            <w:shd w:val="clear" w:color="auto" w:fill="auto"/>
            <w:noWrap/>
            <w:vAlign w:val="center"/>
            <w:hideMark/>
          </w:tcPr>
          <w:p w14:paraId="66A0EBB2"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467EF683" w14:textId="77777777" w:rsidR="00E62EC6" w:rsidRPr="00E62EC6" w:rsidRDefault="00E62EC6" w:rsidP="00E20FF5">
            <w:pPr>
              <w:jc w:val="center"/>
              <w:rPr>
                <w:color w:val="000000"/>
                <w:sz w:val="16"/>
                <w:szCs w:val="16"/>
                <w:lang w:val="en-GB"/>
              </w:rPr>
            </w:pPr>
            <w:r w:rsidRPr="00E62EC6">
              <w:rPr>
                <w:color w:val="000000"/>
                <w:sz w:val="16"/>
                <w:szCs w:val="16"/>
              </w:rPr>
              <w:t>0.26</w:t>
            </w:r>
          </w:p>
        </w:tc>
        <w:tc>
          <w:tcPr>
            <w:tcW w:w="556" w:type="dxa"/>
            <w:shd w:val="clear" w:color="auto" w:fill="auto"/>
            <w:noWrap/>
            <w:vAlign w:val="center"/>
            <w:hideMark/>
          </w:tcPr>
          <w:p w14:paraId="0FC3E5A5" w14:textId="77777777" w:rsidR="00E62EC6" w:rsidRPr="00E62EC6" w:rsidRDefault="00E62EC6" w:rsidP="00E20FF5">
            <w:pPr>
              <w:jc w:val="center"/>
              <w:rPr>
                <w:color w:val="000000"/>
                <w:sz w:val="16"/>
                <w:szCs w:val="16"/>
                <w:lang w:val="en-GB"/>
              </w:rPr>
            </w:pPr>
            <w:r w:rsidRPr="00E62EC6">
              <w:rPr>
                <w:color w:val="000000"/>
                <w:sz w:val="16"/>
                <w:szCs w:val="16"/>
              </w:rPr>
              <w:t>0.51</w:t>
            </w:r>
          </w:p>
        </w:tc>
        <w:tc>
          <w:tcPr>
            <w:tcW w:w="556" w:type="dxa"/>
            <w:shd w:val="clear" w:color="auto" w:fill="auto"/>
            <w:noWrap/>
            <w:vAlign w:val="center"/>
            <w:hideMark/>
          </w:tcPr>
          <w:p w14:paraId="694DAD8D" w14:textId="77777777" w:rsidR="00E62EC6" w:rsidRPr="00E62EC6" w:rsidRDefault="00E62EC6" w:rsidP="00E20FF5">
            <w:pPr>
              <w:jc w:val="center"/>
              <w:rPr>
                <w:color w:val="000000"/>
                <w:sz w:val="16"/>
                <w:szCs w:val="16"/>
                <w:lang w:val="en-GB"/>
              </w:rPr>
            </w:pPr>
            <w:r w:rsidRPr="00E62EC6">
              <w:rPr>
                <w:color w:val="000000"/>
                <w:sz w:val="16"/>
                <w:szCs w:val="16"/>
              </w:rPr>
              <w:t>0.46</w:t>
            </w:r>
          </w:p>
        </w:tc>
        <w:tc>
          <w:tcPr>
            <w:tcW w:w="556" w:type="dxa"/>
            <w:shd w:val="clear" w:color="auto" w:fill="auto"/>
            <w:noWrap/>
            <w:vAlign w:val="center"/>
            <w:hideMark/>
          </w:tcPr>
          <w:p w14:paraId="6407E66B" w14:textId="77777777" w:rsidR="00E62EC6" w:rsidRPr="00E62EC6" w:rsidRDefault="00E62EC6" w:rsidP="00E20FF5">
            <w:pPr>
              <w:jc w:val="center"/>
              <w:rPr>
                <w:color w:val="000000"/>
                <w:sz w:val="16"/>
                <w:szCs w:val="16"/>
                <w:lang w:val="en-GB"/>
              </w:rPr>
            </w:pPr>
            <w:r w:rsidRPr="00E62EC6">
              <w:rPr>
                <w:color w:val="000000"/>
                <w:sz w:val="16"/>
                <w:szCs w:val="16"/>
              </w:rPr>
              <w:t>0.36</w:t>
            </w:r>
          </w:p>
        </w:tc>
        <w:tc>
          <w:tcPr>
            <w:tcW w:w="556" w:type="dxa"/>
            <w:shd w:val="clear" w:color="auto" w:fill="auto"/>
            <w:noWrap/>
            <w:vAlign w:val="center"/>
            <w:hideMark/>
          </w:tcPr>
          <w:p w14:paraId="1E1F7BCD" w14:textId="77777777" w:rsidR="00E62EC6" w:rsidRPr="00E62EC6" w:rsidRDefault="00E62EC6" w:rsidP="00E20FF5">
            <w:pPr>
              <w:jc w:val="center"/>
              <w:rPr>
                <w:color w:val="000000"/>
                <w:sz w:val="16"/>
                <w:szCs w:val="16"/>
                <w:lang w:val="en-GB"/>
              </w:rPr>
            </w:pPr>
            <w:r w:rsidRPr="00E62EC6">
              <w:rPr>
                <w:color w:val="000000"/>
                <w:sz w:val="16"/>
                <w:szCs w:val="16"/>
              </w:rPr>
              <w:t>-0.63</w:t>
            </w:r>
          </w:p>
        </w:tc>
        <w:tc>
          <w:tcPr>
            <w:tcW w:w="556" w:type="dxa"/>
            <w:shd w:val="clear" w:color="auto" w:fill="auto"/>
            <w:noWrap/>
            <w:vAlign w:val="center"/>
            <w:hideMark/>
          </w:tcPr>
          <w:p w14:paraId="38DD34A6" w14:textId="77777777" w:rsidR="00E62EC6" w:rsidRPr="00E62EC6" w:rsidRDefault="00E62EC6" w:rsidP="00E20FF5">
            <w:pPr>
              <w:jc w:val="center"/>
              <w:rPr>
                <w:color w:val="000000"/>
                <w:sz w:val="16"/>
                <w:szCs w:val="16"/>
                <w:lang w:val="en-GB"/>
              </w:rPr>
            </w:pPr>
            <w:r w:rsidRPr="00E62EC6">
              <w:rPr>
                <w:color w:val="000000"/>
                <w:sz w:val="16"/>
                <w:szCs w:val="16"/>
              </w:rPr>
              <w:t>0.8</w:t>
            </w:r>
          </w:p>
        </w:tc>
        <w:tc>
          <w:tcPr>
            <w:tcW w:w="556" w:type="dxa"/>
            <w:shd w:val="clear" w:color="auto" w:fill="auto"/>
            <w:noWrap/>
            <w:vAlign w:val="center"/>
            <w:hideMark/>
          </w:tcPr>
          <w:p w14:paraId="1939A198" w14:textId="77777777" w:rsidR="00E62EC6" w:rsidRPr="00E62EC6" w:rsidRDefault="00E62EC6" w:rsidP="00E20FF5">
            <w:pPr>
              <w:jc w:val="center"/>
              <w:rPr>
                <w:color w:val="000000"/>
                <w:sz w:val="16"/>
                <w:szCs w:val="16"/>
                <w:lang w:val="en-GB"/>
              </w:rPr>
            </w:pPr>
            <w:r w:rsidRPr="00E62EC6">
              <w:rPr>
                <w:color w:val="000000"/>
                <w:sz w:val="16"/>
                <w:szCs w:val="16"/>
              </w:rPr>
              <w:t>0.11</w:t>
            </w:r>
          </w:p>
        </w:tc>
        <w:tc>
          <w:tcPr>
            <w:tcW w:w="556" w:type="dxa"/>
            <w:shd w:val="clear" w:color="auto" w:fill="auto"/>
            <w:noWrap/>
            <w:vAlign w:val="center"/>
            <w:hideMark/>
          </w:tcPr>
          <w:p w14:paraId="52F8FD2A"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35150FE5"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040FA3A7"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670600E0" w14:textId="77777777" w:rsidR="00E62EC6" w:rsidRPr="00E62EC6" w:rsidRDefault="00E62EC6" w:rsidP="00E20FF5">
            <w:pPr>
              <w:jc w:val="center"/>
              <w:rPr>
                <w:color w:val="000000"/>
                <w:sz w:val="16"/>
                <w:szCs w:val="16"/>
                <w:lang w:val="en-GB"/>
              </w:rPr>
            </w:pPr>
            <w:r w:rsidRPr="00E62EC6">
              <w:rPr>
                <w:color w:val="000000"/>
                <w:sz w:val="16"/>
                <w:szCs w:val="16"/>
              </w:rPr>
              <w:t>0.7</w:t>
            </w:r>
          </w:p>
        </w:tc>
        <w:tc>
          <w:tcPr>
            <w:tcW w:w="556" w:type="dxa"/>
            <w:shd w:val="clear" w:color="auto" w:fill="auto"/>
            <w:noWrap/>
            <w:vAlign w:val="center"/>
            <w:hideMark/>
          </w:tcPr>
          <w:p w14:paraId="6C5C8EF4"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35E510F7"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2FC8A3FB"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F479C4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942AC81"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DE0957F"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3BD411AA"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1B66925" w14:textId="77777777" w:rsidR="00E62EC6" w:rsidRPr="00E62EC6" w:rsidRDefault="00E62EC6" w:rsidP="00E20FF5">
            <w:pPr>
              <w:jc w:val="center"/>
              <w:rPr>
                <w:sz w:val="20"/>
                <w:szCs w:val="20"/>
                <w:lang w:val="en-GB"/>
              </w:rPr>
            </w:pPr>
          </w:p>
        </w:tc>
      </w:tr>
      <w:tr w:rsidR="00FC73F8" w:rsidRPr="00E62EC6" w14:paraId="018F6C89" w14:textId="77777777" w:rsidTr="00FC73F8">
        <w:trPr>
          <w:trHeight w:val="290"/>
          <w:jc w:val="center"/>
        </w:trPr>
        <w:tc>
          <w:tcPr>
            <w:tcW w:w="2158" w:type="dxa"/>
            <w:shd w:val="clear" w:color="auto" w:fill="auto"/>
            <w:noWrap/>
            <w:vAlign w:val="center"/>
            <w:hideMark/>
          </w:tcPr>
          <w:p w14:paraId="56200239" w14:textId="77777777" w:rsidR="00E62EC6" w:rsidRPr="00E62EC6" w:rsidRDefault="00E62EC6" w:rsidP="00E20FF5">
            <w:pPr>
              <w:rPr>
                <w:color w:val="000000"/>
                <w:sz w:val="16"/>
                <w:szCs w:val="16"/>
                <w:lang w:val="en-GB"/>
              </w:rPr>
            </w:pPr>
            <w:r w:rsidRPr="00E62EC6">
              <w:rPr>
                <w:color w:val="000000"/>
                <w:sz w:val="16"/>
                <w:szCs w:val="16"/>
                <w:lang w:val="en-GB" w:eastAsia="zh-CN"/>
              </w:rPr>
              <w:t>(16) Log(Facility maturity)</w:t>
            </w:r>
          </w:p>
        </w:tc>
        <w:tc>
          <w:tcPr>
            <w:tcW w:w="556" w:type="dxa"/>
            <w:shd w:val="clear" w:color="auto" w:fill="auto"/>
            <w:noWrap/>
            <w:vAlign w:val="center"/>
            <w:hideMark/>
          </w:tcPr>
          <w:p w14:paraId="25023720" w14:textId="77777777" w:rsidR="00E62EC6" w:rsidRPr="00E62EC6" w:rsidRDefault="00E62EC6" w:rsidP="00E20FF5">
            <w:pPr>
              <w:jc w:val="center"/>
              <w:rPr>
                <w:color w:val="000000"/>
                <w:sz w:val="16"/>
                <w:szCs w:val="16"/>
                <w:lang w:val="en-GB"/>
              </w:rPr>
            </w:pPr>
            <w:r w:rsidRPr="00E62EC6">
              <w:rPr>
                <w:color w:val="000000"/>
                <w:sz w:val="16"/>
                <w:szCs w:val="16"/>
              </w:rPr>
              <w:t>-0.08</w:t>
            </w:r>
          </w:p>
        </w:tc>
        <w:tc>
          <w:tcPr>
            <w:tcW w:w="556" w:type="dxa"/>
            <w:shd w:val="clear" w:color="auto" w:fill="auto"/>
            <w:noWrap/>
            <w:vAlign w:val="center"/>
            <w:hideMark/>
          </w:tcPr>
          <w:p w14:paraId="6109881C"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45B790EF"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2E3FF6D8"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66ED8406"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40EEC5ED"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232BF695" w14:textId="77777777" w:rsidR="00E62EC6" w:rsidRPr="00E62EC6" w:rsidRDefault="00E62EC6" w:rsidP="00E20FF5">
            <w:pPr>
              <w:jc w:val="center"/>
              <w:rPr>
                <w:color w:val="000000"/>
                <w:sz w:val="16"/>
                <w:szCs w:val="16"/>
                <w:lang w:val="en-GB"/>
              </w:rPr>
            </w:pPr>
            <w:r w:rsidRPr="00E62EC6">
              <w:rPr>
                <w:color w:val="000000"/>
                <w:sz w:val="16"/>
                <w:szCs w:val="16"/>
              </w:rPr>
              <w:t>-0.08</w:t>
            </w:r>
          </w:p>
        </w:tc>
        <w:tc>
          <w:tcPr>
            <w:tcW w:w="556" w:type="dxa"/>
            <w:shd w:val="clear" w:color="auto" w:fill="auto"/>
            <w:noWrap/>
            <w:vAlign w:val="center"/>
            <w:hideMark/>
          </w:tcPr>
          <w:p w14:paraId="689F71AA" w14:textId="77777777" w:rsidR="00E62EC6" w:rsidRPr="00E62EC6" w:rsidRDefault="00E62EC6" w:rsidP="00E20FF5">
            <w:pPr>
              <w:jc w:val="center"/>
              <w:rPr>
                <w:color w:val="000000"/>
                <w:sz w:val="16"/>
                <w:szCs w:val="16"/>
                <w:lang w:val="en-GB"/>
              </w:rPr>
            </w:pPr>
            <w:r w:rsidRPr="00E62EC6">
              <w:rPr>
                <w:color w:val="000000"/>
                <w:sz w:val="16"/>
                <w:szCs w:val="16"/>
              </w:rPr>
              <w:t>-0.06</w:t>
            </w:r>
          </w:p>
        </w:tc>
        <w:tc>
          <w:tcPr>
            <w:tcW w:w="556" w:type="dxa"/>
            <w:shd w:val="clear" w:color="auto" w:fill="auto"/>
            <w:noWrap/>
            <w:vAlign w:val="center"/>
            <w:hideMark/>
          </w:tcPr>
          <w:p w14:paraId="47D88829" w14:textId="77777777" w:rsidR="00E62EC6" w:rsidRPr="00E62EC6" w:rsidRDefault="00E62EC6" w:rsidP="00E20FF5">
            <w:pPr>
              <w:jc w:val="center"/>
              <w:rPr>
                <w:color w:val="000000"/>
                <w:sz w:val="16"/>
                <w:szCs w:val="16"/>
                <w:lang w:val="en-GB"/>
              </w:rPr>
            </w:pPr>
            <w:r w:rsidRPr="00E62EC6">
              <w:rPr>
                <w:color w:val="000000"/>
                <w:sz w:val="16"/>
                <w:szCs w:val="16"/>
              </w:rPr>
              <w:t>-0.12</w:t>
            </w:r>
          </w:p>
        </w:tc>
        <w:tc>
          <w:tcPr>
            <w:tcW w:w="556" w:type="dxa"/>
            <w:shd w:val="clear" w:color="auto" w:fill="auto"/>
            <w:noWrap/>
            <w:vAlign w:val="center"/>
            <w:hideMark/>
          </w:tcPr>
          <w:p w14:paraId="58EC5AF8"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7E6AC045"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605F11A6"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3A34ED70"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1B85BD41" w14:textId="77777777" w:rsidR="00E62EC6" w:rsidRPr="00E62EC6" w:rsidRDefault="00E62EC6" w:rsidP="00E20FF5">
            <w:pPr>
              <w:jc w:val="center"/>
              <w:rPr>
                <w:color w:val="000000"/>
                <w:sz w:val="16"/>
                <w:szCs w:val="16"/>
                <w:lang w:val="en-GB"/>
              </w:rPr>
            </w:pPr>
            <w:r w:rsidRPr="00E62EC6">
              <w:rPr>
                <w:color w:val="000000"/>
                <w:sz w:val="16"/>
                <w:szCs w:val="16"/>
              </w:rPr>
              <w:t>-0.09</w:t>
            </w:r>
          </w:p>
        </w:tc>
        <w:tc>
          <w:tcPr>
            <w:tcW w:w="556" w:type="dxa"/>
            <w:shd w:val="clear" w:color="auto" w:fill="auto"/>
            <w:noWrap/>
            <w:vAlign w:val="center"/>
            <w:hideMark/>
          </w:tcPr>
          <w:p w14:paraId="74BA18BD"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2253F85B"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0A6B91E7"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5BC91266"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BD3B7D5"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4404BFC"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1AFC1B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EA741AD" w14:textId="77777777" w:rsidR="00E62EC6" w:rsidRPr="00E62EC6" w:rsidRDefault="00E62EC6" w:rsidP="00E20FF5">
            <w:pPr>
              <w:jc w:val="center"/>
              <w:rPr>
                <w:sz w:val="20"/>
                <w:szCs w:val="20"/>
                <w:lang w:val="en-GB"/>
              </w:rPr>
            </w:pPr>
          </w:p>
        </w:tc>
      </w:tr>
      <w:tr w:rsidR="00FC73F8" w:rsidRPr="00E62EC6" w14:paraId="40684873" w14:textId="77777777" w:rsidTr="00FC73F8">
        <w:trPr>
          <w:trHeight w:val="330"/>
          <w:jc w:val="center"/>
        </w:trPr>
        <w:tc>
          <w:tcPr>
            <w:tcW w:w="2158" w:type="dxa"/>
            <w:shd w:val="clear" w:color="auto" w:fill="auto"/>
            <w:noWrap/>
            <w:vAlign w:val="center"/>
            <w:hideMark/>
          </w:tcPr>
          <w:p w14:paraId="76437059" w14:textId="77777777" w:rsidR="00E62EC6" w:rsidRPr="00E62EC6" w:rsidRDefault="00E62EC6" w:rsidP="00E20FF5">
            <w:pPr>
              <w:rPr>
                <w:color w:val="000000"/>
                <w:sz w:val="16"/>
                <w:szCs w:val="16"/>
                <w:lang w:val="en-GB"/>
              </w:rPr>
            </w:pPr>
            <w:r w:rsidRPr="00E62EC6">
              <w:rPr>
                <w:color w:val="000000"/>
                <w:sz w:val="16"/>
                <w:szCs w:val="16"/>
                <w:lang w:val="en-GB" w:eastAsia="zh-CN"/>
              </w:rPr>
              <w:t>(17) Log(Number of banks)</w:t>
            </w:r>
          </w:p>
        </w:tc>
        <w:tc>
          <w:tcPr>
            <w:tcW w:w="556" w:type="dxa"/>
            <w:shd w:val="clear" w:color="auto" w:fill="auto"/>
            <w:noWrap/>
            <w:vAlign w:val="center"/>
            <w:hideMark/>
          </w:tcPr>
          <w:p w14:paraId="143A0976" w14:textId="77777777" w:rsidR="00E62EC6" w:rsidRPr="00E62EC6" w:rsidRDefault="00E62EC6" w:rsidP="00E20FF5">
            <w:pPr>
              <w:jc w:val="center"/>
              <w:rPr>
                <w:color w:val="000000"/>
                <w:sz w:val="16"/>
                <w:szCs w:val="16"/>
                <w:lang w:val="en-GB"/>
              </w:rPr>
            </w:pPr>
            <w:r w:rsidRPr="00E62EC6">
              <w:rPr>
                <w:color w:val="000000"/>
                <w:sz w:val="16"/>
                <w:szCs w:val="16"/>
              </w:rPr>
              <w:t>0.21</w:t>
            </w:r>
          </w:p>
        </w:tc>
        <w:tc>
          <w:tcPr>
            <w:tcW w:w="556" w:type="dxa"/>
            <w:shd w:val="clear" w:color="auto" w:fill="auto"/>
            <w:noWrap/>
            <w:vAlign w:val="center"/>
            <w:hideMark/>
          </w:tcPr>
          <w:p w14:paraId="1189ADF1" w14:textId="77777777" w:rsidR="00E62EC6" w:rsidRPr="00E62EC6" w:rsidRDefault="00E62EC6" w:rsidP="00E20FF5">
            <w:pPr>
              <w:jc w:val="center"/>
              <w:rPr>
                <w:color w:val="000000"/>
                <w:sz w:val="16"/>
                <w:szCs w:val="16"/>
                <w:lang w:val="en-GB"/>
              </w:rPr>
            </w:pPr>
            <w:r w:rsidRPr="00E62EC6">
              <w:rPr>
                <w:color w:val="000000"/>
                <w:sz w:val="16"/>
                <w:szCs w:val="16"/>
              </w:rPr>
              <w:t>0.26</w:t>
            </w:r>
          </w:p>
        </w:tc>
        <w:tc>
          <w:tcPr>
            <w:tcW w:w="556" w:type="dxa"/>
            <w:shd w:val="clear" w:color="auto" w:fill="auto"/>
            <w:noWrap/>
            <w:vAlign w:val="center"/>
            <w:hideMark/>
          </w:tcPr>
          <w:p w14:paraId="69E2A142" w14:textId="77777777" w:rsidR="00E62EC6" w:rsidRPr="00E62EC6" w:rsidRDefault="00E62EC6" w:rsidP="00E20FF5">
            <w:pPr>
              <w:jc w:val="center"/>
              <w:rPr>
                <w:color w:val="000000"/>
                <w:sz w:val="16"/>
                <w:szCs w:val="16"/>
                <w:lang w:val="en-GB"/>
              </w:rPr>
            </w:pPr>
            <w:r w:rsidRPr="00E62EC6">
              <w:rPr>
                <w:color w:val="000000"/>
                <w:sz w:val="16"/>
                <w:szCs w:val="16"/>
              </w:rPr>
              <w:t>-0.06</w:t>
            </w:r>
          </w:p>
        </w:tc>
        <w:tc>
          <w:tcPr>
            <w:tcW w:w="556" w:type="dxa"/>
            <w:shd w:val="clear" w:color="auto" w:fill="auto"/>
            <w:noWrap/>
            <w:vAlign w:val="center"/>
            <w:hideMark/>
          </w:tcPr>
          <w:p w14:paraId="36514F59" w14:textId="77777777" w:rsidR="00E62EC6" w:rsidRPr="00E62EC6" w:rsidRDefault="00E62EC6" w:rsidP="00E20FF5">
            <w:pPr>
              <w:jc w:val="center"/>
              <w:rPr>
                <w:color w:val="000000"/>
                <w:sz w:val="16"/>
                <w:szCs w:val="16"/>
                <w:lang w:val="en-GB"/>
              </w:rPr>
            </w:pPr>
            <w:r w:rsidRPr="00E62EC6">
              <w:rPr>
                <w:color w:val="000000"/>
                <w:sz w:val="16"/>
                <w:szCs w:val="16"/>
              </w:rPr>
              <w:t>0.22</w:t>
            </w:r>
          </w:p>
        </w:tc>
        <w:tc>
          <w:tcPr>
            <w:tcW w:w="556" w:type="dxa"/>
            <w:shd w:val="clear" w:color="auto" w:fill="auto"/>
            <w:noWrap/>
            <w:vAlign w:val="center"/>
            <w:hideMark/>
          </w:tcPr>
          <w:p w14:paraId="685DD229" w14:textId="77777777" w:rsidR="00E62EC6" w:rsidRPr="00E62EC6" w:rsidRDefault="00E62EC6" w:rsidP="00E20FF5">
            <w:pPr>
              <w:jc w:val="center"/>
              <w:rPr>
                <w:color w:val="000000"/>
                <w:sz w:val="16"/>
                <w:szCs w:val="16"/>
                <w:lang w:val="en-GB"/>
              </w:rPr>
            </w:pPr>
            <w:r w:rsidRPr="00E62EC6">
              <w:rPr>
                <w:color w:val="000000"/>
                <w:sz w:val="16"/>
                <w:szCs w:val="16"/>
              </w:rPr>
              <w:t>0.51</w:t>
            </w:r>
          </w:p>
        </w:tc>
        <w:tc>
          <w:tcPr>
            <w:tcW w:w="556" w:type="dxa"/>
            <w:shd w:val="clear" w:color="auto" w:fill="auto"/>
            <w:noWrap/>
            <w:vAlign w:val="center"/>
            <w:hideMark/>
          </w:tcPr>
          <w:p w14:paraId="72545E03" w14:textId="77777777" w:rsidR="00E62EC6" w:rsidRPr="00E62EC6" w:rsidRDefault="00E62EC6" w:rsidP="00E20FF5">
            <w:pPr>
              <w:jc w:val="center"/>
              <w:rPr>
                <w:color w:val="000000"/>
                <w:sz w:val="16"/>
                <w:szCs w:val="16"/>
                <w:lang w:val="en-GB"/>
              </w:rPr>
            </w:pPr>
            <w:r w:rsidRPr="00E62EC6">
              <w:rPr>
                <w:color w:val="000000"/>
                <w:sz w:val="16"/>
                <w:szCs w:val="16"/>
              </w:rPr>
              <w:t>0.5</w:t>
            </w:r>
          </w:p>
        </w:tc>
        <w:tc>
          <w:tcPr>
            <w:tcW w:w="556" w:type="dxa"/>
            <w:shd w:val="clear" w:color="auto" w:fill="auto"/>
            <w:noWrap/>
            <w:vAlign w:val="center"/>
            <w:hideMark/>
          </w:tcPr>
          <w:p w14:paraId="29A7813E" w14:textId="77777777" w:rsidR="00E62EC6" w:rsidRPr="00E62EC6" w:rsidRDefault="00E62EC6" w:rsidP="00E20FF5">
            <w:pPr>
              <w:jc w:val="center"/>
              <w:rPr>
                <w:color w:val="000000"/>
                <w:sz w:val="16"/>
                <w:szCs w:val="16"/>
                <w:lang w:val="en-GB"/>
              </w:rPr>
            </w:pPr>
            <w:r w:rsidRPr="00E62EC6">
              <w:rPr>
                <w:color w:val="000000"/>
                <w:sz w:val="16"/>
                <w:szCs w:val="16"/>
              </w:rPr>
              <w:t>0.41</w:t>
            </w:r>
          </w:p>
        </w:tc>
        <w:tc>
          <w:tcPr>
            <w:tcW w:w="556" w:type="dxa"/>
            <w:shd w:val="clear" w:color="auto" w:fill="auto"/>
            <w:noWrap/>
            <w:vAlign w:val="center"/>
            <w:hideMark/>
          </w:tcPr>
          <w:p w14:paraId="1A15ED96" w14:textId="77777777" w:rsidR="00E62EC6" w:rsidRPr="00E62EC6" w:rsidRDefault="00E62EC6" w:rsidP="00E20FF5">
            <w:pPr>
              <w:jc w:val="center"/>
              <w:rPr>
                <w:color w:val="000000"/>
                <w:sz w:val="16"/>
                <w:szCs w:val="16"/>
                <w:lang w:val="en-GB"/>
              </w:rPr>
            </w:pPr>
            <w:r w:rsidRPr="00E62EC6">
              <w:rPr>
                <w:color w:val="000000"/>
                <w:sz w:val="16"/>
                <w:szCs w:val="16"/>
              </w:rPr>
              <w:t>-0.84</w:t>
            </w:r>
          </w:p>
        </w:tc>
        <w:tc>
          <w:tcPr>
            <w:tcW w:w="556" w:type="dxa"/>
            <w:shd w:val="clear" w:color="auto" w:fill="auto"/>
            <w:noWrap/>
            <w:vAlign w:val="center"/>
            <w:hideMark/>
          </w:tcPr>
          <w:p w14:paraId="56484099" w14:textId="77777777" w:rsidR="00E62EC6" w:rsidRPr="00E62EC6" w:rsidRDefault="00E62EC6" w:rsidP="00E20FF5">
            <w:pPr>
              <w:jc w:val="center"/>
              <w:rPr>
                <w:color w:val="000000"/>
                <w:sz w:val="16"/>
                <w:szCs w:val="16"/>
                <w:lang w:val="en-GB"/>
              </w:rPr>
            </w:pPr>
            <w:r w:rsidRPr="00E62EC6">
              <w:rPr>
                <w:color w:val="000000"/>
                <w:sz w:val="16"/>
                <w:szCs w:val="16"/>
              </w:rPr>
              <w:t>0.7</w:t>
            </w:r>
          </w:p>
        </w:tc>
        <w:tc>
          <w:tcPr>
            <w:tcW w:w="556" w:type="dxa"/>
            <w:shd w:val="clear" w:color="auto" w:fill="auto"/>
            <w:noWrap/>
            <w:vAlign w:val="center"/>
            <w:hideMark/>
          </w:tcPr>
          <w:p w14:paraId="2CE314C3" w14:textId="77777777" w:rsidR="00E62EC6" w:rsidRPr="00E62EC6" w:rsidRDefault="00E62EC6" w:rsidP="00E20FF5">
            <w:pPr>
              <w:jc w:val="center"/>
              <w:rPr>
                <w:color w:val="000000"/>
                <w:sz w:val="16"/>
                <w:szCs w:val="16"/>
                <w:lang w:val="en-GB"/>
              </w:rPr>
            </w:pPr>
            <w:r w:rsidRPr="00E62EC6">
              <w:rPr>
                <w:color w:val="000000"/>
                <w:sz w:val="16"/>
                <w:szCs w:val="16"/>
              </w:rPr>
              <w:t>0.1</w:t>
            </w:r>
          </w:p>
        </w:tc>
        <w:tc>
          <w:tcPr>
            <w:tcW w:w="556" w:type="dxa"/>
            <w:shd w:val="clear" w:color="auto" w:fill="auto"/>
            <w:noWrap/>
            <w:vAlign w:val="center"/>
            <w:hideMark/>
          </w:tcPr>
          <w:p w14:paraId="1EA034E3"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0319BD36" w14:textId="77777777" w:rsidR="00E62EC6" w:rsidRPr="00E62EC6" w:rsidRDefault="00E62EC6" w:rsidP="00E20FF5">
            <w:pPr>
              <w:jc w:val="center"/>
              <w:rPr>
                <w:color w:val="000000"/>
                <w:sz w:val="16"/>
                <w:szCs w:val="16"/>
                <w:lang w:val="en-GB"/>
              </w:rPr>
            </w:pPr>
            <w:r w:rsidRPr="00E62EC6">
              <w:rPr>
                <w:color w:val="000000"/>
                <w:sz w:val="16"/>
                <w:szCs w:val="16"/>
              </w:rPr>
              <w:t>-0.09</w:t>
            </w:r>
          </w:p>
        </w:tc>
        <w:tc>
          <w:tcPr>
            <w:tcW w:w="556" w:type="dxa"/>
            <w:shd w:val="clear" w:color="auto" w:fill="auto"/>
            <w:noWrap/>
            <w:vAlign w:val="center"/>
            <w:hideMark/>
          </w:tcPr>
          <w:p w14:paraId="0D7C84CE" w14:textId="77777777" w:rsidR="00E62EC6" w:rsidRPr="00E62EC6" w:rsidRDefault="00E62EC6" w:rsidP="00E20FF5">
            <w:pPr>
              <w:jc w:val="center"/>
              <w:rPr>
                <w:color w:val="000000"/>
                <w:sz w:val="16"/>
                <w:szCs w:val="16"/>
                <w:lang w:val="en-GB"/>
              </w:rPr>
            </w:pPr>
            <w:r w:rsidRPr="00E62EC6">
              <w:rPr>
                <w:color w:val="000000"/>
                <w:sz w:val="16"/>
                <w:szCs w:val="16"/>
              </w:rPr>
              <w:t>0.06</w:t>
            </w:r>
          </w:p>
        </w:tc>
        <w:tc>
          <w:tcPr>
            <w:tcW w:w="556" w:type="dxa"/>
            <w:shd w:val="clear" w:color="auto" w:fill="auto"/>
            <w:noWrap/>
            <w:vAlign w:val="center"/>
            <w:hideMark/>
          </w:tcPr>
          <w:p w14:paraId="7CFF918D" w14:textId="77777777" w:rsidR="00E62EC6" w:rsidRPr="00E62EC6" w:rsidRDefault="00E62EC6" w:rsidP="00E20FF5">
            <w:pPr>
              <w:jc w:val="center"/>
              <w:rPr>
                <w:color w:val="000000"/>
                <w:sz w:val="16"/>
                <w:szCs w:val="16"/>
                <w:lang w:val="en-GB"/>
              </w:rPr>
            </w:pPr>
            <w:r w:rsidRPr="00E62EC6">
              <w:rPr>
                <w:color w:val="000000"/>
                <w:sz w:val="16"/>
                <w:szCs w:val="16"/>
              </w:rPr>
              <w:t>0.61</w:t>
            </w:r>
          </w:p>
        </w:tc>
        <w:tc>
          <w:tcPr>
            <w:tcW w:w="556" w:type="dxa"/>
            <w:shd w:val="clear" w:color="auto" w:fill="auto"/>
            <w:noWrap/>
            <w:vAlign w:val="center"/>
            <w:hideMark/>
          </w:tcPr>
          <w:p w14:paraId="737FC056" w14:textId="77777777" w:rsidR="00E62EC6" w:rsidRPr="00E62EC6" w:rsidRDefault="00E62EC6" w:rsidP="00E20FF5">
            <w:pPr>
              <w:jc w:val="center"/>
              <w:rPr>
                <w:color w:val="000000"/>
                <w:sz w:val="16"/>
                <w:szCs w:val="16"/>
                <w:lang w:val="en-GB"/>
              </w:rPr>
            </w:pPr>
            <w:r w:rsidRPr="00E62EC6">
              <w:rPr>
                <w:color w:val="000000"/>
                <w:sz w:val="16"/>
                <w:szCs w:val="16"/>
              </w:rPr>
              <w:t>0.76</w:t>
            </w:r>
          </w:p>
        </w:tc>
        <w:tc>
          <w:tcPr>
            <w:tcW w:w="556" w:type="dxa"/>
            <w:shd w:val="clear" w:color="auto" w:fill="auto"/>
            <w:noWrap/>
            <w:vAlign w:val="center"/>
            <w:hideMark/>
          </w:tcPr>
          <w:p w14:paraId="070295A9"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093435F6"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3306CF5F"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274E4169"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00302114"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171BE20"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1397C4DF" w14:textId="77777777" w:rsidR="00E62EC6" w:rsidRPr="00E62EC6" w:rsidRDefault="00E62EC6" w:rsidP="00E20FF5">
            <w:pPr>
              <w:jc w:val="center"/>
              <w:rPr>
                <w:sz w:val="20"/>
                <w:szCs w:val="20"/>
                <w:lang w:val="en-GB"/>
              </w:rPr>
            </w:pPr>
          </w:p>
        </w:tc>
      </w:tr>
      <w:tr w:rsidR="00FC73F8" w:rsidRPr="00E62EC6" w14:paraId="107A1719" w14:textId="77777777" w:rsidTr="00FC73F8">
        <w:trPr>
          <w:trHeight w:val="290"/>
          <w:jc w:val="center"/>
        </w:trPr>
        <w:tc>
          <w:tcPr>
            <w:tcW w:w="2158" w:type="dxa"/>
            <w:shd w:val="clear" w:color="auto" w:fill="auto"/>
            <w:noWrap/>
            <w:vAlign w:val="center"/>
            <w:hideMark/>
          </w:tcPr>
          <w:p w14:paraId="7BB02869" w14:textId="77777777" w:rsidR="00E62EC6" w:rsidRPr="00E62EC6" w:rsidRDefault="00E62EC6" w:rsidP="00E20FF5">
            <w:pPr>
              <w:rPr>
                <w:color w:val="000000"/>
                <w:sz w:val="16"/>
                <w:szCs w:val="16"/>
                <w:lang w:val="en-GB"/>
              </w:rPr>
            </w:pPr>
            <w:r w:rsidRPr="00E62EC6">
              <w:rPr>
                <w:color w:val="000000"/>
                <w:sz w:val="16"/>
                <w:szCs w:val="16"/>
                <w:lang w:val="en-GB" w:eastAsia="zh-CN"/>
              </w:rPr>
              <w:t>(18) Institutional investor</w:t>
            </w:r>
          </w:p>
        </w:tc>
        <w:tc>
          <w:tcPr>
            <w:tcW w:w="556" w:type="dxa"/>
            <w:shd w:val="clear" w:color="auto" w:fill="auto"/>
            <w:noWrap/>
            <w:vAlign w:val="center"/>
            <w:hideMark/>
          </w:tcPr>
          <w:p w14:paraId="300B2CAC" w14:textId="77777777" w:rsidR="00E62EC6" w:rsidRPr="00E62EC6" w:rsidRDefault="00E62EC6" w:rsidP="00E20FF5">
            <w:pPr>
              <w:jc w:val="center"/>
              <w:rPr>
                <w:color w:val="000000"/>
                <w:sz w:val="16"/>
                <w:szCs w:val="16"/>
                <w:lang w:val="en-GB"/>
              </w:rPr>
            </w:pPr>
            <w:r w:rsidRPr="00E62EC6">
              <w:rPr>
                <w:color w:val="000000"/>
                <w:sz w:val="16"/>
                <w:szCs w:val="16"/>
              </w:rPr>
              <w:t>0.11</w:t>
            </w:r>
          </w:p>
        </w:tc>
        <w:tc>
          <w:tcPr>
            <w:tcW w:w="556" w:type="dxa"/>
            <w:shd w:val="clear" w:color="auto" w:fill="auto"/>
            <w:noWrap/>
            <w:vAlign w:val="center"/>
            <w:hideMark/>
          </w:tcPr>
          <w:p w14:paraId="37BD84F2" w14:textId="77777777" w:rsidR="00E62EC6" w:rsidRPr="00E62EC6" w:rsidRDefault="00E62EC6" w:rsidP="00E20FF5">
            <w:pPr>
              <w:jc w:val="center"/>
              <w:rPr>
                <w:color w:val="000000"/>
                <w:sz w:val="16"/>
                <w:szCs w:val="16"/>
                <w:lang w:val="en-GB"/>
              </w:rPr>
            </w:pPr>
            <w:r w:rsidRPr="00E62EC6">
              <w:rPr>
                <w:color w:val="000000"/>
                <w:sz w:val="16"/>
                <w:szCs w:val="16"/>
              </w:rPr>
              <w:t>0.12</w:t>
            </w:r>
          </w:p>
        </w:tc>
        <w:tc>
          <w:tcPr>
            <w:tcW w:w="556" w:type="dxa"/>
            <w:shd w:val="clear" w:color="auto" w:fill="auto"/>
            <w:noWrap/>
            <w:vAlign w:val="center"/>
            <w:hideMark/>
          </w:tcPr>
          <w:p w14:paraId="7CA2162C"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71398327" w14:textId="77777777" w:rsidR="00E62EC6" w:rsidRPr="00E62EC6" w:rsidRDefault="00E62EC6" w:rsidP="00E20FF5">
            <w:pPr>
              <w:jc w:val="center"/>
              <w:rPr>
                <w:color w:val="000000"/>
                <w:sz w:val="16"/>
                <w:szCs w:val="16"/>
                <w:lang w:val="en-GB"/>
              </w:rPr>
            </w:pPr>
            <w:r w:rsidRPr="00E62EC6">
              <w:rPr>
                <w:color w:val="000000"/>
                <w:sz w:val="16"/>
                <w:szCs w:val="16"/>
              </w:rPr>
              <w:t>0.11</w:t>
            </w:r>
          </w:p>
        </w:tc>
        <w:tc>
          <w:tcPr>
            <w:tcW w:w="556" w:type="dxa"/>
            <w:shd w:val="clear" w:color="auto" w:fill="auto"/>
            <w:noWrap/>
            <w:vAlign w:val="center"/>
            <w:hideMark/>
          </w:tcPr>
          <w:p w14:paraId="46696208" w14:textId="77777777" w:rsidR="00E62EC6" w:rsidRPr="00E62EC6" w:rsidRDefault="00E62EC6" w:rsidP="00E20FF5">
            <w:pPr>
              <w:jc w:val="center"/>
              <w:rPr>
                <w:color w:val="000000"/>
                <w:sz w:val="16"/>
                <w:szCs w:val="16"/>
                <w:lang w:val="en-GB"/>
              </w:rPr>
            </w:pPr>
            <w:r w:rsidRPr="00E62EC6">
              <w:rPr>
                <w:color w:val="000000"/>
                <w:sz w:val="16"/>
                <w:szCs w:val="16"/>
              </w:rPr>
              <w:t>0.21</w:t>
            </w:r>
          </w:p>
        </w:tc>
        <w:tc>
          <w:tcPr>
            <w:tcW w:w="556" w:type="dxa"/>
            <w:shd w:val="clear" w:color="auto" w:fill="auto"/>
            <w:noWrap/>
            <w:vAlign w:val="center"/>
            <w:hideMark/>
          </w:tcPr>
          <w:p w14:paraId="53E2B847" w14:textId="77777777" w:rsidR="00E62EC6" w:rsidRPr="00E62EC6" w:rsidRDefault="00E62EC6" w:rsidP="00E20FF5">
            <w:pPr>
              <w:jc w:val="center"/>
              <w:rPr>
                <w:color w:val="000000"/>
                <w:sz w:val="16"/>
                <w:szCs w:val="16"/>
                <w:lang w:val="en-GB"/>
              </w:rPr>
            </w:pPr>
            <w:r w:rsidRPr="00E62EC6">
              <w:rPr>
                <w:color w:val="000000"/>
                <w:sz w:val="16"/>
                <w:szCs w:val="16"/>
              </w:rPr>
              <w:t>0.12</w:t>
            </w:r>
          </w:p>
        </w:tc>
        <w:tc>
          <w:tcPr>
            <w:tcW w:w="556" w:type="dxa"/>
            <w:shd w:val="clear" w:color="auto" w:fill="auto"/>
            <w:noWrap/>
            <w:vAlign w:val="center"/>
            <w:hideMark/>
          </w:tcPr>
          <w:p w14:paraId="3BC460CC" w14:textId="77777777" w:rsidR="00E62EC6" w:rsidRPr="00E62EC6" w:rsidRDefault="00E62EC6" w:rsidP="00E20FF5">
            <w:pPr>
              <w:jc w:val="center"/>
              <w:rPr>
                <w:color w:val="000000"/>
                <w:sz w:val="16"/>
                <w:szCs w:val="16"/>
                <w:lang w:val="en-GB"/>
              </w:rPr>
            </w:pPr>
            <w:r w:rsidRPr="00E62EC6">
              <w:rPr>
                <w:color w:val="000000"/>
                <w:sz w:val="16"/>
                <w:szCs w:val="16"/>
              </w:rPr>
              <w:t>0.27</w:t>
            </w:r>
          </w:p>
        </w:tc>
        <w:tc>
          <w:tcPr>
            <w:tcW w:w="556" w:type="dxa"/>
            <w:shd w:val="clear" w:color="auto" w:fill="auto"/>
            <w:noWrap/>
            <w:vAlign w:val="center"/>
            <w:hideMark/>
          </w:tcPr>
          <w:p w14:paraId="77C24640" w14:textId="77777777" w:rsidR="00E62EC6" w:rsidRPr="00E62EC6" w:rsidRDefault="00E62EC6" w:rsidP="00E20FF5">
            <w:pPr>
              <w:jc w:val="center"/>
              <w:rPr>
                <w:color w:val="000000"/>
                <w:sz w:val="16"/>
                <w:szCs w:val="16"/>
                <w:lang w:val="en-GB"/>
              </w:rPr>
            </w:pPr>
            <w:r w:rsidRPr="00E62EC6">
              <w:rPr>
                <w:color w:val="000000"/>
                <w:sz w:val="16"/>
                <w:szCs w:val="16"/>
              </w:rPr>
              <w:t>-0.32</w:t>
            </w:r>
          </w:p>
        </w:tc>
        <w:tc>
          <w:tcPr>
            <w:tcW w:w="556" w:type="dxa"/>
            <w:shd w:val="clear" w:color="auto" w:fill="auto"/>
            <w:noWrap/>
            <w:vAlign w:val="center"/>
            <w:hideMark/>
          </w:tcPr>
          <w:p w14:paraId="730E04C6" w14:textId="77777777" w:rsidR="00E62EC6" w:rsidRPr="00E62EC6" w:rsidRDefault="00E62EC6" w:rsidP="00E20FF5">
            <w:pPr>
              <w:jc w:val="center"/>
              <w:rPr>
                <w:color w:val="000000"/>
                <w:sz w:val="16"/>
                <w:szCs w:val="16"/>
                <w:lang w:val="en-GB"/>
              </w:rPr>
            </w:pPr>
            <w:r w:rsidRPr="00E62EC6">
              <w:rPr>
                <w:color w:val="000000"/>
                <w:sz w:val="16"/>
                <w:szCs w:val="16"/>
              </w:rPr>
              <w:t>0.36</w:t>
            </w:r>
          </w:p>
        </w:tc>
        <w:tc>
          <w:tcPr>
            <w:tcW w:w="556" w:type="dxa"/>
            <w:shd w:val="clear" w:color="auto" w:fill="auto"/>
            <w:noWrap/>
            <w:vAlign w:val="center"/>
            <w:hideMark/>
          </w:tcPr>
          <w:p w14:paraId="7BDA261F"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7AF57FC0"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3732D8C5"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34B2C653"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496F1FF0" w14:textId="77777777" w:rsidR="00E62EC6" w:rsidRPr="00E62EC6" w:rsidRDefault="00E62EC6" w:rsidP="00E20FF5">
            <w:pPr>
              <w:jc w:val="center"/>
              <w:rPr>
                <w:color w:val="000000"/>
                <w:sz w:val="16"/>
                <w:szCs w:val="16"/>
                <w:lang w:val="en-GB"/>
              </w:rPr>
            </w:pPr>
            <w:r w:rsidRPr="00E62EC6">
              <w:rPr>
                <w:color w:val="000000"/>
                <w:sz w:val="16"/>
                <w:szCs w:val="16"/>
              </w:rPr>
              <w:t>0.29</w:t>
            </w:r>
          </w:p>
        </w:tc>
        <w:tc>
          <w:tcPr>
            <w:tcW w:w="556" w:type="dxa"/>
            <w:shd w:val="clear" w:color="auto" w:fill="auto"/>
            <w:noWrap/>
            <w:vAlign w:val="center"/>
            <w:hideMark/>
          </w:tcPr>
          <w:p w14:paraId="47292675" w14:textId="77777777" w:rsidR="00E62EC6" w:rsidRPr="00E62EC6" w:rsidRDefault="00E62EC6" w:rsidP="00E20FF5">
            <w:pPr>
              <w:jc w:val="center"/>
              <w:rPr>
                <w:color w:val="000000"/>
                <w:sz w:val="16"/>
                <w:szCs w:val="16"/>
                <w:lang w:val="en-GB"/>
              </w:rPr>
            </w:pPr>
            <w:r w:rsidRPr="00E62EC6">
              <w:rPr>
                <w:color w:val="000000"/>
                <w:sz w:val="16"/>
                <w:szCs w:val="16"/>
              </w:rPr>
              <w:t>0.35</w:t>
            </w:r>
          </w:p>
        </w:tc>
        <w:tc>
          <w:tcPr>
            <w:tcW w:w="556" w:type="dxa"/>
            <w:shd w:val="clear" w:color="auto" w:fill="auto"/>
            <w:noWrap/>
            <w:vAlign w:val="center"/>
            <w:hideMark/>
          </w:tcPr>
          <w:p w14:paraId="10B54267"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14C1327A" w14:textId="77777777" w:rsidR="00E62EC6" w:rsidRPr="00E62EC6" w:rsidRDefault="00E62EC6" w:rsidP="00E20FF5">
            <w:pPr>
              <w:jc w:val="center"/>
              <w:rPr>
                <w:color w:val="000000"/>
                <w:sz w:val="16"/>
                <w:szCs w:val="16"/>
                <w:lang w:val="en-GB"/>
              </w:rPr>
            </w:pPr>
            <w:r w:rsidRPr="00E62EC6">
              <w:rPr>
                <w:color w:val="000000"/>
                <w:sz w:val="16"/>
                <w:szCs w:val="16"/>
              </w:rPr>
              <w:t>0.4</w:t>
            </w:r>
          </w:p>
        </w:tc>
        <w:tc>
          <w:tcPr>
            <w:tcW w:w="556" w:type="dxa"/>
            <w:shd w:val="clear" w:color="auto" w:fill="auto"/>
            <w:noWrap/>
            <w:vAlign w:val="center"/>
            <w:hideMark/>
          </w:tcPr>
          <w:p w14:paraId="52BA299E"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4ADB6E2F"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5F1EEE78"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40AF52ED"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210D2611" w14:textId="77777777" w:rsidR="00E62EC6" w:rsidRPr="00E62EC6" w:rsidRDefault="00E62EC6" w:rsidP="00E20FF5">
            <w:pPr>
              <w:jc w:val="center"/>
              <w:rPr>
                <w:sz w:val="20"/>
                <w:szCs w:val="20"/>
                <w:lang w:val="en-GB"/>
              </w:rPr>
            </w:pPr>
          </w:p>
        </w:tc>
      </w:tr>
      <w:tr w:rsidR="00FC73F8" w:rsidRPr="00E62EC6" w14:paraId="616A3BF5" w14:textId="77777777" w:rsidTr="00FC73F8">
        <w:trPr>
          <w:trHeight w:val="320"/>
          <w:jc w:val="center"/>
        </w:trPr>
        <w:tc>
          <w:tcPr>
            <w:tcW w:w="2158" w:type="dxa"/>
            <w:shd w:val="clear" w:color="auto" w:fill="auto"/>
            <w:noWrap/>
            <w:vAlign w:val="center"/>
            <w:hideMark/>
          </w:tcPr>
          <w:p w14:paraId="36D4C10C" w14:textId="77777777" w:rsidR="00E62EC6" w:rsidRPr="00E62EC6" w:rsidRDefault="00E62EC6" w:rsidP="00E20FF5">
            <w:pPr>
              <w:rPr>
                <w:color w:val="000000"/>
                <w:sz w:val="16"/>
                <w:szCs w:val="16"/>
                <w:lang w:val="en-GB"/>
              </w:rPr>
            </w:pPr>
            <w:r w:rsidRPr="00E62EC6">
              <w:rPr>
                <w:color w:val="000000"/>
                <w:sz w:val="16"/>
                <w:szCs w:val="16"/>
                <w:lang w:val="en-GB" w:eastAsia="zh-CN"/>
              </w:rPr>
              <w:t>(19) Non-US dollar facility</w:t>
            </w:r>
          </w:p>
        </w:tc>
        <w:tc>
          <w:tcPr>
            <w:tcW w:w="556" w:type="dxa"/>
            <w:shd w:val="clear" w:color="auto" w:fill="auto"/>
            <w:noWrap/>
            <w:vAlign w:val="center"/>
            <w:hideMark/>
          </w:tcPr>
          <w:p w14:paraId="1AFEAE39"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376E7169"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2301A589"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11382AD3"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32CFA104"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6260F16A"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3C1A5CFB"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5A6DCB1F"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4116381B"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0C734777"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3D896A09"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5BB5B1E3"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64762A67"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2445A290"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1E7A2C6E"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500741B1"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416FF2F3"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7EC83156"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6119A102"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2F42B1CE"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2CABEAC7" w14:textId="77777777" w:rsidR="00E62EC6" w:rsidRPr="00E62EC6" w:rsidRDefault="00E62EC6" w:rsidP="00E20FF5">
            <w:pPr>
              <w:jc w:val="center"/>
              <w:rPr>
                <w:sz w:val="20"/>
                <w:szCs w:val="20"/>
                <w:lang w:val="en-GB"/>
              </w:rPr>
            </w:pPr>
          </w:p>
        </w:tc>
        <w:tc>
          <w:tcPr>
            <w:tcW w:w="556" w:type="dxa"/>
            <w:shd w:val="clear" w:color="auto" w:fill="auto"/>
            <w:noWrap/>
            <w:vAlign w:val="center"/>
            <w:hideMark/>
          </w:tcPr>
          <w:p w14:paraId="5A5A9DF2" w14:textId="77777777" w:rsidR="00E62EC6" w:rsidRPr="00E62EC6" w:rsidRDefault="00E62EC6" w:rsidP="00E20FF5">
            <w:pPr>
              <w:jc w:val="center"/>
              <w:rPr>
                <w:sz w:val="20"/>
                <w:szCs w:val="20"/>
                <w:lang w:val="en-GB"/>
              </w:rPr>
            </w:pPr>
          </w:p>
        </w:tc>
      </w:tr>
      <w:tr w:rsidR="00FC73F8" w:rsidRPr="00E62EC6" w14:paraId="0E4B2C9A" w14:textId="77777777" w:rsidTr="00FC73F8">
        <w:trPr>
          <w:trHeight w:val="290"/>
          <w:jc w:val="center"/>
        </w:trPr>
        <w:tc>
          <w:tcPr>
            <w:tcW w:w="2158" w:type="dxa"/>
            <w:shd w:val="clear" w:color="auto" w:fill="auto"/>
            <w:noWrap/>
            <w:vAlign w:val="center"/>
            <w:hideMark/>
          </w:tcPr>
          <w:p w14:paraId="438B0730" w14:textId="77777777" w:rsidR="00E62EC6" w:rsidRPr="00E62EC6" w:rsidRDefault="00E62EC6" w:rsidP="00E20FF5">
            <w:pPr>
              <w:rPr>
                <w:color w:val="000000"/>
                <w:sz w:val="16"/>
                <w:szCs w:val="16"/>
                <w:lang w:val="en-GB"/>
              </w:rPr>
            </w:pPr>
            <w:r w:rsidRPr="00E62EC6">
              <w:rPr>
                <w:color w:val="000000"/>
                <w:sz w:val="16"/>
                <w:szCs w:val="16"/>
                <w:lang w:val="en-GB" w:eastAsia="zh-CN"/>
              </w:rPr>
              <w:t>(20) Loan portfolio exposure</w:t>
            </w:r>
          </w:p>
        </w:tc>
        <w:tc>
          <w:tcPr>
            <w:tcW w:w="556" w:type="dxa"/>
            <w:shd w:val="clear" w:color="auto" w:fill="auto"/>
            <w:noWrap/>
            <w:vAlign w:val="center"/>
            <w:hideMark/>
          </w:tcPr>
          <w:p w14:paraId="479F8677"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4DF66EC1"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0203AEB2"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62518834"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6CE30CCE" w14:textId="77777777" w:rsidR="00E62EC6" w:rsidRPr="00E62EC6" w:rsidRDefault="00E62EC6" w:rsidP="00E20FF5">
            <w:pPr>
              <w:jc w:val="center"/>
              <w:rPr>
                <w:color w:val="000000"/>
                <w:sz w:val="16"/>
                <w:szCs w:val="16"/>
                <w:lang w:val="en-GB"/>
              </w:rPr>
            </w:pPr>
            <w:r w:rsidRPr="00E62EC6">
              <w:rPr>
                <w:color w:val="000000"/>
                <w:sz w:val="16"/>
                <w:szCs w:val="16"/>
              </w:rPr>
              <w:t>-0.16</w:t>
            </w:r>
          </w:p>
        </w:tc>
        <w:tc>
          <w:tcPr>
            <w:tcW w:w="556" w:type="dxa"/>
            <w:shd w:val="clear" w:color="auto" w:fill="auto"/>
            <w:noWrap/>
            <w:vAlign w:val="center"/>
            <w:hideMark/>
          </w:tcPr>
          <w:p w14:paraId="5D6F2A7A" w14:textId="77777777" w:rsidR="00E62EC6" w:rsidRPr="00E62EC6" w:rsidRDefault="00E62EC6" w:rsidP="00E20FF5">
            <w:pPr>
              <w:jc w:val="center"/>
              <w:rPr>
                <w:color w:val="000000"/>
                <w:sz w:val="16"/>
                <w:szCs w:val="16"/>
                <w:lang w:val="en-GB"/>
              </w:rPr>
            </w:pPr>
            <w:r w:rsidRPr="00E62EC6">
              <w:rPr>
                <w:color w:val="000000"/>
                <w:sz w:val="16"/>
                <w:szCs w:val="16"/>
              </w:rPr>
              <w:t>-0.28</w:t>
            </w:r>
          </w:p>
        </w:tc>
        <w:tc>
          <w:tcPr>
            <w:tcW w:w="556" w:type="dxa"/>
            <w:shd w:val="clear" w:color="auto" w:fill="auto"/>
            <w:noWrap/>
            <w:vAlign w:val="center"/>
            <w:hideMark/>
          </w:tcPr>
          <w:p w14:paraId="0CBD7D0A" w14:textId="77777777" w:rsidR="00E62EC6" w:rsidRPr="00E62EC6" w:rsidRDefault="00E62EC6" w:rsidP="00E20FF5">
            <w:pPr>
              <w:jc w:val="center"/>
              <w:rPr>
                <w:color w:val="000000"/>
                <w:sz w:val="16"/>
                <w:szCs w:val="16"/>
                <w:lang w:val="en-GB"/>
              </w:rPr>
            </w:pPr>
            <w:r w:rsidRPr="00E62EC6">
              <w:rPr>
                <w:color w:val="000000"/>
                <w:sz w:val="16"/>
                <w:szCs w:val="16"/>
              </w:rPr>
              <w:t>-0.1</w:t>
            </w:r>
          </w:p>
        </w:tc>
        <w:tc>
          <w:tcPr>
            <w:tcW w:w="556" w:type="dxa"/>
            <w:shd w:val="clear" w:color="auto" w:fill="auto"/>
            <w:noWrap/>
            <w:vAlign w:val="center"/>
            <w:hideMark/>
          </w:tcPr>
          <w:p w14:paraId="5C729FA1" w14:textId="77777777" w:rsidR="00E62EC6" w:rsidRPr="00E62EC6" w:rsidRDefault="00E62EC6" w:rsidP="00E20FF5">
            <w:pPr>
              <w:jc w:val="center"/>
              <w:rPr>
                <w:color w:val="000000"/>
                <w:sz w:val="16"/>
                <w:szCs w:val="16"/>
                <w:lang w:val="en-GB"/>
              </w:rPr>
            </w:pPr>
            <w:r w:rsidRPr="00E62EC6">
              <w:rPr>
                <w:color w:val="000000"/>
                <w:sz w:val="16"/>
                <w:szCs w:val="16"/>
              </w:rPr>
              <w:t>0.17</w:t>
            </w:r>
          </w:p>
        </w:tc>
        <w:tc>
          <w:tcPr>
            <w:tcW w:w="556" w:type="dxa"/>
            <w:shd w:val="clear" w:color="auto" w:fill="auto"/>
            <w:noWrap/>
            <w:vAlign w:val="center"/>
            <w:hideMark/>
          </w:tcPr>
          <w:p w14:paraId="3462C9C4" w14:textId="77777777" w:rsidR="00E62EC6" w:rsidRPr="00E62EC6" w:rsidRDefault="00E62EC6" w:rsidP="00E20FF5">
            <w:pPr>
              <w:jc w:val="center"/>
              <w:rPr>
                <w:color w:val="000000"/>
                <w:sz w:val="16"/>
                <w:szCs w:val="16"/>
                <w:lang w:val="en-GB"/>
              </w:rPr>
            </w:pPr>
            <w:r w:rsidRPr="00E62EC6">
              <w:rPr>
                <w:color w:val="000000"/>
                <w:sz w:val="16"/>
                <w:szCs w:val="16"/>
              </w:rPr>
              <w:t>-0.1</w:t>
            </w:r>
          </w:p>
        </w:tc>
        <w:tc>
          <w:tcPr>
            <w:tcW w:w="556" w:type="dxa"/>
            <w:shd w:val="clear" w:color="auto" w:fill="auto"/>
            <w:noWrap/>
            <w:vAlign w:val="center"/>
            <w:hideMark/>
          </w:tcPr>
          <w:p w14:paraId="4CE33BB8"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4476E1AD"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1FBC8FE7"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1FE95388"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55364E3D" w14:textId="77777777" w:rsidR="00E62EC6" w:rsidRPr="00E62EC6" w:rsidRDefault="00E62EC6" w:rsidP="00E20FF5">
            <w:pPr>
              <w:jc w:val="center"/>
              <w:rPr>
                <w:color w:val="000000"/>
                <w:sz w:val="16"/>
                <w:szCs w:val="16"/>
                <w:lang w:val="en-GB"/>
              </w:rPr>
            </w:pPr>
            <w:r w:rsidRPr="00E62EC6">
              <w:rPr>
                <w:color w:val="000000"/>
                <w:sz w:val="16"/>
                <w:szCs w:val="16"/>
              </w:rPr>
              <w:t>-0.08</w:t>
            </w:r>
          </w:p>
        </w:tc>
        <w:tc>
          <w:tcPr>
            <w:tcW w:w="556" w:type="dxa"/>
            <w:shd w:val="clear" w:color="auto" w:fill="auto"/>
            <w:noWrap/>
            <w:vAlign w:val="center"/>
            <w:hideMark/>
          </w:tcPr>
          <w:p w14:paraId="1F645F17"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68A0C288"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7A53B8B0" w14:textId="77777777" w:rsidR="00E62EC6" w:rsidRPr="00E62EC6" w:rsidRDefault="00E62EC6" w:rsidP="00E20FF5">
            <w:pPr>
              <w:jc w:val="center"/>
              <w:rPr>
                <w:color w:val="000000"/>
                <w:sz w:val="16"/>
                <w:szCs w:val="16"/>
                <w:lang w:val="en-GB"/>
              </w:rPr>
            </w:pPr>
            <w:r w:rsidRPr="00E62EC6">
              <w:rPr>
                <w:color w:val="000000"/>
                <w:sz w:val="16"/>
                <w:szCs w:val="16"/>
              </w:rPr>
              <w:t>-0.13</w:t>
            </w:r>
          </w:p>
        </w:tc>
        <w:tc>
          <w:tcPr>
            <w:tcW w:w="556" w:type="dxa"/>
            <w:shd w:val="clear" w:color="auto" w:fill="auto"/>
            <w:noWrap/>
            <w:vAlign w:val="center"/>
            <w:hideMark/>
          </w:tcPr>
          <w:p w14:paraId="78E13D9B"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7405654E"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0E0C673C"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0CE1330E" w14:textId="77777777" w:rsidR="00E62EC6" w:rsidRPr="00E62EC6" w:rsidRDefault="00E62EC6" w:rsidP="00E20FF5">
            <w:pPr>
              <w:jc w:val="center"/>
              <w:rPr>
                <w:color w:val="000000"/>
                <w:sz w:val="16"/>
                <w:szCs w:val="16"/>
                <w:lang w:val="en-GB"/>
              </w:rPr>
            </w:pPr>
          </w:p>
        </w:tc>
        <w:tc>
          <w:tcPr>
            <w:tcW w:w="556" w:type="dxa"/>
            <w:shd w:val="clear" w:color="auto" w:fill="auto"/>
            <w:noWrap/>
            <w:vAlign w:val="center"/>
            <w:hideMark/>
          </w:tcPr>
          <w:p w14:paraId="367053CA" w14:textId="77777777" w:rsidR="00E62EC6" w:rsidRPr="00E62EC6" w:rsidRDefault="00E62EC6" w:rsidP="00E20FF5">
            <w:pPr>
              <w:jc w:val="center"/>
              <w:rPr>
                <w:sz w:val="20"/>
                <w:szCs w:val="20"/>
                <w:lang w:val="en-GB"/>
              </w:rPr>
            </w:pPr>
          </w:p>
        </w:tc>
      </w:tr>
      <w:tr w:rsidR="00FC73F8" w:rsidRPr="00E62EC6" w14:paraId="0741D3C2" w14:textId="77777777" w:rsidTr="00FC73F8">
        <w:trPr>
          <w:trHeight w:val="290"/>
          <w:jc w:val="center"/>
        </w:trPr>
        <w:tc>
          <w:tcPr>
            <w:tcW w:w="2158" w:type="dxa"/>
            <w:shd w:val="clear" w:color="auto" w:fill="auto"/>
            <w:noWrap/>
            <w:vAlign w:val="center"/>
            <w:hideMark/>
          </w:tcPr>
          <w:p w14:paraId="74FAB69B" w14:textId="77777777" w:rsidR="00E62EC6" w:rsidRPr="00E62EC6" w:rsidRDefault="00E62EC6" w:rsidP="00E20FF5">
            <w:pPr>
              <w:rPr>
                <w:color w:val="000000"/>
                <w:sz w:val="16"/>
                <w:szCs w:val="16"/>
                <w:lang w:val="en-GB"/>
              </w:rPr>
            </w:pPr>
            <w:r w:rsidRPr="00E62EC6">
              <w:rPr>
                <w:color w:val="000000"/>
                <w:sz w:val="16"/>
                <w:szCs w:val="16"/>
                <w:lang w:val="en-GB" w:eastAsia="zh-CN"/>
              </w:rPr>
              <w:t>(21) Term loan</w:t>
            </w:r>
          </w:p>
        </w:tc>
        <w:tc>
          <w:tcPr>
            <w:tcW w:w="556" w:type="dxa"/>
            <w:shd w:val="clear" w:color="auto" w:fill="auto"/>
            <w:noWrap/>
            <w:vAlign w:val="center"/>
            <w:hideMark/>
          </w:tcPr>
          <w:p w14:paraId="513C4E05"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1189FD72"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75CCB9E7"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4A04DBA9" w14:textId="77777777" w:rsidR="00E62EC6" w:rsidRPr="00E62EC6" w:rsidRDefault="00E62EC6" w:rsidP="00E20FF5">
            <w:pPr>
              <w:jc w:val="center"/>
              <w:rPr>
                <w:color w:val="000000"/>
                <w:sz w:val="16"/>
                <w:szCs w:val="16"/>
                <w:lang w:val="en-GB"/>
              </w:rPr>
            </w:pPr>
            <w:r w:rsidRPr="00E62EC6">
              <w:rPr>
                <w:color w:val="000000"/>
                <w:sz w:val="16"/>
                <w:szCs w:val="16"/>
              </w:rPr>
              <w:t>-0.06</w:t>
            </w:r>
          </w:p>
        </w:tc>
        <w:tc>
          <w:tcPr>
            <w:tcW w:w="556" w:type="dxa"/>
            <w:shd w:val="clear" w:color="auto" w:fill="auto"/>
            <w:noWrap/>
            <w:vAlign w:val="center"/>
            <w:hideMark/>
          </w:tcPr>
          <w:p w14:paraId="376BCF44" w14:textId="77777777" w:rsidR="00E62EC6" w:rsidRPr="00E62EC6" w:rsidRDefault="00E62EC6" w:rsidP="00E20FF5">
            <w:pPr>
              <w:jc w:val="center"/>
              <w:rPr>
                <w:color w:val="000000"/>
                <w:sz w:val="16"/>
                <w:szCs w:val="16"/>
                <w:lang w:val="en-GB"/>
              </w:rPr>
            </w:pPr>
            <w:r w:rsidRPr="00E62EC6">
              <w:rPr>
                <w:color w:val="000000"/>
                <w:sz w:val="16"/>
                <w:szCs w:val="16"/>
              </w:rPr>
              <w:t>-0.11</w:t>
            </w:r>
          </w:p>
        </w:tc>
        <w:tc>
          <w:tcPr>
            <w:tcW w:w="556" w:type="dxa"/>
            <w:shd w:val="clear" w:color="auto" w:fill="auto"/>
            <w:noWrap/>
            <w:vAlign w:val="center"/>
            <w:hideMark/>
          </w:tcPr>
          <w:p w14:paraId="3DFB3A9F" w14:textId="77777777" w:rsidR="00E62EC6" w:rsidRPr="00E62EC6" w:rsidRDefault="00E62EC6" w:rsidP="00E20FF5">
            <w:pPr>
              <w:jc w:val="center"/>
              <w:rPr>
                <w:color w:val="000000"/>
                <w:sz w:val="16"/>
                <w:szCs w:val="16"/>
                <w:lang w:val="en-GB"/>
              </w:rPr>
            </w:pPr>
            <w:r w:rsidRPr="00E62EC6">
              <w:rPr>
                <w:color w:val="000000"/>
                <w:sz w:val="16"/>
                <w:szCs w:val="16"/>
              </w:rPr>
              <w:t>-0.13</w:t>
            </w:r>
          </w:p>
        </w:tc>
        <w:tc>
          <w:tcPr>
            <w:tcW w:w="556" w:type="dxa"/>
            <w:shd w:val="clear" w:color="auto" w:fill="auto"/>
            <w:noWrap/>
            <w:vAlign w:val="center"/>
            <w:hideMark/>
          </w:tcPr>
          <w:p w14:paraId="6A04B436"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51825C46" w14:textId="77777777" w:rsidR="00E62EC6" w:rsidRPr="00E62EC6" w:rsidRDefault="00E62EC6" w:rsidP="00E20FF5">
            <w:pPr>
              <w:jc w:val="center"/>
              <w:rPr>
                <w:color w:val="000000"/>
                <w:sz w:val="16"/>
                <w:szCs w:val="16"/>
                <w:lang w:val="en-GB"/>
              </w:rPr>
            </w:pPr>
            <w:r w:rsidRPr="00E62EC6">
              <w:rPr>
                <w:color w:val="000000"/>
                <w:sz w:val="16"/>
                <w:szCs w:val="16"/>
              </w:rPr>
              <w:t>0.15</w:t>
            </w:r>
          </w:p>
        </w:tc>
        <w:tc>
          <w:tcPr>
            <w:tcW w:w="556" w:type="dxa"/>
            <w:shd w:val="clear" w:color="auto" w:fill="auto"/>
            <w:noWrap/>
            <w:vAlign w:val="center"/>
            <w:hideMark/>
          </w:tcPr>
          <w:p w14:paraId="111ACF69" w14:textId="77777777" w:rsidR="00E62EC6" w:rsidRPr="00E62EC6" w:rsidRDefault="00E62EC6" w:rsidP="00E20FF5">
            <w:pPr>
              <w:jc w:val="center"/>
              <w:rPr>
                <w:color w:val="000000"/>
                <w:sz w:val="16"/>
                <w:szCs w:val="16"/>
                <w:lang w:val="en-GB"/>
              </w:rPr>
            </w:pPr>
            <w:r w:rsidRPr="00E62EC6">
              <w:rPr>
                <w:color w:val="000000"/>
                <w:sz w:val="16"/>
                <w:szCs w:val="16"/>
              </w:rPr>
              <w:t>-0.18</w:t>
            </w:r>
          </w:p>
        </w:tc>
        <w:tc>
          <w:tcPr>
            <w:tcW w:w="556" w:type="dxa"/>
            <w:shd w:val="clear" w:color="auto" w:fill="auto"/>
            <w:noWrap/>
            <w:vAlign w:val="center"/>
            <w:hideMark/>
          </w:tcPr>
          <w:p w14:paraId="4C93AAC9" w14:textId="77777777" w:rsidR="00E62EC6" w:rsidRPr="00E62EC6" w:rsidRDefault="00E62EC6" w:rsidP="00E20FF5">
            <w:pPr>
              <w:jc w:val="center"/>
              <w:rPr>
                <w:color w:val="000000"/>
                <w:sz w:val="16"/>
                <w:szCs w:val="16"/>
                <w:lang w:val="en-GB"/>
              </w:rPr>
            </w:pPr>
            <w:r w:rsidRPr="00E62EC6">
              <w:rPr>
                <w:color w:val="000000"/>
                <w:sz w:val="16"/>
                <w:szCs w:val="16"/>
              </w:rPr>
              <w:t>-0.06</w:t>
            </w:r>
          </w:p>
        </w:tc>
        <w:tc>
          <w:tcPr>
            <w:tcW w:w="556" w:type="dxa"/>
            <w:shd w:val="clear" w:color="auto" w:fill="auto"/>
            <w:noWrap/>
            <w:vAlign w:val="center"/>
            <w:hideMark/>
          </w:tcPr>
          <w:p w14:paraId="580BD156"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586AB4CB"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10A6C6CF" w14:textId="77777777" w:rsidR="00E62EC6" w:rsidRPr="00E62EC6" w:rsidRDefault="00E62EC6" w:rsidP="00E20FF5">
            <w:pPr>
              <w:jc w:val="center"/>
              <w:rPr>
                <w:color w:val="000000"/>
                <w:sz w:val="16"/>
                <w:szCs w:val="16"/>
                <w:lang w:val="en-GB"/>
              </w:rPr>
            </w:pPr>
            <w:r w:rsidRPr="00E62EC6">
              <w:rPr>
                <w:color w:val="000000"/>
                <w:sz w:val="16"/>
                <w:szCs w:val="16"/>
              </w:rPr>
              <w:t>0.12</w:t>
            </w:r>
          </w:p>
        </w:tc>
        <w:tc>
          <w:tcPr>
            <w:tcW w:w="556" w:type="dxa"/>
            <w:shd w:val="clear" w:color="auto" w:fill="auto"/>
            <w:noWrap/>
            <w:vAlign w:val="center"/>
            <w:hideMark/>
          </w:tcPr>
          <w:p w14:paraId="6925BEBA" w14:textId="77777777" w:rsidR="00E62EC6" w:rsidRPr="00E62EC6" w:rsidRDefault="00E62EC6" w:rsidP="00E20FF5">
            <w:pPr>
              <w:jc w:val="center"/>
              <w:rPr>
                <w:color w:val="000000"/>
                <w:sz w:val="16"/>
                <w:szCs w:val="16"/>
                <w:lang w:val="en-GB"/>
              </w:rPr>
            </w:pPr>
            <w:r w:rsidRPr="00E62EC6">
              <w:rPr>
                <w:color w:val="000000"/>
                <w:sz w:val="16"/>
                <w:szCs w:val="16"/>
              </w:rPr>
              <w:t>-0.15</w:t>
            </w:r>
          </w:p>
        </w:tc>
        <w:tc>
          <w:tcPr>
            <w:tcW w:w="556" w:type="dxa"/>
            <w:shd w:val="clear" w:color="auto" w:fill="auto"/>
            <w:noWrap/>
            <w:vAlign w:val="center"/>
            <w:hideMark/>
          </w:tcPr>
          <w:p w14:paraId="6812C301" w14:textId="77777777" w:rsidR="00E62EC6" w:rsidRPr="00E62EC6" w:rsidRDefault="00E62EC6" w:rsidP="00E20FF5">
            <w:pPr>
              <w:jc w:val="center"/>
              <w:rPr>
                <w:color w:val="000000"/>
                <w:sz w:val="16"/>
                <w:szCs w:val="16"/>
                <w:lang w:val="en-GB"/>
              </w:rPr>
            </w:pPr>
            <w:r w:rsidRPr="00E62EC6">
              <w:rPr>
                <w:color w:val="000000"/>
                <w:sz w:val="16"/>
                <w:szCs w:val="16"/>
              </w:rPr>
              <w:t>-0.23</w:t>
            </w:r>
          </w:p>
        </w:tc>
        <w:tc>
          <w:tcPr>
            <w:tcW w:w="556" w:type="dxa"/>
            <w:shd w:val="clear" w:color="auto" w:fill="auto"/>
            <w:noWrap/>
            <w:vAlign w:val="center"/>
            <w:hideMark/>
          </w:tcPr>
          <w:p w14:paraId="32CFEA9C" w14:textId="77777777" w:rsidR="00E62EC6" w:rsidRPr="00E62EC6" w:rsidRDefault="00E62EC6" w:rsidP="00E20FF5">
            <w:pPr>
              <w:jc w:val="center"/>
              <w:rPr>
                <w:color w:val="000000"/>
                <w:sz w:val="16"/>
                <w:szCs w:val="16"/>
                <w:lang w:val="en-GB"/>
              </w:rPr>
            </w:pPr>
            <w:r w:rsidRPr="00E62EC6">
              <w:rPr>
                <w:color w:val="000000"/>
                <w:sz w:val="16"/>
                <w:szCs w:val="16"/>
              </w:rPr>
              <w:t>0.24</w:t>
            </w:r>
          </w:p>
        </w:tc>
        <w:tc>
          <w:tcPr>
            <w:tcW w:w="556" w:type="dxa"/>
            <w:shd w:val="clear" w:color="auto" w:fill="auto"/>
            <w:noWrap/>
            <w:vAlign w:val="center"/>
            <w:hideMark/>
          </w:tcPr>
          <w:p w14:paraId="6D683611" w14:textId="77777777" w:rsidR="00E62EC6" w:rsidRPr="00E62EC6" w:rsidRDefault="00E62EC6" w:rsidP="00E20FF5">
            <w:pPr>
              <w:jc w:val="center"/>
              <w:rPr>
                <w:color w:val="000000"/>
                <w:sz w:val="16"/>
                <w:szCs w:val="16"/>
                <w:lang w:val="en-GB"/>
              </w:rPr>
            </w:pPr>
            <w:r w:rsidRPr="00E62EC6">
              <w:rPr>
                <w:color w:val="000000"/>
                <w:sz w:val="16"/>
                <w:szCs w:val="16"/>
              </w:rPr>
              <w:t>-0.11</w:t>
            </w:r>
          </w:p>
        </w:tc>
        <w:tc>
          <w:tcPr>
            <w:tcW w:w="556" w:type="dxa"/>
            <w:shd w:val="clear" w:color="auto" w:fill="auto"/>
            <w:noWrap/>
            <w:vAlign w:val="center"/>
            <w:hideMark/>
          </w:tcPr>
          <w:p w14:paraId="51EF0A62"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5A6E3422"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50D2D0B8"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429E10EA" w14:textId="77777777" w:rsidR="00E62EC6" w:rsidRPr="00E62EC6" w:rsidRDefault="00E62EC6" w:rsidP="00E20FF5">
            <w:pPr>
              <w:jc w:val="center"/>
              <w:rPr>
                <w:color w:val="000000"/>
                <w:sz w:val="16"/>
                <w:szCs w:val="16"/>
                <w:lang w:val="en-GB"/>
              </w:rPr>
            </w:pPr>
            <w:r w:rsidRPr="00E62EC6">
              <w:rPr>
                <w:color w:val="000000"/>
                <w:sz w:val="16"/>
                <w:szCs w:val="16"/>
              </w:rPr>
              <w:t>1</w:t>
            </w:r>
          </w:p>
        </w:tc>
        <w:tc>
          <w:tcPr>
            <w:tcW w:w="556" w:type="dxa"/>
            <w:shd w:val="clear" w:color="auto" w:fill="auto"/>
            <w:noWrap/>
            <w:vAlign w:val="center"/>
            <w:hideMark/>
          </w:tcPr>
          <w:p w14:paraId="44FBB454" w14:textId="77777777" w:rsidR="00E62EC6" w:rsidRPr="00E62EC6" w:rsidRDefault="00E62EC6" w:rsidP="00E20FF5">
            <w:pPr>
              <w:jc w:val="center"/>
              <w:rPr>
                <w:color w:val="000000"/>
                <w:sz w:val="16"/>
                <w:szCs w:val="16"/>
                <w:lang w:val="en-GB"/>
              </w:rPr>
            </w:pPr>
          </w:p>
        </w:tc>
      </w:tr>
      <w:tr w:rsidR="00FC73F8" w:rsidRPr="00E62EC6" w14:paraId="5D6ED855" w14:textId="77777777" w:rsidTr="00FC73F8">
        <w:trPr>
          <w:trHeight w:val="290"/>
          <w:jc w:val="center"/>
        </w:trPr>
        <w:tc>
          <w:tcPr>
            <w:tcW w:w="2158" w:type="dxa"/>
            <w:shd w:val="clear" w:color="auto" w:fill="auto"/>
            <w:noWrap/>
            <w:vAlign w:val="center"/>
            <w:hideMark/>
          </w:tcPr>
          <w:p w14:paraId="036579C5" w14:textId="77777777" w:rsidR="00E62EC6" w:rsidRPr="00E62EC6" w:rsidRDefault="00E62EC6" w:rsidP="00E20FF5">
            <w:pPr>
              <w:rPr>
                <w:color w:val="000000"/>
                <w:sz w:val="16"/>
                <w:szCs w:val="16"/>
                <w:lang w:val="en-GB"/>
              </w:rPr>
            </w:pPr>
            <w:r w:rsidRPr="00E62EC6">
              <w:rPr>
                <w:color w:val="000000"/>
                <w:sz w:val="16"/>
                <w:szCs w:val="16"/>
                <w:lang w:val="en-GB" w:eastAsia="zh-CN"/>
              </w:rPr>
              <w:t>(22) Revolver</w:t>
            </w:r>
          </w:p>
        </w:tc>
        <w:tc>
          <w:tcPr>
            <w:tcW w:w="556" w:type="dxa"/>
            <w:shd w:val="clear" w:color="auto" w:fill="auto"/>
            <w:noWrap/>
            <w:vAlign w:val="center"/>
            <w:hideMark/>
          </w:tcPr>
          <w:p w14:paraId="66FD2832"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18FBF7C2"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155C8F0B"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1AE84A00"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5C6BB3E5" w14:textId="77777777" w:rsidR="00E62EC6" w:rsidRPr="00E62EC6" w:rsidRDefault="00E62EC6" w:rsidP="00E20FF5">
            <w:pPr>
              <w:jc w:val="center"/>
              <w:rPr>
                <w:color w:val="000000"/>
                <w:sz w:val="16"/>
                <w:szCs w:val="16"/>
                <w:lang w:val="en-GB"/>
              </w:rPr>
            </w:pPr>
            <w:r w:rsidRPr="00E62EC6">
              <w:rPr>
                <w:color w:val="000000"/>
                <w:sz w:val="16"/>
                <w:szCs w:val="16"/>
              </w:rPr>
              <w:t>0</w:t>
            </w:r>
          </w:p>
        </w:tc>
        <w:tc>
          <w:tcPr>
            <w:tcW w:w="556" w:type="dxa"/>
            <w:shd w:val="clear" w:color="auto" w:fill="auto"/>
            <w:noWrap/>
            <w:vAlign w:val="center"/>
            <w:hideMark/>
          </w:tcPr>
          <w:p w14:paraId="2AE1467D"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1F59EB46" w14:textId="77777777" w:rsidR="00E62EC6" w:rsidRPr="00E62EC6" w:rsidRDefault="00E62EC6" w:rsidP="00E20FF5">
            <w:pPr>
              <w:jc w:val="center"/>
              <w:rPr>
                <w:color w:val="000000"/>
                <w:sz w:val="16"/>
                <w:szCs w:val="16"/>
                <w:lang w:val="en-GB"/>
              </w:rPr>
            </w:pPr>
            <w:r w:rsidRPr="00E62EC6">
              <w:rPr>
                <w:color w:val="000000"/>
                <w:sz w:val="16"/>
                <w:szCs w:val="16"/>
              </w:rPr>
              <w:t>-0.11</w:t>
            </w:r>
          </w:p>
        </w:tc>
        <w:tc>
          <w:tcPr>
            <w:tcW w:w="556" w:type="dxa"/>
            <w:shd w:val="clear" w:color="auto" w:fill="auto"/>
            <w:noWrap/>
            <w:vAlign w:val="center"/>
            <w:hideMark/>
          </w:tcPr>
          <w:p w14:paraId="57A3A94E"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3CA2FD1D" w14:textId="77777777" w:rsidR="00E62EC6" w:rsidRPr="00E62EC6" w:rsidRDefault="00E62EC6" w:rsidP="00E20FF5">
            <w:pPr>
              <w:jc w:val="center"/>
              <w:rPr>
                <w:color w:val="000000"/>
                <w:sz w:val="16"/>
                <w:szCs w:val="16"/>
                <w:lang w:val="en-GB"/>
              </w:rPr>
            </w:pPr>
            <w:r w:rsidRPr="00E62EC6">
              <w:rPr>
                <w:color w:val="000000"/>
                <w:sz w:val="16"/>
                <w:szCs w:val="16"/>
              </w:rPr>
              <w:t>-0.09</w:t>
            </w:r>
          </w:p>
        </w:tc>
        <w:tc>
          <w:tcPr>
            <w:tcW w:w="556" w:type="dxa"/>
            <w:shd w:val="clear" w:color="auto" w:fill="auto"/>
            <w:noWrap/>
            <w:vAlign w:val="center"/>
            <w:hideMark/>
          </w:tcPr>
          <w:p w14:paraId="53D50AF7"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2F127FDF"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73C05531" w14:textId="77777777" w:rsidR="00E62EC6" w:rsidRPr="00E62EC6" w:rsidRDefault="00E62EC6" w:rsidP="00E20FF5">
            <w:pPr>
              <w:jc w:val="center"/>
              <w:rPr>
                <w:color w:val="000000"/>
                <w:sz w:val="16"/>
                <w:szCs w:val="16"/>
                <w:lang w:val="en-GB"/>
              </w:rPr>
            </w:pPr>
            <w:r w:rsidRPr="00E62EC6">
              <w:rPr>
                <w:color w:val="000000"/>
                <w:sz w:val="16"/>
                <w:szCs w:val="16"/>
              </w:rPr>
              <w:t>-0.02</w:t>
            </w:r>
          </w:p>
        </w:tc>
        <w:tc>
          <w:tcPr>
            <w:tcW w:w="556" w:type="dxa"/>
            <w:shd w:val="clear" w:color="auto" w:fill="auto"/>
            <w:noWrap/>
            <w:vAlign w:val="center"/>
            <w:hideMark/>
          </w:tcPr>
          <w:p w14:paraId="34912812"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3FBB0A57" w14:textId="77777777" w:rsidR="00E62EC6" w:rsidRPr="00E62EC6" w:rsidRDefault="00E62EC6" w:rsidP="00E20FF5">
            <w:pPr>
              <w:jc w:val="center"/>
              <w:rPr>
                <w:color w:val="000000"/>
                <w:sz w:val="16"/>
                <w:szCs w:val="16"/>
                <w:lang w:val="en-GB"/>
              </w:rPr>
            </w:pPr>
            <w:r w:rsidRPr="00E62EC6">
              <w:rPr>
                <w:color w:val="000000"/>
                <w:sz w:val="16"/>
                <w:szCs w:val="16"/>
              </w:rPr>
              <w:t>-0.05</w:t>
            </w:r>
          </w:p>
        </w:tc>
        <w:tc>
          <w:tcPr>
            <w:tcW w:w="556" w:type="dxa"/>
            <w:shd w:val="clear" w:color="auto" w:fill="auto"/>
            <w:noWrap/>
            <w:vAlign w:val="center"/>
            <w:hideMark/>
          </w:tcPr>
          <w:p w14:paraId="0588703E" w14:textId="77777777" w:rsidR="00E62EC6" w:rsidRPr="00E62EC6" w:rsidRDefault="00E62EC6" w:rsidP="00E20FF5">
            <w:pPr>
              <w:jc w:val="center"/>
              <w:rPr>
                <w:color w:val="000000"/>
                <w:sz w:val="16"/>
                <w:szCs w:val="16"/>
                <w:lang w:val="en-GB"/>
              </w:rPr>
            </w:pPr>
            <w:r w:rsidRPr="00E62EC6">
              <w:rPr>
                <w:color w:val="000000"/>
                <w:sz w:val="16"/>
                <w:szCs w:val="16"/>
              </w:rPr>
              <w:t>0.06</w:t>
            </w:r>
          </w:p>
        </w:tc>
        <w:tc>
          <w:tcPr>
            <w:tcW w:w="556" w:type="dxa"/>
            <w:shd w:val="clear" w:color="auto" w:fill="auto"/>
            <w:noWrap/>
            <w:vAlign w:val="center"/>
            <w:hideMark/>
          </w:tcPr>
          <w:p w14:paraId="5E46BCAF" w14:textId="77777777" w:rsidR="00E62EC6" w:rsidRPr="00E62EC6" w:rsidRDefault="00E62EC6" w:rsidP="00E20FF5">
            <w:pPr>
              <w:jc w:val="center"/>
              <w:rPr>
                <w:color w:val="000000"/>
                <w:sz w:val="16"/>
                <w:szCs w:val="16"/>
                <w:lang w:val="en-GB"/>
              </w:rPr>
            </w:pPr>
            <w:r w:rsidRPr="00E62EC6">
              <w:rPr>
                <w:color w:val="000000"/>
                <w:sz w:val="16"/>
                <w:szCs w:val="16"/>
              </w:rPr>
              <w:t>0.35</w:t>
            </w:r>
          </w:p>
        </w:tc>
        <w:tc>
          <w:tcPr>
            <w:tcW w:w="556" w:type="dxa"/>
            <w:shd w:val="clear" w:color="auto" w:fill="auto"/>
            <w:noWrap/>
            <w:vAlign w:val="center"/>
            <w:hideMark/>
          </w:tcPr>
          <w:p w14:paraId="5AC16E53" w14:textId="77777777" w:rsidR="00E62EC6" w:rsidRPr="00E62EC6" w:rsidRDefault="00E62EC6" w:rsidP="00E20FF5">
            <w:pPr>
              <w:jc w:val="center"/>
              <w:rPr>
                <w:color w:val="000000"/>
                <w:sz w:val="16"/>
                <w:szCs w:val="16"/>
                <w:lang w:val="en-GB"/>
              </w:rPr>
            </w:pPr>
            <w:r w:rsidRPr="00E62EC6">
              <w:rPr>
                <w:color w:val="000000"/>
                <w:sz w:val="16"/>
                <w:szCs w:val="16"/>
              </w:rPr>
              <w:t>-0.04</w:t>
            </w:r>
          </w:p>
        </w:tc>
        <w:tc>
          <w:tcPr>
            <w:tcW w:w="556" w:type="dxa"/>
            <w:shd w:val="clear" w:color="auto" w:fill="auto"/>
            <w:noWrap/>
            <w:vAlign w:val="center"/>
            <w:hideMark/>
          </w:tcPr>
          <w:p w14:paraId="49B23D72" w14:textId="77777777" w:rsidR="00E62EC6" w:rsidRPr="00E62EC6" w:rsidRDefault="00E62EC6" w:rsidP="00E20FF5">
            <w:pPr>
              <w:jc w:val="center"/>
              <w:rPr>
                <w:color w:val="000000"/>
                <w:sz w:val="16"/>
                <w:szCs w:val="16"/>
                <w:lang w:val="en-GB"/>
              </w:rPr>
            </w:pPr>
            <w:r w:rsidRPr="00E62EC6">
              <w:rPr>
                <w:color w:val="000000"/>
                <w:sz w:val="16"/>
                <w:szCs w:val="16"/>
              </w:rPr>
              <w:t>-0.07</w:t>
            </w:r>
          </w:p>
        </w:tc>
        <w:tc>
          <w:tcPr>
            <w:tcW w:w="556" w:type="dxa"/>
            <w:shd w:val="clear" w:color="auto" w:fill="auto"/>
            <w:noWrap/>
            <w:vAlign w:val="center"/>
            <w:hideMark/>
          </w:tcPr>
          <w:p w14:paraId="55EC0957" w14:textId="77777777" w:rsidR="00E62EC6" w:rsidRPr="00E62EC6" w:rsidRDefault="00E62EC6" w:rsidP="00E20FF5">
            <w:pPr>
              <w:jc w:val="center"/>
              <w:rPr>
                <w:color w:val="000000"/>
                <w:sz w:val="16"/>
                <w:szCs w:val="16"/>
                <w:lang w:val="en-GB"/>
              </w:rPr>
            </w:pPr>
            <w:r w:rsidRPr="00E62EC6">
              <w:rPr>
                <w:color w:val="000000"/>
                <w:sz w:val="16"/>
                <w:szCs w:val="16"/>
              </w:rPr>
              <w:t>-0.03</w:t>
            </w:r>
          </w:p>
        </w:tc>
        <w:tc>
          <w:tcPr>
            <w:tcW w:w="556" w:type="dxa"/>
            <w:shd w:val="clear" w:color="auto" w:fill="auto"/>
            <w:noWrap/>
            <w:vAlign w:val="center"/>
            <w:hideMark/>
          </w:tcPr>
          <w:p w14:paraId="5B2F4105" w14:textId="77777777" w:rsidR="00E62EC6" w:rsidRPr="00E62EC6" w:rsidRDefault="00E62EC6" w:rsidP="00E20FF5">
            <w:pPr>
              <w:jc w:val="center"/>
              <w:rPr>
                <w:color w:val="000000"/>
                <w:sz w:val="16"/>
                <w:szCs w:val="16"/>
                <w:lang w:val="en-GB"/>
              </w:rPr>
            </w:pPr>
            <w:r w:rsidRPr="00E62EC6">
              <w:rPr>
                <w:color w:val="000000"/>
                <w:sz w:val="16"/>
                <w:szCs w:val="16"/>
              </w:rPr>
              <w:t>-0.01</w:t>
            </w:r>
          </w:p>
        </w:tc>
        <w:tc>
          <w:tcPr>
            <w:tcW w:w="556" w:type="dxa"/>
            <w:shd w:val="clear" w:color="auto" w:fill="auto"/>
            <w:noWrap/>
            <w:vAlign w:val="center"/>
            <w:hideMark/>
          </w:tcPr>
          <w:p w14:paraId="3EDE44AB" w14:textId="77777777" w:rsidR="00E62EC6" w:rsidRPr="00E62EC6" w:rsidRDefault="00E62EC6" w:rsidP="00E20FF5">
            <w:pPr>
              <w:jc w:val="center"/>
              <w:rPr>
                <w:color w:val="000000"/>
                <w:sz w:val="16"/>
                <w:szCs w:val="16"/>
                <w:lang w:val="en-GB"/>
              </w:rPr>
            </w:pPr>
            <w:r w:rsidRPr="00E62EC6">
              <w:rPr>
                <w:color w:val="000000"/>
                <w:sz w:val="16"/>
                <w:szCs w:val="16"/>
              </w:rPr>
              <w:t>-0.56</w:t>
            </w:r>
          </w:p>
        </w:tc>
        <w:tc>
          <w:tcPr>
            <w:tcW w:w="556" w:type="dxa"/>
            <w:shd w:val="clear" w:color="auto" w:fill="auto"/>
            <w:noWrap/>
            <w:vAlign w:val="center"/>
            <w:hideMark/>
          </w:tcPr>
          <w:p w14:paraId="6FFD2484" w14:textId="77777777" w:rsidR="00E62EC6" w:rsidRPr="00E62EC6" w:rsidRDefault="00E62EC6" w:rsidP="00E20FF5">
            <w:pPr>
              <w:jc w:val="center"/>
              <w:rPr>
                <w:color w:val="000000"/>
                <w:sz w:val="16"/>
                <w:szCs w:val="16"/>
                <w:lang w:val="en-GB"/>
              </w:rPr>
            </w:pPr>
            <w:r w:rsidRPr="00E62EC6">
              <w:rPr>
                <w:color w:val="000000"/>
                <w:sz w:val="16"/>
                <w:szCs w:val="16"/>
              </w:rPr>
              <w:t>1</w:t>
            </w:r>
          </w:p>
        </w:tc>
      </w:tr>
    </w:tbl>
    <w:p w14:paraId="006E22CE" w14:textId="77777777" w:rsidR="001815E5" w:rsidRDefault="001815E5" w:rsidP="00E20FF5">
      <w:pPr>
        <w:widowControl w:val="0"/>
        <w:autoSpaceDE w:val="0"/>
        <w:autoSpaceDN w:val="0"/>
        <w:adjustRightInd w:val="0"/>
        <w:rPr>
          <w:b/>
          <w:szCs w:val="20"/>
        </w:rPr>
      </w:pPr>
    </w:p>
    <w:sectPr w:rsidR="001815E5" w:rsidSect="00E20FF5">
      <w:pgSz w:w="15840" w:h="12240" w:orient="landscape"/>
      <w:pgMar w:top="709" w:right="1440" w:bottom="42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6E34A" w14:textId="77777777" w:rsidR="001C2FCF" w:rsidRDefault="001C2FCF">
      <w:r>
        <w:separator/>
      </w:r>
    </w:p>
  </w:endnote>
  <w:endnote w:type="continuationSeparator" w:id="0">
    <w:p w14:paraId="0E3A82D1" w14:textId="77777777" w:rsidR="001C2FCF" w:rsidRDefault="001C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JOEM E+ Gulliver">
    <w:altName w:val="Cambria"/>
    <w:panose1 w:val="00000000000000000000"/>
    <w:charset w:val="00"/>
    <w:family w:val="roman"/>
    <w:notTrueType/>
    <w:pitch w:val="default"/>
    <w:sig w:usb0="00000003" w:usb1="00000000" w:usb2="00000000" w:usb3="00000000" w:csb0="00000001" w:csb1="00000000"/>
  </w:font>
  <w:font w:name="CharisSIL">
    <w:altName w:val="Calibri"/>
    <w:panose1 w:val="00000000000000000000"/>
    <w:charset w:val="00"/>
    <w:family w:val="swiss"/>
    <w:notTrueType/>
    <w:pitch w:val="default"/>
    <w:sig w:usb0="00000083" w:usb1="08070000" w:usb2="00000010" w:usb3="00000000" w:csb0="00020009" w:csb1="00000000"/>
  </w:font>
  <w:font w:name="AdvPSSAB-R">
    <w:altName w:val="Cambria"/>
    <w:panose1 w:val="00000000000000000000"/>
    <w:charset w:val="00"/>
    <w:family w:val="roman"/>
    <w:notTrueType/>
    <w:pitch w:val="default"/>
    <w:sig w:usb0="00000003" w:usb1="00000000" w:usb2="00000000" w:usb3="00000000" w:csb0="0000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F2D2A" w14:textId="77777777" w:rsidR="00CD520D" w:rsidRDefault="00CD520D">
    <w:pPr>
      <w:widowControl w:val="0"/>
      <w:autoSpaceDE w:val="0"/>
      <w:autoSpaceDN w:val="0"/>
      <w:adjustRightInd w:val="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5474B" w14:textId="77777777" w:rsidR="00CD520D" w:rsidRDefault="00CD520D">
    <w:pPr>
      <w:pStyle w:val="Footer"/>
      <w:jc w:val="center"/>
    </w:pPr>
    <w:r>
      <w:fldChar w:fldCharType="begin"/>
    </w:r>
    <w:r>
      <w:instrText xml:space="preserve"> PAGE   \* MERGEFORMAT </w:instrText>
    </w:r>
    <w:r>
      <w:fldChar w:fldCharType="separate"/>
    </w:r>
    <w:r>
      <w:rPr>
        <w:noProof/>
      </w:rPr>
      <w:t>29</w:t>
    </w:r>
    <w:r>
      <w:rPr>
        <w:noProof/>
      </w:rPr>
      <w:fldChar w:fldCharType="end"/>
    </w:r>
  </w:p>
  <w:p w14:paraId="38BCD160" w14:textId="77777777" w:rsidR="00CD520D" w:rsidRDefault="00CD520D">
    <w:pPr>
      <w:widowControl w:val="0"/>
      <w:autoSpaceDE w:val="0"/>
      <w:autoSpaceDN w:val="0"/>
      <w:adjustRightInd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1087" w14:textId="77777777" w:rsidR="00CD520D" w:rsidRDefault="00CD520D">
    <w:pPr>
      <w:widowControl w:val="0"/>
      <w:autoSpaceDE w:val="0"/>
      <w:autoSpaceDN w:val="0"/>
      <w:adjustRightInd w:val="0"/>
      <w:jc w:val="center"/>
    </w:pPr>
    <w: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42160" w14:textId="77777777" w:rsidR="00CD520D" w:rsidRDefault="00CD520D">
    <w:pPr>
      <w:widowControl w:val="0"/>
      <w:autoSpaceDE w:val="0"/>
      <w:autoSpaceDN w:val="0"/>
      <w:adjustRightInd w:val="0"/>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244E1" w14:textId="77777777" w:rsidR="001C2FCF" w:rsidRDefault="001C2FCF">
      <w:r>
        <w:separator/>
      </w:r>
    </w:p>
  </w:footnote>
  <w:footnote w:type="continuationSeparator" w:id="0">
    <w:p w14:paraId="047BF482" w14:textId="77777777" w:rsidR="001C2FCF" w:rsidRDefault="001C2FCF">
      <w:r>
        <w:continuationSeparator/>
      </w:r>
    </w:p>
  </w:footnote>
  <w:footnote w:id="1">
    <w:p w14:paraId="7CFDFDA4" w14:textId="77777777" w:rsidR="00CD520D" w:rsidRPr="00890487" w:rsidRDefault="00CD520D" w:rsidP="00890487">
      <w:pPr>
        <w:pStyle w:val="FootnoteText"/>
        <w:jc w:val="both"/>
        <w:rPr>
          <w:lang w:val="en-GB"/>
        </w:rPr>
      </w:pPr>
      <w:r>
        <w:rPr>
          <w:rStyle w:val="FootnoteReference"/>
        </w:rPr>
        <w:footnoteRef/>
      </w:r>
      <w:r>
        <w:t xml:space="preserve"> </w:t>
      </w:r>
      <w:r>
        <w:rPr>
          <w:lang w:val="en-GB"/>
        </w:rPr>
        <w:t xml:space="preserve">We could have also computed a variable relative to </w:t>
      </w:r>
      <w:r w:rsidRPr="001554F3">
        <w:t>suppliers of services and differentiated products</w:t>
      </w:r>
      <w:r>
        <w:rPr>
          <w:lang w:val="en-GB"/>
        </w:rPr>
        <w:t xml:space="preserve"> as an alternative test for relationship’s tightness. However, given its nature, it would not have been possible to explore the curvilinear relationship between this variable and the lead agent’s loan share.</w:t>
      </w:r>
    </w:p>
  </w:footnote>
  <w:footnote w:id="2">
    <w:p w14:paraId="36F87297" w14:textId="77777777" w:rsidR="00CD520D" w:rsidRPr="007A1600" w:rsidRDefault="00CD520D" w:rsidP="00B963EB">
      <w:pPr>
        <w:pStyle w:val="FootnoteText"/>
        <w:jc w:val="both"/>
        <w:rPr>
          <w:szCs w:val="24"/>
        </w:rPr>
      </w:pPr>
      <w:r w:rsidRPr="0043098D">
        <w:rPr>
          <w:rStyle w:val="FootnoteReference"/>
          <w:szCs w:val="24"/>
        </w:rPr>
        <w:footnoteRef/>
      </w:r>
      <w:r w:rsidRPr="0043098D">
        <w:rPr>
          <w:szCs w:val="24"/>
        </w:rPr>
        <w:t xml:space="preserve"> Information on customer–supplier relationships are based on the Compustat segment customer file. This information is publicly available as SFAS No. 14 (before 1997) and SFAS No. 131 (after 1997). This requires firms to disclose the existence </w:t>
      </w:r>
      <w:r>
        <w:rPr>
          <w:szCs w:val="24"/>
        </w:rPr>
        <w:t xml:space="preserve">of </w:t>
      </w:r>
      <w:r w:rsidRPr="0043098D">
        <w:rPr>
          <w:szCs w:val="24"/>
        </w:rPr>
        <w:t>and sales to principal customers representing more than 10% of total firm revenues.</w:t>
      </w:r>
      <w:r w:rsidRPr="007A1600">
        <w:rPr>
          <w:szCs w:val="24"/>
        </w:rPr>
        <w:t xml:space="preserve"> </w:t>
      </w:r>
    </w:p>
  </w:footnote>
  <w:footnote w:id="3">
    <w:p w14:paraId="7450E7FD" w14:textId="77777777" w:rsidR="00CD520D" w:rsidRPr="000A41BA" w:rsidRDefault="00CD520D">
      <w:pPr>
        <w:pStyle w:val="FootnoteText"/>
        <w:rPr>
          <w:lang w:val="en-GB"/>
        </w:rPr>
      </w:pPr>
      <w:r>
        <w:rPr>
          <w:rStyle w:val="FootnoteReference"/>
        </w:rPr>
        <w:footnoteRef/>
      </w:r>
      <w:r>
        <w:t xml:space="preserve"> In fact, t</w:t>
      </w:r>
      <w:r w:rsidRPr="000A41BA">
        <w:t>he lead bank typically retains a very large share of the loan and is therefore widely subject to idiosyncratic credit risk (in our sample, the lead bank’s share is on average equal to 26% of the entire facility, or $127.2 million in economic terms).</w:t>
      </w:r>
    </w:p>
  </w:footnote>
  <w:footnote w:id="4">
    <w:p w14:paraId="5EE0CCA5" w14:textId="77777777" w:rsidR="00CD520D" w:rsidRDefault="00CD520D" w:rsidP="002D477C">
      <w:pPr>
        <w:pStyle w:val="FootnoteText"/>
        <w:jc w:val="both"/>
      </w:pPr>
      <w:r>
        <w:rPr>
          <w:rStyle w:val="FootnoteReference"/>
        </w:rPr>
        <w:footnoteRef/>
      </w:r>
      <w:r>
        <w:t xml:space="preserve"> Links are accessed through the following link: </w:t>
      </w:r>
      <w:hyperlink r:id="rId1" w:history="1">
        <w:r w:rsidRPr="00F1262E">
          <w:rPr>
            <w:rStyle w:val="Hyperlink"/>
          </w:rPr>
          <w:t>http://finance.wharton.upenn.edu/~mrrobert/styled-9/styled-12/index.html</w:t>
        </w:r>
      </w:hyperlink>
      <w:r>
        <w:t xml:space="preserve"> </w:t>
      </w:r>
    </w:p>
  </w:footnote>
  <w:footnote w:id="5">
    <w:p w14:paraId="7117B9F8" w14:textId="77777777" w:rsidR="00CD520D" w:rsidRPr="00BD7AB0" w:rsidRDefault="00CD520D">
      <w:pPr>
        <w:pStyle w:val="FootnoteText"/>
      </w:pPr>
      <w:r>
        <w:rPr>
          <w:rStyle w:val="FootnoteReference"/>
        </w:rPr>
        <w:footnoteRef/>
      </w:r>
      <w:r>
        <w:t xml:space="preserve"> We discuss these variables in Section 3.2.</w:t>
      </w:r>
    </w:p>
  </w:footnote>
  <w:footnote w:id="6">
    <w:p w14:paraId="36464BBE" w14:textId="77777777" w:rsidR="00CD520D" w:rsidRPr="00470FBE" w:rsidRDefault="00CD520D" w:rsidP="00470FBE">
      <w:pPr>
        <w:autoSpaceDE w:val="0"/>
        <w:autoSpaceDN w:val="0"/>
        <w:adjustRightInd w:val="0"/>
        <w:jc w:val="both"/>
        <w:rPr>
          <w:rFonts w:eastAsia="DengXian"/>
          <w:lang w:val="en-GB" w:eastAsia="zh-CN"/>
        </w:rPr>
      </w:pPr>
      <w:r w:rsidRPr="00BB2E88">
        <w:rPr>
          <w:rStyle w:val="FootnoteReference"/>
          <w:sz w:val="20"/>
          <w:szCs w:val="20"/>
        </w:rPr>
        <w:footnoteRef/>
      </w:r>
      <w:r w:rsidRPr="00BB2E88">
        <w:rPr>
          <w:sz w:val="20"/>
          <w:szCs w:val="20"/>
        </w:rPr>
        <w:t xml:space="preserve"> </w:t>
      </w:r>
      <w:r w:rsidRPr="00470FBE">
        <w:rPr>
          <w:rFonts w:eastAsia="DengXian"/>
          <w:sz w:val="20"/>
          <w:szCs w:val="20"/>
          <w:lang w:val="en-GB" w:eastAsia="zh-CN"/>
        </w:rPr>
        <w:t>The ranking hierarchy consists of the following rol</w:t>
      </w:r>
      <w:r>
        <w:rPr>
          <w:rFonts w:eastAsia="DengXian"/>
          <w:sz w:val="20"/>
          <w:szCs w:val="20"/>
          <w:lang w:val="en-GB" w:eastAsia="zh-CN"/>
        </w:rPr>
        <w:t>e</w:t>
      </w:r>
      <w:r w:rsidRPr="00470FBE">
        <w:rPr>
          <w:rFonts w:eastAsia="DengXian"/>
          <w:sz w:val="20"/>
          <w:szCs w:val="20"/>
          <w:lang w:val="en-GB" w:eastAsia="zh-CN"/>
        </w:rPr>
        <w:t>s: 1) lender is denoted as “Admin</w:t>
      </w:r>
      <w:r>
        <w:rPr>
          <w:rFonts w:eastAsia="DengXian"/>
          <w:sz w:val="20"/>
          <w:szCs w:val="20"/>
          <w:lang w:val="en-GB" w:eastAsia="zh-CN"/>
        </w:rPr>
        <w:t xml:space="preserve"> </w:t>
      </w:r>
      <w:r w:rsidRPr="00470FBE">
        <w:rPr>
          <w:rFonts w:eastAsia="DengXian"/>
          <w:sz w:val="20"/>
          <w:szCs w:val="20"/>
          <w:lang w:val="en-GB" w:eastAsia="zh-CN"/>
        </w:rPr>
        <w:t>Agent”, 2) lender is denoted as “Lead bank”, 3) lender is denoted as “Lead arranger”, 4) lender is denoted as “Mandated lead arranger”, 5) lender is denoted as “Mandated arranger”, 6) lender is denoted as either “Arranger” or “Agent” and has a “yes” for the lead arranger credit, 7) lender is denoted as either “Arranger” or “Agent” and has a “no” for the lead arranger credit, 8) lender has a “yes” for the lead arranger credit but has a role other than those previously listed (“Participant” and “Secondary investor” are also excluded), 9) lender has a “no” for the lead arranger credit but has a role other than those previously listed (“Participant” and “Secondary investor” are also excluded), and 10) lender is denoted as a “Participant” or “Secondary investor”.</w:t>
      </w:r>
      <w:r>
        <w:rPr>
          <w:rFonts w:ascii="NimbusRomNo9L-Regu" w:eastAsia="DengXian" w:hAnsi="NimbusRomNo9L-Regu" w:cs="NimbusRomNo9L-Regu"/>
          <w:sz w:val="22"/>
          <w:szCs w:val="22"/>
          <w:lang w:val="en-GB" w:eastAsia="zh-CN"/>
        </w:rPr>
        <w:t xml:space="preserve"> </w:t>
      </w:r>
    </w:p>
  </w:footnote>
  <w:footnote w:id="7">
    <w:p w14:paraId="41D47A2F" w14:textId="77777777" w:rsidR="00CD520D" w:rsidRPr="008E66D0" w:rsidRDefault="00CD520D" w:rsidP="00E64313">
      <w:pPr>
        <w:pStyle w:val="FootnoteText"/>
        <w:jc w:val="both"/>
      </w:pPr>
      <w:r>
        <w:rPr>
          <w:rStyle w:val="FootnoteReference"/>
        </w:rPr>
        <w:footnoteRef/>
      </w:r>
      <w:r>
        <w:t xml:space="preserve"> </w:t>
      </w:r>
      <w:r w:rsidRPr="008E66D0">
        <w:t xml:space="preserve">In unreported tests, we also consider an alternative horizon of three years prior to the loan, and the results are consistent.  </w:t>
      </w:r>
    </w:p>
  </w:footnote>
  <w:footnote w:id="8">
    <w:p w14:paraId="0F6045D4" w14:textId="77777777" w:rsidR="00CD520D" w:rsidRPr="00B93A5A" w:rsidRDefault="00CD520D" w:rsidP="00B93A5A">
      <w:pPr>
        <w:pStyle w:val="FootnoteText"/>
        <w:jc w:val="both"/>
        <w:rPr>
          <w:lang w:val="en-GB"/>
        </w:rPr>
      </w:pPr>
      <w:r>
        <w:rPr>
          <w:rStyle w:val="FootnoteReference"/>
        </w:rPr>
        <w:footnoteRef/>
      </w:r>
      <w:r>
        <w:t xml:space="preserve"> For example, </w:t>
      </w:r>
      <w:r>
        <w:rPr>
          <w:lang w:val="en-GB"/>
        </w:rPr>
        <w:t xml:space="preserve">if a borrower has two large customer-supplier partners with which it has a continuous relationship of respectively 4 and 6 years until the year before receiving a loan, the variable </w:t>
      </w:r>
      <w:r>
        <w:rPr>
          <w:i/>
          <w:iCs/>
          <w:lang w:val="en-GB"/>
        </w:rPr>
        <w:t>Length large CS links</w:t>
      </w:r>
      <w:r w:rsidRPr="005F5619">
        <w:rPr>
          <w:lang w:val="en-GB"/>
        </w:rPr>
        <w:t xml:space="preserve"> </w:t>
      </w:r>
      <w:r>
        <w:rPr>
          <w:lang w:val="en-GB"/>
        </w:rPr>
        <w:t>will take the value equal to 5= (4+6)/2. In a robustness check, we also consider a weighted average of year length of each large customer-supplier links, using sales as weight. The</w:t>
      </w:r>
      <w:r w:rsidRPr="002E256B">
        <w:rPr>
          <w:rFonts w:eastAsia="DengXian"/>
          <w:lang w:val="en-GB" w:eastAsia="zh-CN"/>
        </w:rPr>
        <w:t xml:space="preserve"> results remain consistent.</w:t>
      </w:r>
      <w:r>
        <w:rPr>
          <w:lang w:val="en-GB"/>
        </w:rPr>
        <w:t xml:space="preserve"> </w:t>
      </w:r>
    </w:p>
  </w:footnote>
  <w:footnote w:id="9">
    <w:p w14:paraId="7B6386F1" w14:textId="77777777" w:rsidR="00CD520D" w:rsidRDefault="00CD520D" w:rsidP="00B0095D">
      <w:pPr>
        <w:pStyle w:val="FootnoteText"/>
        <w:jc w:val="both"/>
      </w:pPr>
      <w:r>
        <w:rPr>
          <w:rStyle w:val="FootnoteReference"/>
        </w:rPr>
        <w:footnoteRef/>
      </w:r>
      <w:r>
        <w:t xml:space="preserve"> </w:t>
      </w:r>
      <w:r w:rsidRPr="008F5DE1">
        <w:rPr>
          <w:color w:val="000000"/>
        </w:rPr>
        <w:t>They are respectively the sum of the percentage sales coming from the set of customers the firm reports as “</w:t>
      </w:r>
      <w:r>
        <w:rPr>
          <w:color w:val="000000"/>
        </w:rPr>
        <w:t>large customer</w:t>
      </w:r>
      <w:r w:rsidRPr="008F5DE1">
        <w:rPr>
          <w:color w:val="000000"/>
        </w:rPr>
        <w:t>s”, and Herfindahl index of sales to large customers.</w:t>
      </w:r>
    </w:p>
  </w:footnote>
  <w:footnote w:id="10">
    <w:p w14:paraId="343CBCD8" w14:textId="77777777" w:rsidR="00CD520D" w:rsidRPr="0099693E" w:rsidRDefault="00CD520D" w:rsidP="00CE7D45">
      <w:pPr>
        <w:pStyle w:val="PlainText"/>
        <w:jc w:val="both"/>
        <w:rPr>
          <w:rFonts w:ascii="Times New Roman" w:hAnsi="Times New Roman"/>
        </w:rPr>
      </w:pPr>
      <w:r w:rsidRPr="00CE7D45">
        <w:rPr>
          <w:rStyle w:val="FootnoteReference"/>
        </w:rPr>
        <w:footnoteRef/>
      </w:r>
      <w:r w:rsidRPr="00CE7D45">
        <w:t xml:space="preserve"> </w:t>
      </w:r>
      <w:r w:rsidRPr="0099693E">
        <w:rPr>
          <w:rFonts w:ascii="Times New Roman" w:hAnsi="Times New Roman"/>
          <w:i/>
          <w:iCs/>
          <w:sz w:val="20"/>
          <w:szCs w:val="20"/>
        </w:rPr>
        <w:t>Loan portfolio exposure</w:t>
      </w:r>
      <w:r w:rsidRPr="0099693E">
        <w:rPr>
          <w:rFonts w:ascii="Times New Roman" w:hAnsi="Times New Roman"/>
          <w:sz w:val="20"/>
          <w:szCs w:val="20"/>
        </w:rPr>
        <w:t xml:space="preserve"> accounts for </w:t>
      </w:r>
      <w:r>
        <w:rPr>
          <w:rFonts w:ascii="Times New Roman" w:hAnsi="Times New Roman"/>
          <w:sz w:val="20"/>
          <w:szCs w:val="20"/>
        </w:rPr>
        <w:t>the merger and acquisition (</w:t>
      </w:r>
      <w:r w:rsidRPr="0099693E">
        <w:rPr>
          <w:rFonts w:ascii="Times New Roman" w:hAnsi="Times New Roman"/>
          <w:sz w:val="20"/>
          <w:szCs w:val="20"/>
        </w:rPr>
        <w:t>M&amp;A</w:t>
      </w:r>
      <w:r>
        <w:rPr>
          <w:rFonts w:ascii="Times New Roman" w:hAnsi="Times New Roman"/>
          <w:sz w:val="20"/>
          <w:szCs w:val="20"/>
        </w:rPr>
        <w:t>)</w:t>
      </w:r>
      <w:r w:rsidRPr="0099693E">
        <w:rPr>
          <w:rFonts w:ascii="Times New Roman" w:hAnsi="Times New Roman"/>
          <w:sz w:val="20"/>
          <w:szCs w:val="20"/>
        </w:rPr>
        <w:t xml:space="preserve"> activi</w:t>
      </w:r>
      <w:r>
        <w:rPr>
          <w:rFonts w:ascii="Times New Roman" w:hAnsi="Times New Roman"/>
          <w:sz w:val="20"/>
          <w:szCs w:val="20"/>
        </w:rPr>
        <w:t xml:space="preserve">ty </w:t>
      </w:r>
      <w:r w:rsidRPr="0099693E">
        <w:rPr>
          <w:rFonts w:ascii="Times New Roman" w:hAnsi="Times New Roman"/>
          <w:sz w:val="20"/>
          <w:szCs w:val="20"/>
        </w:rPr>
        <w:t xml:space="preserve">of the lead agents. </w:t>
      </w:r>
      <w:r w:rsidRPr="0099693E">
        <w:rPr>
          <w:rFonts w:ascii="Times New Roman" w:hAnsi="Times New Roman"/>
          <w:sz w:val="20"/>
          <w:szCs w:val="20"/>
          <w:lang w:eastAsia="zh-CN"/>
        </w:rPr>
        <w:t xml:space="preserve">This variable measures the outstanding amount lent to a certain borrower against the total outstanding loan issued by the lead agent. In this case, we have assigned to the acquiring bank all the loans originated by target banks in the five years before of the issuance of the loan. To adjust the variable for M&amp;As, we link SNL Financial to Dealscan by using DealScan-Compustat Link for lender identifiers provided by </w:t>
      </w:r>
      <w:r w:rsidRPr="009E6E70">
        <w:rPr>
          <w:rFonts w:ascii="Times New Roman" w:hAnsi="Times New Roman"/>
          <w:sz w:val="20"/>
          <w:szCs w:val="20"/>
        </w:rPr>
        <w:t>Schwert (2018</w:t>
      </w:r>
      <w:r w:rsidRPr="0099693E">
        <w:rPr>
          <w:rFonts w:ascii="Times New Roman" w:hAnsi="Times New Roman"/>
          <w:sz w:val="20"/>
          <w:szCs w:val="20"/>
        </w:rPr>
        <w:t>).</w:t>
      </w:r>
    </w:p>
  </w:footnote>
  <w:footnote w:id="11">
    <w:p w14:paraId="19257686" w14:textId="4F64449B" w:rsidR="00CD520D" w:rsidRPr="00FD763A" w:rsidRDefault="00CD520D">
      <w:pPr>
        <w:pStyle w:val="FootnoteText"/>
      </w:pPr>
      <w:r>
        <w:rPr>
          <w:rStyle w:val="FootnoteReference"/>
        </w:rPr>
        <w:footnoteRef/>
      </w:r>
      <w:r>
        <w:t xml:space="preserve"> </w:t>
      </w:r>
      <w:r w:rsidRPr="00542E39">
        <w:t xml:space="preserve">In an unreported table, we also consider an alternative definition of the dependent variable, i.e. a dummy variable taking </w:t>
      </w:r>
      <w:r>
        <w:t xml:space="preserve">the </w:t>
      </w:r>
      <w:r w:rsidRPr="00542E39">
        <w:t xml:space="preserve">value </w:t>
      </w:r>
      <w:r>
        <w:t xml:space="preserve">of </w:t>
      </w:r>
      <w:r w:rsidRPr="00542E39">
        <w:t>1 when the lead agent’s loan share is larger than 50%. The results are like those shown in Table 2.</w:t>
      </w:r>
      <w:r w:rsidR="00E615FE">
        <w:t xml:space="preserve"> </w:t>
      </w:r>
      <w:r>
        <w:t>The table is available from the authors upon request.</w:t>
      </w:r>
    </w:p>
  </w:footnote>
  <w:footnote w:id="12">
    <w:p w14:paraId="4D40B42B" w14:textId="77777777" w:rsidR="00CD520D" w:rsidRPr="002F1113" w:rsidRDefault="00CD520D" w:rsidP="007E6B7A">
      <w:pPr>
        <w:pStyle w:val="FootnoteText"/>
        <w:rPr>
          <w:lang w:val="en-GB"/>
        </w:rPr>
      </w:pPr>
      <w:r>
        <w:rPr>
          <w:rStyle w:val="FootnoteReference"/>
        </w:rPr>
        <w:footnoteRef/>
      </w:r>
      <w:r>
        <w:t xml:space="preserve"> </w:t>
      </w:r>
      <w:r>
        <w:rPr>
          <w:lang w:val="en-GB"/>
        </w:rPr>
        <w:t>This value is calculated as 10</w:t>
      </w:r>
      <w:r>
        <w:rPr>
          <w:vertAlign w:val="superscript"/>
          <w:lang w:val="en-GB"/>
        </w:rPr>
        <w:t>x</w:t>
      </w:r>
      <w:r>
        <w:rPr>
          <w:lang w:val="en-GB"/>
        </w:rPr>
        <w:t>, where x is= – [0.041/(0.028*2)].</w:t>
      </w:r>
    </w:p>
  </w:footnote>
  <w:footnote w:id="13">
    <w:p w14:paraId="464CA605" w14:textId="77777777" w:rsidR="00CD520D" w:rsidRPr="007C55A1" w:rsidRDefault="00CD520D">
      <w:pPr>
        <w:pStyle w:val="FootnoteText"/>
      </w:pPr>
      <w:r>
        <w:rPr>
          <w:rStyle w:val="FootnoteReference"/>
        </w:rPr>
        <w:footnoteRef/>
      </w:r>
      <w:r>
        <w:t xml:space="preserve"> The model in Column 4 does not include observations without customer-supplier links. In fact, the length of the relationship is always 0 in these observations. </w:t>
      </w:r>
    </w:p>
  </w:footnote>
  <w:footnote w:id="14">
    <w:p w14:paraId="0589E3D7" w14:textId="77777777" w:rsidR="00CD520D" w:rsidRPr="00BA7895" w:rsidRDefault="00CD520D" w:rsidP="00B93A5A">
      <w:pPr>
        <w:pStyle w:val="FootnoteText"/>
        <w:jc w:val="both"/>
        <w:rPr>
          <w:lang w:val="en-GB"/>
        </w:rPr>
      </w:pPr>
      <w:r w:rsidRPr="00D859EC">
        <w:rPr>
          <w:rStyle w:val="FootnoteReference"/>
        </w:rPr>
        <w:footnoteRef/>
      </w:r>
      <w:r w:rsidRPr="00D859EC">
        <w:t xml:space="preserve"> </w:t>
      </w:r>
      <w:r>
        <w:t xml:space="preserve">The maximum is reached </w:t>
      </w:r>
      <w:r w:rsidRPr="002F1113">
        <w:t xml:space="preserve">at </w:t>
      </w:r>
      <w:r>
        <w:t>3</w:t>
      </w:r>
      <w:r w:rsidRPr="002F1113">
        <w:t xml:space="preserve"> years and 3 months</w:t>
      </w:r>
      <w:r>
        <w:t>.</w:t>
      </w:r>
      <w:r w:rsidRPr="00D859EC">
        <w:rPr>
          <w:lang w:val="en-GB"/>
        </w:rPr>
        <w:t xml:space="preserve"> </w:t>
      </w:r>
      <w:r>
        <w:t>If we limit the analysis to observations with a large customer-supplier link</w:t>
      </w:r>
      <w:r>
        <w:rPr>
          <w:lang w:val="en-GB"/>
        </w:rPr>
        <w:t xml:space="preserve">, </w:t>
      </w:r>
      <w:r w:rsidRPr="00D859EC">
        <w:rPr>
          <w:lang w:val="en-GB"/>
        </w:rPr>
        <w:t xml:space="preserve">the mean of </w:t>
      </w:r>
      <w:r>
        <w:rPr>
          <w:i/>
          <w:iCs/>
          <w:lang w:val="en-GB"/>
        </w:rPr>
        <w:t>Length large CS links</w:t>
      </w:r>
      <w:r w:rsidRPr="00DC7C53">
        <w:rPr>
          <w:i/>
          <w:iCs/>
          <w:lang w:val="en-GB"/>
        </w:rPr>
        <w:t xml:space="preserve"> </w:t>
      </w:r>
      <w:r w:rsidRPr="00D859EC">
        <w:rPr>
          <w:lang w:val="en-GB"/>
        </w:rPr>
        <w:t>is 2.2 (2 years and 2 months).</w:t>
      </w:r>
    </w:p>
  </w:footnote>
  <w:footnote w:id="15">
    <w:p w14:paraId="15F6504D" w14:textId="77777777" w:rsidR="00CD520D" w:rsidRPr="00EB4A47" w:rsidRDefault="00CD520D" w:rsidP="0063411D">
      <w:pPr>
        <w:pStyle w:val="FootnoteText"/>
        <w:jc w:val="both"/>
      </w:pPr>
      <w:r>
        <w:rPr>
          <w:rStyle w:val="FootnoteReference"/>
        </w:rPr>
        <w:footnoteRef/>
      </w:r>
      <w:r>
        <w:t xml:space="preserve"> The minor differences between Table 2 and the first-stage models of Table 3 are due to the different number of observations used in these models. </w:t>
      </w:r>
    </w:p>
  </w:footnote>
  <w:footnote w:id="16">
    <w:p w14:paraId="25735F5C" w14:textId="77777777" w:rsidR="00CD520D" w:rsidRPr="002F1113" w:rsidRDefault="00CD520D" w:rsidP="00D73FB3">
      <w:pPr>
        <w:pStyle w:val="FootnoteText"/>
        <w:jc w:val="both"/>
        <w:rPr>
          <w:lang w:val="en-GB"/>
        </w:rPr>
      </w:pPr>
      <w:r>
        <w:rPr>
          <w:rStyle w:val="FootnoteReference"/>
        </w:rPr>
        <w:footnoteRef/>
      </w:r>
      <w:r>
        <w:t xml:space="preserve"> We obtain similar results to those reported in Table 6 if we consider </w:t>
      </w:r>
      <w:r>
        <w:rPr>
          <w:i/>
          <w:iCs/>
        </w:rPr>
        <w:t>TCB</w:t>
      </w:r>
      <w:r>
        <w:t xml:space="preserve"> as the dependent variable. Tables are available upon request.</w:t>
      </w:r>
    </w:p>
  </w:footnote>
  <w:footnote w:id="17">
    <w:p w14:paraId="561E078A" w14:textId="77777777" w:rsidR="00CD520D" w:rsidRPr="00E457F6" w:rsidRDefault="00CD520D" w:rsidP="007E6B7A">
      <w:pPr>
        <w:pStyle w:val="FootnoteText"/>
        <w:jc w:val="both"/>
      </w:pPr>
      <w:r>
        <w:rPr>
          <w:rStyle w:val="FootnoteReference"/>
        </w:rPr>
        <w:footnoteRef/>
      </w:r>
      <w:r>
        <w:t xml:space="preserve"> </w:t>
      </w:r>
      <w:r w:rsidRPr="00AF5850">
        <w:t xml:space="preserve">As a further analysis, we investigate the effect of borrower reputation on </w:t>
      </w:r>
      <w:r>
        <w:t>pricing</w:t>
      </w:r>
      <w:r w:rsidRPr="00AF5850">
        <w:t xml:space="preserve">. For this additional test, we follow </w:t>
      </w:r>
      <w:r w:rsidRPr="009E6E70">
        <w:t>Leary and Roberts (2014</w:t>
      </w:r>
      <w:r w:rsidRPr="00AF5850">
        <w:t xml:space="preserve">) and we create a dummy, </w:t>
      </w:r>
      <w:r w:rsidRPr="00AF5850">
        <w:rPr>
          <w:i/>
        </w:rPr>
        <w:t>Industry leader</w:t>
      </w:r>
      <w:r w:rsidRPr="00AF5850">
        <w:t xml:space="preserve">, which is equal to 1 if the borrower is ranked at the top third position among its peer firms from the same industry according to each of three ranking criteria: profitability, market share and stock return. </w:t>
      </w:r>
      <w:r>
        <w:t>In this unreported test, we</w:t>
      </w:r>
      <w:r w:rsidRPr="00AF5850">
        <w:t xml:space="preserve"> </w:t>
      </w:r>
      <w:r>
        <w:t xml:space="preserve">remove from the sample all the borrowers that are industry leaders. </w:t>
      </w:r>
    </w:p>
  </w:footnote>
  <w:footnote w:id="18">
    <w:p w14:paraId="59141F09" w14:textId="77777777" w:rsidR="00CD520D" w:rsidRPr="00AF781D" w:rsidRDefault="00CD520D" w:rsidP="00E65701">
      <w:pPr>
        <w:pStyle w:val="FootnoteText"/>
        <w:jc w:val="both"/>
      </w:pPr>
      <w:r>
        <w:rPr>
          <w:rStyle w:val="FootnoteReference"/>
        </w:rPr>
        <w:footnoteRef/>
      </w:r>
      <w:r>
        <w:t xml:space="preserve"> </w:t>
      </w:r>
      <w:r w:rsidRPr="00AF781D">
        <w:t>Due to M&amp;A activi</w:t>
      </w:r>
      <w:r>
        <w:t>ties</w:t>
      </w:r>
      <w:r w:rsidRPr="00AF781D">
        <w:t xml:space="preserve">, the information relative to past lending </w:t>
      </w:r>
      <w:r>
        <w:t>activities</w:t>
      </w:r>
      <w:r w:rsidRPr="00AF781D">
        <w:t xml:space="preserve"> between the borrower’s </w:t>
      </w:r>
      <w:r>
        <w:t>large</w:t>
      </w:r>
      <w:r w:rsidRPr="00AF781D">
        <w:t xml:space="preserve"> </w:t>
      </w:r>
      <w:r>
        <w:t>customer</w:t>
      </w:r>
      <w:r w:rsidRPr="00AF781D">
        <w:t xml:space="preserve">-supplier partners and the lead agent bank could be lost if the lead agent bank has been merged or acquired </w:t>
      </w:r>
      <w:r>
        <w:t>within</w:t>
      </w:r>
      <w:r w:rsidRPr="00AF781D">
        <w:t xml:space="preserve"> the </w:t>
      </w:r>
      <w:r>
        <w:t>five</w:t>
      </w:r>
      <w:r w:rsidRPr="00AF781D">
        <w:t xml:space="preserve"> year</w:t>
      </w:r>
      <w:r>
        <w:t>s before</w:t>
      </w:r>
      <w:r w:rsidRPr="00AF781D">
        <w:t xml:space="preserve"> the loan origination. To keep track of this information, we collected data on M&amp;As from SNL Financial to identify the acquired/merged lead agents. Then, we assigned 1 to the Large CS </w:t>
      </w:r>
      <w:r>
        <w:t>link</w:t>
      </w:r>
      <w:r w:rsidRPr="00AF781D">
        <w:t xml:space="preserve">s dummy if the lead agent that provided at least one loan to the borrower’ major </w:t>
      </w:r>
      <w:r>
        <w:t>customer</w:t>
      </w:r>
      <w:r w:rsidRPr="00AF781D">
        <w:t xml:space="preserve"> and/or supplier, has been merged or acquired </w:t>
      </w:r>
      <w:r>
        <w:t>within the five years prior to the issuance of the loan</w:t>
      </w:r>
      <w:r w:rsidRPr="00AF781D">
        <w:t>.</w:t>
      </w:r>
    </w:p>
  </w:footnote>
  <w:footnote w:id="19">
    <w:p w14:paraId="73F7774E" w14:textId="77777777" w:rsidR="00CD520D" w:rsidRDefault="00CD520D" w:rsidP="006A0B03">
      <w:pPr>
        <w:pStyle w:val="CommentText"/>
      </w:pPr>
      <w:r>
        <w:rPr>
          <w:rStyle w:val="FootnoteReference"/>
        </w:rPr>
        <w:footnoteRef/>
      </w:r>
      <w:r>
        <w:t xml:space="preserve"> Among the</w:t>
      </w:r>
      <w:r w:rsidRPr="00D3589F">
        <w:t xml:space="preserve"> 9,307 facilities</w:t>
      </w:r>
      <w:r>
        <w:t>, 22% is term loan, and 66% is revolver.</w:t>
      </w:r>
    </w:p>
    <w:p w14:paraId="77A8DFC5" w14:textId="77777777" w:rsidR="00CD520D" w:rsidRPr="00505445" w:rsidRDefault="00CD520D">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A27A8"/>
    <w:multiLevelType w:val="multilevel"/>
    <w:tmpl w:val="37C285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923F45"/>
    <w:multiLevelType w:val="hybridMultilevel"/>
    <w:tmpl w:val="74A08328"/>
    <w:lvl w:ilvl="0" w:tplc="FFD2BE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84566"/>
    <w:multiLevelType w:val="hybridMultilevel"/>
    <w:tmpl w:val="9A2272A8"/>
    <w:lvl w:ilvl="0" w:tplc="08090011">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C1E6A43"/>
    <w:multiLevelType w:val="hybridMultilevel"/>
    <w:tmpl w:val="F1784290"/>
    <w:lvl w:ilvl="0" w:tplc="28140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E65D2"/>
    <w:multiLevelType w:val="hybridMultilevel"/>
    <w:tmpl w:val="8834BAC2"/>
    <w:lvl w:ilvl="0" w:tplc="B53C62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B450A4"/>
    <w:multiLevelType w:val="hybridMultilevel"/>
    <w:tmpl w:val="73AE3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34D71"/>
    <w:multiLevelType w:val="hybridMultilevel"/>
    <w:tmpl w:val="D068D7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13BC8"/>
    <w:multiLevelType w:val="hybridMultilevel"/>
    <w:tmpl w:val="44C4A772"/>
    <w:lvl w:ilvl="0" w:tplc="4CB06FDA">
      <w:start w:val="1"/>
      <w:numFmt w:val="decimal"/>
      <w:lvlText w:val="%1."/>
      <w:lvlJc w:val="left"/>
      <w:pPr>
        <w:ind w:left="360" w:hanging="360"/>
      </w:pPr>
      <w:rPr>
        <w:rFonts w:ascii="Times New Roman" w:eastAsia="Calibri"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C96C90"/>
    <w:multiLevelType w:val="hybridMultilevel"/>
    <w:tmpl w:val="DF8CB10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C72918"/>
    <w:multiLevelType w:val="hybridMultilevel"/>
    <w:tmpl w:val="473A0C94"/>
    <w:lvl w:ilvl="0" w:tplc="03483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E7227"/>
    <w:multiLevelType w:val="hybridMultilevel"/>
    <w:tmpl w:val="596049C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A71583"/>
    <w:multiLevelType w:val="multilevel"/>
    <w:tmpl w:val="8B8E4BA8"/>
    <w:lvl w:ilvl="0">
      <w:start w:val="1"/>
      <w:numFmt w:val="decimal"/>
      <w:lvlText w:val="%1."/>
      <w:lvlJc w:val="left"/>
      <w:pPr>
        <w:ind w:left="36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A27AE4"/>
    <w:multiLevelType w:val="hybridMultilevel"/>
    <w:tmpl w:val="091CDD7A"/>
    <w:lvl w:ilvl="0" w:tplc="7B18CD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2B7770"/>
    <w:multiLevelType w:val="hybridMultilevel"/>
    <w:tmpl w:val="B114F2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57224"/>
    <w:multiLevelType w:val="hybridMultilevel"/>
    <w:tmpl w:val="C4685968"/>
    <w:lvl w:ilvl="0" w:tplc="25B0334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270571"/>
    <w:multiLevelType w:val="hybridMultilevel"/>
    <w:tmpl w:val="73AE3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AB2BC5"/>
    <w:multiLevelType w:val="hybridMultilevel"/>
    <w:tmpl w:val="042A347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91E41"/>
    <w:multiLevelType w:val="hybridMultilevel"/>
    <w:tmpl w:val="36CE05D4"/>
    <w:lvl w:ilvl="0" w:tplc="48FA37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6C58DE"/>
    <w:multiLevelType w:val="multilevel"/>
    <w:tmpl w:val="0A9658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E16CA2"/>
    <w:multiLevelType w:val="hybridMultilevel"/>
    <w:tmpl w:val="86A05334"/>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74454030"/>
    <w:multiLevelType w:val="hybridMultilevel"/>
    <w:tmpl w:val="5C186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10"/>
  </w:num>
  <w:num w:numId="5">
    <w:abstractNumId w:val="0"/>
  </w:num>
  <w:num w:numId="6">
    <w:abstractNumId w:val="7"/>
  </w:num>
  <w:num w:numId="7">
    <w:abstractNumId w:val="18"/>
  </w:num>
  <w:num w:numId="8">
    <w:abstractNumId w:val="13"/>
  </w:num>
  <w:num w:numId="9">
    <w:abstractNumId w:val="16"/>
  </w:num>
  <w:num w:numId="10">
    <w:abstractNumId w:val="19"/>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7"/>
  </w:num>
  <w:num w:numId="15">
    <w:abstractNumId w:val="3"/>
  </w:num>
  <w:num w:numId="16">
    <w:abstractNumId w:val="1"/>
  </w:num>
  <w:num w:numId="17">
    <w:abstractNumId w:val="9"/>
  </w:num>
  <w:num w:numId="18">
    <w:abstractNumId w:val="12"/>
  </w:num>
  <w:num w:numId="19">
    <w:abstractNumId w:val="5"/>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AU" w:vendorID="64" w:dllVersion="6" w:nlCheck="1" w:checkStyle="1"/>
  <w:activeWritingStyle w:appName="MSWord" w:lang="de-DE" w:vendorID="64" w:dllVersion="0" w:nlCheck="1" w:checkStyle="0"/>
  <w:activeWritingStyle w:appName="MSWord" w:lang="fr-FR" w:vendorID="64" w:dllVersion="0" w:nlCheck="1" w:checkStyle="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DD"/>
    <w:rsid w:val="00000080"/>
    <w:rsid w:val="000002B0"/>
    <w:rsid w:val="0000062A"/>
    <w:rsid w:val="00000967"/>
    <w:rsid w:val="0000098F"/>
    <w:rsid w:val="00000A26"/>
    <w:rsid w:val="00002F21"/>
    <w:rsid w:val="000034E4"/>
    <w:rsid w:val="00003D4C"/>
    <w:rsid w:val="00003E1A"/>
    <w:rsid w:val="0000467A"/>
    <w:rsid w:val="0000477A"/>
    <w:rsid w:val="000054EB"/>
    <w:rsid w:val="000065F7"/>
    <w:rsid w:val="00006857"/>
    <w:rsid w:val="00006CF7"/>
    <w:rsid w:val="00007A2B"/>
    <w:rsid w:val="00007EA2"/>
    <w:rsid w:val="0001006E"/>
    <w:rsid w:val="000101C3"/>
    <w:rsid w:val="000108A8"/>
    <w:rsid w:val="00010EA7"/>
    <w:rsid w:val="0001105C"/>
    <w:rsid w:val="000115A2"/>
    <w:rsid w:val="00012194"/>
    <w:rsid w:val="000131B3"/>
    <w:rsid w:val="0001472A"/>
    <w:rsid w:val="0001491A"/>
    <w:rsid w:val="00015D4E"/>
    <w:rsid w:val="00016116"/>
    <w:rsid w:val="00017CC8"/>
    <w:rsid w:val="0002002A"/>
    <w:rsid w:val="00020C0D"/>
    <w:rsid w:val="00021BC7"/>
    <w:rsid w:val="00022443"/>
    <w:rsid w:val="00022444"/>
    <w:rsid w:val="000229F2"/>
    <w:rsid w:val="000230FA"/>
    <w:rsid w:val="0002313E"/>
    <w:rsid w:val="00023500"/>
    <w:rsid w:val="00023CE5"/>
    <w:rsid w:val="00024774"/>
    <w:rsid w:val="000248E9"/>
    <w:rsid w:val="000267BA"/>
    <w:rsid w:val="00030E68"/>
    <w:rsid w:val="0003219F"/>
    <w:rsid w:val="0003303F"/>
    <w:rsid w:val="000331F4"/>
    <w:rsid w:val="00033566"/>
    <w:rsid w:val="000335B7"/>
    <w:rsid w:val="000344B5"/>
    <w:rsid w:val="00034625"/>
    <w:rsid w:val="00036262"/>
    <w:rsid w:val="00036525"/>
    <w:rsid w:val="00036594"/>
    <w:rsid w:val="00036991"/>
    <w:rsid w:val="00036ADE"/>
    <w:rsid w:val="000379D4"/>
    <w:rsid w:val="00037A39"/>
    <w:rsid w:val="000419D3"/>
    <w:rsid w:val="00042F2F"/>
    <w:rsid w:val="000437FC"/>
    <w:rsid w:val="00043C0F"/>
    <w:rsid w:val="0004486B"/>
    <w:rsid w:val="00044EEC"/>
    <w:rsid w:val="00045A01"/>
    <w:rsid w:val="000460EF"/>
    <w:rsid w:val="000468BA"/>
    <w:rsid w:val="00046C81"/>
    <w:rsid w:val="00047FA9"/>
    <w:rsid w:val="0005046D"/>
    <w:rsid w:val="00050C9B"/>
    <w:rsid w:val="00050E2D"/>
    <w:rsid w:val="0005130C"/>
    <w:rsid w:val="000521BF"/>
    <w:rsid w:val="00052E5D"/>
    <w:rsid w:val="000553A8"/>
    <w:rsid w:val="00055ABE"/>
    <w:rsid w:val="00055CF6"/>
    <w:rsid w:val="000567D0"/>
    <w:rsid w:val="00056ACB"/>
    <w:rsid w:val="00056F00"/>
    <w:rsid w:val="00057037"/>
    <w:rsid w:val="00057ED3"/>
    <w:rsid w:val="000600DD"/>
    <w:rsid w:val="0006064B"/>
    <w:rsid w:val="0006082E"/>
    <w:rsid w:val="00061D88"/>
    <w:rsid w:val="00063F79"/>
    <w:rsid w:val="000643E2"/>
    <w:rsid w:val="00065A11"/>
    <w:rsid w:val="00066775"/>
    <w:rsid w:val="00067A4B"/>
    <w:rsid w:val="00070779"/>
    <w:rsid w:val="00072481"/>
    <w:rsid w:val="00072910"/>
    <w:rsid w:val="00073B70"/>
    <w:rsid w:val="000748FC"/>
    <w:rsid w:val="00074C47"/>
    <w:rsid w:val="000756CA"/>
    <w:rsid w:val="000778CA"/>
    <w:rsid w:val="0007793D"/>
    <w:rsid w:val="00080433"/>
    <w:rsid w:val="00081CDD"/>
    <w:rsid w:val="00082337"/>
    <w:rsid w:val="000824F6"/>
    <w:rsid w:val="00082716"/>
    <w:rsid w:val="0008286A"/>
    <w:rsid w:val="0008292B"/>
    <w:rsid w:val="00083CC8"/>
    <w:rsid w:val="00084B87"/>
    <w:rsid w:val="000860B2"/>
    <w:rsid w:val="000861AA"/>
    <w:rsid w:val="00086640"/>
    <w:rsid w:val="0008773B"/>
    <w:rsid w:val="00090803"/>
    <w:rsid w:val="000913CB"/>
    <w:rsid w:val="00091B4D"/>
    <w:rsid w:val="0009211F"/>
    <w:rsid w:val="00092E67"/>
    <w:rsid w:val="0009344F"/>
    <w:rsid w:val="0009403B"/>
    <w:rsid w:val="00094391"/>
    <w:rsid w:val="00096097"/>
    <w:rsid w:val="000A099C"/>
    <w:rsid w:val="000A114D"/>
    <w:rsid w:val="000A1333"/>
    <w:rsid w:val="000A1A5A"/>
    <w:rsid w:val="000A23D0"/>
    <w:rsid w:val="000A25FC"/>
    <w:rsid w:val="000A3748"/>
    <w:rsid w:val="000A3ACB"/>
    <w:rsid w:val="000A3CB6"/>
    <w:rsid w:val="000A41BA"/>
    <w:rsid w:val="000A45EB"/>
    <w:rsid w:val="000A4D98"/>
    <w:rsid w:val="000A54D7"/>
    <w:rsid w:val="000A6644"/>
    <w:rsid w:val="000A793A"/>
    <w:rsid w:val="000A7B57"/>
    <w:rsid w:val="000B0066"/>
    <w:rsid w:val="000B0F2B"/>
    <w:rsid w:val="000B132E"/>
    <w:rsid w:val="000B17D9"/>
    <w:rsid w:val="000B24BB"/>
    <w:rsid w:val="000B3ACA"/>
    <w:rsid w:val="000B3F95"/>
    <w:rsid w:val="000B426C"/>
    <w:rsid w:val="000B4C57"/>
    <w:rsid w:val="000B50AF"/>
    <w:rsid w:val="000B51AA"/>
    <w:rsid w:val="000B58F2"/>
    <w:rsid w:val="000B592B"/>
    <w:rsid w:val="000B6233"/>
    <w:rsid w:val="000B62AC"/>
    <w:rsid w:val="000B75DD"/>
    <w:rsid w:val="000C07A2"/>
    <w:rsid w:val="000C1471"/>
    <w:rsid w:val="000C2201"/>
    <w:rsid w:val="000C2F1E"/>
    <w:rsid w:val="000C34DF"/>
    <w:rsid w:val="000C3685"/>
    <w:rsid w:val="000C39A1"/>
    <w:rsid w:val="000C4A3D"/>
    <w:rsid w:val="000C70CF"/>
    <w:rsid w:val="000C7494"/>
    <w:rsid w:val="000C792E"/>
    <w:rsid w:val="000C79AE"/>
    <w:rsid w:val="000C7D04"/>
    <w:rsid w:val="000D0057"/>
    <w:rsid w:val="000D0B1F"/>
    <w:rsid w:val="000D192F"/>
    <w:rsid w:val="000D245C"/>
    <w:rsid w:val="000D25AC"/>
    <w:rsid w:val="000D35CA"/>
    <w:rsid w:val="000D36CE"/>
    <w:rsid w:val="000D59D1"/>
    <w:rsid w:val="000D5E8A"/>
    <w:rsid w:val="000D6115"/>
    <w:rsid w:val="000D6367"/>
    <w:rsid w:val="000D7888"/>
    <w:rsid w:val="000E02E9"/>
    <w:rsid w:val="000E1032"/>
    <w:rsid w:val="000E16A6"/>
    <w:rsid w:val="000E1F6D"/>
    <w:rsid w:val="000E210C"/>
    <w:rsid w:val="000E35FB"/>
    <w:rsid w:val="000E3A16"/>
    <w:rsid w:val="000E4198"/>
    <w:rsid w:val="000E45E9"/>
    <w:rsid w:val="000E4803"/>
    <w:rsid w:val="000E4A95"/>
    <w:rsid w:val="000E561B"/>
    <w:rsid w:val="000E5D6D"/>
    <w:rsid w:val="000E6C72"/>
    <w:rsid w:val="000E78C7"/>
    <w:rsid w:val="000E7BC0"/>
    <w:rsid w:val="000E7C60"/>
    <w:rsid w:val="000E7F25"/>
    <w:rsid w:val="000E7F95"/>
    <w:rsid w:val="000F10E6"/>
    <w:rsid w:val="000F1436"/>
    <w:rsid w:val="000F18BE"/>
    <w:rsid w:val="000F2C9A"/>
    <w:rsid w:val="000F3AE0"/>
    <w:rsid w:val="000F3F52"/>
    <w:rsid w:val="000F4092"/>
    <w:rsid w:val="000F583E"/>
    <w:rsid w:val="000F5D35"/>
    <w:rsid w:val="000F620B"/>
    <w:rsid w:val="000F6645"/>
    <w:rsid w:val="000F6C19"/>
    <w:rsid w:val="000F6CC4"/>
    <w:rsid w:val="000F6D47"/>
    <w:rsid w:val="0010094F"/>
    <w:rsid w:val="0010118C"/>
    <w:rsid w:val="0010152B"/>
    <w:rsid w:val="00101B11"/>
    <w:rsid w:val="0010204E"/>
    <w:rsid w:val="00102233"/>
    <w:rsid w:val="001031BF"/>
    <w:rsid w:val="00103B51"/>
    <w:rsid w:val="001042FA"/>
    <w:rsid w:val="001043BA"/>
    <w:rsid w:val="00104E7E"/>
    <w:rsid w:val="00105309"/>
    <w:rsid w:val="0010588F"/>
    <w:rsid w:val="00106598"/>
    <w:rsid w:val="001072D3"/>
    <w:rsid w:val="00111596"/>
    <w:rsid w:val="0011160A"/>
    <w:rsid w:val="0011384C"/>
    <w:rsid w:val="00113F3C"/>
    <w:rsid w:val="0011454D"/>
    <w:rsid w:val="00114DFA"/>
    <w:rsid w:val="00115345"/>
    <w:rsid w:val="00115849"/>
    <w:rsid w:val="00115919"/>
    <w:rsid w:val="001168CC"/>
    <w:rsid w:val="00116C40"/>
    <w:rsid w:val="001174F2"/>
    <w:rsid w:val="001203BC"/>
    <w:rsid w:val="0012043B"/>
    <w:rsid w:val="00120F26"/>
    <w:rsid w:val="00121341"/>
    <w:rsid w:val="0012166D"/>
    <w:rsid w:val="00122336"/>
    <w:rsid w:val="001231C7"/>
    <w:rsid w:val="00123259"/>
    <w:rsid w:val="001234DF"/>
    <w:rsid w:val="00124967"/>
    <w:rsid w:val="001254C7"/>
    <w:rsid w:val="0012554A"/>
    <w:rsid w:val="001257BF"/>
    <w:rsid w:val="001260CA"/>
    <w:rsid w:val="00127F3E"/>
    <w:rsid w:val="00131861"/>
    <w:rsid w:val="00131A96"/>
    <w:rsid w:val="00132B55"/>
    <w:rsid w:val="0013331D"/>
    <w:rsid w:val="001336BA"/>
    <w:rsid w:val="0013378A"/>
    <w:rsid w:val="00133998"/>
    <w:rsid w:val="00133CB8"/>
    <w:rsid w:val="00135123"/>
    <w:rsid w:val="00135469"/>
    <w:rsid w:val="00135DF7"/>
    <w:rsid w:val="00137694"/>
    <w:rsid w:val="00137DE0"/>
    <w:rsid w:val="00140341"/>
    <w:rsid w:val="00141E29"/>
    <w:rsid w:val="0014242C"/>
    <w:rsid w:val="001426CB"/>
    <w:rsid w:val="00143AFE"/>
    <w:rsid w:val="00143E84"/>
    <w:rsid w:val="00145130"/>
    <w:rsid w:val="0014534A"/>
    <w:rsid w:val="001479F9"/>
    <w:rsid w:val="00147C89"/>
    <w:rsid w:val="00151818"/>
    <w:rsid w:val="001520E9"/>
    <w:rsid w:val="001526A9"/>
    <w:rsid w:val="00152A67"/>
    <w:rsid w:val="001542DB"/>
    <w:rsid w:val="00154431"/>
    <w:rsid w:val="00154A95"/>
    <w:rsid w:val="00154BA0"/>
    <w:rsid w:val="001554F3"/>
    <w:rsid w:val="001569EF"/>
    <w:rsid w:val="00156D9C"/>
    <w:rsid w:val="0015716F"/>
    <w:rsid w:val="00157952"/>
    <w:rsid w:val="00157DA3"/>
    <w:rsid w:val="001601C9"/>
    <w:rsid w:val="00160297"/>
    <w:rsid w:val="001604F3"/>
    <w:rsid w:val="00160A67"/>
    <w:rsid w:val="00161650"/>
    <w:rsid w:val="00161732"/>
    <w:rsid w:val="00163BCD"/>
    <w:rsid w:val="00163D1B"/>
    <w:rsid w:val="00164309"/>
    <w:rsid w:val="0016544C"/>
    <w:rsid w:val="00165AEA"/>
    <w:rsid w:val="00166C89"/>
    <w:rsid w:val="0016746B"/>
    <w:rsid w:val="00167D8C"/>
    <w:rsid w:val="00170537"/>
    <w:rsid w:val="00171DA4"/>
    <w:rsid w:val="00172AAD"/>
    <w:rsid w:val="001738BC"/>
    <w:rsid w:val="001738DE"/>
    <w:rsid w:val="0017397A"/>
    <w:rsid w:val="00173AC3"/>
    <w:rsid w:val="001752D9"/>
    <w:rsid w:val="001757A1"/>
    <w:rsid w:val="0017596F"/>
    <w:rsid w:val="00175BD5"/>
    <w:rsid w:val="0017715B"/>
    <w:rsid w:val="00177387"/>
    <w:rsid w:val="00177F93"/>
    <w:rsid w:val="0018039C"/>
    <w:rsid w:val="00180802"/>
    <w:rsid w:val="00180B85"/>
    <w:rsid w:val="00180FC6"/>
    <w:rsid w:val="001815E5"/>
    <w:rsid w:val="00181814"/>
    <w:rsid w:val="00181CDF"/>
    <w:rsid w:val="00181DB7"/>
    <w:rsid w:val="0018454D"/>
    <w:rsid w:val="00184EC1"/>
    <w:rsid w:val="0018531E"/>
    <w:rsid w:val="0018580C"/>
    <w:rsid w:val="00185B73"/>
    <w:rsid w:val="0018640F"/>
    <w:rsid w:val="00186905"/>
    <w:rsid w:val="00186F7F"/>
    <w:rsid w:val="00187770"/>
    <w:rsid w:val="00187A46"/>
    <w:rsid w:val="00192286"/>
    <w:rsid w:val="0019239C"/>
    <w:rsid w:val="00193981"/>
    <w:rsid w:val="0019460D"/>
    <w:rsid w:val="00194FE1"/>
    <w:rsid w:val="001959D4"/>
    <w:rsid w:val="00195C91"/>
    <w:rsid w:val="00196323"/>
    <w:rsid w:val="001978C8"/>
    <w:rsid w:val="00197CE1"/>
    <w:rsid w:val="00197F31"/>
    <w:rsid w:val="001A002C"/>
    <w:rsid w:val="001A046E"/>
    <w:rsid w:val="001A055E"/>
    <w:rsid w:val="001A0A2D"/>
    <w:rsid w:val="001A0B86"/>
    <w:rsid w:val="001A1773"/>
    <w:rsid w:val="001A217E"/>
    <w:rsid w:val="001A2728"/>
    <w:rsid w:val="001A3DC2"/>
    <w:rsid w:val="001A404A"/>
    <w:rsid w:val="001A4B3C"/>
    <w:rsid w:val="001A52EA"/>
    <w:rsid w:val="001A5804"/>
    <w:rsid w:val="001A6451"/>
    <w:rsid w:val="001A65D7"/>
    <w:rsid w:val="001B0B30"/>
    <w:rsid w:val="001B10BD"/>
    <w:rsid w:val="001B1EC2"/>
    <w:rsid w:val="001B3144"/>
    <w:rsid w:val="001B39E6"/>
    <w:rsid w:val="001B42D0"/>
    <w:rsid w:val="001B46F0"/>
    <w:rsid w:val="001B50F7"/>
    <w:rsid w:val="001B60C7"/>
    <w:rsid w:val="001B6668"/>
    <w:rsid w:val="001B6BA9"/>
    <w:rsid w:val="001B6CAF"/>
    <w:rsid w:val="001B77C8"/>
    <w:rsid w:val="001C0474"/>
    <w:rsid w:val="001C0714"/>
    <w:rsid w:val="001C2613"/>
    <w:rsid w:val="001C26DE"/>
    <w:rsid w:val="001C2FCF"/>
    <w:rsid w:val="001C44D8"/>
    <w:rsid w:val="001C4AA8"/>
    <w:rsid w:val="001C5066"/>
    <w:rsid w:val="001C5B04"/>
    <w:rsid w:val="001C6187"/>
    <w:rsid w:val="001C7041"/>
    <w:rsid w:val="001C737F"/>
    <w:rsid w:val="001C7E5C"/>
    <w:rsid w:val="001C7EEB"/>
    <w:rsid w:val="001D045A"/>
    <w:rsid w:val="001D0A22"/>
    <w:rsid w:val="001D1F8B"/>
    <w:rsid w:val="001D2397"/>
    <w:rsid w:val="001D2CE3"/>
    <w:rsid w:val="001D46FD"/>
    <w:rsid w:val="001D4DD6"/>
    <w:rsid w:val="001D4ED0"/>
    <w:rsid w:val="001D5CD4"/>
    <w:rsid w:val="001D6498"/>
    <w:rsid w:val="001D7558"/>
    <w:rsid w:val="001E14CB"/>
    <w:rsid w:val="001E1A64"/>
    <w:rsid w:val="001E2101"/>
    <w:rsid w:val="001E2E1A"/>
    <w:rsid w:val="001E3541"/>
    <w:rsid w:val="001E410C"/>
    <w:rsid w:val="001E5356"/>
    <w:rsid w:val="001E57BE"/>
    <w:rsid w:val="001E6B79"/>
    <w:rsid w:val="001E7F0E"/>
    <w:rsid w:val="001F0548"/>
    <w:rsid w:val="001F116E"/>
    <w:rsid w:val="001F1327"/>
    <w:rsid w:val="001F16BD"/>
    <w:rsid w:val="001F2CDD"/>
    <w:rsid w:val="001F2E35"/>
    <w:rsid w:val="001F3FD5"/>
    <w:rsid w:val="001F423A"/>
    <w:rsid w:val="001F43B1"/>
    <w:rsid w:val="001F679F"/>
    <w:rsid w:val="001F754D"/>
    <w:rsid w:val="00200653"/>
    <w:rsid w:val="00200C01"/>
    <w:rsid w:val="002015AE"/>
    <w:rsid w:val="00201CC4"/>
    <w:rsid w:val="002033B5"/>
    <w:rsid w:val="00206803"/>
    <w:rsid w:val="00206B32"/>
    <w:rsid w:val="002070E4"/>
    <w:rsid w:val="0021035C"/>
    <w:rsid w:val="00210B95"/>
    <w:rsid w:val="00210C28"/>
    <w:rsid w:val="00210DE1"/>
    <w:rsid w:val="00211456"/>
    <w:rsid w:val="00211C36"/>
    <w:rsid w:val="0021256F"/>
    <w:rsid w:val="002126B1"/>
    <w:rsid w:val="00212B48"/>
    <w:rsid w:val="002133A8"/>
    <w:rsid w:val="002146A0"/>
    <w:rsid w:val="0021489A"/>
    <w:rsid w:val="00214AFD"/>
    <w:rsid w:val="00215373"/>
    <w:rsid w:val="00216794"/>
    <w:rsid w:val="0021723C"/>
    <w:rsid w:val="002176C3"/>
    <w:rsid w:val="002178D4"/>
    <w:rsid w:val="00220D0E"/>
    <w:rsid w:val="00220D66"/>
    <w:rsid w:val="00220E50"/>
    <w:rsid w:val="00220F0C"/>
    <w:rsid w:val="00221A4A"/>
    <w:rsid w:val="002223CA"/>
    <w:rsid w:val="00222D9D"/>
    <w:rsid w:val="00223394"/>
    <w:rsid w:val="0022359D"/>
    <w:rsid w:val="00224F85"/>
    <w:rsid w:val="0022522A"/>
    <w:rsid w:val="002253CD"/>
    <w:rsid w:val="002269C5"/>
    <w:rsid w:val="00226EFD"/>
    <w:rsid w:val="00227F4A"/>
    <w:rsid w:val="002301B2"/>
    <w:rsid w:val="0023074C"/>
    <w:rsid w:val="00230DAF"/>
    <w:rsid w:val="00231053"/>
    <w:rsid w:val="0023237A"/>
    <w:rsid w:val="002328F4"/>
    <w:rsid w:val="00234206"/>
    <w:rsid w:val="00234459"/>
    <w:rsid w:val="0023559E"/>
    <w:rsid w:val="00235AE3"/>
    <w:rsid w:val="00237835"/>
    <w:rsid w:val="00237A5F"/>
    <w:rsid w:val="00237D65"/>
    <w:rsid w:val="00237FA6"/>
    <w:rsid w:val="002403AD"/>
    <w:rsid w:val="00240871"/>
    <w:rsid w:val="00242D20"/>
    <w:rsid w:val="0024363A"/>
    <w:rsid w:val="002444E4"/>
    <w:rsid w:val="00244969"/>
    <w:rsid w:val="00245529"/>
    <w:rsid w:val="002462E5"/>
    <w:rsid w:val="00246E83"/>
    <w:rsid w:val="002472F8"/>
    <w:rsid w:val="002475B9"/>
    <w:rsid w:val="0024787F"/>
    <w:rsid w:val="0025007A"/>
    <w:rsid w:val="00250A3C"/>
    <w:rsid w:val="00250E15"/>
    <w:rsid w:val="00250F2A"/>
    <w:rsid w:val="0025148D"/>
    <w:rsid w:val="00252C48"/>
    <w:rsid w:val="00254AEF"/>
    <w:rsid w:val="002553CC"/>
    <w:rsid w:val="002555C1"/>
    <w:rsid w:val="00256A56"/>
    <w:rsid w:val="00256EC5"/>
    <w:rsid w:val="00256EFF"/>
    <w:rsid w:val="002607EE"/>
    <w:rsid w:val="0026146F"/>
    <w:rsid w:val="00262755"/>
    <w:rsid w:val="0026275A"/>
    <w:rsid w:val="0026276C"/>
    <w:rsid w:val="00262A08"/>
    <w:rsid w:val="00262A18"/>
    <w:rsid w:val="00262D92"/>
    <w:rsid w:val="00262FB2"/>
    <w:rsid w:val="00263FF2"/>
    <w:rsid w:val="0026407D"/>
    <w:rsid w:val="00264134"/>
    <w:rsid w:val="002643DE"/>
    <w:rsid w:val="0026449D"/>
    <w:rsid w:val="00265FB7"/>
    <w:rsid w:val="00266259"/>
    <w:rsid w:val="00266674"/>
    <w:rsid w:val="00266A04"/>
    <w:rsid w:val="00266C41"/>
    <w:rsid w:val="002678F1"/>
    <w:rsid w:val="00267BFD"/>
    <w:rsid w:val="00267F20"/>
    <w:rsid w:val="00270151"/>
    <w:rsid w:val="00271AD0"/>
    <w:rsid w:val="002738CD"/>
    <w:rsid w:val="00273A03"/>
    <w:rsid w:val="00273C77"/>
    <w:rsid w:val="00273CB2"/>
    <w:rsid w:val="00274069"/>
    <w:rsid w:val="002742A8"/>
    <w:rsid w:val="00274BD4"/>
    <w:rsid w:val="00275860"/>
    <w:rsid w:val="00275AA3"/>
    <w:rsid w:val="00275ED7"/>
    <w:rsid w:val="002760B2"/>
    <w:rsid w:val="0028013A"/>
    <w:rsid w:val="00280980"/>
    <w:rsid w:val="002811FB"/>
    <w:rsid w:val="00281A45"/>
    <w:rsid w:val="00282A28"/>
    <w:rsid w:val="00282A2C"/>
    <w:rsid w:val="00282EAA"/>
    <w:rsid w:val="0028426B"/>
    <w:rsid w:val="002843CE"/>
    <w:rsid w:val="002847B9"/>
    <w:rsid w:val="00284C41"/>
    <w:rsid w:val="00285562"/>
    <w:rsid w:val="00286301"/>
    <w:rsid w:val="00286C24"/>
    <w:rsid w:val="00286EF8"/>
    <w:rsid w:val="00287C6B"/>
    <w:rsid w:val="00287E6C"/>
    <w:rsid w:val="00292173"/>
    <w:rsid w:val="002925D3"/>
    <w:rsid w:val="00292828"/>
    <w:rsid w:val="002935F7"/>
    <w:rsid w:val="002942AC"/>
    <w:rsid w:val="00294CB7"/>
    <w:rsid w:val="00295A42"/>
    <w:rsid w:val="002972C5"/>
    <w:rsid w:val="00297C17"/>
    <w:rsid w:val="00297FD3"/>
    <w:rsid w:val="002A2360"/>
    <w:rsid w:val="002A2811"/>
    <w:rsid w:val="002A76AE"/>
    <w:rsid w:val="002B1272"/>
    <w:rsid w:val="002B31AC"/>
    <w:rsid w:val="002B3BA8"/>
    <w:rsid w:val="002B3DD7"/>
    <w:rsid w:val="002B43D2"/>
    <w:rsid w:val="002B4EA3"/>
    <w:rsid w:val="002B570B"/>
    <w:rsid w:val="002B643C"/>
    <w:rsid w:val="002B6955"/>
    <w:rsid w:val="002B7C7C"/>
    <w:rsid w:val="002B7E67"/>
    <w:rsid w:val="002C01CB"/>
    <w:rsid w:val="002C0571"/>
    <w:rsid w:val="002C08C2"/>
    <w:rsid w:val="002C0B06"/>
    <w:rsid w:val="002C147D"/>
    <w:rsid w:val="002C170C"/>
    <w:rsid w:val="002C1D8D"/>
    <w:rsid w:val="002C4318"/>
    <w:rsid w:val="002C473A"/>
    <w:rsid w:val="002C5FCE"/>
    <w:rsid w:val="002C7734"/>
    <w:rsid w:val="002C7B14"/>
    <w:rsid w:val="002D00B4"/>
    <w:rsid w:val="002D0C37"/>
    <w:rsid w:val="002D0EED"/>
    <w:rsid w:val="002D1408"/>
    <w:rsid w:val="002D26FC"/>
    <w:rsid w:val="002D35EC"/>
    <w:rsid w:val="002D387E"/>
    <w:rsid w:val="002D3A33"/>
    <w:rsid w:val="002D401C"/>
    <w:rsid w:val="002D477C"/>
    <w:rsid w:val="002D4EE3"/>
    <w:rsid w:val="002D7140"/>
    <w:rsid w:val="002D76D0"/>
    <w:rsid w:val="002D7DD2"/>
    <w:rsid w:val="002E1751"/>
    <w:rsid w:val="002E256B"/>
    <w:rsid w:val="002E3F18"/>
    <w:rsid w:val="002E5AC1"/>
    <w:rsid w:val="002E5C1E"/>
    <w:rsid w:val="002F0846"/>
    <w:rsid w:val="002F10BD"/>
    <w:rsid w:val="002F2B48"/>
    <w:rsid w:val="002F4671"/>
    <w:rsid w:val="002F486B"/>
    <w:rsid w:val="002F4BBB"/>
    <w:rsid w:val="002F57BB"/>
    <w:rsid w:val="002F5B11"/>
    <w:rsid w:val="002F66D3"/>
    <w:rsid w:val="002F6E80"/>
    <w:rsid w:val="002F71FC"/>
    <w:rsid w:val="002F7424"/>
    <w:rsid w:val="002F7509"/>
    <w:rsid w:val="002F754F"/>
    <w:rsid w:val="002F7B06"/>
    <w:rsid w:val="00300871"/>
    <w:rsid w:val="00301E0D"/>
    <w:rsid w:val="00302C30"/>
    <w:rsid w:val="00303042"/>
    <w:rsid w:val="003042A9"/>
    <w:rsid w:val="003046DB"/>
    <w:rsid w:val="00305A4D"/>
    <w:rsid w:val="00305D03"/>
    <w:rsid w:val="003063AE"/>
    <w:rsid w:val="0030678D"/>
    <w:rsid w:val="00306AA5"/>
    <w:rsid w:val="00310685"/>
    <w:rsid w:val="00310D7D"/>
    <w:rsid w:val="00311058"/>
    <w:rsid w:val="0031132E"/>
    <w:rsid w:val="003118F7"/>
    <w:rsid w:val="00311912"/>
    <w:rsid w:val="00311B71"/>
    <w:rsid w:val="00314564"/>
    <w:rsid w:val="0031571B"/>
    <w:rsid w:val="00316C9E"/>
    <w:rsid w:val="0031700C"/>
    <w:rsid w:val="00317F16"/>
    <w:rsid w:val="0032036B"/>
    <w:rsid w:val="00320C9C"/>
    <w:rsid w:val="003213DB"/>
    <w:rsid w:val="0032159E"/>
    <w:rsid w:val="00322939"/>
    <w:rsid w:val="00323DC4"/>
    <w:rsid w:val="00323EC8"/>
    <w:rsid w:val="0032415E"/>
    <w:rsid w:val="0032443E"/>
    <w:rsid w:val="003245D1"/>
    <w:rsid w:val="0032625C"/>
    <w:rsid w:val="00326301"/>
    <w:rsid w:val="00326E1C"/>
    <w:rsid w:val="00327310"/>
    <w:rsid w:val="00327B12"/>
    <w:rsid w:val="00327C65"/>
    <w:rsid w:val="003307B3"/>
    <w:rsid w:val="0033129C"/>
    <w:rsid w:val="00333024"/>
    <w:rsid w:val="0033320F"/>
    <w:rsid w:val="003334C1"/>
    <w:rsid w:val="003335E8"/>
    <w:rsid w:val="003337B4"/>
    <w:rsid w:val="003342C1"/>
    <w:rsid w:val="00336DAE"/>
    <w:rsid w:val="00337557"/>
    <w:rsid w:val="00337942"/>
    <w:rsid w:val="003408F3"/>
    <w:rsid w:val="00340B68"/>
    <w:rsid w:val="00340B7B"/>
    <w:rsid w:val="003412EA"/>
    <w:rsid w:val="0034158A"/>
    <w:rsid w:val="00341611"/>
    <w:rsid w:val="0034191C"/>
    <w:rsid w:val="0034203C"/>
    <w:rsid w:val="00342187"/>
    <w:rsid w:val="003423F3"/>
    <w:rsid w:val="00342E54"/>
    <w:rsid w:val="00342EBD"/>
    <w:rsid w:val="00343470"/>
    <w:rsid w:val="0034491D"/>
    <w:rsid w:val="00345701"/>
    <w:rsid w:val="00345C25"/>
    <w:rsid w:val="003465C9"/>
    <w:rsid w:val="003469C1"/>
    <w:rsid w:val="00346C9B"/>
    <w:rsid w:val="003472D7"/>
    <w:rsid w:val="00350077"/>
    <w:rsid w:val="0035046D"/>
    <w:rsid w:val="00350EBC"/>
    <w:rsid w:val="0035100A"/>
    <w:rsid w:val="003511E4"/>
    <w:rsid w:val="00352827"/>
    <w:rsid w:val="00353B6A"/>
    <w:rsid w:val="00354308"/>
    <w:rsid w:val="003545EA"/>
    <w:rsid w:val="00354A19"/>
    <w:rsid w:val="00354E3F"/>
    <w:rsid w:val="00354E5F"/>
    <w:rsid w:val="00355194"/>
    <w:rsid w:val="00355492"/>
    <w:rsid w:val="003555CE"/>
    <w:rsid w:val="00356493"/>
    <w:rsid w:val="003566DF"/>
    <w:rsid w:val="003567D9"/>
    <w:rsid w:val="00357250"/>
    <w:rsid w:val="0035751B"/>
    <w:rsid w:val="003577A9"/>
    <w:rsid w:val="003600F4"/>
    <w:rsid w:val="00361F74"/>
    <w:rsid w:val="00362FC4"/>
    <w:rsid w:val="00363201"/>
    <w:rsid w:val="00364548"/>
    <w:rsid w:val="00364B5D"/>
    <w:rsid w:val="00364B94"/>
    <w:rsid w:val="0036583A"/>
    <w:rsid w:val="00365A3C"/>
    <w:rsid w:val="00367256"/>
    <w:rsid w:val="00367523"/>
    <w:rsid w:val="003717BC"/>
    <w:rsid w:val="0037205A"/>
    <w:rsid w:val="003729C2"/>
    <w:rsid w:val="00373590"/>
    <w:rsid w:val="003736DA"/>
    <w:rsid w:val="00373F16"/>
    <w:rsid w:val="003746AA"/>
    <w:rsid w:val="00375C1C"/>
    <w:rsid w:val="00375D3D"/>
    <w:rsid w:val="00376612"/>
    <w:rsid w:val="00376A7A"/>
    <w:rsid w:val="003776B0"/>
    <w:rsid w:val="003779B5"/>
    <w:rsid w:val="00380154"/>
    <w:rsid w:val="003817CC"/>
    <w:rsid w:val="003828D9"/>
    <w:rsid w:val="003848CF"/>
    <w:rsid w:val="00384FA8"/>
    <w:rsid w:val="003851A9"/>
    <w:rsid w:val="00385726"/>
    <w:rsid w:val="0038579C"/>
    <w:rsid w:val="00385D4F"/>
    <w:rsid w:val="00386D22"/>
    <w:rsid w:val="00386E03"/>
    <w:rsid w:val="00387379"/>
    <w:rsid w:val="00387594"/>
    <w:rsid w:val="003877A7"/>
    <w:rsid w:val="00387AE7"/>
    <w:rsid w:val="0039026D"/>
    <w:rsid w:val="00391495"/>
    <w:rsid w:val="003914A4"/>
    <w:rsid w:val="00391C67"/>
    <w:rsid w:val="00392201"/>
    <w:rsid w:val="00392976"/>
    <w:rsid w:val="00392AA1"/>
    <w:rsid w:val="00392B50"/>
    <w:rsid w:val="00393064"/>
    <w:rsid w:val="00393512"/>
    <w:rsid w:val="003938B8"/>
    <w:rsid w:val="00393EAA"/>
    <w:rsid w:val="00394C68"/>
    <w:rsid w:val="00396BBF"/>
    <w:rsid w:val="003A06E3"/>
    <w:rsid w:val="003A08D1"/>
    <w:rsid w:val="003A0E42"/>
    <w:rsid w:val="003A13AB"/>
    <w:rsid w:val="003A1508"/>
    <w:rsid w:val="003A1545"/>
    <w:rsid w:val="003A1737"/>
    <w:rsid w:val="003A1C61"/>
    <w:rsid w:val="003A1FC6"/>
    <w:rsid w:val="003A2056"/>
    <w:rsid w:val="003A217A"/>
    <w:rsid w:val="003A256B"/>
    <w:rsid w:val="003A2C8E"/>
    <w:rsid w:val="003A3139"/>
    <w:rsid w:val="003A398A"/>
    <w:rsid w:val="003A4AFD"/>
    <w:rsid w:val="003A52BB"/>
    <w:rsid w:val="003A6014"/>
    <w:rsid w:val="003A642C"/>
    <w:rsid w:val="003A6C39"/>
    <w:rsid w:val="003B02EA"/>
    <w:rsid w:val="003B0489"/>
    <w:rsid w:val="003B07A3"/>
    <w:rsid w:val="003B0C79"/>
    <w:rsid w:val="003B230F"/>
    <w:rsid w:val="003B2403"/>
    <w:rsid w:val="003B2BD1"/>
    <w:rsid w:val="003B5E90"/>
    <w:rsid w:val="003B6D9F"/>
    <w:rsid w:val="003B6DB1"/>
    <w:rsid w:val="003B70A8"/>
    <w:rsid w:val="003B7389"/>
    <w:rsid w:val="003B755D"/>
    <w:rsid w:val="003B7E16"/>
    <w:rsid w:val="003B7FC0"/>
    <w:rsid w:val="003C038D"/>
    <w:rsid w:val="003C0CC1"/>
    <w:rsid w:val="003C1472"/>
    <w:rsid w:val="003C1589"/>
    <w:rsid w:val="003C1E33"/>
    <w:rsid w:val="003C1F9E"/>
    <w:rsid w:val="003C2854"/>
    <w:rsid w:val="003C2A06"/>
    <w:rsid w:val="003C34DE"/>
    <w:rsid w:val="003C449D"/>
    <w:rsid w:val="003C4E1E"/>
    <w:rsid w:val="003C6FA2"/>
    <w:rsid w:val="003C7274"/>
    <w:rsid w:val="003C7F0E"/>
    <w:rsid w:val="003D0AC2"/>
    <w:rsid w:val="003D1CD4"/>
    <w:rsid w:val="003D2BA1"/>
    <w:rsid w:val="003D3275"/>
    <w:rsid w:val="003D4550"/>
    <w:rsid w:val="003D4E09"/>
    <w:rsid w:val="003D59C2"/>
    <w:rsid w:val="003D5B85"/>
    <w:rsid w:val="003D6359"/>
    <w:rsid w:val="003D6E40"/>
    <w:rsid w:val="003D6ED3"/>
    <w:rsid w:val="003D72FE"/>
    <w:rsid w:val="003D75DF"/>
    <w:rsid w:val="003E0928"/>
    <w:rsid w:val="003E0DCD"/>
    <w:rsid w:val="003E0E1E"/>
    <w:rsid w:val="003E1AE2"/>
    <w:rsid w:val="003E25F8"/>
    <w:rsid w:val="003E3422"/>
    <w:rsid w:val="003E3531"/>
    <w:rsid w:val="003E471D"/>
    <w:rsid w:val="003E4898"/>
    <w:rsid w:val="003E690A"/>
    <w:rsid w:val="003E7442"/>
    <w:rsid w:val="003E76CD"/>
    <w:rsid w:val="003E76DD"/>
    <w:rsid w:val="003E7CE6"/>
    <w:rsid w:val="003E7D1D"/>
    <w:rsid w:val="003F11B0"/>
    <w:rsid w:val="003F15EE"/>
    <w:rsid w:val="003F205F"/>
    <w:rsid w:val="003F235C"/>
    <w:rsid w:val="003F25EF"/>
    <w:rsid w:val="003F2B65"/>
    <w:rsid w:val="003F47FC"/>
    <w:rsid w:val="003F4932"/>
    <w:rsid w:val="003F4CD0"/>
    <w:rsid w:val="003F540C"/>
    <w:rsid w:val="003F58A0"/>
    <w:rsid w:val="003F669B"/>
    <w:rsid w:val="003F6976"/>
    <w:rsid w:val="003F6AAC"/>
    <w:rsid w:val="003F6FE6"/>
    <w:rsid w:val="003F7A31"/>
    <w:rsid w:val="00400B64"/>
    <w:rsid w:val="00401DEF"/>
    <w:rsid w:val="0040204A"/>
    <w:rsid w:val="00404272"/>
    <w:rsid w:val="0040540B"/>
    <w:rsid w:val="00405727"/>
    <w:rsid w:val="004060A8"/>
    <w:rsid w:val="00406F73"/>
    <w:rsid w:val="00410053"/>
    <w:rsid w:val="004103F0"/>
    <w:rsid w:val="00410985"/>
    <w:rsid w:val="004109B0"/>
    <w:rsid w:val="00410EC5"/>
    <w:rsid w:val="00411D7B"/>
    <w:rsid w:val="00412184"/>
    <w:rsid w:val="0041247A"/>
    <w:rsid w:val="00412955"/>
    <w:rsid w:val="00412ABA"/>
    <w:rsid w:val="004147F2"/>
    <w:rsid w:val="004165C5"/>
    <w:rsid w:val="00416EA7"/>
    <w:rsid w:val="00416FAA"/>
    <w:rsid w:val="00417636"/>
    <w:rsid w:val="0042010B"/>
    <w:rsid w:val="0042073D"/>
    <w:rsid w:val="004215A0"/>
    <w:rsid w:val="0042227D"/>
    <w:rsid w:val="00422546"/>
    <w:rsid w:val="004227E7"/>
    <w:rsid w:val="00422B62"/>
    <w:rsid w:val="00423506"/>
    <w:rsid w:val="00423ABE"/>
    <w:rsid w:val="00423C74"/>
    <w:rsid w:val="004251AC"/>
    <w:rsid w:val="004251DC"/>
    <w:rsid w:val="004259C1"/>
    <w:rsid w:val="00425B27"/>
    <w:rsid w:val="00425DE1"/>
    <w:rsid w:val="00427AD2"/>
    <w:rsid w:val="004305FB"/>
    <w:rsid w:val="0043098D"/>
    <w:rsid w:val="00430A6A"/>
    <w:rsid w:val="00431107"/>
    <w:rsid w:val="0043112B"/>
    <w:rsid w:val="00431A43"/>
    <w:rsid w:val="00432903"/>
    <w:rsid w:val="0043438F"/>
    <w:rsid w:val="00434390"/>
    <w:rsid w:val="004356C5"/>
    <w:rsid w:val="00435B98"/>
    <w:rsid w:val="00435F2D"/>
    <w:rsid w:val="00435FD7"/>
    <w:rsid w:val="004367A8"/>
    <w:rsid w:val="004369BA"/>
    <w:rsid w:val="004404ED"/>
    <w:rsid w:val="0044062C"/>
    <w:rsid w:val="0044210C"/>
    <w:rsid w:val="004433B1"/>
    <w:rsid w:val="00443614"/>
    <w:rsid w:val="00443B8A"/>
    <w:rsid w:val="0044638B"/>
    <w:rsid w:val="004465D8"/>
    <w:rsid w:val="0044684A"/>
    <w:rsid w:val="00446FA7"/>
    <w:rsid w:val="00447495"/>
    <w:rsid w:val="00447658"/>
    <w:rsid w:val="00447948"/>
    <w:rsid w:val="00447B07"/>
    <w:rsid w:val="0045002C"/>
    <w:rsid w:val="004508C6"/>
    <w:rsid w:val="00450D58"/>
    <w:rsid w:val="00452281"/>
    <w:rsid w:val="004534E7"/>
    <w:rsid w:val="004544C2"/>
    <w:rsid w:val="00455191"/>
    <w:rsid w:val="00455C96"/>
    <w:rsid w:val="00455E0F"/>
    <w:rsid w:val="004566DD"/>
    <w:rsid w:val="004571C4"/>
    <w:rsid w:val="004573BA"/>
    <w:rsid w:val="004575D7"/>
    <w:rsid w:val="00460462"/>
    <w:rsid w:val="0046107B"/>
    <w:rsid w:val="00462672"/>
    <w:rsid w:val="00462B4A"/>
    <w:rsid w:val="00463331"/>
    <w:rsid w:val="004638DD"/>
    <w:rsid w:val="004639C4"/>
    <w:rsid w:val="00464880"/>
    <w:rsid w:val="00465519"/>
    <w:rsid w:val="00466373"/>
    <w:rsid w:val="00466A30"/>
    <w:rsid w:val="00466D0B"/>
    <w:rsid w:val="0046729F"/>
    <w:rsid w:val="004672AC"/>
    <w:rsid w:val="004678E0"/>
    <w:rsid w:val="00467B7D"/>
    <w:rsid w:val="00467D3E"/>
    <w:rsid w:val="004704C9"/>
    <w:rsid w:val="00470502"/>
    <w:rsid w:val="00470A96"/>
    <w:rsid w:val="00470FBE"/>
    <w:rsid w:val="00470FDE"/>
    <w:rsid w:val="0047143A"/>
    <w:rsid w:val="004714A9"/>
    <w:rsid w:val="004719BC"/>
    <w:rsid w:val="00471D1B"/>
    <w:rsid w:val="00472398"/>
    <w:rsid w:val="00472CE8"/>
    <w:rsid w:val="0047399B"/>
    <w:rsid w:val="00477BBB"/>
    <w:rsid w:val="00480116"/>
    <w:rsid w:val="0048020B"/>
    <w:rsid w:val="00480B16"/>
    <w:rsid w:val="00480CC6"/>
    <w:rsid w:val="00481108"/>
    <w:rsid w:val="00482FBD"/>
    <w:rsid w:val="004832AA"/>
    <w:rsid w:val="00483471"/>
    <w:rsid w:val="00483744"/>
    <w:rsid w:val="004838E8"/>
    <w:rsid w:val="0048547A"/>
    <w:rsid w:val="00485583"/>
    <w:rsid w:val="004859B6"/>
    <w:rsid w:val="00487CCE"/>
    <w:rsid w:val="0049017F"/>
    <w:rsid w:val="0049039A"/>
    <w:rsid w:val="0049138D"/>
    <w:rsid w:val="00491B7E"/>
    <w:rsid w:val="00492AA4"/>
    <w:rsid w:val="00492ECF"/>
    <w:rsid w:val="00493449"/>
    <w:rsid w:val="004939B3"/>
    <w:rsid w:val="00494013"/>
    <w:rsid w:val="00495BE8"/>
    <w:rsid w:val="00495EEB"/>
    <w:rsid w:val="00496783"/>
    <w:rsid w:val="004A0670"/>
    <w:rsid w:val="004A075F"/>
    <w:rsid w:val="004A25FF"/>
    <w:rsid w:val="004A2DFE"/>
    <w:rsid w:val="004A3F0C"/>
    <w:rsid w:val="004A42B4"/>
    <w:rsid w:val="004A4E47"/>
    <w:rsid w:val="004A7305"/>
    <w:rsid w:val="004A7761"/>
    <w:rsid w:val="004A7C57"/>
    <w:rsid w:val="004B0388"/>
    <w:rsid w:val="004B1832"/>
    <w:rsid w:val="004B1F2E"/>
    <w:rsid w:val="004B2193"/>
    <w:rsid w:val="004B27B9"/>
    <w:rsid w:val="004B2C77"/>
    <w:rsid w:val="004B37BE"/>
    <w:rsid w:val="004B3926"/>
    <w:rsid w:val="004B3F8B"/>
    <w:rsid w:val="004B4094"/>
    <w:rsid w:val="004B6172"/>
    <w:rsid w:val="004B626F"/>
    <w:rsid w:val="004B66C1"/>
    <w:rsid w:val="004B749D"/>
    <w:rsid w:val="004C0287"/>
    <w:rsid w:val="004C09E9"/>
    <w:rsid w:val="004C1DE5"/>
    <w:rsid w:val="004C2F29"/>
    <w:rsid w:val="004C3A89"/>
    <w:rsid w:val="004C4002"/>
    <w:rsid w:val="004C46D3"/>
    <w:rsid w:val="004C568B"/>
    <w:rsid w:val="004C578C"/>
    <w:rsid w:val="004C7225"/>
    <w:rsid w:val="004C7509"/>
    <w:rsid w:val="004D1812"/>
    <w:rsid w:val="004D1B31"/>
    <w:rsid w:val="004D1D9C"/>
    <w:rsid w:val="004D2F90"/>
    <w:rsid w:val="004D3DFC"/>
    <w:rsid w:val="004D3ED2"/>
    <w:rsid w:val="004D3F43"/>
    <w:rsid w:val="004D44E7"/>
    <w:rsid w:val="004D63C4"/>
    <w:rsid w:val="004D70BA"/>
    <w:rsid w:val="004D7CFD"/>
    <w:rsid w:val="004E2FC6"/>
    <w:rsid w:val="004E305B"/>
    <w:rsid w:val="004E38AB"/>
    <w:rsid w:val="004E41F9"/>
    <w:rsid w:val="004E4DB8"/>
    <w:rsid w:val="004E5B7E"/>
    <w:rsid w:val="004E6EBA"/>
    <w:rsid w:val="004E7C1C"/>
    <w:rsid w:val="004E7D2D"/>
    <w:rsid w:val="004F0767"/>
    <w:rsid w:val="004F0E55"/>
    <w:rsid w:val="004F1472"/>
    <w:rsid w:val="004F1576"/>
    <w:rsid w:val="004F27D6"/>
    <w:rsid w:val="004F320D"/>
    <w:rsid w:val="004F32DC"/>
    <w:rsid w:val="004F3B70"/>
    <w:rsid w:val="004F5414"/>
    <w:rsid w:val="004F55C9"/>
    <w:rsid w:val="004F56FE"/>
    <w:rsid w:val="004F5DFF"/>
    <w:rsid w:val="004F6235"/>
    <w:rsid w:val="00501402"/>
    <w:rsid w:val="00502415"/>
    <w:rsid w:val="005024F9"/>
    <w:rsid w:val="0050271D"/>
    <w:rsid w:val="00502AB3"/>
    <w:rsid w:val="005036B0"/>
    <w:rsid w:val="0050482B"/>
    <w:rsid w:val="00505445"/>
    <w:rsid w:val="005070C7"/>
    <w:rsid w:val="00507341"/>
    <w:rsid w:val="00511367"/>
    <w:rsid w:val="005123A9"/>
    <w:rsid w:val="0051249A"/>
    <w:rsid w:val="00513F74"/>
    <w:rsid w:val="00514367"/>
    <w:rsid w:val="005143E7"/>
    <w:rsid w:val="00515A2B"/>
    <w:rsid w:val="00516D22"/>
    <w:rsid w:val="00517112"/>
    <w:rsid w:val="00520278"/>
    <w:rsid w:val="00520E80"/>
    <w:rsid w:val="00521181"/>
    <w:rsid w:val="005226B1"/>
    <w:rsid w:val="0052285C"/>
    <w:rsid w:val="00522C63"/>
    <w:rsid w:val="005231F9"/>
    <w:rsid w:val="00523C44"/>
    <w:rsid w:val="0052410B"/>
    <w:rsid w:val="00524B73"/>
    <w:rsid w:val="005253B2"/>
    <w:rsid w:val="00525C76"/>
    <w:rsid w:val="00525DD4"/>
    <w:rsid w:val="005261C5"/>
    <w:rsid w:val="00527371"/>
    <w:rsid w:val="00527A37"/>
    <w:rsid w:val="005316BB"/>
    <w:rsid w:val="00531906"/>
    <w:rsid w:val="00532599"/>
    <w:rsid w:val="0053288A"/>
    <w:rsid w:val="00533460"/>
    <w:rsid w:val="00533632"/>
    <w:rsid w:val="00534BBE"/>
    <w:rsid w:val="00534D75"/>
    <w:rsid w:val="005352BE"/>
    <w:rsid w:val="00535FF5"/>
    <w:rsid w:val="00536832"/>
    <w:rsid w:val="00536C25"/>
    <w:rsid w:val="00537348"/>
    <w:rsid w:val="005378C0"/>
    <w:rsid w:val="00537D0F"/>
    <w:rsid w:val="00537D69"/>
    <w:rsid w:val="005407AF"/>
    <w:rsid w:val="0054134C"/>
    <w:rsid w:val="00541CF9"/>
    <w:rsid w:val="00542E39"/>
    <w:rsid w:val="00544D36"/>
    <w:rsid w:val="00545404"/>
    <w:rsid w:val="00545D71"/>
    <w:rsid w:val="00546DD6"/>
    <w:rsid w:val="005474E7"/>
    <w:rsid w:val="00550EF2"/>
    <w:rsid w:val="00551D0C"/>
    <w:rsid w:val="005531E1"/>
    <w:rsid w:val="00553B54"/>
    <w:rsid w:val="00553DB9"/>
    <w:rsid w:val="00553DF8"/>
    <w:rsid w:val="00555832"/>
    <w:rsid w:val="00556709"/>
    <w:rsid w:val="00556837"/>
    <w:rsid w:val="005578E3"/>
    <w:rsid w:val="0056056D"/>
    <w:rsid w:val="005606C2"/>
    <w:rsid w:val="0056078E"/>
    <w:rsid w:val="00560D41"/>
    <w:rsid w:val="00560ECB"/>
    <w:rsid w:val="00561B5D"/>
    <w:rsid w:val="00561CBF"/>
    <w:rsid w:val="005622B7"/>
    <w:rsid w:val="00562787"/>
    <w:rsid w:val="005632C9"/>
    <w:rsid w:val="0056430C"/>
    <w:rsid w:val="00565E8A"/>
    <w:rsid w:val="00566F81"/>
    <w:rsid w:val="005671CC"/>
    <w:rsid w:val="0057076F"/>
    <w:rsid w:val="00573C56"/>
    <w:rsid w:val="0057406D"/>
    <w:rsid w:val="0057455C"/>
    <w:rsid w:val="005750C5"/>
    <w:rsid w:val="005757D7"/>
    <w:rsid w:val="00575956"/>
    <w:rsid w:val="00576A28"/>
    <w:rsid w:val="00576BDB"/>
    <w:rsid w:val="00576C13"/>
    <w:rsid w:val="005775D0"/>
    <w:rsid w:val="00581297"/>
    <w:rsid w:val="00581B9C"/>
    <w:rsid w:val="00581E54"/>
    <w:rsid w:val="005827EB"/>
    <w:rsid w:val="00582EB6"/>
    <w:rsid w:val="00585ADF"/>
    <w:rsid w:val="00586D52"/>
    <w:rsid w:val="00587439"/>
    <w:rsid w:val="0058779D"/>
    <w:rsid w:val="00587C81"/>
    <w:rsid w:val="00587FF5"/>
    <w:rsid w:val="00590845"/>
    <w:rsid w:val="00591322"/>
    <w:rsid w:val="005917FC"/>
    <w:rsid w:val="00591D7A"/>
    <w:rsid w:val="00592719"/>
    <w:rsid w:val="00592A1F"/>
    <w:rsid w:val="00592B5A"/>
    <w:rsid w:val="0059306C"/>
    <w:rsid w:val="0059365F"/>
    <w:rsid w:val="005958AD"/>
    <w:rsid w:val="005962F8"/>
    <w:rsid w:val="005963C8"/>
    <w:rsid w:val="0059676B"/>
    <w:rsid w:val="005A0160"/>
    <w:rsid w:val="005A05DE"/>
    <w:rsid w:val="005A0884"/>
    <w:rsid w:val="005A10DD"/>
    <w:rsid w:val="005A13DE"/>
    <w:rsid w:val="005A2099"/>
    <w:rsid w:val="005A2473"/>
    <w:rsid w:val="005A34EF"/>
    <w:rsid w:val="005A3CD3"/>
    <w:rsid w:val="005A3F9A"/>
    <w:rsid w:val="005A404C"/>
    <w:rsid w:val="005A53F6"/>
    <w:rsid w:val="005A61BB"/>
    <w:rsid w:val="005A678E"/>
    <w:rsid w:val="005A70A6"/>
    <w:rsid w:val="005B061D"/>
    <w:rsid w:val="005B27E3"/>
    <w:rsid w:val="005B2C54"/>
    <w:rsid w:val="005B31D1"/>
    <w:rsid w:val="005B3874"/>
    <w:rsid w:val="005B4B6E"/>
    <w:rsid w:val="005B4DF8"/>
    <w:rsid w:val="005B5AA0"/>
    <w:rsid w:val="005B5CDE"/>
    <w:rsid w:val="005B5DD6"/>
    <w:rsid w:val="005B6A0C"/>
    <w:rsid w:val="005C1464"/>
    <w:rsid w:val="005C26FB"/>
    <w:rsid w:val="005C28D3"/>
    <w:rsid w:val="005C3675"/>
    <w:rsid w:val="005C4757"/>
    <w:rsid w:val="005C527D"/>
    <w:rsid w:val="005C604D"/>
    <w:rsid w:val="005C6B72"/>
    <w:rsid w:val="005C7098"/>
    <w:rsid w:val="005D0904"/>
    <w:rsid w:val="005D1353"/>
    <w:rsid w:val="005D27DA"/>
    <w:rsid w:val="005D2A37"/>
    <w:rsid w:val="005D304D"/>
    <w:rsid w:val="005D57D0"/>
    <w:rsid w:val="005D5ECD"/>
    <w:rsid w:val="005D5F6B"/>
    <w:rsid w:val="005D62E5"/>
    <w:rsid w:val="005D6353"/>
    <w:rsid w:val="005D66E1"/>
    <w:rsid w:val="005D70D2"/>
    <w:rsid w:val="005D78F1"/>
    <w:rsid w:val="005D7A19"/>
    <w:rsid w:val="005D7AC6"/>
    <w:rsid w:val="005E0776"/>
    <w:rsid w:val="005E0E19"/>
    <w:rsid w:val="005E136A"/>
    <w:rsid w:val="005E23C1"/>
    <w:rsid w:val="005E2513"/>
    <w:rsid w:val="005E3C24"/>
    <w:rsid w:val="005E3F0A"/>
    <w:rsid w:val="005E4178"/>
    <w:rsid w:val="005E423A"/>
    <w:rsid w:val="005E48F1"/>
    <w:rsid w:val="005E5A20"/>
    <w:rsid w:val="005E7321"/>
    <w:rsid w:val="005F007F"/>
    <w:rsid w:val="005F0486"/>
    <w:rsid w:val="005F1BE6"/>
    <w:rsid w:val="005F2082"/>
    <w:rsid w:val="005F41F4"/>
    <w:rsid w:val="005F421E"/>
    <w:rsid w:val="005F488C"/>
    <w:rsid w:val="005F4E1F"/>
    <w:rsid w:val="005F4F1B"/>
    <w:rsid w:val="005F4F64"/>
    <w:rsid w:val="005F5619"/>
    <w:rsid w:val="005F596D"/>
    <w:rsid w:val="005F5F40"/>
    <w:rsid w:val="005F6B82"/>
    <w:rsid w:val="005F6F6D"/>
    <w:rsid w:val="005F7C91"/>
    <w:rsid w:val="00600226"/>
    <w:rsid w:val="00600ADA"/>
    <w:rsid w:val="00601082"/>
    <w:rsid w:val="0060175D"/>
    <w:rsid w:val="006029F0"/>
    <w:rsid w:val="00603C20"/>
    <w:rsid w:val="00604314"/>
    <w:rsid w:val="00604CAE"/>
    <w:rsid w:val="00605AC8"/>
    <w:rsid w:val="00606505"/>
    <w:rsid w:val="00606A18"/>
    <w:rsid w:val="00606B6D"/>
    <w:rsid w:val="0060739F"/>
    <w:rsid w:val="00607834"/>
    <w:rsid w:val="00610626"/>
    <w:rsid w:val="00610ECD"/>
    <w:rsid w:val="006117F6"/>
    <w:rsid w:val="006119D9"/>
    <w:rsid w:val="00612555"/>
    <w:rsid w:val="00612598"/>
    <w:rsid w:val="00612648"/>
    <w:rsid w:val="00612A88"/>
    <w:rsid w:val="006136F2"/>
    <w:rsid w:val="00614FD0"/>
    <w:rsid w:val="0061559F"/>
    <w:rsid w:val="00615E2B"/>
    <w:rsid w:val="006176E9"/>
    <w:rsid w:val="00617E25"/>
    <w:rsid w:val="006204DA"/>
    <w:rsid w:val="00621490"/>
    <w:rsid w:val="006219FF"/>
    <w:rsid w:val="006221B0"/>
    <w:rsid w:val="00622373"/>
    <w:rsid w:val="00622864"/>
    <w:rsid w:val="006228D2"/>
    <w:rsid w:val="006236A9"/>
    <w:rsid w:val="006237B0"/>
    <w:rsid w:val="00623C89"/>
    <w:rsid w:val="0062434C"/>
    <w:rsid w:val="006246BE"/>
    <w:rsid w:val="00625556"/>
    <w:rsid w:val="00625A69"/>
    <w:rsid w:val="00625D48"/>
    <w:rsid w:val="00626E0C"/>
    <w:rsid w:val="006272F2"/>
    <w:rsid w:val="006274B5"/>
    <w:rsid w:val="00627AB9"/>
    <w:rsid w:val="00627B3E"/>
    <w:rsid w:val="00627CB7"/>
    <w:rsid w:val="0063054D"/>
    <w:rsid w:val="006309F6"/>
    <w:rsid w:val="00630FB6"/>
    <w:rsid w:val="006311B6"/>
    <w:rsid w:val="00631655"/>
    <w:rsid w:val="00633225"/>
    <w:rsid w:val="006332D5"/>
    <w:rsid w:val="00633961"/>
    <w:rsid w:val="0063411D"/>
    <w:rsid w:val="006344E8"/>
    <w:rsid w:val="00634702"/>
    <w:rsid w:val="006348B9"/>
    <w:rsid w:val="0063510D"/>
    <w:rsid w:val="00635B22"/>
    <w:rsid w:val="006364A8"/>
    <w:rsid w:val="00636A13"/>
    <w:rsid w:val="00636AA7"/>
    <w:rsid w:val="00637FC5"/>
    <w:rsid w:val="006405C0"/>
    <w:rsid w:val="00640DB9"/>
    <w:rsid w:val="00641748"/>
    <w:rsid w:val="0064187B"/>
    <w:rsid w:val="0064224A"/>
    <w:rsid w:val="00643038"/>
    <w:rsid w:val="00643ACE"/>
    <w:rsid w:val="00645EDA"/>
    <w:rsid w:val="00647E26"/>
    <w:rsid w:val="00652169"/>
    <w:rsid w:val="00652635"/>
    <w:rsid w:val="006535FD"/>
    <w:rsid w:val="006538FC"/>
    <w:rsid w:val="00653F84"/>
    <w:rsid w:val="00653F9F"/>
    <w:rsid w:val="00656B3C"/>
    <w:rsid w:val="00656D38"/>
    <w:rsid w:val="00656E58"/>
    <w:rsid w:val="00656EED"/>
    <w:rsid w:val="00656F36"/>
    <w:rsid w:val="00657323"/>
    <w:rsid w:val="0065766E"/>
    <w:rsid w:val="006616B9"/>
    <w:rsid w:val="00662076"/>
    <w:rsid w:val="006623ED"/>
    <w:rsid w:val="006626D0"/>
    <w:rsid w:val="00662B1F"/>
    <w:rsid w:val="00663960"/>
    <w:rsid w:val="00663995"/>
    <w:rsid w:val="006653E3"/>
    <w:rsid w:val="006655E2"/>
    <w:rsid w:val="00666563"/>
    <w:rsid w:val="00666737"/>
    <w:rsid w:val="0066681F"/>
    <w:rsid w:val="006674AF"/>
    <w:rsid w:val="00667657"/>
    <w:rsid w:val="00667746"/>
    <w:rsid w:val="006706B5"/>
    <w:rsid w:val="00671921"/>
    <w:rsid w:val="0067244A"/>
    <w:rsid w:val="00672816"/>
    <w:rsid w:val="00673038"/>
    <w:rsid w:val="00673087"/>
    <w:rsid w:val="00673FAB"/>
    <w:rsid w:val="00674972"/>
    <w:rsid w:val="00674CAC"/>
    <w:rsid w:val="00675773"/>
    <w:rsid w:val="00675C9C"/>
    <w:rsid w:val="00676D24"/>
    <w:rsid w:val="00677F81"/>
    <w:rsid w:val="00680060"/>
    <w:rsid w:val="00680236"/>
    <w:rsid w:val="00680CEB"/>
    <w:rsid w:val="00683A62"/>
    <w:rsid w:val="00683C50"/>
    <w:rsid w:val="00683FD2"/>
    <w:rsid w:val="00684180"/>
    <w:rsid w:val="00684442"/>
    <w:rsid w:val="00684CFC"/>
    <w:rsid w:val="00686008"/>
    <w:rsid w:val="006863DB"/>
    <w:rsid w:val="006872B3"/>
    <w:rsid w:val="00687515"/>
    <w:rsid w:val="006904B5"/>
    <w:rsid w:val="00690A37"/>
    <w:rsid w:val="006915D0"/>
    <w:rsid w:val="00691A27"/>
    <w:rsid w:val="00691AD8"/>
    <w:rsid w:val="00692475"/>
    <w:rsid w:val="00694965"/>
    <w:rsid w:val="00694BF0"/>
    <w:rsid w:val="00694DB3"/>
    <w:rsid w:val="00694EDD"/>
    <w:rsid w:val="006953DB"/>
    <w:rsid w:val="006959E1"/>
    <w:rsid w:val="0069661F"/>
    <w:rsid w:val="006966AA"/>
    <w:rsid w:val="006968D9"/>
    <w:rsid w:val="0069694F"/>
    <w:rsid w:val="00696D49"/>
    <w:rsid w:val="006973E6"/>
    <w:rsid w:val="00697F49"/>
    <w:rsid w:val="006A00F0"/>
    <w:rsid w:val="006A01AB"/>
    <w:rsid w:val="006A0B03"/>
    <w:rsid w:val="006A0D9C"/>
    <w:rsid w:val="006A35F5"/>
    <w:rsid w:val="006A3F11"/>
    <w:rsid w:val="006A454F"/>
    <w:rsid w:val="006A4C34"/>
    <w:rsid w:val="006A4EEE"/>
    <w:rsid w:val="006A6D48"/>
    <w:rsid w:val="006A6E58"/>
    <w:rsid w:val="006A70AB"/>
    <w:rsid w:val="006A7987"/>
    <w:rsid w:val="006A7AEA"/>
    <w:rsid w:val="006B0BC7"/>
    <w:rsid w:val="006B2AA8"/>
    <w:rsid w:val="006B2F33"/>
    <w:rsid w:val="006B3F2F"/>
    <w:rsid w:val="006B496D"/>
    <w:rsid w:val="006B52D4"/>
    <w:rsid w:val="006B54CC"/>
    <w:rsid w:val="006B76BC"/>
    <w:rsid w:val="006B7FC4"/>
    <w:rsid w:val="006C051D"/>
    <w:rsid w:val="006C0975"/>
    <w:rsid w:val="006C0A5C"/>
    <w:rsid w:val="006C0C92"/>
    <w:rsid w:val="006C152E"/>
    <w:rsid w:val="006C15A4"/>
    <w:rsid w:val="006C1EA6"/>
    <w:rsid w:val="006C2ECF"/>
    <w:rsid w:val="006C34CF"/>
    <w:rsid w:val="006C3781"/>
    <w:rsid w:val="006C37F1"/>
    <w:rsid w:val="006C413C"/>
    <w:rsid w:val="006C47B2"/>
    <w:rsid w:val="006C5E2A"/>
    <w:rsid w:val="006C61F8"/>
    <w:rsid w:val="006C7A63"/>
    <w:rsid w:val="006D0EAA"/>
    <w:rsid w:val="006D28AD"/>
    <w:rsid w:val="006D2DFE"/>
    <w:rsid w:val="006D2FB0"/>
    <w:rsid w:val="006D37D1"/>
    <w:rsid w:val="006D424A"/>
    <w:rsid w:val="006D46E5"/>
    <w:rsid w:val="006D494A"/>
    <w:rsid w:val="006D4A33"/>
    <w:rsid w:val="006D52EA"/>
    <w:rsid w:val="006D5B1D"/>
    <w:rsid w:val="006D76CC"/>
    <w:rsid w:val="006D7FED"/>
    <w:rsid w:val="006E0416"/>
    <w:rsid w:val="006E04B8"/>
    <w:rsid w:val="006E1C0A"/>
    <w:rsid w:val="006E2F64"/>
    <w:rsid w:val="006E33DF"/>
    <w:rsid w:val="006E4D14"/>
    <w:rsid w:val="006E593B"/>
    <w:rsid w:val="006E5C2C"/>
    <w:rsid w:val="006E6C47"/>
    <w:rsid w:val="006E724F"/>
    <w:rsid w:val="006F166F"/>
    <w:rsid w:val="006F2A74"/>
    <w:rsid w:val="006F3CED"/>
    <w:rsid w:val="006F491A"/>
    <w:rsid w:val="006F4C03"/>
    <w:rsid w:val="006F54FD"/>
    <w:rsid w:val="006F5D56"/>
    <w:rsid w:val="006F62A2"/>
    <w:rsid w:val="006F64F9"/>
    <w:rsid w:val="006F6E2A"/>
    <w:rsid w:val="006F6FB4"/>
    <w:rsid w:val="006F7287"/>
    <w:rsid w:val="006F7EB7"/>
    <w:rsid w:val="00700613"/>
    <w:rsid w:val="007008AA"/>
    <w:rsid w:val="007008DF"/>
    <w:rsid w:val="00701094"/>
    <w:rsid w:val="00701CC1"/>
    <w:rsid w:val="00701E6C"/>
    <w:rsid w:val="00702172"/>
    <w:rsid w:val="00702A94"/>
    <w:rsid w:val="007030BE"/>
    <w:rsid w:val="00703EDB"/>
    <w:rsid w:val="007042AE"/>
    <w:rsid w:val="007047CE"/>
    <w:rsid w:val="007061D3"/>
    <w:rsid w:val="0070647A"/>
    <w:rsid w:val="00706E09"/>
    <w:rsid w:val="00707CC3"/>
    <w:rsid w:val="007113E2"/>
    <w:rsid w:val="00713A41"/>
    <w:rsid w:val="00713A6B"/>
    <w:rsid w:val="007147C8"/>
    <w:rsid w:val="0071482C"/>
    <w:rsid w:val="0071500E"/>
    <w:rsid w:val="00715912"/>
    <w:rsid w:val="0071592F"/>
    <w:rsid w:val="0071619A"/>
    <w:rsid w:val="00717D3C"/>
    <w:rsid w:val="007201E5"/>
    <w:rsid w:val="00720BAA"/>
    <w:rsid w:val="00720BD8"/>
    <w:rsid w:val="00721552"/>
    <w:rsid w:val="007216DF"/>
    <w:rsid w:val="00722AF8"/>
    <w:rsid w:val="00724C37"/>
    <w:rsid w:val="00725082"/>
    <w:rsid w:val="00725B7D"/>
    <w:rsid w:val="00726481"/>
    <w:rsid w:val="00726A58"/>
    <w:rsid w:val="00727A02"/>
    <w:rsid w:val="0073019F"/>
    <w:rsid w:val="00730650"/>
    <w:rsid w:val="00730F54"/>
    <w:rsid w:val="00731241"/>
    <w:rsid w:val="00731FD9"/>
    <w:rsid w:val="00733159"/>
    <w:rsid w:val="007334F7"/>
    <w:rsid w:val="00733FA7"/>
    <w:rsid w:val="007344B8"/>
    <w:rsid w:val="00734CB3"/>
    <w:rsid w:val="00735418"/>
    <w:rsid w:val="00735629"/>
    <w:rsid w:val="00735C35"/>
    <w:rsid w:val="00737723"/>
    <w:rsid w:val="007377B1"/>
    <w:rsid w:val="00740662"/>
    <w:rsid w:val="00740A1B"/>
    <w:rsid w:val="00740D53"/>
    <w:rsid w:val="00740EDB"/>
    <w:rsid w:val="0074442B"/>
    <w:rsid w:val="00744453"/>
    <w:rsid w:val="007448A0"/>
    <w:rsid w:val="007467F6"/>
    <w:rsid w:val="00747034"/>
    <w:rsid w:val="007477E7"/>
    <w:rsid w:val="00750636"/>
    <w:rsid w:val="00750961"/>
    <w:rsid w:val="007530F6"/>
    <w:rsid w:val="00753C76"/>
    <w:rsid w:val="007544ED"/>
    <w:rsid w:val="00754752"/>
    <w:rsid w:val="00754BF4"/>
    <w:rsid w:val="00756609"/>
    <w:rsid w:val="00757522"/>
    <w:rsid w:val="0076010D"/>
    <w:rsid w:val="00760B91"/>
    <w:rsid w:val="00760F45"/>
    <w:rsid w:val="007617EF"/>
    <w:rsid w:val="007618C4"/>
    <w:rsid w:val="007630FE"/>
    <w:rsid w:val="00763125"/>
    <w:rsid w:val="00763A6E"/>
    <w:rsid w:val="00763E2B"/>
    <w:rsid w:val="00763F5E"/>
    <w:rsid w:val="00765D7B"/>
    <w:rsid w:val="00766128"/>
    <w:rsid w:val="00766B68"/>
    <w:rsid w:val="0076733B"/>
    <w:rsid w:val="007674AC"/>
    <w:rsid w:val="00767667"/>
    <w:rsid w:val="00767AE1"/>
    <w:rsid w:val="00771256"/>
    <w:rsid w:val="00771275"/>
    <w:rsid w:val="0077177F"/>
    <w:rsid w:val="00771F5A"/>
    <w:rsid w:val="0077227B"/>
    <w:rsid w:val="00773E68"/>
    <w:rsid w:val="00773EC8"/>
    <w:rsid w:val="007754F3"/>
    <w:rsid w:val="00776923"/>
    <w:rsid w:val="00777F4F"/>
    <w:rsid w:val="007802ED"/>
    <w:rsid w:val="007811FE"/>
    <w:rsid w:val="007821D6"/>
    <w:rsid w:val="00782454"/>
    <w:rsid w:val="00782C38"/>
    <w:rsid w:val="00782C54"/>
    <w:rsid w:val="00782D29"/>
    <w:rsid w:val="00782E92"/>
    <w:rsid w:val="00783AFB"/>
    <w:rsid w:val="00783CD2"/>
    <w:rsid w:val="00784BBB"/>
    <w:rsid w:val="00785650"/>
    <w:rsid w:val="0078587C"/>
    <w:rsid w:val="00785A4A"/>
    <w:rsid w:val="00785BBC"/>
    <w:rsid w:val="00785D28"/>
    <w:rsid w:val="00786E3E"/>
    <w:rsid w:val="00787763"/>
    <w:rsid w:val="007901FA"/>
    <w:rsid w:val="00790540"/>
    <w:rsid w:val="00790D88"/>
    <w:rsid w:val="00790FF6"/>
    <w:rsid w:val="00791EC4"/>
    <w:rsid w:val="00792410"/>
    <w:rsid w:val="00792E7B"/>
    <w:rsid w:val="007938F9"/>
    <w:rsid w:val="00794083"/>
    <w:rsid w:val="00795A26"/>
    <w:rsid w:val="007966B1"/>
    <w:rsid w:val="007976AA"/>
    <w:rsid w:val="00797C73"/>
    <w:rsid w:val="007A0750"/>
    <w:rsid w:val="007A0ACF"/>
    <w:rsid w:val="007A0B47"/>
    <w:rsid w:val="007A1AFC"/>
    <w:rsid w:val="007A1B5C"/>
    <w:rsid w:val="007A2B0E"/>
    <w:rsid w:val="007A2CD9"/>
    <w:rsid w:val="007A2D4B"/>
    <w:rsid w:val="007A2E9F"/>
    <w:rsid w:val="007A30D1"/>
    <w:rsid w:val="007A35C8"/>
    <w:rsid w:val="007A472B"/>
    <w:rsid w:val="007A4B36"/>
    <w:rsid w:val="007A5857"/>
    <w:rsid w:val="007A5D5A"/>
    <w:rsid w:val="007A6042"/>
    <w:rsid w:val="007A6F05"/>
    <w:rsid w:val="007A7DEB"/>
    <w:rsid w:val="007A7E84"/>
    <w:rsid w:val="007B0793"/>
    <w:rsid w:val="007B0873"/>
    <w:rsid w:val="007B0AE7"/>
    <w:rsid w:val="007B1A94"/>
    <w:rsid w:val="007B1C98"/>
    <w:rsid w:val="007B3905"/>
    <w:rsid w:val="007B4105"/>
    <w:rsid w:val="007B46C1"/>
    <w:rsid w:val="007B47FB"/>
    <w:rsid w:val="007B4CC8"/>
    <w:rsid w:val="007B52C3"/>
    <w:rsid w:val="007B5888"/>
    <w:rsid w:val="007B64AF"/>
    <w:rsid w:val="007B6909"/>
    <w:rsid w:val="007B6C97"/>
    <w:rsid w:val="007B6FF9"/>
    <w:rsid w:val="007C01E0"/>
    <w:rsid w:val="007C0D27"/>
    <w:rsid w:val="007C1FC4"/>
    <w:rsid w:val="007C2F34"/>
    <w:rsid w:val="007C3176"/>
    <w:rsid w:val="007C3595"/>
    <w:rsid w:val="007C3911"/>
    <w:rsid w:val="007C4517"/>
    <w:rsid w:val="007C55A1"/>
    <w:rsid w:val="007C5F2C"/>
    <w:rsid w:val="007C63AD"/>
    <w:rsid w:val="007C6874"/>
    <w:rsid w:val="007C7220"/>
    <w:rsid w:val="007C76BC"/>
    <w:rsid w:val="007C7938"/>
    <w:rsid w:val="007D1770"/>
    <w:rsid w:val="007D3965"/>
    <w:rsid w:val="007D4481"/>
    <w:rsid w:val="007D48CF"/>
    <w:rsid w:val="007D5ACD"/>
    <w:rsid w:val="007D6B19"/>
    <w:rsid w:val="007D6BF4"/>
    <w:rsid w:val="007E05F2"/>
    <w:rsid w:val="007E0626"/>
    <w:rsid w:val="007E1926"/>
    <w:rsid w:val="007E1970"/>
    <w:rsid w:val="007E1E7C"/>
    <w:rsid w:val="007E1F21"/>
    <w:rsid w:val="007E206C"/>
    <w:rsid w:val="007E26FF"/>
    <w:rsid w:val="007E3701"/>
    <w:rsid w:val="007E3A75"/>
    <w:rsid w:val="007E3DC2"/>
    <w:rsid w:val="007E46D8"/>
    <w:rsid w:val="007E4E6F"/>
    <w:rsid w:val="007E5873"/>
    <w:rsid w:val="007E5B4C"/>
    <w:rsid w:val="007E6B7A"/>
    <w:rsid w:val="007E776F"/>
    <w:rsid w:val="007E7CB1"/>
    <w:rsid w:val="007E7F94"/>
    <w:rsid w:val="007F09DA"/>
    <w:rsid w:val="007F0AA9"/>
    <w:rsid w:val="007F0C7C"/>
    <w:rsid w:val="007F2E8A"/>
    <w:rsid w:val="007F3222"/>
    <w:rsid w:val="007F4064"/>
    <w:rsid w:val="007F4147"/>
    <w:rsid w:val="007F460B"/>
    <w:rsid w:val="007F4AC0"/>
    <w:rsid w:val="007F5826"/>
    <w:rsid w:val="007F5870"/>
    <w:rsid w:val="007F590D"/>
    <w:rsid w:val="007F5DBB"/>
    <w:rsid w:val="007F6222"/>
    <w:rsid w:val="007F708F"/>
    <w:rsid w:val="00800356"/>
    <w:rsid w:val="008004E5"/>
    <w:rsid w:val="0080054B"/>
    <w:rsid w:val="008005B7"/>
    <w:rsid w:val="008007D6"/>
    <w:rsid w:val="008009C7"/>
    <w:rsid w:val="00800F41"/>
    <w:rsid w:val="00801162"/>
    <w:rsid w:val="00801601"/>
    <w:rsid w:val="00801C82"/>
    <w:rsid w:val="008027D0"/>
    <w:rsid w:val="008028EB"/>
    <w:rsid w:val="0080331F"/>
    <w:rsid w:val="0080369B"/>
    <w:rsid w:val="0080372E"/>
    <w:rsid w:val="00804D34"/>
    <w:rsid w:val="008058FB"/>
    <w:rsid w:val="0080630C"/>
    <w:rsid w:val="00806616"/>
    <w:rsid w:val="00806F0F"/>
    <w:rsid w:val="0080713A"/>
    <w:rsid w:val="008076D2"/>
    <w:rsid w:val="00807D77"/>
    <w:rsid w:val="00812592"/>
    <w:rsid w:val="00812FA9"/>
    <w:rsid w:val="008131EB"/>
    <w:rsid w:val="008137AE"/>
    <w:rsid w:val="00813FD6"/>
    <w:rsid w:val="00814931"/>
    <w:rsid w:val="008149BF"/>
    <w:rsid w:val="00814BF1"/>
    <w:rsid w:val="0081538A"/>
    <w:rsid w:val="00815A67"/>
    <w:rsid w:val="00816628"/>
    <w:rsid w:val="00817274"/>
    <w:rsid w:val="0081781F"/>
    <w:rsid w:val="00817C5B"/>
    <w:rsid w:val="00817EB2"/>
    <w:rsid w:val="00817EE3"/>
    <w:rsid w:val="00821018"/>
    <w:rsid w:val="00822254"/>
    <w:rsid w:val="0082257D"/>
    <w:rsid w:val="00823573"/>
    <w:rsid w:val="0082364B"/>
    <w:rsid w:val="00823B4A"/>
    <w:rsid w:val="00823DEA"/>
    <w:rsid w:val="00824DFC"/>
    <w:rsid w:val="008250BA"/>
    <w:rsid w:val="00825995"/>
    <w:rsid w:val="00826414"/>
    <w:rsid w:val="00826898"/>
    <w:rsid w:val="00827566"/>
    <w:rsid w:val="00827805"/>
    <w:rsid w:val="008279F8"/>
    <w:rsid w:val="00830A4C"/>
    <w:rsid w:val="008312FE"/>
    <w:rsid w:val="00832351"/>
    <w:rsid w:val="0083238D"/>
    <w:rsid w:val="00833B7C"/>
    <w:rsid w:val="00833DF0"/>
    <w:rsid w:val="0083424A"/>
    <w:rsid w:val="00834D75"/>
    <w:rsid w:val="00835D22"/>
    <w:rsid w:val="00836EB3"/>
    <w:rsid w:val="00837A54"/>
    <w:rsid w:val="00840219"/>
    <w:rsid w:val="00840E3D"/>
    <w:rsid w:val="00841720"/>
    <w:rsid w:val="00843D91"/>
    <w:rsid w:val="00845331"/>
    <w:rsid w:val="00845607"/>
    <w:rsid w:val="008456E3"/>
    <w:rsid w:val="00845A50"/>
    <w:rsid w:val="00845B03"/>
    <w:rsid w:val="0084748C"/>
    <w:rsid w:val="008479E4"/>
    <w:rsid w:val="00847C47"/>
    <w:rsid w:val="0085199E"/>
    <w:rsid w:val="00851E1A"/>
    <w:rsid w:val="00852033"/>
    <w:rsid w:val="00852791"/>
    <w:rsid w:val="00853889"/>
    <w:rsid w:val="00854DC4"/>
    <w:rsid w:val="00855976"/>
    <w:rsid w:val="008563AC"/>
    <w:rsid w:val="00856E3A"/>
    <w:rsid w:val="00857C0C"/>
    <w:rsid w:val="00857E24"/>
    <w:rsid w:val="008613F8"/>
    <w:rsid w:val="00861B03"/>
    <w:rsid w:val="00861FF9"/>
    <w:rsid w:val="008627E7"/>
    <w:rsid w:val="00862943"/>
    <w:rsid w:val="008629AE"/>
    <w:rsid w:val="00864B29"/>
    <w:rsid w:val="00865267"/>
    <w:rsid w:val="00866803"/>
    <w:rsid w:val="00866A75"/>
    <w:rsid w:val="00867677"/>
    <w:rsid w:val="00867C77"/>
    <w:rsid w:val="008702E8"/>
    <w:rsid w:val="008712C2"/>
    <w:rsid w:val="0087295A"/>
    <w:rsid w:val="00872D10"/>
    <w:rsid w:val="00872FCF"/>
    <w:rsid w:val="00873653"/>
    <w:rsid w:val="00873BC5"/>
    <w:rsid w:val="00873EC1"/>
    <w:rsid w:val="0087410E"/>
    <w:rsid w:val="008744EB"/>
    <w:rsid w:val="008747FD"/>
    <w:rsid w:val="00875DCC"/>
    <w:rsid w:val="00875FB4"/>
    <w:rsid w:val="00876E32"/>
    <w:rsid w:val="008800BE"/>
    <w:rsid w:val="00880FFC"/>
    <w:rsid w:val="00881552"/>
    <w:rsid w:val="00881638"/>
    <w:rsid w:val="0088224C"/>
    <w:rsid w:val="008823F6"/>
    <w:rsid w:val="008824CC"/>
    <w:rsid w:val="00882D02"/>
    <w:rsid w:val="00883194"/>
    <w:rsid w:val="00883791"/>
    <w:rsid w:val="00883DBE"/>
    <w:rsid w:val="00884B7D"/>
    <w:rsid w:val="0088668B"/>
    <w:rsid w:val="00887182"/>
    <w:rsid w:val="008872C3"/>
    <w:rsid w:val="00890487"/>
    <w:rsid w:val="0089106A"/>
    <w:rsid w:val="00891C3A"/>
    <w:rsid w:val="0089282F"/>
    <w:rsid w:val="0089330E"/>
    <w:rsid w:val="008937B7"/>
    <w:rsid w:val="00893BE4"/>
    <w:rsid w:val="00895109"/>
    <w:rsid w:val="00896CB5"/>
    <w:rsid w:val="00897430"/>
    <w:rsid w:val="008A02D3"/>
    <w:rsid w:val="008A0D26"/>
    <w:rsid w:val="008A1697"/>
    <w:rsid w:val="008A1BE3"/>
    <w:rsid w:val="008A1D56"/>
    <w:rsid w:val="008A337D"/>
    <w:rsid w:val="008A3D75"/>
    <w:rsid w:val="008A4208"/>
    <w:rsid w:val="008A47C3"/>
    <w:rsid w:val="008A4EE5"/>
    <w:rsid w:val="008A5429"/>
    <w:rsid w:val="008A59B5"/>
    <w:rsid w:val="008A5A7B"/>
    <w:rsid w:val="008A5BD4"/>
    <w:rsid w:val="008A699B"/>
    <w:rsid w:val="008A6D63"/>
    <w:rsid w:val="008A6E35"/>
    <w:rsid w:val="008A709D"/>
    <w:rsid w:val="008B0674"/>
    <w:rsid w:val="008B07BF"/>
    <w:rsid w:val="008B122B"/>
    <w:rsid w:val="008B2E1F"/>
    <w:rsid w:val="008B4324"/>
    <w:rsid w:val="008B49EB"/>
    <w:rsid w:val="008B4DCD"/>
    <w:rsid w:val="008B4EE6"/>
    <w:rsid w:val="008B511A"/>
    <w:rsid w:val="008B5397"/>
    <w:rsid w:val="008B5A25"/>
    <w:rsid w:val="008B629D"/>
    <w:rsid w:val="008B6634"/>
    <w:rsid w:val="008B6D3C"/>
    <w:rsid w:val="008B6F80"/>
    <w:rsid w:val="008B7465"/>
    <w:rsid w:val="008B76B3"/>
    <w:rsid w:val="008B7B1D"/>
    <w:rsid w:val="008C00EA"/>
    <w:rsid w:val="008C05D6"/>
    <w:rsid w:val="008C0946"/>
    <w:rsid w:val="008C1128"/>
    <w:rsid w:val="008C12E4"/>
    <w:rsid w:val="008C12F4"/>
    <w:rsid w:val="008C239A"/>
    <w:rsid w:val="008C30FA"/>
    <w:rsid w:val="008C3292"/>
    <w:rsid w:val="008C3EEA"/>
    <w:rsid w:val="008C5046"/>
    <w:rsid w:val="008C59F3"/>
    <w:rsid w:val="008C5A07"/>
    <w:rsid w:val="008C62A9"/>
    <w:rsid w:val="008C698B"/>
    <w:rsid w:val="008C6D48"/>
    <w:rsid w:val="008D0461"/>
    <w:rsid w:val="008D055A"/>
    <w:rsid w:val="008D058F"/>
    <w:rsid w:val="008D0595"/>
    <w:rsid w:val="008D06DD"/>
    <w:rsid w:val="008D180C"/>
    <w:rsid w:val="008D196E"/>
    <w:rsid w:val="008D1F7F"/>
    <w:rsid w:val="008D2A30"/>
    <w:rsid w:val="008D3788"/>
    <w:rsid w:val="008D39B6"/>
    <w:rsid w:val="008D48CE"/>
    <w:rsid w:val="008D59D5"/>
    <w:rsid w:val="008D73A5"/>
    <w:rsid w:val="008D7A0D"/>
    <w:rsid w:val="008D7D48"/>
    <w:rsid w:val="008E093A"/>
    <w:rsid w:val="008E0AEB"/>
    <w:rsid w:val="008E1662"/>
    <w:rsid w:val="008E26FF"/>
    <w:rsid w:val="008E2A30"/>
    <w:rsid w:val="008E429A"/>
    <w:rsid w:val="008E5BE9"/>
    <w:rsid w:val="008E6604"/>
    <w:rsid w:val="008E66D0"/>
    <w:rsid w:val="008F1972"/>
    <w:rsid w:val="008F1DB6"/>
    <w:rsid w:val="008F1E7E"/>
    <w:rsid w:val="008F2E6C"/>
    <w:rsid w:val="008F36B5"/>
    <w:rsid w:val="008F3792"/>
    <w:rsid w:val="008F462D"/>
    <w:rsid w:val="008F4677"/>
    <w:rsid w:val="008F5656"/>
    <w:rsid w:val="008F575F"/>
    <w:rsid w:val="008F5B2C"/>
    <w:rsid w:val="008F5DE1"/>
    <w:rsid w:val="008F5EDB"/>
    <w:rsid w:val="008F6BAC"/>
    <w:rsid w:val="008F6F9A"/>
    <w:rsid w:val="008F73C4"/>
    <w:rsid w:val="008F7C05"/>
    <w:rsid w:val="00902AFF"/>
    <w:rsid w:val="00904AE2"/>
    <w:rsid w:val="0090540E"/>
    <w:rsid w:val="00906477"/>
    <w:rsid w:val="009074EC"/>
    <w:rsid w:val="0090794C"/>
    <w:rsid w:val="009104B1"/>
    <w:rsid w:val="0091086D"/>
    <w:rsid w:val="009110CD"/>
    <w:rsid w:val="00911F09"/>
    <w:rsid w:val="009129EA"/>
    <w:rsid w:val="00912C64"/>
    <w:rsid w:val="00913B69"/>
    <w:rsid w:val="009146A0"/>
    <w:rsid w:val="0091564B"/>
    <w:rsid w:val="00915AED"/>
    <w:rsid w:val="00916750"/>
    <w:rsid w:val="00917F71"/>
    <w:rsid w:val="0092065B"/>
    <w:rsid w:val="009206D8"/>
    <w:rsid w:val="00920B94"/>
    <w:rsid w:val="00921134"/>
    <w:rsid w:val="00921249"/>
    <w:rsid w:val="00921B78"/>
    <w:rsid w:val="00922042"/>
    <w:rsid w:val="00922F4E"/>
    <w:rsid w:val="00923427"/>
    <w:rsid w:val="00923537"/>
    <w:rsid w:val="0092424C"/>
    <w:rsid w:val="00924349"/>
    <w:rsid w:val="0092490D"/>
    <w:rsid w:val="009249EA"/>
    <w:rsid w:val="009266C6"/>
    <w:rsid w:val="0092677E"/>
    <w:rsid w:val="009273EC"/>
    <w:rsid w:val="00930A99"/>
    <w:rsid w:val="00930E08"/>
    <w:rsid w:val="009321B3"/>
    <w:rsid w:val="0093281A"/>
    <w:rsid w:val="00932AB7"/>
    <w:rsid w:val="00932BC9"/>
    <w:rsid w:val="00932BD9"/>
    <w:rsid w:val="00933027"/>
    <w:rsid w:val="00933344"/>
    <w:rsid w:val="00933B9F"/>
    <w:rsid w:val="00933C6A"/>
    <w:rsid w:val="00934040"/>
    <w:rsid w:val="00934B4B"/>
    <w:rsid w:val="00934D3C"/>
    <w:rsid w:val="00935176"/>
    <w:rsid w:val="0093677C"/>
    <w:rsid w:val="00936CE9"/>
    <w:rsid w:val="00936D95"/>
    <w:rsid w:val="00937051"/>
    <w:rsid w:val="00937174"/>
    <w:rsid w:val="009371AF"/>
    <w:rsid w:val="0093786B"/>
    <w:rsid w:val="00937912"/>
    <w:rsid w:val="009412C0"/>
    <w:rsid w:val="009413F2"/>
    <w:rsid w:val="00941747"/>
    <w:rsid w:val="009418B6"/>
    <w:rsid w:val="009429FA"/>
    <w:rsid w:val="00943A9F"/>
    <w:rsid w:val="00943F25"/>
    <w:rsid w:val="00944747"/>
    <w:rsid w:val="00944D1C"/>
    <w:rsid w:val="00945CAC"/>
    <w:rsid w:val="009466CA"/>
    <w:rsid w:val="009467F6"/>
    <w:rsid w:val="00946B96"/>
    <w:rsid w:val="009508BB"/>
    <w:rsid w:val="0095192F"/>
    <w:rsid w:val="00952926"/>
    <w:rsid w:val="00952E9B"/>
    <w:rsid w:val="009532E2"/>
    <w:rsid w:val="009537CF"/>
    <w:rsid w:val="009548DF"/>
    <w:rsid w:val="009554B2"/>
    <w:rsid w:val="00955C21"/>
    <w:rsid w:val="00957770"/>
    <w:rsid w:val="0095779F"/>
    <w:rsid w:val="00957D07"/>
    <w:rsid w:val="00960003"/>
    <w:rsid w:val="00960143"/>
    <w:rsid w:val="00961133"/>
    <w:rsid w:val="00962000"/>
    <w:rsid w:val="009620FC"/>
    <w:rsid w:val="00962716"/>
    <w:rsid w:val="00963D33"/>
    <w:rsid w:val="00964627"/>
    <w:rsid w:val="00964B60"/>
    <w:rsid w:val="009654F0"/>
    <w:rsid w:val="00965C50"/>
    <w:rsid w:val="00967162"/>
    <w:rsid w:val="009679BD"/>
    <w:rsid w:val="00967BEA"/>
    <w:rsid w:val="009701A0"/>
    <w:rsid w:val="00971D75"/>
    <w:rsid w:val="0097230F"/>
    <w:rsid w:val="0097259F"/>
    <w:rsid w:val="009729CF"/>
    <w:rsid w:val="009731B8"/>
    <w:rsid w:val="00973213"/>
    <w:rsid w:val="009747B0"/>
    <w:rsid w:val="00974C4F"/>
    <w:rsid w:val="00974E06"/>
    <w:rsid w:val="00975D95"/>
    <w:rsid w:val="00977A61"/>
    <w:rsid w:val="00977A93"/>
    <w:rsid w:val="00977C4A"/>
    <w:rsid w:val="00977CB3"/>
    <w:rsid w:val="009803BB"/>
    <w:rsid w:val="00981094"/>
    <w:rsid w:val="009810B9"/>
    <w:rsid w:val="009811DD"/>
    <w:rsid w:val="009814C6"/>
    <w:rsid w:val="00981922"/>
    <w:rsid w:val="00982A29"/>
    <w:rsid w:val="00982BB2"/>
    <w:rsid w:val="00983195"/>
    <w:rsid w:val="00983AE0"/>
    <w:rsid w:val="00983B69"/>
    <w:rsid w:val="00984820"/>
    <w:rsid w:val="009853F7"/>
    <w:rsid w:val="009854F1"/>
    <w:rsid w:val="0098555C"/>
    <w:rsid w:val="00985B9D"/>
    <w:rsid w:val="00986796"/>
    <w:rsid w:val="00986B3E"/>
    <w:rsid w:val="00990013"/>
    <w:rsid w:val="00990C2D"/>
    <w:rsid w:val="00990DA9"/>
    <w:rsid w:val="00991417"/>
    <w:rsid w:val="00991C22"/>
    <w:rsid w:val="00991DED"/>
    <w:rsid w:val="00991FA6"/>
    <w:rsid w:val="00992E2F"/>
    <w:rsid w:val="00993389"/>
    <w:rsid w:val="009933F9"/>
    <w:rsid w:val="009934B3"/>
    <w:rsid w:val="00993A48"/>
    <w:rsid w:val="009945FE"/>
    <w:rsid w:val="009946E6"/>
    <w:rsid w:val="009957A9"/>
    <w:rsid w:val="0099654E"/>
    <w:rsid w:val="0099693E"/>
    <w:rsid w:val="00996E45"/>
    <w:rsid w:val="009977F2"/>
    <w:rsid w:val="00997800"/>
    <w:rsid w:val="0099798D"/>
    <w:rsid w:val="009A06F8"/>
    <w:rsid w:val="009A0C22"/>
    <w:rsid w:val="009A0FBC"/>
    <w:rsid w:val="009A1378"/>
    <w:rsid w:val="009A250F"/>
    <w:rsid w:val="009A26C8"/>
    <w:rsid w:val="009A2AFA"/>
    <w:rsid w:val="009A2B7E"/>
    <w:rsid w:val="009A306B"/>
    <w:rsid w:val="009A37EE"/>
    <w:rsid w:val="009A3BC2"/>
    <w:rsid w:val="009A41D3"/>
    <w:rsid w:val="009A438D"/>
    <w:rsid w:val="009A4870"/>
    <w:rsid w:val="009A4CFA"/>
    <w:rsid w:val="009A4DB1"/>
    <w:rsid w:val="009A4E7D"/>
    <w:rsid w:val="009A58CA"/>
    <w:rsid w:val="009A60A8"/>
    <w:rsid w:val="009A6123"/>
    <w:rsid w:val="009A6E71"/>
    <w:rsid w:val="009A70C7"/>
    <w:rsid w:val="009B12BE"/>
    <w:rsid w:val="009B1318"/>
    <w:rsid w:val="009B1912"/>
    <w:rsid w:val="009B2C31"/>
    <w:rsid w:val="009B2C9D"/>
    <w:rsid w:val="009B2DE7"/>
    <w:rsid w:val="009B4578"/>
    <w:rsid w:val="009B52D5"/>
    <w:rsid w:val="009B5328"/>
    <w:rsid w:val="009B5786"/>
    <w:rsid w:val="009B58C6"/>
    <w:rsid w:val="009B59CB"/>
    <w:rsid w:val="009B625C"/>
    <w:rsid w:val="009B6746"/>
    <w:rsid w:val="009B67E2"/>
    <w:rsid w:val="009C0A91"/>
    <w:rsid w:val="009C143C"/>
    <w:rsid w:val="009C1C0B"/>
    <w:rsid w:val="009C2966"/>
    <w:rsid w:val="009C2B84"/>
    <w:rsid w:val="009C3BF0"/>
    <w:rsid w:val="009C44D3"/>
    <w:rsid w:val="009C4BAA"/>
    <w:rsid w:val="009C4CA1"/>
    <w:rsid w:val="009C4D86"/>
    <w:rsid w:val="009C5CEE"/>
    <w:rsid w:val="009C673E"/>
    <w:rsid w:val="009C6899"/>
    <w:rsid w:val="009C7916"/>
    <w:rsid w:val="009C7A89"/>
    <w:rsid w:val="009C7EE1"/>
    <w:rsid w:val="009D03D3"/>
    <w:rsid w:val="009D072C"/>
    <w:rsid w:val="009D0F82"/>
    <w:rsid w:val="009D18AD"/>
    <w:rsid w:val="009D2DE8"/>
    <w:rsid w:val="009D40CE"/>
    <w:rsid w:val="009D4B28"/>
    <w:rsid w:val="009D5E8C"/>
    <w:rsid w:val="009D5F6F"/>
    <w:rsid w:val="009D5FDF"/>
    <w:rsid w:val="009E0589"/>
    <w:rsid w:val="009E05D0"/>
    <w:rsid w:val="009E2434"/>
    <w:rsid w:val="009E2A6F"/>
    <w:rsid w:val="009E30CE"/>
    <w:rsid w:val="009E34C7"/>
    <w:rsid w:val="009E352C"/>
    <w:rsid w:val="009E365B"/>
    <w:rsid w:val="009E46DB"/>
    <w:rsid w:val="009E570E"/>
    <w:rsid w:val="009E6878"/>
    <w:rsid w:val="009E6E70"/>
    <w:rsid w:val="009F0033"/>
    <w:rsid w:val="009F1B59"/>
    <w:rsid w:val="009F3083"/>
    <w:rsid w:val="009F4E07"/>
    <w:rsid w:val="009F4E71"/>
    <w:rsid w:val="009F5479"/>
    <w:rsid w:val="009F5E7B"/>
    <w:rsid w:val="009F6162"/>
    <w:rsid w:val="009F61C4"/>
    <w:rsid w:val="009F71DB"/>
    <w:rsid w:val="00A00474"/>
    <w:rsid w:val="00A00819"/>
    <w:rsid w:val="00A008A1"/>
    <w:rsid w:val="00A00B90"/>
    <w:rsid w:val="00A01E49"/>
    <w:rsid w:val="00A0203B"/>
    <w:rsid w:val="00A02377"/>
    <w:rsid w:val="00A028E9"/>
    <w:rsid w:val="00A03E74"/>
    <w:rsid w:val="00A04030"/>
    <w:rsid w:val="00A0548A"/>
    <w:rsid w:val="00A058FE"/>
    <w:rsid w:val="00A06B43"/>
    <w:rsid w:val="00A06CF5"/>
    <w:rsid w:val="00A077ED"/>
    <w:rsid w:val="00A07D29"/>
    <w:rsid w:val="00A10F5F"/>
    <w:rsid w:val="00A11DFA"/>
    <w:rsid w:val="00A1210D"/>
    <w:rsid w:val="00A1213D"/>
    <w:rsid w:val="00A12778"/>
    <w:rsid w:val="00A129AC"/>
    <w:rsid w:val="00A12ECC"/>
    <w:rsid w:val="00A133BC"/>
    <w:rsid w:val="00A13E87"/>
    <w:rsid w:val="00A140BC"/>
    <w:rsid w:val="00A15BCC"/>
    <w:rsid w:val="00A167EE"/>
    <w:rsid w:val="00A174DE"/>
    <w:rsid w:val="00A17D97"/>
    <w:rsid w:val="00A20260"/>
    <w:rsid w:val="00A20F07"/>
    <w:rsid w:val="00A2307E"/>
    <w:rsid w:val="00A2377E"/>
    <w:rsid w:val="00A23886"/>
    <w:rsid w:val="00A23EE8"/>
    <w:rsid w:val="00A24BBF"/>
    <w:rsid w:val="00A2618D"/>
    <w:rsid w:val="00A26849"/>
    <w:rsid w:val="00A318DD"/>
    <w:rsid w:val="00A31DF6"/>
    <w:rsid w:val="00A320D1"/>
    <w:rsid w:val="00A32738"/>
    <w:rsid w:val="00A32897"/>
    <w:rsid w:val="00A32946"/>
    <w:rsid w:val="00A3380C"/>
    <w:rsid w:val="00A34378"/>
    <w:rsid w:val="00A344E3"/>
    <w:rsid w:val="00A3489C"/>
    <w:rsid w:val="00A3567D"/>
    <w:rsid w:val="00A35990"/>
    <w:rsid w:val="00A36135"/>
    <w:rsid w:val="00A36962"/>
    <w:rsid w:val="00A36E68"/>
    <w:rsid w:val="00A370BE"/>
    <w:rsid w:val="00A37497"/>
    <w:rsid w:val="00A37BD4"/>
    <w:rsid w:val="00A40280"/>
    <w:rsid w:val="00A42273"/>
    <w:rsid w:val="00A422B5"/>
    <w:rsid w:val="00A452D9"/>
    <w:rsid w:val="00A457D0"/>
    <w:rsid w:val="00A464A9"/>
    <w:rsid w:val="00A468E5"/>
    <w:rsid w:val="00A46BDB"/>
    <w:rsid w:val="00A46F09"/>
    <w:rsid w:val="00A519E6"/>
    <w:rsid w:val="00A51B4C"/>
    <w:rsid w:val="00A527CA"/>
    <w:rsid w:val="00A53CF8"/>
    <w:rsid w:val="00A53D92"/>
    <w:rsid w:val="00A542DE"/>
    <w:rsid w:val="00A55414"/>
    <w:rsid w:val="00A55B79"/>
    <w:rsid w:val="00A55E6C"/>
    <w:rsid w:val="00A560AD"/>
    <w:rsid w:val="00A57272"/>
    <w:rsid w:val="00A60248"/>
    <w:rsid w:val="00A602AC"/>
    <w:rsid w:val="00A60D23"/>
    <w:rsid w:val="00A612F4"/>
    <w:rsid w:val="00A62019"/>
    <w:rsid w:val="00A62906"/>
    <w:rsid w:val="00A63864"/>
    <w:rsid w:val="00A63A62"/>
    <w:rsid w:val="00A64244"/>
    <w:rsid w:val="00A64575"/>
    <w:rsid w:val="00A64882"/>
    <w:rsid w:val="00A6652B"/>
    <w:rsid w:val="00A67023"/>
    <w:rsid w:val="00A709C1"/>
    <w:rsid w:val="00A7129B"/>
    <w:rsid w:val="00A716AB"/>
    <w:rsid w:val="00A71889"/>
    <w:rsid w:val="00A71B25"/>
    <w:rsid w:val="00A73A1E"/>
    <w:rsid w:val="00A73AB1"/>
    <w:rsid w:val="00A73D8B"/>
    <w:rsid w:val="00A73E8E"/>
    <w:rsid w:val="00A756F8"/>
    <w:rsid w:val="00A7598D"/>
    <w:rsid w:val="00A7636D"/>
    <w:rsid w:val="00A7659A"/>
    <w:rsid w:val="00A76CAF"/>
    <w:rsid w:val="00A801D5"/>
    <w:rsid w:val="00A802F6"/>
    <w:rsid w:val="00A80385"/>
    <w:rsid w:val="00A8085C"/>
    <w:rsid w:val="00A80AAD"/>
    <w:rsid w:val="00A81ACA"/>
    <w:rsid w:val="00A8201B"/>
    <w:rsid w:val="00A825EF"/>
    <w:rsid w:val="00A84832"/>
    <w:rsid w:val="00A84D05"/>
    <w:rsid w:val="00A87012"/>
    <w:rsid w:val="00A87080"/>
    <w:rsid w:val="00A87B77"/>
    <w:rsid w:val="00A90497"/>
    <w:rsid w:val="00A90A89"/>
    <w:rsid w:val="00A90D85"/>
    <w:rsid w:val="00A9241F"/>
    <w:rsid w:val="00A92440"/>
    <w:rsid w:val="00A93BA9"/>
    <w:rsid w:val="00A94030"/>
    <w:rsid w:val="00A94524"/>
    <w:rsid w:val="00A95955"/>
    <w:rsid w:val="00A96E56"/>
    <w:rsid w:val="00A97714"/>
    <w:rsid w:val="00A97C3D"/>
    <w:rsid w:val="00AA0ADC"/>
    <w:rsid w:val="00AA3194"/>
    <w:rsid w:val="00AA4108"/>
    <w:rsid w:val="00AA41AD"/>
    <w:rsid w:val="00AA47BA"/>
    <w:rsid w:val="00AA4E34"/>
    <w:rsid w:val="00AA5443"/>
    <w:rsid w:val="00AA5CBE"/>
    <w:rsid w:val="00AA7F26"/>
    <w:rsid w:val="00AA7F8B"/>
    <w:rsid w:val="00AB1941"/>
    <w:rsid w:val="00AB3280"/>
    <w:rsid w:val="00AB38FD"/>
    <w:rsid w:val="00AB5083"/>
    <w:rsid w:val="00AB50A8"/>
    <w:rsid w:val="00AB533B"/>
    <w:rsid w:val="00AB54BA"/>
    <w:rsid w:val="00AB567B"/>
    <w:rsid w:val="00AB5AEE"/>
    <w:rsid w:val="00AB6072"/>
    <w:rsid w:val="00AB7D53"/>
    <w:rsid w:val="00AB7FD0"/>
    <w:rsid w:val="00AC0173"/>
    <w:rsid w:val="00AC0F92"/>
    <w:rsid w:val="00AC0FA4"/>
    <w:rsid w:val="00AC21D9"/>
    <w:rsid w:val="00AC248F"/>
    <w:rsid w:val="00AC3004"/>
    <w:rsid w:val="00AC3B1A"/>
    <w:rsid w:val="00AC3DD2"/>
    <w:rsid w:val="00AC5147"/>
    <w:rsid w:val="00AC5A91"/>
    <w:rsid w:val="00AC6890"/>
    <w:rsid w:val="00AD0DAC"/>
    <w:rsid w:val="00AD109F"/>
    <w:rsid w:val="00AD17CB"/>
    <w:rsid w:val="00AD1B0F"/>
    <w:rsid w:val="00AD29B2"/>
    <w:rsid w:val="00AD3457"/>
    <w:rsid w:val="00AD4787"/>
    <w:rsid w:val="00AD51D2"/>
    <w:rsid w:val="00AD5AF4"/>
    <w:rsid w:val="00AD5FE7"/>
    <w:rsid w:val="00AD6389"/>
    <w:rsid w:val="00AD732B"/>
    <w:rsid w:val="00AE0AB7"/>
    <w:rsid w:val="00AE0BA8"/>
    <w:rsid w:val="00AE12C5"/>
    <w:rsid w:val="00AE1CD3"/>
    <w:rsid w:val="00AE1E14"/>
    <w:rsid w:val="00AE24B8"/>
    <w:rsid w:val="00AE2F27"/>
    <w:rsid w:val="00AE3084"/>
    <w:rsid w:val="00AE461E"/>
    <w:rsid w:val="00AE4855"/>
    <w:rsid w:val="00AE4B9B"/>
    <w:rsid w:val="00AE5F58"/>
    <w:rsid w:val="00AE6160"/>
    <w:rsid w:val="00AE6354"/>
    <w:rsid w:val="00AE6570"/>
    <w:rsid w:val="00AE65F9"/>
    <w:rsid w:val="00AE6869"/>
    <w:rsid w:val="00AE7309"/>
    <w:rsid w:val="00AE7982"/>
    <w:rsid w:val="00AE7D0D"/>
    <w:rsid w:val="00AE7EAD"/>
    <w:rsid w:val="00AF06BF"/>
    <w:rsid w:val="00AF163F"/>
    <w:rsid w:val="00AF1FB1"/>
    <w:rsid w:val="00AF2C72"/>
    <w:rsid w:val="00AF3847"/>
    <w:rsid w:val="00AF438A"/>
    <w:rsid w:val="00AF4E1C"/>
    <w:rsid w:val="00AF5850"/>
    <w:rsid w:val="00AF6737"/>
    <w:rsid w:val="00AF6B68"/>
    <w:rsid w:val="00AF6FB8"/>
    <w:rsid w:val="00AF781D"/>
    <w:rsid w:val="00B002B8"/>
    <w:rsid w:val="00B0095D"/>
    <w:rsid w:val="00B00A4C"/>
    <w:rsid w:val="00B01B7C"/>
    <w:rsid w:val="00B032BB"/>
    <w:rsid w:val="00B03E5A"/>
    <w:rsid w:val="00B03F1E"/>
    <w:rsid w:val="00B05473"/>
    <w:rsid w:val="00B05BAF"/>
    <w:rsid w:val="00B05E8F"/>
    <w:rsid w:val="00B06A38"/>
    <w:rsid w:val="00B0743A"/>
    <w:rsid w:val="00B07918"/>
    <w:rsid w:val="00B10597"/>
    <w:rsid w:val="00B11C78"/>
    <w:rsid w:val="00B14193"/>
    <w:rsid w:val="00B1465E"/>
    <w:rsid w:val="00B14A75"/>
    <w:rsid w:val="00B14AFE"/>
    <w:rsid w:val="00B15437"/>
    <w:rsid w:val="00B16B7B"/>
    <w:rsid w:val="00B16D5B"/>
    <w:rsid w:val="00B16ECE"/>
    <w:rsid w:val="00B20268"/>
    <w:rsid w:val="00B2062D"/>
    <w:rsid w:val="00B2091E"/>
    <w:rsid w:val="00B20A9A"/>
    <w:rsid w:val="00B20ED6"/>
    <w:rsid w:val="00B21029"/>
    <w:rsid w:val="00B2107D"/>
    <w:rsid w:val="00B21324"/>
    <w:rsid w:val="00B2189E"/>
    <w:rsid w:val="00B2275F"/>
    <w:rsid w:val="00B227CF"/>
    <w:rsid w:val="00B22CF9"/>
    <w:rsid w:val="00B22F21"/>
    <w:rsid w:val="00B2343A"/>
    <w:rsid w:val="00B23EB0"/>
    <w:rsid w:val="00B24286"/>
    <w:rsid w:val="00B25EEC"/>
    <w:rsid w:val="00B261DF"/>
    <w:rsid w:val="00B269F4"/>
    <w:rsid w:val="00B275FA"/>
    <w:rsid w:val="00B27630"/>
    <w:rsid w:val="00B300CE"/>
    <w:rsid w:val="00B30954"/>
    <w:rsid w:val="00B30C75"/>
    <w:rsid w:val="00B311A2"/>
    <w:rsid w:val="00B32823"/>
    <w:rsid w:val="00B339FF"/>
    <w:rsid w:val="00B33DE2"/>
    <w:rsid w:val="00B33F41"/>
    <w:rsid w:val="00B3426B"/>
    <w:rsid w:val="00B35245"/>
    <w:rsid w:val="00B3556C"/>
    <w:rsid w:val="00B35659"/>
    <w:rsid w:val="00B36B56"/>
    <w:rsid w:val="00B41385"/>
    <w:rsid w:val="00B41855"/>
    <w:rsid w:val="00B41D95"/>
    <w:rsid w:val="00B43E2D"/>
    <w:rsid w:val="00B468B1"/>
    <w:rsid w:val="00B50135"/>
    <w:rsid w:val="00B50453"/>
    <w:rsid w:val="00B5048F"/>
    <w:rsid w:val="00B5092B"/>
    <w:rsid w:val="00B52B14"/>
    <w:rsid w:val="00B53087"/>
    <w:rsid w:val="00B544F4"/>
    <w:rsid w:val="00B54752"/>
    <w:rsid w:val="00B548BD"/>
    <w:rsid w:val="00B548E3"/>
    <w:rsid w:val="00B54E56"/>
    <w:rsid w:val="00B55119"/>
    <w:rsid w:val="00B551E3"/>
    <w:rsid w:val="00B55976"/>
    <w:rsid w:val="00B57674"/>
    <w:rsid w:val="00B6059D"/>
    <w:rsid w:val="00B6099C"/>
    <w:rsid w:val="00B62142"/>
    <w:rsid w:val="00B625C0"/>
    <w:rsid w:val="00B62637"/>
    <w:rsid w:val="00B6499C"/>
    <w:rsid w:val="00B67FD5"/>
    <w:rsid w:val="00B7088E"/>
    <w:rsid w:val="00B70F6E"/>
    <w:rsid w:val="00B71CBE"/>
    <w:rsid w:val="00B7252B"/>
    <w:rsid w:val="00B73ED7"/>
    <w:rsid w:val="00B741AD"/>
    <w:rsid w:val="00B7438B"/>
    <w:rsid w:val="00B7463D"/>
    <w:rsid w:val="00B74D31"/>
    <w:rsid w:val="00B74EAF"/>
    <w:rsid w:val="00B76115"/>
    <w:rsid w:val="00B76EC4"/>
    <w:rsid w:val="00B77002"/>
    <w:rsid w:val="00B77330"/>
    <w:rsid w:val="00B77369"/>
    <w:rsid w:val="00B8129F"/>
    <w:rsid w:val="00B81671"/>
    <w:rsid w:val="00B829BF"/>
    <w:rsid w:val="00B83528"/>
    <w:rsid w:val="00B83AC0"/>
    <w:rsid w:val="00B847EE"/>
    <w:rsid w:val="00B848E3"/>
    <w:rsid w:val="00B84A89"/>
    <w:rsid w:val="00B84AB1"/>
    <w:rsid w:val="00B86078"/>
    <w:rsid w:val="00B86A87"/>
    <w:rsid w:val="00B87908"/>
    <w:rsid w:val="00B8793E"/>
    <w:rsid w:val="00B87965"/>
    <w:rsid w:val="00B87BBC"/>
    <w:rsid w:val="00B90C5D"/>
    <w:rsid w:val="00B91979"/>
    <w:rsid w:val="00B91B1E"/>
    <w:rsid w:val="00B92E2E"/>
    <w:rsid w:val="00B934B0"/>
    <w:rsid w:val="00B93A5A"/>
    <w:rsid w:val="00B94CBB"/>
    <w:rsid w:val="00B94E34"/>
    <w:rsid w:val="00B963EB"/>
    <w:rsid w:val="00B97286"/>
    <w:rsid w:val="00B97C67"/>
    <w:rsid w:val="00B97D9E"/>
    <w:rsid w:val="00B97DCC"/>
    <w:rsid w:val="00BA196F"/>
    <w:rsid w:val="00BA326C"/>
    <w:rsid w:val="00BA49A6"/>
    <w:rsid w:val="00BA4DB7"/>
    <w:rsid w:val="00BA4E9B"/>
    <w:rsid w:val="00BA509D"/>
    <w:rsid w:val="00BA52AE"/>
    <w:rsid w:val="00BA5F54"/>
    <w:rsid w:val="00BA629A"/>
    <w:rsid w:val="00BA6422"/>
    <w:rsid w:val="00BA694A"/>
    <w:rsid w:val="00BA69D6"/>
    <w:rsid w:val="00BA7432"/>
    <w:rsid w:val="00BA74AD"/>
    <w:rsid w:val="00BA759A"/>
    <w:rsid w:val="00BA7895"/>
    <w:rsid w:val="00BB045E"/>
    <w:rsid w:val="00BB04A8"/>
    <w:rsid w:val="00BB0C39"/>
    <w:rsid w:val="00BB0F61"/>
    <w:rsid w:val="00BB18A1"/>
    <w:rsid w:val="00BB1E1C"/>
    <w:rsid w:val="00BB2182"/>
    <w:rsid w:val="00BB2338"/>
    <w:rsid w:val="00BB2572"/>
    <w:rsid w:val="00BB2E88"/>
    <w:rsid w:val="00BB35D6"/>
    <w:rsid w:val="00BB56EC"/>
    <w:rsid w:val="00BB5A9E"/>
    <w:rsid w:val="00BB5B14"/>
    <w:rsid w:val="00BB609C"/>
    <w:rsid w:val="00BB6557"/>
    <w:rsid w:val="00BB66A9"/>
    <w:rsid w:val="00BB6A81"/>
    <w:rsid w:val="00BB7FD5"/>
    <w:rsid w:val="00BC09EA"/>
    <w:rsid w:val="00BC2028"/>
    <w:rsid w:val="00BC3346"/>
    <w:rsid w:val="00BC3F20"/>
    <w:rsid w:val="00BC40D3"/>
    <w:rsid w:val="00BC4667"/>
    <w:rsid w:val="00BC4676"/>
    <w:rsid w:val="00BC4B7B"/>
    <w:rsid w:val="00BC5C50"/>
    <w:rsid w:val="00BC71C8"/>
    <w:rsid w:val="00BC776E"/>
    <w:rsid w:val="00BD0054"/>
    <w:rsid w:val="00BD0474"/>
    <w:rsid w:val="00BD0891"/>
    <w:rsid w:val="00BD2C0E"/>
    <w:rsid w:val="00BD30C3"/>
    <w:rsid w:val="00BD4452"/>
    <w:rsid w:val="00BD4F8D"/>
    <w:rsid w:val="00BD554A"/>
    <w:rsid w:val="00BD5C9D"/>
    <w:rsid w:val="00BD6465"/>
    <w:rsid w:val="00BD6DB1"/>
    <w:rsid w:val="00BD7025"/>
    <w:rsid w:val="00BD7478"/>
    <w:rsid w:val="00BD7AB0"/>
    <w:rsid w:val="00BE0457"/>
    <w:rsid w:val="00BE1EC4"/>
    <w:rsid w:val="00BE4945"/>
    <w:rsid w:val="00BE4A62"/>
    <w:rsid w:val="00BE606A"/>
    <w:rsid w:val="00BE61C8"/>
    <w:rsid w:val="00BE7636"/>
    <w:rsid w:val="00BF0230"/>
    <w:rsid w:val="00BF1445"/>
    <w:rsid w:val="00BF1B87"/>
    <w:rsid w:val="00BF32CC"/>
    <w:rsid w:val="00BF3389"/>
    <w:rsid w:val="00BF3665"/>
    <w:rsid w:val="00BF49E1"/>
    <w:rsid w:val="00BF571D"/>
    <w:rsid w:val="00BF58F9"/>
    <w:rsid w:val="00BF591C"/>
    <w:rsid w:val="00BF6372"/>
    <w:rsid w:val="00C001F5"/>
    <w:rsid w:val="00C00BD8"/>
    <w:rsid w:val="00C00DDF"/>
    <w:rsid w:val="00C00F74"/>
    <w:rsid w:val="00C01A10"/>
    <w:rsid w:val="00C01A85"/>
    <w:rsid w:val="00C026BF"/>
    <w:rsid w:val="00C02FCD"/>
    <w:rsid w:val="00C0389A"/>
    <w:rsid w:val="00C0539A"/>
    <w:rsid w:val="00C05C08"/>
    <w:rsid w:val="00C05FF7"/>
    <w:rsid w:val="00C06A46"/>
    <w:rsid w:val="00C06ABE"/>
    <w:rsid w:val="00C06DFE"/>
    <w:rsid w:val="00C07849"/>
    <w:rsid w:val="00C07C94"/>
    <w:rsid w:val="00C11869"/>
    <w:rsid w:val="00C11C95"/>
    <w:rsid w:val="00C1222B"/>
    <w:rsid w:val="00C1231F"/>
    <w:rsid w:val="00C12836"/>
    <w:rsid w:val="00C12DDD"/>
    <w:rsid w:val="00C13257"/>
    <w:rsid w:val="00C13D3F"/>
    <w:rsid w:val="00C149E1"/>
    <w:rsid w:val="00C1670E"/>
    <w:rsid w:val="00C1691E"/>
    <w:rsid w:val="00C17345"/>
    <w:rsid w:val="00C21568"/>
    <w:rsid w:val="00C21AB7"/>
    <w:rsid w:val="00C22127"/>
    <w:rsid w:val="00C22885"/>
    <w:rsid w:val="00C22EE2"/>
    <w:rsid w:val="00C2325A"/>
    <w:rsid w:val="00C2404B"/>
    <w:rsid w:val="00C24E59"/>
    <w:rsid w:val="00C27D0B"/>
    <w:rsid w:val="00C27D74"/>
    <w:rsid w:val="00C30513"/>
    <w:rsid w:val="00C3129E"/>
    <w:rsid w:val="00C324DE"/>
    <w:rsid w:val="00C324EA"/>
    <w:rsid w:val="00C32908"/>
    <w:rsid w:val="00C3332E"/>
    <w:rsid w:val="00C33A60"/>
    <w:rsid w:val="00C342E5"/>
    <w:rsid w:val="00C34F95"/>
    <w:rsid w:val="00C36A85"/>
    <w:rsid w:val="00C36C15"/>
    <w:rsid w:val="00C36DAA"/>
    <w:rsid w:val="00C36E0C"/>
    <w:rsid w:val="00C401E3"/>
    <w:rsid w:val="00C4068D"/>
    <w:rsid w:val="00C41E7A"/>
    <w:rsid w:val="00C42EEB"/>
    <w:rsid w:val="00C4307E"/>
    <w:rsid w:val="00C440CE"/>
    <w:rsid w:val="00C459C0"/>
    <w:rsid w:val="00C459D8"/>
    <w:rsid w:val="00C46151"/>
    <w:rsid w:val="00C462FD"/>
    <w:rsid w:val="00C4661B"/>
    <w:rsid w:val="00C46862"/>
    <w:rsid w:val="00C473E9"/>
    <w:rsid w:val="00C47AF6"/>
    <w:rsid w:val="00C47F4F"/>
    <w:rsid w:val="00C50A51"/>
    <w:rsid w:val="00C50B53"/>
    <w:rsid w:val="00C51320"/>
    <w:rsid w:val="00C51C0A"/>
    <w:rsid w:val="00C51E2D"/>
    <w:rsid w:val="00C51E9C"/>
    <w:rsid w:val="00C52563"/>
    <w:rsid w:val="00C527A7"/>
    <w:rsid w:val="00C52EB4"/>
    <w:rsid w:val="00C53CED"/>
    <w:rsid w:val="00C54A3A"/>
    <w:rsid w:val="00C55DA6"/>
    <w:rsid w:val="00C55DBA"/>
    <w:rsid w:val="00C5627F"/>
    <w:rsid w:val="00C56CF6"/>
    <w:rsid w:val="00C5771E"/>
    <w:rsid w:val="00C60143"/>
    <w:rsid w:val="00C6098A"/>
    <w:rsid w:val="00C61106"/>
    <w:rsid w:val="00C62E34"/>
    <w:rsid w:val="00C6393E"/>
    <w:rsid w:val="00C639FB"/>
    <w:rsid w:val="00C64171"/>
    <w:rsid w:val="00C6492E"/>
    <w:rsid w:val="00C65597"/>
    <w:rsid w:val="00C66035"/>
    <w:rsid w:val="00C662B5"/>
    <w:rsid w:val="00C67790"/>
    <w:rsid w:val="00C677A0"/>
    <w:rsid w:val="00C67CD3"/>
    <w:rsid w:val="00C70DCF"/>
    <w:rsid w:val="00C711F2"/>
    <w:rsid w:val="00C7223E"/>
    <w:rsid w:val="00C722D6"/>
    <w:rsid w:val="00C72754"/>
    <w:rsid w:val="00C728E4"/>
    <w:rsid w:val="00C72D1C"/>
    <w:rsid w:val="00C73403"/>
    <w:rsid w:val="00C74013"/>
    <w:rsid w:val="00C74338"/>
    <w:rsid w:val="00C74742"/>
    <w:rsid w:val="00C75A2F"/>
    <w:rsid w:val="00C763BD"/>
    <w:rsid w:val="00C76F94"/>
    <w:rsid w:val="00C7771B"/>
    <w:rsid w:val="00C77A06"/>
    <w:rsid w:val="00C77D9D"/>
    <w:rsid w:val="00C80B0B"/>
    <w:rsid w:val="00C80F2D"/>
    <w:rsid w:val="00C8120E"/>
    <w:rsid w:val="00C81863"/>
    <w:rsid w:val="00C83E5B"/>
    <w:rsid w:val="00C83EFC"/>
    <w:rsid w:val="00C85196"/>
    <w:rsid w:val="00C86B55"/>
    <w:rsid w:val="00C86CD8"/>
    <w:rsid w:val="00C87680"/>
    <w:rsid w:val="00C9060E"/>
    <w:rsid w:val="00C91F6C"/>
    <w:rsid w:val="00C922B8"/>
    <w:rsid w:val="00C92610"/>
    <w:rsid w:val="00C92CF1"/>
    <w:rsid w:val="00C9333E"/>
    <w:rsid w:val="00C9350A"/>
    <w:rsid w:val="00C94E63"/>
    <w:rsid w:val="00C953D6"/>
    <w:rsid w:val="00C9547D"/>
    <w:rsid w:val="00C95C65"/>
    <w:rsid w:val="00C962EE"/>
    <w:rsid w:val="00C96901"/>
    <w:rsid w:val="00C96BFA"/>
    <w:rsid w:val="00C97D5A"/>
    <w:rsid w:val="00CA1B3E"/>
    <w:rsid w:val="00CA1CE2"/>
    <w:rsid w:val="00CA1D6E"/>
    <w:rsid w:val="00CA37D9"/>
    <w:rsid w:val="00CA3F66"/>
    <w:rsid w:val="00CA4D16"/>
    <w:rsid w:val="00CA5204"/>
    <w:rsid w:val="00CA673A"/>
    <w:rsid w:val="00CA6C8C"/>
    <w:rsid w:val="00CB032C"/>
    <w:rsid w:val="00CB0498"/>
    <w:rsid w:val="00CB0B21"/>
    <w:rsid w:val="00CB2C58"/>
    <w:rsid w:val="00CB2DB1"/>
    <w:rsid w:val="00CB345A"/>
    <w:rsid w:val="00CB3874"/>
    <w:rsid w:val="00CB3E7E"/>
    <w:rsid w:val="00CB4D61"/>
    <w:rsid w:val="00CB50B1"/>
    <w:rsid w:val="00CB5EA9"/>
    <w:rsid w:val="00CB7515"/>
    <w:rsid w:val="00CC01C6"/>
    <w:rsid w:val="00CC119C"/>
    <w:rsid w:val="00CC1C63"/>
    <w:rsid w:val="00CC209D"/>
    <w:rsid w:val="00CC23FA"/>
    <w:rsid w:val="00CC4088"/>
    <w:rsid w:val="00CC42D2"/>
    <w:rsid w:val="00CC44C1"/>
    <w:rsid w:val="00CC4D97"/>
    <w:rsid w:val="00CC56C3"/>
    <w:rsid w:val="00CC6C5B"/>
    <w:rsid w:val="00CC6FBD"/>
    <w:rsid w:val="00CC7207"/>
    <w:rsid w:val="00CC7E27"/>
    <w:rsid w:val="00CD0470"/>
    <w:rsid w:val="00CD0955"/>
    <w:rsid w:val="00CD1401"/>
    <w:rsid w:val="00CD172C"/>
    <w:rsid w:val="00CD18F3"/>
    <w:rsid w:val="00CD1AE8"/>
    <w:rsid w:val="00CD256B"/>
    <w:rsid w:val="00CD2EAD"/>
    <w:rsid w:val="00CD3A23"/>
    <w:rsid w:val="00CD3E1A"/>
    <w:rsid w:val="00CD400B"/>
    <w:rsid w:val="00CD4253"/>
    <w:rsid w:val="00CD4631"/>
    <w:rsid w:val="00CD4674"/>
    <w:rsid w:val="00CD520D"/>
    <w:rsid w:val="00CD5E78"/>
    <w:rsid w:val="00CD620A"/>
    <w:rsid w:val="00CD6333"/>
    <w:rsid w:val="00CD6B54"/>
    <w:rsid w:val="00CD6CA2"/>
    <w:rsid w:val="00CD6CFB"/>
    <w:rsid w:val="00CD6F38"/>
    <w:rsid w:val="00CD722E"/>
    <w:rsid w:val="00CE0493"/>
    <w:rsid w:val="00CE053B"/>
    <w:rsid w:val="00CE1532"/>
    <w:rsid w:val="00CE1D80"/>
    <w:rsid w:val="00CE4538"/>
    <w:rsid w:val="00CE4692"/>
    <w:rsid w:val="00CE5B92"/>
    <w:rsid w:val="00CE5B93"/>
    <w:rsid w:val="00CE647C"/>
    <w:rsid w:val="00CE6641"/>
    <w:rsid w:val="00CE677F"/>
    <w:rsid w:val="00CE7BF0"/>
    <w:rsid w:val="00CE7D45"/>
    <w:rsid w:val="00CE7F38"/>
    <w:rsid w:val="00CF0101"/>
    <w:rsid w:val="00CF04FE"/>
    <w:rsid w:val="00CF070C"/>
    <w:rsid w:val="00CF28F6"/>
    <w:rsid w:val="00CF2BFA"/>
    <w:rsid w:val="00CF305C"/>
    <w:rsid w:val="00CF4033"/>
    <w:rsid w:val="00CF4DC1"/>
    <w:rsid w:val="00CF5447"/>
    <w:rsid w:val="00CF577B"/>
    <w:rsid w:val="00CF5D09"/>
    <w:rsid w:val="00CF5F25"/>
    <w:rsid w:val="00CF7574"/>
    <w:rsid w:val="00D004AA"/>
    <w:rsid w:val="00D007FA"/>
    <w:rsid w:val="00D01339"/>
    <w:rsid w:val="00D02BCC"/>
    <w:rsid w:val="00D0437F"/>
    <w:rsid w:val="00D043EE"/>
    <w:rsid w:val="00D04A41"/>
    <w:rsid w:val="00D04D22"/>
    <w:rsid w:val="00D05248"/>
    <w:rsid w:val="00D0536E"/>
    <w:rsid w:val="00D0577B"/>
    <w:rsid w:val="00D05EE5"/>
    <w:rsid w:val="00D05F54"/>
    <w:rsid w:val="00D064C8"/>
    <w:rsid w:val="00D07B33"/>
    <w:rsid w:val="00D11186"/>
    <w:rsid w:val="00D11F4D"/>
    <w:rsid w:val="00D12A70"/>
    <w:rsid w:val="00D130B4"/>
    <w:rsid w:val="00D13A6E"/>
    <w:rsid w:val="00D13DC5"/>
    <w:rsid w:val="00D13DC6"/>
    <w:rsid w:val="00D1438E"/>
    <w:rsid w:val="00D15D98"/>
    <w:rsid w:val="00D16C0C"/>
    <w:rsid w:val="00D170D1"/>
    <w:rsid w:val="00D17BC9"/>
    <w:rsid w:val="00D17E0C"/>
    <w:rsid w:val="00D22968"/>
    <w:rsid w:val="00D229D7"/>
    <w:rsid w:val="00D22AC0"/>
    <w:rsid w:val="00D23A1D"/>
    <w:rsid w:val="00D2593C"/>
    <w:rsid w:val="00D25D4A"/>
    <w:rsid w:val="00D261B3"/>
    <w:rsid w:val="00D26670"/>
    <w:rsid w:val="00D26AE6"/>
    <w:rsid w:val="00D26B11"/>
    <w:rsid w:val="00D320AB"/>
    <w:rsid w:val="00D322B7"/>
    <w:rsid w:val="00D33252"/>
    <w:rsid w:val="00D33D76"/>
    <w:rsid w:val="00D33F94"/>
    <w:rsid w:val="00D34964"/>
    <w:rsid w:val="00D35741"/>
    <w:rsid w:val="00D357DF"/>
    <w:rsid w:val="00D3589F"/>
    <w:rsid w:val="00D37AF8"/>
    <w:rsid w:val="00D401A3"/>
    <w:rsid w:val="00D41BB4"/>
    <w:rsid w:val="00D42462"/>
    <w:rsid w:val="00D431F2"/>
    <w:rsid w:val="00D43F45"/>
    <w:rsid w:val="00D44114"/>
    <w:rsid w:val="00D4464B"/>
    <w:rsid w:val="00D45490"/>
    <w:rsid w:val="00D465D3"/>
    <w:rsid w:val="00D46AEF"/>
    <w:rsid w:val="00D4704F"/>
    <w:rsid w:val="00D47BCF"/>
    <w:rsid w:val="00D51B41"/>
    <w:rsid w:val="00D51E8E"/>
    <w:rsid w:val="00D52214"/>
    <w:rsid w:val="00D524A3"/>
    <w:rsid w:val="00D52A6C"/>
    <w:rsid w:val="00D53272"/>
    <w:rsid w:val="00D5471D"/>
    <w:rsid w:val="00D54A0E"/>
    <w:rsid w:val="00D5577C"/>
    <w:rsid w:val="00D55FEC"/>
    <w:rsid w:val="00D56003"/>
    <w:rsid w:val="00D56F1E"/>
    <w:rsid w:val="00D57301"/>
    <w:rsid w:val="00D5735E"/>
    <w:rsid w:val="00D57386"/>
    <w:rsid w:val="00D6041E"/>
    <w:rsid w:val="00D60480"/>
    <w:rsid w:val="00D6131A"/>
    <w:rsid w:val="00D62228"/>
    <w:rsid w:val="00D62315"/>
    <w:rsid w:val="00D626B5"/>
    <w:rsid w:val="00D629AD"/>
    <w:rsid w:val="00D62BD1"/>
    <w:rsid w:val="00D62C75"/>
    <w:rsid w:val="00D6633D"/>
    <w:rsid w:val="00D7000B"/>
    <w:rsid w:val="00D70F63"/>
    <w:rsid w:val="00D725EE"/>
    <w:rsid w:val="00D73B7F"/>
    <w:rsid w:val="00D73FB3"/>
    <w:rsid w:val="00D74838"/>
    <w:rsid w:val="00D7491C"/>
    <w:rsid w:val="00D74CDD"/>
    <w:rsid w:val="00D753F2"/>
    <w:rsid w:val="00D75F38"/>
    <w:rsid w:val="00D7631B"/>
    <w:rsid w:val="00D773BC"/>
    <w:rsid w:val="00D775D6"/>
    <w:rsid w:val="00D80838"/>
    <w:rsid w:val="00D80CCC"/>
    <w:rsid w:val="00D81297"/>
    <w:rsid w:val="00D81AD1"/>
    <w:rsid w:val="00D81F00"/>
    <w:rsid w:val="00D823B6"/>
    <w:rsid w:val="00D8256B"/>
    <w:rsid w:val="00D82DD2"/>
    <w:rsid w:val="00D84CBE"/>
    <w:rsid w:val="00D850D4"/>
    <w:rsid w:val="00D858D5"/>
    <w:rsid w:val="00D900FC"/>
    <w:rsid w:val="00D912F2"/>
    <w:rsid w:val="00D9221D"/>
    <w:rsid w:val="00D92D09"/>
    <w:rsid w:val="00D93C66"/>
    <w:rsid w:val="00D94056"/>
    <w:rsid w:val="00D9534F"/>
    <w:rsid w:val="00D9576F"/>
    <w:rsid w:val="00D9667F"/>
    <w:rsid w:val="00D96A12"/>
    <w:rsid w:val="00D96F21"/>
    <w:rsid w:val="00DA00B0"/>
    <w:rsid w:val="00DA03FF"/>
    <w:rsid w:val="00DA0476"/>
    <w:rsid w:val="00DA435F"/>
    <w:rsid w:val="00DA44CB"/>
    <w:rsid w:val="00DA4F37"/>
    <w:rsid w:val="00DA600A"/>
    <w:rsid w:val="00DA6D74"/>
    <w:rsid w:val="00DA7B7C"/>
    <w:rsid w:val="00DA7CD0"/>
    <w:rsid w:val="00DB0CA6"/>
    <w:rsid w:val="00DB2624"/>
    <w:rsid w:val="00DB2748"/>
    <w:rsid w:val="00DB29F9"/>
    <w:rsid w:val="00DB2D6F"/>
    <w:rsid w:val="00DB3008"/>
    <w:rsid w:val="00DB345F"/>
    <w:rsid w:val="00DB4634"/>
    <w:rsid w:val="00DB4A32"/>
    <w:rsid w:val="00DB5271"/>
    <w:rsid w:val="00DB5899"/>
    <w:rsid w:val="00DC090F"/>
    <w:rsid w:val="00DC142C"/>
    <w:rsid w:val="00DC3179"/>
    <w:rsid w:val="00DC33CA"/>
    <w:rsid w:val="00DC3DEA"/>
    <w:rsid w:val="00DC3F8B"/>
    <w:rsid w:val="00DC4DDE"/>
    <w:rsid w:val="00DC5165"/>
    <w:rsid w:val="00DC522C"/>
    <w:rsid w:val="00DC5AC3"/>
    <w:rsid w:val="00DC5EBE"/>
    <w:rsid w:val="00DC67F3"/>
    <w:rsid w:val="00DC6969"/>
    <w:rsid w:val="00DC6A4B"/>
    <w:rsid w:val="00DC6ACD"/>
    <w:rsid w:val="00DC6DE2"/>
    <w:rsid w:val="00DC7C53"/>
    <w:rsid w:val="00DC7FBE"/>
    <w:rsid w:val="00DD0B31"/>
    <w:rsid w:val="00DD0CA8"/>
    <w:rsid w:val="00DD1276"/>
    <w:rsid w:val="00DD16B9"/>
    <w:rsid w:val="00DD18B5"/>
    <w:rsid w:val="00DD1BD4"/>
    <w:rsid w:val="00DD209F"/>
    <w:rsid w:val="00DD254C"/>
    <w:rsid w:val="00DD2F89"/>
    <w:rsid w:val="00DD31C8"/>
    <w:rsid w:val="00DD3581"/>
    <w:rsid w:val="00DD3C39"/>
    <w:rsid w:val="00DD3DFE"/>
    <w:rsid w:val="00DD3DFF"/>
    <w:rsid w:val="00DD580F"/>
    <w:rsid w:val="00DD5868"/>
    <w:rsid w:val="00DD5B17"/>
    <w:rsid w:val="00DD6943"/>
    <w:rsid w:val="00DD722B"/>
    <w:rsid w:val="00DD7B17"/>
    <w:rsid w:val="00DE0237"/>
    <w:rsid w:val="00DE17C1"/>
    <w:rsid w:val="00DE19D6"/>
    <w:rsid w:val="00DE2933"/>
    <w:rsid w:val="00DE3735"/>
    <w:rsid w:val="00DE435A"/>
    <w:rsid w:val="00DE4427"/>
    <w:rsid w:val="00DE4E69"/>
    <w:rsid w:val="00DE5B94"/>
    <w:rsid w:val="00DE5D5B"/>
    <w:rsid w:val="00DE5E33"/>
    <w:rsid w:val="00DE799C"/>
    <w:rsid w:val="00DE7C88"/>
    <w:rsid w:val="00DF0AA9"/>
    <w:rsid w:val="00DF29D2"/>
    <w:rsid w:val="00DF2DF1"/>
    <w:rsid w:val="00DF3159"/>
    <w:rsid w:val="00DF338B"/>
    <w:rsid w:val="00DF3DFE"/>
    <w:rsid w:val="00DF4186"/>
    <w:rsid w:val="00DF4596"/>
    <w:rsid w:val="00DF570E"/>
    <w:rsid w:val="00DF5E56"/>
    <w:rsid w:val="00DF616B"/>
    <w:rsid w:val="00DF74DA"/>
    <w:rsid w:val="00DF7D92"/>
    <w:rsid w:val="00E004DC"/>
    <w:rsid w:val="00E00866"/>
    <w:rsid w:val="00E00900"/>
    <w:rsid w:val="00E0108F"/>
    <w:rsid w:val="00E0138D"/>
    <w:rsid w:val="00E0231C"/>
    <w:rsid w:val="00E0260D"/>
    <w:rsid w:val="00E031C5"/>
    <w:rsid w:val="00E037EF"/>
    <w:rsid w:val="00E0537C"/>
    <w:rsid w:val="00E05928"/>
    <w:rsid w:val="00E07929"/>
    <w:rsid w:val="00E1071E"/>
    <w:rsid w:val="00E108B1"/>
    <w:rsid w:val="00E10DDD"/>
    <w:rsid w:val="00E11368"/>
    <w:rsid w:val="00E11C34"/>
    <w:rsid w:val="00E124D1"/>
    <w:rsid w:val="00E13841"/>
    <w:rsid w:val="00E1398C"/>
    <w:rsid w:val="00E13CCC"/>
    <w:rsid w:val="00E14852"/>
    <w:rsid w:val="00E14D97"/>
    <w:rsid w:val="00E15D12"/>
    <w:rsid w:val="00E20594"/>
    <w:rsid w:val="00E20FF5"/>
    <w:rsid w:val="00E211B3"/>
    <w:rsid w:val="00E216EE"/>
    <w:rsid w:val="00E21712"/>
    <w:rsid w:val="00E22D22"/>
    <w:rsid w:val="00E2340A"/>
    <w:rsid w:val="00E238A7"/>
    <w:rsid w:val="00E24626"/>
    <w:rsid w:val="00E247A8"/>
    <w:rsid w:val="00E300FC"/>
    <w:rsid w:val="00E315FB"/>
    <w:rsid w:val="00E31B97"/>
    <w:rsid w:val="00E32B08"/>
    <w:rsid w:val="00E3427C"/>
    <w:rsid w:val="00E347BA"/>
    <w:rsid w:val="00E35333"/>
    <w:rsid w:val="00E35E62"/>
    <w:rsid w:val="00E36375"/>
    <w:rsid w:val="00E3735E"/>
    <w:rsid w:val="00E4030B"/>
    <w:rsid w:val="00E43E08"/>
    <w:rsid w:val="00E4527D"/>
    <w:rsid w:val="00E45363"/>
    <w:rsid w:val="00E457F6"/>
    <w:rsid w:val="00E45EAC"/>
    <w:rsid w:val="00E46D89"/>
    <w:rsid w:val="00E46F85"/>
    <w:rsid w:val="00E5000A"/>
    <w:rsid w:val="00E512DA"/>
    <w:rsid w:val="00E522BD"/>
    <w:rsid w:val="00E524A7"/>
    <w:rsid w:val="00E52A0A"/>
    <w:rsid w:val="00E5301B"/>
    <w:rsid w:val="00E532F0"/>
    <w:rsid w:val="00E53512"/>
    <w:rsid w:val="00E55173"/>
    <w:rsid w:val="00E55549"/>
    <w:rsid w:val="00E55560"/>
    <w:rsid w:val="00E55A51"/>
    <w:rsid w:val="00E56B4D"/>
    <w:rsid w:val="00E56CDD"/>
    <w:rsid w:val="00E57DD2"/>
    <w:rsid w:val="00E615FE"/>
    <w:rsid w:val="00E6193C"/>
    <w:rsid w:val="00E61FF8"/>
    <w:rsid w:val="00E62378"/>
    <w:rsid w:val="00E62EC6"/>
    <w:rsid w:val="00E631A5"/>
    <w:rsid w:val="00E64313"/>
    <w:rsid w:val="00E64EAA"/>
    <w:rsid w:val="00E652E0"/>
    <w:rsid w:val="00E65701"/>
    <w:rsid w:val="00E6670D"/>
    <w:rsid w:val="00E703F7"/>
    <w:rsid w:val="00E71D34"/>
    <w:rsid w:val="00E727FB"/>
    <w:rsid w:val="00E73058"/>
    <w:rsid w:val="00E73804"/>
    <w:rsid w:val="00E744F6"/>
    <w:rsid w:val="00E74751"/>
    <w:rsid w:val="00E75F28"/>
    <w:rsid w:val="00E77C4E"/>
    <w:rsid w:val="00E805DA"/>
    <w:rsid w:val="00E80E17"/>
    <w:rsid w:val="00E816DA"/>
    <w:rsid w:val="00E81DCC"/>
    <w:rsid w:val="00E821BC"/>
    <w:rsid w:val="00E83114"/>
    <w:rsid w:val="00E8349B"/>
    <w:rsid w:val="00E83A2F"/>
    <w:rsid w:val="00E84FB6"/>
    <w:rsid w:val="00E8525F"/>
    <w:rsid w:val="00E85488"/>
    <w:rsid w:val="00E85502"/>
    <w:rsid w:val="00E8591A"/>
    <w:rsid w:val="00E85ED3"/>
    <w:rsid w:val="00E8612C"/>
    <w:rsid w:val="00E867DC"/>
    <w:rsid w:val="00E86A1C"/>
    <w:rsid w:val="00E86D64"/>
    <w:rsid w:val="00E873FE"/>
    <w:rsid w:val="00E90F19"/>
    <w:rsid w:val="00E90FE2"/>
    <w:rsid w:val="00E9141C"/>
    <w:rsid w:val="00E91F23"/>
    <w:rsid w:val="00E922D6"/>
    <w:rsid w:val="00E92C19"/>
    <w:rsid w:val="00E93F9D"/>
    <w:rsid w:val="00E9524C"/>
    <w:rsid w:val="00E95379"/>
    <w:rsid w:val="00E95C2D"/>
    <w:rsid w:val="00E95EF9"/>
    <w:rsid w:val="00E96400"/>
    <w:rsid w:val="00E96475"/>
    <w:rsid w:val="00E96B24"/>
    <w:rsid w:val="00E976FA"/>
    <w:rsid w:val="00E979DB"/>
    <w:rsid w:val="00E97D85"/>
    <w:rsid w:val="00EA01DC"/>
    <w:rsid w:val="00EA20A4"/>
    <w:rsid w:val="00EA3443"/>
    <w:rsid w:val="00EA38E8"/>
    <w:rsid w:val="00EA417A"/>
    <w:rsid w:val="00EA41A8"/>
    <w:rsid w:val="00EA42B3"/>
    <w:rsid w:val="00EA52ED"/>
    <w:rsid w:val="00EA53CC"/>
    <w:rsid w:val="00EA5D84"/>
    <w:rsid w:val="00EA6957"/>
    <w:rsid w:val="00EA6A5F"/>
    <w:rsid w:val="00EA7475"/>
    <w:rsid w:val="00EA74BF"/>
    <w:rsid w:val="00EB0A46"/>
    <w:rsid w:val="00EB1F46"/>
    <w:rsid w:val="00EB22F3"/>
    <w:rsid w:val="00EB2344"/>
    <w:rsid w:val="00EB34D8"/>
    <w:rsid w:val="00EB3583"/>
    <w:rsid w:val="00EB364E"/>
    <w:rsid w:val="00EB3B2A"/>
    <w:rsid w:val="00EB3BFE"/>
    <w:rsid w:val="00EB3D83"/>
    <w:rsid w:val="00EB495E"/>
    <w:rsid w:val="00EB4A47"/>
    <w:rsid w:val="00EB4D0C"/>
    <w:rsid w:val="00EB52A7"/>
    <w:rsid w:val="00EB5DEE"/>
    <w:rsid w:val="00EB702F"/>
    <w:rsid w:val="00EB7B4E"/>
    <w:rsid w:val="00EB7C94"/>
    <w:rsid w:val="00EC0C60"/>
    <w:rsid w:val="00EC1D37"/>
    <w:rsid w:val="00EC1E9A"/>
    <w:rsid w:val="00EC2587"/>
    <w:rsid w:val="00EC29C1"/>
    <w:rsid w:val="00EC3ABE"/>
    <w:rsid w:val="00EC3DF4"/>
    <w:rsid w:val="00EC4476"/>
    <w:rsid w:val="00EC463E"/>
    <w:rsid w:val="00EC4AC9"/>
    <w:rsid w:val="00EC4C1A"/>
    <w:rsid w:val="00EC4E69"/>
    <w:rsid w:val="00EC51C6"/>
    <w:rsid w:val="00EC5694"/>
    <w:rsid w:val="00EC5C6B"/>
    <w:rsid w:val="00EC7707"/>
    <w:rsid w:val="00EC7A54"/>
    <w:rsid w:val="00EC7D5B"/>
    <w:rsid w:val="00ED0343"/>
    <w:rsid w:val="00ED1D51"/>
    <w:rsid w:val="00ED278C"/>
    <w:rsid w:val="00ED569C"/>
    <w:rsid w:val="00ED5DD5"/>
    <w:rsid w:val="00ED63F6"/>
    <w:rsid w:val="00ED7C88"/>
    <w:rsid w:val="00ED7D96"/>
    <w:rsid w:val="00EE12DB"/>
    <w:rsid w:val="00EE2193"/>
    <w:rsid w:val="00EE28A4"/>
    <w:rsid w:val="00EE310E"/>
    <w:rsid w:val="00EE42F8"/>
    <w:rsid w:val="00EE5292"/>
    <w:rsid w:val="00EE7053"/>
    <w:rsid w:val="00EE71CC"/>
    <w:rsid w:val="00EF07F1"/>
    <w:rsid w:val="00EF0840"/>
    <w:rsid w:val="00EF0A5F"/>
    <w:rsid w:val="00EF112C"/>
    <w:rsid w:val="00EF13ED"/>
    <w:rsid w:val="00EF1AC4"/>
    <w:rsid w:val="00EF1EEF"/>
    <w:rsid w:val="00EF3A07"/>
    <w:rsid w:val="00EF427A"/>
    <w:rsid w:val="00EF4587"/>
    <w:rsid w:val="00EF4DCD"/>
    <w:rsid w:val="00EF77F2"/>
    <w:rsid w:val="00F00BE1"/>
    <w:rsid w:val="00F0129A"/>
    <w:rsid w:val="00F01680"/>
    <w:rsid w:val="00F0335B"/>
    <w:rsid w:val="00F04C79"/>
    <w:rsid w:val="00F04F9D"/>
    <w:rsid w:val="00F05A3A"/>
    <w:rsid w:val="00F05BF7"/>
    <w:rsid w:val="00F05DD5"/>
    <w:rsid w:val="00F069C4"/>
    <w:rsid w:val="00F06CCA"/>
    <w:rsid w:val="00F06CEC"/>
    <w:rsid w:val="00F073B4"/>
    <w:rsid w:val="00F1196F"/>
    <w:rsid w:val="00F11F04"/>
    <w:rsid w:val="00F12BA9"/>
    <w:rsid w:val="00F12FCC"/>
    <w:rsid w:val="00F136F9"/>
    <w:rsid w:val="00F1390D"/>
    <w:rsid w:val="00F15474"/>
    <w:rsid w:val="00F17E22"/>
    <w:rsid w:val="00F2087A"/>
    <w:rsid w:val="00F21A57"/>
    <w:rsid w:val="00F24031"/>
    <w:rsid w:val="00F2440B"/>
    <w:rsid w:val="00F246DD"/>
    <w:rsid w:val="00F249DA"/>
    <w:rsid w:val="00F255F4"/>
    <w:rsid w:val="00F2566F"/>
    <w:rsid w:val="00F25BA1"/>
    <w:rsid w:val="00F27000"/>
    <w:rsid w:val="00F3005D"/>
    <w:rsid w:val="00F30076"/>
    <w:rsid w:val="00F30250"/>
    <w:rsid w:val="00F303CD"/>
    <w:rsid w:val="00F30513"/>
    <w:rsid w:val="00F3054A"/>
    <w:rsid w:val="00F31038"/>
    <w:rsid w:val="00F314B5"/>
    <w:rsid w:val="00F31562"/>
    <w:rsid w:val="00F322F7"/>
    <w:rsid w:val="00F32CA8"/>
    <w:rsid w:val="00F34C03"/>
    <w:rsid w:val="00F34FB5"/>
    <w:rsid w:val="00F354F6"/>
    <w:rsid w:val="00F367E1"/>
    <w:rsid w:val="00F3739D"/>
    <w:rsid w:val="00F40445"/>
    <w:rsid w:val="00F40534"/>
    <w:rsid w:val="00F40BBE"/>
    <w:rsid w:val="00F418EA"/>
    <w:rsid w:val="00F41A4A"/>
    <w:rsid w:val="00F41C82"/>
    <w:rsid w:val="00F41FC5"/>
    <w:rsid w:val="00F423A1"/>
    <w:rsid w:val="00F4296C"/>
    <w:rsid w:val="00F42A1A"/>
    <w:rsid w:val="00F42D7B"/>
    <w:rsid w:val="00F42E1F"/>
    <w:rsid w:val="00F43083"/>
    <w:rsid w:val="00F4327C"/>
    <w:rsid w:val="00F43FE7"/>
    <w:rsid w:val="00F440A3"/>
    <w:rsid w:val="00F44658"/>
    <w:rsid w:val="00F44D33"/>
    <w:rsid w:val="00F44F57"/>
    <w:rsid w:val="00F46DBC"/>
    <w:rsid w:val="00F46F3B"/>
    <w:rsid w:val="00F4715C"/>
    <w:rsid w:val="00F47EB0"/>
    <w:rsid w:val="00F50A2A"/>
    <w:rsid w:val="00F51BBB"/>
    <w:rsid w:val="00F52C4E"/>
    <w:rsid w:val="00F52CB8"/>
    <w:rsid w:val="00F52FBE"/>
    <w:rsid w:val="00F5316D"/>
    <w:rsid w:val="00F54335"/>
    <w:rsid w:val="00F548F8"/>
    <w:rsid w:val="00F54D1A"/>
    <w:rsid w:val="00F556B4"/>
    <w:rsid w:val="00F55DDC"/>
    <w:rsid w:val="00F55E7F"/>
    <w:rsid w:val="00F5651C"/>
    <w:rsid w:val="00F566E2"/>
    <w:rsid w:val="00F572C0"/>
    <w:rsid w:val="00F602F4"/>
    <w:rsid w:val="00F605F8"/>
    <w:rsid w:val="00F60B19"/>
    <w:rsid w:val="00F62176"/>
    <w:rsid w:val="00F63BC9"/>
    <w:rsid w:val="00F645AE"/>
    <w:rsid w:val="00F64F41"/>
    <w:rsid w:val="00F656B4"/>
    <w:rsid w:val="00F65B0B"/>
    <w:rsid w:val="00F65D55"/>
    <w:rsid w:val="00F660C0"/>
    <w:rsid w:val="00F672CA"/>
    <w:rsid w:val="00F700E9"/>
    <w:rsid w:val="00F705E7"/>
    <w:rsid w:val="00F706B6"/>
    <w:rsid w:val="00F70A6A"/>
    <w:rsid w:val="00F70D86"/>
    <w:rsid w:val="00F70E34"/>
    <w:rsid w:val="00F71E65"/>
    <w:rsid w:val="00F7232D"/>
    <w:rsid w:val="00F735B5"/>
    <w:rsid w:val="00F73C00"/>
    <w:rsid w:val="00F745BD"/>
    <w:rsid w:val="00F747C6"/>
    <w:rsid w:val="00F749D3"/>
    <w:rsid w:val="00F7639C"/>
    <w:rsid w:val="00F7700E"/>
    <w:rsid w:val="00F7785F"/>
    <w:rsid w:val="00F80CAC"/>
    <w:rsid w:val="00F81A16"/>
    <w:rsid w:val="00F81B51"/>
    <w:rsid w:val="00F82370"/>
    <w:rsid w:val="00F82580"/>
    <w:rsid w:val="00F82A13"/>
    <w:rsid w:val="00F833FA"/>
    <w:rsid w:val="00F83585"/>
    <w:rsid w:val="00F83769"/>
    <w:rsid w:val="00F83B8A"/>
    <w:rsid w:val="00F8431A"/>
    <w:rsid w:val="00F8449A"/>
    <w:rsid w:val="00F84EDA"/>
    <w:rsid w:val="00F85184"/>
    <w:rsid w:val="00F85BFB"/>
    <w:rsid w:val="00F86EB4"/>
    <w:rsid w:val="00F8795E"/>
    <w:rsid w:val="00F87DCB"/>
    <w:rsid w:val="00F91EBF"/>
    <w:rsid w:val="00F92CBC"/>
    <w:rsid w:val="00F95684"/>
    <w:rsid w:val="00F96A92"/>
    <w:rsid w:val="00F96EBD"/>
    <w:rsid w:val="00F97317"/>
    <w:rsid w:val="00FA0E62"/>
    <w:rsid w:val="00FA10A3"/>
    <w:rsid w:val="00FA2383"/>
    <w:rsid w:val="00FA2BA1"/>
    <w:rsid w:val="00FA3016"/>
    <w:rsid w:val="00FA378C"/>
    <w:rsid w:val="00FA382C"/>
    <w:rsid w:val="00FA544A"/>
    <w:rsid w:val="00FA5787"/>
    <w:rsid w:val="00FA57F9"/>
    <w:rsid w:val="00FA645E"/>
    <w:rsid w:val="00FA6977"/>
    <w:rsid w:val="00FA6B2B"/>
    <w:rsid w:val="00FA741C"/>
    <w:rsid w:val="00FA75D3"/>
    <w:rsid w:val="00FB05FD"/>
    <w:rsid w:val="00FB0686"/>
    <w:rsid w:val="00FB097A"/>
    <w:rsid w:val="00FB1105"/>
    <w:rsid w:val="00FB1ED6"/>
    <w:rsid w:val="00FB23C1"/>
    <w:rsid w:val="00FB27B2"/>
    <w:rsid w:val="00FB2F07"/>
    <w:rsid w:val="00FB303A"/>
    <w:rsid w:val="00FB3456"/>
    <w:rsid w:val="00FB45D9"/>
    <w:rsid w:val="00FB461F"/>
    <w:rsid w:val="00FB4AFC"/>
    <w:rsid w:val="00FB5916"/>
    <w:rsid w:val="00FB5C62"/>
    <w:rsid w:val="00FB5C90"/>
    <w:rsid w:val="00FB5EA7"/>
    <w:rsid w:val="00FB60E2"/>
    <w:rsid w:val="00FB653D"/>
    <w:rsid w:val="00FB6A99"/>
    <w:rsid w:val="00FB6FCB"/>
    <w:rsid w:val="00FB71EB"/>
    <w:rsid w:val="00FB7BFD"/>
    <w:rsid w:val="00FB7E1B"/>
    <w:rsid w:val="00FC0CB5"/>
    <w:rsid w:val="00FC0F71"/>
    <w:rsid w:val="00FC1139"/>
    <w:rsid w:val="00FC1D06"/>
    <w:rsid w:val="00FC21CD"/>
    <w:rsid w:val="00FC2277"/>
    <w:rsid w:val="00FC2E3E"/>
    <w:rsid w:val="00FC36A3"/>
    <w:rsid w:val="00FC3C03"/>
    <w:rsid w:val="00FC4381"/>
    <w:rsid w:val="00FC5384"/>
    <w:rsid w:val="00FC5526"/>
    <w:rsid w:val="00FC5596"/>
    <w:rsid w:val="00FC5860"/>
    <w:rsid w:val="00FC6472"/>
    <w:rsid w:val="00FC6B25"/>
    <w:rsid w:val="00FC73F8"/>
    <w:rsid w:val="00FD0523"/>
    <w:rsid w:val="00FD0B00"/>
    <w:rsid w:val="00FD0DE3"/>
    <w:rsid w:val="00FD16B9"/>
    <w:rsid w:val="00FD2010"/>
    <w:rsid w:val="00FD2734"/>
    <w:rsid w:val="00FD3335"/>
    <w:rsid w:val="00FD45D1"/>
    <w:rsid w:val="00FD51C9"/>
    <w:rsid w:val="00FD5DAA"/>
    <w:rsid w:val="00FD5F2F"/>
    <w:rsid w:val="00FD6EDD"/>
    <w:rsid w:val="00FD763A"/>
    <w:rsid w:val="00FE07B4"/>
    <w:rsid w:val="00FE133A"/>
    <w:rsid w:val="00FE13A6"/>
    <w:rsid w:val="00FE140D"/>
    <w:rsid w:val="00FE1999"/>
    <w:rsid w:val="00FE1C7F"/>
    <w:rsid w:val="00FE31CF"/>
    <w:rsid w:val="00FE5B42"/>
    <w:rsid w:val="00FE714A"/>
    <w:rsid w:val="00FF028A"/>
    <w:rsid w:val="00FF033D"/>
    <w:rsid w:val="00FF0897"/>
    <w:rsid w:val="00FF0D34"/>
    <w:rsid w:val="00FF0D4C"/>
    <w:rsid w:val="00FF1A0F"/>
    <w:rsid w:val="00FF224A"/>
    <w:rsid w:val="00FF3045"/>
    <w:rsid w:val="00FF38F3"/>
    <w:rsid w:val="00FF424E"/>
    <w:rsid w:val="00FF4A44"/>
    <w:rsid w:val="00FF4B3C"/>
    <w:rsid w:val="00FF52A4"/>
    <w:rsid w:val="00FF57F5"/>
    <w:rsid w:val="00FF60C6"/>
    <w:rsid w:val="00FF66E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FE291E"/>
  <w14:defaultImageDpi w14:val="0"/>
  <w15:chartTrackingRefBased/>
  <w15:docId w15:val="{58355DA0-703C-4C35-AD1D-819E8355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90A"/>
    <w:rPr>
      <w:rFonts w:ascii="Times New Roman" w:eastAsia="Times New Roman" w:hAnsi="Times New Roman"/>
      <w:sz w:val="24"/>
      <w:szCs w:val="24"/>
      <w:lang w:val="en-US" w:eastAsia="en-GB"/>
    </w:rPr>
  </w:style>
  <w:style w:type="paragraph" w:styleId="Heading1">
    <w:name w:val="heading 1"/>
    <w:next w:val="BodyText"/>
    <w:link w:val="Heading1Char"/>
    <w:autoRedefine/>
    <w:uiPriority w:val="1"/>
    <w:qFormat/>
    <w:rsid w:val="00A60248"/>
    <w:pPr>
      <w:widowControl w:val="0"/>
      <w:autoSpaceDE w:val="0"/>
      <w:autoSpaceDN w:val="0"/>
      <w:adjustRightInd w:val="0"/>
      <w:spacing w:before="391" w:after="360"/>
      <w:jc w:val="center"/>
      <w:outlineLvl w:val="0"/>
    </w:pPr>
    <w:rPr>
      <w:rFonts w:cs="Book Antiqua"/>
      <w:b/>
      <w:bCs/>
      <w:sz w:val="28"/>
      <w:szCs w:val="28"/>
      <w:lang w:val="en-US" w:eastAsia="zh-CN"/>
    </w:rPr>
  </w:style>
  <w:style w:type="paragraph" w:styleId="Heading2">
    <w:name w:val="heading 2"/>
    <w:next w:val="Normal"/>
    <w:link w:val="Heading2Char"/>
    <w:autoRedefine/>
    <w:uiPriority w:val="1"/>
    <w:qFormat/>
    <w:rsid w:val="00A60248"/>
    <w:pPr>
      <w:widowControl w:val="0"/>
      <w:autoSpaceDE w:val="0"/>
      <w:autoSpaceDN w:val="0"/>
      <w:adjustRightInd w:val="0"/>
      <w:ind w:left="20"/>
      <w:outlineLvl w:val="1"/>
    </w:pPr>
    <w:rPr>
      <w:rFonts w:cs="Arial"/>
      <w:i/>
      <w:sz w:val="22"/>
      <w:szCs w:val="25"/>
      <w:lang w:val="en-US" w:eastAsia="zh-CN"/>
    </w:rPr>
  </w:style>
  <w:style w:type="paragraph" w:styleId="Heading3">
    <w:name w:val="heading 3"/>
    <w:basedOn w:val="Normal"/>
    <w:next w:val="BodyText"/>
    <w:link w:val="Heading3Char"/>
    <w:autoRedefine/>
    <w:uiPriority w:val="9"/>
    <w:semiHidden/>
    <w:unhideWhenUsed/>
    <w:qFormat/>
    <w:rsid w:val="00A60248"/>
    <w:pPr>
      <w:keepNext/>
      <w:keepLines/>
      <w:spacing w:before="40" w:line="259" w:lineRule="auto"/>
      <w:outlineLvl w:val="2"/>
    </w:pPr>
    <w:rPr>
      <w:rFonts w:ascii="Calibri" w:eastAsia="DengXian Light"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F3A07"/>
    <w:rPr>
      <w:color w:val="808080"/>
    </w:rPr>
  </w:style>
  <w:style w:type="table" w:styleId="TableGrid">
    <w:name w:val="Table Grid"/>
    <w:basedOn w:val="TableNormal"/>
    <w:uiPriority w:val="39"/>
    <w:rsid w:val="00CC2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5596"/>
    <w:rPr>
      <w:rFonts w:ascii="Segoe UI" w:hAnsi="Segoe UI" w:cs="Segoe UI"/>
      <w:sz w:val="18"/>
      <w:szCs w:val="18"/>
    </w:rPr>
  </w:style>
  <w:style w:type="character" w:customStyle="1" w:styleId="BalloonTextChar">
    <w:name w:val="Balloon Text Char"/>
    <w:link w:val="BalloonText"/>
    <w:uiPriority w:val="99"/>
    <w:semiHidden/>
    <w:rsid w:val="00FC5596"/>
    <w:rPr>
      <w:rFonts w:ascii="Segoe UI" w:hAnsi="Segoe UI" w:cs="Segoe UI"/>
      <w:sz w:val="18"/>
      <w:szCs w:val="18"/>
    </w:rPr>
  </w:style>
  <w:style w:type="character" w:styleId="CommentReference">
    <w:name w:val="annotation reference"/>
    <w:uiPriority w:val="99"/>
    <w:semiHidden/>
    <w:unhideWhenUsed/>
    <w:rsid w:val="00237835"/>
    <w:rPr>
      <w:sz w:val="16"/>
      <w:szCs w:val="16"/>
    </w:rPr>
  </w:style>
  <w:style w:type="paragraph" w:styleId="CommentText">
    <w:name w:val="annotation text"/>
    <w:basedOn w:val="Normal"/>
    <w:link w:val="CommentTextChar"/>
    <w:uiPriority w:val="99"/>
    <w:semiHidden/>
    <w:unhideWhenUsed/>
    <w:rsid w:val="00237835"/>
    <w:rPr>
      <w:sz w:val="20"/>
      <w:szCs w:val="20"/>
    </w:rPr>
  </w:style>
  <w:style w:type="character" w:customStyle="1" w:styleId="CommentTextChar">
    <w:name w:val="Comment Text Char"/>
    <w:link w:val="CommentText"/>
    <w:uiPriority w:val="99"/>
    <w:semiHidden/>
    <w:rsid w:val="00237835"/>
    <w:rPr>
      <w:sz w:val="20"/>
      <w:szCs w:val="20"/>
    </w:rPr>
  </w:style>
  <w:style w:type="paragraph" w:styleId="CommentSubject">
    <w:name w:val="annotation subject"/>
    <w:basedOn w:val="CommentText"/>
    <w:next w:val="CommentText"/>
    <w:link w:val="CommentSubjectChar"/>
    <w:uiPriority w:val="99"/>
    <w:semiHidden/>
    <w:unhideWhenUsed/>
    <w:rsid w:val="00237835"/>
    <w:rPr>
      <w:b/>
      <w:bCs/>
    </w:rPr>
  </w:style>
  <w:style w:type="character" w:customStyle="1" w:styleId="CommentSubjectChar">
    <w:name w:val="Comment Subject Char"/>
    <w:link w:val="CommentSubject"/>
    <w:uiPriority w:val="99"/>
    <w:semiHidden/>
    <w:rsid w:val="00237835"/>
    <w:rPr>
      <w:b/>
      <w:bCs/>
      <w:sz w:val="20"/>
      <w:szCs w:val="20"/>
    </w:rPr>
  </w:style>
  <w:style w:type="paragraph" w:styleId="ListParagraph">
    <w:name w:val="List Paragraph"/>
    <w:basedOn w:val="Normal"/>
    <w:uiPriority w:val="34"/>
    <w:qFormat/>
    <w:rsid w:val="000065F7"/>
    <w:pPr>
      <w:ind w:left="720"/>
      <w:contextualSpacing/>
    </w:pPr>
  </w:style>
  <w:style w:type="paragraph" w:styleId="Header">
    <w:name w:val="header"/>
    <w:basedOn w:val="Normal"/>
    <w:link w:val="HeaderChar"/>
    <w:uiPriority w:val="99"/>
    <w:unhideWhenUsed/>
    <w:rsid w:val="006653E3"/>
    <w:pPr>
      <w:tabs>
        <w:tab w:val="center" w:pos="4320"/>
        <w:tab w:val="right" w:pos="8640"/>
      </w:tabs>
    </w:pPr>
  </w:style>
  <w:style w:type="character" w:customStyle="1" w:styleId="HeaderChar">
    <w:name w:val="Header Char"/>
    <w:basedOn w:val="DefaultParagraphFont"/>
    <w:link w:val="Header"/>
    <w:uiPriority w:val="99"/>
    <w:rsid w:val="006653E3"/>
  </w:style>
  <w:style w:type="paragraph" w:styleId="Footer">
    <w:name w:val="footer"/>
    <w:basedOn w:val="Normal"/>
    <w:link w:val="FooterChar"/>
    <w:uiPriority w:val="99"/>
    <w:unhideWhenUsed/>
    <w:rsid w:val="006653E3"/>
    <w:pPr>
      <w:tabs>
        <w:tab w:val="center" w:pos="4320"/>
        <w:tab w:val="right" w:pos="8640"/>
      </w:tabs>
    </w:pPr>
  </w:style>
  <w:style w:type="character" w:customStyle="1" w:styleId="FooterChar">
    <w:name w:val="Footer Char"/>
    <w:basedOn w:val="DefaultParagraphFont"/>
    <w:link w:val="Footer"/>
    <w:uiPriority w:val="99"/>
    <w:rsid w:val="006653E3"/>
  </w:style>
  <w:style w:type="character" w:styleId="Hyperlink">
    <w:name w:val="Hyperlink"/>
    <w:uiPriority w:val="99"/>
    <w:unhideWhenUsed/>
    <w:rsid w:val="00EE5292"/>
    <w:rPr>
      <w:color w:val="0563C1"/>
      <w:u w:val="single"/>
    </w:rPr>
  </w:style>
  <w:style w:type="character" w:customStyle="1" w:styleId="highlight">
    <w:name w:val="highlight"/>
    <w:basedOn w:val="DefaultParagraphFont"/>
    <w:rsid w:val="00DF570E"/>
  </w:style>
  <w:style w:type="paragraph" w:styleId="FootnoteText">
    <w:name w:val="footnote text"/>
    <w:basedOn w:val="Normal"/>
    <w:link w:val="FootnoteTextChar"/>
    <w:uiPriority w:val="99"/>
    <w:semiHidden/>
    <w:unhideWhenUsed/>
    <w:rsid w:val="001D4DD6"/>
    <w:rPr>
      <w:sz w:val="20"/>
      <w:szCs w:val="20"/>
    </w:rPr>
  </w:style>
  <w:style w:type="character" w:customStyle="1" w:styleId="FootnoteTextChar">
    <w:name w:val="Footnote Text Char"/>
    <w:link w:val="FootnoteText"/>
    <w:uiPriority w:val="99"/>
    <w:semiHidden/>
    <w:rsid w:val="001D4DD6"/>
    <w:rPr>
      <w:rFonts w:ascii="Times New Roman" w:eastAsia="Times New Roman" w:hAnsi="Times New Roman"/>
      <w:sz w:val="20"/>
      <w:szCs w:val="20"/>
      <w:lang w:eastAsia="en-GB"/>
    </w:rPr>
  </w:style>
  <w:style w:type="character" w:styleId="FootnoteReference">
    <w:name w:val="footnote reference"/>
    <w:uiPriority w:val="99"/>
    <w:semiHidden/>
    <w:unhideWhenUsed/>
    <w:rsid w:val="001D4DD6"/>
    <w:rPr>
      <w:vertAlign w:val="superscript"/>
    </w:rPr>
  </w:style>
  <w:style w:type="character" w:customStyle="1" w:styleId="Heading1Char">
    <w:name w:val="Heading 1 Char"/>
    <w:link w:val="Heading1"/>
    <w:uiPriority w:val="1"/>
    <w:rsid w:val="00A60248"/>
    <w:rPr>
      <w:rFonts w:cs="Book Antiqua"/>
      <w:b/>
      <w:bCs/>
      <w:sz w:val="28"/>
      <w:szCs w:val="28"/>
      <w:lang w:val="en-US"/>
    </w:rPr>
  </w:style>
  <w:style w:type="character" w:customStyle="1" w:styleId="Heading2Char">
    <w:name w:val="Heading 2 Char"/>
    <w:link w:val="Heading2"/>
    <w:uiPriority w:val="1"/>
    <w:rsid w:val="00A60248"/>
    <w:rPr>
      <w:rFonts w:cs="Arial"/>
      <w:i/>
      <w:szCs w:val="25"/>
      <w:lang w:val="en-US"/>
    </w:rPr>
  </w:style>
  <w:style w:type="character" w:customStyle="1" w:styleId="Heading3Char">
    <w:name w:val="Heading 3 Char"/>
    <w:link w:val="Heading3"/>
    <w:uiPriority w:val="9"/>
    <w:semiHidden/>
    <w:rsid w:val="00A60248"/>
    <w:rPr>
      <w:rFonts w:eastAsia="DengXian Light" w:cs="Times New Roman"/>
      <w:lang w:val="en-US"/>
    </w:rPr>
  </w:style>
  <w:style w:type="paragraph" w:styleId="BodyText">
    <w:name w:val="Body Text"/>
    <w:basedOn w:val="Normal"/>
    <w:link w:val="BodyTextChar"/>
    <w:autoRedefine/>
    <w:uiPriority w:val="1"/>
    <w:qFormat/>
    <w:rsid w:val="00A60248"/>
    <w:pPr>
      <w:widowControl w:val="0"/>
      <w:autoSpaceDE w:val="0"/>
      <w:autoSpaceDN w:val="0"/>
      <w:adjustRightInd w:val="0"/>
      <w:spacing w:before="120" w:after="120" w:line="360" w:lineRule="auto"/>
      <w:ind w:firstLine="709"/>
      <w:jc w:val="both"/>
    </w:pPr>
    <w:rPr>
      <w:rFonts w:ascii="Calibri" w:eastAsia="DengXian" w:hAnsi="Calibri" w:cs="Book Antiqua"/>
      <w:sz w:val="22"/>
      <w:szCs w:val="22"/>
      <w:lang w:eastAsia="zh-CN"/>
    </w:rPr>
  </w:style>
  <w:style w:type="character" w:customStyle="1" w:styleId="BodyTextChar">
    <w:name w:val="Body Text Char"/>
    <w:link w:val="BodyText"/>
    <w:uiPriority w:val="1"/>
    <w:rsid w:val="00A60248"/>
    <w:rPr>
      <w:rFonts w:cs="Book Antiqua"/>
      <w:lang w:val="en-US"/>
    </w:rPr>
  </w:style>
  <w:style w:type="paragraph" w:styleId="Title">
    <w:name w:val="Title"/>
    <w:basedOn w:val="Normal"/>
    <w:next w:val="Normal"/>
    <w:link w:val="TitleChar"/>
    <w:autoRedefine/>
    <w:uiPriority w:val="10"/>
    <w:qFormat/>
    <w:rsid w:val="00A60248"/>
    <w:pPr>
      <w:contextualSpacing/>
    </w:pPr>
    <w:rPr>
      <w:rFonts w:ascii="Palatino Linotype" w:eastAsia="DengXian Light" w:hAnsi="Palatino Linotype"/>
      <w:b/>
      <w:spacing w:val="-10"/>
      <w:kern w:val="28"/>
      <w:sz w:val="40"/>
      <w:szCs w:val="56"/>
      <w:lang w:eastAsia="zh-CN"/>
    </w:rPr>
  </w:style>
  <w:style w:type="character" w:customStyle="1" w:styleId="TitleChar">
    <w:name w:val="Title Char"/>
    <w:link w:val="Title"/>
    <w:uiPriority w:val="10"/>
    <w:rsid w:val="00A60248"/>
    <w:rPr>
      <w:rFonts w:ascii="Palatino Linotype" w:eastAsia="DengXian Light" w:hAnsi="Palatino Linotype" w:cs="Times New Roman"/>
      <w:b/>
      <w:spacing w:val="-10"/>
      <w:kern w:val="28"/>
      <w:sz w:val="40"/>
      <w:szCs w:val="56"/>
      <w:lang w:val="en-US"/>
    </w:rPr>
  </w:style>
  <w:style w:type="paragraph" w:styleId="NoSpacing">
    <w:name w:val="No Spacing"/>
    <w:aliases w:val="Footnotes"/>
    <w:autoRedefine/>
    <w:uiPriority w:val="1"/>
    <w:qFormat/>
    <w:rsid w:val="00A60248"/>
    <w:pPr>
      <w:jc w:val="both"/>
    </w:pPr>
    <w:rPr>
      <w:rFonts w:ascii="Times New Roman" w:hAnsi="Times New Roman"/>
      <w:szCs w:val="24"/>
      <w:lang w:val="en-US" w:eastAsia="zh-CN"/>
    </w:rPr>
  </w:style>
  <w:style w:type="character" w:styleId="Emphasis">
    <w:name w:val="Emphasis"/>
    <w:uiPriority w:val="20"/>
    <w:qFormat/>
    <w:rsid w:val="00884B7D"/>
    <w:rPr>
      <w:i/>
      <w:iCs/>
    </w:rPr>
  </w:style>
  <w:style w:type="paragraph" w:customStyle="1" w:styleId="MTDisplayEquation">
    <w:name w:val="MTDisplayEquation"/>
    <w:basedOn w:val="Normal"/>
    <w:link w:val="MTDisplayEquationChar"/>
    <w:rsid w:val="008C1128"/>
    <w:pPr>
      <w:widowControl w:val="0"/>
      <w:tabs>
        <w:tab w:val="center" w:pos="4680"/>
      </w:tabs>
      <w:autoSpaceDE w:val="0"/>
      <w:autoSpaceDN w:val="0"/>
      <w:adjustRightInd w:val="0"/>
      <w:spacing w:line="480" w:lineRule="auto"/>
      <w:jc w:val="both"/>
    </w:pPr>
    <w:rPr>
      <w:szCs w:val="20"/>
    </w:rPr>
  </w:style>
  <w:style w:type="character" w:customStyle="1" w:styleId="MTDisplayEquationChar">
    <w:name w:val="MTDisplayEquation Char"/>
    <w:link w:val="MTDisplayEquation"/>
    <w:rsid w:val="008C1128"/>
    <w:rPr>
      <w:rFonts w:ascii="Times New Roman" w:eastAsia="Times New Roman" w:hAnsi="Times New Roman"/>
      <w:sz w:val="24"/>
      <w:szCs w:val="20"/>
      <w:lang w:val="en-US" w:eastAsia="en-GB"/>
    </w:rPr>
  </w:style>
  <w:style w:type="numbering" w:customStyle="1" w:styleId="NoList1">
    <w:name w:val="No List1"/>
    <w:next w:val="NoList"/>
    <w:uiPriority w:val="99"/>
    <w:semiHidden/>
    <w:unhideWhenUsed/>
    <w:rsid w:val="00C639FB"/>
  </w:style>
  <w:style w:type="table" w:customStyle="1" w:styleId="TableGrid1">
    <w:name w:val="Table Grid1"/>
    <w:basedOn w:val="TableNormal"/>
    <w:next w:val="TableGrid"/>
    <w:uiPriority w:val="39"/>
    <w:rsid w:val="00C6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39FB"/>
  </w:style>
  <w:style w:type="character" w:styleId="FollowedHyperlink">
    <w:name w:val="FollowedHyperlink"/>
    <w:uiPriority w:val="99"/>
    <w:semiHidden/>
    <w:unhideWhenUsed/>
    <w:rsid w:val="000B75DD"/>
    <w:rPr>
      <w:color w:val="954F72"/>
      <w:u w:val="single"/>
    </w:rPr>
  </w:style>
  <w:style w:type="character" w:customStyle="1" w:styleId="st">
    <w:name w:val="st"/>
    <w:basedOn w:val="DefaultParagraphFont"/>
    <w:rsid w:val="00AC5A91"/>
  </w:style>
  <w:style w:type="character" w:styleId="Strong">
    <w:name w:val="Strong"/>
    <w:uiPriority w:val="22"/>
    <w:qFormat/>
    <w:rsid w:val="00D56F1E"/>
    <w:rPr>
      <w:b/>
      <w:bCs/>
    </w:rPr>
  </w:style>
  <w:style w:type="paragraph" w:customStyle="1" w:styleId="xmsonormal">
    <w:name w:val="x_msonormal"/>
    <w:basedOn w:val="Normal"/>
    <w:rsid w:val="006E1C0A"/>
    <w:rPr>
      <w:rFonts w:ascii="Calibri" w:eastAsia="Calibri" w:hAnsi="Calibri" w:cs="Calibri"/>
      <w:sz w:val="22"/>
      <w:szCs w:val="22"/>
      <w:lang w:val="it-IT" w:eastAsia="it-IT"/>
    </w:rPr>
  </w:style>
  <w:style w:type="character" w:styleId="UnresolvedMention">
    <w:name w:val="Unresolved Mention"/>
    <w:uiPriority w:val="99"/>
    <w:semiHidden/>
    <w:unhideWhenUsed/>
    <w:rsid w:val="001F2CDD"/>
    <w:rPr>
      <w:color w:val="605E5C"/>
      <w:shd w:val="clear" w:color="auto" w:fill="E1DFDD"/>
    </w:rPr>
  </w:style>
  <w:style w:type="paragraph" w:styleId="PlainText">
    <w:name w:val="Plain Text"/>
    <w:basedOn w:val="Normal"/>
    <w:link w:val="PlainTextChar"/>
    <w:uiPriority w:val="99"/>
    <w:unhideWhenUsed/>
    <w:rsid w:val="00DD31C8"/>
    <w:rPr>
      <w:rFonts w:ascii="Calibri" w:eastAsia="Calibri" w:hAnsi="Calibri"/>
      <w:sz w:val="22"/>
      <w:szCs w:val="21"/>
      <w:lang w:val="en-GB" w:eastAsia="en-US"/>
    </w:rPr>
  </w:style>
  <w:style w:type="character" w:customStyle="1" w:styleId="PlainTextChar">
    <w:name w:val="Plain Text Char"/>
    <w:link w:val="PlainText"/>
    <w:uiPriority w:val="99"/>
    <w:rsid w:val="00DD31C8"/>
    <w:rPr>
      <w:rFonts w:eastAsia="Calibri" w:cs="Times New Roman"/>
      <w:sz w:val="22"/>
      <w:szCs w:val="21"/>
      <w:lang w:eastAsia="en-US"/>
    </w:rPr>
  </w:style>
  <w:style w:type="paragraph" w:customStyle="1" w:styleId="Default">
    <w:name w:val="Default"/>
    <w:rsid w:val="00DD31C8"/>
    <w:pPr>
      <w:autoSpaceDE w:val="0"/>
      <w:autoSpaceDN w:val="0"/>
      <w:adjustRightInd w:val="0"/>
    </w:pPr>
    <w:rPr>
      <w:rFonts w:ascii="Times New Roman" w:eastAsia="Calibri" w:hAnsi="Times New Roman"/>
      <w:color w:val="000000"/>
      <w:sz w:val="24"/>
      <w:szCs w:val="24"/>
      <w:lang w:val="en-GB" w:eastAsia="en-US"/>
    </w:rPr>
  </w:style>
  <w:style w:type="character" w:customStyle="1" w:styleId="a">
    <w:name w:val="_"/>
    <w:rsid w:val="00181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0791">
      <w:bodyDiv w:val="1"/>
      <w:marLeft w:val="0"/>
      <w:marRight w:val="0"/>
      <w:marTop w:val="0"/>
      <w:marBottom w:val="0"/>
      <w:divBdr>
        <w:top w:val="none" w:sz="0" w:space="0" w:color="auto"/>
        <w:left w:val="none" w:sz="0" w:space="0" w:color="auto"/>
        <w:bottom w:val="none" w:sz="0" w:space="0" w:color="auto"/>
        <w:right w:val="none" w:sz="0" w:space="0" w:color="auto"/>
      </w:divBdr>
      <w:divsChild>
        <w:div w:id="398022582">
          <w:marLeft w:val="0"/>
          <w:marRight w:val="0"/>
          <w:marTop w:val="0"/>
          <w:marBottom w:val="0"/>
          <w:divBdr>
            <w:top w:val="none" w:sz="0" w:space="0" w:color="auto"/>
            <w:left w:val="none" w:sz="0" w:space="0" w:color="auto"/>
            <w:bottom w:val="none" w:sz="0" w:space="0" w:color="auto"/>
            <w:right w:val="none" w:sz="0" w:space="0" w:color="auto"/>
          </w:divBdr>
        </w:div>
        <w:div w:id="1563101669">
          <w:marLeft w:val="0"/>
          <w:marRight w:val="0"/>
          <w:marTop w:val="0"/>
          <w:marBottom w:val="0"/>
          <w:divBdr>
            <w:top w:val="none" w:sz="0" w:space="0" w:color="auto"/>
            <w:left w:val="none" w:sz="0" w:space="0" w:color="auto"/>
            <w:bottom w:val="none" w:sz="0" w:space="0" w:color="auto"/>
            <w:right w:val="none" w:sz="0" w:space="0" w:color="auto"/>
          </w:divBdr>
        </w:div>
        <w:div w:id="1786658650">
          <w:marLeft w:val="0"/>
          <w:marRight w:val="0"/>
          <w:marTop w:val="0"/>
          <w:marBottom w:val="0"/>
          <w:divBdr>
            <w:top w:val="none" w:sz="0" w:space="0" w:color="auto"/>
            <w:left w:val="none" w:sz="0" w:space="0" w:color="auto"/>
            <w:bottom w:val="none" w:sz="0" w:space="0" w:color="auto"/>
            <w:right w:val="none" w:sz="0" w:space="0" w:color="auto"/>
          </w:divBdr>
        </w:div>
        <w:div w:id="1887645872">
          <w:marLeft w:val="0"/>
          <w:marRight w:val="0"/>
          <w:marTop w:val="0"/>
          <w:marBottom w:val="0"/>
          <w:divBdr>
            <w:top w:val="none" w:sz="0" w:space="0" w:color="auto"/>
            <w:left w:val="none" w:sz="0" w:space="0" w:color="auto"/>
            <w:bottom w:val="none" w:sz="0" w:space="0" w:color="auto"/>
            <w:right w:val="none" w:sz="0" w:space="0" w:color="auto"/>
          </w:divBdr>
        </w:div>
        <w:div w:id="1919636976">
          <w:marLeft w:val="0"/>
          <w:marRight w:val="0"/>
          <w:marTop w:val="0"/>
          <w:marBottom w:val="0"/>
          <w:divBdr>
            <w:top w:val="none" w:sz="0" w:space="0" w:color="auto"/>
            <w:left w:val="none" w:sz="0" w:space="0" w:color="auto"/>
            <w:bottom w:val="none" w:sz="0" w:space="0" w:color="auto"/>
            <w:right w:val="none" w:sz="0" w:space="0" w:color="auto"/>
          </w:divBdr>
        </w:div>
        <w:div w:id="2064014245">
          <w:marLeft w:val="0"/>
          <w:marRight w:val="0"/>
          <w:marTop w:val="0"/>
          <w:marBottom w:val="0"/>
          <w:divBdr>
            <w:top w:val="none" w:sz="0" w:space="0" w:color="auto"/>
            <w:left w:val="none" w:sz="0" w:space="0" w:color="auto"/>
            <w:bottom w:val="none" w:sz="0" w:space="0" w:color="auto"/>
            <w:right w:val="none" w:sz="0" w:space="0" w:color="auto"/>
          </w:divBdr>
        </w:div>
      </w:divsChild>
    </w:div>
    <w:div w:id="120539693">
      <w:bodyDiv w:val="1"/>
      <w:marLeft w:val="0"/>
      <w:marRight w:val="0"/>
      <w:marTop w:val="0"/>
      <w:marBottom w:val="0"/>
      <w:divBdr>
        <w:top w:val="none" w:sz="0" w:space="0" w:color="auto"/>
        <w:left w:val="none" w:sz="0" w:space="0" w:color="auto"/>
        <w:bottom w:val="none" w:sz="0" w:space="0" w:color="auto"/>
        <w:right w:val="none" w:sz="0" w:space="0" w:color="auto"/>
      </w:divBdr>
    </w:div>
    <w:div w:id="152111873">
      <w:bodyDiv w:val="1"/>
      <w:marLeft w:val="0"/>
      <w:marRight w:val="0"/>
      <w:marTop w:val="0"/>
      <w:marBottom w:val="0"/>
      <w:divBdr>
        <w:top w:val="none" w:sz="0" w:space="0" w:color="auto"/>
        <w:left w:val="none" w:sz="0" w:space="0" w:color="auto"/>
        <w:bottom w:val="none" w:sz="0" w:space="0" w:color="auto"/>
        <w:right w:val="none" w:sz="0" w:space="0" w:color="auto"/>
      </w:divBdr>
      <w:divsChild>
        <w:div w:id="472676724">
          <w:marLeft w:val="0"/>
          <w:marRight w:val="0"/>
          <w:marTop w:val="0"/>
          <w:marBottom w:val="0"/>
          <w:divBdr>
            <w:top w:val="none" w:sz="0" w:space="0" w:color="auto"/>
            <w:left w:val="none" w:sz="0" w:space="0" w:color="auto"/>
            <w:bottom w:val="none" w:sz="0" w:space="0" w:color="auto"/>
            <w:right w:val="none" w:sz="0" w:space="0" w:color="auto"/>
          </w:divBdr>
        </w:div>
        <w:div w:id="638190526">
          <w:marLeft w:val="0"/>
          <w:marRight w:val="0"/>
          <w:marTop w:val="0"/>
          <w:marBottom w:val="0"/>
          <w:divBdr>
            <w:top w:val="none" w:sz="0" w:space="0" w:color="auto"/>
            <w:left w:val="none" w:sz="0" w:space="0" w:color="auto"/>
            <w:bottom w:val="none" w:sz="0" w:space="0" w:color="auto"/>
            <w:right w:val="none" w:sz="0" w:space="0" w:color="auto"/>
          </w:divBdr>
        </w:div>
      </w:divsChild>
    </w:div>
    <w:div w:id="264391501">
      <w:bodyDiv w:val="1"/>
      <w:marLeft w:val="0"/>
      <w:marRight w:val="0"/>
      <w:marTop w:val="0"/>
      <w:marBottom w:val="0"/>
      <w:divBdr>
        <w:top w:val="none" w:sz="0" w:space="0" w:color="auto"/>
        <w:left w:val="none" w:sz="0" w:space="0" w:color="auto"/>
        <w:bottom w:val="none" w:sz="0" w:space="0" w:color="auto"/>
        <w:right w:val="none" w:sz="0" w:space="0" w:color="auto"/>
      </w:divBdr>
    </w:div>
    <w:div w:id="314846101">
      <w:bodyDiv w:val="1"/>
      <w:marLeft w:val="0"/>
      <w:marRight w:val="0"/>
      <w:marTop w:val="0"/>
      <w:marBottom w:val="0"/>
      <w:divBdr>
        <w:top w:val="none" w:sz="0" w:space="0" w:color="auto"/>
        <w:left w:val="none" w:sz="0" w:space="0" w:color="auto"/>
        <w:bottom w:val="none" w:sz="0" w:space="0" w:color="auto"/>
        <w:right w:val="none" w:sz="0" w:space="0" w:color="auto"/>
      </w:divBdr>
    </w:div>
    <w:div w:id="483468449">
      <w:bodyDiv w:val="1"/>
      <w:marLeft w:val="0"/>
      <w:marRight w:val="0"/>
      <w:marTop w:val="0"/>
      <w:marBottom w:val="0"/>
      <w:divBdr>
        <w:top w:val="none" w:sz="0" w:space="0" w:color="auto"/>
        <w:left w:val="none" w:sz="0" w:space="0" w:color="auto"/>
        <w:bottom w:val="none" w:sz="0" w:space="0" w:color="auto"/>
        <w:right w:val="none" w:sz="0" w:space="0" w:color="auto"/>
      </w:divBdr>
    </w:div>
    <w:div w:id="499735420">
      <w:bodyDiv w:val="1"/>
      <w:marLeft w:val="0"/>
      <w:marRight w:val="0"/>
      <w:marTop w:val="0"/>
      <w:marBottom w:val="0"/>
      <w:divBdr>
        <w:top w:val="none" w:sz="0" w:space="0" w:color="auto"/>
        <w:left w:val="none" w:sz="0" w:space="0" w:color="auto"/>
        <w:bottom w:val="none" w:sz="0" w:space="0" w:color="auto"/>
        <w:right w:val="none" w:sz="0" w:space="0" w:color="auto"/>
      </w:divBdr>
    </w:div>
    <w:div w:id="514465078">
      <w:bodyDiv w:val="1"/>
      <w:marLeft w:val="0"/>
      <w:marRight w:val="0"/>
      <w:marTop w:val="0"/>
      <w:marBottom w:val="0"/>
      <w:divBdr>
        <w:top w:val="none" w:sz="0" w:space="0" w:color="auto"/>
        <w:left w:val="none" w:sz="0" w:space="0" w:color="auto"/>
        <w:bottom w:val="none" w:sz="0" w:space="0" w:color="auto"/>
        <w:right w:val="none" w:sz="0" w:space="0" w:color="auto"/>
      </w:divBdr>
    </w:div>
    <w:div w:id="545341305">
      <w:bodyDiv w:val="1"/>
      <w:marLeft w:val="0"/>
      <w:marRight w:val="0"/>
      <w:marTop w:val="0"/>
      <w:marBottom w:val="0"/>
      <w:divBdr>
        <w:top w:val="none" w:sz="0" w:space="0" w:color="auto"/>
        <w:left w:val="none" w:sz="0" w:space="0" w:color="auto"/>
        <w:bottom w:val="none" w:sz="0" w:space="0" w:color="auto"/>
        <w:right w:val="none" w:sz="0" w:space="0" w:color="auto"/>
      </w:divBdr>
    </w:div>
    <w:div w:id="567809735">
      <w:bodyDiv w:val="1"/>
      <w:marLeft w:val="0"/>
      <w:marRight w:val="0"/>
      <w:marTop w:val="0"/>
      <w:marBottom w:val="0"/>
      <w:divBdr>
        <w:top w:val="none" w:sz="0" w:space="0" w:color="auto"/>
        <w:left w:val="none" w:sz="0" w:space="0" w:color="auto"/>
        <w:bottom w:val="none" w:sz="0" w:space="0" w:color="auto"/>
        <w:right w:val="none" w:sz="0" w:space="0" w:color="auto"/>
      </w:divBdr>
      <w:divsChild>
        <w:div w:id="398795340">
          <w:marLeft w:val="0"/>
          <w:marRight w:val="0"/>
          <w:marTop w:val="0"/>
          <w:marBottom w:val="0"/>
          <w:divBdr>
            <w:top w:val="none" w:sz="0" w:space="0" w:color="auto"/>
            <w:left w:val="none" w:sz="0" w:space="0" w:color="auto"/>
            <w:bottom w:val="none" w:sz="0" w:space="0" w:color="auto"/>
            <w:right w:val="none" w:sz="0" w:space="0" w:color="auto"/>
          </w:divBdr>
        </w:div>
        <w:div w:id="611011590">
          <w:marLeft w:val="0"/>
          <w:marRight w:val="0"/>
          <w:marTop w:val="0"/>
          <w:marBottom w:val="0"/>
          <w:divBdr>
            <w:top w:val="none" w:sz="0" w:space="0" w:color="auto"/>
            <w:left w:val="none" w:sz="0" w:space="0" w:color="auto"/>
            <w:bottom w:val="none" w:sz="0" w:space="0" w:color="auto"/>
            <w:right w:val="none" w:sz="0" w:space="0" w:color="auto"/>
          </w:divBdr>
        </w:div>
        <w:div w:id="623584596">
          <w:marLeft w:val="0"/>
          <w:marRight w:val="0"/>
          <w:marTop w:val="0"/>
          <w:marBottom w:val="0"/>
          <w:divBdr>
            <w:top w:val="none" w:sz="0" w:space="0" w:color="auto"/>
            <w:left w:val="none" w:sz="0" w:space="0" w:color="auto"/>
            <w:bottom w:val="none" w:sz="0" w:space="0" w:color="auto"/>
            <w:right w:val="none" w:sz="0" w:space="0" w:color="auto"/>
          </w:divBdr>
        </w:div>
        <w:div w:id="1039086084">
          <w:marLeft w:val="0"/>
          <w:marRight w:val="0"/>
          <w:marTop w:val="0"/>
          <w:marBottom w:val="0"/>
          <w:divBdr>
            <w:top w:val="none" w:sz="0" w:space="0" w:color="auto"/>
            <w:left w:val="none" w:sz="0" w:space="0" w:color="auto"/>
            <w:bottom w:val="none" w:sz="0" w:space="0" w:color="auto"/>
            <w:right w:val="none" w:sz="0" w:space="0" w:color="auto"/>
          </w:divBdr>
        </w:div>
        <w:div w:id="1544753589">
          <w:marLeft w:val="0"/>
          <w:marRight w:val="0"/>
          <w:marTop w:val="0"/>
          <w:marBottom w:val="0"/>
          <w:divBdr>
            <w:top w:val="none" w:sz="0" w:space="0" w:color="auto"/>
            <w:left w:val="none" w:sz="0" w:space="0" w:color="auto"/>
            <w:bottom w:val="none" w:sz="0" w:space="0" w:color="auto"/>
            <w:right w:val="none" w:sz="0" w:space="0" w:color="auto"/>
          </w:divBdr>
        </w:div>
        <w:div w:id="1785542013">
          <w:marLeft w:val="0"/>
          <w:marRight w:val="0"/>
          <w:marTop w:val="0"/>
          <w:marBottom w:val="0"/>
          <w:divBdr>
            <w:top w:val="none" w:sz="0" w:space="0" w:color="auto"/>
            <w:left w:val="none" w:sz="0" w:space="0" w:color="auto"/>
            <w:bottom w:val="none" w:sz="0" w:space="0" w:color="auto"/>
            <w:right w:val="none" w:sz="0" w:space="0" w:color="auto"/>
          </w:divBdr>
        </w:div>
      </w:divsChild>
    </w:div>
    <w:div w:id="683164818">
      <w:bodyDiv w:val="1"/>
      <w:marLeft w:val="0"/>
      <w:marRight w:val="0"/>
      <w:marTop w:val="0"/>
      <w:marBottom w:val="0"/>
      <w:divBdr>
        <w:top w:val="none" w:sz="0" w:space="0" w:color="auto"/>
        <w:left w:val="none" w:sz="0" w:space="0" w:color="auto"/>
        <w:bottom w:val="none" w:sz="0" w:space="0" w:color="auto"/>
        <w:right w:val="none" w:sz="0" w:space="0" w:color="auto"/>
      </w:divBdr>
      <w:divsChild>
        <w:div w:id="1435591908">
          <w:marLeft w:val="0"/>
          <w:marRight w:val="0"/>
          <w:marTop w:val="0"/>
          <w:marBottom w:val="0"/>
          <w:divBdr>
            <w:top w:val="none" w:sz="0" w:space="0" w:color="auto"/>
            <w:left w:val="none" w:sz="0" w:space="0" w:color="auto"/>
            <w:bottom w:val="none" w:sz="0" w:space="0" w:color="auto"/>
            <w:right w:val="none" w:sz="0" w:space="0" w:color="auto"/>
          </w:divBdr>
          <w:divsChild>
            <w:div w:id="1592202514">
              <w:marLeft w:val="0"/>
              <w:marRight w:val="0"/>
              <w:marTop w:val="0"/>
              <w:marBottom w:val="0"/>
              <w:divBdr>
                <w:top w:val="none" w:sz="0" w:space="0" w:color="auto"/>
                <w:left w:val="none" w:sz="0" w:space="0" w:color="auto"/>
                <w:bottom w:val="none" w:sz="0" w:space="0" w:color="auto"/>
                <w:right w:val="none" w:sz="0" w:space="0" w:color="auto"/>
              </w:divBdr>
              <w:divsChild>
                <w:div w:id="1292596188">
                  <w:marLeft w:val="0"/>
                  <w:marRight w:val="0"/>
                  <w:marTop w:val="0"/>
                  <w:marBottom w:val="0"/>
                  <w:divBdr>
                    <w:top w:val="none" w:sz="0" w:space="0" w:color="auto"/>
                    <w:left w:val="none" w:sz="0" w:space="0" w:color="auto"/>
                    <w:bottom w:val="none" w:sz="0" w:space="0" w:color="auto"/>
                    <w:right w:val="none" w:sz="0" w:space="0" w:color="auto"/>
                  </w:divBdr>
                  <w:divsChild>
                    <w:div w:id="668023390">
                      <w:marLeft w:val="0"/>
                      <w:marRight w:val="0"/>
                      <w:marTop w:val="0"/>
                      <w:marBottom w:val="0"/>
                      <w:divBdr>
                        <w:top w:val="none" w:sz="0" w:space="0" w:color="auto"/>
                        <w:left w:val="none" w:sz="0" w:space="0" w:color="auto"/>
                        <w:bottom w:val="none" w:sz="0" w:space="0" w:color="auto"/>
                        <w:right w:val="none" w:sz="0" w:space="0" w:color="auto"/>
                      </w:divBdr>
                      <w:divsChild>
                        <w:div w:id="512112995">
                          <w:marLeft w:val="0"/>
                          <w:marRight w:val="0"/>
                          <w:marTop w:val="0"/>
                          <w:marBottom w:val="0"/>
                          <w:divBdr>
                            <w:top w:val="none" w:sz="0" w:space="0" w:color="auto"/>
                            <w:left w:val="none" w:sz="0" w:space="0" w:color="auto"/>
                            <w:bottom w:val="none" w:sz="0" w:space="0" w:color="auto"/>
                            <w:right w:val="none" w:sz="0" w:space="0" w:color="auto"/>
                          </w:divBdr>
                          <w:divsChild>
                            <w:div w:id="507335013">
                              <w:marLeft w:val="2250"/>
                              <w:marRight w:val="3960"/>
                              <w:marTop w:val="0"/>
                              <w:marBottom w:val="0"/>
                              <w:divBdr>
                                <w:top w:val="none" w:sz="0" w:space="0" w:color="auto"/>
                                <w:left w:val="none" w:sz="0" w:space="0" w:color="auto"/>
                                <w:bottom w:val="none" w:sz="0" w:space="0" w:color="auto"/>
                                <w:right w:val="none" w:sz="0" w:space="0" w:color="auto"/>
                              </w:divBdr>
                              <w:divsChild>
                                <w:div w:id="462232418">
                                  <w:marLeft w:val="0"/>
                                  <w:marRight w:val="0"/>
                                  <w:marTop w:val="0"/>
                                  <w:marBottom w:val="0"/>
                                  <w:divBdr>
                                    <w:top w:val="none" w:sz="0" w:space="0" w:color="auto"/>
                                    <w:left w:val="none" w:sz="0" w:space="0" w:color="auto"/>
                                    <w:bottom w:val="none" w:sz="0" w:space="0" w:color="auto"/>
                                    <w:right w:val="none" w:sz="0" w:space="0" w:color="auto"/>
                                  </w:divBdr>
                                  <w:divsChild>
                                    <w:div w:id="1488748013">
                                      <w:marLeft w:val="0"/>
                                      <w:marRight w:val="0"/>
                                      <w:marTop w:val="0"/>
                                      <w:marBottom w:val="0"/>
                                      <w:divBdr>
                                        <w:top w:val="none" w:sz="0" w:space="0" w:color="auto"/>
                                        <w:left w:val="none" w:sz="0" w:space="0" w:color="auto"/>
                                        <w:bottom w:val="none" w:sz="0" w:space="0" w:color="auto"/>
                                        <w:right w:val="none" w:sz="0" w:space="0" w:color="auto"/>
                                      </w:divBdr>
                                      <w:divsChild>
                                        <w:div w:id="1863977350">
                                          <w:marLeft w:val="0"/>
                                          <w:marRight w:val="0"/>
                                          <w:marTop w:val="0"/>
                                          <w:marBottom w:val="0"/>
                                          <w:divBdr>
                                            <w:top w:val="none" w:sz="0" w:space="0" w:color="auto"/>
                                            <w:left w:val="none" w:sz="0" w:space="0" w:color="auto"/>
                                            <w:bottom w:val="none" w:sz="0" w:space="0" w:color="auto"/>
                                            <w:right w:val="none" w:sz="0" w:space="0" w:color="auto"/>
                                          </w:divBdr>
                                          <w:divsChild>
                                            <w:div w:id="1445032207">
                                              <w:marLeft w:val="0"/>
                                              <w:marRight w:val="0"/>
                                              <w:marTop w:val="90"/>
                                              <w:marBottom w:val="0"/>
                                              <w:divBdr>
                                                <w:top w:val="none" w:sz="0" w:space="0" w:color="auto"/>
                                                <w:left w:val="none" w:sz="0" w:space="0" w:color="auto"/>
                                                <w:bottom w:val="none" w:sz="0" w:space="0" w:color="auto"/>
                                                <w:right w:val="none" w:sz="0" w:space="0" w:color="auto"/>
                                              </w:divBdr>
                                              <w:divsChild>
                                                <w:div w:id="1168129401">
                                                  <w:marLeft w:val="0"/>
                                                  <w:marRight w:val="0"/>
                                                  <w:marTop w:val="0"/>
                                                  <w:marBottom w:val="0"/>
                                                  <w:divBdr>
                                                    <w:top w:val="none" w:sz="0" w:space="0" w:color="auto"/>
                                                    <w:left w:val="none" w:sz="0" w:space="0" w:color="auto"/>
                                                    <w:bottom w:val="none" w:sz="0" w:space="0" w:color="auto"/>
                                                    <w:right w:val="none" w:sz="0" w:space="0" w:color="auto"/>
                                                  </w:divBdr>
                                                  <w:divsChild>
                                                    <w:div w:id="1505701029">
                                                      <w:marLeft w:val="0"/>
                                                      <w:marRight w:val="0"/>
                                                      <w:marTop w:val="0"/>
                                                      <w:marBottom w:val="405"/>
                                                      <w:divBdr>
                                                        <w:top w:val="none" w:sz="0" w:space="0" w:color="auto"/>
                                                        <w:left w:val="none" w:sz="0" w:space="0" w:color="auto"/>
                                                        <w:bottom w:val="none" w:sz="0" w:space="0" w:color="auto"/>
                                                        <w:right w:val="none" w:sz="0" w:space="0" w:color="auto"/>
                                                      </w:divBdr>
                                                      <w:divsChild>
                                                        <w:div w:id="307170220">
                                                          <w:marLeft w:val="0"/>
                                                          <w:marRight w:val="0"/>
                                                          <w:marTop w:val="0"/>
                                                          <w:marBottom w:val="0"/>
                                                          <w:divBdr>
                                                            <w:top w:val="none" w:sz="0" w:space="0" w:color="auto"/>
                                                            <w:left w:val="none" w:sz="0" w:space="0" w:color="auto"/>
                                                            <w:bottom w:val="none" w:sz="0" w:space="0" w:color="auto"/>
                                                            <w:right w:val="none" w:sz="0" w:space="0" w:color="auto"/>
                                                          </w:divBdr>
                                                          <w:divsChild>
                                                            <w:div w:id="1634167913">
                                                              <w:marLeft w:val="0"/>
                                                              <w:marRight w:val="0"/>
                                                              <w:marTop w:val="0"/>
                                                              <w:marBottom w:val="0"/>
                                                              <w:divBdr>
                                                                <w:top w:val="none" w:sz="0" w:space="0" w:color="auto"/>
                                                                <w:left w:val="none" w:sz="0" w:space="0" w:color="auto"/>
                                                                <w:bottom w:val="none" w:sz="0" w:space="0" w:color="auto"/>
                                                                <w:right w:val="none" w:sz="0" w:space="0" w:color="auto"/>
                                                              </w:divBdr>
                                                              <w:divsChild>
                                                                <w:div w:id="460345449">
                                                                  <w:marLeft w:val="0"/>
                                                                  <w:marRight w:val="0"/>
                                                                  <w:marTop w:val="0"/>
                                                                  <w:marBottom w:val="0"/>
                                                                  <w:divBdr>
                                                                    <w:top w:val="none" w:sz="0" w:space="0" w:color="auto"/>
                                                                    <w:left w:val="none" w:sz="0" w:space="0" w:color="auto"/>
                                                                    <w:bottom w:val="none" w:sz="0" w:space="0" w:color="auto"/>
                                                                    <w:right w:val="none" w:sz="0" w:space="0" w:color="auto"/>
                                                                  </w:divBdr>
                                                                  <w:divsChild>
                                                                    <w:div w:id="671488700">
                                                                      <w:marLeft w:val="0"/>
                                                                      <w:marRight w:val="0"/>
                                                                      <w:marTop w:val="0"/>
                                                                      <w:marBottom w:val="0"/>
                                                                      <w:divBdr>
                                                                        <w:top w:val="none" w:sz="0" w:space="0" w:color="auto"/>
                                                                        <w:left w:val="none" w:sz="0" w:space="0" w:color="auto"/>
                                                                        <w:bottom w:val="none" w:sz="0" w:space="0" w:color="auto"/>
                                                                        <w:right w:val="none" w:sz="0" w:space="0" w:color="auto"/>
                                                                      </w:divBdr>
                                                                      <w:divsChild>
                                                                        <w:div w:id="2092264530">
                                                                          <w:marLeft w:val="0"/>
                                                                          <w:marRight w:val="0"/>
                                                                          <w:marTop w:val="0"/>
                                                                          <w:marBottom w:val="0"/>
                                                                          <w:divBdr>
                                                                            <w:top w:val="none" w:sz="0" w:space="0" w:color="auto"/>
                                                                            <w:left w:val="none" w:sz="0" w:space="0" w:color="auto"/>
                                                                            <w:bottom w:val="none" w:sz="0" w:space="0" w:color="auto"/>
                                                                            <w:right w:val="none" w:sz="0" w:space="0" w:color="auto"/>
                                                                          </w:divBdr>
                                                                          <w:divsChild>
                                                                            <w:div w:id="1487017508">
                                                                              <w:marLeft w:val="0"/>
                                                                              <w:marRight w:val="0"/>
                                                                              <w:marTop w:val="0"/>
                                                                              <w:marBottom w:val="0"/>
                                                                              <w:divBdr>
                                                                                <w:top w:val="none" w:sz="0" w:space="0" w:color="auto"/>
                                                                                <w:left w:val="none" w:sz="0" w:space="0" w:color="auto"/>
                                                                                <w:bottom w:val="none" w:sz="0" w:space="0" w:color="auto"/>
                                                                                <w:right w:val="none" w:sz="0" w:space="0" w:color="auto"/>
                                                                              </w:divBdr>
                                                                              <w:divsChild>
                                                                                <w:div w:id="2069572163">
                                                                                  <w:marLeft w:val="0"/>
                                                                                  <w:marRight w:val="0"/>
                                                                                  <w:marTop w:val="0"/>
                                                                                  <w:marBottom w:val="0"/>
                                                                                  <w:divBdr>
                                                                                    <w:top w:val="none" w:sz="0" w:space="0" w:color="auto"/>
                                                                                    <w:left w:val="none" w:sz="0" w:space="0" w:color="auto"/>
                                                                                    <w:bottom w:val="none" w:sz="0" w:space="0" w:color="auto"/>
                                                                                    <w:right w:val="none" w:sz="0" w:space="0" w:color="auto"/>
                                                                                  </w:divBdr>
                                                                                  <w:divsChild>
                                                                                    <w:div w:id="327755875">
                                                                                      <w:marLeft w:val="0"/>
                                                                                      <w:marRight w:val="0"/>
                                                                                      <w:marTop w:val="0"/>
                                                                                      <w:marBottom w:val="0"/>
                                                                                      <w:divBdr>
                                                                                        <w:top w:val="none" w:sz="0" w:space="0" w:color="auto"/>
                                                                                        <w:left w:val="none" w:sz="0" w:space="0" w:color="auto"/>
                                                                                        <w:bottom w:val="none" w:sz="0" w:space="0" w:color="auto"/>
                                                                                        <w:right w:val="none" w:sz="0" w:space="0" w:color="auto"/>
                                                                                      </w:divBdr>
                                                                                      <w:divsChild>
                                                                                        <w:div w:id="599871290">
                                                                                          <w:marLeft w:val="0"/>
                                                                                          <w:marRight w:val="0"/>
                                                                                          <w:marTop w:val="0"/>
                                                                                          <w:marBottom w:val="0"/>
                                                                                          <w:divBdr>
                                                                                            <w:top w:val="none" w:sz="0" w:space="0" w:color="auto"/>
                                                                                            <w:left w:val="none" w:sz="0" w:space="0" w:color="auto"/>
                                                                                            <w:bottom w:val="none" w:sz="0" w:space="0" w:color="auto"/>
                                                                                            <w:right w:val="none" w:sz="0" w:space="0" w:color="auto"/>
                                                                                          </w:divBdr>
                                                                                          <w:divsChild>
                                                                                            <w:div w:id="563225833">
                                                                                              <w:marLeft w:val="0"/>
                                                                                              <w:marRight w:val="0"/>
                                                                                              <w:marTop w:val="0"/>
                                                                                              <w:marBottom w:val="0"/>
                                                                                              <w:divBdr>
                                                                                                <w:top w:val="none" w:sz="0" w:space="0" w:color="auto"/>
                                                                                                <w:left w:val="none" w:sz="0" w:space="0" w:color="auto"/>
                                                                                                <w:bottom w:val="none" w:sz="0" w:space="0" w:color="auto"/>
                                                                                                <w:right w:val="none" w:sz="0" w:space="0" w:color="auto"/>
                                                                                              </w:divBdr>
                                                                                              <w:divsChild>
                                                                                                <w:div w:id="1658145011">
                                                                                                  <w:marLeft w:val="0"/>
                                                                                                  <w:marRight w:val="0"/>
                                                                                                  <w:marTop w:val="0"/>
                                                                                                  <w:marBottom w:val="0"/>
                                                                                                  <w:divBdr>
                                                                                                    <w:top w:val="none" w:sz="0" w:space="0" w:color="auto"/>
                                                                                                    <w:left w:val="none" w:sz="0" w:space="0" w:color="auto"/>
                                                                                                    <w:bottom w:val="none" w:sz="0" w:space="0" w:color="auto"/>
                                                                                                    <w:right w:val="none" w:sz="0" w:space="0" w:color="auto"/>
                                                                                                  </w:divBdr>
                                                                                                  <w:divsChild>
                                                                                                    <w:div w:id="2799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6205461">
      <w:bodyDiv w:val="1"/>
      <w:marLeft w:val="0"/>
      <w:marRight w:val="0"/>
      <w:marTop w:val="0"/>
      <w:marBottom w:val="0"/>
      <w:divBdr>
        <w:top w:val="none" w:sz="0" w:space="0" w:color="auto"/>
        <w:left w:val="none" w:sz="0" w:space="0" w:color="auto"/>
        <w:bottom w:val="none" w:sz="0" w:space="0" w:color="auto"/>
        <w:right w:val="none" w:sz="0" w:space="0" w:color="auto"/>
      </w:divBdr>
    </w:div>
    <w:div w:id="719285170">
      <w:bodyDiv w:val="1"/>
      <w:marLeft w:val="0"/>
      <w:marRight w:val="0"/>
      <w:marTop w:val="0"/>
      <w:marBottom w:val="0"/>
      <w:divBdr>
        <w:top w:val="none" w:sz="0" w:space="0" w:color="auto"/>
        <w:left w:val="none" w:sz="0" w:space="0" w:color="auto"/>
        <w:bottom w:val="none" w:sz="0" w:space="0" w:color="auto"/>
        <w:right w:val="none" w:sz="0" w:space="0" w:color="auto"/>
      </w:divBdr>
    </w:div>
    <w:div w:id="727916453">
      <w:bodyDiv w:val="1"/>
      <w:marLeft w:val="0"/>
      <w:marRight w:val="0"/>
      <w:marTop w:val="0"/>
      <w:marBottom w:val="0"/>
      <w:divBdr>
        <w:top w:val="none" w:sz="0" w:space="0" w:color="auto"/>
        <w:left w:val="none" w:sz="0" w:space="0" w:color="auto"/>
        <w:bottom w:val="none" w:sz="0" w:space="0" w:color="auto"/>
        <w:right w:val="none" w:sz="0" w:space="0" w:color="auto"/>
      </w:divBdr>
    </w:div>
    <w:div w:id="790436856">
      <w:bodyDiv w:val="1"/>
      <w:marLeft w:val="0"/>
      <w:marRight w:val="0"/>
      <w:marTop w:val="0"/>
      <w:marBottom w:val="0"/>
      <w:divBdr>
        <w:top w:val="none" w:sz="0" w:space="0" w:color="auto"/>
        <w:left w:val="none" w:sz="0" w:space="0" w:color="auto"/>
        <w:bottom w:val="none" w:sz="0" w:space="0" w:color="auto"/>
        <w:right w:val="none" w:sz="0" w:space="0" w:color="auto"/>
      </w:divBdr>
    </w:div>
    <w:div w:id="911964229">
      <w:bodyDiv w:val="1"/>
      <w:marLeft w:val="0"/>
      <w:marRight w:val="0"/>
      <w:marTop w:val="0"/>
      <w:marBottom w:val="0"/>
      <w:divBdr>
        <w:top w:val="none" w:sz="0" w:space="0" w:color="auto"/>
        <w:left w:val="none" w:sz="0" w:space="0" w:color="auto"/>
        <w:bottom w:val="none" w:sz="0" w:space="0" w:color="auto"/>
        <w:right w:val="none" w:sz="0" w:space="0" w:color="auto"/>
      </w:divBdr>
      <w:divsChild>
        <w:div w:id="189418794">
          <w:marLeft w:val="0"/>
          <w:marRight w:val="0"/>
          <w:marTop w:val="0"/>
          <w:marBottom w:val="0"/>
          <w:divBdr>
            <w:top w:val="none" w:sz="0" w:space="0" w:color="auto"/>
            <w:left w:val="none" w:sz="0" w:space="0" w:color="auto"/>
            <w:bottom w:val="none" w:sz="0" w:space="0" w:color="auto"/>
            <w:right w:val="none" w:sz="0" w:space="0" w:color="auto"/>
          </w:divBdr>
        </w:div>
        <w:div w:id="501549282">
          <w:marLeft w:val="0"/>
          <w:marRight w:val="0"/>
          <w:marTop w:val="0"/>
          <w:marBottom w:val="0"/>
          <w:divBdr>
            <w:top w:val="none" w:sz="0" w:space="0" w:color="auto"/>
            <w:left w:val="none" w:sz="0" w:space="0" w:color="auto"/>
            <w:bottom w:val="none" w:sz="0" w:space="0" w:color="auto"/>
            <w:right w:val="none" w:sz="0" w:space="0" w:color="auto"/>
          </w:divBdr>
        </w:div>
        <w:div w:id="751507418">
          <w:marLeft w:val="0"/>
          <w:marRight w:val="0"/>
          <w:marTop w:val="0"/>
          <w:marBottom w:val="0"/>
          <w:divBdr>
            <w:top w:val="none" w:sz="0" w:space="0" w:color="auto"/>
            <w:left w:val="none" w:sz="0" w:space="0" w:color="auto"/>
            <w:bottom w:val="none" w:sz="0" w:space="0" w:color="auto"/>
            <w:right w:val="none" w:sz="0" w:space="0" w:color="auto"/>
          </w:divBdr>
        </w:div>
        <w:div w:id="1252200082">
          <w:marLeft w:val="0"/>
          <w:marRight w:val="0"/>
          <w:marTop w:val="0"/>
          <w:marBottom w:val="0"/>
          <w:divBdr>
            <w:top w:val="none" w:sz="0" w:space="0" w:color="auto"/>
            <w:left w:val="none" w:sz="0" w:space="0" w:color="auto"/>
            <w:bottom w:val="none" w:sz="0" w:space="0" w:color="auto"/>
            <w:right w:val="none" w:sz="0" w:space="0" w:color="auto"/>
          </w:divBdr>
        </w:div>
        <w:div w:id="1344867403">
          <w:marLeft w:val="0"/>
          <w:marRight w:val="0"/>
          <w:marTop w:val="0"/>
          <w:marBottom w:val="0"/>
          <w:divBdr>
            <w:top w:val="none" w:sz="0" w:space="0" w:color="auto"/>
            <w:left w:val="none" w:sz="0" w:space="0" w:color="auto"/>
            <w:bottom w:val="none" w:sz="0" w:space="0" w:color="auto"/>
            <w:right w:val="none" w:sz="0" w:space="0" w:color="auto"/>
          </w:divBdr>
        </w:div>
        <w:div w:id="1528061272">
          <w:marLeft w:val="0"/>
          <w:marRight w:val="0"/>
          <w:marTop w:val="0"/>
          <w:marBottom w:val="0"/>
          <w:divBdr>
            <w:top w:val="none" w:sz="0" w:space="0" w:color="auto"/>
            <w:left w:val="none" w:sz="0" w:space="0" w:color="auto"/>
            <w:bottom w:val="none" w:sz="0" w:space="0" w:color="auto"/>
            <w:right w:val="none" w:sz="0" w:space="0" w:color="auto"/>
          </w:divBdr>
        </w:div>
        <w:div w:id="1623069185">
          <w:marLeft w:val="0"/>
          <w:marRight w:val="0"/>
          <w:marTop w:val="0"/>
          <w:marBottom w:val="0"/>
          <w:divBdr>
            <w:top w:val="none" w:sz="0" w:space="0" w:color="auto"/>
            <w:left w:val="none" w:sz="0" w:space="0" w:color="auto"/>
            <w:bottom w:val="none" w:sz="0" w:space="0" w:color="auto"/>
            <w:right w:val="none" w:sz="0" w:space="0" w:color="auto"/>
          </w:divBdr>
        </w:div>
        <w:div w:id="2043244427">
          <w:marLeft w:val="0"/>
          <w:marRight w:val="0"/>
          <w:marTop w:val="0"/>
          <w:marBottom w:val="0"/>
          <w:divBdr>
            <w:top w:val="none" w:sz="0" w:space="0" w:color="auto"/>
            <w:left w:val="none" w:sz="0" w:space="0" w:color="auto"/>
            <w:bottom w:val="none" w:sz="0" w:space="0" w:color="auto"/>
            <w:right w:val="none" w:sz="0" w:space="0" w:color="auto"/>
          </w:divBdr>
        </w:div>
      </w:divsChild>
    </w:div>
    <w:div w:id="919211838">
      <w:bodyDiv w:val="1"/>
      <w:marLeft w:val="0"/>
      <w:marRight w:val="0"/>
      <w:marTop w:val="0"/>
      <w:marBottom w:val="0"/>
      <w:divBdr>
        <w:top w:val="none" w:sz="0" w:space="0" w:color="auto"/>
        <w:left w:val="none" w:sz="0" w:space="0" w:color="auto"/>
        <w:bottom w:val="none" w:sz="0" w:space="0" w:color="auto"/>
        <w:right w:val="none" w:sz="0" w:space="0" w:color="auto"/>
      </w:divBdr>
    </w:div>
    <w:div w:id="938639043">
      <w:bodyDiv w:val="1"/>
      <w:marLeft w:val="0"/>
      <w:marRight w:val="0"/>
      <w:marTop w:val="0"/>
      <w:marBottom w:val="0"/>
      <w:divBdr>
        <w:top w:val="none" w:sz="0" w:space="0" w:color="auto"/>
        <w:left w:val="none" w:sz="0" w:space="0" w:color="auto"/>
        <w:bottom w:val="none" w:sz="0" w:space="0" w:color="auto"/>
        <w:right w:val="none" w:sz="0" w:space="0" w:color="auto"/>
      </w:divBdr>
    </w:div>
    <w:div w:id="962884213">
      <w:bodyDiv w:val="1"/>
      <w:marLeft w:val="0"/>
      <w:marRight w:val="0"/>
      <w:marTop w:val="0"/>
      <w:marBottom w:val="0"/>
      <w:divBdr>
        <w:top w:val="none" w:sz="0" w:space="0" w:color="auto"/>
        <w:left w:val="none" w:sz="0" w:space="0" w:color="auto"/>
        <w:bottom w:val="none" w:sz="0" w:space="0" w:color="auto"/>
        <w:right w:val="none" w:sz="0" w:space="0" w:color="auto"/>
      </w:divBdr>
    </w:div>
    <w:div w:id="1003362855">
      <w:bodyDiv w:val="1"/>
      <w:marLeft w:val="0"/>
      <w:marRight w:val="0"/>
      <w:marTop w:val="0"/>
      <w:marBottom w:val="0"/>
      <w:divBdr>
        <w:top w:val="none" w:sz="0" w:space="0" w:color="auto"/>
        <w:left w:val="none" w:sz="0" w:space="0" w:color="auto"/>
        <w:bottom w:val="none" w:sz="0" w:space="0" w:color="auto"/>
        <w:right w:val="none" w:sz="0" w:space="0" w:color="auto"/>
      </w:divBdr>
    </w:div>
    <w:div w:id="1049762104">
      <w:bodyDiv w:val="1"/>
      <w:marLeft w:val="0"/>
      <w:marRight w:val="0"/>
      <w:marTop w:val="0"/>
      <w:marBottom w:val="0"/>
      <w:divBdr>
        <w:top w:val="none" w:sz="0" w:space="0" w:color="auto"/>
        <w:left w:val="none" w:sz="0" w:space="0" w:color="auto"/>
        <w:bottom w:val="none" w:sz="0" w:space="0" w:color="auto"/>
        <w:right w:val="none" w:sz="0" w:space="0" w:color="auto"/>
      </w:divBdr>
    </w:div>
    <w:div w:id="1061946558">
      <w:bodyDiv w:val="1"/>
      <w:marLeft w:val="0"/>
      <w:marRight w:val="0"/>
      <w:marTop w:val="0"/>
      <w:marBottom w:val="0"/>
      <w:divBdr>
        <w:top w:val="none" w:sz="0" w:space="0" w:color="auto"/>
        <w:left w:val="none" w:sz="0" w:space="0" w:color="auto"/>
        <w:bottom w:val="none" w:sz="0" w:space="0" w:color="auto"/>
        <w:right w:val="none" w:sz="0" w:space="0" w:color="auto"/>
      </w:divBdr>
    </w:div>
    <w:div w:id="1088160810">
      <w:bodyDiv w:val="1"/>
      <w:marLeft w:val="0"/>
      <w:marRight w:val="0"/>
      <w:marTop w:val="0"/>
      <w:marBottom w:val="0"/>
      <w:divBdr>
        <w:top w:val="none" w:sz="0" w:space="0" w:color="auto"/>
        <w:left w:val="none" w:sz="0" w:space="0" w:color="auto"/>
        <w:bottom w:val="none" w:sz="0" w:space="0" w:color="auto"/>
        <w:right w:val="none" w:sz="0" w:space="0" w:color="auto"/>
      </w:divBdr>
    </w:div>
    <w:div w:id="1158500476">
      <w:bodyDiv w:val="1"/>
      <w:marLeft w:val="0"/>
      <w:marRight w:val="0"/>
      <w:marTop w:val="0"/>
      <w:marBottom w:val="0"/>
      <w:divBdr>
        <w:top w:val="none" w:sz="0" w:space="0" w:color="auto"/>
        <w:left w:val="none" w:sz="0" w:space="0" w:color="auto"/>
        <w:bottom w:val="none" w:sz="0" w:space="0" w:color="auto"/>
        <w:right w:val="none" w:sz="0" w:space="0" w:color="auto"/>
      </w:divBdr>
      <w:divsChild>
        <w:div w:id="280611">
          <w:marLeft w:val="0"/>
          <w:marRight w:val="0"/>
          <w:marTop w:val="0"/>
          <w:marBottom w:val="0"/>
          <w:divBdr>
            <w:top w:val="none" w:sz="0" w:space="0" w:color="auto"/>
            <w:left w:val="none" w:sz="0" w:space="0" w:color="auto"/>
            <w:bottom w:val="none" w:sz="0" w:space="0" w:color="auto"/>
            <w:right w:val="none" w:sz="0" w:space="0" w:color="auto"/>
          </w:divBdr>
        </w:div>
        <w:div w:id="360011938">
          <w:marLeft w:val="0"/>
          <w:marRight w:val="0"/>
          <w:marTop w:val="0"/>
          <w:marBottom w:val="0"/>
          <w:divBdr>
            <w:top w:val="none" w:sz="0" w:space="0" w:color="auto"/>
            <w:left w:val="none" w:sz="0" w:space="0" w:color="auto"/>
            <w:bottom w:val="none" w:sz="0" w:space="0" w:color="auto"/>
            <w:right w:val="none" w:sz="0" w:space="0" w:color="auto"/>
          </w:divBdr>
        </w:div>
        <w:div w:id="472648703">
          <w:marLeft w:val="0"/>
          <w:marRight w:val="0"/>
          <w:marTop w:val="0"/>
          <w:marBottom w:val="0"/>
          <w:divBdr>
            <w:top w:val="none" w:sz="0" w:space="0" w:color="auto"/>
            <w:left w:val="none" w:sz="0" w:space="0" w:color="auto"/>
            <w:bottom w:val="none" w:sz="0" w:space="0" w:color="auto"/>
            <w:right w:val="none" w:sz="0" w:space="0" w:color="auto"/>
          </w:divBdr>
        </w:div>
        <w:div w:id="631862412">
          <w:marLeft w:val="0"/>
          <w:marRight w:val="0"/>
          <w:marTop w:val="0"/>
          <w:marBottom w:val="0"/>
          <w:divBdr>
            <w:top w:val="none" w:sz="0" w:space="0" w:color="auto"/>
            <w:left w:val="none" w:sz="0" w:space="0" w:color="auto"/>
            <w:bottom w:val="none" w:sz="0" w:space="0" w:color="auto"/>
            <w:right w:val="none" w:sz="0" w:space="0" w:color="auto"/>
          </w:divBdr>
        </w:div>
        <w:div w:id="654794604">
          <w:marLeft w:val="0"/>
          <w:marRight w:val="0"/>
          <w:marTop w:val="0"/>
          <w:marBottom w:val="0"/>
          <w:divBdr>
            <w:top w:val="none" w:sz="0" w:space="0" w:color="auto"/>
            <w:left w:val="none" w:sz="0" w:space="0" w:color="auto"/>
            <w:bottom w:val="none" w:sz="0" w:space="0" w:color="auto"/>
            <w:right w:val="none" w:sz="0" w:space="0" w:color="auto"/>
          </w:divBdr>
        </w:div>
        <w:div w:id="1150514185">
          <w:marLeft w:val="0"/>
          <w:marRight w:val="0"/>
          <w:marTop w:val="0"/>
          <w:marBottom w:val="0"/>
          <w:divBdr>
            <w:top w:val="none" w:sz="0" w:space="0" w:color="auto"/>
            <w:left w:val="none" w:sz="0" w:space="0" w:color="auto"/>
            <w:bottom w:val="none" w:sz="0" w:space="0" w:color="auto"/>
            <w:right w:val="none" w:sz="0" w:space="0" w:color="auto"/>
          </w:divBdr>
        </w:div>
        <w:div w:id="1165316891">
          <w:marLeft w:val="0"/>
          <w:marRight w:val="0"/>
          <w:marTop w:val="0"/>
          <w:marBottom w:val="0"/>
          <w:divBdr>
            <w:top w:val="none" w:sz="0" w:space="0" w:color="auto"/>
            <w:left w:val="none" w:sz="0" w:space="0" w:color="auto"/>
            <w:bottom w:val="none" w:sz="0" w:space="0" w:color="auto"/>
            <w:right w:val="none" w:sz="0" w:space="0" w:color="auto"/>
          </w:divBdr>
        </w:div>
        <w:div w:id="1184052814">
          <w:marLeft w:val="0"/>
          <w:marRight w:val="0"/>
          <w:marTop w:val="0"/>
          <w:marBottom w:val="0"/>
          <w:divBdr>
            <w:top w:val="none" w:sz="0" w:space="0" w:color="auto"/>
            <w:left w:val="none" w:sz="0" w:space="0" w:color="auto"/>
            <w:bottom w:val="none" w:sz="0" w:space="0" w:color="auto"/>
            <w:right w:val="none" w:sz="0" w:space="0" w:color="auto"/>
          </w:divBdr>
        </w:div>
        <w:div w:id="1302999099">
          <w:marLeft w:val="0"/>
          <w:marRight w:val="0"/>
          <w:marTop w:val="0"/>
          <w:marBottom w:val="0"/>
          <w:divBdr>
            <w:top w:val="none" w:sz="0" w:space="0" w:color="auto"/>
            <w:left w:val="none" w:sz="0" w:space="0" w:color="auto"/>
            <w:bottom w:val="none" w:sz="0" w:space="0" w:color="auto"/>
            <w:right w:val="none" w:sz="0" w:space="0" w:color="auto"/>
          </w:divBdr>
        </w:div>
        <w:div w:id="1321732907">
          <w:marLeft w:val="0"/>
          <w:marRight w:val="0"/>
          <w:marTop w:val="0"/>
          <w:marBottom w:val="0"/>
          <w:divBdr>
            <w:top w:val="none" w:sz="0" w:space="0" w:color="auto"/>
            <w:left w:val="none" w:sz="0" w:space="0" w:color="auto"/>
            <w:bottom w:val="none" w:sz="0" w:space="0" w:color="auto"/>
            <w:right w:val="none" w:sz="0" w:space="0" w:color="auto"/>
          </w:divBdr>
        </w:div>
        <w:div w:id="1614746232">
          <w:marLeft w:val="0"/>
          <w:marRight w:val="0"/>
          <w:marTop w:val="0"/>
          <w:marBottom w:val="0"/>
          <w:divBdr>
            <w:top w:val="none" w:sz="0" w:space="0" w:color="auto"/>
            <w:left w:val="none" w:sz="0" w:space="0" w:color="auto"/>
            <w:bottom w:val="none" w:sz="0" w:space="0" w:color="auto"/>
            <w:right w:val="none" w:sz="0" w:space="0" w:color="auto"/>
          </w:divBdr>
        </w:div>
        <w:div w:id="1865553221">
          <w:marLeft w:val="0"/>
          <w:marRight w:val="0"/>
          <w:marTop w:val="0"/>
          <w:marBottom w:val="0"/>
          <w:divBdr>
            <w:top w:val="none" w:sz="0" w:space="0" w:color="auto"/>
            <w:left w:val="none" w:sz="0" w:space="0" w:color="auto"/>
            <w:bottom w:val="none" w:sz="0" w:space="0" w:color="auto"/>
            <w:right w:val="none" w:sz="0" w:space="0" w:color="auto"/>
          </w:divBdr>
        </w:div>
        <w:div w:id="1917477425">
          <w:marLeft w:val="0"/>
          <w:marRight w:val="0"/>
          <w:marTop w:val="0"/>
          <w:marBottom w:val="0"/>
          <w:divBdr>
            <w:top w:val="none" w:sz="0" w:space="0" w:color="auto"/>
            <w:left w:val="none" w:sz="0" w:space="0" w:color="auto"/>
            <w:bottom w:val="none" w:sz="0" w:space="0" w:color="auto"/>
            <w:right w:val="none" w:sz="0" w:space="0" w:color="auto"/>
          </w:divBdr>
        </w:div>
        <w:div w:id="2031836406">
          <w:marLeft w:val="0"/>
          <w:marRight w:val="0"/>
          <w:marTop w:val="0"/>
          <w:marBottom w:val="0"/>
          <w:divBdr>
            <w:top w:val="none" w:sz="0" w:space="0" w:color="auto"/>
            <w:left w:val="none" w:sz="0" w:space="0" w:color="auto"/>
            <w:bottom w:val="none" w:sz="0" w:space="0" w:color="auto"/>
            <w:right w:val="none" w:sz="0" w:space="0" w:color="auto"/>
          </w:divBdr>
        </w:div>
        <w:div w:id="2064131216">
          <w:marLeft w:val="0"/>
          <w:marRight w:val="0"/>
          <w:marTop w:val="0"/>
          <w:marBottom w:val="0"/>
          <w:divBdr>
            <w:top w:val="none" w:sz="0" w:space="0" w:color="auto"/>
            <w:left w:val="none" w:sz="0" w:space="0" w:color="auto"/>
            <w:bottom w:val="none" w:sz="0" w:space="0" w:color="auto"/>
            <w:right w:val="none" w:sz="0" w:space="0" w:color="auto"/>
          </w:divBdr>
        </w:div>
      </w:divsChild>
    </w:div>
    <w:div w:id="1164205442">
      <w:bodyDiv w:val="1"/>
      <w:marLeft w:val="0"/>
      <w:marRight w:val="0"/>
      <w:marTop w:val="0"/>
      <w:marBottom w:val="0"/>
      <w:divBdr>
        <w:top w:val="none" w:sz="0" w:space="0" w:color="auto"/>
        <w:left w:val="none" w:sz="0" w:space="0" w:color="auto"/>
        <w:bottom w:val="none" w:sz="0" w:space="0" w:color="auto"/>
        <w:right w:val="none" w:sz="0" w:space="0" w:color="auto"/>
      </w:divBdr>
    </w:div>
    <w:div w:id="1261835183">
      <w:bodyDiv w:val="1"/>
      <w:marLeft w:val="0"/>
      <w:marRight w:val="0"/>
      <w:marTop w:val="0"/>
      <w:marBottom w:val="0"/>
      <w:divBdr>
        <w:top w:val="none" w:sz="0" w:space="0" w:color="auto"/>
        <w:left w:val="none" w:sz="0" w:space="0" w:color="auto"/>
        <w:bottom w:val="none" w:sz="0" w:space="0" w:color="auto"/>
        <w:right w:val="none" w:sz="0" w:space="0" w:color="auto"/>
      </w:divBdr>
      <w:divsChild>
        <w:div w:id="46416863">
          <w:marLeft w:val="0"/>
          <w:marRight w:val="0"/>
          <w:marTop w:val="0"/>
          <w:marBottom w:val="0"/>
          <w:divBdr>
            <w:top w:val="none" w:sz="0" w:space="0" w:color="auto"/>
            <w:left w:val="none" w:sz="0" w:space="0" w:color="auto"/>
            <w:bottom w:val="none" w:sz="0" w:space="0" w:color="auto"/>
            <w:right w:val="none" w:sz="0" w:space="0" w:color="auto"/>
          </w:divBdr>
        </w:div>
        <w:div w:id="76946884">
          <w:marLeft w:val="0"/>
          <w:marRight w:val="0"/>
          <w:marTop w:val="0"/>
          <w:marBottom w:val="0"/>
          <w:divBdr>
            <w:top w:val="none" w:sz="0" w:space="0" w:color="auto"/>
            <w:left w:val="none" w:sz="0" w:space="0" w:color="auto"/>
            <w:bottom w:val="none" w:sz="0" w:space="0" w:color="auto"/>
            <w:right w:val="none" w:sz="0" w:space="0" w:color="auto"/>
          </w:divBdr>
        </w:div>
      </w:divsChild>
    </w:div>
    <w:div w:id="1292320745">
      <w:bodyDiv w:val="1"/>
      <w:marLeft w:val="0"/>
      <w:marRight w:val="0"/>
      <w:marTop w:val="0"/>
      <w:marBottom w:val="0"/>
      <w:divBdr>
        <w:top w:val="none" w:sz="0" w:space="0" w:color="auto"/>
        <w:left w:val="none" w:sz="0" w:space="0" w:color="auto"/>
        <w:bottom w:val="none" w:sz="0" w:space="0" w:color="auto"/>
        <w:right w:val="none" w:sz="0" w:space="0" w:color="auto"/>
      </w:divBdr>
      <w:divsChild>
        <w:div w:id="225997003">
          <w:marLeft w:val="0"/>
          <w:marRight w:val="0"/>
          <w:marTop w:val="0"/>
          <w:marBottom w:val="0"/>
          <w:divBdr>
            <w:top w:val="none" w:sz="0" w:space="0" w:color="auto"/>
            <w:left w:val="none" w:sz="0" w:space="0" w:color="auto"/>
            <w:bottom w:val="none" w:sz="0" w:space="0" w:color="auto"/>
            <w:right w:val="none" w:sz="0" w:space="0" w:color="auto"/>
          </w:divBdr>
        </w:div>
        <w:div w:id="1344353807">
          <w:marLeft w:val="0"/>
          <w:marRight w:val="0"/>
          <w:marTop w:val="0"/>
          <w:marBottom w:val="0"/>
          <w:divBdr>
            <w:top w:val="none" w:sz="0" w:space="0" w:color="auto"/>
            <w:left w:val="none" w:sz="0" w:space="0" w:color="auto"/>
            <w:bottom w:val="none" w:sz="0" w:space="0" w:color="auto"/>
            <w:right w:val="none" w:sz="0" w:space="0" w:color="auto"/>
          </w:divBdr>
        </w:div>
        <w:div w:id="1617056060">
          <w:marLeft w:val="0"/>
          <w:marRight w:val="0"/>
          <w:marTop w:val="0"/>
          <w:marBottom w:val="0"/>
          <w:divBdr>
            <w:top w:val="none" w:sz="0" w:space="0" w:color="auto"/>
            <w:left w:val="none" w:sz="0" w:space="0" w:color="auto"/>
            <w:bottom w:val="none" w:sz="0" w:space="0" w:color="auto"/>
            <w:right w:val="none" w:sz="0" w:space="0" w:color="auto"/>
          </w:divBdr>
        </w:div>
        <w:div w:id="1664888904">
          <w:marLeft w:val="0"/>
          <w:marRight w:val="0"/>
          <w:marTop w:val="0"/>
          <w:marBottom w:val="0"/>
          <w:divBdr>
            <w:top w:val="none" w:sz="0" w:space="0" w:color="auto"/>
            <w:left w:val="none" w:sz="0" w:space="0" w:color="auto"/>
            <w:bottom w:val="none" w:sz="0" w:space="0" w:color="auto"/>
            <w:right w:val="none" w:sz="0" w:space="0" w:color="auto"/>
          </w:divBdr>
        </w:div>
        <w:div w:id="1800301528">
          <w:marLeft w:val="0"/>
          <w:marRight w:val="0"/>
          <w:marTop w:val="0"/>
          <w:marBottom w:val="0"/>
          <w:divBdr>
            <w:top w:val="none" w:sz="0" w:space="0" w:color="auto"/>
            <w:left w:val="none" w:sz="0" w:space="0" w:color="auto"/>
            <w:bottom w:val="none" w:sz="0" w:space="0" w:color="auto"/>
            <w:right w:val="none" w:sz="0" w:space="0" w:color="auto"/>
          </w:divBdr>
        </w:div>
      </w:divsChild>
    </w:div>
    <w:div w:id="1584603297">
      <w:bodyDiv w:val="1"/>
      <w:marLeft w:val="0"/>
      <w:marRight w:val="0"/>
      <w:marTop w:val="0"/>
      <w:marBottom w:val="0"/>
      <w:divBdr>
        <w:top w:val="none" w:sz="0" w:space="0" w:color="auto"/>
        <w:left w:val="none" w:sz="0" w:space="0" w:color="auto"/>
        <w:bottom w:val="none" w:sz="0" w:space="0" w:color="auto"/>
        <w:right w:val="none" w:sz="0" w:space="0" w:color="auto"/>
      </w:divBdr>
    </w:div>
    <w:div w:id="1645693390">
      <w:bodyDiv w:val="1"/>
      <w:marLeft w:val="0"/>
      <w:marRight w:val="0"/>
      <w:marTop w:val="0"/>
      <w:marBottom w:val="0"/>
      <w:divBdr>
        <w:top w:val="none" w:sz="0" w:space="0" w:color="auto"/>
        <w:left w:val="none" w:sz="0" w:space="0" w:color="auto"/>
        <w:bottom w:val="none" w:sz="0" w:space="0" w:color="auto"/>
        <w:right w:val="none" w:sz="0" w:space="0" w:color="auto"/>
      </w:divBdr>
    </w:div>
    <w:div w:id="1756894798">
      <w:bodyDiv w:val="1"/>
      <w:marLeft w:val="0"/>
      <w:marRight w:val="0"/>
      <w:marTop w:val="0"/>
      <w:marBottom w:val="0"/>
      <w:divBdr>
        <w:top w:val="none" w:sz="0" w:space="0" w:color="auto"/>
        <w:left w:val="none" w:sz="0" w:space="0" w:color="auto"/>
        <w:bottom w:val="none" w:sz="0" w:space="0" w:color="auto"/>
        <w:right w:val="none" w:sz="0" w:space="0" w:color="auto"/>
      </w:divBdr>
    </w:div>
    <w:div w:id="1787117231">
      <w:bodyDiv w:val="1"/>
      <w:marLeft w:val="0"/>
      <w:marRight w:val="0"/>
      <w:marTop w:val="0"/>
      <w:marBottom w:val="0"/>
      <w:divBdr>
        <w:top w:val="none" w:sz="0" w:space="0" w:color="auto"/>
        <w:left w:val="none" w:sz="0" w:space="0" w:color="auto"/>
        <w:bottom w:val="none" w:sz="0" w:space="0" w:color="auto"/>
        <w:right w:val="none" w:sz="0" w:space="0" w:color="auto"/>
      </w:divBdr>
    </w:div>
    <w:div w:id="1857117629">
      <w:bodyDiv w:val="1"/>
      <w:marLeft w:val="0"/>
      <w:marRight w:val="0"/>
      <w:marTop w:val="0"/>
      <w:marBottom w:val="0"/>
      <w:divBdr>
        <w:top w:val="none" w:sz="0" w:space="0" w:color="auto"/>
        <w:left w:val="none" w:sz="0" w:space="0" w:color="auto"/>
        <w:bottom w:val="none" w:sz="0" w:space="0" w:color="auto"/>
        <w:right w:val="none" w:sz="0" w:space="0" w:color="auto"/>
      </w:divBdr>
    </w:div>
    <w:div w:id="1917935140">
      <w:bodyDiv w:val="1"/>
      <w:marLeft w:val="0"/>
      <w:marRight w:val="0"/>
      <w:marTop w:val="0"/>
      <w:marBottom w:val="0"/>
      <w:divBdr>
        <w:top w:val="none" w:sz="0" w:space="0" w:color="auto"/>
        <w:left w:val="none" w:sz="0" w:space="0" w:color="auto"/>
        <w:bottom w:val="none" w:sz="0" w:space="0" w:color="auto"/>
        <w:right w:val="none" w:sz="0" w:space="0" w:color="auto"/>
      </w:divBdr>
    </w:div>
    <w:div w:id="1946226114">
      <w:bodyDiv w:val="1"/>
      <w:marLeft w:val="0"/>
      <w:marRight w:val="0"/>
      <w:marTop w:val="0"/>
      <w:marBottom w:val="0"/>
      <w:divBdr>
        <w:top w:val="none" w:sz="0" w:space="0" w:color="auto"/>
        <w:left w:val="none" w:sz="0" w:space="0" w:color="auto"/>
        <w:bottom w:val="none" w:sz="0" w:space="0" w:color="auto"/>
        <w:right w:val="none" w:sz="0" w:space="0" w:color="auto"/>
      </w:divBdr>
    </w:div>
    <w:div w:id="1992709416">
      <w:bodyDiv w:val="1"/>
      <w:marLeft w:val="0"/>
      <w:marRight w:val="0"/>
      <w:marTop w:val="0"/>
      <w:marBottom w:val="0"/>
      <w:divBdr>
        <w:top w:val="none" w:sz="0" w:space="0" w:color="auto"/>
        <w:left w:val="none" w:sz="0" w:space="0" w:color="auto"/>
        <w:bottom w:val="none" w:sz="0" w:space="0" w:color="auto"/>
        <w:right w:val="none" w:sz="0" w:space="0" w:color="auto"/>
      </w:divBdr>
      <w:divsChild>
        <w:div w:id="14893901">
          <w:marLeft w:val="0"/>
          <w:marRight w:val="0"/>
          <w:marTop w:val="0"/>
          <w:marBottom w:val="0"/>
          <w:divBdr>
            <w:top w:val="none" w:sz="0" w:space="0" w:color="auto"/>
            <w:left w:val="none" w:sz="0" w:space="0" w:color="auto"/>
            <w:bottom w:val="none" w:sz="0" w:space="0" w:color="auto"/>
            <w:right w:val="none" w:sz="0" w:space="0" w:color="auto"/>
          </w:divBdr>
        </w:div>
        <w:div w:id="825167866">
          <w:marLeft w:val="0"/>
          <w:marRight w:val="0"/>
          <w:marTop w:val="0"/>
          <w:marBottom w:val="0"/>
          <w:divBdr>
            <w:top w:val="none" w:sz="0" w:space="0" w:color="auto"/>
            <w:left w:val="none" w:sz="0" w:space="0" w:color="auto"/>
            <w:bottom w:val="none" w:sz="0" w:space="0" w:color="auto"/>
            <w:right w:val="none" w:sz="0" w:space="0" w:color="auto"/>
          </w:divBdr>
        </w:div>
        <w:div w:id="1763599951">
          <w:marLeft w:val="0"/>
          <w:marRight w:val="0"/>
          <w:marTop w:val="0"/>
          <w:marBottom w:val="0"/>
          <w:divBdr>
            <w:top w:val="none" w:sz="0" w:space="0" w:color="auto"/>
            <w:left w:val="none" w:sz="0" w:space="0" w:color="auto"/>
            <w:bottom w:val="none" w:sz="0" w:space="0" w:color="auto"/>
            <w:right w:val="none" w:sz="0" w:space="0" w:color="auto"/>
          </w:divBdr>
        </w:div>
        <w:div w:id="2004118915">
          <w:marLeft w:val="0"/>
          <w:marRight w:val="0"/>
          <w:marTop w:val="0"/>
          <w:marBottom w:val="0"/>
          <w:divBdr>
            <w:top w:val="none" w:sz="0" w:space="0" w:color="auto"/>
            <w:left w:val="none" w:sz="0" w:space="0" w:color="auto"/>
            <w:bottom w:val="none" w:sz="0" w:space="0" w:color="auto"/>
            <w:right w:val="none" w:sz="0" w:space="0" w:color="auto"/>
          </w:divBdr>
        </w:div>
      </w:divsChild>
    </w:div>
    <w:div w:id="1995182397">
      <w:bodyDiv w:val="1"/>
      <w:marLeft w:val="0"/>
      <w:marRight w:val="0"/>
      <w:marTop w:val="0"/>
      <w:marBottom w:val="0"/>
      <w:divBdr>
        <w:top w:val="none" w:sz="0" w:space="0" w:color="auto"/>
        <w:left w:val="none" w:sz="0" w:space="0" w:color="auto"/>
        <w:bottom w:val="none" w:sz="0" w:space="0" w:color="auto"/>
        <w:right w:val="none" w:sz="0" w:space="0" w:color="auto"/>
      </w:divBdr>
      <w:divsChild>
        <w:div w:id="923612340">
          <w:marLeft w:val="0"/>
          <w:marRight w:val="0"/>
          <w:marTop w:val="0"/>
          <w:marBottom w:val="0"/>
          <w:divBdr>
            <w:top w:val="none" w:sz="0" w:space="0" w:color="auto"/>
            <w:left w:val="none" w:sz="0" w:space="0" w:color="auto"/>
            <w:bottom w:val="none" w:sz="0" w:space="0" w:color="auto"/>
            <w:right w:val="none" w:sz="0" w:space="0" w:color="auto"/>
          </w:divBdr>
        </w:div>
        <w:div w:id="1494226481">
          <w:marLeft w:val="0"/>
          <w:marRight w:val="0"/>
          <w:marTop w:val="0"/>
          <w:marBottom w:val="0"/>
          <w:divBdr>
            <w:top w:val="none" w:sz="0" w:space="0" w:color="auto"/>
            <w:left w:val="none" w:sz="0" w:space="0" w:color="auto"/>
            <w:bottom w:val="none" w:sz="0" w:space="0" w:color="auto"/>
            <w:right w:val="none" w:sz="0" w:space="0" w:color="auto"/>
          </w:divBdr>
        </w:div>
        <w:div w:id="1784031664">
          <w:marLeft w:val="0"/>
          <w:marRight w:val="0"/>
          <w:marTop w:val="0"/>
          <w:marBottom w:val="0"/>
          <w:divBdr>
            <w:top w:val="none" w:sz="0" w:space="0" w:color="auto"/>
            <w:left w:val="none" w:sz="0" w:space="0" w:color="auto"/>
            <w:bottom w:val="none" w:sz="0" w:space="0" w:color="auto"/>
            <w:right w:val="none" w:sz="0" w:space="0" w:color="auto"/>
          </w:divBdr>
        </w:div>
      </w:divsChild>
    </w:div>
    <w:div w:id="2099010970">
      <w:bodyDiv w:val="1"/>
      <w:marLeft w:val="0"/>
      <w:marRight w:val="0"/>
      <w:marTop w:val="0"/>
      <w:marBottom w:val="0"/>
      <w:divBdr>
        <w:top w:val="none" w:sz="0" w:space="0" w:color="auto"/>
        <w:left w:val="none" w:sz="0" w:space="0" w:color="auto"/>
        <w:bottom w:val="none" w:sz="0" w:space="0" w:color="auto"/>
        <w:right w:val="none" w:sz="0" w:space="0" w:color="auto"/>
      </w:divBdr>
    </w:div>
    <w:div w:id="2108840916">
      <w:bodyDiv w:val="1"/>
      <w:marLeft w:val="0"/>
      <w:marRight w:val="0"/>
      <w:marTop w:val="0"/>
      <w:marBottom w:val="0"/>
      <w:divBdr>
        <w:top w:val="none" w:sz="0" w:space="0" w:color="auto"/>
        <w:left w:val="none" w:sz="0" w:space="0" w:color="auto"/>
        <w:bottom w:val="none" w:sz="0" w:space="0" w:color="auto"/>
        <w:right w:val="none" w:sz="0" w:space="0" w:color="auto"/>
      </w:divBdr>
      <w:divsChild>
        <w:div w:id="948119537">
          <w:marLeft w:val="0"/>
          <w:marRight w:val="0"/>
          <w:marTop w:val="0"/>
          <w:marBottom w:val="0"/>
          <w:divBdr>
            <w:top w:val="none" w:sz="0" w:space="0" w:color="auto"/>
            <w:left w:val="none" w:sz="0" w:space="0" w:color="auto"/>
            <w:bottom w:val="none" w:sz="0" w:space="0" w:color="auto"/>
            <w:right w:val="none" w:sz="0" w:space="0" w:color="auto"/>
          </w:divBdr>
        </w:div>
        <w:div w:id="1412773915">
          <w:marLeft w:val="0"/>
          <w:marRight w:val="0"/>
          <w:marTop w:val="0"/>
          <w:marBottom w:val="0"/>
          <w:divBdr>
            <w:top w:val="none" w:sz="0" w:space="0" w:color="auto"/>
            <w:left w:val="none" w:sz="0" w:space="0" w:color="auto"/>
            <w:bottom w:val="none" w:sz="0" w:space="0" w:color="auto"/>
            <w:right w:val="none" w:sz="0" w:space="0" w:color="auto"/>
          </w:divBdr>
        </w:div>
        <w:div w:id="1457407019">
          <w:marLeft w:val="0"/>
          <w:marRight w:val="0"/>
          <w:marTop w:val="0"/>
          <w:marBottom w:val="0"/>
          <w:divBdr>
            <w:top w:val="none" w:sz="0" w:space="0" w:color="auto"/>
            <w:left w:val="none" w:sz="0" w:space="0" w:color="auto"/>
            <w:bottom w:val="none" w:sz="0" w:space="0" w:color="auto"/>
            <w:right w:val="none" w:sz="0" w:space="0" w:color="auto"/>
          </w:divBdr>
        </w:div>
      </w:divsChild>
    </w:div>
    <w:div w:id="212626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finance.wharton.upenn.edu/~mrrobert/styled-9/styled-12/index.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5D458-AE43-48D9-9397-6C30B29A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13696</Words>
  <Characters>78070</Characters>
  <Application>Microsoft Office Word</Application>
  <DocSecurity>4</DocSecurity>
  <Lines>650</Lines>
  <Paragraphs>183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vt:lpstr>
      <vt:lpstr>.</vt:lpstr>
    </vt:vector>
  </TitlesOfParts>
  <Company>.</Company>
  <LinksUpToDate>false</LinksUpToDate>
  <CharactersWithSpaces>91583</CharactersWithSpaces>
  <SharedDoc>false</SharedDoc>
  <HLinks>
    <vt:vector size="6" baseType="variant">
      <vt:variant>
        <vt:i4>655369</vt:i4>
      </vt:variant>
      <vt:variant>
        <vt:i4>0</vt:i4>
      </vt:variant>
      <vt:variant>
        <vt:i4>0</vt:i4>
      </vt:variant>
      <vt:variant>
        <vt:i4>5</vt:i4>
      </vt:variant>
      <vt:variant>
        <vt:lpwstr>http://finance.wharton.upenn.edu/~mrrobert/styled-9/styled-12/index.html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Linda Edwards</cp:lastModifiedBy>
  <cp:revision>2</cp:revision>
  <cp:lastPrinted>2020-03-05T13:20:00Z</cp:lastPrinted>
  <dcterms:created xsi:type="dcterms:W3CDTF">2021-02-05T10:33:00Z</dcterms:created>
  <dcterms:modified xsi:type="dcterms:W3CDTF">2021-02-05T10:33:00Z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