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80537" w14:textId="77777777" w:rsidR="0013317F" w:rsidRDefault="0013317F" w:rsidP="0013317F">
      <w:pPr>
        <w:spacing w:after="120"/>
        <w:jc w:val="center"/>
        <w:rPr>
          <w:rFonts w:ascii="Times New Roman" w:hAnsi="Times New Roman" w:cs="Times New Roman"/>
          <w:b/>
        </w:rPr>
      </w:pPr>
      <w:bookmarkStart w:id="0" w:name="_GoBack"/>
      <w:bookmarkEnd w:id="0"/>
      <w:r>
        <w:rPr>
          <w:rFonts w:ascii="Times New Roman" w:hAnsi="Times New Roman" w:cs="Times New Roman"/>
          <w:b/>
        </w:rPr>
        <w:t>The i</w:t>
      </w:r>
      <w:r w:rsidRPr="00235A7D">
        <w:rPr>
          <w:rFonts w:ascii="Times New Roman" w:hAnsi="Times New Roman" w:cs="Times New Roman"/>
          <w:b/>
        </w:rPr>
        <w:t>mpact of severe mental illness on healthcare use and health outcomes</w:t>
      </w:r>
      <w:r>
        <w:rPr>
          <w:rFonts w:ascii="Times New Roman" w:hAnsi="Times New Roman" w:cs="Times New Roman"/>
          <w:b/>
        </w:rPr>
        <w:t xml:space="preserve"> for people with type 2 diabetes</w:t>
      </w:r>
      <w:r w:rsidRPr="00235A7D">
        <w:rPr>
          <w:rFonts w:ascii="Times New Roman" w:hAnsi="Times New Roman" w:cs="Times New Roman"/>
          <w:b/>
        </w:rPr>
        <w:t xml:space="preserve">: a longitudinal observational study </w:t>
      </w:r>
      <w:r>
        <w:rPr>
          <w:rFonts w:ascii="Times New Roman" w:hAnsi="Times New Roman" w:cs="Times New Roman"/>
          <w:b/>
        </w:rPr>
        <w:t>in England</w:t>
      </w:r>
    </w:p>
    <w:p w14:paraId="383D188D" w14:textId="77777777" w:rsidR="0013317F" w:rsidRPr="00FF0F61" w:rsidRDefault="0013317F" w:rsidP="0013317F">
      <w:pPr>
        <w:spacing w:after="120"/>
        <w:jc w:val="center"/>
        <w:rPr>
          <w:rFonts w:ascii="Times New Roman" w:hAnsi="Times New Roman" w:cs="Times New Roman"/>
          <w:b/>
        </w:rPr>
      </w:pPr>
    </w:p>
    <w:p w14:paraId="1AE39F95" w14:textId="77777777" w:rsidR="0013317F" w:rsidRDefault="0013317F" w:rsidP="0013317F">
      <w:pPr>
        <w:spacing w:after="120"/>
        <w:jc w:val="both"/>
        <w:rPr>
          <w:rFonts w:ascii="Times New Roman" w:hAnsi="Times New Roman" w:cs="Times New Roman"/>
          <w:vertAlign w:val="superscript"/>
        </w:rPr>
      </w:pPr>
      <w:r w:rsidRPr="00D53486">
        <w:rPr>
          <w:rFonts w:ascii="Times New Roman" w:hAnsi="Times New Roman" w:cs="Times New Roman"/>
        </w:rPr>
        <w:t>Lu Han</w:t>
      </w:r>
      <w:r>
        <w:rPr>
          <w:rFonts w:ascii="Times New Roman" w:hAnsi="Times New Roman" w:cs="Times New Roman"/>
        </w:rPr>
        <w:t xml:space="preserve">, </w:t>
      </w:r>
      <w:r w:rsidRPr="00D41953">
        <w:rPr>
          <w:rFonts w:ascii="Times New Roman" w:hAnsi="Times New Roman" w:cs="Times New Roman"/>
          <w:i/>
          <w:iCs/>
        </w:rPr>
        <w:t>Research Fellow, PhD</w:t>
      </w:r>
      <w:r w:rsidRPr="00D53486">
        <w:rPr>
          <w:rFonts w:ascii="Times New Roman" w:hAnsi="Times New Roman" w:cs="Times New Roman"/>
          <w:vertAlign w:val="superscript"/>
        </w:rPr>
        <w:t>1</w:t>
      </w:r>
      <w:r w:rsidRPr="00D53486">
        <w:rPr>
          <w:rFonts w:ascii="Times New Roman" w:hAnsi="Times New Roman" w:cs="Times New Roman"/>
        </w:rPr>
        <w:t>*, Tim Doran</w:t>
      </w:r>
      <w:r>
        <w:rPr>
          <w:rFonts w:ascii="Times New Roman" w:hAnsi="Times New Roman" w:cs="Times New Roman"/>
        </w:rPr>
        <w:t xml:space="preserve">, </w:t>
      </w:r>
      <w:r w:rsidRPr="00D41953">
        <w:rPr>
          <w:rFonts w:ascii="Times New Roman" w:hAnsi="Times New Roman" w:cs="Times New Roman"/>
          <w:i/>
          <w:iCs/>
        </w:rPr>
        <w:t>Professor of Health Policy, MD, MFPH</w:t>
      </w:r>
      <w:r>
        <w:rPr>
          <w:rFonts w:ascii="Times New Roman" w:hAnsi="Times New Roman" w:cs="Times New Roman"/>
          <w:vertAlign w:val="superscript"/>
        </w:rPr>
        <w:t>2</w:t>
      </w:r>
      <w:r w:rsidRPr="00D53486">
        <w:rPr>
          <w:rFonts w:ascii="Times New Roman" w:hAnsi="Times New Roman" w:cs="Times New Roman"/>
        </w:rPr>
        <w:t>, Richard Ian Gregory Holt</w:t>
      </w:r>
      <w:r>
        <w:rPr>
          <w:rFonts w:ascii="Times New Roman" w:hAnsi="Times New Roman" w:cs="Times New Roman"/>
        </w:rPr>
        <w:t xml:space="preserve">, </w:t>
      </w:r>
      <w:r w:rsidRPr="00D41953">
        <w:rPr>
          <w:rFonts w:ascii="Times New Roman" w:hAnsi="Times New Roman" w:cs="Times New Roman"/>
          <w:i/>
          <w:iCs/>
        </w:rPr>
        <w:t>Professor in Diabetes and Endocrinology,</w:t>
      </w:r>
      <w:r>
        <w:rPr>
          <w:rFonts w:ascii="Times New Roman" w:hAnsi="Times New Roman" w:cs="Times New Roman"/>
          <w:i/>
          <w:iCs/>
        </w:rPr>
        <w:t xml:space="preserve"> </w:t>
      </w:r>
      <w:r w:rsidRPr="00D41953">
        <w:rPr>
          <w:rFonts w:ascii="Times New Roman" w:hAnsi="Times New Roman" w:cs="Times New Roman"/>
          <w:i/>
          <w:iCs/>
        </w:rPr>
        <w:t>PhD, FRCP</w:t>
      </w:r>
      <w:r>
        <w:rPr>
          <w:rFonts w:ascii="Times New Roman" w:hAnsi="Times New Roman" w:cs="Times New Roman"/>
          <w:vertAlign w:val="superscript"/>
        </w:rPr>
        <w:t>3</w:t>
      </w:r>
      <w:r w:rsidRPr="00D53486">
        <w:rPr>
          <w:rFonts w:ascii="Times New Roman" w:hAnsi="Times New Roman" w:cs="Times New Roman"/>
        </w:rPr>
        <w:t>, Catherine Hewitt</w:t>
      </w:r>
      <w:r>
        <w:rPr>
          <w:rFonts w:ascii="Times New Roman" w:hAnsi="Times New Roman" w:cs="Times New Roman"/>
        </w:rPr>
        <w:t xml:space="preserve">, </w:t>
      </w:r>
      <w:r w:rsidRPr="00D41953">
        <w:rPr>
          <w:rFonts w:ascii="Times New Roman" w:hAnsi="Times New Roman" w:cs="Times New Roman"/>
          <w:i/>
          <w:iCs/>
        </w:rPr>
        <w:t>Professor in Statistics, PhD</w:t>
      </w:r>
      <w:r>
        <w:rPr>
          <w:rFonts w:ascii="Times New Roman" w:hAnsi="Times New Roman" w:cs="Times New Roman"/>
          <w:vertAlign w:val="superscript"/>
        </w:rPr>
        <w:t>2</w:t>
      </w:r>
      <w:r w:rsidRPr="00D53486">
        <w:rPr>
          <w:rFonts w:ascii="Times New Roman" w:hAnsi="Times New Roman" w:cs="Times New Roman"/>
        </w:rPr>
        <w:t>, Rowena Jacobs</w:t>
      </w:r>
      <w:r>
        <w:rPr>
          <w:rFonts w:ascii="Times New Roman" w:hAnsi="Times New Roman" w:cs="Times New Roman"/>
        </w:rPr>
        <w:t xml:space="preserve">, </w:t>
      </w:r>
      <w:r w:rsidRPr="0051451F">
        <w:rPr>
          <w:rFonts w:ascii="Times New Roman" w:hAnsi="Times New Roman" w:cs="Times New Roman"/>
          <w:i/>
          <w:iCs/>
        </w:rPr>
        <w:t>Professor of Health Economics, PhD</w:t>
      </w:r>
      <w:r>
        <w:rPr>
          <w:rFonts w:ascii="Times New Roman" w:hAnsi="Times New Roman" w:cs="Times New Roman"/>
          <w:vertAlign w:val="superscript"/>
        </w:rPr>
        <w:t>4</w:t>
      </w:r>
      <w:r w:rsidRPr="00D53486">
        <w:rPr>
          <w:rFonts w:ascii="Times New Roman" w:hAnsi="Times New Roman" w:cs="Times New Roman"/>
        </w:rPr>
        <w:t>, Stephanie Louise Prady</w:t>
      </w:r>
      <w:r>
        <w:rPr>
          <w:rFonts w:ascii="Times New Roman" w:hAnsi="Times New Roman" w:cs="Times New Roman"/>
        </w:rPr>
        <w:t xml:space="preserve">, </w:t>
      </w:r>
      <w:r w:rsidRPr="0051451F">
        <w:rPr>
          <w:rFonts w:ascii="Times New Roman" w:hAnsi="Times New Roman" w:cs="Times New Roman"/>
          <w:i/>
          <w:iCs/>
        </w:rPr>
        <w:t>Senior Research Fellow, PhD</w:t>
      </w:r>
      <w:r>
        <w:rPr>
          <w:rFonts w:ascii="Times New Roman" w:hAnsi="Times New Roman" w:cs="Times New Roman"/>
          <w:vertAlign w:val="superscript"/>
        </w:rPr>
        <w:t>2</w:t>
      </w:r>
      <w:r w:rsidRPr="00D53486">
        <w:rPr>
          <w:rFonts w:ascii="Times New Roman" w:hAnsi="Times New Roman" w:cs="Times New Roman"/>
        </w:rPr>
        <w:t>, Sarah Louise Alderson</w:t>
      </w:r>
      <w:r>
        <w:rPr>
          <w:rFonts w:ascii="Times New Roman" w:hAnsi="Times New Roman" w:cs="Times New Roman"/>
        </w:rPr>
        <w:t xml:space="preserve">, </w:t>
      </w:r>
      <w:r w:rsidRPr="0051451F">
        <w:rPr>
          <w:rFonts w:ascii="Times New Roman" w:hAnsi="Times New Roman" w:cs="Times New Roman"/>
          <w:i/>
          <w:iCs/>
        </w:rPr>
        <w:t>NIHR Academic Clinical Lecturer, PhD, MRCGP</w:t>
      </w:r>
      <w:r>
        <w:rPr>
          <w:rFonts w:ascii="Times New Roman" w:hAnsi="Times New Roman" w:cs="Times New Roman"/>
          <w:vertAlign w:val="superscript"/>
        </w:rPr>
        <w:t>5</w:t>
      </w:r>
      <w:r w:rsidRPr="00D53486">
        <w:rPr>
          <w:rFonts w:ascii="Times New Roman" w:hAnsi="Times New Roman" w:cs="Times New Roman"/>
        </w:rPr>
        <w:t xml:space="preserve">, David </w:t>
      </w:r>
      <w:r w:rsidRPr="00051F8B">
        <w:rPr>
          <w:rFonts w:ascii="Times New Roman" w:hAnsi="Times New Roman" w:cs="Times New Roman"/>
        </w:rPr>
        <w:t>Shiers</w:t>
      </w:r>
      <w:r>
        <w:rPr>
          <w:rFonts w:ascii="Times New Roman" w:hAnsi="Times New Roman" w:cs="Times New Roman"/>
        </w:rPr>
        <w:t xml:space="preserve">, </w:t>
      </w:r>
      <w:r w:rsidRPr="0051451F">
        <w:rPr>
          <w:rFonts w:ascii="Times New Roman" w:hAnsi="Times New Roman" w:cs="Times New Roman"/>
          <w:i/>
          <w:iCs/>
        </w:rPr>
        <w:t>Honorary reader in early psychosis, MRCGP, MRCP(UK)</w:t>
      </w:r>
      <w:r>
        <w:rPr>
          <w:rFonts w:ascii="Times New Roman" w:hAnsi="Times New Roman" w:cs="Times New Roman"/>
          <w:vertAlign w:val="superscript"/>
        </w:rPr>
        <w:t>6</w:t>
      </w:r>
      <w:r>
        <w:rPr>
          <w:rFonts w:ascii="Times New Roman" w:hAnsi="Times New Roman" w:cs="Times New Roman"/>
        </w:rPr>
        <w:t xml:space="preserve">, </w:t>
      </w:r>
      <w:r w:rsidRPr="00D53486">
        <w:rPr>
          <w:rFonts w:ascii="Times New Roman" w:hAnsi="Times New Roman" w:cs="Times New Roman"/>
        </w:rPr>
        <w:t xml:space="preserve">Han-I </w:t>
      </w:r>
      <w:r w:rsidRPr="00051F8B">
        <w:rPr>
          <w:rFonts w:ascii="Times New Roman" w:hAnsi="Times New Roman" w:cs="Times New Roman"/>
        </w:rPr>
        <w:t>Wang</w:t>
      </w:r>
      <w:r>
        <w:rPr>
          <w:rFonts w:ascii="Times New Roman" w:hAnsi="Times New Roman" w:cs="Times New Roman"/>
        </w:rPr>
        <w:t xml:space="preserve">, </w:t>
      </w:r>
      <w:r w:rsidRPr="0051451F">
        <w:rPr>
          <w:rFonts w:ascii="Times New Roman" w:hAnsi="Times New Roman" w:cs="Times New Roman"/>
          <w:i/>
          <w:iCs/>
        </w:rPr>
        <w:t>Research Fellow, PhD</w:t>
      </w:r>
      <w:r>
        <w:rPr>
          <w:rFonts w:ascii="Times New Roman" w:hAnsi="Times New Roman" w:cs="Times New Roman"/>
          <w:vertAlign w:val="superscript"/>
        </w:rPr>
        <w:t>2</w:t>
      </w:r>
      <w:r>
        <w:rPr>
          <w:rFonts w:ascii="Times New Roman" w:hAnsi="Times New Roman" w:cs="Times New Roman"/>
        </w:rPr>
        <w:t xml:space="preserve">, </w:t>
      </w:r>
      <w:r w:rsidRPr="00051F8B">
        <w:rPr>
          <w:rFonts w:ascii="Times New Roman" w:hAnsi="Times New Roman" w:cs="Times New Roman"/>
        </w:rPr>
        <w:t>Sue</w:t>
      </w:r>
      <w:r w:rsidRPr="00D53486">
        <w:rPr>
          <w:rFonts w:ascii="Times New Roman" w:hAnsi="Times New Roman" w:cs="Times New Roman"/>
        </w:rPr>
        <w:t xml:space="preserve"> Bellass</w:t>
      </w:r>
      <w:r>
        <w:rPr>
          <w:rFonts w:ascii="Times New Roman" w:hAnsi="Times New Roman" w:cs="Times New Roman"/>
        </w:rPr>
        <w:t xml:space="preserve">, </w:t>
      </w:r>
      <w:r w:rsidRPr="0051451F">
        <w:rPr>
          <w:rFonts w:ascii="Times New Roman" w:hAnsi="Times New Roman" w:cs="Times New Roman"/>
          <w:i/>
          <w:iCs/>
        </w:rPr>
        <w:t>Research Fellow, PhD</w:t>
      </w:r>
      <w:r>
        <w:rPr>
          <w:rFonts w:ascii="Times New Roman" w:hAnsi="Times New Roman" w:cs="Times New Roman"/>
          <w:vertAlign w:val="superscript"/>
        </w:rPr>
        <w:t>7</w:t>
      </w:r>
      <w:r w:rsidRPr="00D53486">
        <w:rPr>
          <w:rFonts w:ascii="Times New Roman" w:hAnsi="Times New Roman" w:cs="Times New Roman"/>
        </w:rPr>
        <w:t>, Simon Gilbody</w:t>
      </w:r>
      <w:r>
        <w:rPr>
          <w:rFonts w:ascii="Times New Roman" w:hAnsi="Times New Roman" w:cs="Times New Roman"/>
        </w:rPr>
        <w:t>,</w:t>
      </w:r>
      <w:r w:rsidRPr="005546E6">
        <w:t xml:space="preserve"> </w:t>
      </w:r>
      <w:r w:rsidRPr="005546E6">
        <w:rPr>
          <w:rFonts w:ascii="Times New Roman" w:hAnsi="Times New Roman" w:cs="Times New Roman"/>
          <w:i/>
          <w:iCs/>
        </w:rPr>
        <w:t>Professor of Psychological Medicine and Health Services Research, PhD, FRCPsych</w:t>
      </w:r>
      <w:r>
        <w:rPr>
          <w:rFonts w:ascii="Times New Roman" w:hAnsi="Times New Roman" w:cs="Times New Roman"/>
          <w:vertAlign w:val="superscript"/>
        </w:rPr>
        <w:t>2</w:t>
      </w:r>
      <w:r w:rsidRPr="00D53486">
        <w:rPr>
          <w:rFonts w:ascii="Times New Roman" w:hAnsi="Times New Roman" w:cs="Times New Roman"/>
        </w:rPr>
        <w:t>, Charlotte Emma Wray Kitchen</w:t>
      </w:r>
      <w:r>
        <w:rPr>
          <w:rFonts w:ascii="Times New Roman" w:hAnsi="Times New Roman" w:cs="Times New Roman"/>
        </w:rPr>
        <w:t xml:space="preserve">, </w:t>
      </w:r>
      <w:r w:rsidRPr="005546E6">
        <w:rPr>
          <w:rFonts w:ascii="Times New Roman" w:hAnsi="Times New Roman" w:cs="Times New Roman"/>
          <w:i/>
          <w:iCs/>
        </w:rPr>
        <w:t>Research Fellow, PhD</w:t>
      </w:r>
      <w:r>
        <w:rPr>
          <w:rFonts w:ascii="Times New Roman" w:hAnsi="Times New Roman" w:cs="Times New Roman"/>
          <w:vertAlign w:val="superscript"/>
        </w:rPr>
        <w:t>2</w:t>
      </w:r>
      <w:r w:rsidRPr="00D53486">
        <w:rPr>
          <w:rFonts w:ascii="Times New Roman" w:hAnsi="Times New Roman" w:cs="Times New Roman"/>
        </w:rPr>
        <w:t>, Jennie Lister</w:t>
      </w:r>
      <w:r>
        <w:rPr>
          <w:rFonts w:ascii="Times New Roman" w:hAnsi="Times New Roman" w:cs="Times New Roman"/>
        </w:rPr>
        <w:t xml:space="preserve">, </w:t>
      </w:r>
      <w:r w:rsidRPr="005546E6">
        <w:rPr>
          <w:rFonts w:ascii="Times New Roman" w:hAnsi="Times New Roman" w:cs="Times New Roman"/>
          <w:i/>
          <w:iCs/>
        </w:rPr>
        <w:t>Research Fellow, MSc</w:t>
      </w:r>
      <w:r>
        <w:rPr>
          <w:rFonts w:ascii="Times New Roman" w:hAnsi="Times New Roman" w:cs="Times New Roman"/>
          <w:vertAlign w:val="superscript"/>
        </w:rPr>
        <w:t>2</w:t>
      </w:r>
      <w:r w:rsidRPr="00D53486">
        <w:rPr>
          <w:rFonts w:ascii="Times New Roman" w:hAnsi="Times New Roman" w:cs="Times New Roman"/>
        </w:rPr>
        <w:t>, Johanna Taylor</w:t>
      </w:r>
      <w:r>
        <w:rPr>
          <w:rFonts w:ascii="Times New Roman" w:hAnsi="Times New Roman" w:cs="Times New Roman"/>
        </w:rPr>
        <w:t xml:space="preserve">, </w:t>
      </w:r>
      <w:r w:rsidRPr="005546E6">
        <w:rPr>
          <w:rFonts w:ascii="Times New Roman" w:hAnsi="Times New Roman" w:cs="Times New Roman"/>
          <w:i/>
          <w:iCs/>
        </w:rPr>
        <w:t>Lecturer in Applied Health Research, PhD</w:t>
      </w:r>
      <w:r>
        <w:rPr>
          <w:rFonts w:ascii="Times New Roman" w:hAnsi="Times New Roman" w:cs="Times New Roman"/>
          <w:vertAlign w:val="superscript"/>
        </w:rPr>
        <w:t>2</w:t>
      </w:r>
      <w:r w:rsidRPr="00D53486">
        <w:rPr>
          <w:rFonts w:ascii="Times New Roman" w:hAnsi="Times New Roman" w:cs="Times New Roman"/>
        </w:rPr>
        <w:t>, and Najma Siddiqi</w:t>
      </w:r>
      <w:r>
        <w:rPr>
          <w:rFonts w:ascii="Times New Roman" w:hAnsi="Times New Roman" w:cs="Times New Roman"/>
        </w:rPr>
        <w:t xml:space="preserve">, </w:t>
      </w:r>
      <w:r w:rsidRPr="005546E6">
        <w:rPr>
          <w:rFonts w:ascii="Times New Roman" w:hAnsi="Times New Roman" w:cs="Times New Roman"/>
          <w:i/>
          <w:iCs/>
        </w:rPr>
        <w:t>Professor of Psychiatry, PhD, MRCP, MRCPsych</w:t>
      </w:r>
      <w:r>
        <w:rPr>
          <w:rFonts w:ascii="Times New Roman" w:hAnsi="Times New Roman" w:cs="Times New Roman"/>
          <w:vertAlign w:val="superscript"/>
        </w:rPr>
        <w:t>2</w:t>
      </w:r>
    </w:p>
    <w:p w14:paraId="296DE01C" w14:textId="77777777" w:rsidR="0013317F" w:rsidRPr="00D53486" w:rsidRDefault="0013317F" w:rsidP="0013317F">
      <w:pPr>
        <w:spacing w:after="120"/>
        <w:jc w:val="both"/>
        <w:rPr>
          <w:rFonts w:ascii="Times New Roman" w:hAnsi="Times New Roman" w:cs="Times New Roman"/>
        </w:rPr>
      </w:pPr>
    </w:p>
    <w:p w14:paraId="773B68DC" w14:textId="77777777" w:rsidR="0013317F" w:rsidRDefault="0013317F" w:rsidP="0013317F">
      <w:pPr>
        <w:spacing w:after="120"/>
        <w:jc w:val="both"/>
        <w:rPr>
          <w:rFonts w:ascii="Times New Roman" w:hAnsi="Times New Roman" w:cs="Times New Roman"/>
        </w:rPr>
      </w:pPr>
      <w:r w:rsidRPr="00D53486">
        <w:rPr>
          <w:rFonts w:ascii="Times New Roman" w:hAnsi="Times New Roman" w:cs="Times New Roman"/>
          <w:vertAlign w:val="superscript"/>
        </w:rPr>
        <w:t>1</w:t>
      </w:r>
      <w:r w:rsidRPr="00D53486">
        <w:rPr>
          <w:rFonts w:ascii="Times New Roman" w:hAnsi="Times New Roman" w:cs="Times New Roman"/>
        </w:rPr>
        <w:t xml:space="preserve"> Department of </w:t>
      </w:r>
      <w:r>
        <w:rPr>
          <w:rFonts w:ascii="Times New Roman" w:hAnsi="Times New Roman" w:cs="Times New Roman"/>
        </w:rPr>
        <w:t>Health Services Research and Policy</w:t>
      </w:r>
      <w:r w:rsidRPr="00D53486">
        <w:rPr>
          <w:rFonts w:ascii="Times New Roman" w:hAnsi="Times New Roman" w:cs="Times New Roman"/>
        </w:rPr>
        <w:t xml:space="preserve">, </w:t>
      </w:r>
      <w:r>
        <w:rPr>
          <w:rFonts w:ascii="Times New Roman" w:hAnsi="Times New Roman" w:cs="Times New Roman"/>
        </w:rPr>
        <w:t xml:space="preserve">Faculty of Public Health and Policy, London School of Hygiene and Tropical Medicine, </w:t>
      </w:r>
      <w:r w:rsidRPr="00516077">
        <w:rPr>
          <w:rFonts w:ascii="Times New Roman" w:hAnsi="Times New Roman" w:cs="Times New Roman"/>
        </w:rPr>
        <w:t>15-17 Tavistock Place, London, WC1H 9SH</w:t>
      </w:r>
      <w:r>
        <w:rPr>
          <w:rFonts w:ascii="Times New Roman" w:hAnsi="Times New Roman" w:cs="Times New Roman"/>
        </w:rPr>
        <w:t>, UK.</w:t>
      </w:r>
    </w:p>
    <w:p w14:paraId="3D32C632" w14:textId="77777777" w:rsidR="0013317F" w:rsidRDefault="0013317F" w:rsidP="0013317F">
      <w:pPr>
        <w:autoSpaceDE w:val="0"/>
        <w:autoSpaceDN w:val="0"/>
        <w:adjustRightInd w:val="0"/>
        <w:spacing w:after="0" w:line="240" w:lineRule="auto"/>
        <w:rPr>
          <w:rFonts w:ascii="Times New Roman" w:hAnsi="Times New Roman" w:cs="Times New Roman"/>
          <w:lang w:eastAsia="zh-CN"/>
        </w:rPr>
      </w:pPr>
      <w:r>
        <w:rPr>
          <w:rFonts w:ascii="Times New Roman" w:hAnsi="Times New Roman" w:cs="Times New Roman"/>
          <w:vertAlign w:val="superscript"/>
        </w:rPr>
        <w:t xml:space="preserve">2 </w:t>
      </w:r>
      <w:r>
        <w:rPr>
          <w:rFonts w:ascii="Times New Roman" w:hAnsi="Times New Roman" w:cs="Times New Roman"/>
          <w:lang w:eastAsia="zh-CN"/>
        </w:rPr>
        <w:t>Department of Health Sciences, Seebohm Rowntree Building, University of York, Heslington, York,</w:t>
      </w:r>
    </w:p>
    <w:p w14:paraId="5FEA32D2" w14:textId="77777777" w:rsidR="0013317F" w:rsidRPr="005546E6" w:rsidRDefault="0013317F" w:rsidP="0013317F">
      <w:pPr>
        <w:spacing w:after="120"/>
        <w:jc w:val="both"/>
        <w:rPr>
          <w:rFonts w:ascii="Times New Roman" w:hAnsi="Times New Roman" w:cs="Times New Roman"/>
        </w:rPr>
      </w:pPr>
      <w:r>
        <w:rPr>
          <w:rFonts w:ascii="Times New Roman" w:hAnsi="Times New Roman" w:cs="Times New Roman"/>
          <w:lang w:eastAsia="zh-CN"/>
        </w:rPr>
        <w:t>YO10 5DD, UK.</w:t>
      </w:r>
    </w:p>
    <w:p w14:paraId="36AC8725" w14:textId="77777777" w:rsidR="0013317F" w:rsidRPr="00D53486" w:rsidRDefault="0013317F" w:rsidP="0013317F">
      <w:pPr>
        <w:spacing w:after="120"/>
        <w:jc w:val="both"/>
        <w:rPr>
          <w:rFonts w:ascii="Times New Roman" w:hAnsi="Times New Roman" w:cs="Times New Roman"/>
        </w:rPr>
      </w:pPr>
      <w:r>
        <w:rPr>
          <w:rFonts w:ascii="Times New Roman" w:hAnsi="Times New Roman" w:cs="Times New Roman"/>
          <w:vertAlign w:val="superscript"/>
        </w:rPr>
        <w:t>3</w:t>
      </w:r>
      <w:r w:rsidRPr="00D53486">
        <w:rPr>
          <w:rFonts w:ascii="Times New Roman" w:hAnsi="Times New Roman" w:cs="Times New Roman"/>
          <w:vertAlign w:val="superscript"/>
        </w:rPr>
        <w:t xml:space="preserve"> </w:t>
      </w:r>
      <w:r w:rsidRPr="00D53486">
        <w:rPr>
          <w:rFonts w:ascii="Times New Roman" w:hAnsi="Times New Roman" w:cs="Times New Roman"/>
        </w:rPr>
        <w:t>University of Southampton/University Hospital Southampton NHS Foundation Trust, Faculty of Medicine, The Institute of Developmental Sciences Building, University of Southampton, Southampton General Hospital, Southampton, SO16 6YD, UK</w:t>
      </w:r>
      <w:r>
        <w:rPr>
          <w:rFonts w:ascii="Times New Roman" w:hAnsi="Times New Roman" w:cs="Times New Roman"/>
        </w:rPr>
        <w:t>.</w:t>
      </w:r>
    </w:p>
    <w:p w14:paraId="13C95CA7" w14:textId="77777777" w:rsidR="0013317F" w:rsidRPr="00D53486" w:rsidRDefault="0013317F" w:rsidP="0013317F">
      <w:pPr>
        <w:spacing w:after="120"/>
        <w:jc w:val="both"/>
        <w:rPr>
          <w:rFonts w:ascii="Times New Roman" w:hAnsi="Times New Roman" w:cs="Times New Roman"/>
        </w:rPr>
      </w:pPr>
      <w:r>
        <w:rPr>
          <w:rFonts w:ascii="Times New Roman" w:hAnsi="Times New Roman" w:cs="Times New Roman"/>
          <w:vertAlign w:val="superscript"/>
        </w:rPr>
        <w:t>4</w:t>
      </w:r>
      <w:r w:rsidRPr="00D53486">
        <w:rPr>
          <w:rFonts w:ascii="Times New Roman" w:hAnsi="Times New Roman" w:cs="Times New Roman"/>
          <w:vertAlign w:val="superscript"/>
        </w:rPr>
        <w:t xml:space="preserve"> </w:t>
      </w:r>
      <w:r w:rsidRPr="00D53486">
        <w:rPr>
          <w:rFonts w:ascii="Times New Roman" w:hAnsi="Times New Roman" w:cs="Times New Roman"/>
        </w:rPr>
        <w:t>Centre for Health Economics, University of York, Alcuin A Block, Heslington, York, YO10 5DD, UK.</w:t>
      </w:r>
    </w:p>
    <w:p w14:paraId="2EF42DB6" w14:textId="77777777" w:rsidR="0013317F" w:rsidRPr="00D53486" w:rsidRDefault="0013317F" w:rsidP="0013317F">
      <w:pPr>
        <w:spacing w:after="120"/>
        <w:jc w:val="both"/>
        <w:rPr>
          <w:rFonts w:ascii="Times New Roman" w:hAnsi="Times New Roman" w:cs="Times New Roman"/>
        </w:rPr>
      </w:pPr>
      <w:r>
        <w:rPr>
          <w:rFonts w:ascii="Times New Roman" w:hAnsi="Times New Roman" w:cs="Times New Roman"/>
          <w:vertAlign w:val="superscript"/>
        </w:rPr>
        <w:t xml:space="preserve">5 </w:t>
      </w:r>
      <w:r w:rsidRPr="00D53486">
        <w:rPr>
          <w:rFonts w:ascii="Times New Roman" w:hAnsi="Times New Roman" w:cs="Times New Roman"/>
        </w:rPr>
        <w:t>Leeds Institute for Health Sciences, University of Leeds, Worsley Building, Leeds, LS2 9LJ, UK.</w:t>
      </w:r>
    </w:p>
    <w:p w14:paraId="688A7E0D" w14:textId="77777777" w:rsidR="0013317F" w:rsidRDefault="0013317F" w:rsidP="0013317F">
      <w:pPr>
        <w:spacing w:after="120"/>
        <w:jc w:val="both"/>
        <w:rPr>
          <w:rFonts w:ascii="Times New Roman" w:hAnsi="Times New Roman" w:cs="Times New Roman"/>
        </w:rPr>
      </w:pPr>
      <w:r>
        <w:rPr>
          <w:rFonts w:ascii="Times New Roman" w:hAnsi="Times New Roman" w:cs="Times New Roman"/>
          <w:vertAlign w:val="superscript"/>
        </w:rPr>
        <w:t>6</w:t>
      </w:r>
      <w:r w:rsidRPr="00D53486">
        <w:rPr>
          <w:rFonts w:ascii="Times New Roman" w:hAnsi="Times New Roman" w:cs="Times New Roman"/>
          <w:vertAlign w:val="superscript"/>
        </w:rPr>
        <w:t xml:space="preserve"> </w:t>
      </w:r>
      <w:r w:rsidRPr="00D53486">
        <w:rPr>
          <w:rFonts w:ascii="Times New Roman" w:hAnsi="Times New Roman" w:cs="Times New Roman"/>
        </w:rPr>
        <w:t>Division of Psychology and Mental Health/Greater Manchester Mental Health NHS Trust/Primary Care and Health Sciences (Keele University), University of Manchester, Manchester, M13 9PL, UK.</w:t>
      </w:r>
    </w:p>
    <w:p w14:paraId="241297E2" w14:textId="77777777" w:rsidR="0013317F" w:rsidRDefault="0013317F" w:rsidP="0013317F">
      <w:pPr>
        <w:spacing w:after="120"/>
        <w:jc w:val="both"/>
        <w:rPr>
          <w:rFonts w:ascii="Times New Roman" w:hAnsi="Times New Roman" w:cs="Times New Roman"/>
        </w:rPr>
      </w:pPr>
      <w:r>
        <w:rPr>
          <w:rFonts w:ascii="Times New Roman" w:hAnsi="Times New Roman" w:cs="Times New Roman"/>
          <w:vertAlign w:val="superscript"/>
        </w:rPr>
        <w:t xml:space="preserve">7 </w:t>
      </w:r>
      <w:r>
        <w:rPr>
          <w:rFonts w:ascii="Times New Roman" w:hAnsi="Times New Roman" w:cs="Times New Roman"/>
        </w:rPr>
        <w:t xml:space="preserve">School of Medicine, Faculty of Medicine and Health, </w:t>
      </w:r>
      <w:r w:rsidRPr="005546E6">
        <w:rPr>
          <w:rFonts w:ascii="Times New Roman" w:hAnsi="Times New Roman" w:cs="Times New Roman"/>
        </w:rPr>
        <w:t>University of Leeds, Leeds, LS2 9JT</w:t>
      </w:r>
      <w:r>
        <w:rPr>
          <w:rFonts w:ascii="Times New Roman" w:hAnsi="Times New Roman" w:cs="Times New Roman"/>
        </w:rPr>
        <w:t xml:space="preserve">, UK. </w:t>
      </w:r>
    </w:p>
    <w:p w14:paraId="785986CD" w14:textId="77777777" w:rsidR="0013317F" w:rsidRPr="005546E6" w:rsidRDefault="0013317F" w:rsidP="0013317F">
      <w:pPr>
        <w:spacing w:after="120"/>
        <w:jc w:val="both"/>
        <w:rPr>
          <w:rFonts w:ascii="Times New Roman" w:hAnsi="Times New Roman" w:cs="Times New Roman"/>
        </w:rPr>
      </w:pPr>
    </w:p>
    <w:p w14:paraId="1D954E2D" w14:textId="77777777" w:rsidR="0013317F" w:rsidRDefault="0013317F" w:rsidP="0013317F">
      <w:pPr>
        <w:spacing w:after="120"/>
        <w:jc w:val="both"/>
        <w:rPr>
          <w:rStyle w:val="Hyperlink"/>
          <w:rFonts w:ascii="Times New Roman" w:hAnsi="Times New Roman" w:cs="Times New Roman"/>
        </w:rPr>
      </w:pPr>
      <w:r w:rsidRPr="00D53486">
        <w:rPr>
          <w:rFonts w:ascii="Times New Roman" w:hAnsi="Times New Roman" w:cs="Times New Roman"/>
        </w:rPr>
        <w:t xml:space="preserve">* Corresponding author; Email: </w:t>
      </w:r>
      <w:hyperlink r:id="rId8" w:history="1">
        <w:r w:rsidRPr="005C1838">
          <w:rPr>
            <w:rStyle w:val="Hyperlink"/>
            <w:rFonts w:ascii="Times New Roman" w:hAnsi="Times New Roman" w:cs="Times New Roman"/>
          </w:rPr>
          <w:t>lu.han@lshtm.ac.uk</w:t>
        </w:r>
      </w:hyperlink>
    </w:p>
    <w:p w14:paraId="03E4D6D0" w14:textId="77777777" w:rsidR="0013317F" w:rsidRPr="00D53486" w:rsidRDefault="0013317F" w:rsidP="0013317F">
      <w:pPr>
        <w:rPr>
          <w:rFonts w:ascii="Times New Roman" w:hAnsi="Times New Roman" w:cs="Times New Roman"/>
        </w:rPr>
      </w:pPr>
    </w:p>
    <w:p w14:paraId="7D11A175" w14:textId="77777777" w:rsidR="0013317F" w:rsidRDefault="0013317F" w:rsidP="0013317F">
      <w:pPr>
        <w:spacing w:after="120"/>
        <w:rPr>
          <w:rFonts w:ascii="Times New Roman" w:hAnsi="Times New Roman" w:cs="Times New Roman"/>
        </w:rPr>
      </w:pPr>
      <w:r w:rsidRPr="00425B39">
        <w:rPr>
          <w:rFonts w:ascii="Times New Roman" w:hAnsi="Times New Roman" w:cs="Times New Roman"/>
          <w:b/>
          <w:bCs/>
        </w:rPr>
        <w:t>Abstract word count</w:t>
      </w:r>
      <w:r>
        <w:rPr>
          <w:rFonts w:ascii="Times New Roman" w:hAnsi="Times New Roman" w:cs="Times New Roman"/>
        </w:rPr>
        <w:t>: 249</w:t>
      </w:r>
    </w:p>
    <w:p w14:paraId="286BF2AD" w14:textId="77777777" w:rsidR="0013317F" w:rsidRDefault="0013317F" w:rsidP="0013317F">
      <w:pPr>
        <w:spacing w:after="120"/>
        <w:rPr>
          <w:rFonts w:ascii="Times New Roman" w:hAnsi="Times New Roman" w:cs="Times New Roman"/>
        </w:rPr>
      </w:pPr>
      <w:r w:rsidRPr="00425B39">
        <w:rPr>
          <w:rFonts w:ascii="Times New Roman" w:hAnsi="Times New Roman" w:cs="Times New Roman"/>
          <w:b/>
          <w:bCs/>
        </w:rPr>
        <w:t>Main text word count</w:t>
      </w:r>
      <w:r>
        <w:rPr>
          <w:rFonts w:ascii="Times New Roman" w:hAnsi="Times New Roman" w:cs="Times New Roman"/>
        </w:rPr>
        <w:t>: 2,793</w:t>
      </w:r>
    </w:p>
    <w:p w14:paraId="5049A359" w14:textId="77777777" w:rsidR="0013317F" w:rsidRDefault="0013317F" w:rsidP="0013317F">
      <w:pPr>
        <w:spacing w:after="120"/>
        <w:rPr>
          <w:rFonts w:ascii="Times New Roman" w:hAnsi="Times New Roman" w:cs="Times New Roman"/>
        </w:rPr>
      </w:pPr>
    </w:p>
    <w:p w14:paraId="340C78A1" w14:textId="77777777" w:rsidR="0013317F" w:rsidRPr="00450F34" w:rsidRDefault="0013317F" w:rsidP="0013317F">
      <w:pPr>
        <w:tabs>
          <w:tab w:val="left" w:pos="2723"/>
        </w:tabs>
        <w:jc w:val="both"/>
        <w:rPr>
          <w:rFonts w:ascii="Times New Roman" w:hAnsi="Times New Roman" w:cs="Times New Roman"/>
          <w:b/>
          <w:bCs/>
        </w:rPr>
      </w:pPr>
      <w:r w:rsidRPr="00D038B6">
        <w:rPr>
          <w:rFonts w:ascii="Times New Roman" w:hAnsi="Times New Roman" w:cs="Times New Roman"/>
          <w:b/>
          <w:bCs/>
        </w:rPr>
        <w:t>Funding</w:t>
      </w:r>
      <w:r>
        <w:rPr>
          <w:rFonts w:ascii="Times New Roman" w:hAnsi="Times New Roman" w:cs="Times New Roman"/>
          <w:b/>
          <w:bCs/>
        </w:rPr>
        <w:tab/>
      </w:r>
    </w:p>
    <w:p w14:paraId="5D7C9686" w14:textId="77777777" w:rsidR="0013317F" w:rsidRDefault="0013317F" w:rsidP="0013317F">
      <w:pPr>
        <w:jc w:val="both"/>
        <w:rPr>
          <w:rFonts w:ascii="Times New Roman" w:hAnsi="Times New Roman" w:cs="Times New Roman"/>
        </w:rPr>
      </w:pPr>
      <w:r w:rsidRPr="007F4D98">
        <w:rPr>
          <w:rFonts w:ascii="Times New Roman" w:hAnsi="Times New Roman" w:cs="Times New Roman"/>
        </w:rPr>
        <w:t xml:space="preserve">This publication presents independent research funded by the National Institute for Health Research (NIHR) Health Services and Delivery Research (HS&amp;DR) programme (ref 15/70/26). SG, NS, SLP and RJ were </w:t>
      </w:r>
      <w:r>
        <w:rPr>
          <w:rFonts w:ascii="Times New Roman" w:hAnsi="Times New Roman" w:cs="Times New Roman"/>
        </w:rPr>
        <w:t xml:space="preserve">also </w:t>
      </w:r>
      <w:r w:rsidRPr="007F4D98">
        <w:rPr>
          <w:rFonts w:ascii="Times New Roman" w:hAnsi="Times New Roman" w:cs="Times New Roman"/>
        </w:rPr>
        <w:t xml:space="preserve">funded by the NIHR Yorkshire and Humber Applied Research Collaboration (NIHR YH-ARC), </w:t>
      </w:r>
      <w:hyperlink r:id="rId9" w:history="1">
        <w:r w:rsidRPr="007F4D98">
          <w:rPr>
            <w:rStyle w:val="Hyperlink"/>
          </w:rPr>
          <w:t>https://www.arc-yh.nihr.ac.uk/</w:t>
        </w:r>
      </w:hyperlink>
      <w:r w:rsidRPr="007F4D98">
        <w:rPr>
          <w:rFonts w:ascii="Times New Roman" w:hAnsi="Times New Roman" w:cs="Times New Roman"/>
        </w:rPr>
        <w:t xml:space="preserve">. </w:t>
      </w:r>
      <w:r>
        <w:rPr>
          <w:rFonts w:ascii="Times New Roman" w:hAnsi="Times New Roman" w:cs="Times New Roman"/>
        </w:rPr>
        <w:t xml:space="preserve">LH was also funded by the </w:t>
      </w:r>
      <w:r w:rsidRPr="006F7A04">
        <w:rPr>
          <w:rFonts w:ascii="Times New Roman" w:hAnsi="Times New Roman" w:cs="Times New Roman"/>
        </w:rPr>
        <w:t>UK Research and Innovation</w:t>
      </w:r>
      <w:r>
        <w:rPr>
          <w:rFonts w:ascii="Times New Roman" w:hAnsi="Times New Roman" w:cs="Times New Roman"/>
        </w:rPr>
        <w:t xml:space="preserve"> (UKRI) </w:t>
      </w:r>
      <w:r w:rsidRPr="006F7A04">
        <w:rPr>
          <w:rFonts w:ascii="Times New Roman" w:hAnsi="Times New Roman" w:cs="Times New Roman"/>
        </w:rPr>
        <w:t>Closing the Gap network</w:t>
      </w:r>
      <w:r>
        <w:rPr>
          <w:rFonts w:ascii="Times New Roman" w:hAnsi="Times New Roman" w:cs="Times New Roman"/>
        </w:rPr>
        <w:t xml:space="preserve"> (</w:t>
      </w:r>
      <w:r w:rsidRPr="006F7A04">
        <w:rPr>
          <w:rFonts w:ascii="Times New Roman" w:hAnsi="Times New Roman" w:cs="Times New Roman"/>
        </w:rPr>
        <w:t>ES/S004459/1</w:t>
      </w:r>
      <w:r>
        <w:rPr>
          <w:rFonts w:ascii="Times New Roman" w:hAnsi="Times New Roman" w:cs="Times New Roman"/>
        </w:rPr>
        <w:t xml:space="preserve">). </w:t>
      </w:r>
      <w:r w:rsidRPr="007F4D98">
        <w:rPr>
          <w:rFonts w:ascii="Times New Roman" w:hAnsi="Times New Roman" w:cs="Times New Roman"/>
        </w:rPr>
        <w:t>The views expressed are those of the authors and not necessarily those of the HS&amp;DR programme, the NHS, the NIHR</w:t>
      </w:r>
      <w:r>
        <w:rPr>
          <w:rFonts w:ascii="Times New Roman" w:hAnsi="Times New Roman" w:cs="Times New Roman"/>
        </w:rPr>
        <w:t xml:space="preserve">, </w:t>
      </w:r>
      <w:r w:rsidRPr="007F4D98">
        <w:rPr>
          <w:rFonts w:ascii="Times New Roman" w:hAnsi="Times New Roman" w:cs="Times New Roman"/>
        </w:rPr>
        <w:t>the Department of Health and Social Care</w:t>
      </w:r>
      <w:r>
        <w:rPr>
          <w:rFonts w:ascii="Times New Roman" w:hAnsi="Times New Roman" w:cs="Times New Roman"/>
        </w:rPr>
        <w:t xml:space="preserve">, </w:t>
      </w:r>
      <w:r w:rsidRPr="006F7A04">
        <w:rPr>
          <w:rFonts w:ascii="Times New Roman" w:hAnsi="Times New Roman" w:cs="Times New Roman"/>
        </w:rPr>
        <w:t>the Closing the Gap network or UKRI</w:t>
      </w:r>
      <w:r w:rsidRPr="007F4D98">
        <w:rPr>
          <w:rFonts w:ascii="Times New Roman" w:hAnsi="Times New Roman" w:cs="Times New Roman"/>
        </w:rPr>
        <w:t xml:space="preserve">. </w:t>
      </w:r>
    </w:p>
    <w:p w14:paraId="0FA76AF3" w14:textId="77777777" w:rsidR="0013317F" w:rsidRPr="007F4D98" w:rsidRDefault="0013317F" w:rsidP="0013317F">
      <w:pPr>
        <w:jc w:val="both"/>
        <w:rPr>
          <w:rFonts w:ascii="Times New Roman" w:hAnsi="Times New Roman" w:cs="Times New Roman"/>
        </w:rPr>
      </w:pPr>
    </w:p>
    <w:p w14:paraId="24BE9EB5" w14:textId="77777777" w:rsidR="0013317F" w:rsidRPr="00425B39" w:rsidRDefault="0013317F" w:rsidP="0013317F">
      <w:pPr>
        <w:jc w:val="both"/>
        <w:rPr>
          <w:rFonts w:ascii="Times New Roman" w:hAnsi="Times New Roman" w:cs="Times New Roman"/>
        </w:rPr>
      </w:pPr>
      <w:r w:rsidRPr="00425B39">
        <w:rPr>
          <w:rFonts w:ascii="Times New Roman" w:hAnsi="Times New Roman" w:cs="Times New Roman"/>
          <w:b/>
        </w:rPr>
        <w:lastRenderedPageBreak/>
        <w:t>Conflicts of interest disclosures</w:t>
      </w:r>
      <w:r w:rsidRPr="00425B39">
        <w:rPr>
          <w:rFonts w:ascii="Times New Roman" w:hAnsi="Times New Roman" w:cs="Times New Roman"/>
        </w:rPr>
        <w:t>:</w:t>
      </w:r>
    </w:p>
    <w:p w14:paraId="3FDB4299" w14:textId="77777777" w:rsidR="0013317F" w:rsidRDefault="0013317F" w:rsidP="0013317F">
      <w:pPr>
        <w:jc w:val="both"/>
        <w:rPr>
          <w:rFonts w:ascii="Times New Roman" w:hAnsi="Times New Roman" w:cs="Times New Roman"/>
        </w:rPr>
      </w:pPr>
      <w:r w:rsidRPr="00425B39">
        <w:rPr>
          <w:rFonts w:ascii="Times New Roman" w:hAnsi="Times New Roman" w:cs="Times New Roman"/>
        </w:rPr>
        <w:t>SLA has received funding from the Wellcome Institutional Strategic Support Fund and a National Institute of Health Research (NIHR) Clinical Trials Fellowship. SLA is a member of the Health Services &amp; Delivery Research funding committee. SG is deputy chair of the NIHR Health Technology Assessment (HTA) Commissioning Board, and a member of the HTA Commissioning Committee, the HTA Funding Committee Policy Group, and the HTA Post-Funding Committee teleconference. CH is a member of the NIHR HTA Commissioning Board (2015-current). RIGH has received honoraria for speaker engagement, conference attendance or advisory boards from: AstraZeneca, Boehringer-Ingelheim, European Association for the Study of Diabetes, Eli Lilly, Janssen, Menarini, Mylan, Novo Nordisk and Omniamed, Otsuka. RIGH was a member of the HTA Prioritisation Committee C (Mental Health, Women and Children’s Health) until July 2019. DS is an expert advisor to the National Institute for Health and Care Excellence (NICE) centre for guidelines and a member of the current NICE guideline development group for Rehabilitation in adults with complex psychosis and related severe mental health conditions; a Board member of the National Collaborating Centre for Mental Health (NCCMH); a Clinical Advisor (paid consultancy basis) to the National Clinical Audit of Psychosis (NCAP); these are the personal views of DS and not those of NICE, NCCMH or NCAP. DS has received personal fees from Wiley Blackwell publication “Promoting Recovery in Early Psychosis” 2010, ISBN 978-1-4051-4894-8, joint editor in receipt of royalties, outside the submitted work; personal fees received as member of the current NICE guideline development group for Rehabilitation in adults with complex psychosis and related severe mental health conditions. LH</w:t>
      </w:r>
      <w:r>
        <w:rPr>
          <w:rFonts w:ascii="Times New Roman" w:hAnsi="Times New Roman" w:cs="Times New Roman"/>
        </w:rPr>
        <w:t>,</w:t>
      </w:r>
      <w:r w:rsidRPr="00425B39">
        <w:rPr>
          <w:rFonts w:ascii="Times New Roman" w:hAnsi="Times New Roman" w:cs="Times New Roman"/>
        </w:rPr>
        <w:t xml:space="preserve"> TD</w:t>
      </w:r>
      <w:r>
        <w:rPr>
          <w:rFonts w:ascii="Times New Roman" w:hAnsi="Times New Roman" w:cs="Times New Roman"/>
        </w:rPr>
        <w:t xml:space="preserve">, </w:t>
      </w:r>
      <w:r w:rsidRPr="00425B39">
        <w:rPr>
          <w:rFonts w:ascii="Times New Roman" w:hAnsi="Times New Roman" w:cs="Times New Roman"/>
        </w:rPr>
        <w:t>RJ</w:t>
      </w:r>
      <w:r>
        <w:rPr>
          <w:rFonts w:ascii="Times New Roman" w:hAnsi="Times New Roman" w:cs="Times New Roman"/>
        </w:rPr>
        <w:t xml:space="preserve">, </w:t>
      </w:r>
      <w:r w:rsidRPr="00425B39">
        <w:rPr>
          <w:rFonts w:ascii="Times New Roman" w:hAnsi="Times New Roman" w:cs="Times New Roman"/>
        </w:rPr>
        <w:t>SLP</w:t>
      </w:r>
      <w:r>
        <w:rPr>
          <w:rFonts w:ascii="Times New Roman" w:hAnsi="Times New Roman" w:cs="Times New Roman"/>
        </w:rPr>
        <w:t xml:space="preserve">, HW, </w:t>
      </w:r>
      <w:r w:rsidRPr="00425B39">
        <w:rPr>
          <w:rFonts w:ascii="Times New Roman" w:hAnsi="Times New Roman" w:cs="Times New Roman"/>
        </w:rPr>
        <w:t>SB</w:t>
      </w:r>
      <w:r>
        <w:rPr>
          <w:rFonts w:ascii="Times New Roman" w:hAnsi="Times New Roman" w:cs="Times New Roman"/>
        </w:rPr>
        <w:t xml:space="preserve">, </w:t>
      </w:r>
      <w:r w:rsidRPr="00425B39">
        <w:rPr>
          <w:rFonts w:ascii="Times New Roman" w:hAnsi="Times New Roman" w:cs="Times New Roman"/>
        </w:rPr>
        <w:t>CEWK</w:t>
      </w:r>
      <w:r>
        <w:rPr>
          <w:rFonts w:ascii="Times New Roman" w:hAnsi="Times New Roman" w:cs="Times New Roman"/>
        </w:rPr>
        <w:t>,</w:t>
      </w:r>
      <w:r w:rsidRPr="00425B39">
        <w:rPr>
          <w:rFonts w:ascii="Times New Roman" w:hAnsi="Times New Roman" w:cs="Times New Roman"/>
        </w:rPr>
        <w:t xml:space="preserve"> JL</w:t>
      </w:r>
      <w:r>
        <w:rPr>
          <w:rFonts w:ascii="Times New Roman" w:hAnsi="Times New Roman" w:cs="Times New Roman"/>
        </w:rPr>
        <w:t>,</w:t>
      </w:r>
      <w:r w:rsidRPr="00425B39">
        <w:rPr>
          <w:rFonts w:ascii="Times New Roman" w:hAnsi="Times New Roman" w:cs="Times New Roman"/>
        </w:rPr>
        <w:t xml:space="preserve"> JT</w:t>
      </w:r>
      <w:r>
        <w:rPr>
          <w:rFonts w:ascii="Times New Roman" w:hAnsi="Times New Roman" w:cs="Times New Roman"/>
        </w:rPr>
        <w:t xml:space="preserve"> and </w:t>
      </w:r>
      <w:r w:rsidRPr="00425B39">
        <w:rPr>
          <w:rFonts w:ascii="Times New Roman" w:hAnsi="Times New Roman" w:cs="Times New Roman"/>
        </w:rPr>
        <w:t>NS declare no conflicts of interest</w:t>
      </w:r>
      <w:r>
        <w:rPr>
          <w:rFonts w:ascii="Times New Roman" w:hAnsi="Times New Roman" w:cs="Times New Roman"/>
        </w:rPr>
        <w:t>.</w:t>
      </w:r>
    </w:p>
    <w:p w14:paraId="7FBDEDFD" w14:textId="77777777" w:rsidR="0013317F" w:rsidRDefault="0013317F" w:rsidP="00EE5EC4">
      <w:pPr>
        <w:jc w:val="center"/>
        <w:rPr>
          <w:rFonts w:ascii="Times New Roman" w:hAnsi="Times New Roman" w:cs="Times New Roman"/>
          <w:b/>
        </w:rPr>
      </w:pPr>
    </w:p>
    <w:p w14:paraId="5F846263" w14:textId="77777777" w:rsidR="0013317F" w:rsidRDefault="0013317F" w:rsidP="00EE5EC4">
      <w:pPr>
        <w:jc w:val="center"/>
        <w:rPr>
          <w:rFonts w:ascii="Times New Roman" w:hAnsi="Times New Roman" w:cs="Times New Roman"/>
          <w:b/>
        </w:rPr>
      </w:pPr>
    </w:p>
    <w:p w14:paraId="6D592926" w14:textId="77777777" w:rsidR="0013317F" w:rsidRDefault="0013317F" w:rsidP="00EE5EC4">
      <w:pPr>
        <w:jc w:val="center"/>
        <w:rPr>
          <w:rFonts w:ascii="Times New Roman" w:hAnsi="Times New Roman" w:cs="Times New Roman"/>
          <w:b/>
        </w:rPr>
      </w:pPr>
    </w:p>
    <w:p w14:paraId="779EF21D" w14:textId="77777777" w:rsidR="0013317F" w:rsidRDefault="0013317F" w:rsidP="00EE5EC4">
      <w:pPr>
        <w:jc w:val="center"/>
        <w:rPr>
          <w:rFonts w:ascii="Times New Roman" w:hAnsi="Times New Roman" w:cs="Times New Roman"/>
          <w:b/>
        </w:rPr>
      </w:pPr>
    </w:p>
    <w:p w14:paraId="5740EFB8" w14:textId="77777777" w:rsidR="0013317F" w:rsidRDefault="0013317F" w:rsidP="00EE5EC4">
      <w:pPr>
        <w:jc w:val="center"/>
        <w:rPr>
          <w:rFonts w:ascii="Times New Roman" w:hAnsi="Times New Roman" w:cs="Times New Roman"/>
          <w:b/>
        </w:rPr>
      </w:pPr>
    </w:p>
    <w:p w14:paraId="3B6F9834" w14:textId="77777777" w:rsidR="0013317F" w:rsidRDefault="0013317F" w:rsidP="00EE5EC4">
      <w:pPr>
        <w:jc w:val="center"/>
        <w:rPr>
          <w:rFonts w:ascii="Times New Roman" w:hAnsi="Times New Roman" w:cs="Times New Roman"/>
          <w:b/>
        </w:rPr>
      </w:pPr>
    </w:p>
    <w:p w14:paraId="7957F246" w14:textId="77777777" w:rsidR="0013317F" w:rsidRDefault="0013317F" w:rsidP="00EE5EC4">
      <w:pPr>
        <w:jc w:val="center"/>
        <w:rPr>
          <w:rFonts w:ascii="Times New Roman" w:hAnsi="Times New Roman" w:cs="Times New Roman"/>
          <w:b/>
        </w:rPr>
      </w:pPr>
    </w:p>
    <w:p w14:paraId="2E9C9E80" w14:textId="77777777" w:rsidR="0013317F" w:rsidRDefault="0013317F" w:rsidP="00EE5EC4">
      <w:pPr>
        <w:jc w:val="center"/>
        <w:rPr>
          <w:rFonts w:ascii="Times New Roman" w:hAnsi="Times New Roman" w:cs="Times New Roman"/>
          <w:b/>
        </w:rPr>
      </w:pPr>
    </w:p>
    <w:p w14:paraId="4FBF117B" w14:textId="77777777" w:rsidR="0013317F" w:rsidRDefault="0013317F" w:rsidP="00EE5EC4">
      <w:pPr>
        <w:jc w:val="center"/>
        <w:rPr>
          <w:rFonts w:ascii="Times New Roman" w:hAnsi="Times New Roman" w:cs="Times New Roman"/>
          <w:b/>
        </w:rPr>
      </w:pPr>
    </w:p>
    <w:p w14:paraId="743B58CF" w14:textId="77777777" w:rsidR="0013317F" w:rsidRDefault="0013317F" w:rsidP="00EE5EC4">
      <w:pPr>
        <w:jc w:val="center"/>
        <w:rPr>
          <w:rFonts w:ascii="Times New Roman" w:hAnsi="Times New Roman" w:cs="Times New Roman"/>
          <w:b/>
        </w:rPr>
      </w:pPr>
    </w:p>
    <w:p w14:paraId="3A7CCBCA" w14:textId="77777777" w:rsidR="0013317F" w:rsidRDefault="0013317F" w:rsidP="00EE5EC4">
      <w:pPr>
        <w:jc w:val="center"/>
        <w:rPr>
          <w:rFonts w:ascii="Times New Roman" w:hAnsi="Times New Roman" w:cs="Times New Roman"/>
          <w:b/>
        </w:rPr>
      </w:pPr>
    </w:p>
    <w:p w14:paraId="63C69BC8" w14:textId="77777777" w:rsidR="0013317F" w:rsidRDefault="0013317F" w:rsidP="00EE5EC4">
      <w:pPr>
        <w:jc w:val="center"/>
        <w:rPr>
          <w:rFonts w:ascii="Times New Roman" w:hAnsi="Times New Roman" w:cs="Times New Roman"/>
          <w:b/>
        </w:rPr>
      </w:pPr>
    </w:p>
    <w:p w14:paraId="7427150D" w14:textId="77777777" w:rsidR="0013317F" w:rsidRDefault="0013317F" w:rsidP="00EE5EC4">
      <w:pPr>
        <w:jc w:val="center"/>
        <w:rPr>
          <w:rFonts w:ascii="Times New Roman" w:hAnsi="Times New Roman" w:cs="Times New Roman"/>
          <w:b/>
        </w:rPr>
      </w:pPr>
    </w:p>
    <w:p w14:paraId="5F72E027" w14:textId="77777777" w:rsidR="0013317F" w:rsidRDefault="0013317F" w:rsidP="00EE5EC4">
      <w:pPr>
        <w:jc w:val="center"/>
        <w:rPr>
          <w:rFonts w:ascii="Times New Roman" w:hAnsi="Times New Roman" w:cs="Times New Roman"/>
          <w:b/>
        </w:rPr>
      </w:pPr>
    </w:p>
    <w:p w14:paraId="180C45F2" w14:textId="77777777" w:rsidR="0013317F" w:rsidRDefault="0013317F" w:rsidP="00EE5EC4">
      <w:pPr>
        <w:jc w:val="center"/>
        <w:rPr>
          <w:rFonts w:ascii="Times New Roman" w:hAnsi="Times New Roman" w:cs="Times New Roman"/>
          <w:b/>
        </w:rPr>
      </w:pPr>
    </w:p>
    <w:p w14:paraId="2BD5197E" w14:textId="77777777" w:rsidR="0013317F" w:rsidRDefault="0013317F" w:rsidP="00EE5EC4">
      <w:pPr>
        <w:jc w:val="center"/>
        <w:rPr>
          <w:rFonts w:ascii="Times New Roman" w:hAnsi="Times New Roman" w:cs="Times New Roman"/>
          <w:b/>
        </w:rPr>
      </w:pPr>
    </w:p>
    <w:p w14:paraId="0F8F1015" w14:textId="77777777" w:rsidR="0013317F" w:rsidRDefault="0013317F" w:rsidP="00EE5EC4">
      <w:pPr>
        <w:jc w:val="center"/>
        <w:rPr>
          <w:rFonts w:ascii="Times New Roman" w:hAnsi="Times New Roman" w:cs="Times New Roman"/>
          <w:b/>
        </w:rPr>
      </w:pPr>
    </w:p>
    <w:p w14:paraId="10D01B1D" w14:textId="77777777" w:rsidR="0013317F" w:rsidRDefault="0013317F" w:rsidP="00EE5EC4">
      <w:pPr>
        <w:jc w:val="center"/>
        <w:rPr>
          <w:rFonts w:ascii="Times New Roman" w:hAnsi="Times New Roman" w:cs="Times New Roman"/>
          <w:b/>
        </w:rPr>
      </w:pPr>
    </w:p>
    <w:p w14:paraId="3EB5C723" w14:textId="7E68AD5F" w:rsidR="00C909F2" w:rsidRPr="00235A7D" w:rsidRDefault="00202BBC" w:rsidP="00EE5EC4">
      <w:pPr>
        <w:jc w:val="center"/>
        <w:rPr>
          <w:rFonts w:ascii="Times New Roman" w:hAnsi="Times New Roman" w:cs="Times New Roman"/>
          <w:b/>
        </w:rPr>
      </w:pPr>
      <w:r>
        <w:rPr>
          <w:rFonts w:ascii="Times New Roman" w:hAnsi="Times New Roman" w:cs="Times New Roman"/>
          <w:b/>
        </w:rPr>
        <w:lastRenderedPageBreak/>
        <w:t>The i</w:t>
      </w:r>
      <w:r w:rsidR="00235A7D" w:rsidRPr="00235A7D">
        <w:rPr>
          <w:rFonts w:ascii="Times New Roman" w:hAnsi="Times New Roman" w:cs="Times New Roman"/>
          <w:b/>
        </w:rPr>
        <w:t xml:space="preserve">mpact of severe mental illness on healthcare use </w:t>
      </w:r>
      <w:r w:rsidR="007A7DD8" w:rsidRPr="00235A7D">
        <w:rPr>
          <w:rFonts w:ascii="Times New Roman" w:hAnsi="Times New Roman" w:cs="Times New Roman"/>
          <w:b/>
        </w:rPr>
        <w:t>and health</w:t>
      </w:r>
      <w:r w:rsidR="00235A7D" w:rsidRPr="00235A7D">
        <w:rPr>
          <w:rFonts w:ascii="Times New Roman" w:hAnsi="Times New Roman" w:cs="Times New Roman"/>
          <w:b/>
        </w:rPr>
        <w:t xml:space="preserve"> outcomes</w:t>
      </w:r>
      <w:r w:rsidR="00642C9E">
        <w:rPr>
          <w:rFonts w:ascii="Times New Roman" w:hAnsi="Times New Roman" w:cs="Times New Roman"/>
          <w:b/>
        </w:rPr>
        <w:t xml:space="preserve"> for </w:t>
      </w:r>
      <w:r w:rsidR="005E66D6">
        <w:rPr>
          <w:rFonts w:ascii="Times New Roman" w:hAnsi="Times New Roman" w:cs="Times New Roman"/>
          <w:b/>
        </w:rPr>
        <w:t xml:space="preserve">people </w:t>
      </w:r>
      <w:r w:rsidR="00642C9E">
        <w:rPr>
          <w:rFonts w:ascii="Times New Roman" w:hAnsi="Times New Roman" w:cs="Times New Roman"/>
          <w:b/>
        </w:rPr>
        <w:t xml:space="preserve">with </w:t>
      </w:r>
      <w:r w:rsidR="00167B02">
        <w:rPr>
          <w:rFonts w:ascii="Times New Roman" w:hAnsi="Times New Roman" w:cs="Times New Roman"/>
          <w:b/>
        </w:rPr>
        <w:t xml:space="preserve">type 2 </w:t>
      </w:r>
      <w:r w:rsidR="00642C9E">
        <w:rPr>
          <w:rFonts w:ascii="Times New Roman" w:hAnsi="Times New Roman" w:cs="Times New Roman"/>
          <w:b/>
        </w:rPr>
        <w:t>diabetes</w:t>
      </w:r>
      <w:r w:rsidR="00235A7D" w:rsidRPr="00235A7D">
        <w:rPr>
          <w:rFonts w:ascii="Times New Roman" w:hAnsi="Times New Roman" w:cs="Times New Roman"/>
          <w:b/>
        </w:rPr>
        <w:t xml:space="preserve">: a longitudinal observational study </w:t>
      </w:r>
      <w:r w:rsidR="00264910">
        <w:rPr>
          <w:rFonts w:ascii="Times New Roman" w:hAnsi="Times New Roman" w:cs="Times New Roman"/>
          <w:b/>
        </w:rPr>
        <w:t>in England</w:t>
      </w:r>
    </w:p>
    <w:p w14:paraId="6BA92475" w14:textId="77777777" w:rsidR="0004173F" w:rsidRDefault="0004173F" w:rsidP="00EE5EC4">
      <w:pPr>
        <w:jc w:val="both"/>
        <w:rPr>
          <w:rFonts w:ascii="Times New Roman" w:hAnsi="Times New Roman" w:cs="Times New Roman"/>
          <w:b/>
          <w:bCs/>
        </w:rPr>
      </w:pPr>
    </w:p>
    <w:p w14:paraId="52C4EDEB" w14:textId="1B0E14CE" w:rsidR="0004173F" w:rsidRDefault="00483BCD" w:rsidP="00EE5EC4">
      <w:pPr>
        <w:jc w:val="both"/>
        <w:rPr>
          <w:rFonts w:ascii="Times New Roman" w:hAnsi="Times New Roman" w:cs="Times New Roman"/>
          <w:b/>
          <w:bCs/>
        </w:rPr>
      </w:pPr>
      <w:r w:rsidRPr="00483BCD">
        <w:rPr>
          <w:rFonts w:ascii="Times New Roman" w:hAnsi="Times New Roman" w:cs="Times New Roman"/>
          <w:b/>
          <w:bCs/>
        </w:rPr>
        <w:t>Abstract</w:t>
      </w:r>
    </w:p>
    <w:p w14:paraId="28B9C9CE" w14:textId="77777777" w:rsidR="00CE2060" w:rsidRDefault="00CE2060" w:rsidP="00EE5EC4">
      <w:pPr>
        <w:jc w:val="both"/>
        <w:rPr>
          <w:rFonts w:ascii="Times New Roman" w:hAnsi="Times New Roman" w:cs="Times New Roman"/>
        </w:rPr>
      </w:pPr>
      <w:r>
        <w:rPr>
          <w:rFonts w:ascii="Times New Roman" w:hAnsi="Times New Roman" w:cs="Times New Roman"/>
          <w:i/>
          <w:iCs/>
        </w:rPr>
        <w:t>Background</w:t>
      </w:r>
    </w:p>
    <w:p w14:paraId="6AF6BFE4" w14:textId="6488CE5A" w:rsidR="009069C6" w:rsidRDefault="00CE2060" w:rsidP="00EE5EC4">
      <w:pPr>
        <w:jc w:val="both"/>
        <w:rPr>
          <w:rFonts w:ascii="Times New Roman" w:hAnsi="Times New Roman" w:cs="Times New Roman"/>
        </w:rPr>
      </w:pPr>
      <w:r>
        <w:rPr>
          <w:rFonts w:ascii="Times New Roman" w:hAnsi="Times New Roman" w:cs="Times New Roman"/>
        </w:rPr>
        <w:t>People with s</w:t>
      </w:r>
      <w:r w:rsidRPr="00E301D4">
        <w:rPr>
          <w:rFonts w:ascii="Times New Roman" w:hAnsi="Times New Roman" w:cs="Times New Roman"/>
        </w:rPr>
        <w:t>evere mental illnesses</w:t>
      </w:r>
      <w:r>
        <w:rPr>
          <w:rFonts w:ascii="Times New Roman" w:hAnsi="Times New Roman" w:cs="Times New Roman"/>
        </w:rPr>
        <w:t xml:space="preserve"> (SMI) have reduced life expectancy compared with the general population. Diabetes is a major contributor </w:t>
      </w:r>
      <w:r w:rsidR="00C44ED0">
        <w:rPr>
          <w:rFonts w:ascii="Times New Roman" w:hAnsi="Times New Roman" w:cs="Times New Roman"/>
        </w:rPr>
        <w:t xml:space="preserve">to this disparity </w:t>
      </w:r>
      <w:r>
        <w:rPr>
          <w:rFonts w:ascii="Times New Roman" w:hAnsi="Times New Roman" w:cs="Times New Roman"/>
        </w:rPr>
        <w:t xml:space="preserve">with higher prevalence and poorer outcomes in </w:t>
      </w:r>
      <w:r w:rsidR="00C44ED0">
        <w:rPr>
          <w:rFonts w:ascii="Times New Roman" w:hAnsi="Times New Roman" w:cs="Times New Roman"/>
        </w:rPr>
        <w:t>people with SMI</w:t>
      </w:r>
      <w:r>
        <w:rPr>
          <w:rFonts w:ascii="Times New Roman" w:hAnsi="Times New Roman" w:cs="Times New Roman"/>
        </w:rPr>
        <w:t xml:space="preserve">. </w:t>
      </w:r>
    </w:p>
    <w:p w14:paraId="5EA8E671" w14:textId="77777777" w:rsidR="009069C6" w:rsidRDefault="009069C6" w:rsidP="00EE5EC4">
      <w:pPr>
        <w:jc w:val="both"/>
        <w:rPr>
          <w:rFonts w:ascii="Times New Roman" w:hAnsi="Times New Roman" w:cs="Times New Roman"/>
        </w:rPr>
      </w:pPr>
    </w:p>
    <w:p w14:paraId="7AE32789" w14:textId="77777777" w:rsidR="00264910" w:rsidRPr="008A4B29" w:rsidRDefault="00264910" w:rsidP="00EE5EC4">
      <w:pPr>
        <w:jc w:val="both"/>
        <w:rPr>
          <w:rFonts w:ascii="Times New Roman" w:hAnsi="Times New Roman" w:cs="Times New Roman"/>
          <w:i/>
          <w:iCs/>
        </w:rPr>
      </w:pPr>
      <w:r w:rsidRPr="008A4B29">
        <w:rPr>
          <w:rFonts w:ascii="Times New Roman" w:hAnsi="Times New Roman" w:cs="Times New Roman"/>
          <w:i/>
          <w:iCs/>
        </w:rPr>
        <w:t>Aim</w:t>
      </w:r>
    </w:p>
    <w:p w14:paraId="7A7FB355" w14:textId="54670EB9" w:rsidR="00CE2060" w:rsidRDefault="00264910" w:rsidP="00EE5EC4">
      <w:pPr>
        <w:jc w:val="both"/>
        <w:rPr>
          <w:rFonts w:ascii="Times New Roman" w:hAnsi="Times New Roman" w:cs="Times New Roman"/>
        </w:rPr>
      </w:pPr>
      <w:r>
        <w:rPr>
          <w:rFonts w:ascii="Times New Roman" w:hAnsi="Times New Roman" w:cs="Times New Roman"/>
        </w:rPr>
        <w:t xml:space="preserve">To </w:t>
      </w:r>
      <w:r w:rsidR="00B2072A">
        <w:rPr>
          <w:rFonts w:ascii="Times New Roman" w:hAnsi="Times New Roman" w:cs="Times New Roman"/>
        </w:rPr>
        <w:t xml:space="preserve">determine </w:t>
      </w:r>
      <w:r w:rsidR="00CE2060">
        <w:rPr>
          <w:rFonts w:ascii="Times New Roman" w:hAnsi="Times New Roman" w:cs="Times New Roman"/>
        </w:rPr>
        <w:t xml:space="preserve">the impact of SMI on </w:t>
      </w:r>
      <w:r w:rsidR="00C44ED0">
        <w:rPr>
          <w:rFonts w:ascii="Times New Roman" w:hAnsi="Times New Roman" w:cs="Times New Roman"/>
        </w:rPr>
        <w:t>health</w:t>
      </w:r>
      <w:r w:rsidR="00CE2060">
        <w:rPr>
          <w:rFonts w:ascii="Times New Roman" w:hAnsi="Times New Roman" w:cs="Times New Roman"/>
        </w:rPr>
        <w:t xml:space="preserve">care </w:t>
      </w:r>
      <w:r w:rsidR="00C44ED0">
        <w:rPr>
          <w:rFonts w:ascii="Times New Roman" w:hAnsi="Times New Roman" w:cs="Times New Roman"/>
        </w:rPr>
        <w:t>process</w:t>
      </w:r>
      <w:r w:rsidR="00FA03F8">
        <w:rPr>
          <w:rFonts w:ascii="Times New Roman" w:hAnsi="Times New Roman" w:cs="Times New Roman"/>
        </w:rPr>
        <w:t>es</w:t>
      </w:r>
      <w:r w:rsidR="00C44ED0">
        <w:rPr>
          <w:rFonts w:ascii="Times New Roman" w:hAnsi="Times New Roman" w:cs="Times New Roman"/>
        </w:rPr>
        <w:t xml:space="preserve"> </w:t>
      </w:r>
      <w:r w:rsidR="00CE2060">
        <w:rPr>
          <w:rFonts w:ascii="Times New Roman" w:hAnsi="Times New Roman" w:cs="Times New Roman"/>
        </w:rPr>
        <w:t>and outcomes for diabetes</w:t>
      </w:r>
      <w:r w:rsidR="00C44ED0">
        <w:rPr>
          <w:rFonts w:ascii="Times New Roman" w:hAnsi="Times New Roman" w:cs="Times New Roman"/>
        </w:rPr>
        <w:t>.</w:t>
      </w:r>
      <w:r w:rsidR="00CE2060">
        <w:rPr>
          <w:rFonts w:ascii="Times New Roman" w:hAnsi="Times New Roman" w:cs="Times New Roman"/>
        </w:rPr>
        <w:t xml:space="preserve"> </w:t>
      </w:r>
    </w:p>
    <w:p w14:paraId="4DD634E4" w14:textId="77777777" w:rsidR="00682E74" w:rsidRDefault="00682E74" w:rsidP="00EE5EC4">
      <w:pPr>
        <w:jc w:val="both"/>
        <w:rPr>
          <w:rFonts w:ascii="Times New Roman" w:hAnsi="Times New Roman" w:cs="Times New Roman"/>
        </w:rPr>
      </w:pPr>
    </w:p>
    <w:p w14:paraId="1392E40D" w14:textId="211729FB" w:rsidR="00264910" w:rsidRPr="008A4B29" w:rsidRDefault="00264910" w:rsidP="00EE5EC4">
      <w:pPr>
        <w:jc w:val="both"/>
        <w:rPr>
          <w:rFonts w:ascii="Times New Roman" w:hAnsi="Times New Roman" w:cs="Times New Roman"/>
          <w:i/>
          <w:iCs/>
        </w:rPr>
      </w:pPr>
      <w:r w:rsidRPr="008A4B29">
        <w:rPr>
          <w:rFonts w:ascii="Times New Roman" w:hAnsi="Times New Roman" w:cs="Times New Roman"/>
          <w:i/>
          <w:iCs/>
        </w:rPr>
        <w:t>Design and setting</w:t>
      </w:r>
    </w:p>
    <w:p w14:paraId="10B24CBE" w14:textId="4D003631" w:rsidR="00264910" w:rsidRDefault="00264910" w:rsidP="00EE5EC4">
      <w:pPr>
        <w:jc w:val="both"/>
        <w:rPr>
          <w:rFonts w:ascii="Times New Roman" w:hAnsi="Times New Roman" w:cs="Times New Roman"/>
        </w:rPr>
      </w:pPr>
      <w:r w:rsidRPr="00EC6E31">
        <w:rPr>
          <w:rFonts w:ascii="Times New Roman" w:hAnsi="Times New Roman" w:cs="Times New Roman"/>
        </w:rPr>
        <w:t xml:space="preserve">Retrospective observational matched </w:t>
      </w:r>
      <w:r w:rsidR="00380EE0" w:rsidRPr="00EC6E31">
        <w:rPr>
          <w:rFonts w:ascii="Times New Roman" w:hAnsi="Times New Roman" w:cs="Times New Roman"/>
        </w:rPr>
        <w:t xml:space="preserve">nested </w:t>
      </w:r>
      <w:r w:rsidRPr="00EC6E31">
        <w:rPr>
          <w:rFonts w:ascii="Times New Roman" w:hAnsi="Times New Roman" w:cs="Times New Roman"/>
        </w:rPr>
        <w:t xml:space="preserve">case-control study </w:t>
      </w:r>
      <w:r w:rsidR="009E54D4" w:rsidRPr="00EC6E31">
        <w:rPr>
          <w:rFonts w:ascii="Times New Roman" w:hAnsi="Times New Roman" w:cs="Times New Roman"/>
        </w:rPr>
        <w:t>using patient records</w:t>
      </w:r>
      <w:r w:rsidR="00C44ED0" w:rsidRPr="00EC6E31">
        <w:rPr>
          <w:rFonts w:ascii="Times New Roman" w:hAnsi="Times New Roman" w:cs="Times New Roman"/>
        </w:rPr>
        <w:t xml:space="preserve"> </w:t>
      </w:r>
      <w:r w:rsidR="009E54D4" w:rsidRPr="00EC6E31">
        <w:rPr>
          <w:rFonts w:ascii="Times New Roman" w:hAnsi="Times New Roman" w:cs="Times New Roman"/>
        </w:rPr>
        <w:t>from the Clinical</w:t>
      </w:r>
      <w:r w:rsidR="009E54D4">
        <w:rPr>
          <w:rFonts w:ascii="Times New Roman" w:hAnsi="Times New Roman" w:cs="Times New Roman"/>
        </w:rPr>
        <w:t xml:space="preserve"> Practice Research Datalink linked to Hospital Episode Statistics. </w:t>
      </w:r>
    </w:p>
    <w:p w14:paraId="43064047" w14:textId="77777777" w:rsidR="00CE2060" w:rsidRPr="00281360" w:rsidRDefault="00CE2060" w:rsidP="00EE5EC4">
      <w:pPr>
        <w:jc w:val="both"/>
        <w:rPr>
          <w:rFonts w:ascii="Times New Roman" w:hAnsi="Times New Roman" w:cs="Times New Roman"/>
        </w:rPr>
      </w:pPr>
    </w:p>
    <w:p w14:paraId="100FB95F" w14:textId="77777777" w:rsidR="00CE2060" w:rsidRDefault="00CE2060" w:rsidP="00EE5EC4">
      <w:pPr>
        <w:jc w:val="both"/>
        <w:rPr>
          <w:rFonts w:ascii="Times New Roman" w:hAnsi="Times New Roman" w:cs="Times New Roman"/>
        </w:rPr>
      </w:pPr>
      <w:r>
        <w:rPr>
          <w:rFonts w:ascii="Times New Roman" w:hAnsi="Times New Roman" w:cs="Times New Roman"/>
          <w:i/>
          <w:iCs/>
        </w:rPr>
        <w:t>Methods</w:t>
      </w:r>
    </w:p>
    <w:p w14:paraId="46471DCB" w14:textId="76CCDA6A" w:rsidR="00CE2060" w:rsidRDefault="00C44ED0" w:rsidP="00EE5EC4">
      <w:pPr>
        <w:jc w:val="both"/>
        <w:rPr>
          <w:rFonts w:ascii="Times New Roman" w:hAnsi="Times New Roman" w:cs="Times New Roman"/>
        </w:rPr>
      </w:pPr>
      <w:r>
        <w:rPr>
          <w:rFonts w:ascii="Times New Roman" w:hAnsi="Times New Roman" w:cs="Times New Roman"/>
        </w:rPr>
        <w:t>We compared a range of healthcare process</w:t>
      </w:r>
      <w:r w:rsidR="00FA03F8">
        <w:rPr>
          <w:rFonts w:ascii="Times New Roman" w:hAnsi="Times New Roman" w:cs="Times New Roman"/>
        </w:rPr>
        <w:t>es</w:t>
      </w:r>
      <w:r>
        <w:rPr>
          <w:rFonts w:ascii="Times New Roman" w:hAnsi="Times New Roman" w:cs="Times New Roman"/>
        </w:rPr>
        <w:t xml:space="preserve"> (p</w:t>
      </w:r>
      <w:r w:rsidR="00CE2060">
        <w:rPr>
          <w:rFonts w:ascii="Times New Roman" w:hAnsi="Times New Roman" w:cs="Times New Roman"/>
        </w:rPr>
        <w:t xml:space="preserve">rimary care consultations, physical health checks, </w:t>
      </w:r>
      <w:r w:rsidR="00F6376F">
        <w:rPr>
          <w:rFonts w:ascii="Times New Roman" w:hAnsi="Times New Roman" w:cs="Times New Roman"/>
        </w:rPr>
        <w:t xml:space="preserve">metabolic </w:t>
      </w:r>
      <w:r w:rsidR="00CE2060">
        <w:rPr>
          <w:rFonts w:ascii="Times New Roman" w:hAnsi="Times New Roman" w:cs="Times New Roman"/>
        </w:rPr>
        <w:t>measurements</w:t>
      </w:r>
      <w:r>
        <w:rPr>
          <w:rFonts w:ascii="Times New Roman" w:hAnsi="Times New Roman" w:cs="Times New Roman"/>
        </w:rPr>
        <w:t>) and outcomes (</w:t>
      </w:r>
      <w:r w:rsidR="00CE2060">
        <w:rPr>
          <w:rFonts w:ascii="Times New Roman" w:hAnsi="Times New Roman" w:cs="Times New Roman"/>
        </w:rPr>
        <w:t>prevalence and hospital</w:t>
      </w:r>
      <w:r w:rsidR="00D36969">
        <w:rPr>
          <w:rFonts w:ascii="Times New Roman" w:hAnsi="Times New Roman" w:cs="Times New Roman"/>
        </w:rPr>
        <w:t>isation</w:t>
      </w:r>
      <w:r w:rsidR="00CE2060">
        <w:rPr>
          <w:rFonts w:ascii="Times New Roman" w:hAnsi="Times New Roman" w:cs="Times New Roman"/>
        </w:rPr>
        <w:t xml:space="preserve"> for cardiovascular disease (CVD), and mortality </w:t>
      </w:r>
      <w:r w:rsidR="00D36969">
        <w:rPr>
          <w:rFonts w:ascii="Times New Roman" w:hAnsi="Times New Roman" w:cs="Times New Roman"/>
        </w:rPr>
        <w:t>risk</w:t>
      </w:r>
      <w:r>
        <w:rPr>
          <w:rFonts w:ascii="Times New Roman" w:hAnsi="Times New Roman" w:cs="Times New Roman"/>
        </w:rPr>
        <w:t>)</w:t>
      </w:r>
      <w:r w:rsidR="00D36969">
        <w:rPr>
          <w:rFonts w:ascii="Times New Roman" w:hAnsi="Times New Roman" w:cs="Times New Roman"/>
        </w:rPr>
        <w:t xml:space="preserve"> </w:t>
      </w:r>
      <w:r>
        <w:rPr>
          <w:rFonts w:ascii="Times New Roman" w:hAnsi="Times New Roman" w:cs="Times New Roman"/>
        </w:rPr>
        <w:t xml:space="preserve">for </w:t>
      </w:r>
      <w:r w:rsidR="00CE2060">
        <w:rPr>
          <w:rFonts w:ascii="Times New Roman" w:hAnsi="Times New Roman" w:cs="Times New Roman"/>
        </w:rPr>
        <w:t>2,192 people with SMI and type 2 diabetes</w:t>
      </w:r>
      <w:r>
        <w:rPr>
          <w:rFonts w:ascii="Times New Roman" w:hAnsi="Times New Roman" w:cs="Times New Roman"/>
        </w:rPr>
        <w:t xml:space="preserve"> (cases)</w:t>
      </w:r>
      <w:r w:rsidR="00CE2060">
        <w:rPr>
          <w:rFonts w:ascii="Times New Roman" w:hAnsi="Times New Roman" w:cs="Times New Roman"/>
        </w:rPr>
        <w:t xml:space="preserve"> </w:t>
      </w:r>
      <w:r>
        <w:rPr>
          <w:rFonts w:ascii="Times New Roman" w:hAnsi="Times New Roman" w:cs="Times New Roman"/>
        </w:rPr>
        <w:t xml:space="preserve">with </w:t>
      </w:r>
      <w:r w:rsidR="00CE2060">
        <w:rPr>
          <w:rFonts w:ascii="Times New Roman" w:hAnsi="Times New Roman" w:cs="Times New Roman"/>
        </w:rPr>
        <w:t xml:space="preserve">7,773 people with </w:t>
      </w:r>
      <w:r w:rsidR="001465EE">
        <w:rPr>
          <w:rFonts w:ascii="Times New Roman" w:hAnsi="Times New Roman" w:cs="Times New Roman"/>
        </w:rPr>
        <w:t xml:space="preserve">diabetes </w:t>
      </w:r>
      <w:r w:rsidR="00CE2060">
        <w:rPr>
          <w:rFonts w:ascii="Times New Roman" w:hAnsi="Times New Roman" w:cs="Times New Roman"/>
        </w:rPr>
        <w:t>alone</w:t>
      </w:r>
      <w:r>
        <w:rPr>
          <w:rFonts w:ascii="Times New Roman" w:hAnsi="Times New Roman" w:cs="Times New Roman"/>
        </w:rPr>
        <w:t xml:space="preserve"> (controls)</w:t>
      </w:r>
      <w:r w:rsidR="001465EE">
        <w:rPr>
          <w:rFonts w:ascii="Times New Roman" w:hAnsi="Times New Roman" w:cs="Times New Roman"/>
        </w:rPr>
        <w:t xml:space="preserve">. </w:t>
      </w:r>
      <w:r w:rsidR="00CE2060">
        <w:rPr>
          <w:rFonts w:ascii="Times New Roman" w:hAnsi="Times New Roman" w:cs="Times New Roman"/>
        </w:rPr>
        <w:t>Socio-demographics, comorbidit</w:t>
      </w:r>
      <w:r>
        <w:rPr>
          <w:rFonts w:ascii="Times New Roman" w:hAnsi="Times New Roman" w:cs="Times New Roman"/>
        </w:rPr>
        <w:t>y</w:t>
      </w:r>
      <w:r w:rsidR="00CE2060">
        <w:rPr>
          <w:rFonts w:ascii="Times New Roman" w:hAnsi="Times New Roman" w:cs="Times New Roman"/>
        </w:rPr>
        <w:t xml:space="preserve"> and medication</w:t>
      </w:r>
      <w:r>
        <w:rPr>
          <w:rFonts w:ascii="Times New Roman" w:hAnsi="Times New Roman" w:cs="Times New Roman"/>
        </w:rPr>
        <w:t xml:space="preserve"> </w:t>
      </w:r>
      <w:r w:rsidR="00B2072A">
        <w:rPr>
          <w:rFonts w:ascii="Times New Roman" w:hAnsi="Times New Roman" w:cs="Times New Roman"/>
        </w:rPr>
        <w:t>prescription</w:t>
      </w:r>
      <w:r w:rsidR="00CE2060">
        <w:rPr>
          <w:rFonts w:ascii="Times New Roman" w:hAnsi="Times New Roman" w:cs="Times New Roman"/>
        </w:rPr>
        <w:t xml:space="preserve"> were </w:t>
      </w:r>
      <w:r w:rsidR="00DA5FA7">
        <w:rPr>
          <w:rFonts w:ascii="Times New Roman" w:hAnsi="Times New Roman" w:cs="Times New Roman"/>
        </w:rPr>
        <w:t xml:space="preserve">covariates </w:t>
      </w:r>
      <w:r w:rsidR="00CE2060">
        <w:rPr>
          <w:rFonts w:ascii="Times New Roman" w:hAnsi="Times New Roman" w:cs="Times New Roman"/>
        </w:rPr>
        <w:t>in regression models.</w:t>
      </w:r>
    </w:p>
    <w:p w14:paraId="6C7AC07D" w14:textId="77777777" w:rsidR="00CE2060" w:rsidRDefault="00CE2060" w:rsidP="00EE5EC4">
      <w:pPr>
        <w:jc w:val="both"/>
        <w:rPr>
          <w:rFonts w:ascii="Times New Roman" w:hAnsi="Times New Roman" w:cs="Times New Roman"/>
        </w:rPr>
      </w:pPr>
    </w:p>
    <w:p w14:paraId="314EDC00" w14:textId="77777777" w:rsidR="00CE2060" w:rsidRDefault="00CE2060" w:rsidP="00EE5EC4">
      <w:pPr>
        <w:jc w:val="both"/>
        <w:rPr>
          <w:rFonts w:ascii="Times New Roman" w:hAnsi="Times New Roman" w:cs="Times New Roman"/>
        </w:rPr>
      </w:pPr>
      <w:r>
        <w:rPr>
          <w:rFonts w:ascii="Times New Roman" w:hAnsi="Times New Roman" w:cs="Times New Roman"/>
          <w:i/>
          <w:iCs/>
        </w:rPr>
        <w:t xml:space="preserve">Results </w:t>
      </w:r>
    </w:p>
    <w:p w14:paraId="395AAB04" w14:textId="61890471" w:rsidR="00CE2060" w:rsidRDefault="00CE2060" w:rsidP="00EE5EC4">
      <w:pPr>
        <w:jc w:val="both"/>
        <w:rPr>
          <w:rFonts w:ascii="Times New Roman" w:hAnsi="Times New Roman" w:cs="Times New Roman"/>
        </w:rPr>
      </w:pPr>
      <w:r w:rsidRPr="2331914B">
        <w:rPr>
          <w:rFonts w:ascii="Times New Roman" w:hAnsi="Times New Roman" w:cs="Times New Roman"/>
        </w:rPr>
        <w:t>SMI was associated with increased risk of all-cause mortality (</w:t>
      </w:r>
      <w:r w:rsidR="00D36969">
        <w:rPr>
          <w:rFonts w:ascii="Times New Roman" w:hAnsi="Times New Roman" w:cs="Times New Roman"/>
        </w:rPr>
        <w:t>Hazard Ratio</w:t>
      </w:r>
      <w:r w:rsidR="00420EA9">
        <w:rPr>
          <w:rFonts w:ascii="Times New Roman" w:hAnsi="Times New Roman" w:cs="Times New Roman"/>
        </w:rPr>
        <w:t xml:space="preserve"> [</w:t>
      </w:r>
      <w:r w:rsidRPr="2331914B">
        <w:rPr>
          <w:rFonts w:ascii="Times New Roman" w:hAnsi="Times New Roman" w:cs="Times New Roman"/>
        </w:rPr>
        <w:t>H</w:t>
      </w:r>
      <w:r w:rsidR="00420EA9">
        <w:rPr>
          <w:rFonts w:ascii="Times New Roman" w:hAnsi="Times New Roman" w:cs="Times New Roman"/>
        </w:rPr>
        <w:t>R]</w:t>
      </w:r>
      <w:r w:rsidRPr="2331914B">
        <w:rPr>
          <w:rFonts w:ascii="Times New Roman" w:hAnsi="Times New Roman" w:cs="Times New Roman"/>
        </w:rPr>
        <w:t>: 1.92; 95%</w:t>
      </w:r>
      <w:r>
        <w:rPr>
          <w:rFonts w:ascii="Times New Roman" w:hAnsi="Times New Roman" w:cs="Times New Roman"/>
        </w:rPr>
        <w:t xml:space="preserve"> </w:t>
      </w:r>
      <w:r w:rsidRPr="2331914B">
        <w:rPr>
          <w:rFonts w:ascii="Times New Roman" w:hAnsi="Times New Roman" w:cs="Times New Roman"/>
        </w:rPr>
        <w:t>CI: 1.60 to 2.30) and CVD-specific mortality (HR: 2.24; 1.55 to 3.25)</w:t>
      </w:r>
      <w:r>
        <w:rPr>
          <w:rFonts w:ascii="Times New Roman" w:hAnsi="Times New Roman" w:cs="Times New Roman"/>
        </w:rPr>
        <w:t>;</w:t>
      </w:r>
      <w:r w:rsidRPr="2331914B">
        <w:rPr>
          <w:rFonts w:ascii="Times New Roman" w:hAnsi="Times New Roman" w:cs="Times New Roman"/>
        </w:rPr>
        <w:t xml:space="preserve"> higher </w:t>
      </w:r>
      <w:r w:rsidR="00420EA9">
        <w:rPr>
          <w:rFonts w:ascii="Times New Roman" w:hAnsi="Times New Roman" w:cs="Times New Roman"/>
        </w:rPr>
        <w:t xml:space="preserve">physician </w:t>
      </w:r>
      <w:r w:rsidRPr="2331914B">
        <w:rPr>
          <w:rFonts w:ascii="Times New Roman" w:hAnsi="Times New Roman" w:cs="Times New Roman"/>
        </w:rPr>
        <w:t>consultation rates (</w:t>
      </w:r>
      <w:r w:rsidR="00D36969">
        <w:rPr>
          <w:rFonts w:ascii="Times New Roman" w:hAnsi="Times New Roman" w:cs="Times New Roman"/>
        </w:rPr>
        <w:t>Incidence Rate Ratio</w:t>
      </w:r>
      <w:r w:rsidR="00420EA9">
        <w:rPr>
          <w:rFonts w:ascii="Times New Roman" w:hAnsi="Times New Roman" w:cs="Times New Roman"/>
        </w:rPr>
        <w:t xml:space="preserve"> [</w:t>
      </w:r>
      <w:r w:rsidRPr="2331914B">
        <w:rPr>
          <w:rFonts w:ascii="Times New Roman" w:hAnsi="Times New Roman" w:cs="Times New Roman"/>
        </w:rPr>
        <w:t>IRR</w:t>
      </w:r>
      <w:r w:rsidR="00420EA9">
        <w:rPr>
          <w:rFonts w:ascii="Times New Roman" w:hAnsi="Times New Roman" w:cs="Times New Roman"/>
        </w:rPr>
        <w:t>]</w:t>
      </w:r>
      <w:r w:rsidRPr="2331914B">
        <w:rPr>
          <w:rFonts w:ascii="Times New Roman" w:hAnsi="Times New Roman" w:cs="Times New Roman"/>
        </w:rPr>
        <w:t xml:space="preserve">: 1.15; 1.11 to 1.19); more frequent </w:t>
      </w:r>
      <w:r w:rsidR="00420EA9">
        <w:rPr>
          <w:rFonts w:ascii="Times New Roman" w:hAnsi="Times New Roman" w:cs="Times New Roman"/>
        </w:rPr>
        <w:t xml:space="preserve">checks </w:t>
      </w:r>
      <w:r w:rsidR="00B2072A">
        <w:rPr>
          <w:rFonts w:ascii="Times New Roman" w:hAnsi="Times New Roman" w:cs="Times New Roman"/>
        </w:rPr>
        <w:t xml:space="preserve">of </w:t>
      </w:r>
      <w:r w:rsidRPr="2331914B">
        <w:rPr>
          <w:rFonts w:ascii="Times New Roman" w:hAnsi="Times New Roman" w:cs="Times New Roman"/>
        </w:rPr>
        <w:t>blood pressure (IRR: 1.02;</w:t>
      </w:r>
      <w:r w:rsidR="005916E2">
        <w:rPr>
          <w:rFonts w:ascii="Times New Roman" w:hAnsi="Times New Roman" w:cs="Times New Roman"/>
        </w:rPr>
        <w:t xml:space="preserve"> </w:t>
      </w:r>
      <w:r w:rsidRPr="2331914B">
        <w:rPr>
          <w:rFonts w:ascii="Times New Roman" w:hAnsi="Times New Roman" w:cs="Times New Roman"/>
        </w:rPr>
        <w:t>1.00 to 1.05) and cholesterol</w:t>
      </w:r>
      <w:r w:rsidR="009A33BF">
        <w:rPr>
          <w:rFonts w:ascii="Times New Roman" w:hAnsi="Times New Roman" w:cs="Times New Roman"/>
        </w:rPr>
        <w:t xml:space="preserve"> </w:t>
      </w:r>
      <w:r w:rsidRPr="2331914B">
        <w:rPr>
          <w:rFonts w:ascii="Times New Roman" w:hAnsi="Times New Roman" w:cs="Times New Roman"/>
        </w:rPr>
        <w:t xml:space="preserve">(IRR: 1.04; 1.02 to 1.06); lower prevalence </w:t>
      </w:r>
      <w:r w:rsidR="009A33BF">
        <w:rPr>
          <w:rFonts w:ascii="Times New Roman" w:hAnsi="Times New Roman" w:cs="Times New Roman"/>
        </w:rPr>
        <w:t>of</w:t>
      </w:r>
      <w:r w:rsidR="009A33BF" w:rsidRPr="2331914B">
        <w:rPr>
          <w:rFonts w:ascii="Times New Roman" w:hAnsi="Times New Roman" w:cs="Times New Roman"/>
        </w:rPr>
        <w:t xml:space="preserve"> </w:t>
      </w:r>
      <w:r w:rsidRPr="2331914B">
        <w:rPr>
          <w:rFonts w:ascii="Times New Roman" w:hAnsi="Times New Roman" w:cs="Times New Roman"/>
        </w:rPr>
        <w:t>angina (</w:t>
      </w:r>
      <w:r w:rsidR="00D36969">
        <w:rPr>
          <w:rFonts w:ascii="Times New Roman" w:hAnsi="Times New Roman" w:cs="Times New Roman"/>
        </w:rPr>
        <w:t>Odds Ratio</w:t>
      </w:r>
      <w:r w:rsidR="00420EA9">
        <w:rPr>
          <w:rFonts w:ascii="Times New Roman" w:hAnsi="Times New Roman" w:cs="Times New Roman"/>
        </w:rPr>
        <w:t xml:space="preserve"> [</w:t>
      </w:r>
      <w:r w:rsidRPr="2331914B">
        <w:rPr>
          <w:rFonts w:ascii="Times New Roman" w:hAnsi="Times New Roman" w:cs="Times New Roman"/>
        </w:rPr>
        <w:t>OR</w:t>
      </w:r>
      <w:r w:rsidR="00420EA9">
        <w:rPr>
          <w:rFonts w:ascii="Times New Roman" w:hAnsi="Times New Roman" w:cs="Times New Roman"/>
        </w:rPr>
        <w:t>]</w:t>
      </w:r>
      <w:r w:rsidRPr="2331914B">
        <w:rPr>
          <w:rFonts w:ascii="Times New Roman" w:hAnsi="Times New Roman" w:cs="Times New Roman"/>
        </w:rPr>
        <w:t>: 0.67; 0.45 to 1.00); higher</w:t>
      </w:r>
      <w:r>
        <w:rPr>
          <w:rFonts w:ascii="Times New Roman" w:hAnsi="Times New Roman" w:cs="Times New Roman"/>
        </w:rPr>
        <w:t xml:space="preserve"> emergency</w:t>
      </w:r>
      <w:r w:rsidRPr="2331914B">
        <w:rPr>
          <w:rFonts w:ascii="Times New Roman" w:hAnsi="Times New Roman" w:cs="Times New Roman"/>
        </w:rPr>
        <w:t xml:space="preserve"> admission</w:t>
      </w:r>
      <w:r>
        <w:rPr>
          <w:rFonts w:ascii="Times New Roman" w:hAnsi="Times New Roman" w:cs="Times New Roman"/>
        </w:rPr>
        <w:t>s</w:t>
      </w:r>
      <w:r w:rsidRPr="2331914B">
        <w:rPr>
          <w:rFonts w:ascii="Times New Roman" w:hAnsi="Times New Roman" w:cs="Times New Roman"/>
        </w:rPr>
        <w:t xml:space="preserve"> for angina (IRR: 1.53; 1.07 to 2.20) and lower </w:t>
      </w:r>
      <w:r>
        <w:rPr>
          <w:rFonts w:ascii="Times New Roman" w:hAnsi="Times New Roman" w:cs="Times New Roman"/>
        </w:rPr>
        <w:t xml:space="preserve">elective </w:t>
      </w:r>
      <w:r w:rsidRPr="2331914B">
        <w:rPr>
          <w:rFonts w:ascii="Times New Roman" w:hAnsi="Times New Roman" w:cs="Times New Roman"/>
        </w:rPr>
        <w:t>admission</w:t>
      </w:r>
      <w:r>
        <w:rPr>
          <w:rFonts w:ascii="Times New Roman" w:hAnsi="Times New Roman" w:cs="Times New Roman"/>
        </w:rPr>
        <w:t>s</w:t>
      </w:r>
      <w:r w:rsidRPr="2331914B">
        <w:rPr>
          <w:rFonts w:ascii="Times New Roman" w:hAnsi="Times New Roman" w:cs="Times New Roman"/>
        </w:rPr>
        <w:t xml:space="preserve"> for ischaemic heart disease (IRR: 0.68; 0.51 to 0.92).</w:t>
      </w:r>
    </w:p>
    <w:p w14:paraId="328C0176" w14:textId="77777777" w:rsidR="00CE2060" w:rsidRDefault="00CE2060" w:rsidP="00EE5EC4">
      <w:pPr>
        <w:jc w:val="both"/>
        <w:rPr>
          <w:rFonts w:ascii="Times New Roman" w:hAnsi="Times New Roman" w:cs="Times New Roman"/>
        </w:rPr>
      </w:pPr>
    </w:p>
    <w:p w14:paraId="665F8913" w14:textId="3E15E5DB" w:rsidR="00CE2060" w:rsidRDefault="00CE2060" w:rsidP="00EE5EC4">
      <w:pPr>
        <w:jc w:val="both"/>
        <w:rPr>
          <w:rFonts w:ascii="Times New Roman" w:hAnsi="Times New Roman" w:cs="Times New Roman"/>
        </w:rPr>
      </w:pPr>
      <w:r>
        <w:rPr>
          <w:rFonts w:ascii="Times New Roman" w:hAnsi="Times New Roman" w:cs="Times New Roman"/>
          <w:i/>
          <w:iCs/>
        </w:rPr>
        <w:t>Conclusion</w:t>
      </w:r>
    </w:p>
    <w:p w14:paraId="7A1A88D2" w14:textId="19024F77" w:rsidR="00CE2060" w:rsidRDefault="00CE2060" w:rsidP="00EE5EC4">
      <w:pPr>
        <w:jc w:val="both"/>
        <w:rPr>
          <w:rFonts w:ascii="Times New Roman" w:hAnsi="Times New Roman" w:cs="Times New Roman"/>
        </w:rPr>
      </w:pPr>
      <w:r w:rsidRPr="00EC6E31">
        <w:rPr>
          <w:rFonts w:ascii="Times New Roman" w:hAnsi="Times New Roman" w:cs="Times New Roman"/>
        </w:rPr>
        <w:t xml:space="preserve">Monitoring of metabolic measurements </w:t>
      </w:r>
      <w:r w:rsidR="009A33BF" w:rsidRPr="00EC6E31">
        <w:rPr>
          <w:rFonts w:ascii="Times New Roman" w:hAnsi="Times New Roman" w:cs="Times New Roman"/>
        </w:rPr>
        <w:t xml:space="preserve">was </w:t>
      </w:r>
      <w:r w:rsidR="005916E2" w:rsidRPr="00EC6E31">
        <w:rPr>
          <w:rFonts w:ascii="Times New Roman" w:hAnsi="Times New Roman" w:cs="Times New Roman"/>
        </w:rPr>
        <w:t>comparable for</w:t>
      </w:r>
      <w:r w:rsidRPr="00EC6E31">
        <w:rPr>
          <w:rFonts w:ascii="Times New Roman" w:hAnsi="Times New Roman" w:cs="Times New Roman"/>
        </w:rPr>
        <w:t xml:space="preserve"> people with</w:t>
      </w:r>
      <w:r w:rsidR="005916E2" w:rsidRPr="00EC6E31">
        <w:rPr>
          <w:rFonts w:ascii="Times New Roman" w:hAnsi="Times New Roman" w:cs="Times New Roman"/>
        </w:rPr>
        <w:t xml:space="preserve"> diabetes with and without</w:t>
      </w:r>
      <w:r w:rsidRPr="00EC6E31">
        <w:rPr>
          <w:rFonts w:ascii="Times New Roman" w:hAnsi="Times New Roman" w:cs="Times New Roman"/>
        </w:rPr>
        <w:t xml:space="preserve"> SMI. Increased mortality rates </w:t>
      </w:r>
      <w:r w:rsidR="00BA1EE2" w:rsidRPr="00EC6E31">
        <w:rPr>
          <w:rFonts w:ascii="Times New Roman" w:hAnsi="Times New Roman" w:cs="Times New Roman"/>
        </w:rPr>
        <w:t>observed in</w:t>
      </w:r>
      <w:r w:rsidRPr="00EC6E31">
        <w:rPr>
          <w:rFonts w:ascii="Times New Roman" w:hAnsi="Times New Roman" w:cs="Times New Roman"/>
        </w:rPr>
        <w:t xml:space="preserve"> SMI may be attributable to under-diagnosis of CVD and</w:t>
      </w:r>
      <w:r w:rsidRPr="0B4D85C8">
        <w:rPr>
          <w:rFonts w:ascii="Times New Roman" w:hAnsi="Times New Roman" w:cs="Times New Roman"/>
        </w:rPr>
        <w:t xml:space="preserve"> delays in treatment. </w:t>
      </w:r>
    </w:p>
    <w:p w14:paraId="7A058C68" w14:textId="41E866AB" w:rsidR="001C17BD" w:rsidRDefault="001C17BD" w:rsidP="00FC2E74">
      <w:pPr>
        <w:jc w:val="both"/>
        <w:rPr>
          <w:rFonts w:ascii="Times New Roman" w:hAnsi="Times New Roman" w:cs="Times New Roman"/>
        </w:rPr>
      </w:pPr>
    </w:p>
    <w:p w14:paraId="6ECCB96D" w14:textId="77777777" w:rsidR="00C44ED0" w:rsidRPr="008A4B29" w:rsidRDefault="00C44ED0" w:rsidP="00FC2E74">
      <w:pPr>
        <w:jc w:val="both"/>
        <w:rPr>
          <w:rFonts w:ascii="Times New Roman" w:hAnsi="Times New Roman" w:cs="Times New Roman"/>
          <w:i/>
          <w:iCs/>
        </w:rPr>
      </w:pPr>
      <w:r w:rsidRPr="008A4B29">
        <w:rPr>
          <w:rFonts w:ascii="Times New Roman" w:hAnsi="Times New Roman" w:cs="Times New Roman"/>
          <w:i/>
          <w:iCs/>
        </w:rPr>
        <w:t>Ke</w:t>
      </w:r>
      <w:r>
        <w:rPr>
          <w:rFonts w:ascii="Times New Roman" w:hAnsi="Times New Roman" w:cs="Times New Roman"/>
          <w:i/>
          <w:iCs/>
        </w:rPr>
        <w:t>y</w:t>
      </w:r>
      <w:r w:rsidRPr="008A4B29">
        <w:rPr>
          <w:rFonts w:ascii="Times New Roman" w:hAnsi="Times New Roman" w:cs="Times New Roman"/>
          <w:i/>
          <w:iCs/>
        </w:rPr>
        <w:t>words</w:t>
      </w:r>
    </w:p>
    <w:p w14:paraId="2AAAC0ED" w14:textId="5DF33D39" w:rsidR="001C17BD" w:rsidRDefault="00C44ED0" w:rsidP="00FC2E74">
      <w:pPr>
        <w:jc w:val="both"/>
        <w:rPr>
          <w:rFonts w:ascii="Times New Roman" w:hAnsi="Times New Roman" w:cs="Times New Roman"/>
        </w:rPr>
      </w:pPr>
      <w:r>
        <w:rPr>
          <w:rFonts w:ascii="Times New Roman" w:hAnsi="Times New Roman" w:cs="Times New Roman"/>
        </w:rPr>
        <w:t xml:space="preserve">Severe mental illness; diabetes; cardiovascular disease; mortality; primary care. </w:t>
      </w:r>
    </w:p>
    <w:p w14:paraId="0F77862B" w14:textId="77777777" w:rsidR="00235A7D" w:rsidRDefault="00235A7D" w:rsidP="00FC2E74">
      <w:pPr>
        <w:jc w:val="both"/>
        <w:rPr>
          <w:rFonts w:ascii="Times New Roman" w:hAnsi="Times New Roman" w:cs="Times New Roman"/>
          <w:b/>
        </w:rPr>
      </w:pPr>
      <w:r w:rsidRPr="007F6D79">
        <w:rPr>
          <w:rFonts w:ascii="Times New Roman" w:hAnsi="Times New Roman" w:cs="Times New Roman"/>
          <w:b/>
        </w:rPr>
        <w:t xml:space="preserve">Introduction </w:t>
      </w:r>
    </w:p>
    <w:p w14:paraId="7762DABD" w14:textId="7F18D35B" w:rsidR="00574A17" w:rsidRDefault="00E301D4">
      <w:pPr>
        <w:jc w:val="both"/>
        <w:rPr>
          <w:rFonts w:ascii="Times New Roman" w:hAnsi="Times New Roman" w:cs="Times New Roman"/>
        </w:rPr>
      </w:pPr>
      <w:r w:rsidRPr="00E301D4">
        <w:rPr>
          <w:rFonts w:ascii="Times New Roman" w:hAnsi="Times New Roman" w:cs="Times New Roman"/>
        </w:rPr>
        <w:t>The average life expectancy for people with severe mental illnesses</w:t>
      </w:r>
      <w:r w:rsidR="005E66D6">
        <w:rPr>
          <w:rFonts w:ascii="Times New Roman" w:hAnsi="Times New Roman" w:cs="Times New Roman"/>
        </w:rPr>
        <w:t xml:space="preserve"> (SMI),</w:t>
      </w:r>
      <w:r w:rsidRPr="00E301D4">
        <w:rPr>
          <w:rFonts w:ascii="Times New Roman" w:hAnsi="Times New Roman" w:cs="Times New Roman"/>
        </w:rPr>
        <w:t xml:space="preserve"> such as schizophrenia or </w:t>
      </w:r>
      <w:r w:rsidRPr="00EC6E31">
        <w:rPr>
          <w:rFonts w:ascii="Times New Roman" w:hAnsi="Times New Roman" w:cs="Times New Roman"/>
        </w:rPr>
        <w:t>bipolar disorder, is 15 to 20 years less than</w:t>
      </w:r>
      <w:r w:rsidR="001E044F" w:rsidRPr="00EC6E31">
        <w:rPr>
          <w:rFonts w:ascii="Times New Roman" w:hAnsi="Times New Roman" w:cs="Times New Roman"/>
        </w:rPr>
        <w:t xml:space="preserve"> </w:t>
      </w:r>
      <w:r w:rsidRPr="00EC6E31">
        <w:rPr>
          <w:rFonts w:ascii="Times New Roman" w:hAnsi="Times New Roman" w:cs="Times New Roman"/>
        </w:rPr>
        <w:t>the general population</w:t>
      </w:r>
      <w:r w:rsidR="00980AB9" w:rsidRPr="00EC6E31">
        <w:rPr>
          <w:rFonts w:ascii="Times New Roman" w:hAnsi="Times New Roman" w:cs="Times New Roman"/>
        </w:rPr>
        <w:t>.</w:t>
      </w:r>
      <w:r w:rsidR="00AA5331" w:rsidRPr="00EC6E31">
        <w:rPr>
          <w:rFonts w:ascii="Times New Roman" w:hAnsi="Times New Roman" w:cs="Times New Roman"/>
          <w:vertAlign w:val="superscript"/>
        </w:rPr>
        <w:t>1</w:t>
      </w:r>
      <w:r w:rsidR="004C5451" w:rsidRPr="00EC6E31">
        <w:rPr>
          <w:rFonts w:ascii="Times New Roman" w:hAnsi="Times New Roman" w:cs="Times New Roman"/>
        </w:rPr>
        <w:t xml:space="preserve"> </w:t>
      </w:r>
      <w:r w:rsidR="001E044F" w:rsidRPr="00EC6E31">
        <w:rPr>
          <w:rFonts w:ascii="Times New Roman" w:hAnsi="Times New Roman" w:cs="Times New Roman"/>
        </w:rPr>
        <w:t>Higher</w:t>
      </w:r>
      <w:r w:rsidR="005E66D6" w:rsidRPr="00EC6E31">
        <w:rPr>
          <w:rFonts w:ascii="Times New Roman" w:hAnsi="Times New Roman" w:cs="Times New Roman"/>
        </w:rPr>
        <w:t xml:space="preserve"> </w:t>
      </w:r>
      <w:r w:rsidR="00570C24" w:rsidRPr="00EC6E31">
        <w:rPr>
          <w:rFonts w:ascii="Times New Roman" w:hAnsi="Times New Roman" w:cs="Times New Roman"/>
        </w:rPr>
        <w:t>prevalence</w:t>
      </w:r>
      <w:r w:rsidRPr="00EC6E31">
        <w:rPr>
          <w:rFonts w:ascii="Times New Roman" w:hAnsi="Times New Roman" w:cs="Times New Roman"/>
        </w:rPr>
        <w:t xml:space="preserve"> of </w:t>
      </w:r>
      <w:r w:rsidR="0030445A" w:rsidRPr="00EC6E31">
        <w:rPr>
          <w:rFonts w:ascii="Times New Roman" w:hAnsi="Times New Roman" w:cs="Times New Roman"/>
        </w:rPr>
        <w:t>non-communicable disease</w:t>
      </w:r>
      <w:r w:rsidR="00570C24" w:rsidRPr="00EC6E31">
        <w:rPr>
          <w:rFonts w:ascii="Times New Roman" w:hAnsi="Times New Roman" w:cs="Times New Roman"/>
        </w:rPr>
        <w:t>s</w:t>
      </w:r>
      <w:r w:rsidR="0030445A" w:rsidRPr="00EC6E31">
        <w:rPr>
          <w:rFonts w:ascii="Times New Roman" w:hAnsi="Times New Roman" w:cs="Times New Roman"/>
        </w:rPr>
        <w:t xml:space="preserve"> </w:t>
      </w:r>
      <w:r w:rsidRPr="00EC6E31">
        <w:rPr>
          <w:rFonts w:ascii="Times New Roman" w:hAnsi="Times New Roman" w:cs="Times New Roman"/>
        </w:rPr>
        <w:t>in people with SMI</w:t>
      </w:r>
      <w:r w:rsidR="001E044F" w:rsidRPr="00EC6E31">
        <w:rPr>
          <w:rFonts w:ascii="Times New Roman" w:hAnsi="Times New Roman" w:cs="Times New Roman"/>
        </w:rPr>
        <w:t xml:space="preserve"> is a key contributor to this disparity</w:t>
      </w:r>
      <w:r w:rsidR="00144B7C" w:rsidRPr="00EC6E31">
        <w:rPr>
          <w:rFonts w:ascii="Times New Roman" w:hAnsi="Times New Roman" w:cs="Times New Roman"/>
        </w:rPr>
        <w:t>,</w:t>
      </w:r>
      <w:r w:rsidR="00860308" w:rsidRPr="00EC6E31">
        <w:rPr>
          <w:rFonts w:ascii="Times New Roman" w:hAnsi="Times New Roman" w:cs="Times New Roman"/>
          <w:vertAlign w:val="superscript"/>
        </w:rPr>
        <w:t>2-</w:t>
      </w:r>
      <w:r w:rsidR="00B82F22" w:rsidRPr="00EC6E31">
        <w:rPr>
          <w:rFonts w:ascii="Times New Roman" w:hAnsi="Times New Roman" w:cs="Times New Roman"/>
          <w:vertAlign w:val="superscript"/>
        </w:rPr>
        <w:t>5</w:t>
      </w:r>
      <w:r w:rsidR="00144B7C" w:rsidRPr="00EC6E31">
        <w:rPr>
          <w:rFonts w:ascii="Times New Roman" w:hAnsi="Times New Roman" w:cs="Times New Roman"/>
        </w:rPr>
        <w:t xml:space="preserve"> </w:t>
      </w:r>
      <w:r w:rsidR="001E044F" w:rsidRPr="00EC6E31">
        <w:rPr>
          <w:rFonts w:ascii="Times New Roman" w:hAnsi="Times New Roman" w:cs="Times New Roman"/>
        </w:rPr>
        <w:t>partly driven by</w:t>
      </w:r>
      <w:r w:rsidR="001E044F">
        <w:rPr>
          <w:rFonts w:ascii="Times New Roman" w:hAnsi="Times New Roman" w:cs="Times New Roman"/>
        </w:rPr>
        <w:t xml:space="preserve"> </w:t>
      </w:r>
      <w:r w:rsidR="00570C24" w:rsidRPr="00E301D4">
        <w:rPr>
          <w:rFonts w:ascii="Times New Roman" w:hAnsi="Times New Roman" w:cs="Times New Roman"/>
        </w:rPr>
        <w:t>socio-economic disadvantage</w:t>
      </w:r>
      <w:r w:rsidR="00570C24">
        <w:rPr>
          <w:rFonts w:ascii="Times New Roman" w:hAnsi="Times New Roman" w:cs="Times New Roman"/>
        </w:rPr>
        <w:t>,</w:t>
      </w:r>
      <w:r w:rsidR="00570C24" w:rsidRPr="00E301D4">
        <w:rPr>
          <w:rFonts w:ascii="Times New Roman" w:hAnsi="Times New Roman" w:cs="Times New Roman"/>
        </w:rPr>
        <w:t xml:space="preserve"> health</w:t>
      </w:r>
      <w:r w:rsidR="00980AB9">
        <w:rPr>
          <w:rFonts w:ascii="Times New Roman" w:hAnsi="Times New Roman" w:cs="Times New Roman"/>
        </w:rPr>
        <w:t xml:space="preserve"> risk</w:t>
      </w:r>
      <w:r w:rsidR="00570C24" w:rsidRPr="00E301D4">
        <w:rPr>
          <w:rFonts w:ascii="Times New Roman" w:hAnsi="Times New Roman" w:cs="Times New Roman"/>
        </w:rPr>
        <w:t xml:space="preserve"> </w:t>
      </w:r>
      <w:r w:rsidR="00CD7EF6">
        <w:rPr>
          <w:rFonts w:ascii="Times New Roman" w:hAnsi="Times New Roman" w:cs="Times New Roman"/>
        </w:rPr>
        <w:t>behaviours</w:t>
      </w:r>
      <w:r w:rsidR="00B82F22">
        <w:rPr>
          <w:rFonts w:ascii="Times New Roman" w:hAnsi="Times New Roman" w:cs="Times New Roman"/>
        </w:rPr>
        <w:t xml:space="preserve"> </w:t>
      </w:r>
      <w:r w:rsidR="00B82F22">
        <w:rPr>
          <w:rFonts w:ascii="Times New Roman" w:hAnsi="Times New Roman" w:cs="Times New Roman"/>
          <w:vertAlign w:val="superscript"/>
        </w:rPr>
        <w:t>6,7</w:t>
      </w:r>
      <w:r w:rsidR="00570C24">
        <w:rPr>
          <w:rFonts w:ascii="Times New Roman" w:hAnsi="Times New Roman" w:cs="Times New Roman"/>
        </w:rPr>
        <w:t xml:space="preserve"> and </w:t>
      </w:r>
      <w:r w:rsidRPr="00E301D4">
        <w:rPr>
          <w:rFonts w:ascii="Times New Roman" w:hAnsi="Times New Roman" w:cs="Times New Roman"/>
        </w:rPr>
        <w:t xml:space="preserve">side effects of </w:t>
      </w:r>
      <w:r w:rsidR="00452026">
        <w:rPr>
          <w:rFonts w:ascii="Times New Roman" w:hAnsi="Times New Roman" w:cs="Times New Roman"/>
        </w:rPr>
        <w:t>medication</w:t>
      </w:r>
      <w:r w:rsidR="0004173F">
        <w:rPr>
          <w:rFonts w:ascii="Times New Roman" w:hAnsi="Times New Roman" w:cs="Times New Roman"/>
        </w:rPr>
        <w:t>s</w:t>
      </w:r>
      <w:r w:rsidR="009E358C">
        <w:rPr>
          <w:rFonts w:ascii="Times New Roman" w:hAnsi="Times New Roman" w:cs="Times New Roman"/>
        </w:rPr>
        <w:t>.</w:t>
      </w:r>
      <w:r w:rsidR="00B82F22">
        <w:rPr>
          <w:rFonts w:ascii="Times New Roman" w:hAnsi="Times New Roman" w:cs="Times New Roman"/>
          <w:vertAlign w:val="superscript"/>
        </w:rPr>
        <w:t>8-10</w:t>
      </w:r>
      <w:r w:rsidR="00570C24" w:rsidRPr="00237C62">
        <w:rPr>
          <w:rFonts w:ascii="Times New Roman" w:hAnsi="Times New Roman" w:cs="Times New Roman"/>
        </w:rPr>
        <w:t xml:space="preserve"> </w:t>
      </w:r>
      <w:r w:rsidR="00CC2348">
        <w:rPr>
          <w:rFonts w:ascii="Times New Roman" w:hAnsi="Times New Roman" w:cs="Times New Roman"/>
        </w:rPr>
        <w:t xml:space="preserve">Coexisting </w:t>
      </w:r>
      <w:r w:rsidR="00A331C8">
        <w:rPr>
          <w:rFonts w:ascii="Times New Roman" w:hAnsi="Times New Roman" w:cs="Times New Roman"/>
        </w:rPr>
        <w:t>SMI</w:t>
      </w:r>
      <w:r w:rsidR="00483BCD">
        <w:rPr>
          <w:rFonts w:ascii="Times New Roman" w:hAnsi="Times New Roman" w:cs="Times New Roman"/>
        </w:rPr>
        <w:t xml:space="preserve"> </w:t>
      </w:r>
      <w:r w:rsidR="00A331C8">
        <w:rPr>
          <w:rFonts w:ascii="Times New Roman" w:hAnsi="Times New Roman" w:cs="Times New Roman"/>
        </w:rPr>
        <w:t>and comorbid conditions</w:t>
      </w:r>
      <w:r w:rsidR="009E358C">
        <w:rPr>
          <w:rFonts w:ascii="Times New Roman" w:hAnsi="Times New Roman" w:cs="Times New Roman"/>
        </w:rPr>
        <w:t xml:space="preserve"> </w:t>
      </w:r>
      <w:r w:rsidR="00CC2348">
        <w:rPr>
          <w:rFonts w:ascii="Times New Roman" w:hAnsi="Times New Roman" w:cs="Times New Roman"/>
        </w:rPr>
        <w:t>may interact</w:t>
      </w:r>
      <w:r w:rsidR="007C5592">
        <w:rPr>
          <w:rFonts w:ascii="Times New Roman" w:hAnsi="Times New Roman" w:cs="Times New Roman"/>
        </w:rPr>
        <w:t xml:space="preserve">, </w:t>
      </w:r>
      <w:r w:rsidR="00CC2348">
        <w:rPr>
          <w:rFonts w:ascii="Times New Roman" w:hAnsi="Times New Roman" w:cs="Times New Roman"/>
        </w:rPr>
        <w:t>with poorer outcomes for both</w:t>
      </w:r>
      <w:r w:rsidR="007C5592">
        <w:rPr>
          <w:rFonts w:ascii="Times New Roman" w:hAnsi="Times New Roman" w:cs="Times New Roman"/>
        </w:rPr>
        <w:t xml:space="preserve"> </w:t>
      </w:r>
      <w:r w:rsidR="00B2072A">
        <w:rPr>
          <w:rFonts w:ascii="Times New Roman" w:hAnsi="Times New Roman" w:cs="Times New Roman"/>
        </w:rPr>
        <w:t>while</w:t>
      </w:r>
      <w:r w:rsidR="007C5592">
        <w:rPr>
          <w:rFonts w:ascii="Times New Roman" w:hAnsi="Times New Roman" w:cs="Times New Roman"/>
        </w:rPr>
        <w:t xml:space="preserve"> a</w:t>
      </w:r>
      <w:r w:rsidR="00570C24">
        <w:rPr>
          <w:rFonts w:ascii="Times New Roman" w:hAnsi="Times New Roman" w:cs="Times New Roman"/>
        </w:rPr>
        <w:t xml:space="preserve">ccess to </w:t>
      </w:r>
      <w:r w:rsidR="009E358C">
        <w:rPr>
          <w:rFonts w:ascii="Times New Roman" w:hAnsi="Times New Roman" w:cs="Times New Roman"/>
        </w:rPr>
        <w:t xml:space="preserve">healthcare </w:t>
      </w:r>
      <w:r w:rsidR="0012487F">
        <w:rPr>
          <w:rFonts w:ascii="Times New Roman" w:hAnsi="Times New Roman" w:cs="Times New Roman"/>
        </w:rPr>
        <w:t xml:space="preserve">for physical problems </w:t>
      </w:r>
      <w:r w:rsidR="00A331C8">
        <w:rPr>
          <w:rFonts w:ascii="Times New Roman" w:hAnsi="Times New Roman" w:cs="Times New Roman"/>
        </w:rPr>
        <w:t xml:space="preserve">may </w:t>
      </w:r>
      <w:r w:rsidR="00CC2348">
        <w:rPr>
          <w:rFonts w:ascii="Times New Roman" w:hAnsi="Times New Roman" w:cs="Times New Roman"/>
        </w:rPr>
        <w:t xml:space="preserve">also </w:t>
      </w:r>
      <w:r w:rsidR="00A331C8">
        <w:rPr>
          <w:rFonts w:ascii="Times New Roman" w:hAnsi="Times New Roman" w:cs="Times New Roman"/>
        </w:rPr>
        <w:t>be more problematic</w:t>
      </w:r>
      <w:r w:rsidR="00570C24">
        <w:rPr>
          <w:rFonts w:ascii="Times New Roman" w:hAnsi="Times New Roman" w:cs="Times New Roman"/>
        </w:rPr>
        <w:t xml:space="preserve"> </w:t>
      </w:r>
      <w:r w:rsidR="00A331C8">
        <w:rPr>
          <w:rFonts w:ascii="Times New Roman" w:hAnsi="Times New Roman" w:cs="Times New Roman"/>
        </w:rPr>
        <w:t xml:space="preserve">for </w:t>
      </w:r>
      <w:r w:rsidR="005E66D6">
        <w:rPr>
          <w:rFonts w:ascii="Times New Roman" w:hAnsi="Times New Roman" w:cs="Times New Roman"/>
        </w:rPr>
        <w:t xml:space="preserve">people </w:t>
      </w:r>
      <w:r w:rsidR="00A331C8">
        <w:rPr>
          <w:rFonts w:ascii="Times New Roman" w:hAnsi="Times New Roman" w:cs="Times New Roman"/>
        </w:rPr>
        <w:t>with SMI</w:t>
      </w:r>
      <w:r w:rsidRPr="00E301D4">
        <w:rPr>
          <w:rFonts w:ascii="Times New Roman" w:hAnsi="Times New Roman" w:cs="Times New Roman"/>
        </w:rPr>
        <w:t>.</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1</w:t>
      </w:r>
    </w:p>
    <w:p w14:paraId="700B6D22" w14:textId="254372EA" w:rsidR="007C5592" w:rsidRDefault="00144B7C">
      <w:pPr>
        <w:jc w:val="both"/>
        <w:rPr>
          <w:rFonts w:ascii="Times New Roman" w:hAnsi="Times New Roman" w:cs="Times New Roman"/>
          <w:vertAlign w:val="superscript"/>
        </w:rPr>
      </w:pPr>
      <w:r>
        <w:rPr>
          <w:rFonts w:ascii="Times New Roman" w:hAnsi="Times New Roman" w:cs="Times New Roman"/>
        </w:rPr>
        <w:t>In the UK</w:t>
      </w:r>
      <w:r w:rsidR="00752979">
        <w:rPr>
          <w:rFonts w:ascii="Times New Roman" w:hAnsi="Times New Roman" w:cs="Times New Roman"/>
        </w:rPr>
        <w:t>,</w:t>
      </w:r>
      <w:r>
        <w:rPr>
          <w:rFonts w:ascii="Times New Roman" w:hAnsi="Times New Roman" w:cs="Times New Roman"/>
        </w:rPr>
        <w:t xml:space="preserve"> </w:t>
      </w:r>
      <w:r w:rsidR="00D84754">
        <w:rPr>
          <w:rFonts w:ascii="Times New Roman" w:hAnsi="Times New Roman" w:cs="Times New Roman"/>
        </w:rPr>
        <w:t xml:space="preserve">the </w:t>
      </w:r>
      <w:r>
        <w:rPr>
          <w:rFonts w:ascii="Times New Roman" w:hAnsi="Times New Roman" w:cs="Times New Roman"/>
        </w:rPr>
        <w:t xml:space="preserve">prevalence of </w:t>
      </w:r>
      <w:r w:rsidR="00D53F0E">
        <w:rPr>
          <w:rFonts w:ascii="Times New Roman" w:hAnsi="Times New Roman" w:cs="Times New Roman"/>
        </w:rPr>
        <w:t xml:space="preserve">type 2 </w:t>
      </w:r>
      <w:r>
        <w:rPr>
          <w:rFonts w:ascii="Times New Roman" w:hAnsi="Times New Roman" w:cs="Times New Roman"/>
        </w:rPr>
        <w:t xml:space="preserve">diabetes </w:t>
      </w:r>
      <w:r w:rsidR="007C31DA">
        <w:rPr>
          <w:rFonts w:ascii="Times New Roman" w:hAnsi="Times New Roman" w:cs="Times New Roman"/>
        </w:rPr>
        <w:t xml:space="preserve">(T2DM) </w:t>
      </w:r>
      <w:r>
        <w:rPr>
          <w:rFonts w:ascii="Times New Roman" w:hAnsi="Times New Roman" w:cs="Times New Roman"/>
        </w:rPr>
        <w:t>is twice as high in people with SMI compared with</w:t>
      </w:r>
      <w:r w:rsidR="00D033C7">
        <w:rPr>
          <w:rFonts w:ascii="Times New Roman" w:hAnsi="Times New Roman" w:cs="Times New Roman"/>
        </w:rPr>
        <w:t xml:space="preserve"> the general population</w:t>
      </w:r>
      <w:r w:rsidR="00D10F5F">
        <w:rPr>
          <w:rFonts w:ascii="Times New Roman" w:hAnsi="Times New Roman" w:cs="Times New Roman"/>
        </w:rPr>
        <w:t>,</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2</w:t>
      </w:r>
      <w:r>
        <w:rPr>
          <w:rFonts w:ascii="Times New Roman" w:hAnsi="Times New Roman" w:cs="Times New Roman"/>
        </w:rPr>
        <w:t xml:space="preserve"> </w:t>
      </w:r>
      <w:r w:rsidR="00561825">
        <w:rPr>
          <w:rFonts w:ascii="Times New Roman" w:hAnsi="Times New Roman" w:cs="Times New Roman"/>
        </w:rPr>
        <w:t xml:space="preserve">with an </w:t>
      </w:r>
      <w:r w:rsidRPr="00341E68">
        <w:rPr>
          <w:rFonts w:ascii="Times New Roman" w:hAnsi="Times New Roman" w:cs="Times New Roman"/>
        </w:rPr>
        <w:t>increased incidence of acute metabolic emergencies and diabetes complications</w:t>
      </w:r>
      <w:r>
        <w:rPr>
          <w:rFonts w:ascii="Times New Roman" w:hAnsi="Times New Roman" w:cs="Times New Roman"/>
        </w:rPr>
        <w:t>.</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3</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4</w:t>
      </w:r>
      <w:r w:rsidR="00752979" w:rsidRPr="00237C62">
        <w:rPr>
          <w:rFonts w:ascii="Times New Roman" w:hAnsi="Times New Roman" w:cs="Times New Roman"/>
        </w:rPr>
        <w:t xml:space="preserve"> </w:t>
      </w:r>
      <w:r w:rsidR="007C5592">
        <w:rPr>
          <w:rFonts w:ascii="Times New Roman" w:hAnsi="Times New Roman" w:cs="Times New Roman"/>
        </w:rPr>
        <w:t>National guidelines therefore recommend regular screening for diabetes in people with SMI, with the aim of achieving the same standards of care as for the general population</w:t>
      </w:r>
      <w:r w:rsidR="001E6388" w:rsidRPr="2EDECB6C">
        <w:rPr>
          <w:rFonts w:ascii="Times New Roman" w:hAnsi="Times New Roman" w:cs="Times New Roman"/>
        </w:rPr>
        <w:t>.</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5</w:t>
      </w:r>
      <w:r w:rsidR="00D10F5F">
        <w:rPr>
          <w:rFonts w:ascii="Times New Roman" w:hAnsi="Times New Roman" w:cs="Times New Roman"/>
          <w:vertAlign w:val="superscript"/>
        </w:rPr>
        <w:t>-</w:t>
      </w:r>
      <w:r w:rsidR="007C31DA" w:rsidRPr="00B624D3">
        <w:rPr>
          <w:rFonts w:ascii="Times New Roman" w:hAnsi="Times New Roman" w:cs="Times New Roman"/>
          <w:vertAlign w:val="superscript"/>
        </w:rPr>
        <w:t>1</w:t>
      </w:r>
      <w:r w:rsidR="00B82F22">
        <w:rPr>
          <w:rFonts w:ascii="Times New Roman" w:hAnsi="Times New Roman" w:cs="Times New Roman"/>
          <w:vertAlign w:val="superscript"/>
        </w:rPr>
        <w:t>9</w:t>
      </w:r>
      <w:r w:rsidR="00341E68" w:rsidRPr="00237C62">
        <w:rPr>
          <w:rFonts w:ascii="Times New Roman" w:hAnsi="Times New Roman" w:cs="Times New Roman"/>
        </w:rPr>
        <w:t xml:space="preserve"> </w:t>
      </w:r>
      <w:r w:rsidR="00D84931" w:rsidRPr="2EDECB6C">
        <w:rPr>
          <w:rFonts w:ascii="Times New Roman" w:hAnsi="Times New Roman" w:cs="Times New Roman"/>
        </w:rPr>
        <w:t xml:space="preserve">The UK’s primary care pay-for-performance programme, the Quality </w:t>
      </w:r>
      <w:r w:rsidR="00C15AFF">
        <w:rPr>
          <w:rFonts w:ascii="Times New Roman" w:hAnsi="Times New Roman" w:cs="Times New Roman"/>
        </w:rPr>
        <w:t>and</w:t>
      </w:r>
      <w:r w:rsidR="00D84931" w:rsidRPr="2EDECB6C">
        <w:rPr>
          <w:rFonts w:ascii="Times New Roman" w:hAnsi="Times New Roman" w:cs="Times New Roman"/>
        </w:rPr>
        <w:t xml:space="preserve"> Outcomes Framework (QOF), has included quality targets for both diabetes and SMI since 2004</w:t>
      </w:r>
      <w:r w:rsidR="001E6388" w:rsidRPr="2EDECB6C">
        <w:rPr>
          <w:rFonts w:ascii="Times New Roman" w:hAnsi="Times New Roman" w:cs="Times New Roman"/>
        </w:rPr>
        <w:t>.</w:t>
      </w:r>
      <w:r w:rsidR="00B82F22">
        <w:rPr>
          <w:rFonts w:ascii="Times New Roman" w:hAnsi="Times New Roman" w:cs="Times New Roman"/>
          <w:vertAlign w:val="superscript"/>
        </w:rPr>
        <w:t>20</w:t>
      </w:r>
      <w:r w:rsidR="00751FB1">
        <w:rPr>
          <w:rFonts w:ascii="Times New Roman" w:hAnsi="Times New Roman" w:cs="Times New Roman"/>
          <w:vertAlign w:val="superscript"/>
        </w:rPr>
        <w:t xml:space="preserve"> </w:t>
      </w:r>
    </w:p>
    <w:p w14:paraId="5A09D7C5" w14:textId="61812714" w:rsidR="005F430D" w:rsidRPr="004625FF" w:rsidRDefault="007C5592">
      <w:pPr>
        <w:jc w:val="both"/>
        <w:rPr>
          <w:rFonts w:ascii="Times New Roman" w:hAnsi="Times New Roman" w:cs="Times New Roman"/>
        </w:rPr>
      </w:pPr>
      <w:r>
        <w:rPr>
          <w:rFonts w:ascii="Times New Roman" w:hAnsi="Times New Roman" w:cs="Times New Roman"/>
        </w:rPr>
        <w:t>Overall r</w:t>
      </w:r>
      <w:r w:rsidR="00BC4529">
        <w:rPr>
          <w:rFonts w:ascii="Times New Roman" w:hAnsi="Times New Roman" w:cs="Times New Roman"/>
        </w:rPr>
        <w:t>ecorded quality of care for diabetes has improved substantially following the introduction of</w:t>
      </w:r>
      <w:r w:rsidR="0004173F">
        <w:rPr>
          <w:rFonts w:ascii="Times New Roman" w:hAnsi="Times New Roman" w:cs="Times New Roman"/>
        </w:rPr>
        <w:t xml:space="preserve"> </w:t>
      </w:r>
      <w:r>
        <w:rPr>
          <w:rFonts w:ascii="Times New Roman" w:hAnsi="Times New Roman" w:cs="Times New Roman"/>
        </w:rPr>
        <w:t>national quality improvement initiatives</w:t>
      </w:r>
      <w:r w:rsidR="00BC4529">
        <w:rPr>
          <w:rFonts w:ascii="Times New Roman" w:hAnsi="Times New Roman" w:cs="Times New Roman"/>
        </w:rPr>
        <w:t>.</w:t>
      </w:r>
      <w:r w:rsidR="00E62E4C" w:rsidRPr="00B624D3">
        <w:rPr>
          <w:rFonts w:ascii="Times New Roman" w:hAnsi="Times New Roman" w:cs="Times New Roman"/>
          <w:vertAlign w:val="superscript"/>
        </w:rPr>
        <w:t>2</w:t>
      </w:r>
      <w:r w:rsidR="00A439A3">
        <w:rPr>
          <w:rFonts w:ascii="Times New Roman" w:hAnsi="Times New Roman" w:cs="Times New Roman"/>
          <w:vertAlign w:val="superscript"/>
        </w:rPr>
        <w:t>1</w:t>
      </w:r>
      <w:r w:rsidR="00BC4529" w:rsidRPr="00237C62">
        <w:rPr>
          <w:rFonts w:ascii="Times New Roman" w:hAnsi="Times New Roman" w:cs="Times New Roman"/>
        </w:rPr>
        <w:t xml:space="preserve"> </w:t>
      </w:r>
      <w:r w:rsidR="00BC4529">
        <w:rPr>
          <w:rFonts w:ascii="Times New Roman" w:hAnsi="Times New Roman" w:cs="Times New Roman"/>
        </w:rPr>
        <w:t>However</w:t>
      </w:r>
      <w:r w:rsidR="00B2072A">
        <w:rPr>
          <w:rFonts w:ascii="Times New Roman" w:hAnsi="Times New Roman" w:cs="Times New Roman"/>
        </w:rPr>
        <w:t>,</w:t>
      </w:r>
      <w:r w:rsidR="00C26FBA">
        <w:rPr>
          <w:rFonts w:ascii="Times New Roman" w:hAnsi="Times New Roman" w:cs="Times New Roman"/>
        </w:rPr>
        <w:t xml:space="preserve"> </w:t>
      </w:r>
      <w:r w:rsidR="006C392D">
        <w:rPr>
          <w:rFonts w:ascii="Times New Roman" w:hAnsi="Times New Roman" w:cs="Times New Roman"/>
        </w:rPr>
        <w:t xml:space="preserve">evidence </w:t>
      </w:r>
      <w:r w:rsidR="00C26FBA">
        <w:rPr>
          <w:rFonts w:ascii="Times New Roman" w:hAnsi="Times New Roman" w:cs="Times New Roman"/>
        </w:rPr>
        <w:t xml:space="preserve">is lacking </w:t>
      </w:r>
      <w:r w:rsidR="006C392D">
        <w:rPr>
          <w:rFonts w:ascii="Times New Roman" w:hAnsi="Times New Roman" w:cs="Times New Roman"/>
        </w:rPr>
        <w:t xml:space="preserve">on </w:t>
      </w:r>
      <w:r w:rsidR="00BC4529">
        <w:rPr>
          <w:rFonts w:ascii="Times New Roman" w:hAnsi="Times New Roman" w:cs="Times New Roman"/>
        </w:rPr>
        <w:t>the appropriateness and effectiveness of universal quality targets in sub-groups of people with diabetes</w:t>
      </w:r>
      <w:r>
        <w:rPr>
          <w:rFonts w:ascii="Times New Roman" w:hAnsi="Times New Roman" w:cs="Times New Roman"/>
        </w:rPr>
        <w:t>,</w:t>
      </w:r>
      <w:r w:rsidR="00BC4529">
        <w:rPr>
          <w:rFonts w:ascii="Times New Roman" w:hAnsi="Times New Roman" w:cs="Times New Roman"/>
        </w:rPr>
        <w:t xml:space="preserve"> including those with </w:t>
      </w:r>
      <w:r w:rsidR="00BC4529" w:rsidRPr="00EC6E31">
        <w:rPr>
          <w:rFonts w:ascii="Times New Roman" w:hAnsi="Times New Roman" w:cs="Times New Roman"/>
        </w:rPr>
        <w:t>SMI</w:t>
      </w:r>
      <w:r w:rsidRPr="00EC6E31">
        <w:rPr>
          <w:rFonts w:ascii="Times New Roman" w:hAnsi="Times New Roman" w:cs="Times New Roman"/>
        </w:rPr>
        <w:t xml:space="preserve">, </w:t>
      </w:r>
      <w:r w:rsidR="00BC4529" w:rsidRPr="00EC6E31">
        <w:rPr>
          <w:rFonts w:ascii="Times New Roman" w:hAnsi="Times New Roman" w:cs="Times New Roman"/>
        </w:rPr>
        <w:t xml:space="preserve">and little is known about how SMI and other risk factors combine to </w:t>
      </w:r>
      <w:r w:rsidRPr="00EC6E31">
        <w:rPr>
          <w:rFonts w:ascii="Times New Roman" w:hAnsi="Times New Roman" w:cs="Times New Roman"/>
        </w:rPr>
        <w:t xml:space="preserve">affect </w:t>
      </w:r>
      <w:r w:rsidR="00BC4529" w:rsidRPr="00EC6E31">
        <w:rPr>
          <w:rFonts w:ascii="Times New Roman" w:hAnsi="Times New Roman" w:cs="Times New Roman"/>
        </w:rPr>
        <w:t xml:space="preserve">diabetes outcomes. </w:t>
      </w:r>
      <w:r w:rsidRPr="00EC6E31">
        <w:rPr>
          <w:rFonts w:ascii="Times New Roman" w:hAnsi="Times New Roman" w:cs="Times New Roman"/>
        </w:rPr>
        <w:t>W</w:t>
      </w:r>
      <w:r w:rsidR="001931A3" w:rsidRPr="00EC6E31">
        <w:rPr>
          <w:rFonts w:ascii="Times New Roman" w:hAnsi="Times New Roman" w:cs="Times New Roman"/>
        </w:rPr>
        <w:t xml:space="preserve">e </w:t>
      </w:r>
      <w:r w:rsidRPr="00EC6E31">
        <w:rPr>
          <w:rFonts w:ascii="Times New Roman" w:hAnsi="Times New Roman" w:cs="Times New Roman"/>
        </w:rPr>
        <w:t xml:space="preserve">therefore </w:t>
      </w:r>
      <w:r w:rsidR="001931A3" w:rsidRPr="00EC6E31">
        <w:rPr>
          <w:rFonts w:ascii="Times New Roman" w:hAnsi="Times New Roman" w:cs="Times New Roman"/>
        </w:rPr>
        <w:t xml:space="preserve">used a linked healthcare dataset to investigate, in people with diabetes, the impact of SMI on healthcare </w:t>
      </w:r>
      <w:r w:rsidR="009F395E" w:rsidRPr="00EC6E31">
        <w:rPr>
          <w:rFonts w:ascii="Times New Roman" w:hAnsi="Times New Roman" w:cs="Times New Roman"/>
        </w:rPr>
        <w:t>process</w:t>
      </w:r>
      <w:r w:rsidR="00FA03F8" w:rsidRPr="00EC6E31">
        <w:rPr>
          <w:rFonts w:ascii="Times New Roman" w:hAnsi="Times New Roman" w:cs="Times New Roman"/>
        </w:rPr>
        <w:t>es</w:t>
      </w:r>
      <w:r w:rsidR="009F395E" w:rsidRPr="00EC6E31">
        <w:rPr>
          <w:rFonts w:ascii="Times New Roman" w:hAnsi="Times New Roman" w:cs="Times New Roman"/>
        </w:rPr>
        <w:t xml:space="preserve"> </w:t>
      </w:r>
      <w:r w:rsidR="004625FF" w:rsidRPr="00EC6E31">
        <w:rPr>
          <w:rFonts w:ascii="Times New Roman" w:hAnsi="Times New Roman" w:cs="Times New Roman"/>
        </w:rPr>
        <w:t xml:space="preserve">and diabetes outcomes including </w:t>
      </w:r>
      <w:r w:rsidR="001931A3" w:rsidRPr="00EC6E31">
        <w:rPr>
          <w:rFonts w:ascii="Times New Roman" w:hAnsi="Times New Roman" w:cs="Times New Roman"/>
        </w:rPr>
        <w:t xml:space="preserve">the use of routine primary </w:t>
      </w:r>
      <w:r w:rsidR="00750989" w:rsidRPr="00EC6E31">
        <w:rPr>
          <w:rFonts w:ascii="Times New Roman" w:hAnsi="Times New Roman" w:cs="Times New Roman"/>
        </w:rPr>
        <w:t>c</w:t>
      </w:r>
      <w:r w:rsidR="001931A3" w:rsidRPr="00EC6E31">
        <w:rPr>
          <w:rFonts w:ascii="Times New Roman" w:hAnsi="Times New Roman" w:cs="Times New Roman"/>
        </w:rPr>
        <w:t>are</w:t>
      </w:r>
      <w:r w:rsidR="00A91AFB" w:rsidRPr="00EC6E31">
        <w:rPr>
          <w:rFonts w:ascii="Times New Roman" w:hAnsi="Times New Roman" w:cs="Times New Roman"/>
        </w:rPr>
        <w:t xml:space="preserve"> services</w:t>
      </w:r>
      <w:r w:rsidR="00F6376F" w:rsidRPr="00EC6E31">
        <w:rPr>
          <w:rFonts w:ascii="Times New Roman" w:hAnsi="Times New Roman" w:cs="Times New Roman"/>
        </w:rPr>
        <w:t>,</w:t>
      </w:r>
      <w:r w:rsidR="00C26FBA" w:rsidRPr="00EC6E31">
        <w:rPr>
          <w:rFonts w:ascii="Times New Roman" w:hAnsi="Times New Roman" w:cs="Times New Roman"/>
        </w:rPr>
        <w:t xml:space="preserve"> metabolic </w:t>
      </w:r>
      <w:r w:rsidR="004625FF" w:rsidRPr="00EC6E31">
        <w:rPr>
          <w:rFonts w:ascii="Times New Roman" w:hAnsi="Times New Roman" w:cs="Times New Roman"/>
        </w:rPr>
        <w:t>monitoring</w:t>
      </w:r>
      <w:r w:rsidR="001931A3" w:rsidRPr="00EC6E31">
        <w:rPr>
          <w:rFonts w:ascii="Times New Roman" w:hAnsi="Times New Roman" w:cs="Times New Roman"/>
        </w:rPr>
        <w:t xml:space="preserve">, </w:t>
      </w:r>
      <w:r w:rsidR="00F6376F" w:rsidRPr="00EC6E31">
        <w:rPr>
          <w:rFonts w:ascii="Times New Roman" w:hAnsi="Times New Roman" w:cs="Times New Roman"/>
        </w:rPr>
        <w:t xml:space="preserve">the </w:t>
      </w:r>
      <w:r w:rsidR="004625FF" w:rsidRPr="00EC6E31">
        <w:rPr>
          <w:rFonts w:ascii="Times New Roman" w:hAnsi="Times New Roman" w:cs="Times New Roman"/>
        </w:rPr>
        <w:t>diagnosis</w:t>
      </w:r>
      <w:r w:rsidR="00F913E2" w:rsidRPr="00EC6E31">
        <w:rPr>
          <w:rFonts w:ascii="Times New Roman" w:hAnsi="Times New Roman" w:cs="Times New Roman"/>
        </w:rPr>
        <w:t xml:space="preserve"> </w:t>
      </w:r>
      <w:r w:rsidR="001931A3" w:rsidRPr="00EC6E31">
        <w:rPr>
          <w:rFonts w:ascii="Times New Roman" w:hAnsi="Times New Roman" w:cs="Times New Roman"/>
        </w:rPr>
        <w:t xml:space="preserve">and hospitalisation for cardiovascular disease (CVD), and </w:t>
      </w:r>
      <w:r w:rsidR="004625FF" w:rsidRPr="00EC6E31">
        <w:rPr>
          <w:rFonts w:ascii="Times New Roman" w:hAnsi="Times New Roman" w:cs="Times New Roman"/>
        </w:rPr>
        <w:t xml:space="preserve">the </w:t>
      </w:r>
      <w:r w:rsidR="001931A3" w:rsidRPr="00EC6E31">
        <w:rPr>
          <w:rFonts w:ascii="Times New Roman" w:hAnsi="Times New Roman" w:cs="Times New Roman"/>
        </w:rPr>
        <w:t xml:space="preserve">risk of mortality. </w:t>
      </w:r>
      <w:r w:rsidR="00303F0A" w:rsidRPr="00EC6E31">
        <w:rPr>
          <w:rFonts w:ascii="Times New Roman" w:hAnsi="Times New Roman" w:cs="Times New Roman"/>
        </w:rPr>
        <w:t>W</w:t>
      </w:r>
      <w:r w:rsidR="004625FF" w:rsidRPr="00EC6E31">
        <w:rPr>
          <w:rFonts w:ascii="Times New Roman" w:hAnsi="Times New Roman" w:cs="Times New Roman"/>
        </w:rPr>
        <w:t>e aimed to identify the potential elements in the care pathway that might be associated with increased risk of mortality in people with SMI.</w:t>
      </w:r>
    </w:p>
    <w:p w14:paraId="2AE561C0" w14:textId="77777777" w:rsidR="00F37B9E" w:rsidRDefault="00F37B9E">
      <w:pPr>
        <w:jc w:val="both"/>
        <w:rPr>
          <w:rFonts w:ascii="Times New Roman" w:hAnsi="Times New Roman" w:cs="Times New Roman"/>
        </w:rPr>
      </w:pPr>
    </w:p>
    <w:p w14:paraId="761BD407" w14:textId="545BB4EA" w:rsidR="0075754D" w:rsidRPr="007F6D79" w:rsidRDefault="00235A7D">
      <w:pPr>
        <w:jc w:val="both"/>
        <w:rPr>
          <w:rFonts w:ascii="Times New Roman" w:hAnsi="Times New Roman" w:cs="Times New Roman"/>
          <w:b/>
        </w:rPr>
      </w:pPr>
      <w:r w:rsidRPr="007F6D79">
        <w:rPr>
          <w:rFonts w:ascii="Times New Roman" w:hAnsi="Times New Roman" w:cs="Times New Roman"/>
          <w:b/>
        </w:rPr>
        <w:t>Data and methods</w:t>
      </w:r>
    </w:p>
    <w:p w14:paraId="23A22759" w14:textId="77777777" w:rsidR="00235A7D" w:rsidRPr="007F6D79" w:rsidRDefault="00235A7D">
      <w:pPr>
        <w:jc w:val="both"/>
        <w:rPr>
          <w:rFonts w:ascii="Times New Roman" w:hAnsi="Times New Roman" w:cs="Times New Roman"/>
          <w:i/>
        </w:rPr>
      </w:pPr>
      <w:r w:rsidRPr="007F6D79">
        <w:rPr>
          <w:rFonts w:ascii="Times New Roman" w:hAnsi="Times New Roman" w:cs="Times New Roman"/>
          <w:i/>
        </w:rPr>
        <w:t>Data sources</w:t>
      </w:r>
      <w:r w:rsidR="003C4403" w:rsidRPr="007F6D79">
        <w:rPr>
          <w:rFonts w:ascii="Times New Roman" w:hAnsi="Times New Roman" w:cs="Times New Roman"/>
          <w:i/>
        </w:rPr>
        <w:t xml:space="preserve"> and participants</w:t>
      </w:r>
    </w:p>
    <w:p w14:paraId="1ECC593A" w14:textId="1094150A" w:rsidR="003C4403" w:rsidRDefault="0B4D85C8">
      <w:pPr>
        <w:jc w:val="both"/>
        <w:rPr>
          <w:rFonts w:ascii="Times New Roman" w:hAnsi="Times New Roman" w:cs="Times New Roman"/>
        </w:rPr>
      </w:pPr>
      <w:r w:rsidRPr="0B4D85C8">
        <w:rPr>
          <w:rFonts w:ascii="Times New Roman" w:hAnsi="Times New Roman" w:cs="Times New Roman"/>
        </w:rPr>
        <w:t>The dataset was extracted from Clinical Practice Research Datalink (CPRD) GOLD. Patient information includes symptoms and diagnos</w:t>
      </w:r>
      <w:r w:rsidR="00ED710D">
        <w:rPr>
          <w:rFonts w:ascii="Times New Roman" w:hAnsi="Times New Roman" w:cs="Times New Roman"/>
        </w:rPr>
        <w:t>e</w:t>
      </w:r>
      <w:r w:rsidRPr="0B4D85C8">
        <w:rPr>
          <w:rFonts w:ascii="Times New Roman" w:hAnsi="Times New Roman" w:cs="Times New Roman"/>
        </w:rPr>
        <w:t xml:space="preserve">s, referrals to specialists and secondary care settings, prescriptions issued in primary care, diagnostic testing, </w:t>
      </w:r>
      <w:r w:rsidR="00561825">
        <w:rPr>
          <w:rFonts w:ascii="Times New Roman" w:hAnsi="Times New Roman" w:cs="Times New Roman"/>
        </w:rPr>
        <w:t>biometric data</w:t>
      </w:r>
      <w:r w:rsidRPr="0B4D85C8">
        <w:rPr>
          <w:rFonts w:ascii="Times New Roman" w:hAnsi="Times New Roman" w:cs="Times New Roman"/>
        </w:rPr>
        <w:t xml:space="preserve"> and other types of care </w:t>
      </w:r>
      <w:r w:rsidR="00546640">
        <w:rPr>
          <w:rFonts w:ascii="Times New Roman" w:hAnsi="Times New Roman" w:cs="Times New Roman"/>
        </w:rPr>
        <w:t xml:space="preserve">as routinely </w:t>
      </w:r>
      <w:r w:rsidRPr="0B4D85C8">
        <w:rPr>
          <w:rFonts w:ascii="Times New Roman" w:hAnsi="Times New Roman" w:cs="Times New Roman"/>
        </w:rPr>
        <w:t xml:space="preserve">provided </w:t>
      </w:r>
      <w:r w:rsidR="00546640">
        <w:rPr>
          <w:rFonts w:ascii="Times New Roman" w:hAnsi="Times New Roman" w:cs="Times New Roman"/>
        </w:rPr>
        <w:t xml:space="preserve">in </w:t>
      </w:r>
      <w:r w:rsidRPr="0B4D85C8">
        <w:rPr>
          <w:rFonts w:ascii="Times New Roman" w:hAnsi="Times New Roman" w:cs="Times New Roman"/>
        </w:rPr>
        <w:t>primary care. Patient characteristics are broadly representative of the general UK population in terms of age, sex and ethnicity.</w:t>
      </w:r>
      <w:r w:rsidRPr="00B624D3">
        <w:rPr>
          <w:rFonts w:ascii="Times New Roman" w:hAnsi="Times New Roman" w:cs="Times New Roman"/>
          <w:vertAlign w:val="superscript"/>
        </w:rPr>
        <w:t>22</w:t>
      </w:r>
      <w:r w:rsidRPr="0B4D85C8">
        <w:rPr>
          <w:rFonts w:ascii="Times New Roman" w:hAnsi="Times New Roman" w:cs="Times New Roman"/>
        </w:rPr>
        <w:t xml:space="preserve"> Individual patient data were electronically linked to external data sources including Hospital Episode Statistics (HES) for hospital admissions, Office for National Statistics (ONS) for death records and the Index of Multiple Deprivation (IMD) for area deprivation.</w:t>
      </w:r>
      <w:r w:rsidRPr="00B624D3">
        <w:rPr>
          <w:rFonts w:ascii="Times New Roman" w:hAnsi="Times New Roman" w:cs="Times New Roman"/>
          <w:vertAlign w:val="superscript"/>
        </w:rPr>
        <w:t>23-25</w:t>
      </w:r>
    </w:p>
    <w:p w14:paraId="78E57AE4" w14:textId="5710F5DC" w:rsidR="00A000D8" w:rsidRDefault="0B4D85C8">
      <w:pPr>
        <w:jc w:val="both"/>
        <w:rPr>
          <w:rFonts w:ascii="Times New Roman" w:hAnsi="Times New Roman" w:cs="Times New Roman"/>
        </w:rPr>
      </w:pPr>
      <w:r w:rsidRPr="00EC6E31">
        <w:rPr>
          <w:rFonts w:ascii="Times New Roman" w:hAnsi="Times New Roman" w:cs="Times New Roman"/>
        </w:rPr>
        <w:t xml:space="preserve">We used a matched </w:t>
      </w:r>
      <w:r w:rsidR="00182AB6" w:rsidRPr="00EC6E31">
        <w:rPr>
          <w:rFonts w:ascii="Times New Roman" w:hAnsi="Times New Roman" w:cs="Times New Roman"/>
        </w:rPr>
        <w:t xml:space="preserve">nested </w:t>
      </w:r>
      <w:r w:rsidRPr="00EC6E31">
        <w:rPr>
          <w:rFonts w:ascii="Times New Roman" w:hAnsi="Times New Roman" w:cs="Times New Roman"/>
        </w:rPr>
        <w:t xml:space="preserve">case-control </w:t>
      </w:r>
      <w:r w:rsidR="00DB6AC4" w:rsidRPr="00EC6E31">
        <w:rPr>
          <w:rFonts w:ascii="Times New Roman" w:hAnsi="Times New Roman" w:cs="Times New Roman"/>
        </w:rPr>
        <w:t>design</w:t>
      </w:r>
      <w:r w:rsidR="00561825" w:rsidRPr="00EC6E31">
        <w:rPr>
          <w:rFonts w:ascii="Times New Roman" w:hAnsi="Times New Roman" w:cs="Times New Roman"/>
        </w:rPr>
        <w:t>. Cases were</w:t>
      </w:r>
      <w:r w:rsidRPr="00EC6E31">
        <w:rPr>
          <w:rFonts w:ascii="Times New Roman" w:hAnsi="Times New Roman" w:cs="Times New Roman"/>
        </w:rPr>
        <w:t xml:space="preserve"> people with comorbid SMI and diabetes</w:t>
      </w:r>
      <w:r w:rsidR="00DB6AC4" w:rsidRPr="00EC6E31">
        <w:rPr>
          <w:rFonts w:ascii="Times New Roman" w:hAnsi="Times New Roman" w:cs="Times New Roman"/>
        </w:rPr>
        <w:t>;</w:t>
      </w:r>
      <w:r w:rsidRPr="0B4D85C8">
        <w:rPr>
          <w:rFonts w:ascii="Times New Roman" w:hAnsi="Times New Roman" w:cs="Times New Roman"/>
        </w:rPr>
        <w:t xml:space="preserve"> people with diabetes </w:t>
      </w:r>
      <w:r w:rsidR="006E502F">
        <w:rPr>
          <w:rFonts w:ascii="Times New Roman" w:hAnsi="Times New Roman" w:cs="Times New Roman"/>
        </w:rPr>
        <w:t xml:space="preserve">but no SMI </w:t>
      </w:r>
      <w:r w:rsidR="00561825">
        <w:rPr>
          <w:rFonts w:ascii="Times New Roman" w:hAnsi="Times New Roman" w:cs="Times New Roman"/>
        </w:rPr>
        <w:t xml:space="preserve">were </w:t>
      </w:r>
      <w:r w:rsidRPr="0B4D85C8">
        <w:rPr>
          <w:rFonts w:ascii="Times New Roman" w:hAnsi="Times New Roman" w:cs="Times New Roman"/>
        </w:rPr>
        <w:t xml:space="preserve">identified as matched controls based on age, sex and primary care practice </w:t>
      </w:r>
      <w:r w:rsidR="00561825">
        <w:rPr>
          <w:rFonts w:ascii="Times New Roman" w:hAnsi="Times New Roman" w:cs="Times New Roman"/>
        </w:rPr>
        <w:t>with</w:t>
      </w:r>
      <w:r w:rsidRPr="0B4D85C8">
        <w:rPr>
          <w:rFonts w:ascii="Times New Roman" w:hAnsi="Times New Roman" w:cs="Times New Roman"/>
        </w:rPr>
        <w:t xml:space="preserve"> </w:t>
      </w:r>
      <w:r w:rsidR="001E13FA">
        <w:rPr>
          <w:rFonts w:ascii="Times New Roman" w:hAnsi="Times New Roman" w:cs="Times New Roman"/>
        </w:rPr>
        <w:t xml:space="preserve">a </w:t>
      </w:r>
      <w:r w:rsidRPr="0B4D85C8">
        <w:rPr>
          <w:rFonts w:ascii="Times New Roman" w:hAnsi="Times New Roman" w:cs="Times New Roman"/>
        </w:rPr>
        <w:t xml:space="preserve">maximum ratio of </w:t>
      </w:r>
      <w:r w:rsidR="00540AB1">
        <w:rPr>
          <w:rFonts w:ascii="Times New Roman" w:hAnsi="Times New Roman" w:cs="Times New Roman"/>
        </w:rPr>
        <w:t>4:1</w:t>
      </w:r>
      <w:r w:rsidRPr="0B4D85C8">
        <w:rPr>
          <w:rFonts w:ascii="Times New Roman" w:hAnsi="Times New Roman" w:cs="Times New Roman"/>
        </w:rPr>
        <w:t xml:space="preserve">. SMI was </w:t>
      </w:r>
      <w:r w:rsidR="00B2072A">
        <w:rPr>
          <w:rFonts w:ascii="Times New Roman" w:hAnsi="Times New Roman" w:cs="Times New Roman"/>
        </w:rPr>
        <w:t>defined</w:t>
      </w:r>
      <w:r w:rsidR="00B2072A" w:rsidRPr="0B4D85C8">
        <w:rPr>
          <w:rFonts w:ascii="Times New Roman" w:hAnsi="Times New Roman" w:cs="Times New Roman"/>
        </w:rPr>
        <w:t xml:space="preserve"> </w:t>
      </w:r>
      <w:r w:rsidRPr="0B4D85C8">
        <w:rPr>
          <w:rFonts w:ascii="Times New Roman" w:hAnsi="Times New Roman" w:cs="Times New Roman"/>
        </w:rPr>
        <w:t xml:space="preserve">by the presence of at least one diagnostic record entry for schizophrenia, schizoaffective disorder, bipolar disorder, depression or other affective disorder with psychosis in either primary care or hospital admission data. Diabetes was classified by </w:t>
      </w:r>
      <w:r w:rsidRPr="00EC6E31">
        <w:rPr>
          <w:rFonts w:ascii="Times New Roman" w:hAnsi="Times New Roman" w:cs="Times New Roman"/>
        </w:rPr>
        <w:t xml:space="preserve">the presence of diagnostic codes </w:t>
      </w:r>
      <w:r w:rsidR="00607B98" w:rsidRPr="00EC6E31">
        <w:rPr>
          <w:rFonts w:ascii="Times New Roman" w:hAnsi="Times New Roman" w:cs="Times New Roman"/>
        </w:rPr>
        <w:t>for</w:t>
      </w:r>
      <w:r w:rsidRPr="00EC6E31">
        <w:rPr>
          <w:rFonts w:ascii="Times New Roman" w:hAnsi="Times New Roman" w:cs="Times New Roman"/>
        </w:rPr>
        <w:t xml:space="preserve"> T2DM in primary care or hospital admission data. Cases and controls were included if</w:t>
      </w:r>
      <w:r w:rsidR="001D44E6" w:rsidRPr="00EC6E31">
        <w:rPr>
          <w:rFonts w:ascii="Times New Roman" w:hAnsi="Times New Roman" w:cs="Times New Roman"/>
        </w:rPr>
        <w:t xml:space="preserve"> their health records were up to research standard (UTS), eligible for</w:t>
      </w:r>
      <w:r w:rsidRPr="00EC6E31">
        <w:rPr>
          <w:rFonts w:ascii="Times New Roman" w:hAnsi="Times New Roman" w:cs="Times New Roman"/>
        </w:rPr>
        <w:t xml:space="preserve"> </w:t>
      </w:r>
      <w:r w:rsidR="001D44E6" w:rsidRPr="00EC6E31">
        <w:rPr>
          <w:rFonts w:ascii="Times New Roman" w:hAnsi="Times New Roman" w:cs="Times New Roman"/>
        </w:rPr>
        <w:t>relevant linkages, and</w:t>
      </w:r>
      <w:r w:rsidR="00152129" w:rsidRPr="00EC6E31">
        <w:rPr>
          <w:rFonts w:ascii="Times New Roman" w:hAnsi="Times New Roman" w:cs="Times New Roman"/>
        </w:rPr>
        <w:t xml:space="preserve"> were</w:t>
      </w:r>
      <w:r w:rsidRPr="00EC6E31">
        <w:rPr>
          <w:rFonts w:ascii="Times New Roman" w:hAnsi="Times New Roman" w:cs="Times New Roman"/>
        </w:rPr>
        <w:t xml:space="preserve">: i) registered with </w:t>
      </w:r>
      <w:r w:rsidR="00152129" w:rsidRPr="00EC6E31">
        <w:rPr>
          <w:rFonts w:ascii="Times New Roman" w:hAnsi="Times New Roman" w:cs="Times New Roman"/>
        </w:rPr>
        <w:t>a</w:t>
      </w:r>
      <w:r w:rsidR="002B38C4" w:rsidRPr="00EC6E31">
        <w:rPr>
          <w:rFonts w:ascii="Times New Roman" w:hAnsi="Times New Roman" w:cs="Times New Roman"/>
        </w:rPr>
        <w:t xml:space="preserve"> </w:t>
      </w:r>
      <w:r w:rsidRPr="00EC6E31">
        <w:rPr>
          <w:rFonts w:ascii="Times New Roman" w:hAnsi="Times New Roman" w:cs="Times New Roman"/>
        </w:rPr>
        <w:t>participat</w:t>
      </w:r>
      <w:r w:rsidR="002B38C4" w:rsidRPr="00EC6E31">
        <w:rPr>
          <w:rFonts w:ascii="Times New Roman" w:hAnsi="Times New Roman" w:cs="Times New Roman"/>
        </w:rPr>
        <w:t>ing</w:t>
      </w:r>
      <w:r w:rsidRPr="00EC6E31">
        <w:rPr>
          <w:rFonts w:ascii="Times New Roman" w:hAnsi="Times New Roman" w:cs="Times New Roman"/>
        </w:rPr>
        <w:t xml:space="preserve"> primary care practice in England in the study period from 1 April 2000 to 31 March 2016; ii) aged 18</w:t>
      </w:r>
      <w:r w:rsidR="00561825" w:rsidRPr="00EC6E31">
        <w:rPr>
          <w:rFonts w:ascii="Times New Roman" w:hAnsi="Times New Roman" w:cs="Times New Roman"/>
        </w:rPr>
        <w:t>+</w:t>
      </w:r>
      <w:r w:rsidRPr="00EC6E31">
        <w:rPr>
          <w:rFonts w:ascii="Times New Roman" w:hAnsi="Times New Roman" w:cs="Times New Roman"/>
        </w:rPr>
        <w:t xml:space="preserve"> when diagnosed; iii</w:t>
      </w:r>
      <w:r w:rsidR="001D44E6" w:rsidRPr="00EC6E31">
        <w:rPr>
          <w:rFonts w:ascii="Times New Roman" w:hAnsi="Times New Roman" w:cs="Times New Roman"/>
        </w:rPr>
        <w:t xml:space="preserve">) </w:t>
      </w:r>
      <w:r w:rsidRPr="00EC6E31">
        <w:rPr>
          <w:rFonts w:ascii="Times New Roman" w:hAnsi="Times New Roman" w:cs="Times New Roman"/>
        </w:rPr>
        <w:t>continuous; and iv)</w:t>
      </w:r>
      <w:r w:rsidRPr="0B4D85C8">
        <w:rPr>
          <w:rFonts w:ascii="Times New Roman" w:hAnsi="Times New Roman" w:cs="Times New Roman"/>
        </w:rPr>
        <w:t xml:space="preserve"> nested within a matched case-control cluster. </w:t>
      </w:r>
    </w:p>
    <w:p w14:paraId="57C8F98D" w14:textId="5C03D7D3" w:rsidR="00A000D8" w:rsidRDefault="00A000D8">
      <w:pPr>
        <w:jc w:val="both"/>
        <w:rPr>
          <w:rFonts w:ascii="Times New Roman" w:hAnsi="Times New Roman" w:cs="Times New Roman"/>
        </w:rPr>
      </w:pPr>
      <w:r>
        <w:rPr>
          <w:rFonts w:ascii="Times New Roman" w:hAnsi="Times New Roman" w:cs="Times New Roman"/>
        </w:rPr>
        <w:t>I</w:t>
      </w:r>
      <w:r w:rsidR="00A72D6F">
        <w:rPr>
          <w:rFonts w:ascii="Times New Roman" w:hAnsi="Times New Roman" w:cs="Times New Roman"/>
        </w:rPr>
        <w:t xml:space="preserve">ndividual </w:t>
      </w:r>
      <w:r w:rsidR="00210508">
        <w:rPr>
          <w:rFonts w:ascii="Times New Roman" w:hAnsi="Times New Roman" w:cs="Times New Roman"/>
        </w:rPr>
        <w:t xml:space="preserve">follow-up </w:t>
      </w:r>
      <w:r w:rsidR="00334E90">
        <w:rPr>
          <w:rFonts w:ascii="Times New Roman" w:hAnsi="Times New Roman" w:cs="Times New Roman"/>
        </w:rPr>
        <w:t>period</w:t>
      </w:r>
      <w:r w:rsidR="001D44E6">
        <w:rPr>
          <w:rFonts w:ascii="Times New Roman" w:hAnsi="Times New Roman" w:cs="Times New Roman"/>
        </w:rPr>
        <w:t>s</w:t>
      </w:r>
      <w:r w:rsidR="00334E90">
        <w:rPr>
          <w:rFonts w:ascii="Times New Roman" w:hAnsi="Times New Roman" w:cs="Times New Roman"/>
        </w:rPr>
        <w:t xml:space="preserve"> started on</w:t>
      </w:r>
      <w:r w:rsidR="00210508">
        <w:rPr>
          <w:rFonts w:ascii="Times New Roman" w:hAnsi="Times New Roman" w:cs="Times New Roman"/>
        </w:rPr>
        <w:t xml:space="preserve"> the later date </w:t>
      </w:r>
      <w:r w:rsidR="001D44E6">
        <w:rPr>
          <w:rFonts w:ascii="Times New Roman" w:hAnsi="Times New Roman" w:cs="Times New Roman"/>
        </w:rPr>
        <w:t xml:space="preserve">of </w:t>
      </w:r>
      <w:r w:rsidR="00210508">
        <w:rPr>
          <w:rFonts w:ascii="Times New Roman" w:hAnsi="Times New Roman" w:cs="Times New Roman"/>
        </w:rPr>
        <w:t>T2DM diagnosis</w:t>
      </w:r>
      <w:r w:rsidR="001D44E6">
        <w:rPr>
          <w:rFonts w:ascii="Times New Roman" w:hAnsi="Times New Roman" w:cs="Times New Roman"/>
        </w:rPr>
        <w:t xml:space="preserve"> or</w:t>
      </w:r>
      <w:r w:rsidR="00210508">
        <w:rPr>
          <w:rFonts w:ascii="Times New Roman" w:hAnsi="Times New Roman" w:cs="Times New Roman"/>
        </w:rPr>
        <w:t xml:space="preserve"> </w:t>
      </w:r>
      <w:r w:rsidR="00AA1580">
        <w:rPr>
          <w:rFonts w:ascii="Times New Roman" w:hAnsi="Times New Roman" w:cs="Times New Roman"/>
        </w:rPr>
        <w:t xml:space="preserve">the </w:t>
      </w:r>
      <w:r w:rsidR="00334E90">
        <w:rPr>
          <w:rFonts w:ascii="Times New Roman" w:hAnsi="Times New Roman" w:cs="Times New Roman"/>
        </w:rPr>
        <w:t xml:space="preserve">beginning </w:t>
      </w:r>
      <w:r w:rsidR="00210508">
        <w:rPr>
          <w:rFonts w:ascii="Times New Roman" w:hAnsi="Times New Roman" w:cs="Times New Roman"/>
        </w:rPr>
        <w:t>of UTS data</w:t>
      </w:r>
      <w:r w:rsidR="00334E90">
        <w:rPr>
          <w:rFonts w:ascii="Times New Roman" w:hAnsi="Times New Roman" w:cs="Times New Roman"/>
        </w:rPr>
        <w:t xml:space="preserve"> plus 15 months</w:t>
      </w:r>
      <w:r w:rsidR="00210508">
        <w:rPr>
          <w:rFonts w:ascii="Times New Roman" w:hAnsi="Times New Roman" w:cs="Times New Roman"/>
        </w:rPr>
        <w:t>,</w:t>
      </w:r>
      <w:r w:rsidR="006D4AB0">
        <w:rPr>
          <w:rFonts w:ascii="Times New Roman" w:hAnsi="Times New Roman" w:cs="Times New Roman"/>
        </w:rPr>
        <w:t xml:space="preserve"> </w:t>
      </w:r>
      <w:r w:rsidR="00B82E41">
        <w:rPr>
          <w:rFonts w:ascii="Times New Roman" w:hAnsi="Times New Roman" w:cs="Times New Roman"/>
        </w:rPr>
        <w:t xml:space="preserve">to ensure a </w:t>
      </w:r>
      <w:r w:rsidR="006E502F">
        <w:rPr>
          <w:rFonts w:ascii="Times New Roman" w:hAnsi="Times New Roman" w:cs="Times New Roman"/>
        </w:rPr>
        <w:t xml:space="preserve">large </w:t>
      </w:r>
      <w:r w:rsidR="00B82E41">
        <w:rPr>
          <w:rFonts w:ascii="Times New Roman" w:hAnsi="Times New Roman" w:cs="Times New Roman"/>
        </w:rPr>
        <w:t xml:space="preserve">window for </w:t>
      </w:r>
      <w:r w:rsidR="006E502F">
        <w:rPr>
          <w:rFonts w:ascii="Times New Roman" w:hAnsi="Times New Roman" w:cs="Times New Roman"/>
        </w:rPr>
        <w:t xml:space="preserve">observing </w:t>
      </w:r>
      <w:r w:rsidR="00B82E41">
        <w:rPr>
          <w:rFonts w:ascii="Times New Roman" w:hAnsi="Times New Roman" w:cs="Times New Roman"/>
        </w:rPr>
        <w:t xml:space="preserve">baseline </w:t>
      </w:r>
      <w:r w:rsidR="00F37B9E">
        <w:rPr>
          <w:rFonts w:ascii="Times New Roman" w:hAnsi="Times New Roman" w:cs="Times New Roman"/>
        </w:rPr>
        <w:t>participant</w:t>
      </w:r>
      <w:r w:rsidR="00B82E41">
        <w:rPr>
          <w:rFonts w:ascii="Times New Roman" w:hAnsi="Times New Roman" w:cs="Times New Roman"/>
        </w:rPr>
        <w:t xml:space="preserve"> characteristics.</w:t>
      </w:r>
      <w:r w:rsidR="00A72D6F">
        <w:rPr>
          <w:rFonts w:ascii="Times New Roman" w:hAnsi="Times New Roman" w:cs="Times New Roman"/>
        </w:rPr>
        <w:t xml:space="preserve"> F</w:t>
      </w:r>
      <w:r w:rsidR="00B82E41">
        <w:rPr>
          <w:rFonts w:ascii="Times New Roman" w:hAnsi="Times New Roman" w:cs="Times New Roman"/>
        </w:rPr>
        <w:t xml:space="preserve">ollow-up </w:t>
      </w:r>
      <w:r w:rsidR="00334E90">
        <w:rPr>
          <w:rFonts w:ascii="Times New Roman" w:hAnsi="Times New Roman" w:cs="Times New Roman"/>
        </w:rPr>
        <w:t>ended on</w:t>
      </w:r>
      <w:r w:rsidR="00A4358F">
        <w:rPr>
          <w:rFonts w:ascii="Times New Roman" w:hAnsi="Times New Roman" w:cs="Times New Roman"/>
        </w:rPr>
        <w:t xml:space="preserve"> the earlie</w:t>
      </w:r>
      <w:r w:rsidR="00F37B9E">
        <w:rPr>
          <w:rFonts w:ascii="Times New Roman" w:hAnsi="Times New Roman" w:cs="Times New Roman"/>
        </w:rPr>
        <w:t>r</w:t>
      </w:r>
      <w:r w:rsidR="00A4358F">
        <w:rPr>
          <w:rFonts w:ascii="Times New Roman" w:hAnsi="Times New Roman" w:cs="Times New Roman"/>
        </w:rPr>
        <w:t xml:space="preserve"> date of</w:t>
      </w:r>
      <w:r w:rsidR="00B82E41">
        <w:rPr>
          <w:rFonts w:ascii="Times New Roman" w:hAnsi="Times New Roman" w:cs="Times New Roman"/>
        </w:rPr>
        <w:t xml:space="preserve"> </w:t>
      </w:r>
      <w:r w:rsidR="00ED710D">
        <w:rPr>
          <w:rFonts w:ascii="Times New Roman" w:hAnsi="Times New Roman" w:cs="Times New Roman"/>
        </w:rPr>
        <w:t>31 March 2016</w:t>
      </w:r>
      <w:r w:rsidR="00A4358F">
        <w:rPr>
          <w:rFonts w:ascii="Times New Roman" w:hAnsi="Times New Roman" w:cs="Times New Roman"/>
        </w:rPr>
        <w:t xml:space="preserve"> </w:t>
      </w:r>
      <w:r w:rsidR="00AA1580">
        <w:rPr>
          <w:rFonts w:ascii="Times New Roman" w:hAnsi="Times New Roman" w:cs="Times New Roman"/>
        </w:rPr>
        <w:t>or the end of UTS data</w:t>
      </w:r>
      <w:r w:rsidR="002B3451">
        <w:rPr>
          <w:rFonts w:ascii="Times New Roman" w:hAnsi="Times New Roman" w:cs="Times New Roman"/>
        </w:rPr>
        <w:t xml:space="preserve"> (</w:t>
      </w:r>
      <w:r w:rsidR="00056F9E">
        <w:rPr>
          <w:rFonts w:ascii="Times New Roman" w:hAnsi="Times New Roman" w:cs="Times New Roman"/>
          <w:b/>
          <w:bCs/>
        </w:rPr>
        <w:t>Supplementary Figure S</w:t>
      </w:r>
      <w:r w:rsidR="002B3451" w:rsidRPr="002B3451">
        <w:rPr>
          <w:rFonts w:ascii="Times New Roman" w:hAnsi="Times New Roman" w:cs="Times New Roman"/>
          <w:b/>
          <w:bCs/>
        </w:rPr>
        <w:t>1</w:t>
      </w:r>
      <w:r w:rsidR="002B3451">
        <w:rPr>
          <w:rFonts w:ascii="Times New Roman" w:hAnsi="Times New Roman" w:cs="Times New Roman"/>
        </w:rPr>
        <w:t>)</w:t>
      </w:r>
      <w:r w:rsidR="00AA1580">
        <w:rPr>
          <w:rFonts w:ascii="Times New Roman" w:hAnsi="Times New Roman" w:cs="Times New Roman"/>
        </w:rPr>
        <w:t>.</w:t>
      </w:r>
      <w:r w:rsidR="00B82E41">
        <w:rPr>
          <w:rFonts w:ascii="Times New Roman" w:hAnsi="Times New Roman" w:cs="Times New Roman"/>
        </w:rPr>
        <w:t xml:space="preserve"> </w:t>
      </w:r>
    </w:p>
    <w:p w14:paraId="0C787FB2" w14:textId="77777777" w:rsidR="00F37B9E" w:rsidRDefault="00F37B9E">
      <w:pPr>
        <w:jc w:val="both"/>
        <w:rPr>
          <w:rFonts w:ascii="Times New Roman" w:hAnsi="Times New Roman" w:cs="Times New Roman"/>
        </w:rPr>
      </w:pPr>
    </w:p>
    <w:p w14:paraId="3D05E13F" w14:textId="6596FF46" w:rsidR="00E83B2A" w:rsidRPr="007F6D79" w:rsidRDefault="00235A7D">
      <w:pPr>
        <w:jc w:val="both"/>
        <w:rPr>
          <w:rFonts w:ascii="Times New Roman" w:hAnsi="Times New Roman" w:cs="Times New Roman"/>
          <w:i/>
        </w:rPr>
      </w:pPr>
      <w:r w:rsidRPr="007F6D79">
        <w:rPr>
          <w:rFonts w:ascii="Times New Roman" w:hAnsi="Times New Roman" w:cs="Times New Roman"/>
          <w:i/>
        </w:rPr>
        <w:t xml:space="preserve">Variables </w:t>
      </w:r>
    </w:p>
    <w:p w14:paraId="2E0980B5" w14:textId="08161523" w:rsidR="00F37B9E" w:rsidRDefault="00E83B2A">
      <w:pPr>
        <w:jc w:val="both"/>
        <w:rPr>
          <w:rFonts w:ascii="Times New Roman" w:hAnsi="Times New Roman" w:cs="Times New Roman"/>
        </w:rPr>
      </w:pPr>
      <w:r>
        <w:rPr>
          <w:rFonts w:ascii="Times New Roman" w:hAnsi="Times New Roman" w:cs="Times New Roman"/>
        </w:rPr>
        <w:t>The exposur</w:t>
      </w:r>
      <w:r w:rsidR="002035BF">
        <w:rPr>
          <w:rFonts w:ascii="Times New Roman" w:hAnsi="Times New Roman" w:cs="Times New Roman"/>
        </w:rPr>
        <w:t xml:space="preserve">e variable was </w:t>
      </w:r>
      <w:r w:rsidR="006E502F">
        <w:rPr>
          <w:rFonts w:ascii="Times New Roman" w:hAnsi="Times New Roman" w:cs="Times New Roman"/>
        </w:rPr>
        <w:t xml:space="preserve">SMI </w:t>
      </w:r>
      <w:r w:rsidR="002035BF">
        <w:rPr>
          <w:rFonts w:ascii="Times New Roman" w:hAnsi="Times New Roman" w:cs="Times New Roman"/>
        </w:rPr>
        <w:t>diagnosis</w:t>
      </w:r>
      <w:r w:rsidR="00F47E1C">
        <w:rPr>
          <w:rFonts w:ascii="Times New Roman" w:hAnsi="Times New Roman" w:cs="Times New Roman"/>
        </w:rPr>
        <w:t>. Out</w:t>
      </w:r>
      <w:r w:rsidR="00AA1580">
        <w:rPr>
          <w:rFonts w:ascii="Times New Roman" w:hAnsi="Times New Roman" w:cs="Times New Roman"/>
        </w:rPr>
        <w:t>come variables</w:t>
      </w:r>
      <w:r w:rsidR="001B1975">
        <w:rPr>
          <w:rFonts w:ascii="Times New Roman" w:hAnsi="Times New Roman" w:cs="Times New Roman"/>
        </w:rPr>
        <w:t xml:space="preserve"> </w:t>
      </w:r>
      <w:r w:rsidR="00B0563E">
        <w:rPr>
          <w:rFonts w:ascii="Times New Roman" w:hAnsi="Times New Roman" w:cs="Times New Roman"/>
        </w:rPr>
        <w:t xml:space="preserve">were </w:t>
      </w:r>
      <w:r w:rsidR="00907713">
        <w:rPr>
          <w:rFonts w:ascii="Times New Roman" w:hAnsi="Times New Roman" w:cs="Times New Roman"/>
        </w:rPr>
        <w:t xml:space="preserve">primary care </w:t>
      </w:r>
      <w:r w:rsidR="0011358F">
        <w:rPr>
          <w:rFonts w:ascii="Times New Roman" w:hAnsi="Times New Roman" w:cs="Times New Roman"/>
        </w:rPr>
        <w:t>consultations</w:t>
      </w:r>
      <w:r w:rsidR="00907713">
        <w:rPr>
          <w:rFonts w:ascii="Times New Roman" w:hAnsi="Times New Roman" w:cs="Times New Roman"/>
        </w:rPr>
        <w:t>,</w:t>
      </w:r>
      <w:r w:rsidR="0011358F">
        <w:rPr>
          <w:rFonts w:ascii="Times New Roman" w:hAnsi="Times New Roman" w:cs="Times New Roman"/>
        </w:rPr>
        <w:t xml:space="preserve"> completion of physical health checks, </w:t>
      </w:r>
      <w:r w:rsidR="00907713">
        <w:rPr>
          <w:rFonts w:ascii="Times New Roman" w:hAnsi="Times New Roman" w:cs="Times New Roman"/>
        </w:rPr>
        <w:t>metabolic</w:t>
      </w:r>
      <w:r w:rsidR="002B3451">
        <w:rPr>
          <w:rFonts w:ascii="Times New Roman" w:hAnsi="Times New Roman" w:cs="Times New Roman"/>
        </w:rPr>
        <w:t xml:space="preserve"> measurements</w:t>
      </w:r>
      <w:r w:rsidR="00907713">
        <w:rPr>
          <w:rFonts w:ascii="Times New Roman" w:hAnsi="Times New Roman" w:cs="Times New Roman"/>
        </w:rPr>
        <w:t xml:space="preserve">, diagnosis and hospitalisation for </w:t>
      </w:r>
      <w:r w:rsidR="00F15CC8">
        <w:rPr>
          <w:rFonts w:ascii="Times New Roman" w:hAnsi="Times New Roman" w:cs="Times New Roman"/>
        </w:rPr>
        <w:t>CVD</w:t>
      </w:r>
      <w:r w:rsidR="00907713">
        <w:rPr>
          <w:rFonts w:ascii="Times New Roman" w:hAnsi="Times New Roman" w:cs="Times New Roman"/>
        </w:rPr>
        <w:t xml:space="preserve">, and risk of all-cause and </w:t>
      </w:r>
      <w:r w:rsidR="00F15CC8">
        <w:rPr>
          <w:rFonts w:ascii="Times New Roman" w:hAnsi="Times New Roman" w:cs="Times New Roman"/>
        </w:rPr>
        <w:t>CVD-</w:t>
      </w:r>
      <w:r w:rsidR="00070175">
        <w:rPr>
          <w:rFonts w:ascii="Times New Roman" w:hAnsi="Times New Roman" w:cs="Times New Roman"/>
        </w:rPr>
        <w:t>specific</w:t>
      </w:r>
      <w:r w:rsidR="00F15CC8">
        <w:rPr>
          <w:rFonts w:ascii="Times New Roman" w:hAnsi="Times New Roman" w:cs="Times New Roman"/>
        </w:rPr>
        <w:t xml:space="preserve"> mortalit</w:t>
      </w:r>
      <w:r w:rsidR="003D0E59">
        <w:rPr>
          <w:rFonts w:ascii="Times New Roman" w:hAnsi="Times New Roman" w:cs="Times New Roman"/>
        </w:rPr>
        <w:t>y</w:t>
      </w:r>
      <w:r w:rsidR="007523A0">
        <w:rPr>
          <w:rFonts w:ascii="Times New Roman" w:hAnsi="Times New Roman" w:cs="Times New Roman"/>
        </w:rPr>
        <w:t xml:space="preserve">. </w:t>
      </w:r>
    </w:p>
    <w:p w14:paraId="6187F5C6" w14:textId="655B2F18" w:rsidR="00B13CBC" w:rsidRDefault="00F37B9E">
      <w:pPr>
        <w:jc w:val="both"/>
        <w:rPr>
          <w:rFonts w:ascii="Times New Roman" w:hAnsi="Times New Roman" w:cs="Times New Roman"/>
        </w:rPr>
      </w:pPr>
      <w:r>
        <w:rPr>
          <w:rFonts w:ascii="Times New Roman" w:hAnsi="Times New Roman" w:cs="Times New Roman"/>
        </w:rPr>
        <w:t>Primary care c</w:t>
      </w:r>
      <w:r w:rsidR="00F47E1C">
        <w:rPr>
          <w:rFonts w:ascii="Times New Roman" w:hAnsi="Times New Roman" w:cs="Times New Roman"/>
        </w:rPr>
        <w:t xml:space="preserve">onsultation </w:t>
      </w:r>
      <w:r>
        <w:rPr>
          <w:rFonts w:ascii="Times New Roman" w:hAnsi="Times New Roman" w:cs="Times New Roman"/>
        </w:rPr>
        <w:t>rates</w:t>
      </w:r>
      <w:r w:rsidR="00F47E1C">
        <w:rPr>
          <w:rFonts w:ascii="Times New Roman" w:hAnsi="Times New Roman" w:cs="Times New Roman"/>
        </w:rPr>
        <w:t xml:space="preserve"> were </w:t>
      </w:r>
      <w:r>
        <w:rPr>
          <w:rFonts w:ascii="Times New Roman" w:hAnsi="Times New Roman" w:cs="Times New Roman"/>
        </w:rPr>
        <w:t xml:space="preserve">expressed as the average number of face-to-face consultations per year in the follow-up with practice-based health professionals. </w:t>
      </w:r>
      <w:r w:rsidR="00932C2F">
        <w:rPr>
          <w:rFonts w:ascii="Times New Roman" w:hAnsi="Times New Roman" w:cs="Times New Roman"/>
        </w:rPr>
        <w:t xml:space="preserve">The </w:t>
      </w:r>
      <w:r>
        <w:rPr>
          <w:rFonts w:ascii="Times New Roman" w:hAnsi="Times New Roman" w:cs="Times New Roman"/>
        </w:rPr>
        <w:t xml:space="preserve">average </w:t>
      </w:r>
      <w:r w:rsidR="00932C2F">
        <w:rPr>
          <w:rFonts w:ascii="Times New Roman" w:hAnsi="Times New Roman" w:cs="Times New Roman"/>
        </w:rPr>
        <w:t>number</w:t>
      </w:r>
      <w:r w:rsidR="002579AB">
        <w:rPr>
          <w:rFonts w:ascii="Times New Roman" w:hAnsi="Times New Roman" w:cs="Times New Roman"/>
        </w:rPr>
        <w:t xml:space="preserve"> of h</w:t>
      </w:r>
      <w:r w:rsidR="000B2CDD">
        <w:rPr>
          <w:rFonts w:ascii="Times New Roman" w:hAnsi="Times New Roman" w:cs="Times New Roman"/>
        </w:rPr>
        <w:t xml:space="preserve">ealth checks </w:t>
      </w:r>
      <w:r>
        <w:rPr>
          <w:rFonts w:ascii="Times New Roman" w:hAnsi="Times New Roman" w:cs="Times New Roman"/>
        </w:rPr>
        <w:t xml:space="preserve">per year </w:t>
      </w:r>
      <w:r w:rsidR="00932C2F">
        <w:rPr>
          <w:rFonts w:ascii="Times New Roman" w:hAnsi="Times New Roman" w:cs="Times New Roman"/>
        </w:rPr>
        <w:t xml:space="preserve">was </w:t>
      </w:r>
      <w:r w:rsidR="007A49E9">
        <w:rPr>
          <w:rFonts w:ascii="Times New Roman" w:hAnsi="Times New Roman" w:cs="Times New Roman"/>
        </w:rPr>
        <w:t xml:space="preserve">calculated </w:t>
      </w:r>
      <w:r w:rsidR="002579AB">
        <w:rPr>
          <w:rFonts w:ascii="Times New Roman" w:hAnsi="Times New Roman" w:cs="Times New Roman"/>
        </w:rPr>
        <w:t xml:space="preserve">as recorded </w:t>
      </w:r>
      <w:r w:rsidR="007A49E9">
        <w:rPr>
          <w:rFonts w:ascii="Times New Roman" w:hAnsi="Times New Roman" w:cs="Times New Roman"/>
        </w:rPr>
        <w:t xml:space="preserve">checks </w:t>
      </w:r>
      <w:r w:rsidR="00FF553D">
        <w:rPr>
          <w:rFonts w:ascii="Times New Roman" w:hAnsi="Times New Roman" w:cs="Times New Roman"/>
        </w:rPr>
        <w:t>on</w:t>
      </w:r>
      <w:r w:rsidR="000B2CDD">
        <w:rPr>
          <w:rFonts w:ascii="Times New Roman" w:hAnsi="Times New Roman" w:cs="Times New Roman"/>
        </w:rPr>
        <w:t xml:space="preserve"> blood pressure, serum cholesterol, HbA</w:t>
      </w:r>
      <w:r w:rsidR="000B2CDD" w:rsidRPr="00DC5E4B">
        <w:rPr>
          <w:rFonts w:ascii="Times New Roman" w:hAnsi="Times New Roman" w:cs="Times New Roman"/>
          <w:vertAlign w:val="subscript"/>
        </w:rPr>
        <w:t>1c</w:t>
      </w:r>
      <w:r w:rsidR="000B2CDD">
        <w:rPr>
          <w:rFonts w:ascii="Times New Roman" w:hAnsi="Times New Roman" w:cs="Times New Roman"/>
        </w:rPr>
        <w:t xml:space="preserve"> and body mass index (BMI)</w:t>
      </w:r>
      <w:r w:rsidR="0011358F">
        <w:rPr>
          <w:rFonts w:ascii="Times New Roman" w:hAnsi="Times New Roman" w:cs="Times New Roman"/>
        </w:rPr>
        <w:t xml:space="preserve"> as incentivised under QOF for people with T2DM</w:t>
      </w:r>
      <w:r w:rsidR="002579AB">
        <w:rPr>
          <w:rFonts w:ascii="Times New Roman" w:hAnsi="Times New Roman" w:cs="Times New Roman"/>
        </w:rPr>
        <w:t>.</w:t>
      </w:r>
      <w:r w:rsidR="00FF553D">
        <w:rPr>
          <w:rFonts w:ascii="Times New Roman" w:hAnsi="Times New Roman" w:cs="Times New Roman"/>
        </w:rPr>
        <w:t xml:space="preserve"> </w:t>
      </w:r>
      <w:r w:rsidR="00A3044E">
        <w:rPr>
          <w:rFonts w:ascii="Times New Roman" w:hAnsi="Times New Roman" w:cs="Times New Roman"/>
        </w:rPr>
        <w:t xml:space="preserve">Metabolic measurements </w:t>
      </w:r>
      <w:r w:rsidR="007411AE">
        <w:rPr>
          <w:rFonts w:ascii="Times New Roman" w:hAnsi="Times New Roman" w:cs="Times New Roman"/>
        </w:rPr>
        <w:t>w</w:t>
      </w:r>
      <w:r w:rsidR="00A3044E">
        <w:rPr>
          <w:rFonts w:ascii="Times New Roman" w:hAnsi="Times New Roman" w:cs="Times New Roman"/>
        </w:rPr>
        <w:t>ere expressed by</w:t>
      </w:r>
      <w:r w:rsidR="007411AE">
        <w:rPr>
          <w:rFonts w:ascii="Times New Roman" w:hAnsi="Times New Roman" w:cs="Times New Roman"/>
        </w:rPr>
        <w:t xml:space="preserve"> </w:t>
      </w:r>
      <w:r w:rsidR="002579AB">
        <w:rPr>
          <w:rFonts w:ascii="Times New Roman" w:hAnsi="Times New Roman" w:cs="Times New Roman"/>
        </w:rPr>
        <w:t xml:space="preserve">the average levels of </w:t>
      </w:r>
      <w:r w:rsidR="00B13CBC">
        <w:rPr>
          <w:rFonts w:ascii="Times New Roman" w:hAnsi="Times New Roman" w:cs="Times New Roman"/>
        </w:rPr>
        <w:t>blood pressure, serum cholesterol and HbA</w:t>
      </w:r>
      <w:r w:rsidR="00B13CBC" w:rsidRPr="00A73C3B">
        <w:rPr>
          <w:rFonts w:ascii="Times New Roman" w:hAnsi="Times New Roman" w:cs="Times New Roman"/>
          <w:vertAlign w:val="subscript"/>
        </w:rPr>
        <w:t>1c</w:t>
      </w:r>
      <w:r w:rsidR="00A3044E">
        <w:rPr>
          <w:rFonts w:ascii="Times New Roman" w:hAnsi="Times New Roman" w:cs="Times New Roman"/>
          <w:vertAlign w:val="subscript"/>
        </w:rPr>
        <w:t xml:space="preserve"> </w:t>
      </w:r>
      <w:r w:rsidR="00A3044E">
        <w:rPr>
          <w:rFonts w:ascii="Times New Roman" w:hAnsi="Times New Roman" w:cs="Times New Roman"/>
        </w:rPr>
        <w:t>in the study period</w:t>
      </w:r>
      <w:r w:rsidR="002579AB">
        <w:rPr>
          <w:rFonts w:ascii="Times New Roman" w:hAnsi="Times New Roman" w:cs="Times New Roman"/>
        </w:rPr>
        <w:t xml:space="preserve">. </w:t>
      </w:r>
    </w:p>
    <w:p w14:paraId="37EC9E72" w14:textId="5BEB9D56" w:rsidR="006D3A5F" w:rsidRPr="00EC6E31" w:rsidRDefault="002A003F">
      <w:pPr>
        <w:jc w:val="both"/>
        <w:rPr>
          <w:rFonts w:ascii="Times New Roman" w:hAnsi="Times New Roman" w:cs="Times New Roman"/>
        </w:rPr>
      </w:pPr>
      <w:r>
        <w:rPr>
          <w:rFonts w:ascii="Times New Roman" w:hAnsi="Times New Roman" w:cs="Times New Roman"/>
        </w:rPr>
        <w:t>CVD</w:t>
      </w:r>
      <w:r w:rsidR="0025597E">
        <w:rPr>
          <w:rFonts w:ascii="Times New Roman" w:hAnsi="Times New Roman" w:cs="Times New Roman"/>
        </w:rPr>
        <w:t xml:space="preserve"> </w:t>
      </w:r>
      <w:r w:rsidR="0084029F">
        <w:rPr>
          <w:rFonts w:ascii="Times New Roman" w:hAnsi="Times New Roman" w:cs="Times New Roman"/>
        </w:rPr>
        <w:t xml:space="preserve">was </w:t>
      </w:r>
      <w:r w:rsidR="004F56B4">
        <w:rPr>
          <w:rFonts w:ascii="Times New Roman" w:hAnsi="Times New Roman" w:cs="Times New Roman"/>
        </w:rPr>
        <w:t>identified as the presence of diagnostic code</w:t>
      </w:r>
      <w:r w:rsidR="00A3044E">
        <w:rPr>
          <w:rFonts w:ascii="Times New Roman" w:hAnsi="Times New Roman" w:cs="Times New Roman"/>
        </w:rPr>
        <w:t>s</w:t>
      </w:r>
      <w:r w:rsidR="004F56B4">
        <w:rPr>
          <w:rFonts w:ascii="Times New Roman" w:hAnsi="Times New Roman" w:cs="Times New Roman"/>
        </w:rPr>
        <w:t xml:space="preserve"> </w:t>
      </w:r>
      <w:r w:rsidR="00723956">
        <w:rPr>
          <w:rFonts w:ascii="Times New Roman" w:hAnsi="Times New Roman" w:cs="Times New Roman"/>
        </w:rPr>
        <w:t xml:space="preserve">recorded </w:t>
      </w:r>
      <w:r w:rsidR="004F56B4">
        <w:rPr>
          <w:rFonts w:ascii="Times New Roman" w:hAnsi="Times New Roman" w:cs="Times New Roman"/>
        </w:rPr>
        <w:t xml:space="preserve">in primary care </w:t>
      </w:r>
      <w:r w:rsidR="00723956">
        <w:rPr>
          <w:rFonts w:ascii="Times New Roman" w:hAnsi="Times New Roman" w:cs="Times New Roman"/>
        </w:rPr>
        <w:t>data during</w:t>
      </w:r>
      <w:r w:rsidR="004F56B4">
        <w:rPr>
          <w:rFonts w:ascii="Times New Roman" w:hAnsi="Times New Roman" w:cs="Times New Roman"/>
        </w:rPr>
        <w:t xml:space="preserve"> the follow-up</w:t>
      </w:r>
      <w:r>
        <w:rPr>
          <w:rFonts w:ascii="Times New Roman" w:hAnsi="Times New Roman" w:cs="Times New Roman"/>
        </w:rPr>
        <w:t xml:space="preserve">, </w:t>
      </w:r>
      <w:r w:rsidR="00A3044E">
        <w:rPr>
          <w:rFonts w:ascii="Times New Roman" w:hAnsi="Times New Roman" w:cs="Times New Roman"/>
        </w:rPr>
        <w:t>with</w:t>
      </w:r>
      <w:r>
        <w:rPr>
          <w:rFonts w:ascii="Times New Roman" w:hAnsi="Times New Roman" w:cs="Times New Roman"/>
        </w:rPr>
        <w:t xml:space="preserve"> </w:t>
      </w:r>
      <w:r w:rsidR="0025597E">
        <w:rPr>
          <w:rFonts w:ascii="Times New Roman" w:hAnsi="Times New Roman" w:cs="Times New Roman"/>
        </w:rPr>
        <w:t xml:space="preserve">separate </w:t>
      </w:r>
      <w:r w:rsidR="00723956">
        <w:rPr>
          <w:rFonts w:ascii="Times New Roman" w:hAnsi="Times New Roman" w:cs="Times New Roman"/>
        </w:rPr>
        <w:t xml:space="preserve">indicators for </w:t>
      </w:r>
      <w:r w:rsidR="004F56B4">
        <w:rPr>
          <w:rFonts w:ascii="Times New Roman" w:hAnsi="Times New Roman" w:cs="Times New Roman"/>
        </w:rPr>
        <w:t>angina, myocardial infarction</w:t>
      </w:r>
      <w:r w:rsidR="00B2048E">
        <w:rPr>
          <w:rFonts w:ascii="Times New Roman" w:hAnsi="Times New Roman" w:cs="Times New Roman"/>
        </w:rPr>
        <w:t xml:space="preserve"> (MI, including </w:t>
      </w:r>
      <w:r w:rsidR="00070175">
        <w:rPr>
          <w:rFonts w:ascii="Times New Roman" w:hAnsi="Times New Roman" w:cs="Times New Roman"/>
        </w:rPr>
        <w:t>a</w:t>
      </w:r>
      <w:r w:rsidR="00C17292">
        <w:rPr>
          <w:rFonts w:ascii="Times New Roman" w:hAnsi="Times New Roman" w:cs="Times New Roman"/>
        </w:rPr>
        <w:t>cute coronary syndrome</w:t>
      </w:r>
      <w:r w:rsidR="00B2048E">
        <w:rPr>
          <w:rFonts w:ascii="Times New Roman" w:hAnsi="Times New Roman" w:cs="Times New Roman"/>
        </w:rPr>
        <w:t>)</w:t>
      </w:r>
      <w:r w:rsidR="00070175">
        <w:rPr>
          <w:rFonts w:ascii="Times New Roman" w:hAnsi="Times New Roman" w:cs="Times New Roman"/>
        </w:rPr>
        <w:t>,</w:t>
      </w:r>
      <w:r w:rsidR="004F56B4">
        <w:rPr>
          <w:rFonts w:ascii="Times New Roman" w:hAnsi="Times New Roman" w:cs="Times New Roman"/>
        </w:rPr>
        <w:t xml:space="preserve"> stroke, chronic</w:t>
      </w:r>
      <w:r w:rsidR="00AA034A">
        <w:rPr>
          <w:rFonts w:ascii="Times New Roman" w:hAnsi="Times New Roman" w:cs="Times New Roman"/>
        </w:rPr>
        <w:t xml:space="preserve"> ischaemic heart disease</w:t>
      </w:r>
      <w:r w:rsidR="004F56B4">
        <w:rPr>
          <w:rFonts w:ascii="Times New Roman" w:hAnsi="Times New Roman" w:cs="Times New Roman"/>
        </w:rPr>
        <w:t xml:space="preserve"> </w:t>
      </w:r>
      <w:r w:rsidR="00AA034A">
        <w:rPr>
          <w:rFonts w:ascii="Times New Roman" w:hAnsi="Times New Roman" w:cs="Times New Roman"/>
        </w:rPr>
        <w:t>(</w:t>
      </w:r>
      <w:r w:rsidR="004F56B4">
        <w:rPr>
          <w:rFonts w:ascii="Times New Roman" w:hAnsi="Times New Roman" w:cs="Times New Roman"/>
        </w:rPr>
        <w:t>IHD</w:t>
      </w:r>
      <w:r w:rsidR="00AA034A">
        <w:rPr>
          <w:rFonts w:ascii="Times New Roman" w:hAnsi="Times New Roman" w:cs="Times New Roman"/>
        </w:rPr>
        <w:t>)</w:t>
      </w:r>
      <w:r w:rsidR="004F56B4">
        <w:rPr>
          <w:rFonts w:ascii="Times New Roman" w:hAnsi="Times New Roman" w:cs="Times New Roman"/>
        </w:rPr>
        <w:t xml:space="preserve">, as well as a combined </w:t>
      </w:r>
      <w:r w:rsidR="00723956">
        <w:rPr>
          <w:rFonts w:ascii="Times New Roman" w:hAnsi="Times New Roman" w:cs="Times New Roman"/>
        </w:rPr>
        <w:t xml:space="preserve">indicator for </w:t>
      </w:r>
      <w:r w:rsidR="004F56B4">
        <w:rPr>
          <w:rFonts w:ascii="Times New Roman" w:hAnsi="Times New Roman" w:cs="Times New Roman"/>
        </w:rPr>
        <w:t>macrovascular complications (MI, stroke and peripheral vascular disease</w:t>
      </w:r>
      <w:r w:rsidR="006673A3">
        <w:rPr>
          <w:rFonts w:ascii="Times New Roman" w:hAnsi="Times New Roman" w:cs="Times New Roman"/>
        </w:rPr>
        <w:t xml:space="preserve"> (PVD)</w:t>
      </w:r>
      <w:r w:rsidR="004F56B4">
        <w:rPr>
          <w:rFonts w:ascii="Times New Roman" w:hAnsi="Times New Roman" w:cs="Times New Roman"/>
        </w:rPr>
        <w:t xml:space="preserve">). </w:t>
      </w:r>
      <w:r w:rsidR="00C84184">
        <w:rPr>
          <w:rFonts w:ascii="Times New Roman" w:hAnsi="Times New Roman" w:cs="Times New Roman"/>
        </w:rPr>
        <w:t xml:space="preserve">Hospital admissions for </w:t>
      </w:r>
      <w:r>
        <w:rPr>
          <w:rFonts w:ascii="Times New Roman" w:hAnsi="Times New Roman" w:cs="Times New Roman"/>
        </w:rPr>
        <w:t>CVD</w:t>
      </w:r>
      <w:r w:rsidR="00C84184">
        <w:rPr>
          <w:rFonts w:ascii="Times New Roman" w:hAnsi="Times New Roman" w:cs="Times New Roman"/>
        </w:rPr>
        <w:t xml:space="preserve"> were </w:t>
      </w:r>
      <w:r>
        <w:rPr>
          <w:rFonts w:ascii="Times New Roman" w:hAnsi="Times New Roman" w:cs="Times New Roman"/>
        </w:rPr>
        <w:t xml:space="preserve">measured as the </w:t>
      </w:r>
      <w:r w:rsidR="00205ACD">
        <w:rPr>
          <w:rFonts w:ascii="Times New Roman" w:hAnsi="Times New Roman" w:cs="Times New Roman"/>
        </w:rPr>
        <w:t>average</w:t>
      </w:r>
      <w:r w:rsidR="00F81E44">
        <w:rPr>
          <w:rFonts w:ascii="Times New Roman" w:hAnsi="Times New Roman" w:cs="Times New Roman"/>
        </w:rPr>
        <w:t xml:space="preserve"> </w:t>
      </w:r>
      <w:r>
        <w:rPr>
          <w:rFonts w:ascii="Times New Roman" w:hAnsi="Times New Roman" w:cs="Times New Roman"/>
        </w:rPr>
        <w:t>number</w:t>
      </w:r>
      <w:r w:rsidR="00F81E44">
        <w:rPr>
          <w:rFonts w:ascii="Times New Roman" w:hAnsi="Times New Roman" w:cs="Times New Roman"/>
        </w:rPr>
        <w:t xml:space="preserve"> of admissions </w:t>
      </w:r>
      <w:r w:rsidR="00205ACD">
        <w:rPr>
          <w:rFonts w:ascii="Times New Roman" w:hAnsi="Times New Roman" w:cs="Times New Roman"/>
        </w:rPr>
        <w:t xml:space="preserve">per year </w:t>
      </w:r>
      <w:r w:rsidR="00F81E44">
        <w:rPr>
          <w:rFonts w:ascii="Times New Roman" w:hAnsi="Times New Roman" w:cs="Times New Roman"/>
        </w:rPr>
        <w:t xml:space="preserve">in </w:t>
      </w:r>
      <w:r w:rsidR="00A3044E">
        <w:rPr>
          <w:rFonts w:ascii="Times New Roman" w:hAnsi="Times New Roman" w:cs="Times New Roman"/>
        </w:rPr>
        <w:t xml:space="preserve">the </w:t>
      </w:r>
      <w:r w:rsidR="00F81E44">
        <w:rPr>
          <w:rFonts w:ascii="Times New Roman" w:hAnsi="Times New Roman" w:cs="Times New Roman"/>
        </w:rPr>
        <w:t xml:space="preserve">follow-up, separated by </w:t>
      </w:r>
      <w:r w:rsidR="00C84184">
        <w:rPr>
          <w:rFonts w:ascii="Times New Roman" w:hAnsi="Times New Roman" w:cs="Times New Roman"/>
        </w:rPr>
        <w:t>emergency and elective admissions</w:t>
      </w:r>
      <w:r w:rsidR="006D3A5F">
        <w:rPr>
          <w:rFonts w:ascii="Times New Roman" w:hAnsi="Times New Roman" w:cs="Times New Roman"/>
        </w:rPr>
        <w:t>, as</w:t>
      </w:r>
      <w:r w:rsidR="00C84184">
        <w:rPr>
          <w:rFonts w:ascii="Times New Roman" w:hAnsi="Times New Roman" w:cs="Times New Roman"/>
        </w:rPr>
        <w:t xml:space="preserve"> well as </w:t>
      </w:r>
      <w:r w:rsidR="005B1010">
        <w:rPr>
          <w:rFonts w:ascii="Times New Roman" w:hAnsi="Times New Roman" w:cs="Times New Roman"/>
        </w:rPr>
        <w:t xml:space="preserve">by diagnosis </w:t>
      </w:r>
      <w:r w:rsidR="00F81E44">
        <w:rPr>
          <w:rFonts w:ascii="Times New Roman" w:hAnsi="Times New Roman" w:cs="Times New Roman"/>
        </w:rPr>
        <w:t xml:space="preserve">groups </w:t>
      </w:r>
      <w:r w:rsidR="00DB0A9E">
        <w:rPr>
          <w:rFonts w:ascii="Times New Roman" w:hAnsi="Times New Roman" w:cs="Times New Roman"/>
        </w:rPr>
        <w:t xml:space="preserve">including angina, MI, chronic IHD </w:t>
      </w:r>
      <w:r w:rsidR="00DB0A9E" w:rsidRPr="00EC6E31">
        <w:rPr>
          <w:rFonts w:ascii="Times New Roman" w:hAnsi="Times New Roman" w:cs="Times New Roman"/>
        </w:rPr>
        <w:t>and stroke.</w:t>
      </w:r>
      <w:r w:rsidR="005B1010" w:rsidRPr="00EC6E31">
        <w:rPr>
          <w:rFonts w:ascii="Times New Roman" w:hAnsi="Times New Roman" w:cs="Times New Roman"/>
        </w:rPr>
        <w:t xml:space="preserve"> </w:t>
      </w:r>
      <w:r w:rsidR="00DB0A9E" w:rsidRPr="00EC6E31">
        <w:rPr>
          <w:rFonts w:ascii="Times New Roman" w:hAnsi="Times New Roman" w:cs="Times New Roman"/>
        </w:rPr>
        <w:t xml:space="preserve"> </w:t>
      </w:r>
    </w:p>
    <w:p w14:paraId="799C80E0" w14:textId="6A6C1B17" w:rsidR="00EE5EC4" w:rsidRDefault="00B0563E">
      <w:pPr>
        <w:jc w:val="both"/>
        <w:rPr>
          <w:rFonts w:ascii="Times New Roman" w:hAnsi="Times New Roman" w:cs="Times New Roman"/>
        </w:rPr>
      </w:pPr>
      <w:r w:rsidRPr="00EC6E31">
        <w:rPr>
          <w:rFonts w:ascii="Times New Roman" w:hAnsi="Times New Roman" w:cs="Times New Roman"/>
        </w:rPr>
        <w:t xml:space="preserve">We adjusted for </w:t>
      </w:r>
      <w:r w:rsidR="00951913" w:rsidRPr="00EC6E31">
        <w:rPr>
          <w:rFonts w:ascii="Times New Roman" w:hAnsi="Times New Roman" w:cs="Times New Roman"/>
        </w:rPr>
        <w:t xml:space="preserve">age, ethnicity and </w:t>
      </w:r>
      <w:r w:rsidR="00712BC6" w:rsidRPr="00EC6E31">
        <w:rPr>
          <w:rFonts w:ascii="Times New Roman" w:hAnsi="Times New Roman" w:cs="Times New Roman"/>
        </w:rPr>
        <w:t xml:space="preserve">area </w:t>
      </w:r>
      <w:r w:rsidR="008F5486" w:rsidRPr="00EC6E31">
        <w:rPr>
          <w:rFonts w:ascii="Times New Roman" w:hAnsi="Times New Roman" w:cs="Times New Roman"/>
        </w:rPr>
        <w:t>deprivation</w:t>
      </w:r>
      <w:r w:rsidR="00F445F4" w:rsidRPr="00EC6E31">
        <w:rPr>
          <w:rFonts w:ascii="Times New Roman" w:hAnsi="Times New Roman" w:cs="Times New Roman"/>
        </w:rPr>
        <w:t xml:space="preserve"> obtained by linking people’s residential postcodes to the 2010 English Indices of Multiple Deprivation (IMD) at the Lower Layer </w:t>
      </w:r>
      <w:r w:rsidR="00F367FC" w:rsidRPr="00EC6E31">
        <w:rPr>
          <w:rFonts w:ascii="Times New Roman" w:hAnsi="Times New Roman" w:cs="Times New Roman"/>
        </w:rPr>
        <w:t xml:space="preserve">Super </w:t>
      </w:r>
      <w:r w:rsidR="00F445F4" w:rsidRPr="00EC6E31">
        <w:rPr>
          <w:rFonts w:ascii="Times New Roman" w:hAnsi="Times New Roman" w:cs="Times New Roman"/>
        </w:rPr>
        <w:t>Output Area (LSOA)</w:t>
      </w:r>
      <w:r w:rsidR="005D7845" w:rsidRPr="00EC6E31">
        <w:rPr>
          <w:rFonts w:ascii="Times New Roman" w:hAnsi="Times New Roman" w:cs="Times New Roman"/>
        </w:rPr>
        <w:t xml:space="preserve"> </w:t>
      </w:r>
      <w:r w:rsidR="00F445F4" w:rsidRPr="00EC6E31">
        <w:rPr>
          <w:rFonts w:ascii="Times New Roman" w:hAnsi="Times New Roman" w:cs="Times New Roman"/>
        </w:rPr>
        <w:t>level, and dividing into quintiles</w:t>
      </w:r>
      <w:r w:rsidR="00BA31DE" w:rsidRPr="00EC6E31">
        <w:rPr>
          <w:rFonts w:ascii="Times New Roman" w:hAnsi="Times New Roman" w:cs="Times New Roman"/>
        </w:rPr>
        <w:t>.</w:t>
      </w:r>
      <w:r w:rsidR="00857F04" w:rsidRPr="00EC6E31">
        <w:rPr>
          <w:rFonts w:ascii="Times New Roman" w:hAnsi="Times New Roman" w:cs="Times New Roman"/>
        </w:rPr>
        <w:t xml:space="preserve"> </w:t>
      </w:r>
      <w:r w:rsidR="009E1BCE" w:rsidRPr="00EC6E31">
        <w:rPr>
          <w:rFonts w:ascii="Times New Roman" w:hAnsi="Times New Roman" w:cs="Times New Roman"/>
        </w:rPr>
        <w:t>Baseline c</w:t>
      </w:r>
      <w:r w:rsidR="009A626B" w:rsidRPr="00EC6E31">
        <w:rPr>
          <w:rFonts w:ascii="Times New Roman" w:hAnsi="Times New Roman" w:cs="Times New Roman"/>
        </w:rPr>
        <w:t xml:space="preserve">omorbidities </w:t>
      </w:r>
      <w:r w:rsidR="00944E38" w:rsidRPr="00EC6E31">
        <w:rPr>
          <w:rFonts w:ascii="Times New Roman" w:hAnsi="Times New Roman" w:cs="Times New Roman"/>
        </w:rPr>
        <w:t>were measured by</w:t>
      </w:r>
      <w:r w:rsidR="009A626B" w:rsidRPr="00EC6E31">
        <w:rPr>
          <w:rFonts w:ascii="Times New Roman" w:hAnsi="Times New Roman" w:cs="Times New Roman"/>
        </w:rPr>
        <w:t xml:space="preserve"> the</w:t>
      </w:r>
      <w:r w:rsidR="00531363" w:rsidRPr="00EC6E31">
        <w:rPr>
          <w:rFonts w:ascii="Times New Roman" w:hAnsi="Times New Roman" w:cs="Times New Roman"/>
        </w:rPr>
        <w:t xml:space="preserve"> </w:t>
      </w:r>
      <w:r w:rsidR="000E7BCD" w:rsidRPr="00EC6E31">
        <w:rPr>
          <w:rFonts w:ascii="Times New Roman" w:hAnsi="Times New Roman" w:cs="Times New Roman"/>
        </w:rPr>
        <w:t>diagnosis</w:t>
      </w:r>
      <w:r w:rsidR="009A626B" w:rsidRPr="00EC6E31">
        <w:rPr>
          <w:rFonts w:ascii="Times New Roman" w:hAnsi="Times New Roman" w:cs="Times New Roman"/>
        </w:rPr>
        <w:t xml:space="preserve"> of</w:t>
      </w:r>
      <w:r w:rsidR="009A626B" w:rsidRPr="1EE1AA24">
        <w:rPr>
          <w:rFonts w:ascii="Times New Roman" w:hAnsi="Times New Roman" w:cs="Times New Roman"/>
        </w:rPr>
        <w:t xml:space="preserve"> </w:t>
      </w:r>
      <w:r w:rsidR="00857F04">
        <w:rPr>
          <w:rFonts w:ascii="Times New Roman" w:hAnsi="Times New Roman" w:cs="Times New Roman"/>
        </w:rPr>
        <w:t>CVD</w:t>
      </w:r>
      <w:r w:rsidR="009A626B" w:rsidRPr="1EE1AA24">
        <w:rPr>
          <w:rFonts w:ascii="Times New Roman" w:hAnsi="Times New Roman" w:cs="Times New Roman"/>
        </w:rPr>
        <w:t>, hypertension, dementia</w:t>
      </w:r>
      <w:r w:rsidR="003C150D">
        <w:rPr>
          <w:rFonts w:ascii="Times New Roman" w:hAnsi="Times New Roman" w:cs="Times New Roman"/>
        </w:rPr>
        <w:t xml:space="preserve">, </w:t>
      </w:r>
      <w:r w:rsidR="009A626B" w:rsidRPr="1EE1AA24">
        <w:rPr>
          <w:rFonts w:ascii="Times New Roman" w:hAnsi="Times New Roman" w:cs="Times New Roman"/>
        </w:rPr>
        <w:t>learning disability</w:t>
      </w:r>
      <w:r w:rsidR="00FB5BF4">
        <w:rPr>
          <w:rFonts w:ascii="Times New Roman" w:hAnsi="Times New Roman" w:cs="Times New Roman"/>
        </w:rPr>
        <w:t xml:space="preserve"> and the</w:t>
      </w:r>
      <w:r w:rsidR="00FB5BF4" w:rsidRPr="00FB5BF4">
        <w:rPr>
          <w:rFonts w:ascii="Times New Roman" w:hAnsi="Times New Roman" w:cs="Times New Roman"/>
        </w:rPr>
        <w:t xml:space="preserve"> </w:t>
      </w:r>
      <w:r w:rsidR="00FB5BF4" w:rsidRPr="1EE1AA24">
        <w:rPr>
          <w:rFonts w:ascii="Times New Roman" w:hAnsi="Times New Roman" w:cs="Times New Roman"/>
        </w:rPr>
        <w:t>number of Charlson Index comorbidities (excluding diabetes and diabetes complications)</w:t>
      </w:r>
      <w:r w:rsidR="00FB5BF4">
        <w:rPr>
          <w:rFonts w:ascii="Times New Roman" w:hAnsi="Times New Roman" w:cs="Times New Roman"/>
        </w:rPr>
        <w:t xml:space="preserve"> </w:t>
      </w:r>
      <w:r w:rsidR="00A85AFB" w:rsidRPr="1EE1AA24">
        <w:rPr>
          <w:rFonts w:ascii="Times New Roman" w:hAnsi="Times New Roman" w:cs="Times New Roman"/>
        </w:rPr>
        <w:t xml:space="preserve">prior to follow-up. </w:t>
      </w:r>
      <w:r w:rsidR="009E1BCE">
        <w:rPr>
          <w:rFonts w:ascii="Times New Roman" w:hAnsi="Times New Roman" w:cs="Times New Roman"/>
        </w:rPr>
        <w:t>Baseline m</w:t>
      </w:r>
      <w:r w:rsidR="00A85AFB" w:rsidRPr="1EE1AA24">
        <w:rPr>
          <w:rFonts w:ascii="Times New Roman" w:hAnsi="Times New Roman" w:cs="Times New Roman"/>
        </w:rPr>
        <w:t>edication use</w:t>
      </w:r>
      <w:r w:rsidR="00857F04">
        <w:rPr>
          <w:rFonts w:ascii="Times New Roman" w:hAnsi="Times New Roman" w:cs="Times New Roman"/>
        </w:rPr>
        <w:t xml:space="preserve"> </w:t>
      </w:r>
      <w:r w:rsidR="003D0E59">
        <w:rPr>
          <w:rFonts w:ascii="Times New Roman" w:hAnsi="Times New Roman" w:cs="Times New Roman"/>
        </w:rPr>
        <w:t xml:space="preserve">was </w:t>
      </w:r>
      <w:r w:rsidR="00D16BC7">
        <w:rPr>
          <w:rFonts w:ascii="Times New Roman" w:hAnsi="Times New Roman" w:cs="Times New Roman"/>
        </w:rPr>
        <w:t xml:space="preserve">measured by </w:t>
      </w:r>
      <w:r w:rsidR="00D16BC7" w:rsidRPr="1EE1AA24">
        <w:rPr>
          <w:rFonts w:ascii="Times New Roman" w:hAnsi="Times New Roman" w:cs="Times New Roman"/>
        </w:rPr>
        <w:t>at least one prescription issued in the 15-month window</w:t>
      </w:r>
      <w:r w:rsidR="00D16BC7">
        <w:rPr>
          <w:rFonts w:ascii="Times New Roman" w:hAnsi="Times New Roman" w:cs="Times New Roman"/>
        </w:rPr>
        <w:t xml:space="preserve"> </w:t>
      </w:r>
      <w:r w:rsidR="009E1BCE">
        <w:rPr>
          <w:rFonts w:ascii="Times New Roman" w:hAnsi="Times New Roman" w:cs="Times New Roman"/>
        </w:rPr>
        <w:t xml:space="preserve">prior to follow-up </w:t>
      </w:r>
      <w:r w:rsidR="00D16BC7">
        <w:rPr>
          <w:rFonts w:ascii="Times New Roman" w:hAnsi="Times New Roman" w:cs="Times New Roman"/>
        </w:rPr>
        <w:t>for</w:t>
      </w:r>
      <w:r w:rsidR="0045674D" w:rsidRPr="1EE1AA24">
        <w:rPr>
          <w:rFonts w:ascii="Times New Roman" w:hAnsi="Times New Roman" w:cs="Times New Roman"/>
        </w:rPr>
        <w:t xml:space="preserve"> </w:t>
      </w:r>
      <w:r w:rsidR="0045674D" w:rsidRPr="00EC6E31">
        <w:rPr>
          <w:rFonts w:ascii="Times New Roman" w:hAnsi="Times New Roman" w:cs="Times New Roman"/>
        </w:rPr>
        <w:t>antihypertensive, antidiabe</w:t>
      </w:r>
      <w:r w:rsidR="00F058C0" w:rsidRPr="00EC6E31">
        <w:rPr>
          <w:rFonts w:ascii="Times New Roman" w:hAnsi="Times New Roman" w:cs="Times New Roman"/>
        </w:rPr>
        <w:t>t</w:t>
      </w:r>
      <w:r w:rsidR="007411AE" w:rsidRPr="00EC6E31">
        <w:rPr>
          <w:rFonts w:ascii="Times New Roman" w:hAnsi="Times New Roman" w:cs="Times New Roman"/>
        </w:rPr>
        <w:t>es</w:t>
      </w:r>
      <w:r w:rsidR="004B5FFF" w:rsidRPr="00EC6E31">
        <w:rPr>
          <w:rFonts w:ascii="Times New Roman" w:hAnsi="Times New Roman" w:cs="Times New Roman"/>
        </w:rPr>
        <w:t>,</w:t>
      </w:r>
      <w:r w:rsidR="00AA034A" w:rsidRPr="00EC6E31">
        <w:rPr>
          <w:rFonts w:ascii="Times New Roman" w:hAnsi="Times New Roman" w:cs="Times New Roman"/>
        </w:rPr>
        <w:t xml:space="preserve"> </w:t>
      </w:r>
      <w:r w:rsidR="00B2072A" w:rsidRPr="00EC6E31">
        <w:rPr>
          <w:rFonts w:ascii="Times New Roman" w:hAnsi="Times New Roman" w:cs="Times New Roman"/>
        </w:rPr>
        <w:t>lipid</w:t>
      </w:r>
      <w:r w:rsidR="00011D34" w:rsidRPr="00EC6E31">
        <w:rPr>
          <w:rFonts w:ascii="Times New Roman" w:hAnsi="Times New Roman" w:cs="Times New Roman"/>
        </w:rPr>
        <w:t xml:space="preserve"> </w:t>
      </w:r>
      <w:r w:rsidR="0045674D" w:rsidRPr="00EC6E31">
        <w:rPr>
          <w:rFonts w:ascii="Times New Roman" w:hAnsi="Times New Roman" w:cs="Times New Roman"/>
        </w:rPr>
        <w:t>lowering</w:t>
      </w:r>
      <w:r w:rsidR="00857F04" w:rsidRPr="00EC6E31">
        <w:rPr>
          <w:rFonts w:ascii="Times New Roman" w:hAnsi="Times New Roman" w:cs="Times New Roman"/>
        </w:rPr>
        <w:t xml:space="preserve"> medications</w:t>
      </w:r>
      <w:r w:rsidR="00D16BC7" w:rsidRPr="00EC6E31">
        <w:rPr>
          <w:rFonts w:ascii="Times New Roman" w:hAnsi="Times New Roman" w:cs="Times New Roman"/>
        </w:rPr>
        <w:t>,</w:t>
      </w:r>
      <w:r w:rsidR="00857F04" w:rsidRPr="00EC6E31">
        <w:rPr>
          <w:rFonts w:ascii="Times New Roman" w:hAnsi="Times New Roman" w:cs="Times New Roman"/>
        </w:rPr>
        <w:t xml:space="preserve"> </w:t>
      </w:r>
      <w:r w:rsidR="0045674D" w:rsidRPr="00EC6E31">
        <w:rPr>
          <w:rFonts w:ascii="Times New Roman" w:hAnsi="Times New Roman" w:cs="Times New Roman"/>
        </w:rPr>
        <w:t>antidepressants and antipsychotics</w:t>
      </w:r>
      <w:r w:rsidR="00E63770" w:rsidRPr="00EC6E31">
        <w:rPr>
          <w:rFonts w:ascii="Times New Roman" w:hAnsi="Times New Roman" w:cs="Times New Roman"/>
        </w:rPr>
        <w:t xml:space="preserve"> (</w:t>
      </w:r>
      <w:r w:rsidR="00FA03F8" w:rsidRPr="00EC6E31">
        <w:rPr>
          <w:rFonts w:ascii="Times New Roman" w:hAnsi="Times New Roman" w:cs="Times New Roman"/>
        </w:rPr>
        <w:t xml:space="preserve">first </w:t>
      </w:r>
      <w:r w:rsidR="00E63770" w:rsidRPr="00EC6E31">
        <w:rPr>
          <w:rFonts w:ascii="Times New Roman" w:hAnsi="Times New Roman" w:cs="Times New Roman"/>
        </w:rPr>
        <w:t>and</w:t>
      </w:r>
      <w:r w:rsidR="00FA03F8" w:rsidRPr="00EC6E31">
        <w:rPr>
          <w:rFonts w:ascii="Times New Roman" w:hAnsi="Times New Roman" w:cs="Times New Roman"/>
          <w:vertAlign w:val="superscript"/>
        </w:rPr>
        <w:t xml:space="preserve"> </w:t>
      </w:r>
      <w:r w:rsidR="00FA03F8" w:rsidRPr="00EC6E31">
        <w:rPr>
          <w:rFonts w:ascii="Times New Roman" w:hAnsi="Times New Roman" w:cs="Times New Roman"/>
        </w:rPr>
        <w:t>second</w:t>
      </w:r>
      <w:r w:rsidR="00E63770" w:rsidRPr="00EC6E31">
        <w:rPr>
          <w:rFonts w:ascii="Times New Roman" w:hAnsi="Times New Roman" w:cs="Times New Roman"/>
        </w:rPr>
        <w:t xml:space="preserve"> generations)</w:t>
      </w:r>
      <w:r w:rsidR="00857F04" w:rsidRPr="00EC6E31">
        <w:rPr>
          <w:rFonts w:ascii="Times New Roman" w:hAnsi="Times New Roman" w:cs="Times New Roman"/>
        </w:rPr>
        <w:t xml:space="preserve">. </w:t>
      </w:r>
      <w:r w:rsidR="009E1BCE" w:rsidRPr="00EC6E31">
        <w:rPr>
          <w:rFonts w:ascii="Times New Roman" w:hAnsi="Times New Roman" w:cs="Times New Roman"/>
        </w:rPr>
        <w:t>Baseline s</w:t>
      </w:r>
      <w:r w:rsidR="000E7BCD" w:rsidRPr="00EC6E31">
        <w:rPr>
          <w:rFonts w:ascii="Times New Roman" w:hAnsi="Times New Roman" w:cs="Times New Roman"/>
        </w:rPr>
        <w:t>moking status</w:t>
      </w:r>
      <w:r w:rsidR="00E63770" w:rsidRPr="00EC6E31">
        <w:rPr>
          <w:rFonts w:ascii="Times New Roman" w:hAnsi="Times New Roman" w:cs="Times New Roman"/>
        </w:rPr>
        <w:t xml:space="preserve"> (as a health risk behaviour)</w:t>
      </w:r>
      <w:r w:rsidR="000E7BCD" w:rsidRPr="00EC6E31">
        <w:rPr>
          <w:rFonts w:ascii="Times New Roman" w:hAnsi="Times New Roman" w:cs="Times New Roman"/>
        </w:rPr>
        <w:t xml:space="preserve"> and biometric measures (BMI,</w:t>
      </w:r>
      <w:r w:rsidR="006D54DC" w:rsidRPr="00EC6E31">
        <w:rPr>
          <w:rFonts w:ascii="Times New Roman" w:hAnsi="Times New Roman" w:cs="Times New Roman"/>
        </w:rPr>
        <w:t xml:space="preserve"> blood pressure, serum cholesterol and HbA</w:t>
      </w:r>
      <w:r w:rsidR="006D54DC" w:rsidRPr="00EC6E31">
        <w:rPr>
          <w:rFonts w:ascii="Times New Roman" w:hAnsi="Times New Roman" w:cs="Times New Roman"/>
          <w:vertAlign w:val="subscript"/>
        </w:rPr>
        <w:t>1c</w:t>
      </w:r>
      <w:r w:rsidR="006D54DC" w:rsidRPr="00EC6E31">
        <w:rPr>
          <w:rFonts w:ascii="Times New Roman" w:hAnsi="Times New Roman" w:cs="Times New Roman"/>
        </w:rPr>
        <w:t>)</w:t>
      </w:r>
      <w:r w:rsidR="00385E73" w:rsidRPr="00EC6E31">
        <w:rPr>
          <w:rFonts w:ascii="Times New Roman" w:hAnsi="Times New Roman" w:cs="Times New Roman"/>
        </w:rPr>
        <w:t xml:space="preserve"> </w:t>
      </w:r>
      <w:r w:rsidR="000E7BCD" w:rsidRPr="00EC6E31">
        <w:rPr>
          <w:rFonts w:ascii="Times New Roman" w:hAnsi="Times New Roman" w:cs="Times New Roman"/>
        </w:rPr>
        <w:t xml:space="preserve">were </w:t>
      </w:r>
      <w:r w:rsidR="003147C5" w:rsidRPr="00EC6E31">
        <w:rPr>
          <w:rFonts w:ascii="Times New Roman" w:hAnsi="Times New Roman" w:cs="Times New Roman"/>
        </w:rPr>
        <w:t xml:space="preserve">constructed </w:t>
      </w:r>
      <w:r w:rsidR="000E7BCD" w:rsidRPr="00EC6E31">
        <w:rPr>
          <w:rFonts w:ascii="Times New Roman" w:hAnsi="Times New Roman" w:cs="Times New Roman"/>
        </w:rPr>
        <w:t>using the most recent records</w:t>
      </w:r>
      <w:r w:rsidR="000E7BCD" w:rsidRPr="1EE1AA24">
        <w:rPr>
          <w:rFonts w:ascii="Times New Roman" w:hAnsi="Times New Roman" w:cs="Times New Roman"/>
        </w:rPr>
        <w:t xml:space="preserve"> extracted from the 15-month window</w:t>
      </w:r>
      <w:r w:rsidR="00857F04">
        <w:rPr>
          <w:rFonts w:ascii="Times New Roman" w:hAnsi="Times New Roman" w:cs="Times New Roman"/>
        </w:rPr>
        <w:t xml:space="preserve">. </w:t>
      </w:r>
    </w:p>
    <w:p w14:paraId="009A2A93" w14:textId="77777777" w:rsidR="00EE5EC4" w:rsidRDefault="00EE5EC4">
      <w:pPr>
        <w:jc w:val="both"/>
        <w:rPr>
          <w:rFonts w:ascii="Times New Roman" w:hAnsi="Times New Roman" w:cs="Times New Roman"/>
        </w:rPr>
      </w:pPr>
    </w:p>
    <w:p w14:paraId="3E2A58C6" w14:textId="69F45818" w:rsidR="00EE5EC4" w:rsidRDefault="00D16BC7">
      <w:pPr>
        <w:jc w:val="both"/>
        <w:rPr>
          <w:rFonts w:ascii="Times New Roman" w:hAnsi="Times New Roman" w:cs="Times New Roman"/>
        </w:rPr>
      </w:pPr>
      <w:r>
        <w:rPr>
          <w:rFonts w:ascii="Times New Roman" w:hAnsi="Times New Roman" w:cs="Times New Roman"/>
          <w:i/>
        </w:rPr>
        <w:t>S</w:t>
      </w:r>
      <w:r w:rsidRPr="007F6D79">
        <w:rPr>
          <w:rFonts w:ascii="Times New Roman" w:hAnsi="Times New Roman" w:cs="Times New Roman"/>
          <w:i/>
        </w:rPr>
        <w:t>tatistical methods</w:t>
      </w:r>
      <w:r>
        <w:rPr>
          <w:rFonts w:ascii="Times New Roman" w:hAnsi="Times New Roman" w:cs="Times New Roman"/>
        </w:rPr>
        <w:t xml:space="preserve"> </w:t>
      </w:r>
    </w:p>
    <w:p w14:paraId="54517122" w14:textId="40B4E472" w:rsidR="002729B1" w:rsidRDefault="002A003F">
      <w:pPr>
        <w:jc w:val="both"/>
        <w:rPr>
          <w:rFonts w:ascii="Times New Roman" w:hAnsi="Times New Roman" w:cs="Times New Roman"/>
        </w:rPr>
      </w:pPr>
      <w:r>
        <w:rPr>
          <w:rFonts w:ascii="Times New Roman" w:hAnsi="Times New Roman" w:cs="Times New Roman"/>
        </w:rPr>
        <w:t>A case-control cluster entered the analysis only after the ‘case’ was diagnosed with SMI</w:t>
      </w:r>
      <w:r w:rsidR="004544B6">
        <w:rPr>
          <w:rFonts w:ascii="Times New Roman" w:hAnsi="Times New Roman" w:cs="Times New Roman"/>
        </w:rPr>
        <w:t>.</w:t>
      </w:r>
      <w:r>
        <w:rPr>
          <w:rFonts w:ascii="Times New Roman" w:hAnsi="Times New Roman" w:cs="Times New Roman"/>
        </w:rPr>
        <w:t xml:space="preserve"> </w:t>
      </w:r>
      <w:r w:rsidR="003E0870">
        <w:rPr>
          <w:rFonts w:ascii="Times New Roman" w:hAnsi="Times New Roman" w:cs="Times New Roman"/>
        </w:rPr>
        <w:t xml:space="preserve">We applied ‘within’ estimators </w:t>
      </w:r>
      <w:r w:rsidR="00531363">
        <w:rPr>
          <w:rFonts w:ascii="Times New Roman" w:hAnsi="Times New Roman" w:cs="Times New Roman"/>
        </w:rPr>
        <w:t xml:space="preserve">in our regressions </w:t>
      </w:r>
      <w:r w:rsidR="003E0870">
        <w:rPr>
          <w:rFonts w:ascii="Times New Roman" w:hAnsi="Times New Roman" w:cs="Times New Roman"/>
        </w:rPr>
        <w:t xml:space="preserve">to </w:t>
      </w:r>
      <w:r w:rsidR="001E2F31">
        <w:rPr>
          <w:rFonts w:ascii="Times New Roman" w:hAnsi="Times New Roman" w:cs="Times New Roman"/>
        </w:rPr>
        <w:t xml:space="preserve">only </w:t>
      </w:r>
      <w:r w:rsidR="003E0870">
        <w:rPr>
          <w:rFonts w:ascii="Times New Roman" w:hAnsi="Times New Roman" w:cs="Times New Roman"/>
        </w:rPr>
        <w:t>examine the</w:t>
      </w:r>
      <w:r w:rsidR="001E2F31">
        <w:rPr>
          <w:rFonts w:ascii="Times New Roman" w:hAnsi="Times New Roman" w:cs="Times New Roman"/>
        </w:rPr>
        <w:t xml:space="preserve"> variations in outcomes</w:t>
      </w:r>
      <w:r w:rsidR="003E0870">
        <w:rPr>
          <w:rFonts w:ascii="Times New Roman" w:hAnsi="Times New Roman" w:cs="Times New Roman"/>
        </w:rPr>
        <w:t xml:space="preserve"> </w:t>
      </w:r>
      <w:r w:rsidR="004544B6">
        <w:rPr>
          <w:rFonts w:ascii="Times New Roman" w:hAnsi="Times New Roman" w:cs="Times New Roman"/>
        </w:rPr>
        <w:t>among matched individuals</w:t>
      </w:r>
      <w:r w:rsidR="003E0870">
        <w:rPr>
          <w:rFonts w:ascii="Times New Roman" w:hAnsi="Times New Roman" w:cs="Times New Roman"/>
        </w:rPr>
        <w:t xml:space="preserve">. </w:t>
      </w:r>
      <w:r w:rsidR="002A6BDD">
        <w:rPr>
          <w:rFonts w:ascii="Times New Roman" w:hAnsi="Times New Roman" w:cs="Times New Roman"/>
        </w:rPr>
        <w:t>C</w:t>
      </w:r>
      <w:r w:rsidR="003E0870">
        <w:rPr>
          <w:rFonts w:ascii="Times New Roman" w:hAnsi="Times New Roman" w:cs="Times New Roman"/>
        </w:rPr>
        <w:t>onditional logistic regression</w:t>
      </w:r>
      <w:r w:rsidR="002A6BDD">
        <w:rPr>
          <w:rFonts w:ascii="Times New Roman" w:hAnsi="Times New Roman" w:cs="Times New Roman"/>
        </w:rPr>
        <w:t xml:space="preserve"> models,</w:t>
      </w:r>
      <w:r w:rsidR="006E502F">
        <w:rPr>
          <w:rFonts w:ascii="Times New Roman" w:hAnsi="Times New Roman" w:cs="Times New Roman"/>
        </w:rPr>
        <w:t xml:space="preserve"> </w:t>
      </w:r>
      <w:r w:rsidR="003F5F24">
        <w:rPr>
          <w:rFonts w:ascii="Times New Roman" w:hAnsi="Times New Roman" w:cs="Times New Roman"/>
        </w:rPr>
        <w:t xml:space="preserve">Poisson or negative binomial </w:t>
      </w:r>
      <w:r w:rsidR="00D67CE2">
        <w:rPr>
          <w:rFonts w:ascii="Times New Roman" w:hAnsi="Times New Roman" w:cs="Times New Roman"/>
        </w:rPr>
        <w:t>model</w:t>
      </w:r>
      <w:r w:rsidR="003F5F24">
        <w:rPr>
          <w:rFonts w:ascii="Times New Roman" w:hAnsi="Times New Roman" w:cs="Times New Roman"/>
        </w:rPr>
        <w:t>s</w:t>
      </w:r>
      <w:r w:rsidR="002A6BDD">
        <w:rPr>
          <w:rFonts w:ascii="Times New Roman" w:hAnsi="Times New Roman" w:cs="Times New Roman"/>
        </w:rPr>
        <w:t xml:space="preserve"> and </w:t>
      </w:r>
      <w:r w:rsidR="002A6BDD" w:rsidRPr="00EC6E31">
        <w:rPr>
          <w:rFonts w:ascii="Times New Roman" w:hAnsi="Times New Roman" w:cs="Times New Roman"/>
        </w:rPr>
        <w:t xml:space="preserve">stratified </w:t>
      </w:r>
      <w:r w:rsidR="002729B1" w:rsidRPr="00EC6E31">
        <w:rPr>
          <w:rFonts w:ascii="Times New Roman" w:hAnsi="Times New Roman" w:cs="Times New Roman"/>
        </w:rPr>
        <w:t>Cox proportional hazard models</w:t>
      </w:r>
      <w:r w:rsidR="002A6BDD" w:rsidRPr="00EC6E31">
        <w:rPr>
          <w:rFonts w:ascii="Times New Roman" w:hAnsi="Times New Roman" w:cs="Times New Roman"/>
        </w:rPr>
        <w:t xml:space="preserve"> were applied depending on the type of outcome variable</w:t>
      </w:r>
      <w:r w:rsidR="001E13FA" w:rsidRPr="00EC6E31">
        <w:rPr>
          <w:rFonts w:ascii="Times New Roman" w:hAnsi="Times New Roman" w:cs="Times New Roman"/>
        </w:rPr>
        <w:t>s</w:t>
      </w:r>
      <w:r w:rsidR="002A6BDD" w:rsidRPr="00EC6E31">
        <w:rPr>
          <w:rFonts w:ascii="Times New Roman" w:hAnsi="Times New Roman" w:cs="Times New Roman"/>
        </w:rPr>
        <w:t xml:space="preserve">. </w:t>
      </w:r>
      <w:r w:rsidR="006D6ED4" w:rsidRPr="00EC6E31">
        <w:rPr>
          <w:rFonts w:ascii="Times New Roman" w:hAnsi="Times New Roman" w:cs="Times New Roman"/>
        </w:rPr>
        <w:t>Status of SMI was treated as time-dependent in survival analyses, and the proportional hazard assumption</w:t>
      </w:r>
      <w:r w:rsidR="002A1802" w:rsidRPr="00EC6E31">
        <w:rPr>
          <w:rFonts w:ascii="Times New Roman" w:hAnsi="Times New Roman" w:cs="Times New Roman"/>
        </w:rPr>
        <w:t xml:space="preserve"> </w:t>
      </w:r>
      <w:r w:rsidR="006D6ED4" w:rsidRPr="00EC6E31">
        <w:rPr>
          <w:rFonts w:ascii="Times New Roman" w:hAnsi="Times New Roman" w:cs="Times New Roman"/>
        </w:rPr>
        <w:t>was tested by the inclusion of interaction effects between explanatory variables and time</w:t>
      </w:r>
      <w:r w:rsidR="002A1802" w:rsidRPr="00EC6E31">
        <w:rPr>
          <w:rFonts w:ascii="Times New Roman" w:hAnsi="Times New Roman" w:cs="Times New Roman"/>
        </w:rPr>
        <w:t xml:space="preserve"> – interaction terms with</w:t>
      </w:r>
      <w:r w:rsidR="006D6ED4" w:rsidRPr="00EC6E31">
        <w:rPr>
          <w:rFonts w:ascii="Times New Roman" w:hAnsi="Times New Roman" w:cs="Times New Roman"/>
        </w:rPr>
        <w:t xml:space="preserve"> significant coefficients were retained in the final models.</w:t>
      </w:r>
      <w:r w:rsidR="002A1802" w:rsidRPr="00EC6E31">
        <w:rPr>
          <w:rFonts w:ascii="Times New Roman" w:hAnsi="Times New Roman" w:cs="Times New Roman"/>
        </w:rPr>
        <w:t xml:space="preserve"> </w:t>
      </w:r>
      <w:r w:rsidR="006E502F" w:rsidRPr="00EC6E31">
        <w:rPr>
          <w:rFonts w:ascii="Times New Roman" w:hAnsi="Times New Roman" w:cs="Times New Roman"/>
        </w:rPr>
        <w:t>G</w:t>
      </w:r>
      <w:r w:rsidR="001F5492" w:rsidRPr="00EC6E31">
        <w:rPr>
          <w:rFonts w:ascii="Times New Roman" w:hAnsi="Times New Roman" w:cs="Times New Roman"/>
        </w:rPr>
        <w:t>oodness of fit was assessed by the C</w:t>
      </w:r>
      <w:r w:rsidR="006E502F" w:rsidRPr="00EC6E31">
        <w:rPr>
          <w:rFonts w:ascii="Times New Roman" w:hAnsi="Times New Roman" w:cs="Times New Roman"/>
        </w:rPr>
        <w:t>-</w:t>
      </w:r>
      <w:r w:rsidR="001F5492" w:rsidRPr="00EC6E31">
        <w:rPr>
          <w:rFonts w:ascii="Times New Roman" w:hAnsi="Times New Roman" w:cs="Times New Roman"/>
        </w:rPr>
        <w:t>statistic</w:t>
      </w:r>
      <w:r w:rsidR="00FB5BF4" w:rsidRPr="00EC6E31">
        <w:rPr>
          <w:rFonts w:ascii="Times New Roman" w:hAnsi="Times New Roman" w:cs="Times New Roman"/>
        </w:rPr>
        <w:t>,</w:t>
      </w:r>
      <w:r w:rsidR="00233DB1" w:rsidRPr="00EC6E31">
        <w:rPr>
          <w:rFonts w:ascii="Times New Roman" w:hAnsi="Times New Roman" w:cs="Times New Roman"/>
        </w:rPr>
        <w:t xml:space="preserve"> the </w:t>
      </w:r>
      <w:r w:rsidR="000926DD" w:rsidRPr="00EC6E31">
        <w:rPr>
          <w:rFonts w:ascii="Times New Roman" w:hAnsi="Times New Roman" w:cs="Times New Roman"/>
        </w:rPr>
        <w:t>Akaike information criterion (</w:t>
      </w:r>
      <w:r w:rsidR="00233DB1" w:rsidRPr="00EC6E31">
        <w:rPr>
          <w:rFonts w:ascii="Times New Roman" w:hAnsi="Times New Roman" w:cs="Times New Roman"/>
        </w:rPr>
        <w:t>AIC</w:t>
      </w:r>
      <w:r w:rsidR="000926DD" w:rsidRPr="00EC6E31">
        <w:rPr>
          <w:rFonts w:ascii="Times New Roman" w:hAnsi="Times New Roman" w:cs="Times New Roman"/>
        </w:rPr>
        <w:t>)</w:t>
      </w:r>
      <w:r w:rsidR="00233DB1" w:rsidRPr="00EC6E31">
        <w:rPr>
          <w:rFonts w:ascii="Times New Roman" w:hAnsi="Times New Roman" w:cs="Times New Roman"/>
        </w:rPr>
        <w:t xml:space="preserve"> and</w:t>
      </w:r>
      <w:r w:rsidR="000926DD" w:rsidRPr="00EC6E31">
        <w:rPr>
          <w:rFonts w:ascii="Times New Roman" w:hAnsi="Times New Roman" w:cs="Times New Roman"/>
        </w:rPr>
        <w:t xml:space="preserve"> Bayesian information criterion</w:t>
      </w:r>
      <w:r w:rsidR="000926DD">
        <w:rPr>
          <w:rFonts w:ascii="Times New Roman" w:hAnsi="Times New Roman" w:cs="Times New Roman"/>
        </w:rPr>
        <w:t xml:space="preserve"> (</w:t>
      </w:r>
      <w:r w:rsidR="00233DB1">
        <w:rPr>
          <w:rFonts w:ascii="Times New Roman" w:hAnsi="Times New Roman" w:cs="Times New Roman"/>
        </w:rPr>
        <w:t>BIC</w:t>
      </w:r>
      <w:r w:rsidR="000926DD">
        <w:rPr>
          <w:rFonts w:ascii="Times New Roman" w:hAnsi="Times New Roman" w:cs="Times New Roman"/>
        </w:rPr>
        <w:t>)</w:t>
      </w:r>
      <w:r w:rsidR="00233DB1">
        <w:rPr>
          <w:rFonts w:ascii="Times New Roman" w:hAnsi="Times New Roman" w:cs="Times New Roman"/>
        </w:rPr>
        <w:t xml:space="preserve"> </w:t>
      </w:r>
      <w:r w:rsidR="00DD5D5C">
        <w:rPr>
          <w:rFonts w:ascii="Times New Roman" w:hAnsi="Times New Roman" w:cs="Times New Roman"/>
        </w:rPr>
        <w:t>as appropriate</w:t>
      </w:r>
      <w:r w:rsidR="000926DD">
        <w:rPr>
          <w:rFonts w:ascii="Times New Roman" w:hAnsi="Times New Roman" w:cs="Times New Roman"/>
        </w:rPr>
        <w:t xml:space="preserve">. </w:t>
      </w:r>
      <w:r w:rsidR="00DD5D5C">
        <w:rPr>
          <w:rFonts w:ascii="Times New Roman" w:hAnsi="Times New Roman" w:cs="Times New Roman"/>
        </w:rPr>
        <w:t>Due to the extent of missing data, f</w:t>
      </w:r>
      <w:r w:rsidR="007F014D">
        <w:rPr>
          <w:rFonts w:ascii="Times New Roman" w:hAnsi="Times New Roman" w:cs="Times New Roman"/>
        </w:rPr>
        <w:t>amily history</w:t>
      </w:r>
      <w:r w:rsidR="00F058C0">
        <w:rPr>
          <w:rFonts w:ascii="Times New Roman" w:hAnsi="Times New Roman" w:cs="Times New Roman"/>
        </w:rPr>
        <w:t xml:space="preserve"> of diabetes</w:t>
      </w:r>
      <w:r w:rsidR="007F014D">
        <w:rPr>
          <w:rFonts w:ascii="Times New Roman" w:hAnsi="Times New Roman" w:cs="Times New Roman"/>
        </w:rPr>
        <w:t>, smokin</w:t>
      </w:r>
      <w:r w:rsidR="00F058C0">
        <w:rPr>
          <w:rFonts w:ascii="Times New Roman" w:hAnsi="Times New Roman" w:cs="Times New Roman"/>
        </w:rPr>
        <w:t xml:space="preserve">g status and baseline biometrics </w:t>
      </w:r>
      <w:r w:rsidR="007F014D">
        <w:rPr>
          <w:rFonts w:ascii="Times New Roman" w:hAnsi="Times New Roman" w:cs="Times New Roman"/>
        </w:rPr>
        <w:t>we</w:t>
      </w:r>
      <w:r w:rsidR="00DD5D5C">
        <w:rPr>
          <w:rFonts w:ascii="Times New Roman" w:hAnsi="Times New Roman" w:cs="Times New Roman"/>
        </w:rPr>
        <w:t>re</w:t>
      </w:r>
      <w:r w:rsidR="007F014D">
        <w:rPr>
          <w:rFonts w:ascii="Times New Roman" w:hAnsi="Times New Roman" w:cs="Times New Roman"/>
        </w:rPr>
        <w:t xml:space="preserve"> </w:t>
      </w:r>
      <w:r w:rsidR="00DD5D5C">
        <w:rPr>
          <w:rFonts w:ascii="Times New Roman" w:hAnsi="Times New Roman" w:cs="Times New Roman"/>
        </w:rPr>
        <w:t xml:space="preserve">retained in the model only if they improved model fit. </w:t>
      </w:r>
      <w:r w:rsidR="00944E38">
        <w:rPr>
          <w:rFonts w:ascii="Times New Roman" w:hAnsi="Times New Roman" w:cs="Times New Roman"/>
        </w:rPr>
        <w:t>F</w:t>
      </w:r>
      <w:r w:rsidR="00944E38" w:rsidRPr="1EE1AA24">
        <w:rPr>
          <w:rFonts w:ascii="Times New Roman" w:hAnsi="Times New Roman" w:cs="Times New Roman"/>
        </w:rPr>
        <w:t xml:space="preserve">urther adjustments </w:t>
      </w:r>
      <w:r w:rsidR="00944E38">
        <w:rPr>
          <w:rFonts w:ascii="Times New Roman" w:hAnsi="Times New Roman" w:cs="Times New Roman"/>
        </w:rPr>
        <w:t xml:space="preserve">were made </w:t>
      </w:r>
      <w:r w:rsidR="00944E38" w:rsidRPr="1EE1AA24">
        <w:rPr>
          <w:rFonts w:ascii="Times New Roman" w:hAnsi="Times New Roman" w:cs="Times New Roman"/>
        </w:rPr>
        <w:t xml:space="preserve">to account </w:t>
      </w:r>
      <w:r w:rsidR="00DD5D5C">
        <w:rPr>
          <w:rFonts w:ascii="Times New Roman" w:hAnsi="Times New Roman" w:cs="Times New Roman"/>
        </w:rPr>
        <w:t>for</w:t>
      </w:r>
      <w:r w:rsidR="00944E38">
        <w:rPr>
          <w:rFonts w:ascii="Times New Roman" w:hAnsi="Times New Roman" w:cs="Times New Roman"/>
        </w:rPr>
        <w:t xml:space="preserve"> duration of T2DM,</w:t>
      </w:r>
      <w:r w:rsidR="00944E38" w:rsidRPr="1EE1AA24">
        <w:rPr>
          <w:rFonts w:ascii="Times New Roman" w:hAnsi="Times New Roman" w:cs="Times New Roman"/>
        </w:rPr>
        <w:t xml:space="preserve"> death </w:t>
      </w:r>
      <w:r w:rsidR="00944E38">
        <w:rPr>
          <w:rFonts w:ascii="Times New Roman" w:hAnsi="Times New Roman" w:cs="Times New Roman"/>
        </w:rPr>
        <w:t>during</w:t>
      </w:r>
      <w:r w:rsidR="00944E38" w:rsidRPr="1EE1AA24">
        <w:rPr>
          <w:rFonts w:ascii="Times New Roman" w:hAnsi="Times New Roman" w:cs="Times New Roman"/>
        </w:rPr>
        <w:t xml:space="preserve"> follow-up, length of follow-up and financial</w:t>
      </w:r>
      <w:r w:rsidR="00944E38">
        <w:rPr>
          <w:rFonts w:ascii="Times New Roman" w:hAnsi="Times New Roman" w:cs="Times New Roman"/>
        </w:rPr>
        <w:t xml:space="preserve"> </w:t>
      </w:r>
      <w:r w:rsidR="00944E38" w:rsidRPr="1EE1AA24">
        <w:rPr>
          <w:rFonts w:ascii="Times New Roman" w:hAnsi="Times New Roman" w:cs="Times New Roman"/>
        </w:rPr>
        <w:t>years</w:t>
      </w:r>
      <w:r w:rsidR="00944E38">
        <w:rPr>
          <w:rFonts w:ascii="Times New Roman" w:hAnsi="Times New Roman" w:cs="Times New Roman"/>
        </w:rPr>
        <w:t>.</w:t>
      </w:r>
      <w:r w:rsidR="004C3602">
        <w:rPr>
          <w:rFonts w:ascii="Times New Roman" w:hAnsi="Times New Roman" w:cs="Times New Roman"/>
        </w:rPr>
        <w:t xml:space="preserve"> Stata version 15 was used for all analyses.</w:t>
      </w:r>
    </w:p>
    <w:p w14:paraId="536DFBD1" w14:textId="77777777" w:rsidR="009A626B" w:rsidRDefault="009A626B">
      <w:pPr>
        <w:jc w:val="both"/>
        <w:rPr>
          <w:rFonts w:ascii="Times New Roman" w:hAnsi="Times New Roman" w:cs="Times New Roman"/>
        </w:rPr>
      </w:pPr>
    </w:p>
    <w:p w14:paraId="3D62724B" w14:textId="77777777" w:rsidR="00235A7D" w:rsidRPr="007F6D79" w:rsidRDefault="00235A7D">
      <w:pPr>
        <w:jc w:val="both"/>
        <w:rPr>
          <w:rFonts w:ascii="Times New Roman" w:hAnsi="Times New Roman" w:cs="Times New Roman"/>
          <w:b/>
        </w:rPr>
      </w:pPr>
      <w:r w:rsidRPr="007F6D79">
        <w:rPr>
          <w:rFonts w:ascii="Times New Roman" w:hAnsi="Times New Roman" w:cs="Times New Roman"/>
          <w:b/>
        </w:rPr>
        <w:t>Results</w:t>
      </w:r>
    </w:p>
    <w:p w14:paraId="787F349A" w14:textId="1F3F0634" w:rsidR="00617CAC" w:rsidRPr="007F6D79" w:rsidRDefault="005A16F6">
      <w:pPr>
        <w:jc w:val="both"/>
        <w:rPr>
          <w:rFonts w:ascii="Times New Roman" w:hAnsi="Times New Roman" w:cs="Times New Roman"/>
          <w:i/>
        </w:rPr>
      </w:pPr>
      <w:r>
        <w:rPr>
          <w:rFonts w:ascii="Times New Roman" w:hAnsi="Times New Roman" w:cs="Times New Roman"/>
          <w:i/>
        </w:rPr>
        <w:t>Participant</w:t>
      </w:r>
      <w:r w:rsidR="00A00C51">
        <w:rPr>
          <w:rFonts w:ascii="Times New Roman" w:hAnsi="Times New Roman" w:cs="Times New Roman"/>
          <w:i/>
        </w:rPr>
        <w:t xml:space="preserve"> characteristics</w:t>
      </w:r>
    </w:p>
    <w:p w14:paraId="6B288118" w14:textId="05A70952" w:rsidR="00DD32A3" w:rsidRPr="00DD32A3" w:rsidRDefault="000D4487">
      <w:pPr>
        <w:jc w:val="both"/>
        <w:rPr>
          <w:rFonts w:ascii="Times New Roman" w:hAnsi="Times New Roman" w:cs="Times New Roman"/>
        </w:rPr>
      </w:pPr>
      <w:r>
        <w:rPr>
          <w:rFonts w:ascii="Times New Roman" w:hAnsi="Times New Roman" w:cs="Times New Roman"/>
        </w:rPr>
        <w:t>B</w:t>
      </w:r>
      <w:r w:rsidR="00DD32A3" w:rsidRPr="00DD32A3">
        <w:rPr>
          <w:rFonts w:ascii="Times New Roman" w:hAnsi="Times New Roman" w:cs="Times New Roman"/>
        </w:rPr>
        <w:t xml:space="preserve">aseline characteristics </w:t>
      </w:r>
      <w:r>
        <w:rPr>
          <w:rFonts w:ascii="Times New Roman" w:hAnsi="Times New Roman" w:cs="Times New Roman"/>
        </w:rPr>
        <w:t>of</w:t>
      </w:r>
      <w:r w:rsidR="00DD32A3" w:rsidRPr="00DD32A3">
        <w:rPr>
          <w:rFonts w:ascii="Times New Roman" w:hAnsi="Times New Roman" w:cs="Times New Roman"/>
        </w:rPr>
        <w:t xml:space="preserve"> </w:t>
      </w:r>
      <w:r w:rsidR="00C33321">
        <w:rPr>
          <w:rFonts w:ascii="Times New Roman" w:hAnsi="Times New Roman" w:cs="Times New Roman"/>
        </w:rPr>
        <w:t>people with and without SMI</w:t>
      </w:r>
      <w:r w:rsidR="001C42CF">
        <w:rPr>
          <w:rFonts w:ascii="Times New Roman" w:hAnsi="Times New Roman" w:cs="Times New Roman"/>
        </w:rPr>
        <w:t xml:space="preserve"> </w:t>
      </w:r>
      <w:r>
        <w:rPr>
          <w:rFonts w:ascii="Times New Roman" w:hAnsi="Times New Roman" w:cs="Times New Roman"/>
        </w:rPr>
        <w:t>are</w:t>
      </w:r>
      <w:r w:rsidR="00DD32A3">
        <w:rPr>
          <w:rFonts w:ascii="Times New Roman" w:hAnsi="Times New Roman" w:cs="Times New Roman"/>
        </w:rPr>
        <w:t xml:space="preserve"> summarised in </w:t>
      </w:r>
      <w:r w:rsidR="00DD32A3" w:rsidRPr="000D4487">
        <w:rPr>
          <w:rFonts w:ascii="Times New Roman" w:hAnsi="Times New Roman" w:cs="Times New Roman"/>
          <w:b/>
          <w:bCs/>
        </w:rPr>
        <w:t>Table</w:t>
      </w:r>
      <w:r w:rsidR="002624C2">
        <w:rPr>
          <w:rFonts w:ascii="Times New Roman" w:hAnsi="Times New Roman" w:cs="Times New Roman"/>
          <w:b/>
          <w:bCs/>
        </w:rPr>
        <w:t>s</w:t>
      </w:r>
      <w:r w:rsidR="00DD32A3" w:rsidRPr="000D4487">
        <w:rPr>
          <w:rFonts w:ascii="Times New Roman" w:hAnsi="Times New Roman" w:cs="Times New Roman"/>
          <w:b/>
          <w:bCs/>
        </w:rPr>
        <w:t xml:space="preserve"> 1</w:t>
      </w:r>
      <w:r w:rsidR="005608BE">
        <w:rPr>
          <w:rFonts w:ascii="Times New Roman" w:hAnsi="Times New Roman" w:cs="Times New Roman"/>
          <w:b/>
          <w:bCs/>
        </w:rPr>
        <w:t>-2</w:t>
      </w:r>
      <w:r w:rsidR="00DD32A3" w:rsidRPr="00DD32A3">
        <w:rPr>
          <w:rFonts w:ascii="Times New Roman" w:hAnsi="Times New Roman" w:cs="Times New Roman"/>
        </w:rPr>
        <w:t xml:space="preserve">. </w:t>
      </w:r>
      <w:r w:rsidR="00B0563E">
        <w:rPr>
          <w:rFonts w:ascii="Times New Roman" w:hAnsi="Times New Roman" w:cs="Times New Roman"/>
        </w:rPr>
        <w:t xml:space="preserve">A total of </w:t>
      </w:r>
      <w:r w:rsidR="00DD32A3" w:rsidRPr="00DD32A3">
        <w:rPr>
          <w:rFonts w:ascii="Times New Roman" w:hAnsi="Times New Roman" w:cs="Times New Roman"/>
        </w:rPr>
        <w:t>2,192</w:t>
      </w:r>
      <w:r w:rsidR="00617CAC">
        <w:rPr>
          <w:rFonts w:ascii="Times New Roman" w:hAnsi="Times New Roman" w:cs="Times New Roman"/>
        </w:rPr>
        <w:t xml:space="preserve"> </w:t>
      </w:r>
      <w:r w:rsidR="00C33321">
        <w:rPr>
          <w:rFonts w:ascii="Times New Roman" w:hAnsi="Times New Roman" w:cs="Times New Roman"/>
        </w:rPr>
        <w:t xml:space="preserve">people with SMI (cases) </w:t>
      </w:r>
      <w:r w:rsidR="00DD32A3" w:rsidRPr="00DD32A3">
        <w:rPr>
          <w:rFonts w:ascii="Times New Roman" w:hAnsi="Times New Roman" w:cs="Times New Roman"/>
        </w:rPr>
        <w:t xml:space="preserve">were matched to 7,773 </w:t>
      </w:r>
      <w:r w:rsidR="00C33321">
        <w:rPr>
          <w:rFonts w:ascii="Times New Roman" w:hAnsi="Times New Roman" w:cs="Times New Roman"/>
        </w:rPr>
        <w:t>people without SMI</w:t>
      </w:r>
      <w:r w:rsidR="00FB17A9">
        <w:rPr>
          <w:rFonts w:ascii="Times New Roman" w:hAnsi="Times New Roman" w:cs="Times New Roman"/>
        </w:rPr>
        <w:t xml:space="preserve"> </w:t>
      </w:r>
      <w:r w:rsidR="00C33321">
        <w:rPr>
          <w:rFonts w:ascii="Times New Roman" w:hAnsi="Times New Roman" w:cs="Times New Roman"/>
        </w:rPr>
        <w:t xml:space="preserve">(controls): </w:t>
      </w:r>
      <w:r w:rsidR="004E5F24" w:rsidRPr="004E5F24">
        <w:rPr>
          <w:rFonts w:ascii="Times New Roman" w:hAnsi="Times New Roman" w:cs="Times New Roman"/>
        </w:rPr>
        <w:t>88</w:t>
      </w:r>
      <w:r w:rsidR="00FB17A9">
        <w:rPr>
          <w:rFonts w:ascii="Times New Roman" w:hAnsi="Times New Roman" w:cs="Times New Roman"/>
        </w:rPr>
        <w:t>% o</w:t>
      </w:r>
      <w:r w:rsidR="00DD32A3" w:rsidRPr="00DD32A3">
        <w:rPr>
          <w:rFonts w:ascii="Times New Roman" w:hAnsi="Times New Roman" w:cs="Times New Roman"/>
        </w:rPr>
        <w:t xml:space="preserve">f cases matched to </w:t>
      </w:r>
      <w:r w:rsidR="00B0563E">
        <w:rPr>
          <w:rFonts w:ascii="Times New Roman" w:hAnsi="Times New Roman" w:cs="Times New Roman"/>
        </w:rPr>
        <w:t>3-4</w:t>
      </w:r>
      <w:r w:rsidR="00DD32A3" w:rsidRPr="00DD32A3">
        <w:rPr>
          <w:rFonts w:ascii="Times New Roman" w:hAnsi="Times New Roman" w:cs="Times New Roman"/>
        </w:rPr>
        <w:t xml:space="preserve"> </w:t>
      </w:r>
      <w:r w:rsidR="00DD32A3" w:rsidRPr="004E5F24">
        <w:rPr>
          <w:rFonts w:ascii="Times New Roman" w:hAnsi="Times New Roman" w:cs="Times New Roman"/>
        </w:rPr>
        <w:t>controls</w:t>
      </w:r>
      <w:r w:rsidR="00C33321">
        <w:rPr>
          <w:rFonts w:ascii="Times New Roman" w:hAnsi="Times New Roman" w:cs="Times New Roman"/>
        </w:rPr>
        <w:t>, 53%</w:t>
      </w:r>
      <w:r w:rsidR="0015558F" w:rsidRPr="004E5F24">
        <w:rPr>
          <w:rFonts w:ascii="Times New Roman" w:hAnsi="Times New Roman" w:cs="Times New Roman"/>
        </w:rPr>
        <w:t xml:space="preserve"> of cases had </w:t>
      </w:r>
      <w:r w:rsidR="00FB17A9" w:rsidRPr="004E5F24">
        <w:rPr>
          <w:rFonts w:ascii="Times New Roman" w:hAnsi="Times New Roman" w:cs="Times New Roman"/>
        </w:rPr>
        <w:t>s</w:t>
      </w:r>
      <w:r w:rsidR="0015558F" w:rsidRPr="004E5F24">
        <w:rPr>
          <w:rFonts w:ascii="Times New Roman" w:hAnsi="Times New Roman" w:cs="Times New Roman"/>
        </w:rPr>
        <w:t xml:space="preserve">chizophrenia and </w:t>
      </w:r>
      <w:r w:rsidR="004E5F24" w:rsidRPr="004E5F24">
        <w:rPr>
          <w:rFonts w:ascii="Times New Roman" w:hAnsi="Times New Roman" w:cs="Times New Roman"/>
        </w:rPr>
        <w:t>32</w:t>
      </w:r>
      <w:r w:rsidR="00FB17A9" w:rsidRPr="004E5F24">
        <w:rPr>
          <w:rFonts w:ascii="Times New Roman" w:hAnsi="Times New Roman" w:cs="Times New Roman"/>
        </w:rPr>
        <w:t>%</w:t>
      </w:r>
      <w:r w:rsidR="0015558F" w:rsidRPr="004E5F24">
        <w:rPr>
          <w:rFonts w:ascii="Times New Roman" w:hAnsi="Times New Roman" w:cs="Times New Roman"/>
        </w:rPr>
        <w:t xml:space="preserve"> bipolar disorder. </w:t>
      </w:r>
      <w:r w:rsidR="00C33321">
        <w:rPr>
          <w:rFonts w:ascii="Times New Roman" w:hAnsi="Times New Roman" w:cs="Times New Roman"/>
        </w:rPr>
        <w:t>People with SMI</w:t>
      </w:r>
      <w:r w:rsidR="00DD32A3" w:rsidRPr="004E5F24">
        <w:rPr>
          <w:rFonts w:ascii="Times New Roman" w:hAnsi="Times New Roman" w:cs="Times New Roman"/>
        </w:rPr>
        <w:t xml:space="preserve"> </w:t>
      </w:r>
      <w:r w:rsidR="00B0563E">
        <w:rPr>
          <w:rFonts w:ascii="Times New Roman" w:hAnsi="Times New Roman" w:cs="Times New Roman"/>
        </w:rPr>
        <w:t>were</w:t>
      </w:r>
      <w:r w:rsidR="00B0563E" w:rsidRPr="004E5F24">
        <w:rPr>
          <w:rFonts w:ascii="Times New Roman" w:hAnsi="Times New Roman" w:cs="Times New Roman"/>
        </w:rPr>
        <w:t xml:space="preserve"> </w:t>
      </w:r>
      <w:r w:rsidR="00DD32A3" w:rsidRPr="004E5F24">
        <w:rPr>
          <w:rFonts w:ascii="Times New Roman" w:hAnsi="Times New Roman" w:cs="Times New Roman"/>
        </w:rPr>
        <w:t>similar</w:t>
      </w:r>
      <w:r w:rsidR="00DD32A3">
        <w:rPr>
          <w:rFonts w:ascii="Times New Roman" w:hAnsi="Times New Roman" w:cs="Times New Roman"/>
        </w:rPr>
        <w:t xml:space="preserve"> </w:t>
      </w:r>
      <w:r w:rsidR="00695F92">
        <w:rPr>
          <w:rFonts w:ascii="Times New Roman" w:hAnsi="Times New Roman" w:cs="Times New Roman"/>
        </w:rPr>
        <w:t>to</w:t>
      </w:r>
      <w:r w:rsidR="00695F92" w:rsidRPr="00DD32A3">
        <w:rPr>
          <w:rFonts w:ascii="Times New Roman" w:hAnsi="Times New Roman" w:cs="Times New Roman"/>
        </w:rPr>
        <w:t xml:space="preserve"> </w:t>
      </w:r>
      <w:r w:rsidR="00C33321">
        <w:rPr>
          <w:rFonts w:ascii="Times New Roman" w:hAnsi="Times New Roman" w:cs="Times New Roman"/>
        </w:rPr>
        <w:t xml:space="preserve">people without SMI </w:t>
      </w:r>
      <w:r w:rsidR="00B0563E">
        <w:rPr>
          <w:rFonts w:ascii="Times New Roman" w:hAnsi="Times New Roman" w:cs="Times New Roman"/>
        </w:rPr>
        <w:t xml:space="preserve">for </w:t>
      </w:r>
      <w:r w:rsidR="00DD32A3">
        <w:rPr>
          <w:rFonts w:ascii="Times New Roman" w:hAnsi="Times New Roman" w:cs="Times New Roman"/>
        </w:rPr>
        <w:t xml:space="preserve">age, </w:t>
      </w:r>
      <w:r w:rsidR="00DD32A3" w:rsidRPr="00DD32A3">
        <w:rPr>
          <w:rFonts w:ascii="Times New Roman" w:hAnsi="Times New Roman" w:cs="Times New Roman"/>
        </w:rPr>
        <w:t>sex</w:t>
      </w:r>
      <w:r w:rsidR="00DD32A3">
        <w:rPr>
          <w:rFonts w:ascii="Times New Roman" w:hAnsi="Times New Roman" w:cs="Times New Roman"/>
        </w:rPr>
        <w:t>, duration of T2DM and follow-up</w:t>
      </w:r>
      <w:r w:rsidR="00617CAC">
        <w:rPr>
          <w:rFonts w:ascii="Times New Roman" w:hAnsi="Times New Roman" w:cs="Times New Roman"/>
        </w:rPr>
        <w:t xml:space="preserve"> </w:t>
      </w:r>
      <w:r w:rsidR="00283A60">
        <w:rPr>
          <w:rFonts w:ascii="Times New Roman" w:hAnsi="Times New Roman" w:cs="Times New Roman"/>
        </w:rPr>
        <w:t xml:space="preserve">length, </w:t>
      </w:r>
      <w:r w:rsidR="00695F92">
        <w:rPr>
          <w:rFonts w:ascii="Times New Roman" w:hAnsi="Times New Roman" w:cs="Times New Roman"/>
        </w:rPr>
        <w:t>but</w:t>
      </w:r>
      <w:r w:rsidR="006E502F">
        <w:rPr>
          <w:rFonts w:ascii="Times New Roman" w:hAnsi="Times New Roman" w:cs="Times New Roman"/>
        </w:rPr>
        <w:t xml:space="preserve"> </w:t>
      </w:r>
      <w:r w:rsidR="00DD32A3" w:rsidRPr="00DD32A3">
        <w:rPr>
          <w:rFonts w:ascii="Times New Roman" w:hAnsi="Times New Roman" w:cs="Times New Roman"/>
        </w:rPr>
        <w:t xml:space="preserve">were more likely to </w:t>
      </w:r>
      <w:r w:rsidR="003D4B81">
        <w:rPr>
          <w:rFonts w:ascii="Times New Roman" w:hAnsi="Times New Roman" w:cs="Times New Roman"/>
        </w:rPr>
        <w:t>live</w:t>
      </w:r>
      <w:r w:rsidR="008C680D">
        <w:rPr>
          <w:rFonts w:ascii="Times New Roman" w:hAnsi="Times New Roman" w:cs="Times New Roman"/>
        </w:rPr>
        <w:t xml:space="preserve"> in</w:t>
      </w:r>
      <w:r w:rsidR="00DD32A3" w:rsidRPr="00DD32A3">
        <w:rPr>
          <w:rFonts w:ascii="Times New Roman" w:hAnsi="Times New Roman" w:cs="Times New Roman"/>
        </w:rPr>
        <w:t xml:space="preserve"> the most deprived neighbourhoods</w:t>
      </w:r>
      <w:r w:rsidR="00FB17A9">
        <w:rPr>
          <w:rFonts w:ascii="Times New Roman" w:hAnsi="Times New Roman" w:cs="Times New Roman"/>
        </w:rPr>
        <w:t>, h</w:t>
      </w:r>
      <w:r w:rsidR="00205ACD">
        <w:rPr>
          <w:rFonts w:ascii="Times New Roman" w:hAnsi="Times New Roman" w:cs="Times New Roman"/>
        </w:rPr>
        <w:t>ave</w:t>
      </w:r>
      <w:r w:rsidR="00FB17A9">
        <w:rPr>
          <w:rFonts w:ascii="Times New Roman" w:hAnsi="Times New Roman" w:cs="Times New Roman"/>
        </w:rPr>
        <w:t xml:space="preserve"> </w:t>
      </w:r>
      <w:r w:rsidR="00DD32A3" w:rsidRPr="00DD32A3">
        <w:rPr>
          <w:rFonts w:ascii="Times New Roman" w:hAnsi="Times New Roman" w:cs="Times New Roman"/>
        </w:rPr>
        <w:t xml:space="preserve">dementia </w:t>
      </w:r>
      <w:r w:rsidR="00FB17A9">
        <w:rPr>
          <w:rFonts w:ascii="Times New Roman" w:hAnsi="Times New Roman" w:cs="Times New Roman"/>
        </w:rPr>
        <w:t>or</w:t>
      </w:r>
      <w:r w:rsidR="00DD32A3" w:rsidRPr="00DD32A3">
        <w:rPr>
          <w:rFonts w:ascii="Times New Roman" w:hAnsi="Times New Roman" w:cs="Times New Roman"/>
        </w:rPr>
        <w:t xml:space="preserve"> learning disability,</w:t>
      </w:r>
      <w:r w:rsidR="00FB17A9">
        <w:rPr>
          <w:rFonts w:ascii="Times New Roman" w:hAnsi="Times New Roman" w:cs="Times New Roman"/>
        </w:rPr>
        <w:t xml:space="preserve"> and</w:t>
      </w:r>
      <w:r w:rsidR="00695F92">
        <w:rPr>
          <w:rFonts w:ascii="Times New Roman" w:hAnsi="Times New Roman" w:cs="Times New Roman"/>
        </w:rPr>
        <w:t xml:space="preserve"> </w:t>
      </w:r>
      <w:r w:rsidR="00FB17A9">
        <w:rPr>
          <w:rFonts w:ascii="Times New Roman" w:hAnsi="Times New Roman" w:cs="Times New Roman"/>
        </w:rPr>
        <w:t xml:space="preserve">less likely to have </w:t>
      </w:r>
      <w:r w:rsidR="00DD32A3" w:rsidRPr="00DD32A3">
        <w:rPr>
          <w:rFonts w:ascii="Times New Roman" w:hAnsi="Times New Roman" w:cs="Times New Roman"/>
        </w:rPr>
        <w:t xml:space="preserve">physical </w:t>
      </w:r>
      <w:r w:rsidR="001C42CF">
        <w:rPr>
          <w:rFonts w:ascii="Times New Roman" w:hAnsi="Times New Roman" w:cs="Times New Roman"/>
        </w:rPr>
        <w:t>comorbidities</w:t>
      </w:r>
      <w:r w:rsidR="00E16DD7">
        <w:rPr>
          <w:rFonts w:ascii="Times New Roman" w:hAnsi="Times New Roman" w:cs="Times New Roman"/>
        </w:rPr>
        <w:t xml:space="preserve"> recorded</w:t>
      </w:r>
      <w:r w:rsidR="009E1BCE">
        <w:rPr>
          <w:rFonts w:ascii="Times New Roman" w:hAnsi="Times New Roman" w:cs="Times New Roman"/>
        </w:rPr>
        <w:t xml:space="preserve">. </w:t>
      </w:r>
      <w:r w:rsidR="00C33321">
        <w:rPr>
          <w:rFonts w:ascii="Times New Roman" w:hAnsi="Times New Roman" w:cs="Times New Roman"/>
        </w:rPr>
        <w:t>People with SMI</w:t>
      </w:r>
      <w:r w:rsidR="00DD32A3" w:rsidRPr="00DD32A3">
        <w:rPr>
          <w:rFonts w:ascii="Times New Roman" w:hAnsi="Times New Roman" w:cs="Times New Roman"/>
        </w:rPr>
        <w:t xml:space="preserve"> </w:t>
      </w:r>
      <w:r w:rsidR="00FB17A9">
        <w:rPr>
          <w:rFonts w:ascii="Times New Roman" w:hAnsi="Times New Roman" w:cs="Times New Roman"/>
        </w:rPr>
        <w:t>were</w:t>
      </w:r>
      <w:r w:rsidR="005B2144">
        <w:rPr>
          <w:rFonts w:ascii="Times New Roman" w:hAnsi="Times New Roman" w:cs="Times New Roman"/>
        </w:rPr>
        <w:t xml:space="preserve"> also</w:t>
      </w:r>
      <w:r w:rsidR="00FB17A9">
        <w:rPr>
          <w:rFonts w:ascii="Times New Roman" w:hAnsi="Times New Roman" w:cs="Times New Roman"/>
        </w:rPr>
        <w:t xml:space="preserve"> more likely to be </w:t>
      </w:r>
      <w:r w:rsidR="00DD32A3" w:rsidRPr="00DD32A3">
        <w:rPr>
          <w:rFonts w:ascii="Times New Roman" w:hAnsi="Times New Roman" w:cs="Times New Roman"/>
        </w:rPr>
        <w:t>prescribed antidepressants and antipsychotics</w:t>
      </w:r>
      <w:r w:rsidR="00FB17A9">
        <w:rPr>
          <w:rFonts w:ascii="Times New Roman" w:hAnsi="Times New Roman" w:cs="Times New Roman"/>
        </w:rPr>
        <w:t xml:space="preserve">, and less likely to be prescribed </w:t>
      </w:r>
      <w:r w:rsidR="00DD32A3" w:rsidRPr="00DD32A3">
        <w:rPr>
          <w:rFonts w:ascii="Times New Roman" w:hAnsi="Times New Roman" w:cs="Times New Roman"/>
        </w:rPr>
        <w:t>antihypertensive and lipid</w:t>
      </w:r>
      <w:r w:rsidR="00C33321">
        <w:rPr>
          <w:rFonts w:ascii="Times New Roman" w:hAnsi="Times New Roman" w:cs="Times New Roman"/>
        </w:rPr>
        <w:t xml:space="preserve"> </w:t>
      </w:r>
      <w:r w:rsidR="00DD32A3" w:rsidRPr="00DD32A3">
        <w:rPr>
          <w:rFonts w:ascii="Times New Roman" w:hAnsi="Times New Roman" w:cs="Times New Roman"/>
        </w:rPr>
        <w:t xml:space="preserve">lowering </w:t>
      </w:r>
      <w:r w:rsidR="003D4B81">
        <w:rPr>
          <w:rFonts w:ascii="Times New Roman" w:hAnsi="Times New Roman" w:cs="Times New Roman"/>
        </w:rPr>
        <w:t>medications</w:t>
      </w:r>
      <w:r w:rsidR="00FE4F75">
        <w:rPr>
          <w:rFonts w:ascii="Times New Roman" w:hAnsi="Times New Roman" w:cs="Times New Roman"/>
        </w:rPr>
        <w:t>.</w:t>
      </w:r>
    </w:p>
    <w:p w14:paraId="1E99945C" w14:textId="129A0556" w:rsidR="00A00C51" w:rsidRDefault="00FE4F75">
      <w:pPr>
        <w:jc w:val="both"/>
        <w:rPr>
          <w:rFonts w:ascii="Times New Roman" w:hAnsi="Times New Roman" w:cs="Times New Roman"/>
        </w:rPr>
      </w:pPr>
      <w:r>
        <w:rPr>
          <w:rFonts w:ascii="Times New Roman" w:hAnsi="Times New Roman" w:cs="Times New Roman"/>
        </w:rPr>
        <w:t>P</w:t>
      </w:r>
      <w:r w:rsidR="0058137D" w:rsidRPr="1EE1AA24">
        <w:rPr>
          <w:rFonts w:ascii="Times New Roman" w:hAnsi="Times New Roman" w:cs="Times New Roman"/>
        </w:rPr>
        <w:t xml:space="preserve">roportions of </w:t>
      </w:r>
      <w:r w:rsidR="00297CA3" w:rsidRPr="1EE1AA24">
        <w:rPr>
          <w:rFonts w:ascii="Times New Roman" w:hAnsi="Times New Roman" w:cs="Times New Roman"/>
        </w:rPr>
        <w:t xml:space="preserve">missing values </w:t>
      </w:r>
      <w:r w:rsidR="0058137D" w:rsidRPr="1EE1AA24">
        <w:rPr>
          <w:rFonts w:ascii="Times New Roman" w:hAnsi="Times New Roman" w:cs="Times New Roman"/>
        </w:rPr>
        <w:t xml:space="preserve">were </w:t>
      </w:r>
      <w:r>
        <w:rPr>
          <w:rFonts w:ascii="Times New Roman" w:hAnsi="Times New Roman" w:cs="Times New Roman"/>
        </w:rPr>
        <w:t>general</w:t>
      </w:r>
      <w:r w:rsidR="00B0563E">
        <w:rPr>
          <w:rFonts w:ascii="Times New Roman" w:hAnsi="Times New Roman" w:cs="Times New Roman"/>
        </w:rPr>
        <w:t>ly</w:t>
      </w:r>
      <w:r>
        <w:rPr>
          <w:rFonts w:ascii="Times New Roman" w:hAnsi="Times New Roman" w:cs="Times New Roman"/>
        </w:rPr>
        <w:t xml:space="preserve"> </w:t>
      </w:r>
      <w:r w:rsidR="0058137D" w:rsidRPr="1EE1AA24">
        <w:rPr>
          <w:rFonts w:ascii="Times New Roman" w:hAnsi="Times New Roman" w:cs="Times New Roman"/>
        </w:rPr>
        <w:t xml:space="preserve">similar between </w:t>
      </w:r>
      <w:r w:rsidR="00011D34">
        <w:rPr>
          <w:rFonts w:ascii="Times New Roman" w:hAnsi="Times New Roman" w:cs="Times New Roman"/>
        </w:rPr>
        <w:t>people with and without SMI</w:t>
      </w:r>
      <w:r w:rsidR="0058137D" w:rsidRPr="1EE1AA24">
        <w:rPr>
          <w:rFonts w:ascii="Times New Roman" w:hAnsi="Times New Roman" w:cs="Times New Roman"/>
        </w:rPr>
        <w:t xml:space="preserve"> </w:t>
      </w:r>
      <w:r w:rsidR="003F2E41">
        <w:rPr>
          <w:rFonts w:ascii="Times New Roman" w:hAnsi="Times New Roman" w:cs="Times New Roman"/>
        </w:rPr>
        <w:t>for</w:t>
      </w:r>
      <w:r w:rsidR="00297CA3" w:rsidRPr="1EE1AA24">
        <w:rPr>
          <w:rFonts w:ascii="Times New Roman" w:hAnsi="Times New Roman" w:cs="Times New Roman"/>
        </w:rPr>
        <w:t xml:space="preserve"> </w:t>
      </w:r>
      <w:r w:rsidR="00E0091E">
        <w:rPr>
          <w:rFonts w:ascii="Times New Roman" w:hAnsi="Times New Roman" w:cs="Times New Roman"/>
        </w:rPr>
        <w:t>smoking status</w:t>
      </w:r>
      <w:r w:rsidR="00297CA3" w:rsidRPr="1EE1AA24">
        <w:rPr>
          <w:rFonts w:ascii="Times New Roman" w:hAnsi="Times New Roman" w:cs="Times New Roman"/>
        </w:rPr>
        <w:t xml:space="preserve"> and biometric variables</w:t>
      </w:r>
      <w:r w:rsidR="009000A2">
        <w:rPr>
          <w:rFonts w:ascii="Times New Roman" w:hAnsi="Times New Roman" w:cs="Times New Roman"/>
        </w:rPr>
        <w:t xml:space="preserve">, with </w:t>
      </w:r>
      <w:r w:rsidR="00DD32A3" w:rsidRPr="1EE1AA24">
        <w:rPr>
          <w:rFonts w:ascii="Times New Roman" w:hAnsi="Times New Roman" w:cs="Times New Roman"/>
        </w:rPr>
        <w:t>BMI</w:t>
      </w:r>
      <w:r w:rsidR="009000A2">
        <w:rPr>
          <w:rFonts w:ascii="Times New Roman" w:hAnsi="Times New Roman" w:cs="Times New Roman"/>
        </w:rPr>
        <w:t xml:space="preserve"> and </w:t>
      </w:r>
      <w:r w:rsidR="00DD32A3" w:rsidRPr="1EE1AA24">
        <w:rPr>
          <w:rFonts w:ascii="Times New Roman" w:hAnsi="Times New Roman" w:cs="Times New Roman"/>
        </w:rPr>
        <w:t xml:space="preserve">smoking </w:t>
      </w:r>
      <w:r w:rsidR="009000A2">
        <w:rPr>
          <w:rFonts w:ascii="Times New Roman" w:hAnsi="Times New Roman" w:cs="Times New Roman"/>
        </w:rPr>
        <w:t>slightly</w:t>
      </w:r>
      <w:r w:rsidR="00DD32A3" w:rsidRPr="1EE1AA24">
        <w:rPr>
          <w:rFonts w:ascii="Times New Roman" w:hAnsi="Times New Roman" w:cs="Times New Roman"/>
        </w:rPr>
        <w:t xml:space="preserve"> better recorded for </w:t>
      </w:r>
      <w:r w:rsidR="00011D34">
        <w:rPr>
          <w:rFonts w:ascii="Times New Roman" w:hAnsi="Times New Roman" w:cs="Times New Roman"/>
        </w:rPr>
        <w:t>people with SMI</w:t>
      </w:r>
      <w:r w:rsidR="00297CA3" w:rsidRPr="1EE1AA24">
        <w:rPr>
          <w:rFonts w:ascii="Times New Roman" w:hAnsi="Times New Roman" w:cs="Times New Roman"/>
        </w:rPr>
        <w:t xml:space="preserve">. </w:t>
      </w:r>
      <w:r w:rsidR="005820E7" w:rsidRPr="1EE1AA24">
        <w:rPr>
          <w:rFonts w:ascii="Times New Roman" w:hAnsi="Times New Roman" w:cs="Times New Roman"/>
        </w:rPr>
        <w:t xml:space="preserve">On average, </w:t>
      </w:r>
      <w:r w:rsidR="00011D34">
        <w:rPr>
          <w:rFonts w:ascii="Times New Roman" w:hAnsi="Times New Roman" w:cs="Times New Roman"/>
        </w:rPr>
        <w:t>people with SMI</w:t>
      </w:r>
      <w:r w:rsidR="0058137D" w:rsidRPr="1EE1AA24">
        <w:rPr>
          <w:rFonts w:ascii="Times New Roman" w:hAnsi="Times New Roman" w:cs="Times New Roman"/>
        </w:rPr>
        <w:t xml:space="preserve"> had</w:t>
      </w:r>
      <w:r w:rsidR="00DD32A3" w:rsidRPr="1EE1AA24">
        <w:rPr>
          <w:rFonts w:ascii="Times New Roman" w:hAnsi="Times New Roman" w:cs="Times New Roman"/>
        </w:rPr>
        <w:t xml:space="preserve"> higher</w:t>
      </w:r>
      <w:r w:rsidR="0015747D" w:rsidRPr="1EE1AA24">
        <w:rPr>
          <w:rFonts w:ascii="Times New Roman" w:hAnsi="Times New Roman" w:cs="Times New Roman"/>
        </w:rPr>
        <w:t xml:space="preserve"> </w:t>
      </w:r>
      <w:r w:rsidR="00DD32A3" w:rsidRPr="1EE1AA24">
        <w:rPr>
          <w:rFonts w:ascii="Times New Roman" w:hAnsi="Times New Roman" w:cs="Times New Roman"/>
        </w:rPr>
        <w:t xml:space="preserve">BMI </w:t>
      </w:r>
      <w:r w:rsidR="0058137D" w:rsidRPr="1EE1AA24">
        <w:rPr>
          <w:rFonts w:ascii="Times New Roman" w:hAnsi="Times New Roman" w:cs="Times New Roman"/>
        </w:rPr>
        <w:t xml:space="preserve">and </w:t>
      </w:r>
      <w:r w:rsidR="7716C6AA" w:rsidRPr="1EE1AA24">
        <w:rPr>
          <w:rFonts w:ascii="Times New Roman" w:hAnsi="Times New Roman" w:cs="Times New Roman"/>
        </w:rPr>
        <w:t xml:space="preserve">levels of </w:t>
      </w:r>
      <w:r w:rsidR="0058137D" w:rsidRPr="1EE1AA24">
        <w:rPr>
          <w:rFonts w:ascii="Times New Roman" w:hAnsi="Times New Roman" w:cs="Times New Roman"/>
        </w:rPr>
        <w:t>serum cholesterol and</w:t>
      </w:r>
      <w:r w:rsidR="0015747D" w:rsidRPr="1EE1AA24">
        <w:rPr>
          <w:rFonts w:ascii="Times New Roman" w:hAnsi="Times New Roman" w:cs="Times New Roman"/>
        </w:rPr>
        <w:t xml:space="preserve"> lower HbA</w:t>
      </w:r>
      <w:r w:rsidR="0015747D" w:rsidRPr="006C7746">
        <w:rPr>
          <w:rFonts w:ascii="Times New Roman" w:hAnsi="Times New Roman" w:cs="Times New Roman"/>
          <w:vertAlign w:val="subscript"/>
        </w:rPr>
        <w:t>1c</w:t>
      </w:r>
      <w:r w:rsidR="0015747D" w:rsidRPr="1EE1AA24">
        <w:rPr>
          <w:rFonts w:ascii="Times New Roman" w:hAnsi="Times New Roman" w:cs="Times New Roman"/>
        </w:rPr>
        <w:t xml:space="preserve"> and blood pressure. </w:t>
      </w:r>
    </w:p>
    <w:p w14:paraId="2EBDBCE6" w14:textId="63B96771" w:rsidR="00B4087C" w:rsidRDefault="005820E7">
      <w:pPr>
        <w:jc w:val="both"/>
        <w:rPr>
          <w:rFonts w:ascii="Times New Roman" w:hAnsi="Times New Roman" w:cs="Times New Roman"/>
        </w:rPr>
      </w:pPr>
      <w:r w:rsidRPr="1EE1AA24">
        <w:rPr>
          <w:rFonts w:ascii="Times New Roman" w:hAnsi="Times New Roman" w:cs="Times New Roman"/>
        </w:rPr>
        <w:t>C</w:t>
      </w:r>
      <w:r w:rsidR="00CA0A91">
        <w:rPr>
          <w:rFonts w:ascii="Times New Roman" w:hAnsi="Times New Roman" w:cs="Times New Roman"/>
        </w:rPr>
        <w:t>rude</w:t>
      </w:r>
      <w:r w:rsidR="0058137D" w:rsidRPr="1EE1AA24">
        <w:rPr>
          <w:rFonts w:ascii="Times New Roman" w:hAnsi="Times New Roman" w:cs="Times New Roman"/>
        </w:rPr>
        <w:t xml:space="preserve"> outcomes </w:t>
      </w:r>
      <w:r w:rsidRPr="1EE1AA24">
        <w:rPr>
          <w:rFonts w:ascii="Times New Roman" w:hAnsi="Times New Roman" w:cs="Times New Roman"/>
        </w:rPr>
        <w:t>for</w:t>
      </w:r>
      <w:r w:rsidR="00725991" w:rsidRPr="1EE1AA24">
        <w:rPr>
          <w:rFonts w:ascii="Times New Roman" w:hAnsi="Times New Roman" w:cs="Times New Roman"/>
        </w:rPr>
        <w:t xml:space="preserve"> </w:t>
      </w:r>
      <w:r w:rsidR="00011D34">
        <w:rPr>
          <w:rFonts w:ascii="Times New Roman" w:hAnsi="Times New Roman" w:cs="Times New Roman"/>
        </w:rPr>
        <w:t>these two groups</w:t>
      </w:r>
      <w:r w:rsidR="000E51F8" w:rsidRPr="1EE1AA24">
        <w:rPr>
          <w:rFonts w:ascii="Times New Roman" w:hAnsi="Times New Roman" w:cs="Times New Roman"/>
        </w:rPr>
        <w:t xml:space="preserve"> </w:t>
      </w:r>
      <w:r w:rsidRPr="1EE1AA24">
        <w:rPr>
          <w:rFonts w:ascii="Times New Roman" w:hAnsi="Times New Roman" w:cs="Times New Roman"/>
        </w:rPr>
        <w:t>are summarised</w:t>
      </w:r>
      <w:r w:rsidR="000E51F8" w:rsidRPr="1EE1AA24">
        <w:rPr>
          <w:rFonts w:ascii="Times New Roman" w:hAnsi="Times New Roman" w:cs="Times New Roman"/>
        </w:rPr>
        <w:t xml:space="preserve"> in </w:t>
      </w:r>
      <w:r w:rsidR="005608BE">
        <w:rPr>
          <w:rFonts w:ascii="Times New Roman" w:hAnsi="Times New Roman" w:cs="Times New Roman"/>
          <w:b/>
          <w:bCs/>
        </w:rPr>
        <w:t>Table 3</w:t>
      </w:r>
      <w:r w:rsidR="000E51F8" w:rsidRPr="1EE1AA24">
        <w:rPr>
          <w:rFonts w:ascii="Times New Roman" w:hAnsi="Times New Roman" w:cs="Times New Roman"/>
        </w:rPr>
        <w:t xml:space="preserve">. </w:t>
      </w:r>
      <w:r w:rsidR="00157804">
        <w:rPr>
          <w:rFonts w:ascii="Times New Roman" w:hAnsi="Times New Roman" w:cs="Times New Roman"/>
        </w:rPr>
        <w:t xml:space="preserve">People with SMI </w:t>
      </w:r>
      <w:r w:rsidR="00FB6C1E" w:rsidRPr="1EE1AA24">
        <w:rPr>
          <w:rFonts w:ascii="Times New Roman" w:hAnsi="Times New Roman" w:cs="Times New Roman"/>
        </w:rPr>
        <w:t>had</w:t>
      </w:r>
      <w:r w:rsidR="00045074">
        <w:rPr>
          <w:rFonts w:ascii="Times New Roman" w:hAnsi="Times New Roman" w:cs="Times New Roman"/>
        </w:rPr>
        <w:t>,</w:t>
      </w:r>
      <w:r w:rsidR="00FB6C1E" w:rsidRPr="1EE1AA24">
        <w:rPr>
          <w:rFonts w:ascii="Times New Roman" w:hAnsi="Times New Roman" w:cs="Times New Roman"/>
        </w:rPr>
        <w:t xml:space="preserve"> </w:t>
      </w:r>
      <w:r w:rsidR="00A00C51">
        <w:rPr>
          <w:rFonts w:ascii="Times New Roman" w:hAnsi="Times New Roman" w:cs="Times New Roman"/>
        </w:rPr>
        <w:t>on average</w:t>
      </w:r>
      <w:r w:rsidR="00045074">
        <w:rPr>
          <w:rFonts w:ascii="Times New Roman" w:hAnsi="Times New Roman" w:cs="Times New Roman"/>
        </w:rPr>
        <w:t>,</w:t>
      </w:r>
      <w:r w:rsidR="00A00C51">
        <w:rPr>
          <w:rFonts w:ascii="Times New Roman" w:hAnsi="Times New Roman" w:cs="Times New Roman"/>
        </w:rPr>
        <w:t xml:space="preserve"> a higher number of</w:t>
      </w:r>
      <w:r w:rsidR="00A00C51" w:rsidRPr="1EE1AA24">
        <w:rPr>
          <w:rFonts w:ascii="Times New Roman" w:hAnsi="Times New Roman" w:cs="Times New Roman"/>
        </w:rPr>
        <w:t xml:space="preserve"> </w:t>
      </w:r>
      <w:r w:rsidR="00105AA0" w:rsidRPr="1EE1AA24">
        <w:rPr>
          <w:rFonts w:ascii="Times New Roman" w:hAnsi="Times New Roman" w:cs="Times New Roman"/>
        </w:rPr>
        <w:t xml:space="preserve">contacts with </w:t>
      </w:r>
      <w:r w:rsidR="001C01FE">
        <w:rPr>
          <w:rFonts w:ascii="Times New Roman" w:hAnsi="Times New Roman" w:cs="Times New Roman"/>
        </w:rPr>
        <w:t xml:space="preserve">primary care </w:t>
      </w:r>
      <w:r w:rsidR="00105AA0" w:rsidRPr="1EE1AA24">
        <w:rPr>
          <w:rFonts w:ascii="Times New Roman" w:hAnsi="Times New Roman" w:cs="Times New Roman"/>
        </w:rPr>
        <w:t xml:space="preserve">and </w:t>
      </w:r>
      <w:r w:rsidR="00E0091E">
        <w:rPr>
          <w:rFonts w:ascii="Times New Roman" w:hAnsi="Times New Roman" w:cs="Times New Roman"/>
        </w:rPr>
        <w:t>received more</w:t>
      </w:r>
      <w:r w:rsidR="00105AA0" w:rsidRPr="1EE1AA24">
        <w:rPr>
          <w:rFonts w:ascii="Times New Roman" w:hAnsi="Times New Roman" w:cs="Times New Roman"/>
        </w:rPr>
        <w:t xml:space="preserve"> </w:t>
      </w:r>
      <w:r w:rsidR="00617DAE" w:rsidRPr="1EE1AA24">
        <w:rPr>
          <w:rFonts w:ascii="Times New Roman" w:hAnsi="Times New Roman" w:cs="Times New Roman"/>
        </w:rPr>
        <w:t>hea</w:t>
      </w:r>
      <w:r w:rsidR="00617DAE">
        <w:rPr>
          <w:rFonts w:ascii="Times New Roman" w:hAnsi="Times New Roman" w:cs="Times New Roman"/>
        </w:rPr>
        <w:t>l</w:t>
      </w:r>
      <w:r w:rsidR="00617DAE" w:rsidRPr="1EE1AA24">
        <w:rPr>
          <w:rFonts w:ascii="Times New Roman" w:hAnsi="Times New Roman" w:cs="Times New Roman"/>
        </w:rPr>
        <w:t xml:space="preserve">th </w:t>
      </w:r>
      <w:r w:rsidR="00105AA0" w:rsidRPr="1EE1AA24">
        <w:rPr>
          <w:rFonts w:ascii="Times New Roman" w:hAnsi="Times New Roman" w:cs="Times New Roman"/>
        </w:rPr>
        <w:t xml:space="preserve">checks </w:t>
      </w:r>
      <w:r w:rsidR="00EB1DED">
        <w:rPr>
          <w:rFonts w:ascii="Times New Roman" w:hAnsi="Times New Roman" w:cs="Times New Roman"/>
        </w:rPr>
        <w:t>for</w:t>
      </w:r>
      <w:r w:rsidR="00EB1DED" w:rsidRPr="1EE1AA24">
        <w:rPr>
          <w:rFonts w:ascii="Times New Roman" w:hAnsi="Times New Roman" w:cs="Times New Roman"/>
        </w:rPr>
        <w:t xml:space="preserve"> </w:t>
      </w:r>
      <w:r w:rsidR="00105AA0" w:rsidRPr="1EE1AA24">
        <w:rPr>
          <w:rFonts w:ascii="Times New Roman" w:hAnsi="Times New Roman" w:cs="Times New Roman"/>
        </w:rPr>
        <w:t xml:space="preserve">BMI </w:t>
      </w:r>
      <w:r w:rsidR="00B4087C" w:rsidRPr="1EE1AA24">
        <w:rPr>
          <w:rFonts w:ascii="Times New Roman" w:hAnsi="Times New Roman" w:cs="Times New Roman"/>
        </w:rPr>
        <w:t xml:space="preserve">compared </w:t>
      </w:r>
      <w:r w:rsidR="00EB1DED">
        <w:rPr>
          <w:rFonts w:ascii="Times New Roman" w:hAnsi="Times New Roman" w:cs="Times New Roman"/>
        </w:rPr>
        <w:t>with</w:t>
      </w:r>
      <w:r w:rsidR="00B0563E">
        <w:rPr>
          <w:rFonts w:ascii="Times New Roman" w:hAnsi="Times New Roman" w:cs="Times New Roman"/>
        </w:rPr>
        <w:t xml:space="preserve"> </w:t>
      </w:r>
      <w:r w:rsidR="000773F5">
        <w:rPr>
          <w:rFonts w:ascii="Times New Roman" w:hAnsi="Times New Roman" w:cs="Times New Roman"/>
        </w:rPr>
        <w:t>those without SMI</w:t>
      </w:r>
      <w:r w:rsidR="00B4087C" w:rsidRPr="1EE1AA24">
        <w:rPr>
          <w:rFonts w:ascii="Times New Roman" w:hAnsi="Times New Roman" w:cs="Times New Roman"/>
        </w:rPr>
        <w:t xml:space="preserve">. </w:t>
      </w:r>
      <w:r w:rsidR="00105AA0" w:rsidRPr="1EE1AA24">
        <w:rPr>
          <w:rFonts w:ascii="Times New Roman" w:hAnsi="Times New Roman" w:cs="Times New Roman"/>
        </w:rPr>
        <w:t>The crude consultation rate was</w:t>
      </w:r>
      <w:r w:rsidR="00B4087C" w:rsidRPr="1EE1AA24">
        <w:rPr>
          <w:rFonts w:ascii="Times New Roman" w:hAnsi="Times New Roman" w:cs="Times New Roman"/>
        </w:rPr>
        <w:t xml:space="preserve"> </w:t>
      </w:r>
      <w:r w:rsidR="0096299F">
        <w:rPr>
          <w:rFonts w:ascii="Times New Roman" w:hAnsi="Times New Roman" w:cs="Times New Roman"/>
        </w:rPr>
        <w:t>13.7</w:t>
      </w:r>
      <w:r w:rsidR="00B4087C" w:rsidRPr="1EE1AA24">
        <w:rPr>
          <w:rFonts w:ascii="Times New Roman" w:hAnsi="Times New Roman" w:cs="Times New Roman"/>
        </w:rPr>
        <w:t xml:space="preserve"> </w:t>
      </w:r>
      <w:r w:rsidR="00105AA0" w:rsidRPr="1EE1AA24">
        <w:rPr>
          <w:rFonts w:ascii="Times New Roman" w:hAnsi="Times New Roman" w:cs="Times New Roman"/>
        </w:rPr>
        <w:t xml:space="preserve">per year for </w:t>
      </w:r>
      <w:r w:rsidR="00157804">
        <w:rPr>
          <w:rFonts w:ascii="Times New Roman" w:hAnsi="Times New Roman" w:cs="Times New Roman"/>
        </w:rPr>
        <w:t>people with SMI</w:t>
      </w:r>
      <w:r w:rsidR="00B4087C" w:rsidRPr="1EE1AA24">
        <w:rPr>
          <w:rFonts w:ascii="Times New Roman" w:hAnsi="Times New Roman" w:cs="Times New Roman"/>
        </w:rPr>
        <w:t xml:space="preserve"> including </w:t>
      </w:r>
      <w:r w:rsidR="0096299F">
        <w:rPr>
          <w:rFonts w:ascii="Times New Roman" w:hAnsi="Times New Roman" w:cs="Times New Roman"/>
        </w:rPr>
        <w:t>9.0</w:t>
      </w:r>
      <w:r w:rsidR="00B4087C" w:rsidRPr="1EE1AA24">
        <w:rPr>
          <w:rFonts w:ascii="Times New Roman" w:hAnsi="Times New Roman" w:cs="Times New Roman"/>
        </w:rPr>
        <w:t xml:space="preserve"> </w:t>
      </w:r>
      <w:r w:rsidR="00105AA0" w:rsidRPr="1EE1AA24">
        <w:rPr>
          <w:rFonts w:ascii="Times New Roman" w:hAnsi="Times New Roman" w:cs="Times New Roman"/>
        </w:rPr>
        <w:t xml:space="preserve">contacts </w:t>
      </w:r>
      <w:r w:rsidR="00B4087C" w:rsidRPr="1EE1AA24">
        <w:rPr>
          <w:rFonts w:ascii="Times New Roman" w:hAnsi="Times New Roman" w:cs="Times New Roman"/>
        </w:rPr>
        <w:t xml:space="preserve">with </w:t>
      </w:r>
      <w:r w:rsidR="001C01FE">
        <w:rPr>
          <w:rFonts w:ascii="Times New Roman" w:hAnsi="Times New Roman" w:cs="Times New Roman"/>
        </w:rPr>
        <w:t>primary care physicians</w:t>
      </w:r>
      <w:r w:rsidR="00B4087C" w:rsidRPr="1EE1AA24">
        <w:rPr>
          <w:rFonts w:ascii="Times New Roman" w:hAnsi="Times New Roman" w:cs="Times New Roman"/>
        </w:rPr>
        <w:t xml:space="preserve"> and </w:t>
      </w:r>
      <w:r w:rsidR="0096299F">
        <w:rPr>
          <w:rFonts w:ascii="Times New Roman" w:hAnsi="Times New Roman" w:cs="Times New Roman"/>
        </w:rPr>
        <w:t>4.7</w:t>
      </w:r>
      <w:r w:rsidR="00B4087C" w:rsidRPr="1EE1AA24">
        <w:rPr>
          <w:rFonts w:ascii="Times New Roman" w:hAnsi="Times New Roman" w:cs="Times New Roman"/>
        </w:rPr>
        <w:t xml:space="preserve"> with practice nurses</w:t>
      </w:r>
      <w:r w:rsidR="00105AA0" w:rsidRPr="1EE1AA24">
        <w:rPr>
          <w:rFonts w:ascii="Times New Roman" w:hAnsi="Times New Roman" w:cs="Times New Roman"/>
        </w:rPr>
        <w:t xml:space="preserve">. </w:t>
      </w:r>
      <w:r w:rsidR="00DD5D5C">
        <w:rPr>
          <w:rFonts w:ascii="Times New Roman" w:hAnsi="Times New Roman" w:cs="Times New Roman"/>
        </w:rPr>
        <w:t>R</w:t>
      </w:r>
      <w:r w:rsidR="00105AA0" w:rsidRPr="1EE1AA24">
        <w:rPr>
          <w:rFonts w:ascii="Times New Roman" w:hAnsi="Times New Roman" w:cs="Times New Roman"/>
        </w:rPr>
        <w:t>ate</w:t>
      </w:r>
      <w:r w:rsidRPr="1EE1AA24">
        <w:rPr>
          <w:rFonts w:ascii="Times New Roman" w:hAnsi="Times New Roman" w:cs="Times New Roman"/>
        </w:rPr>
        <w:t>s</w:t>
      </w:r>
      <w:r w:rsidR="00105AA0" w:rsidRPr="1EE1AA24">
        <w:rPr>
          <w:rFonts w:ascii="Times New Roman" w:hAnsi="Times New Roman" w:cs="Times New Roman"/>
        </w:rPr>
        <w:t xml:space="preserve"> </w:t>
      </w:r>
      <w:r w:rsidR="00725991" w:rsidRPr="1EE1AA24">
        <w:rPr>
          <w:rFonts w:ascii="Times New Roman" w:hAnsi="Times New Roman" w:cs="Times New Roman"/>
        </w:rPr>
        <w:t>w</w:t>
      </w:r>
      <w:r w:rsidRPr="1EE1AA24">
        <w:rPr>
          <w:rFonts w:ascii="Times New Roman" w:hAnsi="Times New Roman" w:cs="Times New Roman"/>
        </w:rPr>
        <w:t>ere</w:t>
      </w:r>
      <w:r w:rsidR="00725991" w:rsidRPr="1EE1AA24">
        <w:rPr>
          <w:rFonts w:ascii="Times New Roman" w:hAnsi="Times New Roman" w:cs="Times New Roman"/>
        </w:rPr>
        <w:t xml:space="preserve"> </w:t>
      </w:r>
      <w:r w:rsidRPr="1EE1AA24">
        <w:rPr>
          <w:rFonts w:ascii="Times New Roman" w:hAnsi="Times New Roman" w:cs="Times New Roman"/>
        </w:rPr>
        <w:t xml:space="preserve">respectively </w:t>
      </w:r>
      <w:r w:rsidR="0096299F">
        <w:rPr>
          <w:rFonts w:ascii="Times New Roman" w:hAnsi="Times New Roman" w:cs="Times New Roman"/>
        </w:rPr>
        <w:t>11.2</w:t>
      </w:r>
      <w:r w:rsidRPr="1EE1AA24">
        <w:rPr>
          <w:rFonts w:ascii="Times New Roman" w:hAnsi="Times New Roman" w:cs="Times New Roman"/>
        </w:rPr>
        <w:t xml:space="preserve">, </w:t>
      </w:r>
      <w:r w:rsidR="0096299F">
        <w:rPr>
          <w:rFonts w:ascii="Times New Roman" w:hAnsi="Times New Roman" w:cs="Times New Roman"/>
        </w:rPr>
        <w:t>6.9</w:t>
      </w:r>
      <w:r w:rsidRPr="1EE1AA24">
        <w:rPr>
          <w:rFonts w:ascii="Times New Roman" w:hAnsi="Times New Roman" w:cs="Times New Roman"/>
        </w:rPr>
        <w:t xml:space="preserve"> a</w:t>
      </w:r>
      <w:r w:rsidR="00105AA0" w:rsidRPr="1EE1AA24">
        <w:rPr>
          <w:rFonts w:ascii="Times New Roman" w:hAnsi="Times New Roman" w:cs="Times New Roman"/>
        </w:rPr>
        <w:t xml:space="preserve">nd </w:t>
      </w:r>
      <w:r w:rsidR="0096299F">
        <w:rPr>
          <w:rFonts w:ascii="Times New Roman" w:hAnsi="Times New Roman" w:cs="Times New Roman"/>
        </w:rPr>
        <w:t>4.3</w:t>
      </w:r>
      <w:r w:rsidRPr="1EE1AA24">
        <w:rPr>
          <w:rFonts w:ascii="Times New Roman" w:hAnsi="Times New Roman" w:cs="Times New Roman"/>
        </w:rPr>
        <w:t xml:space="preserve"> per year for </w:t>
      </w:r>
      <w:r w:rsidR="00157804">
        <w:rPr>
          <w:rFonts w:ascii="Times New Roman" w:hAnsi="Times New Roman" w:cs="Times New Roman"/>
        </w:rPr>
        <w:t>people without SMI</w:t>
      </w:r>
      <w:r w:rsidR="00105AA0" w:rsidRPr="1EE1AA24">
        <w:rPr>
          <w:rFonts w:ascii="Times New Roman" w:hAnsi="Times New Roman" w:cs="Times New Roman"/>
        </w:rPr>
        <w:t xml:space="preserve">. </w:t>
      </w:r>
      <w:r w:rsidR="00C26FBA">
        <w:rPr>
          <w:rFonts w:ascii="Times New Roman" w:hAnsi="Times New Roman" w:cs="Times New Roman"/>
        </w:rPr>
        <w:t xml:space="preserve">Frequency </w:t>
      </w:r>
      <w:r w:rsidRPr="1EE1AA24">
        <w:rPr>
          <w:rFonts w:ascii="Times New Roman" w:hAnsi="Times New Roman" w:cs="Times New Roman"/>
        </w:rPr>
        <w:t xml:space="preserve">of </w:t>
      </w:r>
      <w:r w:rsidR="00105AA0" w:rsidRPr="1EE1AA24">
        <w:rPr>
          <w:rFonts w:ascii="Times New Roman" w:hAnsi="Times New Roman" w:cs="Times New Roman"/>
        </w:rPr>
        <w:t xml:space="preserve">health checks </w:t>
      </w:r>
      <w:r w:rsidRPr="1EE1AA24">
        <w:rPr>
          <w:rFonts w:ascii="Times New Roman" w:hAnsi="Times New Roman" w:cs="Times New Roman"/>
        </w:rPr>
        <w:t xml:space="preserve">for </w:t>
      </w:r>
      <w:r w:rsidR="00105AA0" w:rsidRPr="1EE1AA24">
        <w:rPr>
          <w:rFonts w:ascii="Times New Roman" w:hAnsi="Times New Roman" w:cs="Times New Roman"/>
        </w:rPr>
        <w:t>HbA</w:t>
      </w:r>
      <w:r w:rsidR="00105AA0" w:rsidRPr="006C7746">
        <w:rPr>
          <w:rFonts w:ascii="Times New Roman" w:hAnsi="Times New Roman" w:cs="Times New Roman"/>
          <w:vertAlign w:val="subscript"/>
        </w:rPr>
        <w:t>1c</w:t>
      </w:r>
      <w:r w:rsidR="00105AA0" w:rsidRPr="1EE1AA24">
        <w:rPr>
          <w:rFonts w:ascii="Times New Roman" w:hAnsi="Times New Roman" w:cs="Times New Roman"/>
        </w:rPr>
        <w:t xml:space="preserve"> and cholesterol were similar</w:t>
      </w:r>
      <w:r w:rsidRPr="1EE1AA24">
        <w:rPr>
          <w:rFonts w:ascii="Times New Roman" w:hAnsi="Times New Roman" w:cs="Times New Roman"/>
        </w:rPr>
        <w:t xml:space="preserve"> in both groups</w:t>
      </w:r>
      <w:r w:rsidR="00105AA0" w:rsidRPr="1EE1AA24">
        <w:rPr>
          <w:rFonts w:ascii="Times New Roman" w:hAnsi="Times New Roman" w:cs="Times New Roman"/>
        </w:rPr>
        <w:t xml:space="preserve">, whereas blood pressure </w:t>
      </w:r>
      <w:r w:rsidR="00BC390B" w:rsidRPr="1EE1AA24">
        <w:rPr>
          <w:rFonts w:ascii="Times New Roman" w:hAnsi="Times New Roman" w:cs="Times New Roman"/>
        </w:rPr>
        <w:t xml:space="preserve">checks </w:t>
      </w:r>
      <w:r w:rsidR="00105AA0" w:rsidRPr="1EE1AA24">
        <w:rPr>
          <w:rFonts w:ascii="Times New Roman" w:hAnsi="Times New Roman" w:cs="Times New Roman"/>
        </w:rPr>
        <w:t xml:space="preserve">were </w:t>
      </w:r>
      <w:r w:rsidR="00725991" w:rsidRPr="1EE1AA24">
        <w:rPr>
          <w:rFonts w:ascii="Times New Roman" w:hAnsi="Times New Roman" w:cs="Times New Roman"/>
        </w:rPr>
        <w:t xml:space="preserve">less likely </w:t>
      </w:r>
      <w:r w:rsidR="00B0563E">
        <w:rPr>
          <w:rFonts w:ascii="Times New Roman" w:hAnsi="Times New Roman" w:cs="Times New Roman"/>
        </w:rPr>
        <w:t>for</w:t>
      </w:r>
      <w:r w:rsidR="00105AA0" w:rsidRPr="1EE1AA24">
        <w:rPr>
          <w:rFonts w:ascii="Times New Roman" w:hAnsi="Times New Roman" w:cs="Times New Roman"/>
        </w:rPr>
        <w:t xml:space="preserve"> </w:t>
      </w:r>
      <w:r w:rsidR="00157804">
        <w:rPr>
          <w:rFonts w:ascii="Times New Roman" w:hAnsi="Times New Roman" w:cs="Times New Roman"/>
        </w:rPr>
        <w:t>people with SMI</w:t>
      </w:r>
      <w:r w:rsidR="00105AA0" w:rsidRPr="1EE1AA24">
        <w:rPr>
          <w:rFonts w:ascii="Times New Roman" w:hAnsi="Times New Roman" w:cs="Times New Roman"/>
        </w:rPr>
        <w:t>.</w:t>
      </w:r>
    </w:p>
    <w:p w14:paraId="4004898A" w14:textId="75B6962D" w:rsidR="0064156F" w:rsidRDefault="009E40D7">
      <w:pPr>
        <w:jc w:val="both"/>
        <w:rPr>
          <w:rFonts w:ascii="Times New Roman" w:hAnsi="Times New Roman" w:cs="Times New Roman"/>
        </w:rPr>
      </w:pPr>
      <w:r>
        <w:rPr>
          <w:rFonts w:ascii="Times New Roman" w:hAnsi="Times New Roman" w:cs="Times New Roman"/>
        </w:rPr>
        <w:t xml:space="preserve">For </w:t>
      </w:r>
      <w:r w:rsidR="006673A3">
        <w:rPr>
          <w:rFonts w:ascii="Times New Roman" w:hAnsi="Times New Roman" w:cs="Times New Roman"/>
        </w:rPr>
        <w:t>CVD</w:t>
      </w:r>
      <w:r>
        <w:rPr>
          <w:rFonts w:ascii="Times New Roman" w:hAnsi="Times New Roman" w:cs="Times New Roman"/>
        </w:rPr>
        <w:t xml:space="preserve">, </w:t>
      </w:r>
      <w:r w:rsidR="000773F5">
        <w:rPr>
          <w:rFonts w:ascii="Times New Roman" w:hAnsi="Times New Roman" w:cs="Times New Roman"/>
        </w:rPr>
        <w:t>people with SMI</w:t>
      </w:r>
      <w:r>
        <w:rPr>
          <w:rFonts w:ascii="Times New Roman" w:hAnsi="Times New Roman" w:cs="Times New Roman"/>
        </w:rPr>
        <w:t xml:space="preserve"> </w:t>
      </w:r>
      <w:r w:rsidR="003855B6">
        <w:rPr>
          <w:rFonts w:ascii="Times New Roman" w:hAnsi="Times New Roman" w:cs="Times New Roman"/>
        </w:rPr>
        <w:t xml:space="preserve">had </w:t>
      </w:r>
      <w:r>
        <w:rPr>
          <w:rFonts w:ascii="Times New Roman" w:hAnsi="Times New Roman" w:cs="Times New Roman"/>
        </w:rPr>
        <w:t>lower crude risk</w:t>
      </w:r>
      <w:r w:rsidR="003855B6">
        <w:rPr>
          <w:rFonts w:ascii="Times New Roman" w:hAnsi="Times New Roman" w:cs="Times New Roman"/>
        </w:rPr>
        <w:t>s</w:t>
      </w:r>
      <w:r>
        <w:rPr>
          <w:rFonts w:ascii="Times New Roman" w:hAnsi="Times New Roman" w:cs="Times New Roman"/>
        </w:rPr>
        <w:t xml:space="preserve"> </w:t>
      </w:r>
      <w:r w:rsidR="0064156F">
        <w:rPr>
          <w:rFonts w:ascii="Times New Roman" w:hAnsi="Times New Roman" w:cs="Times New Roman"/>
        </w:rPr>
        <w:t>for MI, PVD, angina, chronic IHD and macrovascular complications. The crude prevalence of stroke</w:t>
      </w:r>
      <w:r w:rsidR="002410FB">
        <w:rPr>
          <w:rFonts w:ascii="Times New Roman" w:hAnsi="Times New Roman" w:cs="Times New Roman"/>
        </w:rPr>
        <w:t xml:space="preserve"> </w:t>
      </w:r>
      <w:r w:rsidR="0064156F">
        <w:rPr>
          <w:rFonts w:ascii="Times New Roman" w:hAnsi="Times New Roman" w:cs="Times New Roman"/>
        </w:rPr>
        <w:t xml:space="preserve">was higher in </w:t>
      </w:r>
      <w:r w:rsidR="000773F5">
        <w:rPr>
          <w:rFonts w:ascii="Times New Roman" w:hAnsi="Times New Roman" w:cs="Times New Roman"/>
        </w:rPr>
        <w:t>people with SMI than in people without SMI</w:t>
      </w:r>
      <w:r w:rsidR="0064156F">
        <w:rPr>
          <w:rFonts w:ascii="Times New Roman" w:hAnsi="Times New Roman" w:cs="Times New Roman"/>
        </w:rPr>
        <w:t xml:space="preserve">. </w:t>
      </w:r>
      <w:r w:rsidR="009E1BCE">
        <w:rPr>
          <w:rFonts w:ascii="Times New Roman" w:hAnsi="Times New Roman" w:cs="Times New Roman"/>
        </w:rPr>
        <w:t>H</w:t>
      </w:r>
      <w:r w:rsidR="0064156F">
        <w:rPr>
          <w:rFonts w:ascii="Times New Roman" w:hAnsi="Times New Roman" w:cs="Times New Roman"/>
        </w:rPr>
        <w:t xml:space="preserve">ospital admission rates </w:t>
      </w:r>
      <w:r w:rsidR="00BC390B">
        <w:rPr>
          <w:rFonts w:ascii="Times New Roman" w:hAnsi="Times New Roman" w:cs="Times New Roman"/>
        </w:rPr>
        <w:t xml:space="preserve">for </w:t>
      </w:r>
      <w:r w:rsidR="002005A9">
        <w:rPr>
          <w:rFonts w:ascii="Times New Roman" w:hAnsi="Times New Roman" w:cs="Times New Roman"/>
        </w:rPr>
        <w:t xml:space="preserve">these conditions </w:t>
      </w:r>
      <w:r w:rsidR="0064156F">
        <w:rPr>
          <w:rFonts w:ascii="Times New Roman" w:hAnsi="Times New Roman" w:cs="Times New Roman"/>
        </w:rPr>
        <w:t xml:space="preserve">were similar between </w:t>
      </w:r>
      <w:r w:rsidR="00B0563E">
        <w:rPr>
          <w:rFonts w:ascii="Times New Roman" w:hAnsi="Times New Roman" w:cs="Times New Roman"/>
        </w:rPr>
        <w:t xml:space="preserve">the </w:t>
      </w:r>
      <w:r w:rsidR="0064156F">
        <w:rPr>
          <w:rFonts w:ascii="Times New Roman" w:hAnsi="Times New Roman" w:cs="Times New Roman"/>
        </w:rPr>
        <w:t>groups, with</w:t>
      </w:r>
      <w:r w:rsidR="005820E7">
        <w:rPr>
          <w:rFonts w:ascii="Times New Roman" w:hAnsi="Times New Roman" w:cs="Times New Roman"/>
        </w:rPr>
        <w:t xml:space="preserve"> </w:t>
      </w:r>
      <w:r w:rsidR="0064156F">
        <w:rPr>
          <w:rFonts w:ascii="Times New Roman" w:hAnsi="Times New Roman" w:cs="Times New Roman"/>
        </w:rPr>
        <w:t xml:space="preserve">emergency admission rate slightly higher in </w:t>
      </w:r>
      <w:r w:rsidR="000773F5">
        <w:rPr>
          <w:rFonts w:ascii="Times New Roman" w:hAnsi="Times New Roman" w:cs="Times New Roman"/>
        </w:rPr>
        <w:t>those with SMI</w:t>
      </w:r>
      <w:r w:rsidR="0064156F">
        <w:rPr>
          <w:rFonts w:ascii="Times New Roman" w:hAnsi="Times New Roman" w:cs="Times New Roman"/>
        </w:rPr>
        <w:t xml:space="preserve">. </w:t>
      </w:r>
      <w:r w:rsidR="001E574C">
        <w:rPr>
          <w:rFonts w:ascii="Times New Roman" w:hAnsi="Times New Roman" w:cs="Times New Roman"/>
        </w:rPr>
        <w:t xml:space="preserve">All-cause and CVD-specific </w:t>
      </w:r>
      <w:r w:rsidR="002410FB">
        <w:rPr>
          <w:rFonts w:ascii="Times New Roman" w:hAnsi="Times New Roman" w:cs="Times New Roman"/>
        </w:rPr>
        <w:t>c</w:t>
      </w:r>
      <w:r w:rsidR="002005A9">
        <w:rPr>
          <w:rFonts w:ascii="Times New Roman" w:hAnsi="Times New Roman" w:cs="Times New Roman"/>
        </w:rPr>
        <w:t xml:space="preserve">rude mortality </w:t>
      </w:r>
      <w:r w:rsidR="002410FB">
        <w:rPr>
          <w:rFonts w:ascii="Times New Roman" w:hAnsi="Times New Roman" w:cs="Times New Roman"/>
        </w:rPr>
        <w:t xml:space="preserve">rates </w:t>
      </w:r>
      <w:r w:rsidR="002005A9">
        <w:rPr>
          <w:rFonts w:ascii="Times New Roman" w:hAnsi="Times New Roman" w:cs="Times New Roman"/>
        </w:rPr>
        <w:t xml:space="preserve">were higher </w:t>
      </w:r>
      <w:r w:rsidR="000773F5">
        <w:rPr>
          <w:rFonts w:ascii="Times New Roman" w:hAnsi="Times New Roman" w:cs="Times New Roman"/>
        </w:rPr>
        <w:t>in people with SMI</w:t>
      </w:r>
      <w:r w:rsidR="002005A9">
        <w:rPr>
          <w:rFonts w:ascii="Times New Roman" w:hAnsi="Times New Roman" w:cs="Times New Roman"/>
        </w:rPr>
        <w:t xml:space="preserve">. </w:t>
      </w:r>
    </w:p>
    <w:p w14:paraId="5771A8AF" w14:textId="0BEA7E4D" w:rsidR="00343FC3" w:rsidRDefault="005820E7">
      <w:pPr>
        <w:jc w:val="both"/>
        <w:rPr>
          <w:rFonts w:ascii="Times New Roman" w:hAnsi="Times New Roman" w:cs="Times New Roman"/>
        </w:rPr>
      </w:pPr>
      <w:r>
        <w:rPr>
          <w:rFonts w:ascii="Times New Roman" w:hAnsi="Times New Roman" w:cs="Times New Roman"/>
        </w:rPr>
        <w:t>Average serum cholesterol and HbA</w:t>
      </w:r>
      <w:r w:rsidRPr="006C7746">
        <w:rPr>
          <w:rFonts w:ascii="Times New Roman" w:hAnsi="Times New Roman" w:cs="Times New Roman"/>
          <w:vertAlign w:val="subscript"/>
        </w:rPr>
        <w:t>1c</w:t>
      </w:r>
      <w:r>
        <w:rPr>
          <w:rFonts w:ascii="Times New Roman" w:hAnsi="Times New Roman" w:cs="Times New Roman"/>
        </w:rPr>
        <w:t xml:space="preserve"> levels </w:t>
      </w:r>
      <w:r w:rsidR="005C71AB">
        <w:rPr>
          <w:rFonts w:ascii="Times New Roman" w:hAnsi="Times New Roman" w:cs="Times New Roman"/>
        </w:rPr>
        <w:t>declined between 2000/01 and 2006/7</w:t>
      </w:r>
      <w:r w:rsidR="002005A9" w:rsidRPr="00DD32A3">
        <w:rPr>
          <w:rFonts w:ascii="Times New Roman" w:hAnsi="Times New Roman" w:cs="Times New Roman"/>
        </w:rPr>
        <w:t xml:space="preserve"> </w:t>
      </w:r>
      <w:r w:rsidR="002005A9">
        <w:rPr>
          <w:rFonts w:ascii="Times New Roman" w:hAnsi="Times New Roman" w:cs="Times New Roman"/>
        </w:rPr>
        <w:t xml:space="preserve">for </w:t>
      </w:r>
      <w:r w:rsidR="0072608B">
        <w:rPr>
          <w:rFonts w:ascii="Times New Roman" w:hAnsi="Times New Roman" w:cs="Times New Roman"/>
        </w:rPr>
        <w:t>both groups</w:t>
      </w:r>
      <w:r w:rsidR="005C71AB">
        <w:rPr>
          <w:rFonts w:ascii="Times New Roman" w:hAnsi="Times New Roman" w:cs="Times New Roman"/>
        </w:rPr>
        <w:t>, and then remained relatively stable</w:t>
      </w:r>
      <w:r w:rsidR="00DE13DD">
        <w:rPr>
          <w:rFonts w:ascii="Times New Roman" w:hAnsi="Times New Roman" w:cs="Times New Roman"/>
        </w:rPr>
        <w:t xml:space="preserve"> thereafter</w:t>
      </w:r>
      <w:r>
        <w:rPr>
          <w:rFonts w:ascii="Times New Roman" w:hAnsi="Times New Roman" w:cs="Times New Roman"/>
        </w:rPr>
        <w:t xml:space="preserve">. </w:t>
      </w:r>
      <w:r w:rsidR="005C71AB">
        <w:rPr>
          <w:rFonts w:ascii="Times New Roman" w:hAnsi="Times New Roman" w:cs="Times New Roman"/>
        </w:rPr>
        <w:t xml:space="preserve">Average blood pressure levels declined throughout the study period, and </w:t>
      </w:r>
      <w:r w:rsidR="000773F5">
        <w:rPr>
          <w:rFonts w:ascii="Times New Roman" w:hAnsi="Times New Roman" w:cs="Times New Roman"/>
        </w:rPr>
        <w:t xml:space="preserve">people with SMI </w:t>
      </w:r>
      <w:r w:rsidR="003855B6">
        <w:rPr>
          <w:rFonts w:ascii="Times New Roman" w:hAnsi="Times New Roman" w:cs="Times New Roman"/>
        </w:rPr>
        <w:t>had</w:t>
      </w:r>
      <w:r w:rsidR="005C71AB">
        <w:rPr>
          <w:rFonts w:ascii="Times New Roman" w:hAnsi="Times New Roman" w:cs="Times New Roman"/>
        </w:rPr>
        <w:t xml:space="preserve"> lower levels at all time points (</w:t>
      </w:r>
      <w:r w:rsidR="005C71AB">
        <w:rPr>
          <w:rFonts w:ascii="Times New Roman" w:hAnsi="Times New Roman" w:cs="Times New Roman"/>
          <w:b/>
          <w:bCs/>
        </w:rPr>
        <w:t xml:space="preserve">Figure </w:t>
      </w:r>
      <w:r w:rsidR="00CE2060">
        <w:rPr>
          <w:rFonts w:ascii="Times New Roman" w:hAnsi="Times New Roman" w:cs="Times New Roman"/>
          <w:b/>
          <w:bCs/>
        </w:rPr>
        <w:t>1</w:t>
      </w:r>
      <w:r w:rsidR="005C71AB">
        <w:rPr>
          <w:rFonts w:ascii="Times New Roman" w:hAnsi="Times New Roman" w:cs="Times New Roman"/>
        </w:rPr>
        <w:t>)</w:t>
      </w:r>
      <w:r w:rsidR="00DD32A3" w:rsidRPr="00DD32A3">
        <w:rPr>
          <w:rFonts w:ascii="Times New Roman" w:hAnsi="Times New Roman" w:cs="Times New Roman"/>
        </w:rPr>
        <w:t xml:space="preserve">. </w:t>
      </w:r>
    </w:p>
    <w:p w14:paraId="6568B4EB" w14:textId="77777777" w:rsidR="00056F9E" w:rsidRDefault="00056F9E">
      <w:pPr>
        <w:jc w:val="both"/>
        <w:rPr>
          <w:rFonts w:ascii="Times New Roman" w:hAnsi="Times New Roman" w:cs="Times New Roman"/>
        </w:rPr>
      </w:pPr>
    </w:p>
    <w:p w14:paraId="75EFE7C7" w14:textId="3EF8AF45" w:rsidR="00356E53" w:rsidRPr="00356E53" w:rsidRDefault="001414EE">
      <w:pPr>
        <w:jc w:val="both"/>
        <w:rPr>
          <w:rFonts w:ascii="Times New Roman" w:hAnsi="Times New Roman" w:cs="Times New Roman"/>
          <w:i/>
        </w:rPr>
      </w:pPr>
      <w:r>
        <w:rPr>
          <w:rFonts w:ascii="Times New Roman" w:hAnsi="Times New Roman" w:cs="Times New Roman"/>
          <w:i/>
        </w:rPr>
        <w:t xml:space="preserve">Regression analyses </w:t>
      </w:r>
    </w:p>
    <w:p w14:paraId="00F22702" w14:textId="55D59CED" w:rsidR="00197069" w:rsidRDefault="0B4D85C8">
      <w:pPr>
        <w:jc w:val="both"/>
        <w:rPr>
          <w:rFonts w:ascii="Times New Roman" w:hAnsi="Times New Roman" w:cs="Times New Roman"/>
        </w:rPr>
      </w:pPr>
      <w:r w:rsidRPr="0B4D85C8">
        <w:rPr>
          <w:rFonts w:ascii="Times New Roman" w:hAnsi="Times New Roman" w:cs="Times New Roman"/>
        </w:rPr>
        <w:t xml:space="preserve">The adjusted impact of SMI on outcomes is summarised in </w:t>
      </w:r>
      <w:r w:rsidRPr="0B4D85C8">
        <w:rPr>
          <w:rFonts w:ascii="Times New Roman" w:hAnsi="Times New Roman" w:cs="Times New Roman"/>
          <w:b/>
          <w:bCs/>
        </w:rPr>
        <w:t>Table 4</w:t>
      </w:r>
      <w:r w:rsidRPr="0B4D85C8">
        <w:rPr>
          <w:rFonts w:ascii="Times New Roman" w:hAnsi="Times New Roman" w:cs="Times New Roman"/>
        </w:rPr>
        <w:t xml:space="preserve">. </w:t>
      </w:r>
      <w:r w:rsidR="004F307E">
        <w:rPr>
          <w:rFonts w:ascii="Times New Roman" w:hAnsi="Times New Roman" w:cs="Times New Roman"/>
        </w:rPr>
        <w:t>People with SMI</w:t>
      </w:r>
      <w:r w:rsidR="004F307E" w:rsidRPr="0B4D85C8">
        <w:rPr>
          <w:rFonts w:ascii="Times New Roman" w:hAnsi="Times New Roman" w:cs="Times New Roman"/>
        </w:rPr>
        <w:t xml:space="preserve"> </w:t>
      </w:r>
      <w:r w:rsidRPr="0B4D85C8">
        <w:rPr>
          <w:rFonts w:ascii="Times New Roman" w:hAnsi="Times New Roman" w:cs="Times New Roman"/>
        </w:rPr>
        <w:t xml:space="preserve">had higher </w:t>
      </w:r>
      <w:r w:rsidR="001E574C">
        <w:rPr>
          <w:rFonts w:ascii="Times New Roman" w:hAnsi="Times New Roman" w:cs="Times New Roman"/>
        </w:rPr>
        <w:t xml:space="preserve">primary care </w:t>
      </w:r>
      <w:r w:rsidRPr="0B4D85C8">
        <w:rPr>
          <w:rFonts w:ascii="Times New Roman" w:hAnsi="Times New Roman" w:cs="Times New Roman"/>
        </w:rPr>
        <w:t xml:space="preserve">consultation rates and were more likely to receive checks </w:t>
      </w:r>
      <w:r w:rsidR="00760D52">
        <w:rPr>
          <w:rFonts w:ascii="Times New Roman" w:hAnsi="Times New Roman" w:cs="Times New Roman"/>
        </w:rPr>
        <w:t>for</w:t>
      </w:r>
      <w:r w:rsidR="00760D52" w:rsidRPr="0B4D85C8">
        <w:rPr>
          <w:rFonts w:ascii="Times New Roman" w:hAnsi="Times New Roman" w:cs="Times New Roman"/>
        </w:rPr>
        <w:t xml:space="preserve"> </w:t>
      </w:r>
      <w:r w:rsidRPr="0B4D85C8">
        <w:rPr>
          <w:rFonts w:ascii="Times New Roman" w:hAnsi="Times New Roman" w:cs="Times New Roman"/>
        </w:rPr>
        <w:t>blood pressure, cholesterol and BMI. The estimated increase was 10% (Incidence Rate Ratio</w:t>
      </w:r>
      <w:r w:rsidR="00C8425A">
        <w:rPr>
          <w:rFonts w:ascii="Times New Roman" w:hAnsi="Times New Roman" w:cs="Times New Roman"/>
        </w:rPr>
        <w:t xml:space="preserve"> [</w:t>
      </w:r>
      <w:r w:rsidRPr="0B4D85C8">
        <w:rPr>
          <w:rFonts w:ascii="Times New Roman" w:hAnsi="Times New Roman" w:cs="Times New Roman"/>
        </w:rPr>
        <w:t>IRR</w:t>
      </w:r>
      <w:r w:rsidR="00C8425A">
        <w:rPr>
          <w:rFonts w:ascii="Times New Roman" w:hAnsi="Times New Roman" w:cs="Times New Roman"/>
        </w:rPr>
        <w:t>]</w:t>
      </w:r>
      <w:r w:rsidRPr="0B4D85C8">
        <w:rPr>
          <w:rFonts w:ascii="Times New Roman" w:hAnsi="Times New Roman" w:cs="Times New Roman"/>
        </w:rPr>
        <w:t xml:space="preserve">: 1.10; 95% CI: 1.07 to 1.13) for overall consultations, </w:t>
      </w:r>
      <w:r w:rsidR="001E574C">
        <w:rPr>
          <w:rFonts w:ascii="Times New Roman" w:hAnsi="Times New Roman" w:cs="Times New Roman"/>
        </w:rPr>
        <w:t xml:space="preserve">and </w:t>
      </w:r>
      <w:r w:rsidRPr="0B4D85C8">
        <w:rPr>
          <w:rFonts w:ascii="Times New Roman" w:hAnsi="Times New Roman" w:cs="Times New Roman"/>
        </w:rPr>
        <w:t xml:space="preserve">15% (IRR: 1.15; 1.11 to 1.19) for contacts with </w:t>
      </w:r>
      <w:r w:rsidR="001C01FE">
        <w:rPr>
          <w:rFonts w:ascii="Times New Roman" w:hAnsi="Times New Roman" w:cs="Times New Roman"/>
        </w:rPr>
        <w:t>primary care physicians</w:t>
      </w:r>
      <w:r w:rsidRPr="0B4D85C8">
        <w:rPr>
          <w:rFonts w:ascii="Times New Roman" w:hAnsi="Times New Roman" w:cs="Times New Roman"/>
        </w:rPr>
        <w:t xml:space="preserve">. </w:t>
      </w:r>
      <w:r w:rsidR="00760D52">
        <w:rPr>
          <w:rFonts w:ascii="Times New Roman" w:hAnsi="Times New Roman" w:cs="Times New Roman"/>
        </w:rPr>
        <w:t>C</w:t>
      </w:r>
      <w:r w:rsidRPr="0B4D85C8">
        <w:rPr>
          <w:rFonts w:ascii="Times New Roman" w:hAnsi="Times New Roman" w:cs="Times New Roman"/>
        </w:rPr>
        <w:t xml:space="preserve">hecks were increased by 2% (IRR: 1.02; 1.00 to 1.05) for blood pressure, 4% (IRR: 1.04; 1.02 to 1.06) for cholesterol and 7% (IRR: 1.07; 1.04 to 1.09) for BMI </w:t>
      </w:r>
      <w:r w:rsidR="001E574C">
        <w:rPr>
          <w:rFonts w:ascii="Times New Roman" w:hAnsi="Times New Roman" w:cs="Times New Roman"/>
        </w:rPr>
        <w:t xml:space="preserve">for </w:t>
      </w:r>
      <w:r w:rsidR="004F307E">
        <w:rPr>
          <w:rFonts w:ascii="Times New Roman" w:hAnsi="Times New Roman" w:cs="Times New Roman"/>
        </w:rPr>
        <w:t>people with SMI compared with those without SMI</w:t>
      </w:r>
      <w:r w:rsidRPr="0B4D85C8">
        <w:rPr>
          <w:rFonts w:ascii="Times New Roman" w:hAnsi="Times New Roman" w:cs="Times New Roman"/>
        </w:rPr>
        <w:t xml:space="preserve">. </w:t>
      </w:r>
    </w:p>
    <w:p w14:paraId="64CF195E" w14:textId="38B32E63" w:rsidR="00197069" w:rsidRDefault="004F307E">
      <w:pPr>
        <w:jc w:val="both"/>
        <w:rPr>
          <w:rFonts w:ascii="Times New Roman" w:hAnsi="Times New Roman" w:cs="Times New Roman"/>
        </w:rPr>
      </w:pPr>
      <w:r>
        <w:rPr>
          <w:rFonts w:ascii="Times New Roman" w:hAnsi="Times New Roman" w:cs="Times New Roman"/>
        </w:rPr>
        <w:t xml:space="preserve">People with SMI </w:t>
      </w:r>
      <w:r w:rsidR="00197069">
        <w:rPr>
          <w:rFonts w:ascii="Times New Roman" w:hAnsi="Times New Roman" w:cs="Times New Roman"/>
        </w:rPr>
        <w:t>were less likely to have a primary care diagnosis of angina (</w:t>
      </w:r>
      <w:r w:rsidR="00202731">
        <w:rPr>
          <w:rFonts w:ascii="Times New Roman" w:hAnsi="Times New Roman" w:cs="Times New Roman"/>
        </w:rPr>
        <w:t>Odds Ratio</w:t>
      </w:r>
      <w:r w:rsidR="00C8425A">
        <w:rPr>
          <w:rFonts w:ascii="Times New Roman" w:hAnsi="Times New Roman" w:cs="Times New Roman"/>
        </w:rPr>
        <w:t xml:space="preserve"> [</w:t>
      </w:r>
      <w:r w:rsidR="00197069">
        <w:rPr>
          <w:rFonts w:ascii="Times New Roman" w:hAnsi="Times New Roman" w:cs="Times New Roman"/>
        </w:rPr>
        <w:t>OR</w:t>
      </w:r>
      <w:r w:rsidR="00C8425A">
        <w:rPr>
          <w:rFonts w:ascii="Times New Roman" w:hAnsi="Times New Roman" w:cs="Times New Roman"/>
        </w:rPr>
        <w:t>]</w:t>
      </w:r>
      <w:r w:rsidR="00197069">
        <w:rPr>
          <w:rFonts w:ascii="Times New Roman" w:hAnsi="Times New Roman" w:cs="Times New Roman"/>
        </w:rPr>
        <w:t>: 0.67; 0.45</w:t>
      </w:r>
      <w:r w:rsidR="001046E8">
        <w:rPr>
          <w:rFonts w:ascii="Times New Roman" w:hAnsi="Times New Roman" w:cs="Times New Roman"/>
        </w:rPr>
        <w:t xml:space="preserve"> to </w:t>
      </w:r>
      <w:r w:rsidR="00197069">
        <w:rPr>
          <w:rFonts w:ascii="Times New Roman" w:hAnsi="Times New Roman" w:cs="Times New Roman"/>
        </w:rPr>
        <w:t xml:space="preserve">1.00) </w:t>
      </w:r>
      <w:r w:rsidR="001E574C">
        <w:rPr>
          <w:rFonts w:ascii="Times New Roman" w:hAnsi="Times New Roman" w:cs="Times New Roman"/>
        </w:rPr>
        <w:t xml:space="preserve">but </w:t>
      </w:r>
      <w:r w:rsidR="00197069">
        <w:rPr>
          <w:rFonts w:ascii="Times New Roman" w:hAnsi="Times New Roman" w:cs="Times New Roman"/>
        </w:rPr>
        <w:t xml:space="preserve">more likely to have a </w:t>
      </w:r>
      <w:r w:rsidR="00DD58C2">
        <w:rPr>
          <w:rFonts w:ascii="Times New Roman" w:hAnsi="Times New Roman" w:cs="Times New Roman"/>
        </w:rPr>
        <w:t xml:space="preserve">diagnosis of </w:t>
      </w:r>
      <w:r w:rsidR="001E574C">
        <w:rPr>
          <w:rFonts w:ascii="Times New Roman" w:hAnsi="Times New Roman" w:cs="Times New Roman"/>
        </w:rPr>
        <w:t xml:space="preserve">stroke </w:t>
      </w:r>
      <w:r w:rsidR="00197069">
        <w:rPr>
          <w:rFonts w:ascii="Times New Roman" w:hAnsi="Times New Roman" w:cs="Times New Roman"/>
        </w:rPr>
        <w:t>(OR: 1.38; 1.04</w:t>
      </w:r>
      <w:r w:rsidR="001046E8">
        <w:rPr>
          <w:rFonts w:ascii="Times New Roman" w:hAnsi="Times New Roman" w:cs="Times New Roman"/>
        </w:rPr>
        <w:t xml:space="preserve"> to </w:t>
      </w:r>
      <w:r w:rsidR="00197069">
        <w:rPr>
          <w:rFonts w:ascii="Times New Roman" w:hAnsi="Times New Roman" w:cs="Times New Roman"/>
        </w:rPr>
        <w:t>1.84).</w:t>
      </w:r>
      <w:r w:rsidR="006E502F">
        <w:rPr>
          <w:rFonts w:ascii="Times New Roman" w:hAnsi="Times New Roman" w:cs="Times New Roman"/>
        </w:rPr>
        <w:t xml:space="preserve"> </w:t>
      </w:r>
      <w:r w:rsidR="00DD58C2">
        <w:rPr>
          <w:rFonts w:ascii="Times New Roman" w:hAnsi="Times New Roman" w:cs="Times New Roman"/>
        </w:rPr>
        <w:t xml:space="preserve">For emergency admissions, </w:t>
      </w:r>
      <w:r>
        <w:rPr>
          <w:rFonts w:ascii="Times New Roman" w:hAnsi="Times New Roman" w:cs="Times New Roman"/>
        </w:rPr>
        <w:t xml:space="preserve">people with SMI </w:t>
      </w:r>
      <w:r w:rsidR="004053F0">
        <w:rPr>
          <w:rFonts w:ascii="Times New Roman" w:hAnsi="Times New Roman" w:cs="Times New Roman"/>
        </w:rPr>
        <w:t xml:space="preserve">had varied </w:t>
      </w:r>
      <w:r w:rsidR="00197069">
        <w:rPr>
          <w:rFonts w:ascii="Times New Roman" w:hAnsi="Times New Roman" w:cs="Times New Roman"/>
        </w:rPr>
        <w:t>risk</w:t>
      </w:r>
      <w:r w:rsidR="004053F0">
        <w:rPr>
          <w:rFonts w:ascii="Times New Roman" w:hAnsi="Times New Roman" w:cs="Times New Roman"/>
        </w:rPr>
        <w:t>s</w:t>
      </w:r>
      <w:r w:rsidR="00197069">
        <w:rPr>
          <w:rFonts w:ascii="Times New Roman" w:hAnsi="Times New Roman" w:cs="Times New Roman"/>
        </w:rPr>
        <w:t xml:space="preserve"> for different types of CVD, </w:t>
      </w:r>
      <w:r w:rsidR="004053F0">
        <w:rPr>
          <w:rFonts w:ascii="Times New Roman" w:hAnsi="Times New Roman" w:cs="Times New Roman"/>
        </w:rPr>
        <w:t>including</w:t>
      </w:r>
      <w:r w:rsidR="00197069">
        <w:rPr>
          <w:rFonts w:ascii="Times New Roman" w:hAnsi="Times New Roman" w:cs="Times New Roman"/>
        </w:rPr>
        <w:t xml:space="preserve"> increased risk for angina (IRR: 1.53; 1.07</w:t>
      </w:r>
      <w:r w:rsidR="001046E8">
        <w:rPr>
          <w:rFonts w:ascii="Times New Roman" w:hAnsi="Times New Roman" w:cs="Times New Roman"/>
        </w:rPr>
        <w:t xml:space="preserve"> to </w:t>
      </w:r>
      <w:r w:rsidR="00197069">
        <w:rPr>
          <w:rFonts w:ascii="Times New Roman" w:hAnsi="Times New Roman" w:cs="Times New Roman"/>
        </w:rPr>
        <w:t>2.20) and stroke (IRR: 1.44; 1.06</w:t>
      </w:r>
      <w:r w:rsidR="001046E8">
        <w:rPr>
          <w:rFonts w:ascii="Times New Roman" w:hAnsi="Times New Roman" w:cs="Times New Roman"/>
        </w:rPr>
        <w:t xml:space="preserve"> to </w:t>
      </w:r>
      <w:r w:rsidR="00197069">
        <w:rPr>
          <w:rFonts w:ascii="Times New Roman" w:hAnsi="Times New Roman" w:cs="Times New Roman"/>
        </w:rPr>
        <w:t>1.97) and decreased risk for MI (IRR: 0.68; 0.48</w:t>
      </w:r>
      <w:r w:rsidR="001046E8">
        <w:rPr>
          <w:rFonts w:ascii="Times New Roman" w:hAnsi="Times New Roman" w:cs="Times New Roman"/>
        </w:rPr>
        <w:t xml:space="preserve"> to </w:t>
      </w:r>
      <w:r w:rsidR="00197069">
        <w:rPr>
          <w:rFonts w:ascii="Times New Roman" w:hAnsi="Times New Roman" w:cs="Times New Roman"/>
        </w:rPr>
        <w:t xml:space="preserve">0.97). </w:t>
      </w:r>
      <w:r>
        <w:rPr>
          <w:rFonts w:ascii="Times New Roman" w:hAnsi="Times New Roman" w:cs="Times New Roman"/>
        </w:rPr>
        <w:t xml:space="preserve">These people </w:t>
      </w:r>
      <w:r w:rsidR="00197069">
        <w:rPr>
          <w:rFonts w:ascii="Times New Roman" w:hAnsi="Times New Roman" w:cs="Times New Roman"/>
        </w:rPr>
        <w:t>were less likely to have an elective admission for CVD (IRR: 0.64; 0.47</w:t>
      </w:r>
      <w:r w:rsidR="001046E8">
        <w:rPr>
          <w:rFonts w:ascii="Times New Roman" w:hAnsi="Times New Roman" w:cs="Times New Roman"/>
        </w:rPr>
        <w:t xml:space="preserve"> to </w:t>
      </w:r>
      <w:r w:rsidR="00197069">
        <w:rPr>
          <w:rFonts w:ascii="Times New Roman" w:hAnsi="Times New Roman" w:cs="Times New Roman"/>
        </w:rPr>
        <w:t>0.88)</w:t>
      </w:r>
      <w:r w:rsidR="004053F0">
        <w:rPr>
          <w:rFonts w:ascii="Times New Roman" w:hAnsi="Times New Roman" w:cs="Times New Roman"/>
        </w:rPr>
        <w:t xml:space="preserve"> and </w:t>
      </w:r>
      <w:r w:rsidR="00DE13DD">
        <w:rPr>
          <w:rFonts w:ascii="Times New Roman" w:hAnsi="Times New Roman" w:cs="Times New Roman"/>
        </w:rPr>
        <w:t xml:space="preserve">had lower admission rates for </w:t>
      </w:r>
      <w:r w:rsidR="00197069">
        <w:rPr>
          <w:rFonts w:ascii="Times New Roman" w:hAnsi="Times New Roman" w:cs="Times New Roman"/>
        </w:rPr>
        <w:t>chronic IHD (IRR: 0.68; 0.51</w:t>
      </w:r>
      <w:r w:rsidR="001046E8">
        <w:rPr>
          <w:rFonts w:ascii="Times New Roman" w:hAnsi="Times New Roman" w:cs="Times New Roman"/>
        </w:rPr>
        <w:t xml:space="preserve"> to </w:t>
      </w:r>
      <w:r w:rsidR="00197069">
        <w:rPr>
          <w:rFonts w:ascii="Times New Roman" w:hAnsi="Times New Roman" w:cs="Times New Roman"/>
        </w:rPr>
        <w:t xml:space="preserve">0.92) </w:t>
      </w:r>
      <w:r w:rsidR="001E574C">
        <w:rPr>
          <w:rFonts w:ascii="Times New Roman" w:hAnsi="Times New Roman" w:cs="Times New Roman"/>
        </w:rPr>
        <w:t xml:space="preserve">compared </w:t>
      </w:r>
      <w:r w:rsidR="00760D52">
        <w:rPr>
          <w:rFonts w:ascii="Times New Roman" w:hAnsi="Times New Roman" w:cs="Times New Roman"/>
        </w:rPr>
        <w:t>with</w:t>
      </w:r>
      <w:r w:rsidR="001E574C">
        <w:rPr>
          <w:rFonts w:ascii="Times New Roman" w:hAnsi="Times New Roman" w:cs="Times New Roman"/>
        </w:rPr>
        <w:t xml:space="preserve"> </w:t>
      </w:r>
      <w:r>
        <w:rPr>
          <w:rFonts w:ascii="Times New Roman" w:hAnsi="Times New Roman" w:cs="Times New Roman"/>
        </w:rPr>
        <w:t>People without SMI</w:t>
      </w:r>
      <w:r w:rsidR="00197069">
        <w:rPr>
          <w:rFonts w:ascii="Times New Roman" w:hAnsi="Times New Roman" w:cs="Times New Roman"/>
        </w:rPr>
        <w:t xml:space="preserve">. </w:t>
      </w:r>
    </w:p>
    <w:p w14:paraId="1CFE6BCE" w14:textId="04FCECE1" w:rsidR="00197069" w:rsidRDefault="006E502F">
      <w:pPr>
        <w:jc w:val="both"/>
        <w:rPr>
          <w:rFonts w:ascii="Times New Roman" w:hAnsi="Times New Roman" w:cs="Times New Roman"/>
        </w:rPr>
      </w:pPr>
      <w:r>
        <w:rPr>
          <w:rFonts w:ascii="Times New Roman" w:hAnsi="Times New Roman" w:cs="Times New Roman"/>
        </w:rPr>
        <w:t>T</w:t>
      </w:r>
      <w:r w:rsidR="00197069">
        <w:rPr>
          <w:rFonts w:ascii="Times New Roman" w:hAnsi="Times New Roman" w:cs="Times New Roman"/>
        </w:rPr>
        <w:t>he all-cause mortality rate was 92% higher (</w:t>
      </w:r>
      <w:r w:rsidR="00202731">
        <w:rPr>
          <w:rFonts w:ascii="Times New Roman" w:hAnsi="Times New Roman" w:cs="Times New Roman"/>
        </w:rPr>
        <w:t>Hazard Ratio</w:t>
      </w:r>
      <w:r w:rsidR="003B3A32">
        <w:rPr>
          <w:rFonts w:ascii="Times New Roman" w:hAnsi="Times New Roman" w:cs="Times New Roman"/>
        </w:rPr>
        <w:t xml:space="preserve"> [</w:t>
      </w:r>
      <w:r w:rsidR="00197069">
        <w:rPr>
          <w:rFonts w:ascii="Times New Roman" w:hAnsi="Times New Roman" w:cs="Times New Roman"/>
        </w:rPr>
        <w:t>HR: 1.92</w:t>
      </w:r>
      <w:r w:rsidR="003B3A32">
        <w:rPr>
          <w:rFonts w:ascii="Times New Roman" w:hAnsi="Times New Roman" w:cs="Times New Roman"/>
        </w:rPr>
        <w:t>]</w:t>
      </w:r>
      <w:r w:rsidR="00197069">
        <w:rPr>
          <w:rFonts w:ascii="Times New Roman" w:hAnsi="Times New Roman" w:cs="Times New Roman"/>
        </w:rPr>
        <w:t>; 1.60</w:t>
      </w:r>
      <w:r w:rsidR="001046E8">
        <w:rPr>
          <w:rFonts w:ascii="Times New Roman" w:hAnsi="Times New Roman" w:cs="Times New Roman"/>
        </w:rPr>
        <w:t xml:space="preserve"> to </w:t>
      </w:r>
      <w:r w:rsidR="00197069">
        <w:rPr>
          <w:rFonts w:ascii="Times New Roman" w:hAnsi="Times New Roman" w:cs="Times New Roman"/>
        </w:rPr>
        <w:t>2.30) and CVD-specific mortality rate 124% higher (HR: 2.24; 1.55</w:t>
      </w:r>
      <w:r w:rsidR="001046E8">
        <w:rPr>
          <w:rFonts w:ascii="Times New Roman" w:hAnsi="Times New Roman" w:cs="Times New Roman"/>
        </w:rPr>
        <w:t xml:space="preserve"> to </w:t>
      </w:r>
      <w:r w:rsidR="00197069">
        <w:rPr>
          <w:rFonts w:ascii="Times New Roman" w:hAnsi="Times New Roman" w:cs="Times New Roman"/>
        </w:rPr>
        <w:t>3.25)</w:t>
      </w:r>
      <w:r>
        <w:rPr>
          <w:rFonts w:ascii="Times New Roman" w:hAnsi="Times New Roman" w:cs="Times New Roman"/>
        </w:rPr>
        <w:t xml:space="preserve"> in </w:t>
      </w:r>
      <w:r w:rsidR="004F307E">
        <w:rPr>
          <w:rFonts w:ascii="Times New Roman" w:hAnsi="Times New Roman" w:cs="Times New Roman"/>
        </w:rPr>
        <w:t xml:space="preserve">people with SMI </w:t>
      </w:r>
      <w:r>
        <w:rPr>
          <w:rFonts w:ascii="Times New Roman" w:hAnsi="Times New Roman" w:cs="Times New Roman"/>
        </w:rPr>
        <w:t xml:space="preserve">compared </w:t>
      </w:r>
      <w:r w:rsidR="00760D52">
        <w:rPr>
          <w:rFonts w:ascii="Times New Roman" w:hAnsi="Times New Roman" w:cs="Times New Roman"/>
        </w:rPr>
        <w:t>with</w:t>
      </w:r>
      <w:r>
        <w:rPr>
          <w:rFonts w:ascii="Times New Roman" w:hAnsi="Times New Roman" w:cs="Times New Roman"/>
        </w:rPr>
        <w:t xml:space="preserve"> </w:t>
      </w:r>
      <w:r w:rsidR="004F307E">
        <w:rPr>
          <w:rFonts w:ascii="Times New Roman" w:hAnsi="Times New Roman" w:cs="Times New Roman"/>
        </w:rPr>
        <w:t xml:space="preserve">people without this condition. </w:t>
      </w:r>
      <w:r w:rsidR="00197069">
        <w:rPr>
          <w:rFonts w:ascii="Times New Roman" w:hAnsi="Times New Roman" w:cs="Times New Roman"/>
        </w:rPr>
        <w:t xml:space="preserve">  </w:t>
      </w:r>
    </w:p>
    <w:p w14:paraId="5847F6F9" w14:textId="0E2948A7" w:rsidR="00D04340" w:rsidRDefault="00174392">
      <w:pPr>
        <w:jc w:val="both"/>
        <w:rPr>
          <w:rFonts w:ascii="Times New Roman" w:hAnsi="Times New Roman" w:cs="Times New Roman"/>
        </w:rPr>
      </w:pPr>
      <w:r>
        <w:rPr>
          <w:rFonts w:ascii="Times New Roman" w:hAnsi="Times New Roman" w:cs="Times New Roman"/>
        </w:rPr>
        <w:t>Full r</w:t>
      </w:r>
      <w:r w:rsidR="00D04340" w:rsidRPr="1EE1AA24">
        <w:rPr>
          <w:rFonts w:ascii="Times New Roman" w:hAnsi="Times New Roman" w:cs="Times New Roman"/>
        </w:rPr>
        <w:t xml:space="preserve">esults of </w:t>
      </w:r>
      <w:r>
        <w:rPr>
          <w:rFonts w:ascii="Times New Roman" w:hAnsi="Times New Roman" w:cs="Times New Roman"/>
        </w:rPr>
        <w:t>adjusted</w:t>
      </w:r>
      <w:r w:rsidR="00D04340" w:rsidRPr="1EE1AA24">
        <w:rPr>
          <w:rFonts w:ascii="Times New Roman" w:hAnsi="Times New Roman" w:cs="Times New Roman"/>
        </w:rPr>
        <w:t xml:space="preserve"> models </w:t>
      </w:r>
      <w:r w:rsidR="00E344CE">
        <w:rPr>
          <w:rFonts w:ascii="Times New Roman" w:hAnsi="Times New Roman" w:cs="Times New Roman"/>
        </w:rPr>
        <w:t>are</w:t>
      </w:r>
      <w:r w:rsidR="00E344CE" w:rsidRPr="1EE1AA24">
        <w:rPr>
          <w:rFonts w:ascii="Times New Roman" w:hAnsi="Times New Roman" w:cs="Times New Roman"/>
        </w:rPr>
        <w:t xml:space="preserve"> </w:t>
      </w:r>
      <w:r w:rsidR="00D04340" w:rsidRPr="1EE1AA24">
        <w:rPr>
          <w:rFonts w:ascii="Times New Roman" w:hAnsi="Times New Roman" w:cs="Times New Roman"/>
        </w:rPr>
        <w:t xml:space="preserve">provided in </w:t>
      </w:r>
      <w:r w:rsidR="00056F9E">
        <w:rPr>
          <w:rFonts w:ascii="Times New Roman" w:hAnsi="Times New Roman" w:cs="Times New Roman"/>
          <w:b/>
          <w:bCs/>
        </w:rPr>
        <w:t>Supplementary Tables</w:t>
      </w:r>
      <w:r w:rsidR="00D04340" w:rsidRPr="00197069">
        <w:rPr>
          <w:rFonts w:ascii="Times New Roman" w:hAnsi="Times New Roman" w:cs="Times New Roman"/>
          <w:b/>
          <w:bCs/>
        </w:rPr>
        <w:t xml:space="preserve"> </w:t>
      </w:r>
      <w:r w:rsidR="00056F9E">
        <w:rPr>
          <w:rFonts w:ascii="Times New Roman" w:hAnsi="Times New Roman" w:cs="Times New Roman"/>
          <w:b/>
          <w:bCs/>
        </w:rPr>
        <w:t>S1-S6</w:t>
      </w:r>
      <w:r w:rsidR="00D04340" w:rsidRPr="1EE1AA24">
        <w:rPr>
          <w:rFonts w:ascii="Times New Roman" w:hAnsi="Times New Roman" w:cs="Times New Roman"/>
        </w:rPr>
        <w:t xml:space="preserve">. </w:t>
      </w:r>
      <w:r w:rsidR="001E574C">
        <w:rPr>
          <w:rFonts w:ascii="Times New Roman" w:hAnsi="Times New Roman" w:cs="Times New Roman"/>
        </w:rPr>
        <w:t>P</w:t>
      </w:r>
      <w:r w:rsidR="00D04340" w:rsidRPr="1EE1AA24">
        <w:rPr>
          <w:rFonts w:ascii="Times New Roman" w:hAnsi="Times New Roman" w:cs="Times New Roman"/>
        </w:rPr>
        <w:t xml:space="preserve">redictors for </w:t>
      </w:r>
      <w:r w:rsidR="000410EC">
        <w:rPr>
          <w:rFonts w:ascii="Times New Roman" w:hAnsi="Times New Roman" w:cs="Times New Roman"/>
        </w:rPr>
        <w:t>more frequent consultations</w:t>
      </w:r>
      <w:r w:rsidR="00D04340" w:rsidRPr="1EE1AA24">
        <w:rPr>
          <w:rFonts w:ascii="Times New Roman" w:hAnsi="Times New Roman" w:cs="Times New Roman"/>
        </w:rPr>
        <w:t xml:space="preserve"> were deprivation, longer duration of T2DM, comorbidity, and </w:t>
      </w:r>
      <w:r w:rsidR="00D90715">
        <w:rPr>
          <w:rFonts w:ascii="Times New Roman" w:hAnsi="Times New Roman" w:cs="Times New Roman"/>
        </w:rPr>
        <w:t>some</w:t>
      </w:r>
      <w:r w:rsidR="00D04340" w:rsidRPr="1EE1AA24">
        <w:rPr>
          <w:rFonts w:ascii="Times New Roman" w:hAnsi="Times New Roman" w:cs="Times New Roman"/>
        </w:rPr>
        <w:t xml:space="preserve"> medication</w:t>
      </w:r>
      <w:r w:rsidR="00D90715">
        <w:rPr>
          <w:rFonts w:ascii="Times New Roman" w:hAnsi="Times New Roman" w:cs="Times New Roman"/>
        </w:rPr>
        <w:t>s</w:t>
      </w:r>
      <w:r w:rsidR="00D04340" w:rsidRPr="1EE1AA24">
        <w:rPr>
          <w:rFonts w:ascii="Times New Roman" w:hAnsi="Times New Roman" w:cs="Times New Roman"/>
        </w:rPr>
        <w:t xml:space="preserve">. </w:t>
      </w:r>
      <w:r w:rsidR="001E574C">
        <w:rPr>
          <w:rFonts w:ascii="Times New Roman" w:hAnsi="Times New Roman" w:cs="Times New Roman"/>
        </w:rPr>
        <w:t>D</w:t>
      </w:r>
      <w:r w:rsidR="00D04340" w:rsidRPr="1EE1AA24">
        <w:rPr>
          <w:rFonts w:ascii="Times New Roman" w:hAnsi="Times New Roman" w:cs="Times New Roman"/>
        </w:rPr>
        <w:t xml:space="preserve">ementia was associated with </w:t>
      </w:r>
      <w:r w:rsidR="0076672A">
        <w:rPr>
          <w:rFonts w:ascii="Times New Roman" w:hAnsi="Times New Roman" w:cs="Times New Roman"/>
        </w:rPr>
        <w:t>fewer</w:t>
      </w:r>
      <w:r w:rsidR="00D04340" w:rsidRPr="1EE1AA24">
        <w:rPr>
          <w:rFonts w:ascii="Times New Roman" w:hAnsi="Times New Roman" w:cs="Times New Roman"/>
        </w:rPr>
        <w:t xml:space="preserve"> consultation</w:t>
      </w:r>
      <w:r w:rsidR="000410EC">
        <w:rPr>
          <w:rFonts w:ascii="Times New Roman" w:hAnsi="Times New Roman" w:cs="Times New Roman"/>
        </w:rPr>
        <w:t>s</w:t>
      </w:r>
      <w:r w:rsidR="00D04340" w:rsidRPr="1EE1AA24">
        <w:rPr>
          <w:rFonts w:ascii="Times New Roman" w:hAnsi="Times New Roman" w:cs="Times New Roman"/>
        </w:rPr>
        <w:t xml:space="preserve">. </w:t>
      </w:r>
      <w:r w:rsidR="00A4211C">
        <w:rPr>
          <w:rFonts w:ascii="Times New Roman" w:hAnsi="Times New Roman" w:cs="Times New Roman"/>
        </w:rPr>
        <w:t>H</w:t>
      </w:r>
      <w:r w:rsidR="00D04340" w:rsidRPr="1EE1AA24">
        <w:rPr>
          <w:rFonts w:ascii="Times New Roman" w:hAnsi="Times New Roman" w:cs="Times New Roman"/>
        </w:rPr>
        <w:t xml:space="preserve">igher </w:t>
      </w:r>
      <w:r w:rsidR="0033636E">
        <w:rPr>
          <w:rFonts w:ascii="Times New Roman" w:hAnsi="Times New Roman" w:cs="Times New Roman"/>
        </w:rPr>
        <w:t>frequencies</w:t>
      </w:r>
      <w:r w:rsidR="0076672A" w:rsidRPr="1EE1AA24">
        <w:rPr>
          <w:rFonts w:ascii="Times New Roman" w:hAnsi="Times New Roman" w:cs="Times New Roman"/>
        </w:rPr>
        <w:t xml:space="preserve"> </w:t>
      </w:r>
      <w:r w:rsidR="00A4211C">
        <w:rPr>
          <w:rFonts w:ascii="Times New Roman" w:hAnsi="Times New Roman" w:cs="Times New Roman"/>
        </w:rPr>
        <w:t xml:space="preserve">of </w:t>
      </w:r>
      <w:r w:rsidR="00A4211C" w:rsidRPr="1EE1AA24">
        <w:rPr>
          <w:rFonts w:ascii="Times New Roman" w:hAnsi="Times New Roman" w:cs="Times New Roman"/>
        </w:rPr>
        <w:t xml:space="preserve">health checks </w:t>
      </w:r>
      <w:r w:rsidR="00D04340" w:rsidRPr="1EE1AA24">
        <w:rPr>
          <w:rFonts w:ascii="Times New Roman" w:hAnsi="Times New Roman" w:cs="Times New Roman"/>
        </w:rPr>
        <w:t xml:space="preserve">were associated with </w:t>
      </w:r>
      <w:r w:rsidR="000410EC">
        <w:rPr>
          <w:rFonts w:ascii="Times New Roman" w:hAnsi="Times New Roman" w:cs="Times New Roman"/>
        </w:rPr>
        <w:t>less deprived status</w:t>
      </w:r>
      <w:r w:rsidR="00D04340" w:rsidRPr="1EE1AA24">
        <w:rPr>
          <w:rFonts w:ascii="Times New Roman" w:hAnsi="Times New Roman" w:cs="Times New Roman"/>
        </w:rPr>
        <w:t xml:space="preserve"> (for cholesterol and HbA</w:t>
      </w:r>
      <w:r w:rsidR="00D04340" w:rsidRPr="00BD4392">
        <w:rPr>
          <w:rFonts w:ascii="Times New Roman" w:hAnsi="Times New Roman" w:cs="Times New Roman"/>
          <w:vertAlign w:val="subscript"/>
        </w:rPr>
        <w:t>1c</w:t>
      </w:r>
      <w:r w:rsidR="00D04340" w:rsidRPr="1EE1AA24">
        <w:rPr>
          <w:rFonts w:ascii="Times New Roman" w:hAnsi="Times New Roman" w:cs="Times New Roman"/>
        </w:rPr>
        <w:t xml:space="preserve"> checks), </w:t>
      </w:r>
      <w:r w:rsidR="00EB7B60">
        <w:rPr>
          <w:rFonts w:ascii="Times New Roman" w:hAnsi="Times New Roman" w:cs="Times New Roman"/>
        </w:rPr>
        <w:t xml:space="preserve">Charlson </w:t>
      </w:r>
      <w:r w:rsidR="00D04340" w:rsidRPr="1EE1AA24">
        <w:rPr>
          <w:rFonts w:ascii="Times New Roman" w:hAnsi="Times New Roman" w:cs="Times New Roman"/>
        </w:rPr>
        <w:t>comorbidit</w:t>
      </w:r>
      <w:r w:rsidR="00C7616D">
        <w:rPr>
          <w:rFonts w:ascii="Times New Roman" w:hAnsi="Times New Roman" w:cs="Times New Roman"/>
        </w:rPr>
        <w:t>ies</w:t>
      </w:r>
      <w:r w:rsidR="002967B0">
        <w:rPr>
          <w:rFonts w:ascii="Times New Roman" w:hAnsi="Times New Roman" w:cs="Times New Roman"/>
        </w:rPr>
        <w:t xml:space="preserve">, </w:t>
      </w:r>
      <w:r w:rsidR="00C7616D">
        <w:rPr>
          <w:rFonts w:ascii="Times New Roman" w:hAnsi="Times New Roman" w:cs="Times New Roman"/>
        </w:rPr>
        <w:t>use of</w:t>
      </w:r>
      <w:r w:rsidR="00D04340" w:rsidRPr="1EE1AA24">
        <w:rPr>
          <w:rFonts w:ascii="Times New Roman" w:hAnsi="Times New Roman" w:cs="Times New Roman"/>
        </w:rPr>
        <w:t xml:space="preserve"> </w:t>
      </w:r>
      <w:r w:rsidR="52056C9A" w:rsidRPr="1EE1AA24">
        <w:rPr>
          <w:rFonts w:ascii="Times New Roman" w:hAnsi="Times New Roman" w:cs="Times New Roman"/>
        </w:rPr>
        <w:t>medications</w:t>
      </w:r>
      <w:r w:rsidR="002967B0">
        <w:rPr>
          <w:rFonts w:ascii="Times New Roman" w:hAnsi="Times New Roman" w:cs="Times New Roman"/>
        </w:rPr>
        <w:t>,</w:t>
      </w:r>
      <w:r w:rsidR="00D04340" w:rsidRPr="1EE1AA24">
        <w:rPr>
          <w:rFonts w:ascii="Times New Roman" w:hAnsi="Times New Roman" w:cs="Times New Roman"/>
        </w:rPr>
        <w:t xml:space="preserve"> obesity, family history of diabetes, </w:t>
      </w:r>
      <w:r w:rsidR="002967B0">
        <w:rPr>
          <w:rFonts w:ascii="Times New Roman" w:hAnsi="Times New Roman" w:cs="Times New Roman"/>
        </w:rPr>
        <w:t>and</w:t>
      </w:r>
      <w:r w:rsidR="00D04340" w:rsidRPr="1EE1AA24">
        <w:rPr>
          <w:rFonts w:ascii="Times New Roman" w:hAnsi="Times New Roman" w:cs="Times New Roman"/>
        </w:rPr>
        <w:t xml:space="preserve"> high</w:t>
      </w:r>
      <w:r w:rsidR="00C7616D">
        <w:rPr>
          <w:rFonts w:ascii="Times New Roman" w:hAnsi="Times New Roman" w:cs="Times New Roman"/>
        </w:rPr>
        <w:t>er</w:t>
      </w:r>
      <w:r w:rsidR="00D04340" w:rsidRPr="1EE1AA24">
        <w:rPr>
          <w:rFonts w:ascii="Times New Roman" w:hAnsi="Times New Roman" w:cs="Times New Roman"/>
        </w:rPr>
        <w:t xml:space="preserve"> biometric measures </w:t>
      </w:r>
      <w:r w:rsidR="00C7616D">
        <w:rPr>
          <w:rFonts w:ascii="Times New Roman" w:hAnsi="Times New Roman" w:cs="Times New Roman"/>
        </w:rPr>
        <w:t>at baseline</w:t>
      </w:r>
      <w:r w:rsidR="002967B0">
        <w:rPr>
          <w:rFonts w:ascii="Times New Roman" w:hAnsi="Times New Roman" w:cs="Times New Roman"/>
        </w:rPr>
        <w:t xml:space="preserve">. </w:t>
      </w:r>
      <w:r w:rsidR="00C7616D">
        <w:rPr>
          <w:rFonts w:ascii="Times New Roman" w:hAnsi="Times New Roman" w:cs="Times New Roman"/>
        </w:rPr>
        <w:t xml:space="preserve"> </w:t>
      </w:r>
    </w:p>
    <w:p w14:paraId="44DC8611" w14:textId="37E629FF" w:rsidR="0033636E" w:rsidRDefault="007052E9">
      <w:pPr>
        <w:jc w:val="both"/>
        <w:rPr>
          <w:rFonts w:ascii="Times New Roman" w:hAnsi="Times New Roman" w:cs="Times New Roman"/>
        </w:rPr>
      </w:pPr>
      <w:r>
        <w:rPr>
          <w:rFonts w:ascii="Times New Roman" w:hAnsi="Times New Roman" w:cs="Times New Roman"/>
        </w:rPr>
        <w:t xml:space="preserve">History </w:t>
      </w:r>
      <w:r w:rsidR="0033636E" w:rsidRPr="1EE1AA24">
        <w:rPr>
          <w:rFonts w:ascii="Times New Roman" w:hAnsi="Times New Roman" w:cs="Times New Roman"/>
        </w:rPr>
        <w:t xml:space="preserve">of </w:t>
      </w:r>
      <w:r w:rsidR="0033636E">
        <w:rPr>
          <w:rFonts w:ascii="Times New Roman" w:hAnsi="Times New Roman" w:cs="Times New Roman"/>
        </w:rPr>
        <w:t xml:space="preserve">CVD </w:t>
      </w:r>
      <w:r w:rsidR="0033636E" w:rsidRPr="1EE1AA24">
        <w:rPr>
          <w:rFonts w:ascii="Times New Roman" w:hAnsi="Times New Roman" w:cs="Times New Roman"/>
        </w:rPr>
        <w:t xml:space="preserve">and use of lipid lowering </w:t>
      </w:r>
      <w:r w:rsidR="0033636E">
        <w:rPr>
          <w:rFonts w:ascii="Times New Roman" w:hAnsi="Times New Roman" w:cs="Times New Roman"/>
        </w:rPr>
        <w:t>medications</w:t>
      </w:r>
      <w:r w:rsidR="0033636E" w:rsidRPr="1EE1AA24">
        <w:rPr>
          <w:rFonts w:ascii="Times New Roman" w:hAnsi="Times New Roman" w:cs="Times New Roman"/>
        </w:rPr>
        <w:t xml:space="preserve"> were the strongest predictors for future </w:t>
      </w:r>
      <w:r w:rsidR="0033636E">
        <w:rPr>
          <w:rFonts w:ascii="Times New Roman" w:hAnsi="Times New Roman" w:cs="Times New Roman"/>
        </w:rPr>
        <w:t xml:space="preserve">CVD </w:t>
      </w:r>
      <w:r w:rsidR="0033636E" w:rsidRPr="1EE1AA24">
        <w:rPr>
          <w:rFonts w:ascii="Times New Roman" w:hAnsi="Times New Roman" w:cs="Times New Roman"/>
        </w:rPr>
        <w:t>events such as hospital admission</w:t>
      </w:r>
      <w:r w:rsidR="002E40AE">
        <w:rPr>
          <w:rFonts w:ascii="Times New Roman" w:hAnsi="Times New Roman" w:cs="Times New Roman"/>
        </w:rPr>
        <w:t>s</w:t>
      </w:r>
      <w:r w:rsidR="0033636E" w:rsidRPr="1EE1AA24">
        <w:rPr>
          <w:rFonts w:ascii="Times New Roman" w:hAnsi="Times New Roman" w:cs="Times New Roman"/>
        </w:rPr>
        <w:t xml:space="preserve">. Baseline antihypertensive </w:t>
      </w:r>
      <w:r w:rsidR="004F307E">
        <w:rPr>
          <w:rFonts w:ascii="Times New Roman" w:hAnsi="Times New Roman" w:cs="Times New Roman"/>
        </w:rPr>
        <w:t>prescriptions</w:t>
      </w:r>
      <w:r w:rsidR="004F307E" w:rsidRPr="1EE1AA24">
        <w:rPr>
          <w:rFonts w:ascii="Times New Roman" w:hAnsi="Times New Roman" w:cs="Times New Roman"/>
        </w:rPr>
        <w:t xml:space="preserve"> </w:t>
      </w:r>
      <w:r w:rsidR="0033636E">
        <w:rPr>
          <w:rFonts w:ascii="Times New Roman" w:hAnsi="Times New Roman" w:cs="Times New Roman"/>
        </w:rPr>
        <w:t>were</w:t>
      </w:r>
      <w:r w:rsidR="0033636E" w:rsidRPr="1EE1AA24">
        <w:rPr>
          <w:rFonts w:ascii="Times New Roman" w:hAnsi="Times New Roman" w:cs="Times New Roman"/>
        </w:rPr>
        <w:t xml:space="preserve"> associated with increased risk of hospital admission for angina and stroke. Longer duration of T2DM was associated with increased risk of </w:t>
      </w:r>
      <w:r w:rsidR="0033636E">
        <w:rPr>
          <w:rFonts w:ascii="Times New Roman" w:hAnsi="Times New Roman" w:cs="Times New Roman"/>
        </w:rPr>
        <w:t xml:space="preserve">CVD </w:t>
      </w:r>
      <w:r w:rsidR="0033636E" w:rsidRPr="1EE1AA24">
        <w:rPr>
          <w:rFonts w:ascii="Times New Roman" w:hAnsi="Times New Roman" w:cs="Times New Roman"/>
        </w:rPr>
        <w:t>admission</w:t>
      </w:r>
      <w:r w:rsidR="0033636E">
        <w:rPr>
          <w:rFonts w:ascii="Times New Roman" w:hAnsi="Times New Roman" w:cs="Times New Roman"/>
        </w:rPr>
        <w:t>s, whilst</w:t>
      </w:r>
      <w:r w:rsidR="0033636E" w:rsidRPr="1EE1AA24">
        <w:rPr>
          <w:rFonts w:ascii="Times New Roman" w:hAnsi="Times New Roman" w:cs="Times New Roman"/>
        </w:rPr>
        <w:t xml:space="preserve"> deprivation, history of </w:t>
      </w:r>
      <w:r w:rsidR="0033636E">
        <w:rPr>
          <w:rFonts w:ascii="Times New Roman" w:hAnsi="Times New Roman" w:cs="Times New Roman"/>
        </w:rPr>
        <w:t>CVD</w:t>
      </w:r>
      <w:r w:rsidR="0033636E" w:rsidRPr="1EE1AA24">
        <w:rPr>
          <w:rFonts w:ascii="Times New Roman" w:hAnsi="Times New Roman" w:cs="Times New Roman"/>
        </w:rPr>
        <w:t xml:space="preserve"> and </w:t>
      </w:r>
      <w:r w:rsidR="0033636E">
        <w:rPr>
          <w:rFonts w:ascii="Times New Roman" w:hAnsi="Times New Roman" w:cs="Times New Roman"/>
        </w:rPr>
        <w:t xml:space="preserve">the presence of </w:t>
      </w:r>
      <w:r w:rsidR="0033636E" w:rsidRPr="1EE1AA24">
        <w:rPr>
          <w:rFonts w:ascii="Times New Roman" w:hAnsi="Times New Roman" w:cs="Times New Roman"/>
        </w:rPr>
        <w:t>comorbidit</w:t>
      </w:r>
      <w:r w:rsidR="0033636E">
        <w:rPr>
          <w:rFonts w:ascii="Times New Roman" w:hAnsi="Times New Roman" w:cs="Times New Roman"/>
        </w:rPr>
        <w:t>ies were associated with increased risk of all</w:t>
      </w:r>
      <w:r w:rsidR="0033636E" w:rsidRPr="1EE1AA24">
        <w:rPr>
          <w:rFonts w:ascii="Times New Roman" w:hAnsi="Times New Roman" w:cs="Times New Roman"/>
        </w:rPr>
        <w:t>-cause mortality</w:t>
      </w:r>
      <w:r w:rsidR="0033636E">
        <w:rPr>
          <w:rFonts w:ascii="Times New Roman" w:hAnsi="Times New Roman" w:cs="Times New Roman"/>
        </w:rPr>
        <w:t>.</w:t>
      </w:r>
    </w:p>
    <w:p w14:paraId="5B741BC7" w14:textId="77777777" w:rsidR="0086436F" w:rsidRDefault="0086436F">
      <w:pPr>
        <w:jc w:val="both"/>
        <w:rPr>
          <w:rFonts w:ascii="Times New Roman" w:hAnsi="Times New Roman" w:cs="Times New Roman"/>
        </w:rPr>
      </w:pPr>
    </w:p>
    <w:p w14:paraId="7C23188A" w14:textId="38739335" w:rsidR="00EB09BA" w:rsidRPr="00A362B3" w:rsidRDefault="003137DA">
      <w:pPr>
        <w:jc w:val="both"/>
        <w:rPr>
          <w:rFonts w:ascii="Times New Roman" w:hAnsi="Times New Roman" w:cs="Times New Roman"/>
          <w:b/>
        </w:rPr>
      </w:pPr>
      <w:r>
        <w:rPr>
          <w:rFonts w:ascii="Times New Roman" w:hAnsi="Times New Roman" w:cs="Times New Roman"/>
          <w:b/>
        </w:rPr>
        <w:t>Discussion</w:t>
      </w:r>
    </w:p>
    <w:p w14:paraId="4614F92A" w14:textId="77777777" w:rsidR="0033636E" w:rsidRPr="00EB09BA" w:rsidRDefault="0033636E">
      <w:pPr>
        <w:jc w:val="both"/>
        <w:rPr>
          <w:rFonts w:ascii="Times New Roman" w:hAnsi="Times New Roman" w:cs="Times New Roman"/>
          <w:i/>
          <w:iCs/>
        </w:rPr>
      </w:pPr>
      <w:r>
        <w:rPr>
          <w:rFonts w:ascii="Times New Roman" w:hAnsi="Times New Roman" w:cs="Times New Roman"/>
          <w:i/>
          <w:iCs/>
        </w:rPr>
        <w:t>Summary</w:t>
      </w:r>
    </w:p>
    <w:p w14:paraId="26FBF518" w14:textId="73D7EB6C" w:rsidR="00EE5EC4" w:rsidRDefault="0033636E">
      <w:pPr>
        <w:jc w:val="both"/>
        <w:rPr>
          <w:rFonts w:ascii="Times New Roman" w:hAnsi="Times New Roman" w:cs="Times New Roman"/>
        </w:rPr>
      </w:pPr>
      <w:r>
        <w:rPr>
          <w:rFonts w:ascii="Times New Roman" w:hAnsi="Times New Roman" w:cs="Times New Roman"/>
        </w:rPr>
        <w:t>After adjusting for confounders, we found no evidence that people with SMI and diabetes experienced reduced access to routine primary care such as consultations and physical health checks than people with diabetes alone. People with SMI were, however, more likely to be socio-economically disadvantaged and to have some recorded conditions (e.g. dementia), and less likely to have others (e.g. physical comorbidity).  Despite this, there were complex associations between SMI and the risk of CVD outcomes across diagnosis groups and healthcare settings. Recorded prevalence of angina was lower for people with SMI, as were elective hospital admission rates for CVD and emergency admission rates for MI. In contrast, emergency hospital admission rates for angina and stroke were substantially higher. Finally, people with SMI</w:t>
      </w:r>
      <w:r w:rsidRPr="1EE1AA24">
        <w:rPr>
          <w:rFonts w:ascii="Times New Roman" w:hAnsi="Times New Roman" w:cs="Times New Roman"/>
        </w:rPr>
        <w:t xml:space="preserve"> </w:t>
      </w:r>
      <w:r>
        <w:rPr>
          <w:rFonts w:ascii="Times New Roman" w:hAnsi="Times New Roman" w:cs="Times New Roman"/>
        </w:rPr>
        <w:t xml:space="preserve">were more likely to die compared with </w:t>
      </w:r>
      <w:r w:rsidR="00B40699">
        <w:rPr>
          <w:rFonts w:ascii="Times New Roman" w:hAnsi="Times New Roman" w:cs="Times New Roman"/>
        </w:rPr>
        <w:t>those without SMI</w:t>
      </w:r>
      <w:r>
        <w:rPr>
          <w:rFonts w:ascii="Times New Roman" w:hAnsi="Times New Roman" w:cs="Times New Roman"/>
        </w:rPr>
        <w:t>, with more than double the risk of CVD-related mortality.</w:t>
      </w:r>
    </w:p>
    <w:p w14:paraId="2AF65716" w14:textId="77777777" w:rsidR="00EE5EC4" w:rsidRDefault="00EE5EC4" w:rsidP="00EE5EC4">
      <w:pPr>
        <w:jc w:val="both"/>
        <w:rPr>
          <w:rFonts w:ascii="Times New Roman" w:hAnsi="Times New Roman" w:cs="Times New Roman"/>
          <w:i/>
          <w:iCs/>
        </w:rPr>
      </w:pPr>
    </w:p>
    <w:p w14:paraId="4777B7C4" w14:textId="26A77F3A" w:rsidR="00EE5EC4" w:rsidRPr="00EC6E31" w:rsidRDefault="0033636E" w:rsidP="00EE5EC4">
      <w:pPr>
        <w:jc w:val="both"/>
        <w:rPr>
          <w:rFonts w:ascii="Times New Roman" w:hAnsi="Times New Roman" w:cs="Times New Roman"/>
          <w:i/>
          <w:iCs/>
        </w:rPr>
      </w:pPr>
      <w:r w:rsidRPr="00EC6E31">
        <w:rPr>
          <w:rFonts w:ascii="Times New Roman" w:hAnsi="Times New Roman" w:cs="Times New Roman"/>
          <w:i/>
          <w:iCs/>
        </w:rPr>
        <w:t>Strengths and limitations</w:t>
      </w:r>
    </w:p>
    <w:p w14:paraId="0813282D" w14:textId="3F2B3866" w:rsidR="0033636E" w:rsidRDefault="0033636E" w:rsidP="00EE5EC4">
      <w:pPr>
        <w:autoSpaceDE w:val="0"/>
        <w:autoSpaceDN w:val="0"/>
        <w:adjustRightInd w:val="0"/>
        <w:jc w:val="both"/>
        <w:rPr>
          <w:rFonts w:ascii="Times New Roman" w:hAnsi="Times New Roman" w:cs="Times New Roman"/>
        </w:rPr>
      </w:pPr>
      <w:r w:rsidRPr="00EC6E31">
        <w:rPr>
          <w:rFonts w:ascii="Times New Roman" w:hAnsi="Times New Roman" w:cs="Times New Roman"/>
        </w:rPr>
        <w:t xml:space="preserve">We analysed a large, linked longitudinal dataset of individual primary care records, allowing study of multiple elements along the care pathway for diabetes and CVD, and our matched </w:t>
      </w:r>
      <w:r w:rsidR="00B40699" w:rsidRPr="00EC6E31">
        <w:rPr>
          <w:rFonts w:ascii="Times New Roman" w:hAnsi="Times New Roman" w:cs="Times New Roman"/>
        </w:rPr>
        <w:t xml:space="preserve">nested </w:t>
      </w:r>
      <w:r w:rsidRPr="00EC6E31">
        <w:rPr>
          <w:rFonts w:ascii="Times New Roman" w:hAnsi="Times New Roman" w:cs="Times New Roman"/>
        </w:rPr>
        <w:t xml:space="preserve">case-control study design and application of ‘within’ estimators reduced the impact of unobserved confounders. </w:t>
      </w:r>
      <w:r w:rsidR="00BD2836" w:rsidRPr="00EC6E31">
        <w:rPr>
          <w:rFonts w:ascii="Times New Roman" w:hAnsi="Times New Roman" w:cs="Times New Roman"/>
        </w:rPr>
        <w:t xml:space="preserve">Our interrogation of multiple diagnosis groups can be considered as sensitivity checks of our key findings, and the adjustment of medication </w:t>
      </w:r>
      <w:r w:rsidR="00B40699" w:rsidRPr="00EC6E31">
        <w:rPr>
          <w:rFonts w:ascii="Times New Roman" w:hAnsi="Times New Roman" w:cs="Times New Roman"/>
        </w:rPr>
        <w:t xml:space="preserve">prescriptions </w:t>
      </w:r>
      <w:r w:rsidR="00BD2836" w:rsidRPr="00EC6E31">
        <w:rPr>
          <w:rFonts w:ascii="Times New Roman" w:hAnsi="Times New Roman" w:cs="Times New Roman"/>
        </w:rPr>
        <w:t>has improved the identification of comorbidities, particularly for the physical long-term conditions in people with SMI. Furthermore, patient characteristics in this database have been shown to be broadly representative of the general UK population in terms of age, sex and ethnicity,</w:t>
      </w:r>
      <w:r w:rsidR="00B40699" w:rsidRPr="00EC6E31">
        <w:rPr>
          <w:rFonts w:ascii="Times New Roman" w:hAnsi="Times New Roman" w:cs="Times New Roman"/>
          <w:vertAlign w:val="superscript"/>
        </w:rPr>
        <w:t>22</w:t>
      </w:r>
      <w:r w:rsidR="00BD2836" w:rsidRPr="00EC6E31">
        <w:rPr>
          <w:rFonts w:ascii="Times New Roman" w:hAnsi="Times New Roman" w:cs="Times New Roman"/>
        </w:rPr>
        <w:t xml:space="preserve"> meaning our findings are likely to have wider generalisability.</w:t>
      </w:r>
      <w:r w:rsidR="00BD2836">
        <w:rPr>
          <w:rFonts w:ascii="Times New Roman" w:hAnsi="Times New Roman" w:cs="Times New Roman"/>
        </w:rPr>
        <w:t xml:space="preserve"> </w:t>
      </w:r>
    </w:p>
    <w:p w14:paraId="542BED4F" w14:textId="77777777" w:rsidR="00BD2836" w:rsidRDefault="00BD2836" w:rsidP="00EE5EC4">
      <w:pPr>
        <w:autoSpaceDE w:val="0"/>
        <w:autoSpaceDN w:val="0"/>
        <w:adjustRightInd w:val="0"/>
        <w:jc w:val="both"/>
        <w:rPr>
          <w:rFonts w:ascii="Times New Roman" w:hAnsi="Times New Roman" w:cs="Times New Roman"/>
        </w:rPr>
      </w:pPr>
    </w:p>
    <w:p w14:paraId="61F8F840" w14:textId="49A685C7" w:rsidR="0033636E" w:rsidRDefault="0033636E" w:rsidP="00EE5EC4">
      <w:pPr>
        <w:jc w:val="both"/>
        <w:rPr>
          <w:rFonts w:ascii="Times New Roman" w:hAnsi="Times New Roman" w:cs="Times New Roman"/>
          <w:bCs/>
        </w:rPr>
      </w:pPr>
      <w:r>
        <w:rPr>
          <w:rFonts w:ascii="Times New Roman" w:hAnsi="Times New Roman" w:cs="Times New Roman"/>
          <w:bCs/>
        </w:rPr>
        <w:t xml:space="preserve">As with all </w:t>
      </w:r>
      <w:r w:rsidRPr="00981E66">
        <w:rPr>
          <w:rFonts w:ascii="Times New Roman" w:hAnsi="Times New Roman" w:cs="Times New Roman"/>
          <w:bCs/>
        </w:rPr>
        <w:t xml:space="preserve">studies using routine healthcare </w:t>
      </w:r>
      <w:r>
        <w:rPr>
          <w:rFonts w:ascii="Times New Roman" w:hAnsi="Times New Roman" w:cs="Times New Roman"/>
          <w:bCs/>
        </w:rPr>
        <w:t xml:space="preserve">records, </w:t>
      </w:r>
      <w:r w:rsidRPr="00981E66">
        <w:rPr>
          <w:rFonts w:ascii="Times New Roman" w:hAnsi="Times New Roman" w:cs="Times New Roman"/>
          <w:bCs/>
        </w:rPr>
        <w:t>data</w:t>
      </w:r>
      <w:r>
        <w:rPr>
          <w:rFonts w:ascii="Times New Roman" w:hAnsi="Times New Roman" w:cs="Times New Roman"/>
          <w:bCs/>
        </w:rPr>
        <w:t xml:space="preserve"> </w:t>
      </w:r>
      <w:r w:rsidRPr="00981E66">
        <w:rPr>
          <w:rFonts w:ascii="Times New Roman" w:hAnsi="Times New Roman" w:cs="Times New Roman"/>
          <w:bCs/>
        </w:rPr>
        <w:t>accuracy and completeness</w:t>
      </w:r>
      <w:r>
        <w:rPr>
          <w:rFonts w:ascii="Times New Roman" w:hAnsi="Times New Roman" w:cs="Times New Roman"/>
          <w:bCs/>
        </w:rPr>
        <w:t xml:space="preserve"> create limitations.  There were h</w:t>
      </w:r>
      <w:r w:rsidRPr="000B7703">
        <w:rPr>
          <w:rFonts w:ascii="Times New Roman" w:hAnsi="Times New Roman" w:cs="Times New Roman"/>
          <w:bCs/>
        </w:rPr>
        <w:t xml:space="preserve">igh levels of missing data </w:t>
      </w:r>
      <w:r>
        <w:rPr>
          <w:rFonts w:ascii="Times New Roman" w:hAnsi="Times New Roman" w:cs="Times New Roman"/>
          <w:bCs/>
        </w:rPr>
        <w:t xml:space="preserve">for some variables and we could not adjust for </w:t>
      </w:r>
      <w:r w:rsidRPr="00EC6E31">
        <w:rPr>
          <w:rFonts w:ascii="Times New Roman" w:hAnsi="Times New Roman" w:cs="Times New Roman"/>
          <w:bCs/>
        </w:rPr>
        <w:t xml:space="preserve">factors such as lifestyle, environmental and social determinants of health. </w:t>
      </w:r>
      <w:r w:rsidR="00544AB6" w:rsidRPr="00EC6E31">
        <w:rPr>
          <w:rFonts w:ascii="Times New Roman" w:hAnsi="Times New Roman" w:cs="Times New Roman"/>
          <w:bCs/>
        </w:rPr>
        <w:t xml:space="preserve">Coding behaviour is likely to vary by individual primary care staff and practices, presenting further potential errors in primary care </w:t>
      </w:r>
      <w:r w:rsidR="008B1B03" w:rsidRPr="00EC6E31">
        <w:rPr>
          <w:rFonts w:ascii="Times New Roman" w:hAnsi="Times New Roman" w:cs="Times New Roman"/>
          <w:bCs/>
        </w:rPr>
        <w:t>records</w:t>
      </w:r>
      <w:r w:rsidR="00544AB6" w:rsidRPr="00EC6E31">
        <w:rPr>
          <w:rFonts w:ascii="Times New Roman" w:hAnsi="Times New Roman" w:cs="Times New Roman"/>
          <w:bCs/>
        </w:rPr>
        <w:t>.</w:t>
      </w:r>
      <w:r w:rsidR="008B1B03" w:rsidRPr="00EC6E31">
        <w:rPr>
          <w:rFonts w:ascii="Times New Roman" w:hAnsi="Times New Roman" w:cs="Times New Roman"/>
          <w:bCs/>
        </w:rPr>
        <w:t xml:space="preserve"> Under QOF, however, primary care providers </w:t>
      </w:r>
      <w:r w:rsidR="00ED588F" w:rsidRPr="00EC6E31">
        <w:rPr>
          <w:rFonts w:ascii="Times New Roman" w:hAnsi="Times New Roman" w:cs="Times New Roman"/>
          <w:bCs/>
        </w:rPr>
        <w:t>have been</w:t>
      </w:r>
      <w:r w:rsidR="008B1B03" w:rsidRPr="00EC6E31">
        <w:rPr>
          <w:rFonts w:ascii="Times New Roman" w:hAnsi="Times New Roman" w:cs="Times New Roman"/>
          <w:bCs/>
        </w:rPr>
        <w:t xml:space="preserve"> incentivised to maintain registers of various conditions including SMI</w:t>
      </w:r>
      <w:r w:rsidR="00ED588F" w:rsidRPr="00EC6E31">
        <w:rPr>
          <w:rFonts w:ascii="Times New Roman" w:hAnsi="Times New Roman" w:cs="Times New Roman"/>
          <w:bCs/>
        </w:rPr>
        <w:t xml:space="preserve">. We therefore expect </w:t>
      </w:r>
      <w:r w:rsidR="00132DF3" w:rsidRPr="00EC6E31">
        <w:rPr>
          <w:rFonts w:ascii="Times New Roman" w:hAnsi="Times New Roman" w:cs="Times New Roman"/>
          <w:bCs/>
        </w:rPr>
        <w:t xml:space="preserve">diagnosis </w:t>
      </w:r>
      <w:r w:rsidR="009D09C2" w:rsidRPr="00EC6E31">
        <w:rPr>
          <w:rFonts w:ascii="Times New Roman" w:hAnsi="Times New Roman" w:cs="Times New Roman"/>
          <w:bCs/>
        </w:rPr>
        <w:t xml:space="preserve">is </w:t>
      </w:r>
      <w:r w:rsidR="00ED588F" w:rsidRPr="00EC6E31">
        <w:rPr>
          <w:rFonts w:ascii="Times New Roman" w:hAnsi="Times New Roman" w:cs="Times New Roman"/>
          <w:bCs/>
        </w:rPr>
        <w:t xml:space="preserve">less likely to be affected by this limitation compared with other areas. </w:t>
      </w:r>
      <w:r w:rsidRPr="00EC6E31">
        <w:rPr>
          <w:rFonts w:ascii="Times New Roman" w:hAnsi="Times New Roman" w:cs="Times New Roman"/>
          <w:bCs/>
        </w:rPr>
        <w:t xml:space="preserve">Data on pathways, including </w:t>
      </w:r>
      <w:r w:rsidR="00544AB6" w:rsidRPr="00EC6E31">
        <w:rPr>
          <w:rFonts w:ascii="Times New Roman" w:hAnsi="Times New Roman" w:cs="Times New Roman"/>
          <w:bCs/>
        </w:rPr>
        <w:t xml:space="preserve">referral and </w:t>
      </w:r>
      <w:r w:rsidRPr="00EC6E31">
        <w:rPr>
          <w:rFonts w:ascii="Times New Roman" w:hAnsi="Times New Roman" w:cs="Times New Roman"/>
          <w:bCs/>
        </w:rPr>
        <w:t xml:space="preserve">outpatient </w:t>
      </w:r>
      <w:r w:rsidR="00544AB6" w:rsidRPr="00EC6E31">
        <w:rPr>
          <w:rFonts w:ascii="Times New Roman" w:hAnsi="Times New Roman" w:cs="Times New Roman"/>
          <w:bCs/>
        </w:rPr>
        <w:t>records</w:t>
      </w:r>
      <w:r w:rsidRPr="00EC6E31">
        <w:rPr>
          <w:rFonts w:ascii="Times New Roman" w:hAnsi="Times New Roman" w:cs="Times New Roman"/>
          <w:bCs/>
        </w:rPr>
        <w:t xml:space="preserve">, were limited; this restricted </w:t>
      </w:r>
      <w:r w:rsidR="00A51808" w:rsidRPr="00EC6E31">
        <w:rPr>
          <w:rFonts w:ascii="Times New Roman" w:hAnsi="Times New Roman" w:cs="Times New Roman"/>
          <w:bCs/>
        </w:rPr>
        <w:t xml:space="preserve">our </w:t>
      </w:r>
      <w:r w:rsidRPr="00EC6E31">
        <w:rPr>
          <w:rFonts w:ascii="Times New Roman" w:hAnsi="Times New Roman" w:cs="Times New Roman"/>
          <w:bCs/>
        </w:rPr>
        <w:t xml:space="preserve">exploration of service use along the full care pathway and potential service gaps. Severity of mental illness or diabetes is not routinely </w:t>
      </w:r>
      <w:r w:rsidR="009D09C2" w:rsidRPr="00EC6E31">
        <w:rPr>
          <w:rFonts w:ascii="Times New Roman" w:hAnsi="Times New Roman" w:cs="Times New Roman"/>
          <w:bCs/>
        </w:rPr>
        <w:t>recorded and</w:t>
      </w:r>
      <w:r w:rsidRPr="00EC6E31">
        <w:rPr>
          <w:rFonts w:ascii="Times New Roman" w:hAnsi="Times New Roman" w:cs="Times New Roman"/>
          <w:bCs/>
        </w:rPr>
        <w:t xml:space="preserve"> could not be inferred reliably. </w:t>
      </w:r>
      <w:r w:rsidR="00A51808" w:rsidRPr="00EC6E31">
        <w:rPr>
          <w:rFonts w:ascii="Times New Roman" w:hAnsi="Times New Roman" w:cs="Times New Roman"/>
          <w:bCs/>
        </w:rPr>
        <w:t xml:space="preserve">Heart failure, which </w:t>
      </w:r>
      <w:r w:rsidR="00B2072A" w:rsidRPr="00EC6E31">
        <w:rPr>
          <w:rFonts w:ascii="Times New Roman" w:hAnsi="Times New Roman" w:cs="Times New Roman"/>
          <w:bCs/>
        </w:rPr>
        <w:t>is more common in people with</w:t>
      </w:r>
      <w:r w:rsidR="00A51808" w:rsidRPr="00EC6E31">
        <w:rPr>
          <w:rFonts w:ascii="Times New Roman" w:hAnsi="Times New Roman" w:cs="Times New Roman"/>
          <w:bCs/>
        </w:rPr>
        <w:t xml:space="preserve"> diabetes, has not been analysed. </w:t>
      </w:r>
      <w:r w:rsidRPr="00EC6E31">
        <w:rPr>
          <w:rFonts w:ascii="Times New Roman" w:hAnsi="Times New Roman" w:cs="Times New Roman"/>
          <w:bCs/>
        </w:rPr>
        <w:t>As with all observational studies, it was not possible to control for unobserved</w:t>
      </w:r>
      <w:r w:rsidRPr="00981E66">
        <w:rPr>
          <w:rFonts w:ascii="Times New Roman" w:hAnsi="Times New Roman" w:cs="Times New Roman"/>
          <w:bCs/>
        </w:rPr>
        <w:t xml:space="preserve"> confounders and systematic </w:t>
      </w:r>
      <w:r>
        <w:rPr>
          <w:rFonts w:ascii="Times New Roman" w:hAnsi="Times New Roman" w:cs="Times New Roman"/>
          <w:bCs/>
        </w:rPr>
        <w:t xml:space="preserve">measurement </w:t>
      </w:r>
      <w:r w:rsidRPr="00981E66">
        <w:rPr>
          <w:rFonts w:ascii="Times New Roman" w:hAnsi="Times New Roman" w:cs="Times New Roman"/>
          <w:bCs/>
        </w:rPr>
        <w:t>biase</w:t>
      </w:r>
      <w:r>
        <w:rPr>
          <w:rFonts w:ascii="Times New Roman" w:hAnsi="Times New Roman" w:cs="Times New Roman"/>
          <w:bCs/>
        </w:rPr>
        <w:t>s</w:t>
      </w:r>
      <w:r w:rsidRPr="00981E66">
        <w:rPr>
          <w:rFonts w:ascii="Times New Roman" w:hAnsi="Times New Roman" w:cs="Times New Roman"/>
          <w:bCs/>
        </w:rPr>
        <w:t xml:space="preserve"> </w:t>
      </w:r>
      <w:r>
        <w:rPr>
          <w:rFonts w:ascii="Times New Roman" w:hAnsi="Times New Roman" w:cs="Times New Roman"/>
          <w:bCs/>
        </w:rPr>
        <w:t xml:space="preserve">which </w:t>
      </w:r>
      <w:r w:rsidRPr="00981E66">
        <w:rPr>
          <w:rFonts w:ascii="Times New Roman" w:hAnsi="Times New Roman" w:cs="Times New Roman"/>
          <w:bCs/>
        </w:rPr>
        <w:t xml:space="preserve">might lead us to over- or under-estimate associations </w:t>
      </w:r>
      <w:r>
        <w:rPr>
          <w:rFonts w:ascii="Times New Roman" w:hAnsi="Times New Roman" w:cs="Times New Roman"/>
          <w:bCs/>
        </w:rPr>
        <w:t>between</w:t>
      </w:r>
      <w:r w:rsidRPr="00981E66">
        <w:rPr>
          <w:rFonts w:ascii="Times New Roman" w:hAnsi="Times New Roman" w:cs="Times New Roman"/>
          <w:bCs/>
        </w:rPr>
        <w:t xml:space="preserve"> risk factors </w:t>
      </w:r>
      <w:r>
        <w:rPr>
          <w:rFonts w:ascii="Times New Roman" w:hAnsi="Times New Roman" w:cs="Times New Roman"/>
          <w:bCs/>
        </w:rPr>
        <w:t>and</w:t>
      </w:r>
      <w:r w:rsidRPr="00981E66">
        <w:rPr>
          <w:rFonts w:ascii="Times New Roman" w:hAnsi="Times New Roman" w:cs="Times New Roman"/>
          <w:bCs/>
        </w:rPr>
        <w:t xml:space="preserve"> outcomes. </w:t>
      </w:r>
    </w:p>
    <w:p w14:paraId="2FF5D22D" w14:textId="50F35979" w:rsidR="00FB2C1D" w:rsidRDefault="00FB2C1D" w:rsidP="00EE5EC4">
      <w:pPr>
        <w:jc w:val="both"/>
        <w:rPr>
          <w:rFonts w:ascii="Times New Roman" w:hAnsi="Times New Roman" w:cs="Times New Roman"/>
        </w:rPr>
      </w:pPr>
    </w:p>
    <w:p w14:paraId="22BC47CF" w14:textId="774BB899" w:rsidR="00FB2C1D" w:rsidRPr="00F37DB0" w:rsidRDefault="00FB2C1D" w:rsidP="00FC2E74">
      <w:pPr>
        <w:jc w:val="both"/>
        <w:rPr>
          <w:rFonts w:ascii="Times New Roman" w:hAnsi="Times New Roman" w:cs="Times New Roman"/>
          <w:i/>
          <w:iCs/>
        </w:rPr>
      </w:pPr>
      <w:r w:rsidRPr="00F37DB0">
        <w:rPr>
          <w:rFonts w:ascii="Times New Roman" w:hAnsi="Times New Roman" w:cs="Times New Roman"/>
          <w:i/>
          <w:iCs/>
        </w:rPr>
        <w:t>Comparison with existing literature</w:t>
      </w:r>
    </w:p>
    <w:p w14:paraId="2D4E51F1" w14:textId="0DF806DD" w:rsidR="00EB09BA" w:rsidRDefault="00E15B19" w:rsidP="00FC2E74">
      <w:pPr>
        <w:jc w:val="both"/>
        <w:rPr>
          <w:rFonts w:ascii="Times New Roman" w:hAnsi="Times New Roman" w:cs="Times New Roman"/>
        </w:rPr>
      </w:pPr>
      <w:r>
        <w:rPr>
          <w:rFonts w:ascii="Times New Roman" w:hAnsi="Times New Roman" w:cs="Times New Roman"/>
        </w:rPr>
        <w:t xml:space="preserve">Our analysis of both </w:t>
      </w:r>
      <w:r w:rsidR="0B4D85C8" w:rsidRPr="0B4D85C8">
        <w:rPr>
          <w:rFonts w:ascii="Times New Roman" w:hAnsi="Times New Roman" w:cs="Times New Roman"/>
        </w:rPr>
        <w:t>primary care and hospital admission records</w:t>
      </w:r>
      <w:r w:rsidR="006F5675">
        <w:rPr>
          <w:rFonts w:ascii="Times New Roman" w:hAnsi="Times New Roman" w:cs="Times New Roman"/>
        </w:rPr>
        <w:t xml:space="preserve"> </w:t>
      </w:r>
      <w:r>
        <w:rPr>
          <w:rFonts w:ascii="Times New Roman" w:hAnsi="Times New Roman" w:cs="Times New Roman"/>
        </w:rPr>
        <w:t xml:space="preserve">has </w:t>
      </w:r>
      <w:r w:rsidR="0B4D85C8" w:rsidRPr="0B4D85C8">
        <w:rPr>
          <w:rFonts w:ascii="Times New Roman" w:hAnsi="Times New Roman" w:cs="Times New Roman"/>
        </w:rPr>
        <w:t>highlight</w:t>
      </w:r>
      <w:r w:rsidR="006F5675">
        <w:rPr>
          <w:rFonts w:ascii="Times New Roman" w:hAnsi="Times New Roman" w:cs="Times New Roman"/>
        </w:rPr>
        <w:t>ed</w:t>
      </w:r>
      <w:r w:rsidR="0B4D85C8" w:rsidRPr="0B4D85C8">
        <w:rPr>
          <w:rFonts w:ascii="Times New Roman" w:hAnsi="Times New Roman" w:cs="Times New Roman"/>
        </w:rPr>
        <w:t xml:space="preserve"> two potential inequalities in the identification and subsequent treatment of CVD</w:t>
      </w:r>
      <w:r w:rsidR="009C5BE3">
        <w:rPr>
          <w:rFonts w:ascii="Times New Roman" w:hAnsi="Times New Roman" w:cs="Times New Roman"/>
        </w:rPr>
        <w:t xml:space="preserve">. </w:t>
      </w:r>
      <w:r w:rsidR="0B4D85C8" w:rsidRPr="0B4D85C8">
        <w:rPr>
          <w:rFonts w:ascii="Times New Roman" w:hAnsi="Times New Roman" w:cs="Times New Roman"/>
        </w:rPr>
        <w:t>First, diagnosis of angina in primary care was lower in people with SMI, but emergency admission rates were higher. Th</w:t>
      </w:r>
      <w:r w:rsidR="00DB550E">
        <w:rPr>
          <w:rFonts w:ascii="Times New Roman" w:hAnsi="Times New Roman" w:cs="Times New Roman"/>
        </w:rPr>
        <w:t>i</w:t>
      </w:r>
      <w:r w:rsidR="0B4D85C8" w:rsidRPr="0B4D85C8">
        <w:rPr>
          <w:rFonts w:ascii="Times New Roman" w:hAnsi="Times New Roman" w:cs="Times New Roman"/>
        </w:rPr>
        <w:t>s may reflect more rapid and severe onset</w:t>
      </w:r>
      <w:r w:rsidR="000F3F08">
        <w:rPr>
          <w:rFonts w:ascii="Times New Roman" w:hAnsi="Times New Roman" w:cs="Times New Roman"/>
        </w:rPr>
        <w:t>,</w:t>
      </w:r>
      <w:r w:rsidR="0B4D85C8" w:rsidRPr="0B4D85C8">
        <w:rPr>
          <w:rFonts w:ascii="Times New Roman" w:hAnsi="Times New Roman" w:cs="Times New Roman"/>
        </w:rPr>
        <w:t xml:space="preserve"> presentation</w:t>
      </w:r>
      <w:r w:rsidR="00DB550E">
        <w:rPr>
          <w:rFonts w:ascii="Times New Roman" w:hAnsi="Times New Roman" w:cs="Times New Roman"/>
        </w:rPr>
        <w:t xml:space="preserve"> </w:t>
      </w:r>
      <w:r w:rsidR="00A9059D">
        <w:rPr>
          <w:rFonts w:ascii="Times New Roman" w:hAnsi="Times New Roman" w:cs="Times New Roman"/>
        </w:rPr>
        <w:t xml:space="preserve">and </w:t>
      </w:r>
      <w:r w:rsidR="0B4D85C8" w:rsidRPr="0B4D85C8">
        <w:rPr>
          <w:rFonts w:ascii="Times New Roman" w:hAnsi="Times New Roman" w:cs="Times New Roman"/>
        </w:rPr>
        <w:t>diagnos</w:t>
      </w:r>
      <w:r w:rsidR="00DB550E">
        <w:rPr>
          <w:rFonts w:ascii="Times New Roman" w:hAnsi="Times New Roman" w:cs="Times New Roman"/>
        </w:rPr>
        <w:t>tic delay</w:t>
      </w:r>
      <w:r w:rsidR="0B4D85C8" w:rsidRPr="0B4D85C8">
        <w:rPr>
          <w:rFonts w:ascii="Times New Roman" w:hAnsi="Times New Roman" w:cs="Times New Roman"/>
        </w:rPr>
        <w:t xml:space="preserve">, and/or greater preference for emergency hospital services as the first contact point for people with SMI experiencing </w:t>
      </w:r>
      <w:r w:rsidR="0033705B">
        <w:rPr>
          <w:rFonts w:ascii="Times New Roman" w:hAnsi="Times New Roman" w:cs="Times New Roman"/>
        </w:rPr>
        <w:t>chest pain</w:t>
      </w:r>
      <w:r w:rsidR="0B4D85C8" w:rsidRPr="0B4D85C8">
        <w:rPr>
          <w:rFonts w:ascii="Times New Roman" w:hAnsi="Times New Roman" w:cs="Times New Roman"/>
        </w:rPr>
        <w:t xml:space="preserve">. The lower admission rate for MI might be related to this and suggest fewer but more fatal admissions for coronary heart disease, rather than an indicator of better outcomes. Second, the lower diagnosis and elective admission rates for IHD </w:t>
      </w:r>
      <w:r w:rsidR="000F3F08">
        <w:rPr>
          <w:rFonts w:ascii="Times New Roman" w:hAnsi="Times New Roman" w:cs="Times New Roman"/>
        </w:rPr>
        <w:t>in</w:t>
      </w:r>
      <w:r w:rsidR="0B4D85C8" w:rsidRPr="0B4D85C8">
        <w:rPr>
          <w:rFonts w:ascii="Times New Roman" w:hAnsi="Times New Roman" w:cs="Times New Roman"/>
        </w:rPr>
        <w:t xml:space="preserve"> people with SMI suggests that this population </w:t>
      </w:r>
      <w:r w:rsidR="000F3F08">
        <w:rPr>
          <w:rFonts w:ascii="Times New Roman" w:hAnsi="Times New Roman" w:cs="Times New Roman"/>
        </w:rPr>
        <w:t xml:space="preserve">was </w:t>
      </w:r>
      <w:r w:rsidR="0B4D85C8" w:rsidRPr="0B4D85C8">
        <w:rPr>
          <w:rFonts w:ascii="Times New Roman" w:hAnsi="Times New Roman" w:cs="Times New Roman"/>
        </w:rPr>
        <w:t>less likely to be referred to cardiovascular specialist care, a finding consistent with a</w:t>
      </w:r>
      <w:r w:rsidR="00630663">
        <w:rPr>
          <w:rFonts w:ascii="Times New Roman" w:hAnsi="Times New Roman" w:cs="Times New Roman"/>
        </w:rPr>
        <w:t xml:space="preserve">n </w:t>
      </w:r>
      <w:r w:rsidR="0B4D85C8" w:rsidRPr="0B4D85C8">
        <w:rPr>
          <w:rFonts w:ascii="Times New Roman" w:hAnsi="Times New Roman" w:cs="Times New Roman"/>
        </w:rPr>
        <w:t>Australian study.</w:t>
      </w:r>
      <w:r w:rsidR="0B4D85C8" w:rsidRPr="00B624D3">
        <w:rPr>
          <w:rFonts w:ascii="Times New Roman" w:hAnsi="Times New Roman" w:cs="Times New Roman"/>
          <w:vertAlign w:val="superscript"/>
        </w:rPr>
        <w:t>26</w:t>
      </w:r>
      <w:r w:rsidR="0B4D85C8" w:rsidRPr="0B4D85C8">
        <w:rPr>
          <w:rFonts w:ascii="Times New Roman" w:hAnsi="Times New Roman" w:cs="Times New Roman"/>
        </w:rPr>
        <w:t xml:space="preserve"> Elective admissions for IHD were mainly accessed through referrals</w:t>
      </w:r>
      <w:r w:rsidR="0033705B">
        <w:rPr>
          <w:rFonts w:ascii="Times New Roman" w:hAnsi="Times New Roman" w:cs="Times New Roman"/>
        </w:rPr>
        <w:t xml:space="preserve"> by primary care physicians</w:t>
      </w:r>
      <w:r w:rsidR="0B4D85C8" w:rsidRPr="0B4D85C8">
        <w:rPr>
          <w:rFonts w:ascii="Times New Roman" w:hAnsi="Times New Roman" w:cs="Times New Roman"/>
        </w:rPr>
        <w:t xml:space="preserve">, </w:t>
      </w:r>
      <w:r w:rsidR="0B4D85C8" w:rsidRPr="00EC6E31">
        <w:rPr>
          <w:rFonts w:ascii="Times New Roman" w:hAnsi="Times New Roman" w:cs="Times New Roman"/>
        </w:rPr>
        <w:t xml:space="preserve">either for initial clinical investigation (e.g. coronary arteriography) or for carrying out invasive procedures (e.g. CABG and stent insertion) following an emergency admission for MI. </w:t>
      </w:r>
      <w:r w:rsidR="009C5BE3" w:rsidRPr="00EC6E31">
        <w:rPr>
          <w:rFonts w:ascii="Times New Roman" w:hAnsi="Times New Roman" w:cs="Times New Roman"/>
        </w:rPr>
        <w:t xml:space="preserve">These </w:t>
      </w:r>
      <w:r w:rsidR="0B4D85C8" w:rsidRPr="00EC6E31">
        <w:rPr>
          <w:rFonts w:ascii="Times New Roman" w:hAnsi="Times New Roman" w:cs="Times New Roman"/>
        </w:rPr>
        <w:t xml:space="preserve">findings </w:t>
      </w:r>
      <w:r w:rsidR="009C5BE3" w:rsidRPr="00EC6E31">
        <w:rPr>
          <w:rFonts w:ascii="Times New Roman" w:hAnsi="Times New Roman" w:cs="Times New Roman"/>
        </w:rPr>
        <w:t>agree with an existing literature</w:t>
      </w:r>
      <w:r w:rsidR="009C5BE3" w:rsidRPr="00EC6E31">
        <w:rPr>
          <w:rFonts w:ascii="Times New Roman" w:hAnsi="Times New Roman" w:cs="Times New Roman"/>
          <w:vertAlign w:val="superscript"/>
        </w:rPr>
        <w:t>5</w:t>
      </w:r>
      <w:r w:rsidR="0B4D85C8" w:rsidRPr="00EC6E31">
        <w:rPr>
          <w:rFonts w:ascii="Times New Roman" w:hAnsi="Times New Roman" w:cs="Times New Roman"/>
        </w:rPr>
        <w:t xml:space="preserve"> that people with SMI</w:t>
      </w:r>
      <w:r w:rsidR="009C5BE3" w:rsidRPr="00EC6E31">
        <w:rPr>
          <w:rFonts w:ascii="Times New Roman" w:hAnsi="Times New Roman" w:cs="Times New Roman"/>
        </w:rPr>
        <w:t xml:space="preserve"> may</w:t>
      </w:r>
      <w:r w:rsidR="0B4D85C8" w:rsidRPr="00EC6E31">
        <w:rPr>
          <w:rFonts w:ascii="Times New Roman" w:hAnsi="Times New Roman" w:cs="Times New Roman"/>
        </w:rPr>
        <w:t xml:space="preserve"> under-use both investigations and invasive procedures due to under-diagnosis of coronary heart disease.</w:t>
      </w:r>
    </w:p>
    <w:p w14:paraId="30AA6271" w14:textId="021B1C59" w:rsidR="00EB09BA" w:rsidRDefault="00EB09BA">
      <w:pPr>
        <w:jc w:val="both"/>
        <w:rPr>
          <w:rFonts w:ascii="Times New Roman" w:hAnsi="Times New Roman" w:cs="Times New Roman"/>
        </w:rPr>
      </w:pPr>
      <w:r>
        <w:rPr>
          <w:rFonts w:ascii="Times New Roman" w:hAnsi="Times New Roman" w:cs="Times New Roman"/>
        </w:rPr>
        <w:t xml:space="preserve">There are several inter-related potential explanations. </w:t>
      </w:r>
      <w:r w:rsidR="002614C8">
        <w:rPr>
          <w:rFonts w:ascii="Times New Roman" w:hAnsi="Times New Roman" w:cs="Times New Roman"/>
        </w:rPr>
        <w:t>Reasons for s</w:t>
      </w:r>
      <w:r>
        <w:rPr>
          <w:rFonts w:ascii="Times New Roman" w:hAnsi="Times New Roman" w:cs="Times New Roman"/>
        </w:rPr>
        <w:t xml:space="preserve">ystematic under-diagnosis of CVD </w:t>
      </w:r>
      <w:r w:rsidR="002614C8">
        <w:rPr>
          <w:rFonts w:ascii="Times New Roman" w:hAnsi="Times New Roman" w:cs="Times New Roman"/>
        </w:rPr>
        <w:t>could</w:t>
      </w:r>
      <w:r>
        <w:rPr>
          <w:rFonts w:ascii="Times New Roman" w:hAnsi="Times New Roman" w:cs="Times New Roman"/>
        </w:rPr>
        <w:t xml:space="preserve"> includ</w:t>
      </w:r>
      <w:r w:rsidR="002614C8">
        <w:rPr>
          <w:rFonts w:ascii="Times New Roman" w:hAnsi="Times New Roman" w:cs="Times New Roman"/>
        </w:rPr>
        <w:t>e</w:t>
      </w:r>
      <w:r>
        <w:rPr>
          <w:rFonts w:ascii="Times New Roman" w:hAnsi="Times New Roman" w:cs="Times New Roman"/>
        </w:rPr>
        <w:t xml:space="preserve"> </w:t>
      </w:r>
      <w:r w:rsidR="002614C8">
        <w:rPr>
          <w:rFonts w:ascii="Times New Roman" w:hAnsi="Times New Roman" w:cs="Times New Roman"/>
        </w:rPr>
        <w:t xml:space="preserve">symptom </w:t>
      </w:r>
      <w:r>
        <w:rPr>
          <w:rFonts w:ascii="Times New Roman" w:hAnsi="Times New Roman" w:cs="Times New Roman"/>
        </w:rPr>
        <w:t xml:space="preserve">underreporting by people with SMI, diagnostic overshadowing and </w:t>
      </w:r>
      <w:r w:rsidR="00D90715">
        <w:rPr>
          <w:rFonts w:ascii="Times New Roman" w:hAnsi="Times New Roman" w:cs="Times New Roman"/>
        </w:rPr>
        <w:t xml:space="preserve">a </w:t>
      </w:r>
      <w:r>
        <w:rPr>
          <w:rFonts w:ascii="Times New Roman" w:hAnsi="Times New Roman" w:cs="Times New Roman"/>
        </w:rPr>
        <w:t xml:space="preserve">lack of confidence </w:t>
      </w:r>
      <w:r w:rsidR="002614C8">
        <w:rPr>
          <w:rFonts w:ascii="Times New Roman" w:hAnsi="Times New Roman" w:cs="Times New Roman"/>
        </w:rPr>
        <w:t xml:space="preserve">by </w:t>
      </w:r>
      <w:r>
        <w:rPr>
          <w:rFonts w:ascii="Times New Roman" w:hAnsi="Times New Roman" w:cs="Times New Roman"/>
        </w:rPr>
        <w:t>mental health professionals to diagnose and manage physical comorbidities.</w:t>
      </w:r>
      <w:r w:rsidRPr="00B624D3">
        <w:rPr>
          <w:rFonts w:ascii="Times New Roman" w:hAnsi="Times New Roman" w:cs="Times New Roman"/>
          <w:vertAlign w:val="superscript"/>
        </w:rPr>
        <w:t>2</w:t>
      </w:r>
      <w:r w:rsidR="00E62E4C" w:rsidRPr="00B624D3">
        <w:rPr>
          <w:rFonts w:ascii="Times New Roman" w:hAnsi="Times New Roman" w:cs="Times New Roman"/>
          <w:vertAlign w:val="superscript"/>
        </w:rPr>
        <w:t>7</w:t>
      </w:r>
      <w:r w:rsidRPr="00FC2E74">
        <w:rPr>
          <w:rFonts w:ascii="Times New Roman" w:hAnsi="Times New Roman" w:cs="Times New Roman"/>
        </w:rPr>
        <w:t xml:space="preserve"> </w:t>
      </w:r>
      <w:r w:rsidR="002614C8">
        <w:rPr>
          <w:rFonts w:ascii="Times New Roman" w:hAnsi="Times New Roman" w:cs="Times New Roman"/>
        </w:rPr>
        <w:t>P</w:t>
      </w:r>
      <w:r>
        <w:rPr>
          <w:rFonts w:ascii="Times New Roman" w:hAnsi="Times New Roman" w:cs="Times New Roman"/>
        </w:rPr>
        <w:t>rimary care providers might be reluctant to prescribe medications for long-term conditions and refer people with SMI for standard surgical procedures</w:t>
      </w:r>
      <w:r w:rsidR="00D90715">
        <w:rPr>
          <w:rFonts w:ascii="Times New Roman" w:hAnsi="Times New Roman" w:cs="Times New Roman"/>
        </w:rPr>
        <w:t>,</w:t>
      </w:r>
      <w:r w:rsidRPr="00B624D3">
        <w:rPr>
          <w:rFonts w:ascii="Times New Roman" w:hAnsi="Times New Roman" w:cs="Times New Roman"/>
          <w:vertAlign w:val="superscript"/>
        </w:rPr>
        <w:t>2</w:t>
      </w:r>
      <w:r w:rsidR="006E31DC">
        <w:rPr>
          <w:rFonts w:ascii="Times New Roman" w:hAnsi="Times New Roman" w:cs="Times New Roman"/>
          <w:vertAlign w:val="superscript"/>
        </w:rPr>
        <w:t>8</w:t>
      </w:r>
      <w:r w:rsidRPr="00B624D3">
        <w:rPr>
          <w:rFonts w:ascii="Times New Roman" w:hAnsi="Times New Roman" w:cs="Times New Roman"/>
          <w:vertAlign w:val="superscript"/>
        </w:rPr>
        <w:t>,</w:t>
      </w:r>
      <w:r w:rsidR="006E31DC">
        <w:rPr>
          <w:rFonts w:ascii="Times New Roman" w:hAnsi="Times New Roman" w:cs="Times New Roman"/>
          <w:vertAlign w:val="superscript"/>
        </w:rPr>
        <w:t>29</w:t>
      </w:r>
      <w:r w:rsidR="00D90715" w:rsidRPr="00FC2E74">
        <w:rPr>
          <w:rFonts w:ascii="Times New Roman" w:hAnsi="Times New Roman" w:cs="Times New Roman"/>
        </w:rPr>
        <w:t xml:space="preserve"> </w:t>
      </w:r>
      <w:r w:rsidR="00D90715">
        <w:rPr>
          <w:rFonts w:ascii="Times New Roman" w:hAnsi="Times New Roman" w:cs="Times New Roman"/>
        </w:rPr>
        <w:t xml:space="preserve">perhaps due to </w:t>
      </w:r>
      <w:r w:rsidR="002614C8">
        <w:rPr>
          <w:rFonts w:ascii="Times New Roman" w:hAnsi="Times New Roman" w:cs="Times New Roman"/>
        </w:rPr>
        <w:t xml:space="preserve">perceived  </w:t>
      </w:r>
      <w:r>
        <w:rPr>
          <w:rFonts w:ascii="Times New Roman" w:hAnsi="Times New Roman" w:cs="Times New Roman"/>
        </w:rPr>
        <w:t xml:space="preserve">psychological stress, capacity for post-operative care and </w:t>
      </w:r>
      <w:r w:rsidR="002614C8">
        <w:rPr>
          <w:rFonts w:ascii="Times New Roman" w:hAnsi="Times New Roman" w:cs="Times New Roman"/>
        </w:rPr>
        <w:t xml:space="preserve">a </w:t>
      </w:r>
      <w:r>
        <w:rPr>
          <w:rFonts w:ascii="Times New Roman" w:hAnsi="Times New Roman" w:cs="Times New Roman"/>
        </w:rPr>
        <w:t xml:space="preserve">higher risk of developing complications after surgical interventions. </w:t>
      </w:r>
      <w:r w:rsidR="002614C8">
        <w:rPr>
          <w:rFonts w:ascii="Times New Roman" w:hAnsi="Times New Roman" w:cs="Times New Roman"/>
        </w:rPr>
        <w:t>A</w:t>
      </w:r>
      <w:r>
        <w:rPr>
          <w:rFonts w:ascii="Times New Roman" w:hAnsi="Times New Roman" w:cs="Times New Roman"/>
        </w:rPr>
        <w:t xml:space="preserve"> lack of integration </w:t>
      </w:r>
      <w:r w:rsidR="00A73C12">
        <w:rPr>
          <w:rFonts w:ascii="Times New Roman" w:hAnsi="Times New Roman" w:cs="Times New Roman"/>
        </w:rPr>
        <w:t xml:space="preserve">among </w:t>
      </w:r>
      <w:r>
        <w:rPr>
          <w:rFonts w:ascii="Times New Roman" w:hAnsi="Times New Roman" w:cs="Times New Roman"/>
        </w:rPr>
        <w:t>primary care</w:t>
      </w:r>
      <w:r w:rsidR="00617DAE">
        <w:rPr>
          <w:rFonts w:ascii="Times New Roman" w:hAnsi="Times New Roman" w:cs="Times New Roman"/>
        </w:rPr>
        <w:t xml:space="preserve">, </w:t>
      </w:r>
      <w:r>
        <w:rPr>
          <w:rFonts w:ascii="Times New Roman" w:hAnsi="Times New Roman" w:cs="Times New Roman"/>
        </w:rPr>
        <w:t xml:space="preserve">specialist physical healthcare </w:t>
      </w:r>
      <w:r w:rsidR="00617DAE">
        <w:rPr>
          <w:rFonts w:ascii="Times New Roman" w:hAnsi="Times New Roman" w:cs="Times New Roman"/>
        </w:rPr>
        <w:t xml:space="preserve">and psychiatric </w:t>
      </w:r>
      <w:r>
        <w:rPr>
          <w:rFonts w:ascii="Times New Roman" w:hAnsi="Times New Roman" w:cs="Times New Roman"/>
        </w:rPr>
        <w:t>services may have made navigat</w:t>
      </w:r>
      <w:r w:rsidR="00617DAE">
        <w:rPr>
          <w:rFonts w:ascii="Times New Roman" w:hAnsi="Times New Roman" w:cs="Times New Roman"/>
        </w:rPr>
        <w:t>ion of</w:t>
      </w:r>
      <w:r>
        <w:rPr>
          <w:rFonts w:ascii="Times New Roman" w:hAnsi="Times New Roman" w:cs="Times New Roman"/>
        </w:rPr>
        <w:t xml:space="preserve"> the care </w:t>
      </w:r>
      <w:r w:rsidR="00C625AC">
        <w:rPr>
          <w:rFonts w:ascii="Times New Roman" w:hAnsi="Times New Roman" w:cs="Times New Roman"/>
        </w:rPr>
        <w:t>pathway</w:t>
      </w:r>
      <w:r w:rsidR="00617DAE" w:rsidRPr="00617DAE">
        <w:rPr>
          <w:rFonts w:ascii="Times New Roman" w:hAnsi="Times New Roman" w:cs="Times New Roman"/>
        </w:rPr>
        <w:t xml:space="preserve"> </w:t>
      </w:r>
      <w:r w:rsidR="00617DAE">
        <w:rPr>
          <w:rFonts w:ascii="Times New Roman" w:hAnsi="Times New Roman" w:cs="Times New Roman"/>
        </w:rPr>
        <w:t>more difficult for people with SMI</w:t>
      </w:r>
      <w:r w:rsidR="00C625AC">
        <w:rPr>
          <w:rFonts w:ascii="Times New Roman" w:hAnsi="Times New Roman" w:cs="Times New Roman"/>
        </w:rPr>
        <w:t>.</w:t>
      </w:r>
      <w:r w:rsidR="00E62E4C" w:rsidRPr="00B624D3">
        <w:rPr>
          <w:rFonts w:ascii="Times New Roman" w:hAnsi="Times New Roman" w:cs="Times New Roman"/>
          <w:vertAlign w:val="superscript"/>
        </w:rPr>
        <w:t>3</w:t>
      </w:r>
      <w:r w:rsidR="006E31DC">
        <w:rPr>
          <w:rFonts w:ascii="Times New Roman" w:hAnsi="Times New Roman" w:cs="Times New Roman"/>
          <w:vertAlign w:val="superscript"/>
        </w:rPr>
        <w:t>0</w:t>
      </w:r>
      <w:r w:rsidRPr="00B624D3">
        <w:rPr>
          <w:rFonts w:ascii="Times New Roman" w:hAnsi="Times New Roman" w:cs="Times New Roman"/>
          <w:vertAlign w:val="superscript"/>
        </w:rPr>
        <w:t>,3</w:t>
      </w:r>
      <w:r w:rsidR="006E31DC">
        <w:rPr>
          <w:rFonts w:ascii="Times New Roman" w:hAnsi="Times New Roman" w:cs="Times New Roman"/>
          <w:vertAlign w:val="superscript"/>
        </w:rPr>
        <w:t>1</w:t>
      </w:r>
    </w:p>
    <w:p w14:paraId="02B570C4" w14:textId="77777777" w:rsidR="00D634B9" w:rsidRPr="00B61B2A" w:rsidRDefault="00D634B9">
      <w:pPr>
        <w:jc w:val="both"/>
        <w:rPr>
          <w:rFonts w:ascii="Times New Roman" w:hAnsi="Times New Roman" w:cs="Times New Roman"/>
          <w:bCs/>
        </w:rPr>
      </w:pPr>
    </w:p>
    <w:p w14:paraId="334FCAD6" w14:textId="0B4EE33E" w:rsidR="003137DA" w:rsidRPr="00EC6E31" w:rsidRDefault="00FB2C1D">
      <w:pPr>
        <w:jc w:val="both"/>
        <w:rPr>
          <w:rFonts w:ascii="Times New Roman" w:hAnsi="Times New Roman" w:cs="Times New Roman"/>
          <w:i/>
          <w:iCs/>
        </w:rPr>
      </w:pPr>
      <w:r w:rsidRPr="00EC6E31">
        <w:rPr>
          <w:rFonts w:ascii="Times New Roman" w:hAnsi="Times New Roman" w:cs="Times New Roman"/>
          <w:i/>
          <w:iCs/>
        </w:rPr>
        <w:t>Implications for research and practice</w:t>
      </w:r>
    </w:p>
    <w:p w14:paraId="68325D8A" w14:textId="690F5FC2" w:rsidR="00553668" w:rsidRDefault="0B4D85C8">
      <w:pPr>
        <w:jc w:val="both"/>
        <w:rPr>
          <w:rFonts w:ascii="Times New Roman" w:hAnsi="Times New Roman" w:cs="Times New Roman"/>
        </w:rPr>
      </w:pPr>
      <w:r w:rsidRPr="00EC6E31">
        <w:rPr>
          <w:rFonts w:ascii="Times New Roman" w:hAnsi="Times New Roman" w:cs="Times New Roman"/>
        </w:rPr>
        <w:t xml:space="preserve">Our </w:t>
      </w:r>
      <w:r w:rsidR="002614C8" w:rsidRPr="00EC6E31">
        <w:rPr>
          <w:rFonts w:ascii="Times New Roman" w:hAnsi="Times New Roman" w:cs="Times New Roman"/>
        </w:rPr>
        <w:t>analysis</w:t>
      </w:r>
      <w:r w:rsidRPr="00EC6E31">
        <w:rPr>
          <w:rFonts w:ascii="Times New Roman" w:hAnsi="Times New Roman" w:cs="Times New Roman"/>
        </w:rPr>
        <w:t xml:space="preserve"> show</w:t>
      </w:r>
      <w:r w:rsidR="002614C8" w:rsidRPr="00EC6E31">
        <w:rPr>
          <w:rFonts w:ascii="Times New Roman" w:hAnsi="Times New Roman" w:cs="Times New Roman"/>
        </w:rPr>
        <w:t>s</w:t>
      </w:r>
      <w:r w:rsidRPr="00EC6E31">
        <w:rPr>
          <w:rFonts w:ascii="Times New Roman" w:hAnsi="Times New Roman" w:cs="Times New Roman"/>
        </w:rPr>
        <w:t xml:space="preserve"> that the </w:t>
      </w:r>
      <w:r w:rsidR="00E15B19" w:rsidRPr="00EC6E31">
        <w:rPr>
          <w:rFonts w:ascii="Times New Roman" w:hAnsi="Times New Roman" w:cs="Times New Roman"/>
        </w:rPr>
        <w:t xml:space="preserve">greatest </w:t>
      </w:r>
      <w:r w:rsidRPr="00EC6E31">
        <w:rPr>
          <w:rFonts w:ascii="Times New Roman" w:hAnsi="Times New Roman" w:cs="Times New Roman"/>
        </w:rPr>
        <w:t xml:space="preserve">challenge is no longer general monitoring of metabolic risk factors as incentivised by national guidelines, as these now appear to be </w:t>
      </w:r>
      <w:r w:rsidR="00630663" w:rsidRPr="00EC6E31">
        <w:rPr>
          <w:rFonts w:ascii="Times New Roman" w:hAnsi="Times New Roman" w:cs="Times New Roman"/>
        </w:rPr>
        <w:t xml:space="preserve">equally </w:t>
      </w:r>
      <w:r w:rsidRPr="00EC6E31">
        <w:rPr>
          <w:rFonts w:ascii="Times New Roman" w:hAnsi="Times New Roman" w:cs="Times New Roman"/>
        </w:rPr>
        <w:t xml:space="preserve">delivered to people with and without SMI. </w:t>
      </w:r>
      <w:r w:rsidR="000C22F1" w:rsidRPr="00EC6E31">
        <w:rPr>
          <w:rFonts w:ascii="Times New Roman" w:hAnsi="Times New Roman" w:cs="Times New Roman"/>
        </w:rPr>
        <w:t>Rather, p</w:t>
      </w:r>
      <w:r w:rsidR="00CC144D" w:rsidRPr="00EC6E31">
        <w:rPr>
          <w:rFonts w:ascii="Times New Roman" w:hAnsi="Times New Roman" w:cs="Times New Roman"/>
        </w:rPr>
        <w:t xml:space="preserve">eople with SMI </w:t>
      </w:r>
      <w:r w:rsidR="00E15B19" w:rsidRPr="00EC6E31">
        <w:rPr>
          <w:rFonts w:ascii="Times New Roman" w:hAnsi="Times New Roman" w:cs="Times New Roman"/>
        </w:rPr>
        <w:t>appear to be</w:t>
      </w:r>
      <w:r w:rsidR="00CC144D" w:rsidRPr="00EC6E31">
        <w:rPr>
          <w:rFonts w:ascii="Times New Roman" w:hAnsi="Times New Roman" w:cs="Times New Roman"/>
        </w:rPr>
        <w:t xml:space="preserve"> under-diagnosed for cardiovascular disease in primary care and consequently </w:t>
      </w:r>
      <w:r w:rsidR="00E15B19" w:rsidRPr="00EC6E31">
        <w:rPr>
          <w:rFonts w:ascii="Times New Roman" w:hAnsi="Times New Roman" w:cs="Times New Roman"/>
        </w:rPr>
        <w:t>have</w:t>
      </w:r>
      <w:r w:rsidR="00CC144D" w:rsidRPr="00EC6E31">
        <w:rPr>
          <w:rFonts w:ascii="Times New Roman" w:hAnsi="Times New Roman" w:cs="Times New Roman"/>
        </w:rPr>
        <w:t xml:space="preserve"> poorer access to specialist and elective hospital care, </w:t>
      </w:r>
      <w:r w:rsidR="00E15B19" w:rsidRPr="00EC6E31">
        <w:rPr>
          <w:rFonts w:ascii="Times New Roman" w:hAnsi="Times New Roman" w:cs="Times New Roman"/>
        </w:rPr>
        <w:t>leading to an</w:t>
      </w:r>
      <w:r w:rsidR="00CC144D" w:rsidRPr="00EC6E31">
        <w:rPr>
          <w:rFonts w:ascii="Times New Roman" w:hAnsi="Times New Roman" w:cs="Times New Roman"/>
        </w:rPr>
        <w:t xml:space="preserve"> elevated risk of </w:t>
      </w:r>
      <w:r w:rsidR="00E15B19" w:rsidRPr="00EC6E31">
        <w:rPr>
          <w:rFonts w:ascii="Times New Roman" w:hAnsi="Times New Roman" w:cs="Times New Roman"/>
        </w:rPr>
        <w:t xml:space="preserve">cardiovascular </w:t>
      </w:r>
      <w:r w:rsidR="00CC144D" w:rsidRPr="00EC6E31">
        <w:rPr>
          <w:rFonts w:ascii="Times New Roman" w:hAnsi="Times New Roman" w:cs="Times New Roman"/>
        </w:rPr>
        <w:t>mortality in this population.</w:t>
      </w:r>
      <w:r w:rsidRPr="00EC6E31">
        <w:rPr>
          <w:rFonts w:ascii="Times New Roman" w:hAnsi="Times New Roman" w:cs="Times New Roman"/>
        </w:rPr>
        <w:t xml:space="preserve"> </w:t>
      </w:r>
      <w:r w:rsidR="00CC144D" w:rsidRPr="00EC6E31">
        <w:rPr>
          <w:rFonts w:ascii="Times New Roman" w:hAnsi="Times New Roman" w:cs="Times New Roman"/>
        </w:rPr>
        <w:t>P</w:t>
      </w:r>
      <w:r w:rsidRPr="00EC6E31">
        <w:rPr>
          <w:rFonts w:ascii="Times New Roman" w:hAnsi="Times New Roman" w:cs="Times New Roman"/>
        </w:rPr>
        <w:t xml:space="preserve">olicies to reduce excess deaths should </w:t>
      </w:r>
      <w:r w:rsidR="00E15B19" w:rsidRPr="00EC6E31">
        <w:rPr>
          <w:rFonts w:ascii="Times New Roman" w:hAnsi="Times New Roman" w:cs="Times New Roman"/>
        </w:rPr>
        <w:t xml:space="preserve">therefore </w:t>
      </w:r>
      <w:r w:rsidRPr="00EC6E31">
        <w:rPr>
          <w:rFonts w:ascii="Times New Roman" w:hAnsi="Times New Roman" w:cs="Times New Roman"/>
        </w:rPr>
        <w:t>focus on activities earlier along the care pathway to facilitate early diagnosis and timely treatment for CVD. Furthermore, current QOF targets do not consider the implications of</w:t>
      </w:r>
      <w:r w:rsidRPr="0B4D85C8">
        <w:rPr>
          <w:rFonts w:ascii="Times New Roman" w:hAnsi="Times New Roman" w:cs="Times New Roman"/>
        </w:rPr>
        <w:t xml:space="preserve"> antipsychotic medication </w:t>
      </w:r>
      <w:r w:rsidR="00CB0B74">
        <w:rPr>
          <w:rFonts w:ascii="Times New Roman" w:hAnsi="Times New Roman" w:cs="Times New Roman"/>
        </w:rPr>
        <w:t>and other</w:t>
      </w:r>
      <w:r w:rsidRPr="0B4D85C8">
        <w:rPr>
          <w:rFonts w:ascii="Times New Roman" w:hAnsi="Times New Roman" w:cs="Times New Roman"/>
        </w:rPr>
        <w:t xml:space="preserve"> unique challenges people with SMI face in managing their diabetes. Living in more deprived circumstances, as seen in this study, can also increase the likelihood of developing chronic health problems, and reduce capacity to successfully manage them. </w:t>
      </w:r>
      <w:r w:rsidR="00CB0B74">
        <w:rPr>
          <w:rFonts w:ascii="Times New Roman" w:hAnsi="Times New Roman" w:cs="Times New Roman"/>
        </w:rPr>
        <w:t>P</w:t>
      </w:r>
      <w:r w:rsidRPr="0B4D85C8">
        <w:rPr>
          <w:rFonts w:ascii="Times New Roman" w:hAnsi="Times New Roman" w:cs="Times New Roman"/>
        </w:rPr>
        <w:t xml:space="preserve">olicies should be designed to encourage primary care providers to initiate effective conversations with patients and carers on both mental and physical </w:t>
      </w:r>
      <w:r w:rsidR="00CB0B74">
        <w:rPr>
          <w:rFonts w:ascii="Times New Roman" w:hAnsi="Times New Roman" w:cs="Times New Roman"/>
        </w:rPr>
        <w:t xml:space="preserve">health </w:t>
      </w:r>
      <w:r w:rsidRPr="0B4D85C8">
        <w:rPr>
          <w:rFonts w:ascii="Times New Roman" w:hAnsi="Times New Roman" w:cs="Times New Roman"/>
        </w:rPr>
        <w:t>needs; improve coordination between primary care and specialist physical healthcare services</w:t>
      </w:r>
      <w:r w:rsidR="007F4D98">
        <w:rPr>
          <w:rFonts w:ascii="Times New Roman" w:hAnsi="Times New Roman" w:cs="Times New Roman"/>
        </w:rPr>
        <w:t xml:space="preserve">; </w:t>
      </w:r>
      <w:r w:rsidRPr="0B4D85C8">
        <w:rPr>
          <w:rFonts w:ascii="Times New Roman" w:hAnsi="Times New Roman" w:cs="Times New Roman"/>
        </w:rPr>
        <w:t xml:space="preserve">and develop strategies for tackling the particular challenges faced by people with SMI dealing with </w:t>
      </w:r>
      <w:r w:rsidR="00A73C12">
        <w:rPr>
          <w:rFonts w:ascii="Times New Roman" w:hAnsi="Times New Roman" w:cs="Times New Roman"/>
        </w:rPr>
        <w:t xml:space="preserve">multimorbidity. </w:t>
      </w:r>
    </w:p>
    <w:p w14:paraId="6D64A5E1" w14:textId="67B34AB9" w:rsidR="001C17BD" w:rsidRPr="00212CB4" w:rsidRDefault="00212CB4" w:rsidP="00212CB4">
      <w:pPr>
        <w:jc w:val="both"/>
        <w:rPr>
          <w:rFonts w:ascii="Times New Roman" w:hAnsi="Times New Roman" w:cs="Times New Roman"/>
        </w:rPr>
      </w:pPr>
      <w:r>
        <w:rPr>
          <w:rFonts w:ascii="Times New Roman" w:hAnsi="Times New Roman" w:cs="Times New Roman"/>
          <w:bCs/>
          <w:noProof/>
          <w:lang w:eastAsia="en-GB"/>
        </w:rPr>
        <mc:AlternateContent>
          <mc:Choice Requires="wps">
            <w:drawing>
              <wp:anchor distT="0" distB="0" distL="114300" distR="114300" simplePos="0" relativeHeight="251659264" behindDoc="0" locked="0" layoutInCell="1" allowOverlap="1" wp14:anchorId="2E88484C" wp14:editId="0E174CE9">
                <wp:simplePos x="0" y="0"/>
                <wp:positionH relativeFrom="column">
                  <wp:posOffset>0</wp:posOffset>
                </wp:positionH>
                <wp:positionV relativeFrom="paragraph">
                  <wp:posOffset>160610</wp:posOffset>
                </wp:positionV>
                <wp:extent cx="5676522" cy="2779414"/>
                <wp:effectExtent l="0" t="0" r="13335" b="14605"/>
                <wp:wrapTopAndBottom/>
                <wp:docPr id="1" name="Text Box 1"/>
                <wp:cNvGraphicFramePr/>
                <a:graphic xmlns:a="http://schemas.openxmlformats.org/drawingml/2006/main">
                  <a:graphicData uri="http://schemas.microsoft.com/office/word/2010/wordprocessingShape">
                    <wps:wsp>
                      <wps:cNvSpPr txBox="1"/>
                      <wps:spPr>
                        <a:xfrm>
                          <a:off x="0" y="0"/>
                          <a:ext cx="5676522" cy="2779414"/>
                        </a:xfrm>
                        <a:prstGeom prst="rect">
                          <a:avLst/>
                        </a:prstGeom>
                        <a:solidFill>
                          <a:schemeClr val="lt1"/>
                        </a:solidFill>
                        <a:ln w="6350">
                          <a:solidFill>
                            <a:prstClr val="black"/>
                          </a:solidFill>
                        </a:ln>
                      </wps:spPr>
                      <wps:txbx>
                        <w:txbxContent>
                          <w:p w14:paraId="17F916C8" w14:textId="0A760FDB" w:rsidR="001E13FA" w:rsidRDefault="001E13FA" w:rsidP="001C17BD">
                            <w:pPr>
                              <w:rPr>
                                <w:rFonts w:ascii="Times New Roman" w:hAnsi="Times New Roman" w:cs="Times New Roman"/>
                                <w:b/>
                                <w:bCs/>
                              </w:rPr>
                            </w:pPr>
                            <w:r>
                              <w:rPr>
                                <w:rFonts w:ascii="Times New Roman" w:hAnsi="Times New Roman" w:cs="Times New Roman"/>
                                <w:b/>
                                <w:bCs/>
                              </w:rPr>
                              <w:t>How this fits in</w:t>
                            </w:r>
                          </w:p>
                          <w:p w14:paraId="6524A1CD" w14:textId="0FE0FA3B" w:rsidR="001E13FA" w:rsidRPr="001C17BD" w:rsidRDefault="001E13FA" w:rsidP="001C17BD">
                            <w:pPr>
                              <w:jc w:val="both"/>
                              <w:rPr>
                                <w:rFonts w:ascii="Times New Roman" w:hAnsi="Times New Roman" w:cs="Times New Roman"/>
                              </w:rPr>
                            </w:pPr>
                            <w:r w:rsidRPr="001C17BD">
                              <w:rPr>
                                <w:rFonts w:ascii="Times New Roman" w:hAnsi="Times New Roman" w:cs="Times New Roman"/>
                              </w:rPr>
                              <w:t>People with severe mental illnesses (SMI) have poorer physical health and a lower life expectancy by around 20 years than the general population, mostly due to comorbid non-communicable diseases.</w:t>
                            </w:r>
                            <w:r w:rsidRPr="00B71BDA">
                              <w:rPr>
                                <w:rFonts w:ascii="Times New Roman" w:hAnsi="Times New Roman" w:cs="Times New Roman"/>
                              </w:rPr>
                              <w:t xml:space="preserve"> </w:t>
                            </w:r>
                            <w:r w:rsidRPr="001C17BD">
                              <w:rPr>
                                <w:rFonts w:ascii="Times New Roman" w:hAnsi="Times New Roman" w:cs="Times New Roman"/>
                              </w:rPr>
                              <w:t xml:space="preserve">Diabetes contributes significantly to this health inequality through multiple mechanisms including a 2-3 times higher prevalence, increased incidence of diabetes complications, and its interaction with SMI in aspects of health behaviours, access to health services and effectiveness of treatments. National guidelines have recommended regular screening for diabetes in people with SMI and monitoring of metabolic risk factors in people with diabetes. </w:t>
                            </w:r>
                            <w:r w:rsidRPr="00B71BDA">
                              <w:rPr>
                                <w:rFonts w:ascii="Times New Roman" w:hAnsi="Times New Roman" w:cs="Times New Roman"/>
                              </w:rPr>
                              <w:t>T</w:t>
                            </w:r>
                            <w:r w:rsidRPr="00EA306B">
                              <w:rPr>
                                <w:rFonts w:ascii="Times New Roman" w:hAnsi="Times New Roman" w:cs="Times New Roman"/>
                              </w:rPr>
                              <w:t xml:space="preserve">his </w:t>
                            </w:r>
                            <w:r w:rsidRPr="003E3B5D">
                              <w:rPr>
                                <w:rFonts w:ascii="Times New Roman" w:hAnsi="Times New Roman" w:cs="Times New Roman"/>
                              </w:rPr>
                              <w:t xml:space="preserve">study </w:t>
                            </w:r>
                            <w:r w:rsidRPr="00B71BDA">
                              <w:rPr>
                                <w:rFonts w:ascii="Times New Roman" w:hAnsi="Times New Roman" w:cs="Times New Roman"/>
                              </w:rPr>
                              <w:t xml:space="preserve">has provided new evidence that </w:t>
                            </w:r>
                            <w:r w:rsidRPr="001C17BD">
                              <w:rPr>
                                <w:rFonts w:ascii="Times New Roman" w:hAnsi="Times New Roman" w:cs="Times New Roman"/>
                              </w:rPr>
                              <w:t xml:space="preserve">monitoring of diabetes and metabolic control </w:t>
                            </w:r>
                            <w:r>
                              <w:rPr>
                                <w:rFonts w:ascii="Times New Roman" w:hAnsi="Times New Roman" w:cs="Times New Roman"/>
                              </w:rPr>
                              <w:t xml:space="preserve">is </w:t>
                            </w:r>
                            <w:r w:rsidRPr="001C17BD">
                              <w:rPr>
                                <w:rFonts w:ascii="Times New Roman" w:hAnsi="Times New Roman" w:cs="Times New Roman"/>
                              </w:rPr>
                              <w:t xml:space="preserve">no worse for people with SMI and diabetes compared to people with diabetes alone. However, </w:t>
                            </w:r>
                            <w:r w:rsidRPr="00B71BDA">
                              <w:rPr>
                                <w:rFonts w:ascii="Times New Roman" w:hAnsi="Times New Roman" w:cs="Times New Roman"/>
                              </w:rPr>
                              <w:t>p</w:t>
                            </w:r>
                            <w:r w:rsidRPr="001C17BD">
                              <w:rPr>
                                <w:rFonts w:ascii="Times New Roman" w:hAnsi="Times New Roman" w:cs="Times New Roman"/>
                              </w:rPr>
                              <w:t xml:space="preserve">eople with SMI </w:t>
                            </w:r>
                            <w:r>
                              <w:rPr>
                                <w:rFonts w:ascii="Times New Roman" w:hAnsi="Times New Roman" w:cs="Times New Roman"/>
                              </w:rPr>
                              <w:t>are</w:t>
                            </w:r>
                            <w:r w:rsidRPr="001C17BD">
                              <w:rPr>
                                <w:rFonts w:ascii="Times New Roman" w:hAnsi="Times New Roman" w:cs="Times New Roman"/>
                              </w:rPr>
                              <w:t xml:space="preserve"> under-diagnosed for cardiovascular disease in primary care and consequently </w:t>
                            </w:r>
                            <w:r>
                              <w:rPr>
                                <w:rFonts w:ascii="Times New Roman" w:hAnsi="Times New Roman" w:cs="Times New Roman"/>
                              </w:rPr>
                              <w:t>have</w:t>
                            </w:r>
                            <w:r w:rsidRPr="001C17BD">
                              <w:rPr>
                                <w:rFonts w:ascii="Times New Roman" w:hAnsi="Times New Roman" w:cs="Times New Roman"/>
                              </w:rPr>
                              <w:t xml:space="preserve"> poorer access to specialist and elective hospital care</w:t>
                            </w:r>
                            <w:r w:rsidRPr="00B71BDA">
                              <w:rPr>
                                <w:rFonts w:ascii="Times New Roman" w:hAnsi="Times New Roman" w:cs="Times New Roman"/>
                              </w:rPr>
                              <w:t xml:space="preserve">, which might </w:t>
                            </w:r>
                            <w:r>
                              <w:rPr>
                                <w:rFonts w:ascii="Times New Roman" w:hAnsi="Times New Roman" w:cs="Times New Roman"/>
                              </w:rPr>
                              <w:t>explain</w:t>
                            </w:r>
                            <w:r w:rsidRPr="00EA306B">
                              <w:rPr>
                                <w:rFonts w:ascii="Times New Roman" w:hAnsi="Times New Roman" w:cs="Times New Roman"/>
                              </w:rPr>
                              <w:t xml:space="preserve"> the </w:t>
                            </w:r>
                            <w:r w:rsidRPr="00B71BDA">
                              <w:rPr>
                                <w:rFonts w:ascii="Times New Roman" w:hAnsi="Times New Roman" w:cs="Times New Roman"/>
                              </w:rPr>
                              <w:t xml:space="preserve">elevated </w:t>
                            </w:r>
                            <w:r w:rsidRPr="001C17BD">
                              <w:rPr>
                                <w:rFonts w:ascii="Times New Roman" w:hAnsi="Times New Roman" w:cs="Times New Roman"/>
                              </w:rPr>
                              <w:t xml:space="preserve">risk of mortality due to cardiovascular disease in </w:t>
                            </w:r>
                            <w:r w:rsidRPr="00B71BDA">
                              <w:rPr>
                                <w:rFonts w:ascii="Times New Roman" w:hAnsi="Times New Roman" w:cs="Times New Roman"/>
                              </w:rPr>
                              <w:t xml:space="preserve">this population. </w:t>
                            </w:r>
                          </w:p>
                          <w:p w14:paraId="49601202" w14:textId="77777777" w:rsidR="001E13FA" w:rsidRPr="007A61FE" w:rsidRDefault="001E13FA" w:rsidP="001C17BD">
                            <w:pPr>
                              <w:jc w:val="both"/>
                              <w:rPr>
                                <w:rFonts w:ascii="Times New Roman" w:hAnsi="Times New Roman" w:cs="Times New Roman"/>
                                <w:b/>
                                <w:bCs/>
                              </w:rPr>
                            </w:pPr>
                          </w:p>
                          <w:p w14:paraId="059FBD15" w14:textId="77777777" w:rsidR="001E13FA" w:rsidRPr="00302CE1" w:rsidRDefault="001E13FA" w:rsidP="001C17BD">
                            <w:pPr>
                              <w:jc w:val="both"/>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8484C" id="_x0000_t202" coordsize="21600,21600" o:spt="202" path="m,l,21600r21600,l21600,xe">
                <v:stroke joinstyle="miter"/>
                <v:path gradientshapeok="t" o:connecttype="rect"/>
              </v:shapetype>
              <v:shape id="Text Box 1" o:spid="_x0000_s1026" type="#_x0000_t202" style="position:absolute;left:0;text-align:left;margin-left:0;margin-top:12.65pt;width:446.95pt;height:2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" fillcolor="white [3201]" strokeweight=".5pt">
                <v:textbox>
                  <w:txbxContent>
                    <w:p w14:paraId="17F916C8" w14:textId="0A760FDB" w:rsidR="001E13FA" w:rsidRDefault="001E13FA" w:rsidP="001C17BD">
                      <w:pPr>
                        <w:rPr>
                          <w:rFonts w:ascii="Times New Roman" w:hAnsi="Times New Roman" w:cs="Times New Roman"/>
                          <w:b/>
                          <w:bCs/>
                        </w:rPr>
                      </w:pPr>
                      <w:r>
                        <w:rPr>
                          <w:rFonts w:ascii="Times New Roman" w:hAnsi="Times New Roman" w:cs="Times New Roman"/>
                          <w:b/>
                          <w:bCs/>
                        </w:rPr>
                        <w:t>How this fits in</w:t>
                      </w:r>
                    </w:p>
                    <w:p w14:paraId="6524A1CD" w14:textId="0FE0FA3B" w:rsidR="001E13FA" w:rsidRPr="001C17BD" w:rsidRDefault="001E13FA" w:rsidP="001C17BD">
                      <w:pPr>
                        <w:jc w:val="both"/>
                        <w:rPr>
                          <w:rFonts w:ascii="Times New Roman" w:hAnsi="Times New Roman" w:cs="Times New Roman"/>
                        </w:rPr>
                      </w:pPr>
                      <w:r w:rsidRPr="001C17BD">
                        <w:rPr>
                          <w:rFonts w:ascii="Times New Roman" w:hAnsi="Times New Roman" w:cs="Times New Roman"/>
                        </w:rPr>
                        <w:t>People with severe mental illnesses (SMI) have poorer physical health and a lower life expectancy by around 20 years than the general population, mostly due to comorbid non-communicable diseases.</w:t>
                      </w:r>
                      <w:r w:rsidRPr="00B71BDA">
                        <w:rPr>
                          <w:rFonts w:ascii="Times New Roman" w:hAnsi="Times New Roman" w:cs="Times New Roman"/>
                        </w:rPr>
                        <w:t xml:space="preserve"> </w:t>
                      </w:r>
                      <w:r w:rsidRPr="001C17BD">
                        <w:rPr>
                          <w:rFonts w:ascii="Times New Roman" w:hAnsi="Times New Roman" w:cs="Times New Roman"/>
                        </w:rPr>
                        <w:t xml:space="preserve">Diabetes contributes significantly to this health inequality through multiple mechanisms including a 2-3 times higher prevalence, increased incidence of diabetes complications, and its interaction with SMI in aspects of health behaviours, access to health services and effectiveness of treatments. National guidelines have recommended regular screening for diabetes in people with SMI and monitoring of metabolic risk factors in people with diabetes. </w:t>
                      </w:r>
                      <w:r w:rsidRPr="00B71BDA">
                        <w:rPr>
                          <w:rFonts w:ascii="Times New Roman" w:hAnsi="Times New Roman" w:cs="Times New Roman"/>
                        </w:rPr>
                        <w:t>T</w:t>
                      </w:r>
                      <w:r w:rsidRPr="00EA306B">
                        <w:rPr>
                          <w:rFonts w:ascii="Times New Roman" w:hAnsi="Times New Roman" w:cs="Times New Roman"/>
                        </w:rPr>
                        <w:t xml:space="preserve">his </w:t>
                      </w:r>
                      <w:r w:rsidRPr="003E3B5D">
                        <w:rPr>
                          <w:rFonts w:ascii="Times New Roman" w:hAnsi="Times New Roman" w:cs="Times New Roman"/>
                        </w:rPr>
                        <w:t xml:space="preserve">study </w:t>
                      </w:r>
                      <w:r w:rsidRPr="00B71BDA">
                        <w:rPr>
                          <w:rFonts w:ascii="Times New Roman" w:hAnsi="Times New Roman" w:cs="Times New Roman"/>
                        </w:rPr>
                        <w:t xml:space="preserve">has provided new evidence that </w:t>
                      </w:r>
                      <w:r w:rsidRPr="001C17BD">
                        <w:rPr>
                          <w:rFonts w:ascii="Times New Roman" w:hAnsi="Times New Roman" w:cs="Times New Roman"/>
                        </w:rPr>
                        <w:t xml:space="preserve">monitoring of diabetes and metabolic control </w:t>
                      </w:r>
                      <w:r>
                        <w:rPr>
                          <w:rFonts w:ascii="Times New Roman" w:hAnsi="Times New Roman" w:cs="Times New Roman"/>
                        </w:rPr>
                        <w:t xml:space="preserve">is </w:t>
                      </w:r>
                      <w:r w:rsidRPr="001C17BD">
                        <w:rPr>
                          <w:rFonts w:ascii="Times New Roman" w:hAnsi="Times New Roman" w:cs="Times New Roman"/>
                        </w:rPr>
                        <w:t xml:space="preserve">no worse for people with SMI and diabetes compared to people with diabetes alone. However, </w:t>
                      </w:r>
                      <w:r w:rsidRPr="00B71BDA">
                        <w:rPr>
                          <w:rFonts w:ascii="Times New Roman" w:hAnsi="Times New Roman" w:cs="Times New Roman"/>
                        </w:rPr>
                        <w:t>p</w:t>
                      </w:r>
                      <w:r w:rsidRPr="001C17BD">
                        <w:rPr>
                          <w:rFonts w:ascii="Times New Roman" w:hAnsi="Times New Roman" w:cs="Times New Roman"/>
                        </w:rPr>
                        <w:t xml:space="preserve">eople with SMI </w:t>
                      </w:r>
                      <w:r>
                        <w:rPr>
                          <w:rFonts w:ascii="Times New Roman" w:hAnsi="Times New Roman" w:cs="Times New Roman"/>
                        </w:rPr>
                        <w:t>are</w:t>
                      </w:r>
                      <w:r w:rsidRPr="001C17BD">
                        <w:rPr>
                          <w:rFonts w:ascii="Times New Roman" w:hAnsi="Times New Roman" w:cs="Times New Roman"/>
                        </w:rPr>
                        <w:t xml:space="preserve"> under-diagnosed for cardiovascular disease in primary care and consequently </w:t>
                      </w:r>
                      <w:r>
                        <w:rPr>
                          <w:rFonts w:ascii="Times New Roman" w:hAnsi="Times New Roman" w:cs="Times New Roman"/>
                        </w:rPr>
                        <w:t>have</w:t>
                      </w:r>
                      <w:r w:rsidRPr="001C17BD">
                        <w:rPr>
                          <w:rFonts w:ascii="Times New Roman" w:hAnsi="Times New Roman" w:cs="Times New Roman"/>
                        </w:rPr>
                        <w:t xml:space="preserve"> poorer access to specialist and elective hospital care</w:t>
                      </w:r>
                      <w:r w:rsidRPr="00B71BDA">
                        <w:rPr>
                          <w:rFonts w:ascii="Times New Roman" w:hAnsi="Times New Roman" w:cs="Times New Roman"/>
                        </w:rPr>
                        <w:t xml:space="preserve">, which might </w:t>
                      </w:r>
                      <w:r>
                        <w:rPr>
                          <w:rFonts w:ascii="Times New Roman" w:hAnsi="Times New Roman" w:cs="Times New Roman"/>
                        </w:rPr>
                        <w:t>explain</w:t>
                      </w:r>
                      <w:r w:rsidRPr="00EA306B">
                        <w:rPr>
                          <w:rFonts w:ascii="Times New Roman" w:hAnsi="Times New Roman" w:cs="Times New Roman"/>
                        </w:rPr>
                        <w:t xml:space="preserve"> the </w:t>
                      </w:r>
                      <w:r w:rsidRPr="00B71BDA">
                        <w:rPr>
                          <w:rFonts w:ascii="Times New Roman" w:hAnsi="Times New Roman" w:cs="Times New Roman"/>
                        </w:rPr>
                        <w:t xml:space="preserve">elevated </w:t>
                      </w:r>
                      <w:r w:rsidRPr="001C17BD">
                        <w:rPr>
                          <w:rFonts w:ascii="Times New Roman" w:hAnsi="Times New Roman" w:cs="Times New Roman"/>
                        </w:rPr>
                        <w:t xml:space="preserve">risk of mortality due to cardiovascular disease in </w:t>
                      </w:r>
                      <w:r w:rsidRPr="00B71BDA">
                        <w:rPr>
                          <w:rFonts w:ascii="Times New Roman" w:hAnsi="Times New Roman" w:cs="Times New Roman"/>
                        </w:rPr>
                        <w:t xml:space="preserve">this population. </w:t>
                      </w:r>
                    </w:p>
                    <w:p w14:paraId="49601202" w14:textId="77777777" w:rsidR="001E13FA" w:rsidRPr="007A61FE" w:rsidRDefault="001E13FA" w:rsidP="001C17BD">
                      <w:pPr>
                        <w:jc w:val="both"/>
                        <w:rPr>
                          <w:rFonts w:ascii="Times New Roman" w:hAnsi="Times New Roman" w:cs="Times New Roman"/>
                          <w:b/>
                          <w:bCs/>
                        </w:rPr>
                      </w:pPr>
                    </w:p>
                    <w:p w14:paraId="059FBD15" w14:textId="77777777" w:rsidR="001E13FA" w:rsidRPr="00302CE1" w:rsidRDefault="001E13FA" w:rsidP="001C17BD">
                      <w:pPr>
                        <w:jc w:val="both"/>
                        <w:rPr>
                          <w:rFonts w:ascii="Times New Roman" w:hAnsi="Times New Roman" w:cs="Times New Roman"/>
                          <w:b/>
                          <w:bCs/>
                        </w:rPr>
                      </w:pPr>
                    </w:p>
                  </w:txbxContent>
                </v:textbox>
                <w10:wrap type="topAndBottom"/>
              </v:shape>
            </w:pict>
          </mc:Fallback>
        </mc:AlternateContent>
      </w:r>
    </w:p>
    <w:p w14:paraId="76D11A70" w14:textId="493CA56B" w:rsidR="007734E7" w:rsidRPr="00450F34" w:rsidRDefault="007734E7">
      <w:pPr>
        <w:tabs>
          <w:tab w:val="left" w:pos="2723"/>
        </w:tabs>
        <w:jc w:val="both"/>
        <w:rPr>
          <w:rFonts w:ascii="Times New Roman" w:hAnsi="Times New Roman" w:cs="Times New Roman"/>
          <w:b/>
          <w:bCs/>
        </w:rPr>
      </w:pPr>
      <w:r w:rsidRPr="00D038B6">
        <w:rPr>
          <w:rFonts w:ascii="Times New Roman" w:hAnsi="Times New Roman" w:cs="Times New Roman"/>
          <w:b/>
          <w:bCs/>
        </w:rPr>
        <w:t>Funding</w:t>
      </w:r>
      <w:r w:rsidR="00B71BDA">
        <w:rPr>
          <w:rFonts w:ascii="Times New Roman" w:hAnsi="Times New Roman" w:cs="Times New Roman"/>
          <w:b/>
          <w:bCs/>
        </w:rPr>
        <w:tab/>
      </w:r>
    </w:p>
    <w:p w14:paraId="4EF02A7B" w14:textId="4027C4AD" w:rsidR="007734E7" w:rsidRDefault="007734E7">
      <w:pPr>
        <w:jc w:val="both"/>
        <w:rPr>
          <w:rFonts w:ascii="Times New Roman" w:hAnsi="Times New Roman" w:cs="Times New Roman"/>
        </w:rPr>
      </w:pPr>
      <w:r w:rsidRPr="007F4D98">
        <w:rPr>
          <w:rFonts w:ascii="Times New Roman" w:hAnsi="Times New Roman" w:cs="Times New Roman"/>
        </w:rPr>
        <w:t xml:space="preserve">This publication presents independent research funded by the National Institute for Health Research (NIHR) Health Services and Delivery Research (HS&amp;DR) programme (ref 15/70/26). SG, NS, SLP and RJ were </w:t>
      </w:r>
      <w:r w:rsidR="002614C8">
        <w:rPr>
          <w:rFonts w:ascii="Times New Roman" w:hAnsi="Times New Roman" w:cs="Times New Roman"/>
        </w:rPr>
        <w:t xml:space="preserve">also </w:t>
      </w:r>
      <w:r w:rsidRPr="007F4D98">
        <w:rPr>
          <w:rFonts w:ascii="Times New Roman" w:hAnsi="Times New Roman" w:cs="Times New Roman"/>
        </w:rPr>
        <w:t xml:space="preserve">funded by the NIHR Yorkshire and Humber Applied Research Collaboration (NIHR YH-ARC), </w:t>
      </w:r>
      <w:hyperlink r:id="rId10" w:history="1">
        <w:r w:rsidRPr="007F4D98">
          <w:rPr>
            <w:rStyle w:val="Hyperlink"/>
            <w:rFonts w:ascii="Times New Roman" w:hAnsi="Times New Roman" w:cs="Times New Roman"/>
          </w:rPr>
          <w:t>https://www.arc-yh.nihr.ac.uk/</w:t>
        </w:r>
      </w:hyperlink>
      <w:r w:rsidRPr="007F4D98">
        <w:rPr>
          <w:rFonts w:ascii="Times New Roman" w:hAnsi="Times New Roman" w:cs="Times New Roman"/>
        </w:rPr>
        <w:t xml:space="preserve">. </w:t>
      </w:r>
      <w:r w:rsidR="006F7A04">
        <w:rPr>
          <w:rFonts w:ascii="Times New Roman" w:hAnsi="Times New Roman" w:cs="Times New Roman"/>
        </w:rPr>
        <w:t xml:space="preserve">LH was also funded by the </w:t>
      </w:r>
      <w:r w:rsidR="006F7A04" w:rsidRPr="006F7A04">
        <w:rPr>
          <w:rFonts w:ascii="Times New Roman" w:hAnsi="Times New Roman" w:cs="Times New Roman"/>
        </w:rPr>
        <w:t>UK Research and Innovation</w:t>
      </w:r>
      <w:r w:rsidR="006F7A04">
        <w:rPr>
          <w:rFonts w:ascii="Times New Roman" w:hAnsi="Times New Roman" w:cs="Times New Roman"/>
        </w:rPr>
        <w:t xml:space="preserve"> (UKRI) </w:t>
      </w:r>
      <w:r w:rsidR="006F7A04" w:rsidRPr="006F7A04">
        <w:rPr>
          <w:rFonts w:ascii="Times New Roman" w:hAnsi="Times New Roman" w:cs="Times New Roman"/>
        </w:rPr>
        <w:t>Closing the Gap network</w:t>
      </w:r>
      <w:r w:rsidR="006F7A04">
        <w:rPr>
          <w:rFonts w:ascii="Times New Roman" w:hAnsi="Times New Roman" w:cs="Times New Roman"/>
        </w:rPr>
        <w:t xml:space="preserve"> (</w:t>
      </w:r>
      <w:r w:rsidR="006F7A04" w:rsidRPr="006F7A04">
        <w:rPr>
          <w:rFonts w:ascii="Times New Roman" w:hAnsi="Times New Roman" w:cs="Times New Roman"/>
        </w:rPr>
        <w:t>ES/S004459/1</w:t>
      </w:r>
      <w:r w:rsidR="006F7A04">
        <w:rPr>
          <w:rFonts w:ascii="Times New Roman" w:hAnsi="Times New Roman" w:cs="Times New Roman"/>
        </w:rPr>
        <w:t xml:space="preserve">). </w:t>
      </w:r>
      <w:r w:rsidRPr="007F4D98">
        <w:rPr>
          <w:rFonts w:ascii="Times New Roman" w:hAnsi="Times New Roman" w:cs="Times New Roman"/>
        </w:rPr>
        <w:t>The views expressed are those of the authors and not necessarily those of the HS&amp;DR programme, the NHS, the NIHR</w:t>
      </w:r>
      <w:r w:rsidR="006F7A04">
        <w:rPr>
          <w:rFonts w:ascii="Times New Roman" w:hAnsi="Times New Roman" w:cs="Times New Roman"/>
        </w:rPr>
        <w:t xml:space="preserve">, </w:t>
      </w:r>
      <w:r w:rsidRPr="007F4D98">
        <w:rPr>
          <w:rFonts w:ascii="Times New Roman" w:hAnsi="Times New Roman" w:cs="Times New Roman"/>
        </w:rPr>
        <w:t>the Department of Health and Social Care</w:t>
      </w:r>
      <w:r w:rsidR="006F7A04">
        <w:rPr>
          <w:rFonts w:ascii="Times New Roman" w:hAnsi="Times New Roman" w:cs="Times New Roman"/>
        </w:rPr>
        <w:t xml:space="preserve">, </w:t>
      </w:r>
      <w:r w:rsidR="006F7A04" w:rsidRPr="006F7A04">
        <w:rPr>
          <w:rFonts w:ascii="Times New Roman" w:hAnsi="Times New Roman" w:cs="Times New Roman"/>
        </w:rPr>
        <w:t>the Closing the Gap network or UKRI</w:t>
      </w:r>
      <w:r w:rsidRPr="007F4D98">
        <w:rPr>
          <w:rFonts w:ascii="Times New Roman" w:hAnsi="Times New Roman" w:cs="Times New Roman"/>
        </w:rPr>
        <w:t xml:space="preserve">. </w:t>
      </w:r>
    </w:p>
    <w:p w14:paraId="6E9A8AD2" w14:textId="7EEC23B3" w:rsidR="007734E7" w:rsidRPr="007F4D98" w:rsidRDefault="007734E7">
      <w:pPr>
        <w:jc w:val="both"/>
        <w:rPr>
          <w:rFonts w:ascii="Times New Roman" w:hAnsi="Times New Roman" w:cs="Times New Roman"/>
        </w:rPr>
      </w:pPr>
    </w:p>
    <w:p w14:paraId="39CC87D6" w14:textId="77777777" w:rsidR="007734E7" w:rsidRPr="00425B39" w:rsidRDefault="007734E7">
      <w:pPr>
        <w:jc w:val="both"/>
        <w:rPr>
          <w:rFonts w:ascii="Times New Roman" w:hAnsi="Times New Roman" w:cs="Times New Roman"/>
        </w:rPr>
      </w:pPr>
      <w:r w:rsidRPr="00425B39">
        <w:rPr>
          <w:rFonts w:ascii="Times New Roman" w:hAnsi="Times New Roman" w:cs="Times New Roman"/>
          <w:b/>
        </w:rPr>
        <w:t>Conflicts of interest disclosures</w:t>
      </w:r>
      <w:r w:rsidRPr="00425B39">
        <w:rPr>
          <w:rFonts w:ascii="Times New Roman" w:hAnsi="Times New Roman" w:cs="Times New Roman"/>
        </w:rPr>
        <w:t>:</w:t>
      </w:r>
    </w:p>
    <w:p w14:paraId="7683E5CB" w14:textId="77777777" w:rsidR="007734E7" w:rsidRDefault="007734E7">
      <w:pPr>
        <w:jc w:val="both"/>
        <w:rPr>
          <w:rFonts w:ascii="Times New Roman" w:hAnsi="Times New Roman" w:cs="Times New Roman"/>
        </w:rPr>
      </w:pPr>
      <w:r w:rsidRPr="00425B39">
        <w:rPr>
          <w:rFonts w:ascii="Times New Roman" w:hAnsi="Times New Roman" w:cs="Times New Roman"/>
        </w:rPr>
        <w:t>SLA has received funding from the Wellcome Institutional Strategic Support Fund and a National Institute of Health Research (NIHR) Clinical Trials Fellowship. SLA is a member of the Health Services &amp; Delivery Research funding committee. SG is deputy chair of the NIHR Health Technology Assessment (HTA) Commissioning Board, and a member of the HTA Commissioning Committee, the HTA Funding Committee Policy Group, and the HTA Post-Funding Committee teleconference. CH is a member of the NIHR HTA Commissioning Board (2015-current). RIGH has received honoraria for speaker engagement, conference attendance or advisory boards from: AstraZeneca, Boehringer-Ingelheim, European Association for the Study of Diabetes, Eli Lilly, Janssen, Menarini, Mylan, Novo Nordisk and Omniamed, Otsuka. RIGH was a member of the HTA Prioritisation Committee C (Mental Health, Women and Children’s Health) until July 2019. DS is an expert advisor to the National Institute for Health and Care Excellence (NICE) centre for guidelines and a member of the current NICE guideline development group for Rehabilitation in adults with complex psychosis and related severe mental health conditions; a Board member of the National Collaborating Centre for Mental Health (NCCMH); a Clinical Advisor (paid consultancy basis) to the National Clinical Audit of Psychosis (NCAP); these are the personal views of DS and not those of NICE, NCCMH or NCAP. DS has received personal fees from Wiley Blackwell publication “Promoting Recovery in Early Psychosis” 2010, ISBN 978-1-4051-4894-8, joint editor in receipt of royalties, outside the submitted work; personal fees received as member of the current NICE guideline development group for Rehabilitation in adults with complex psychosis and related severe mental health conditions. LH</w:t>
      </w:r>
      <w:r>
        <w:rPr>
          <w:rFonts w:ascii="Times New Roman" w:hAnsi="Times New Roman" w:cs="Times New Roman"/>
        </w:rPr>
        <w:t>,</w:t>
      </w:r>
      <w:r w:rsidRPr="00425B39">
        <w:rPr>
          <w:rFonts w:ascii="Times New Roman" w:hAnsi="Times New Roman" w:cs="Times New Roman"/>
        </w:rPr>
        <w:t xml:space="preserve"> TD</w:t>
      </w:r>
      <w:r>
        <w:rPr>
          <w:rFonts w:ascii="Times New Roman" w:hAnsi="Times New Roman" w:cs="Times New Roman"/>
        </w:rPr>
        <w:t xml:space="preserve">, </w:t>
      </w:r>
      <w:r w:rsidRPr="00425B39">
        <w:rPr>
          <w:rFonts w:ascii="Times New Roman" w:hAnsi="Times New Roman" w:cs="Times New Roman"/>
        </w:rPr>
        <w:t>RJ</w:t>
      </w:r>
      <w:r>
        <w:rPr>
          <w:rFonts w:ascii="Times New Roman" w:hAnsi="Times New Roman" w:cs="Times New Roman"/>
        </w:rPr>
        <w:t xml:space="preserve">, </w:t>
      </w:r>
      <w:r w:rsidRPr="00425B39">
        <w:rPr>
          <w:rFonts w:ascii="Times New Roman" w:hAnsi="Times New Roman" w:cs="Times New Roman"/>
        </w:rPr>
        <w:t>SLP</w:t>
      </w:r>
      <w:r>
        <w:rPr>
          <w:rFonts w:ascii="Times New Roman" w:hAnsi="Times New Roman" w:cs="Times New Roman"/>
        </w:rPr>
        <w:t xml:space="preserve">, HW, </w:t>
      </w:r>
      <w:r w:rsidRPr="00425B39">
        <w:rPr>
          <w:rFonts w:ascii="Times New Roman" w:hAnsi="Times New Roman" w:cs="Times New Roman"/>
        </w:rPr>
        <w:t>SB</w:t>
      </w:r>
      <w:r>
        <w:rPr>
          <w:rFonts w:ascii="Times New Roman" w:hAnsi="Times New Roman" w:cs="Times New Roman"/>
        </w:rPr>
        <w:t xml:space="preserve">, </w:t>
      </w:r>
      <w:r w:rsidRPr="00425B39">
        <w:rPr>
          <w:rFonts w:ascii="Times New Roman" w:hAnsi="Times New Roman" w:cs="Times New Roman"/>
        </w:rPr>
        <w:t>CEWK</w:t>
      </w:r>
      <w:r>
        <w:rPr>
          <w:rFonts w:ascii="Times New Roman" w:hAnsi="Times New Roman" w:cs="Times New Roman"/>
        </w:rPr>
        <w:t>,</w:t>
      </w:r>
      <w:r w:rsidRPr="00425B39">
        <w:rPr>
          <w:rFonts w:ascii="Times New Roman" w:hAnsi="Times New Roman" w:cs="Times New Roman"/>
        </w:rPr>
        <w:t xml:space="preserve"> JL</w:t>
      </w:r>
      <w:r>
        <w:rPr>
          <w:rFonts w:ascii="Times New Roman" w:hAnsi="Times New Roman" w:cs="Times New Roman"/>
        </w:rPr>
        <w:t>,</w:t>
      </w:r>
      <w:r w:rsidRPr="00425B39">
        <w:rPr>
          <w:rFonts w:ascii="Times New Roman" w:hAnsi="Times New Roman" w:cs="Times New Roman"/>
        </w:rPr>
        <w:t xml:space="preserve"> JT</w:t>
      </w:r>
      <w:r>
        <w:rPr>
          <w:rFonts w:ascii="Times New Roman" w:hAnsi="Times New Roman" w:cs="Times New Roman"/>
        </w:rPr>
        <w:t xml:space="preserve"> and </w:t>
      </w:r>
      <w:r w:rsidRPr="00425B39">
        <w:rPr>
          <w:rFonts w:ascii="Times New Roman" w:hAnsi="Times New Roman" w:cs="Times New Roman"/>
        </w:rPr>
        <w:t>NS declare no conflicts of interest</w:t>
      </w:r>
      <w:r>
        <w:rPr>
          <w:rFonts w:ascii="Times New Roman" w:hAnsi="Times New Roman" w:cs="Times New Roman"/>
        </w:rPr>
        <w:t>.</w:t>
      </w:r>
    </w:p>
    <w:p w14:paraId="21DB42AC" w14:textId="42347213" w:rsidR="00D038B6" w:rsidRPr="00D038B6" w:rsidRDefault="00D038B6" w:rsidP="006F7A04">
      <w:pPr>
        <w:jc w:val="both"/>
        <w:rPr>
          <w:rFonts w:ascii="Times New Roman" w:hAnsi="Times New Roman" w:cs="Times New Roman"/>
        </w:rPr>
        <w:sectPr w:rsidR="00D038B6" w:rsidRPr="00D038B6">
          <w:footerReference w:type="even" r:id="rId11"/>
          <w:footerReference w:type="default" r:id="rId12"/>
          <w:pgSz w:w="11906" w:h="16838"/>
          <w:pgMar w:top="1440" w:right="1440" w:bottom="1440" w:left="1440" w:header="708" w:footer="708" w:gutter="0"/>
          <w:cols w:space="708"/>
          <w:docGrid w:linePitch="360"/>
        </w:sectPr>
      </w:pPr>
    </w:p>
    <w:p w14:paraId="73999560" w14:textId="77777777" w:rsidR="00235A7D" w:rsidRPr="00AA5331" w:rsidRDefault="00AA5331" w:rsidP="00CB0B74">
      <w:pPr>
        <w:jc w:val="both"/>
        <w:rPr>
          <w:rFonts w:ascii="Times New Roman" w:hAnsi="Times New Roman" w:cs="Times New Roman"/>
          <w:b/>
        </w:rPr>
      </w:pPr>
      <w:r w:rsidRPr="00AA5331">
        <w:rPr>
          <w:rFonts w:ascii="Times New Roman" w:hAnsi="Times New Roman" w:cs="Times New Roman"/>
          <w:b/>
        </w:rPr>
        <w:t>References</w:t>
      </w:r>
    </w:p>
    <w:p w14:paraId="66047C5C" w14:textId="77777777" w:rsidR="00AA5331" w:rsidRPr="00AA5331" w:rsidRDefault="00AA5331" w:rsidP="00212CB4">
      <w:pPr>
        <w:pStyle w:val="ListParagraph"/>
        <w:numPr>
          <w:ilvl w:val="0"/>
          <w:numId w:val="1"/>
        </w:numPr>
        <w:spacing w:line="240" w:lineRule="auto"/>
        <w:ind w:left="714" w:hanging="357"/>
        <w:contextualSpacing w:val="0"/>
        <w:rPr>
          <w:rFonts w:ascii="Times New Roman" w:hAnsi="Times New Roman" w:cs="Times New Roman"/>
        </w:rPr>
      </w:pPr>
      <w:r w:rsidRPr="00AA5331">
        <w:rPr>
          <w:rFonts w:ascii="Times New Roman" w:hAnsi="Times New Roman" w:cs="Times New Roman"/>
        </w:rPr>
        <w:t xml:space="preserve">Chesney E, Goodwin GM, Fazel S. Risks of all-cause and suicide mortality in mental disorders: a meta-review. </w:t>
      </w:r>
      <w:r w:rsidRPr="00AA5331">
        <w:rPr>
          <w:rFonts w:ascii="Times New Roman" w:hAnsi="Times New Roman" w:cs="Times New Roman"/>
          <w:i/>
        </w:rPr>
        <w:t>World Psychiatry</w:t>
      </w:r>
      <w:r w:rsidRPr="00AA5331">
        <w:rPr>
          <w:rFonts w:ascii="Times New Roman" w:hAnsi="Times New Roman" w:cs="Times New Roman"/>
        </w:rPr>
        <w:t xml:space="preserve"> 2014;</w:t>
      </w:r>
      <w:r w:rsidRPr="00AA5331">
        <w:rPr>
          <w:rFonts w:ascii="Times New Roman" w:hAnsi="Times New Roman" w:cs="Times New Roman"/>
          <w:b/>
        </w:rPr>
        <w:t>13</w:t>
      </w:r>
      <w:r w:rsidRPr="00AA5331">
        <w:rPr>
          <w:rFonts w:ascii="Times New Roman" w:hAnsi="Times New Roman" w:cs="Times New Roman"/>
        </w:rPr>
        <w:t>:153-60. https://doi.org/10.1002/wps.20128</w:t>
      </w:r>
    </w:p>
    <w:p w14:paraId="5523B242" w14:textId="77777777" w:rsidR="00AA5331" w:rsidRDefault="00AA5331" w:rsidP="00212CB4">
      <w:pPr>
        <w:pStyle w:val="ListParagraph"/>
        <w:numPr>
          <w:ilvl w:val="0"/>
          <w:numId w:val="1"/>
        </w:numPr>
        <w:spacing w:line="240" w:lineRule="auto"/>
        <w:ind w:left="714" w:hanging="357"/>
        <w:contextualSpacing w:val="0"/>
        <w:rPr>
          <w:rFonts w:ascii="Times New Roman" w:hAnsi="Times New Roman" w:cs="Times New Roman"/>
        </w:rPr>
      </w:pPr>
      <w:r w:rsidRPr="00AA5331">
        <w:rPr>
          <w:rFonts w:ascii="Times New Roman" w:hAnsi="Times New Roman" w:cs="Times New Roman"/>
        </w:rPr>
        <w:t xml:space="preserve">National Mental Health Intelligence Network. </w:t>
      </w:r>
      <w:r w:rsidRPr="00AA5331">
        <w:rPr>
          <w:rFonts w:ascii="Times New Roman" w:hAnsi="Times New Roman" w:cs="Times New Roman"/>
          <w:i/>
        </w:rPr>
        <w:t>Severe mental illness (SMI) and physical health inequalities: briefing:</w:t>
      </w:r>
      <w:r w:rsidRPr="00AA5331">
        <w:rPr>
          <w:rFonts w:ascii="Times New Roman" w:hAnsi="Times New Roman" w:cs="Times New Roman"/>
        </w:rPr>
        <w:t xml:space="preserve"> Public Health England; 2018.</w:t>
      </w:r>
    </w:p>
    <w:p w14:paraId="557A69D6" w14:textId="53348500" w:rsidR="00AA5331" w:rsidRDefault="00AA5331" w:rsidP="00212CB4">
      <w:pPr>
        <w:pStyle w:val="ListParagraph"/>
        <w:numPr>
          <w:ilvl w:val="0"/>
          <w:numId w:val="1"/>
        </w:numPr>
        <w:spacing w:line="240" w:lineRule="auto"/>
        <w:ind w:left="714" w:hanging="357"/>
        <w:contextualSpacing w:val="0"/>
        <w:rPr>
          <w:rFonts w:ascii="Times New Roman" w:hAnsi="Times New Roman" w:cs="Times New Roman"/>
        </w:rPr>
      </w:pPr>
      <w:r w:rsidRPr="00AA5331">
        <w:rPr>
          <w:rFonts w:ascii="Times New Roman" w:hAnsi="Times New Roman" w:cs="Times New Roman"/>
        </w:rPr>
        <w:t>Firth J, Siddiqi N, Koyanagi A, et al. The Lancet Psychiatry Commission: a blueprint for protecting physical health in people with mental illness.</w:t>
      </w:r>
      <w:r w:rsidR="00777FC6">
        <w:rPr>
          <w:rFonts w:ascii="Times New Roman" w:hAnsi="Times New Roman" w:cs="Times New Roman"/>
        </w:rPr>
        <w:t xml:space="preserve"> </w:t>
      </w:r>
      <w:r w:rsidRPr="00AA5331">
        <w:rPr>
          <w:rFonts w:ascii="Times New Roman" w:hAnsi="Times New Roman" w:cs="Times New Roman"/>
          <w:i/>
        </w:rPr>
        <w:t>Lancet Psychiatry</w:t>
      </w:r>
      <w:r w:rsidRPr="00AA5331">
        <w:rPr>
          <w:rFonts w:ascii="Times New Roman" w:hAnsi="Times New Roman" w:cs="Times New Roman"/>
        </w:rPr>
        <w:t xml:space="preserve"> 2019;6:675-712.</w:t>
      </w:r>
    </w:p>
    <w:p w14:paraId="543B2B1B" w14:textId="4EA3B608" w:rsidR="00570C24" w:rsidRDefault="00570C24"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Vancampfort D, Correll CU, Galling B, et al. Diabetes mellitus in people with schizophrenia, bipolar disorder and major depressive disorder: a systematic review and large scale meta-analysis. </w:t>
      </w:r>
      <w:r w:rsidRPr="00D87237">
        <w:rPr>
          <w:rFonts w:ascii="Times New Roman" w:hAnsi="Times New Roman" w:cs="Times New Roman"/>
          <w:i/>
        </w:rPr>
        <w:t>World Psychiatry</w:t>
      </w:r>
      <w:r w:rsidRPr="00D87237">
        <w:rPr>
          <w:rFonts w:ascii="Times New Roman" w:hAnsi="Times New Roman" w:cs="Times New Roman"/>
        </w:rPr>
        <w:t xml:space="preserve"> 2016;15:166-74. </w:t>
      </w:r>
      <w:hyperlink r:id="rId13" w:history="1">
        <w:r w:rsidR="00B82F22" w:rsidRPr="001230BF">
          <w:rPr>
            <w:rStyle w:val="Hyperlink"/>
            <w:rFonts w:ascii="Times New Roman" w:hAnsi="Times New Roman" w:cs="Times New Roman"/>
          </w:rPr>
          <w:t>https://doi.org/10.1002/wps.20309</w:t>
        </w:r>
      </w:hyperlink>
    </w:p>
    <w:p w14:paraId="608C388B" w14:textId="44EC7436" w:rsidR="00B82F22" w:rsidRPr="00FC2E74" w:rsidRDefault="00B82F22" w:rsidP="00212CB4">
      <w:pPr>
        <w:pStyle w:val="ListParagraph"/>
        <w:numPr>
          <w:ilvl w:val="0"/>
          <w:numId w:val="1"/>
        </w:numPr>
        <w:spacing w:line="240" w:lineRule="auto"/>
        <w:ind w:left="714" w:hanging="357"/>
        <w:contextualSpacing w:val="0"/>
      </w:pPr>
      <w:r>
        <w:rPr>
          <w:rFonts w:ascii="Times New Roman" w:hAnsi="Times New Roman" w:cs="Times New Roman"/>
        </w:rPr>
        <w:t>Smith DJ, Langan J, McLean</w:t>
      </w:r>
      <w:r w:rsidRPr="00C754E5">
        <w:rPr>
          <w:rFonts w:ascii="Times New Roman" w:hAnsi="Times New Roman" w:cs="Times New Roman"/>
        </w:rPr>
        <w:t xml:space="preserve"> </w:t>
      </w:r>
      <w:r>
        <w:rPr>
          <w:rFonts w:ascii="Times New Roman" w:hAnsi="Times New Roman" w:cs="Times New Roman"/>
        </w:rPr>
        <w:t xml:space="preserve">G, Guthrie B, Mercer SW. </w:t>
      </w:r>
      <w:r w:rsidRPr="00C754E5">
        <w:rPr>
          <w:rFonts w:ascii="Times New Roman" w:hAnsi="Times New Roman" w:cs="Times New Roman"/>
        </w:rPr>
        <w:t xml:space="preserve">Schizophrenia is associated with excess multiple physical-health comorbidities but low levels of recorded cardiovascular disease in primary care: cross-sectional study. </w:t>
      </w:r>
      <w:r w:rsidRPr="00260BE9">
        <w:rPr>
          <w:rFonts w:ascii="Times New Roman" w:hAnsi="Times New Roman" w:cs="Times New Roman"/>
          <w:i/>
        </w:rPr>
        <w:t>BMJ open</w:t>
      </w:r>
      <w:r>
        <w:rPr>
          <w:rFonts w:ascii="Times New Roman" w:hAnsi="Times New Roman" w:cs="Times New Roman"/>
        </w:rPr>
        <w:t xml:space="preserve"> 2013;</w:t>
      </w:r>
      <w:r w:rsidRPr="00C754E5">
        <w:rPr>
          <w:rFonts w:ascii="Times New Roman" w:hAnsi="Times New Roman" w:cs="Times New Roman"/>
        </w:rPr>
        <w:t xml:space="preserve"> 3(4), e002808. </w:t>
      </w:r>
      <w:hyperlink r:id="rId14" w:history="1">
        <w:r w:rsidRPr="0074401E">
          <w:rPr>
            <w:rStyle w:val="Hyperlink"/>
            <w:rFonts w:ascii="Times New Roman" w:hAnsi="Times New Roman" w:cs="Times New Roman"/>
          </w:rPr>
          <w:t>https://doi.org/10.1136/bmjopen-2013-002808</w:t>
        </w:r>
      </w:hyperlink>
    </w:p>
    <w:p w14:paraId="58FC0028" w14:textId="77777777" w:rsidR="00D87237" w:rsidRPr="00D87237" w:rsidRDefault="00D87237"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McCreadie RG, Scottish Schizophrenia Lifestyle Group. Diet, smoking and cardiovascular risk in people with schizophrenia: descriptive study. </w:t>
      </w:r>
      <w:r w:rsidRPr="00D87237">
        <w:rPr>
          <w:rFonts w:ascii="Times New Roman" w:hAnsi="Times New Roman" w:cs="Times New Roman"/>
          <w:i/>
        </w:rPr>
        <w:t>Br J Psychiatry</w:t>
      </w:r>
      <w:r w:rsidRPr="00D87237">
        <w:rPr>
          <w:rFonts w:ascii="Times New Roman" w:hAnsi="Times New Roman" w:cs="Times New Roman"/>
        </w:rPr>
        <w:t xml:space="preserve"> 2003;183:534-9.</w:t>
      </w:r>
    </w:p>
    <w:p w14:paraId="569EDE5D" w14:textId="7DB3BC95" w:rsidR="00D87237" w:rsidRPr="00D87237" w:rsidRDefault="00D87237"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Holt RI, Gossage-Worrall R, Hind D, et al. Structured lifestyle education for people with schizophrenia, schizoaffective disorder and first-episode psychosis (STEPWISE): randomised controlled trial. </w:t>
      </w:r>
      <w:r w:rsidR="00777FC6" w:rsidRPr="00D87237">
        <w:rPr>
          <w:rFonts w:ascii="Times New Roman" w:hAnsi="Times New Roman" w:cs="Times New Roman"/>
          <w:i/>
        </w:rPr>
        <w:t>Br J Psychiatry</w:t>
      </w:r>
      <w:r w:rsidR="00777FC6" w:rsidRPr="00D87237">
        <w:rPr>
          <w:rFonts w:ascii="Times New Roman" w:hAnsi="Times New Roman" w:cs="Times New Roman"/>
        </w:rPr>
        <w:t xml:space="preserve"> </w:t>
      </w:r>
      <w:r w:rsidRPr="00D87237">
        <w:rPr>
          <w:rFonts w:ascii="Times New Roman" w:hAnsi="Times New Roman" w:cs="Times New Roman"/>
        </w:rPr>
        <w:t>2019;214:63-73.</w:t>
      </w:r>
    </w:p>
    <w:p w14:paraId="27C57BD7" w14:textId="23C33A27" w:rsidR="00D87237" w:rsidRPr="00D87237" w:rsidRDefault="00D87237"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Citrome L, Kalsekar I, Baker RA, Hebden T. A review of real-world data on the effects of aripiprazole on weight and metabolic outcomes in adults. </w:t>
      </w:r>
      <w:r w:rsidR="00777FC6" w:rsidRPr="00777FC6">
        <w:rPr>
          <w:rFonts w:ascii="Times New Roman" w:hAnsi="Times New Roman" w:cs="Times New Roman"/>
          <w:i/>
        </w:rPr>
        <w:t xml:space="preserve">Curr Med Res Opin </w:t>
      </w:r>
      <w:r w:rsidRPr="00D87237">
        <w:rPr>
          <w:rFonts w:ascii="Times New Roman" w:hAnsi="Times New Roman" w:cs="Times New Roman"/>
        </w:rPr>
        <w:t>2014;30:1629-41.</w:t>
      </w:r>
    </w:p>
    <w:p w14:paraId="5E2CA9B7" w14:textId="139AAD02" w:rsidR="00D87237" w:rsidRPr="00D87237" w:rsidRDefault="00D87237"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Yood MU, delorenze G, Quesenberry Jr CP, et al. The incidence of diabetes in atypical antipsychotic users differs according to agent—results from a multisite epidemiologic study. </w:t>
      </w:r>
      <w:r w:rsidRPr="00D87237">
        <w:rPr>
          <w:rFonts w:ascii="Times New Roman" w:hAnsi="Times New Roman" w:cs="Times New Roman"/>
          <w:i/>
        </w:rPr>
        <w:t>Pharmacoepidemiol Drug Saf</w:t>
      </w:r>
      <w:r w:rsidRPr="00D87237">
        <w:rPr>
          <w:rFonts w:ascii="Times New Roman" w:hAnsi="Times New Roman" w:cs="Times New Roman"/>
        </w:rPr>
        <w:t xml:space="preserve"> 2009;18:791-9.</w:t>
      </w:r>
    </w:p>
    <w:p w14:paraId="7277BDAD" w14:textId="061AF004" w:rsidR="00D87237" w:rsidRDefault="00D87237" w:rsidP="00212CB4">
      <w:pPr>
        <w:pStyle w:val="ListParagraph"/>
        <w:numPr>
          <w:ilvl w:val="0"/>
          <w:numId w:val="1"/>
        </w:numPr>
        <w:spacing w:line="240" w:lineRule="auto"/>
        <w:ind w:left="714" w:hanging="357"/>
        <w:contextualSpacing w:val="0"/>
        <w:rPr>
          <w:rFonts w:ascii="Times New Roman" w:hAnsi="Times New Roman" w:cs="Times New Roman"/>
        </w:rPr>
      </w:pPr>
      <w:r w:rsidRPr="00D87237">
        <w:rPr>
          <w:rFonts w:ascii="Times New Roman" w:hAnsi="Times New Roman" w:cs="Times New Roman"/>
        </w:rPr>
        <w:t xml:space="preserve">Yood MU, DeLorenze GN, Quesenberry CP, et al. Association between second-generation antipsychotics and newly diagnosed treated diabetes mellitus: does the effect differ by dose? </w:t>
      </w:r>
      <w:r w:rsidRPr="00D87237">
        <w:rPr>
          <w:rFonts w:ascii="Times New Roman" w:hAnsi="Times New Roman" w:cs="Times New Roman"/>
          <w:i/>
        </w:rPr>
        <w:t>BMC Psychiatry</w:t>
      </w:r>
      <w:r w:rsidRPr="00D87237">
        <w:rPr>
          <w:rFonts w:ascii="Times New Roman" w:hAnsi="Times New Roman" w:cs="Times New Roman"/>
        </w:rPr>
        <w:t xml:space="preserve"> 2011;11:197.</w:t>
      </w:r>
    </w:p>
    <w:p w14:paraId="7F0CF94E" w14:textId="20ED120D" w:rsidR="009F46B9" w:rsidRDefault="00212CFB" w:rsidP="00212CB4">
      <w:pPr>
        <w:pStyle w:val="ListParagraph"/>
        <w:numPr>
          <w:ilvl w:val="0"/>
          <w:numId w:val="1"/>
        </w:numPr>
        <w:spacing w:line="240" w:lineRule="auto"/>
        <w:ind w:left="714" w:hanging="357"/>
        <w:contextualSpacing w:val="0"/>
        <w:rPr>
          <w:rFonts w:ascii="Times New Roman" w:hAnsi="Times New Roman" w:cs="Times New Roman"/>
        </w:rPr>
      </w:pPr>
      <w:r w:rsidRPr="00212CFB">
        <w:rPr>
          <w:rFonts w:ascii="Times New Roman" w:hAnsi="Times New Roman" w:cs="Times New Roman"/>
        </w:rPr>
        <w:t xml:space="preserve">Mitchell AJ, Malone D, &amp; Doebbeling CC. (2009). Quality of medical care for people with and without comorbid mental illness and substance misuse: systematic review of comparative studies. </w:t>
      </w:r>
      <w:r w:rsidR="00777FC6" w:rsidRPr="00777FC6">
        <w:rPr>
          <w:rFonts w:ascii="Times New Roman" w:hAnsi="Times New Roman" w:cs="Times New Roman"/>
          <w:i/>
          <w:iCs/>
        </w:rPr>
        <w:t>Br J Psychiatry</w:t>
      </w:r>
      <w:r w:rsidRPr="00212CFB">
        <w:rPr>
          <w:rFonts w:ascii="Times New Roman" w:hAnsi="Times New Roman" w:cs="Times New Roman"/>
        </w:rPr>
        <w:t xml:space="preserve"> </w:t>
      </w:r>
      <w:r w:rsidR="00777FC6" w:rsidRPr="00777FC6">
        <w:rPr>
          <w:rFonts w:ascii="Times New Roman" w:hAnsi="Times New Roman" w:cs="Times New Roman"/>
        </w:rPr>
        <w:t>2009 Jun;194(6):491-9. doi: 10.1192/bjp.bp.107.045732. PMID: 19478286.</w:t>
      </w:r>
    </w:p>
    <w:p w14:paraId="75B7A440" w14:textId="41DA45C7" w:rsidR="009F46B9" w:rsidRPr="00212CFB" w:rsidRDefault="009F46B9" w:rsidP="00212CB4">
      <w:pPr>
        <w:pStyle w:val="ListParagraph"/>
        <w:numPr>
          <w:ilvl w:val="0"/>
          <w:numId w:val="1"/>
        </w:numPr>
        <w:spacing w:line="240" w:lineRule="auto"/>
        <w:ind w:left="714" w:hanging="357"/>
        <w:contextualSpacing w:val="0"/>
        <w:rPr>
          <w:rFonts w:ascii="Times New Roman" w:hAnsi="Times New Roman" w:cs="Times New Roman"/>
        </w:rPr>
      </w:pPr>
      <w:r w:rsidRPr="00AA5331">
        <w:rPr>
          <w:rFonts w:ascii="Times New Roman" w:hAnsi="Times New Roman" w:cs="Times New Roman"/>
        </w:rPr>
        <w:t xml:space="preserve">Reilly S, Olier I, Planner C, et al. Inequalities in physical comorbidity: a longitudinal comparative cohort study of people with severe mental illness in the UK. </w:t>
      </w:r>
      <w:r w:rsidRPr="00AA5331">
        <w:rPr>
          <w:rFonts w:ascii="Times New Roman" w:hAnsi="Times New Roman" w:cs="Times New Roman"/>
          <w:i/>
        </w:rPr>
        <w:t>BMJ Open</w:t>
      </w:r>
      <w:r w:rsidRPr="00AA5331">
        <w:rPr>
          <w:rFonts w:ascii="Times New Roman" w:hAnsi="Times New Roman" w:cs="Times New Roman"/>
        </w:rPr>
        <w:t xml:space="preserve"> 2015;5:e009010. </w:t>
      </w:r>
      <w:hyperlink r:id="rId15" w:history="1">
        <w:r w:rsidRPr="005B2AEB">
          <w:rPr>
            <w:rStyle w:val="Hyperlink"/>
            <w:rFonts w:ascii="Times New Roman" w:hAnsi="Times New Roman" w:cs="Times New Roman"/>
          </w:rPr>
          <w:t>https://doi.org/10.1136/bmjopen-2015-009010</w:t>
        </w:r>
      </w:hyperlink>
    </w:p>
    <w:p w14:paraId="76B47AC6" w14:textId="77777777" w:rsidR="002A7EDD" w:rsidRPr="002A7EDD" w:rsidRDefault="002A7EDD" w:rsidP="00212CB4">
      <w:pPr>
        <w:pStyle w:val="ListParagraph"/>
        <w:numPr>
          <w:ilvl w:val="0"/>
          <w:numId w:val="1"/>
        </w:numPr>
        <w:spacing w:line="240" w:lineRule="auto"/>
        <w:ind w:left="714" w:hanging="357"/>
        <w:contextualSpacing w:val="0"/>
        <w:rPr>
          <w:rFonts w:ascii="Times New Roman" w:hAnsi="Times New Roman" w:cs="Times New Roman"/>
        </w:rPr>
      </w:pPr>
      <w:r w:rsidRPr="002A7EDD">
        <w:rPr>
          <w:rFonts w:ascii="Times New Roman" w:hAnsi="Times New Roman" w:cs="Times New Roman"/>
        </w:rPr>
        <w:t xml:space="preserve">Brown S, Kim M, Mitchell C, Inskip H. Twenty-five year mortality of a community cohort with schizophrenia. </w:t>
      </w:r>
      <w:r w:rsidRPr="002A7EDD">
        <w:rPr>
          <w:rFonts w:ascii="Times New Roman" w:hAnsi="Times New Roman" w:cs="Times New Roman"/>
          <w:i/>
        </w:rPr>
        <w:t>Br J Psychiatry</w:t>
      </w:r>
      <w:r w:rsidRPr="002A7EDD">
        <w:rPr>
          <w:rFonts w:ascii="Times New Roman" w:hAnsi="Times New Roman" w:cs="Times New Roman"/>
        </w:rPr>
        <w:t xml:space="preserve"> 2010;196:116-21. https://doi.org/10.1192/bjp.bp.109.067512</w:t>
      </w:r>
    </w:p>
    <w:p w14:paraId="04D6F18C" w14:textId="19F2776C" w:rsidR="002A7EDD" w:rsidRDefault="002A7EDD" w:rsidP="00212CB4">
      <w:pPr>
        <w:pStyle w:val="ListParagraph"/>
        <w:numPr>
          <w:ilvl w:val="0"/>
          <w:numId w:val="1"/>
        </w:numPr>
        <w:spacing w:line="240" w:lineRule="auto"/>
        <w:ind w:left="714" w:hanging="357"/>
        <w:contextualSpacing w:val="0"/>
        <w:rPr>
          <w:rFonts w:ascii="Times New Roman" w:hAnsi="Times New Roman" w:cs="Times New Roman"/>
        </w:rPr>
      </w:pPr>
      <w:r w:rsidRPr="002A7EDD">
        <w:rPr>
          <w:rFonts w:ascii="Times New Roman" w:hAnsi="Times New Roman" w:cs="Times New Roman"/>
        </w:rPr>
        <w:t xml:space="preserve">Jones LE, Clarke W, Carney CP. Receipt of diabetes services by insured adults with and without claims for mental disorders. </w:t>
      </w:r>
      <w:r w:rsidRPr="002A7EDD">
        <w:rPr>
          <w:rFonts w:ascii="Times New Roman" w:hAnsi="Times New Roman" w:cs="Times New Roman"/>
          <w:i/>
        </w:rPr>
        <w:t>Med Care</w:t>
      </w:r>
      <w:r w:rsidRPr="002A7EDD">
        <w:rPr>
          <w:rFonts w:ascii="Times New Roman" w:hAnsi="Times New Roman" w:cs="Times New Roman"/>
        </w:rPr>
        <w:t xml:space="preserve"> 2004:1167-75.</w:t>
      </w:r>
    </w:p>
    <w:p w14:paraId="2764DB8D" w14:textId="12FD2185" w:rsidR="009074AF" w:rsidRPr="001E6388" w:rsidRDefault="009074AF" w:rsidP="00212CB4">
      <w:pPr>
        <w:pStyle w:val="ListParagraph"/>
        <w:numPr>
          <w:ilvl w:val="0"/>
          <w:numId w:val="1"/>
        </w:numPr>
        <w:spacing w:line="240" w:lineRule="auto"/>
        <w:ind w:left="714" w:hanging="357"/>
        <w:contextualSpacing w:val="0"/>
        <w:rPr>
          <w:rFonts w:ascii="Times New Roman" w:hAnsi="Times New Roman" w:cs="Times New Roman"/>
        </w:rPr>
      </w:pPr>
      <w:r w:rsidRPr="001E6388">
        <w:rPr>
          <w:rFonts w:ascii="Times New Roman" w:hAnsi="Times New Roman" w:cs="Times New Roman"/>
        </w:rPr>
        <w:t xml:space="preserve">De Hert M, Dekker JM, Wood D, </w:t>
      </w:r>
      <w:r w:rsidR="00066921">
        <w:rPr>
          <w:rFonts w:ascii="Times New Roman" w:hAnsi="Times New Roman" w:cs="Times New Roman"/>
        </w:rPr>
        <w:t>et al</w:t>
      </w:r>
      <w:r w:rsidRPr="001E6388">
        <w:rPr>
          <w:rFonts w:ascii="Times New Roman" w:hAnsi="Times New Roman" w:cs="Times New Roman"/>
        </w:rPr>
        <w:t xml:space="preserve">. Cardiovascular disease and diabetes in people with severe mental illness position statement from the European Psychiatric Association (EPA), supported by the European Association for the Study of Diabetes (EASD) and the European Society of Cardiology (ESC). </w:t>
      </w:r>
      <w:r w:rsidR="00066921" w:rsidRPr="00066921">
        <w:rPr>
          <w:rFonts w:ascii="Times New Roman" w:hAnsi="Times New Roman" w:cs="Times New Roman"/>
          <w:i/>
          <w:iCs/>
        </w:rPr>
        <w:t>Eur Psychiatry</w:t>
      </w:r>
      <w:r w:rsidR="00066921" w:rsidRPr="00066921">
        <w:rPr>
          <w:rFonts w:ascii="Times New Roman" w:hAnsi="Times New Roman" w:cs="Times New Roman"/>
        </w:rPr>
        <w:t xml:space="preserve"> </w:t>
      </w:r>
      <w:r w:rsidRPr="001E6388">
        <w:rPr>
          <w:rFonts w:ascii="Times New Roman" w:hAnsi="Times New Roman" w:cs="Times New Roman"/>
          <w:i/>
        </w:rPr>
        <w:t>2009</w:t>
      </w:r>
      <w:r w:rsidRPr="001E6388">
        <w:rPr>
          <w:rFonts w:ascii="Times New Roman" w:hAnsi="Times New Roman" w:cs="Times New Roman"/>
        </w:rPr>
        <w:t>;24:412-24. https://doi.org/10.1016/j.eurpsy.2009.01.005</w:t>
      </w:r>
    </w:p>
    <w:p w14:paraId="63476DF6" w14:textId="089DD42A" w:rsidR="009074AF" w:rsidRPr="001E6388" w:rsidRDefault="009074AF" w:rsidP="00212CB4">
      <w:pPr>
        <w:pStyle w:val="ListParagraph"/>
        <w:numPr>
          <w:ilvl w:val="0"/>
          <w:numId w:val="1"/>
        </w:numPr>
        <w:spacing w:line="240" w:lineRule="auto"/>
        <w:ind w:left="714" w:hanging="357"/>
        <w:contextualSpacing w:val="0"/>
        <w:rPr>
          <w:rFonts w:ascii="Times New Roman" w:hAnsi="Times New Roman" w:cs="Times New Roman"/>
        </w:rPr>
      </w:pPr>
      <w:r w:rsidRPr="001E6388">
        <w:rPr>
          <w:rFonts w:ascii="Times New Roman" w:hAnsi="Times New Roman" w:cs="Times New Roman"/>
        </w:rPr>
        <w:t>Cooper SJ, Reynolds GP</w:t>
      </w:r>
      <w:r>
        <w:rPr>
          <w:rFonts w:ascii="Times New Roman" w:hAnsi="Times New Roman" w:cs="Times New Roman"/>
        </w:rPr>
        <w:t xml:space="preserve">, </w:t>
      </w:r>
      <w:r w:rsidRPr="001E6388">
        <w:rPr>
          <w:rFonts w:ascii="Times New Roman" w:hAnsi="Times New Roman" w:cs="Times New Roman"/>
        </w:rPr>
        <w:t xml:space="preserve">Barnes T, et al. BAP guidelines on the management of weight gain, metabolic disturbances and cardiovascular risk associated with psychosis and antipsychotic drug treatment. </w:t>
      </w:r>
      <w:r w:rsidR="00066921" w:rsidRPr="00066921">
        <w:rPr>
          <w:rFonts w:ascii="Times New Roman" w:hAnsi="Times New Roman" w:cs="Times New Roman"/>
          <w:i/>
          <w:iCs/>
        </w:rPr>
        <w:t>J Psychopharmacol</w:t>
      </w:r>
      <w:r w:rsidR="00066921" w:rsidRPr="00066921">
        <w:rPr>
          <w:rFonts w:ascii="Times New Roman" w:hAnsi="Times New Roman" w:cs="Times New Roman"/>
        </w:rPr>
        <w:t xml:space="preserve"> </w:t>
      </w:r>
      <w:r w:rsidRPr="001E6388">
        <w:rPr>
          <w:rFonts w:ascii="Times New Roman" w:hAnsi="Times New Roman" w:cs="Times New Roman"/>
        </w:rPr>
        <w:t>2016;30:717-48.</w:t>
      </w:r>
    </w:p>
    <w:p w14:paraId="0D72DD91" w14:textId="657230D4" w:rsidR="00212CFB" w:rsidRPr="009074AF" w:rsidRDefault="009074AF" w:rsidP="00212CB4">
      <w:pPr>
        <w:pStyle w:val="ListParagraph"/>
        <w:numPr>
          <w:ilvl w:val="0"/>
          <w:numId w:val="1"/>
        </w:numPr>
        <w:spacing w:line="240" w:lineRule="auto"/>
        <w:ind w:left="714" w:hanging="357"/>
        <w:contextualSpacing w:val="0"/>
        <w:rPr>
          <w:rFonts w:ascii="Times New Roman" w:hAnsi="Times New Roman" w:cs="Times New Roman"/>
        </w:rPr>
      </w:pPr>
      <w:r w:rsidRPr="001E6388">
        <w:rPr>
          <w:rFonts w:ascii="Times New Roman" w:hAnsi="Times New Roman" w:cs="Times New Roman"/>
        </w:rPr>
        <w:t xml:space="preserve">Citrome L, Yeomans D. Do guidelines for severe mental illness promote physical health and well-being? </w:t>
      </w:r>
      <w:r w:rsidR="00066921" w:rsidRPr="00066921">
        <w:rPr>
          <w:rFonts w:ascii="Times New Roman" w:hAnsi="Times New Roman" w:cs="Times New Roman"/>
          <w:i/>
        </w:rPr>
        <w:t xml:space="preserve">J Psychopharmacol </w:t>
      </w:r>
      <w:r w:rsidRPr="001E6388">
        <w:rPr>
          <w:rFonts w:ascii="Times New Roman" w:hAnsi="Times New Roman" w:cs="Times New Roman"/>
        </w:rPr>
        <w:t>2005;19:102-9.</w:t>
      </w:r>
    </w:p>
    <w:p w14:paraId="44FD45D3" w14:textId="77777777" w:rsidR="000B6B4D" w:rsidRDefault="000B6B4D" w:rsidP="00212CB4">
      <w:pPr>
        <w:pStyle w:val="ListParagraph"/>
        <w:numPr>
          <w:ilvl w:val="0"/>
          <w:numId w:val="1"/>
        </w:numPr>
        <w:spacing w:line="240" w:lineRule="auto"/>
        <w:ind w:left="714" w:hanging="357"/>
        <w:contextualSpacing w:val="0"/>
        <w:rPr>
          <w:rFonts w:ascii="Times New Roman" w:hAnsi="Times New Roman" w:cs="Times New Roman"/>
        </w:rPr>
      </w:pPr>
      <w:r w:rsidRPr="000B6B4D">
        <w:rPr>
          <w:rFonts w:ascii="Times New Roman" w:hAnsi="Times New Roman" w:cs="Times New Roman"/>
        </w:rPr>
        <w:t xml:space="preserve">National Institute for Health and Care Excellence (NICE). </w:t>
      </w:r>
      <w:r w:rsidRPr="000B6B4D">
        <w:rPr>
          <w:rFonts w:ascii="Times New Roman" w:hAnsi="Times New Roman" w:cs="Times New Roman"/>
          <w:i/>
        </w:rPr>
        <w:t xml:space="preserve">Psychosis and schizophrenia in adults: treatment and management. NICE clinical guideline 178. </w:t>
      </w:r>
      <w:r w:rsidRPr="000B6B4D">
        <w:rPr>
          <w:rFonts w:ascii="Times New Roman" w:hAnsi="Times New Roman" w:cs="Times New Roman"/>
        </w:rPr>
        <w:t>2014. URL: http://www.nice.org.uk/guidance/cg178/chapter/key-priorities-for-implementation (accessed November, 2019).</w:t>
      </w:r>
    </w:p>
    <w:p w14:paraId="31287EF2" w14:textId="30D83516" w:rsidR="009074AF" w:rsidRPr="009074AF" w:rsidRDefault="000B6B4D" w:rsidP="00212CB4">
      <w:pPr>
        <w:pStyle w:val="ListParagraph"/>
        <w:numPr>
          <w:ilvl w:val="0"/>
          <w:numId w:val="1"/>
        </w:numPr>
        <w:spacing w:line="240" w:lineRule="auto"/>
        <w:ind w:left="714" w:hanging="357"/>
        <w:contextualSpacing w:val="0"/>
        <w:rPr>
          <w:rFonts w:ascii="Times New Roman" w:hAnsi="Times New Roman" w:cs="Times New Roman"/>
        </w:rPr>
      </w:pPr>
      <w:r w:rsidRPr="000B6B4D">
        <w:rPr>
          <w:rFonts w:ascii="Times New Roman" w:hAnsi="Times New Roman" w:cs="Times New Roman"/>
        </w:rPr>
        <w:t xml:space="preserve">Holt RI. Association Between Antipsychotic Medication Use and Diabetes. </w:t>
      </w:r>
      <w:r w:rsidR="00066921" w:rsidRPr="00066921">
        <w:rPr>
          <w:rFonts w:ascii="Times New Roman" w:hAnsi="Times New Roman" w:cs="Times New Roman"/>
          <w:i/>
          <w:iCs/>
        </w:rPr>
        <w:t>Curr Diab Rep</w:t>
      </w:r>
      <w:r w:rsidR="00066921" w:rsidRPr="00066921">
        <w:rPr>
          <w:rFonts w:ascii="Times New Roman" w:hAnsi="Times New Roman" w:cs="Times New Roman"/>
        </w:rPr>
        <w:t xml:space="preserve"> </w:t>
      </w:r>
      <w:r w:rsidRPr="000B6B4D">
        <w:rPr>
          <w:rFonts w:ascii="Times New Roman" w:hAnsi="Times New Roman" w:cs="Times New Roman"/>
        </w:rPr>
        <w:t>2019;19:96.</w:t>
      </w:r>
    </w:p>
    <w:p w14:paraId="7E3D8D32" w14:textId="47913770" w:rsidR="009074AF" w:rsidRDefault="00E00DAF" w:rsidP="00212CB4">
      <w:pPr>
        <w:pStyle w:val="ListParagraph"/>
        <w:numPr>
          <w:ilvl w:val="0"/>
          <w:numId w:val="1"/>
        </w:numPr>
        <w:spacing w:line="240" w:lineRule="auto"/>
        <w:ind w:left="714" w:hanging="357"/>
        <w:contextualSpacing w:val="0"/>
        <w:rPr>
          <w:rFonts w:ascii="Times New Roman" w:hAnsi="Times New Roman" w:cs="Times New Roman"/>
        </w:rPr>
      </w:pPr>
      <w:r w:rsidRPr="00E00DAF">
        <w:rPr>
          <w:rFonts w:ascii="Times New Roman" w:hAnsi="Times New Roman" w:cs="Times New Roman"/>
        </w:rPr>
        <w:t xml:space="preserve">Health and Social Care Information Centre (HSCIC). </w:t>
      </w:r>
      <w:r w:rsidRPr="00E00DAF">
        <w:rPr>
          <w:rFonts w:ascii="Times New Roman" w:hAnsi="Times New Roman" w:cs="Times New Roman"/>
          <w:i/>
        </w:rPr>
        <w:t>Quality and Outcomes Framework (QOF) - 2014-15</w:t>
      </w:r>
      <w:r w:rsidRPr="00E00DAF">
        <w:rPr>
          <w:rFonts w:ascii="Times New Roman" w:hAnsi="Times New Roman" w:cs="Times New Roman"/>
        </w:rPr>
        <w:t>. Leeds: NHS Digital; 2015. URL: http://www.hscic.gov.uk/catalogue/PUB15751 (accessed May, 2016).</w:t>
      </w:r>
    </w:p>
    <w:p w14:paraId="563CBBC2" w14:textId="77777777" w:rsidR="00E62E4C" w:rsidRPr="00E62E4C" w:rsidRDefault="00E62E4C" w:rsidP="00163743">
      <w:pPr>
        <w:pStyle w:val="ListParagraph"/>
        <w:numPr>
          <w:ilvl w:val="0"/>
          <w:numId w:val="1"/>
        </w:numPr>
        <w:spacing w:after="120" w:line="240" w:lineRule="auto"/>
        <w:ind w:left="714" w:hanging="357"/>
        <w:contextualSpacing w:val="0"/>
        <w:rPr>
          <w:rFonts w:ascii="Times New Roman" w:eastAsia="Times New Roman" w:hAnsi="Times New Roman" w:cs="Times New Roman"/>
          <w:lang w:eastAsia="zh-CN"/>
        </w:rPr>
      </w:pPr>
      <w:r w:rsidRPr="00E62E4C">
        <w:rPr>
          <w:rFonts w:ascii="Times New Roman" w:eastAsia="Times New Roman" w:hAnsi="Times New Roman" w:cs="Times New Roman"/>
          <w:color w:val="212121"/>
          <w:shd w:val="clear" w:color="auto" w:fill="FFFFFF"/>
          <w:lang w:eastAsia="zh-CN"/>
        </w:rPr>
        <w:t>Kontopantelis E, Reeves D, Valderas JM, Campbell S, Doran T. Recorded quality of primary care for patients with diabetes in England before and after the introduction of a financial incentive scheme: a longitudinal observational study. </w:t>
      </w:r>
      <w:r w:rsidRPr="00E62E4C">
        <w:rPr>
          <w:rFonts w:ascii="Times New Roman" w:eastAsia="Times New Roman" w:hAnsi="Times New Roman" w:cs="Times New Roman"/>
          <w:i/>
          <w:iCs/>
          <w:color w:val="212121"/>
          <w:shd w:val="clear" w:color="auto" w:fill="FFFFFF"/>
          <w:lang w:eastAsia="zh-CN"/>
        </w:rPr>
        <w:t>BMJ Qual Saf</w:t>
      </w:r>
      <w:r w:rsidRPr="00E62E4C">
        <w:rPr>
          <w:rFonts w:ascii="Times New Roman" w:eastAsia="Times New Roman" w:hAnsi="Times New Roman" w:cs="Times New Roman"/>
          <w:color w:val="212121"/>
          <w:shd w:val="clear" w:color="auto" w:fill="FFFFFF"/>
          <w:lang w:eastAsia="zh-CN"/>
        </w:rPr>
        <w:t>. 2013;22(1):53-64. doi:10.1136/bmjqs-2012-001033</w:t>
      </w:r>
    </w:p>
    <w:p w14:paraId="259826C6" w14:textId="23E065E9" w:rsidR="007709E4" w:rsidRDefault="00ED543B" w:rsidP="00212CB4">
      <w:pPr>
        <w:pStyle w:val="ListParagraph"/>
        <w:numPr>
          <w:ilvl w:val="0"/>
          <w:numId w:val="1"/>
        </w:numPr>
        <w:spacing w:line="240" w:lineRule="auto"/>
        <w:ind w:left="714" w:hanging="357"/>
        <w:contextualSpacing w:val="0"/>
        <w:rPr>
          <w:rFonts w:ascii="Times New Roman" w:hAnsi="Times New Roman" w:cs="Times New Roman"/>
        </w:rPr>
      </w:pPr>
      <w:r w:rsidRPr="00ED543B">
        <w:rPr>
          <w:rFonts w:ascii="Times New Roman" w:hAnsi="Times New Roman" w:cs="Times New Roman"/>
        </w:rPr>
        <w:t xml:space="preserve">Herrett E, Gallagher AM, Bhaskaran K, et al. Data Resource Profile: Clinical Practice Research Datalink (CPRD). </w:t>
      </w:r>
      <w:r w:rsidR="00066921" w:rsidRPr="00066921">
        <w:rPr>
          <w:rFonts w:ascii="Times New Roman" w:hAnsi="Times New Roman" w:cs="Times New Roman"/>
          <w:i/>
          <w:iCs/>
        </w:rPr>
        <w:t>Int J Epidemiol</w:t>
      </w:r>
      <w:r w:rsidR="00066921" w:rsidRPr="00066921">
        <w:rPr>
          <w:rFonts w:ascii="Times New Roman" w:hAnsi="Times New Roman" w:cs="Times New Roman"/>
        </w:rPr>
        <w:t xml:space="preserve"> </w:t>
      </w:r>
      <w:r w:rsidRPr="00ED543B">
        <w:rPr>
          <w:rFonts w:ascii="Times New Roman" w:hAnsi="Times New Roman" w:cs="Times New Roman"/>
        </w:rPr>
        <w:t xml:space="preserve">2015;44:827-36. </w:t>
      </w:r>
      <w:hyperlink r:id="rId16" w:history="1">
        <w:r w:rsidRPr="005B2AEB">
          <w:rPr>
            <w:rStyle w:val="Hyperlink"/>
            <w:rFonts w:ascii="Times New Roman" w:hAnsi="Times New Roman" w:cs="Times New Roman"/>
          </w:rPr>
          <w:t>https://doi.org/10.1093/ije/dyv098</w:t>
        </w:r>
      </w:hyperlink>
    </w:p>
    <w:p w14:paraId="59143113" w14:textId="77777777" w:rsidR="00ED543B" w:rsidRPr="00ED543B" w:rsidRDefault="00ED543B" w:rsidP="00212CB4">
      <w:pPr>
        <w:pStyle w:val="ListParagraph"/>
        <w:numPr>
          <w:ilvl w:val="0"/>
          <w:numId w:val="1"/>
        </w:numPr>
        <w:spacing w:line="240" w:lineRule="auto"/>
        <w:ind w:left="714" w:hanging="357"/>
        <w:contextualSpacing w:val="0"/>
        <w:rPr>
          <w:rFonts w:ascii="Times New Roman" w:hAnsi="Times New Roman" w:cs="Times New Roman"/>
        </w:rPr>
      </w:pPr>
      <w:r w:rsidRPr="00ED543B">
        <w:rPr>
          <w:rFonts w:ascii="Times New Roman" w:hAnsi="Times New Roman" w:cs="Times New Roman"/>
        </w:rPr>
        <w:t xml:space="preserve">NHS Digital. </w:t>
      </w:r>
      <w:r w:rsidRPr="00ED543B">
        <w:rPr>
          <w:rFonts w:ascii="Times New Roman" w:hAnsi="Times New Roman" w:cs="Times New Roman"/>
          <w:i/>
        </w:rPr>
        <w:t>Hospital Episode Statistics (HES)</w:t>
      </w:r>
      <w:r w:rsidRPr="00ED543B">
        <w:rPr>
          <w:rFonts w:ascii="Times New Roman" w:hAnsi="Times New Roman" w:cs="Times New Roman"/>
        </w:rPr>
        <w:t>. Leeds: NHS Digital; 2019. URL: https://digital.nhs.uk/data-and-information/data-tools-and-services/data-services/hospital-episode-statistics (accessed September, 2019).</w:t>
      </w:r>
    </w:p>
    <w:p w14:paraId="76AB9A1D" w14:textId="77777777" w:rsidR="00ED543B" w:rsidRDefault="00ED543B" w:rsidP="00212CB4">
      <w:pPr>
        <w:pStyle w:val="ListParagraph"/>
        <w:numPr>
          <w:ilvl w:val="0"/>
          <w:numId w:val="1"/>
        </w:numPr>
        <w:spacing w:line="240" w:lineRule="auto"/>
        <w:ind w:left="714" w:hanging="357"/>
        <w:contextualSpacing w:val="0"/>
        <w:rPr>
          <w:rFonts w:ascii="Times New Roman" w:hAnsi="Times New Roman" w:cs="Times New Roman"/>
        </w:rPr>
      </w:pPr>
      <w:r w:rsidRPr="00ED543B">
        <w:rPr>
          <w:rFonts w:ascii="Times New Roman" w:hAnsi="Times New Roman" w:cs="Times New Roman"/>
        </w:rPr>
        <w:t xml:space="preserve">NHS Digital. </w:t>
      </w:r>
      <w:r w:rsidRPr="00ED543B">
        <w:rPr>
          <w:rFonts w:ascii="Times New Roman" w:hAnsi="Times New Roman" w:cs="Times New Roman"/>
          <w:i/>
        </w:rPr>
        <w:t>Linked HES-ONS mortality data</w:t>
      </w:r>
      <w:r w:rsidRPr="00ED543B">
        <w:rPr>
          <w:rFonts w:ascii="Times New Roman" w:hAnsi="Times New Roman" w:cs="Times New Roman"/>
        </w:rPr>
        <w:t>. Leeds: NHS Digital; 2018. URL: https://digital.nhs.uk/data-and-information/data-tools-and-services/data-services/linked-hes-ons-mortality-data (accessed November, 2019).</w:t>
      </w:r>
    </w:p>
    <w:p w14:paraId="3044402D" w14:textId="503A45A5" w:rsidR="00ED543B" w:rsidRDefault="00ED543B" w:rsidP="00212CB4">
      <w:pPr>
        <w:pStyle w:val="ListParagraph"/>
        <w:numPr>
          <w:ilvl w:val="0"/>
          <w:numId w:val="1"/>
        </w:numPr>
        <w:spacing w:line="240" w:lineRule="auto"/>
        <w:ind w:left="714" w:hanging="357"/>
        <w:contextualSpacing w:val="0"/>
        <w:rPr>
          <w:rFonts w:ascii="Times New Roman" w:hAnsi="Times New Roman" w:cs="Times New Roman"/>
        </w:rPr>
      </w:pPr>
      <w:r w:rsidRPr="00ED543B">
        <w:rPr>
          <w:rFonts w:ascii="Times New Roman" w:hAnsi="Times New Roman" w:cs="Times New Roman"/>
        </w:rPr>
        <w:t xml:space="preserve">Lad M. </w:t>
      </w:r>
      <w:r w:rsidRPr="00ED543B">
        <w:rPr>
          <w:rFonts w:ascii="Times New Roman" w:hAnsi="Times New Roman" w:cs="Times New Roman"/>
          <w:i/>
        </w:rPr>
        <w:t>The English indices of deprivation 2010</w:t>
      </w:r>
      <w:r w:rsidRPr="00ED543B">
        <w:rPr>
          <w:rFonts w:ascii="Times New Roman" w:hAnsi="Times New Roman" w:cs="Times New Roman"/>
        </w:rPr>
        <w:t>. London: Department for Communities and Local Government; 2011.</w:t>
      </w:r>
    </w:p>
    <w:p w14:paraId="668EA3CE" w14:textId="37FC026B" w:rsidR="009074AF" w:rsidRDefault="00445FE9" w:rsidP="00212CB4">
      <w:pPr>
        <w:pStyle w:val="ListParagraph"/>
        <w:numPr>
          <w:ilvl w:val="0"/>
          <w:numId w:val="1"/>
        </w:numPr>
        <w:spacing w:line="240" w:lineRule="auto"/>
        <w:ind w:left="714" w:hanging="357"/>
        <w:contextualSpacing w:val="0"/>
        <w:rPr>
          <w:rFonts w:ascii="Times New Roman" w:hAnsi="Times New Roman" w:cs="Times New Roman"/>
        </w:rPr>
      </w:pPr>
      <w:r>
        <w:rPr>
          <w:rFonts w:ascii="Times New Roman" w:hAnsi="Times New Roman" w:cs="Times New Roman"/>
        </w:rPr>
        <w:t>Lawrence D, Coghlan R.</w:t>
      </w:r>
      <w:r w:rsidR="00C754E5" w:rsidRPr="00C754E5">
        <w:rPr>
          <w:rFonts w:ascii="Times New Roman" w:hAnsi="Times New Roman" w:cs="Times New Roman"/>
        </w:rPr>
        <w:t xml:space="preserve"> Health inequalities and the health needs of people with mental illness. </w:t>
      </w:r>
      <w:r w:rsidR="00066921" w:rsidRPr="00066921">
        <w:rPr>
          <w:rFonts w:ascii="Times New Roman" w:hAnsi="Times New Roman" w:cs="Times New Roman"/>
          <w:i/>
          <w:iCs/>
        </w:rPr>
        <w:t>N S W Public Health Bull</w:t>
      </w:r>
      <w:r w:rsidR="00066921" w:rsidRPr="00066921">
        <w:rPr>
          <w:rFonts w:ascii="Times New Roman" w:hAnsi="Times New Roman" w:cs="Times New Roman"/>
        </w:rPr>
        <w:t xml:space="preserve"> </w:t>
      </w:r>
      <w:r>
        <w:rPr>
          <w:rFonts w:ascii="Times New Roman" w:hAnsi="Times New Roman" w:cs="Times New Roman"/>
        </w:rPr>
        <w:t>2002;</w:t>
      </w:r>
      <w:r w:rsidR="00C754E5" w:rsidRPr="00C754E5">
        <w:rPr>
          <w:rFonts w:ascii="Times New Roman" w:hAnsi="Times New Roman" w:cs="Times New Roman"/>
        </w:rPr>
        <w:t xml:space="preserve"> 13, 155-158.</w:t>
      </w:r>
    </w:p>
    <w:p w14:paraId="1E3BEB39" w14:textId="6AB3D6F4" w:rsidR="00266DB4" w:rsidRDefault="00260BE9" w:rsidP="00212CB4">
      <w:pPr>
        <w:pStyle w:val="ListParagraph"/>
        <w:numPr>
          <w:ilvl w:val="0"/>
          <w:numId w:val="1"/>
        </w:numPr>
        <w:spacing w:line="240" w:lineRule="auto"/>
        <w:ind w:left="714" w:hanging="357"/>
        <w:contextualSpacing w:val="0"/>
        <w:rPr>
          <w:rFonts w:ascii="Times New Roman" w:hAnsi="Times New Roman" w:cs="Times New Roman"/>
        </w:rPr>
      </w:pPr>
      <w:r>
        <w:rPr>
          <w:rFonts w:ascii="Times New Roman" w:hAnsi="Times New Roman" w:cs="Times New Roman"/>
        </w:rPr>
        <w:t>Blythe J, White</w:t>
      </w:r>
      <w:r w:rsidR="00266DB4" w:rsidRPr="00C754E5">
        <w:rPr>
          <w:rFonts w:ascii="Times New Roman" w:hAnsi="Times New Roman" w:cs="Times New Roman"/>
        </w:rPr>
        <w:t xml:space="preserve"> J. Role of the mental health nurse towards physical health care in serious mental illness: an integrative review of 10 years of UK literature. </w:t>
      </w:r>
      <w:r w:rsidR="00066921" w:rsidRPr="00066921">
        <w:rPr>
          <w:rFonts w:ascii="Times New Roman" w:hAnsi="Times New Roman" w:cs="Times New Roman"/>
          <w:i/>
          <w:iCs/>
        </w:rPr>
        <w:t>Int J Ment Health Nurs</w:t>
      </w:r>
      <w:r w:rsidR="00066921" w:rsidRPr="00066921">
        <w:rPr>
          <w:rFonts w:ascii="Times New Roman" w:hAnsi="Times New Roman" w:cs="Times New Roman"/>
        </w:rPr>
        <w:t xml:space="preserve"> </w:t>
      </w:r>
      <w:r>
        <w:rPr>
          <w:rFonts w:ascii="Times New Roman" w:hAnsi="Times New Roman" w:cs="Times New Roman"/>
        </w:rPr>
        <w:t xml:space="preserve">2012; </w:t>
      </w:r>
      <w:r w:rsidR="00266DB4" w:rsidRPr="00C754E5">
        <w:rPr>
          <w:rFonts w:ascii="Times New Roman" w:hAnsi="Times New Roman" w:cs="Times New Roman"/>
        </w:rPr>
        <w:t xml:space="preserve">21(3), 193–201. </w:t>
      </w:r>
      <w:hyperlink r:id="rId17" w:history="1">
        <w:r w:rsidR="00C754E5" w:rsidRPr="0074401E">
          <w:rPr>
            <w:rStyle w:val="Hyperlink"/>
            <w:rFonts w:ascii="Times New Roman" w:hAnsi="Times New Roman" w:cs="Times New Roman"/>
          </w:rPr>
          <w:t>https://doi.org/10.1111/j.1447-0349.2011.00792.x</w:t>
        </w:r>
      </w:hyperlink>
    </w:p>
    <w:p w14:paraId="4C81A0CE" w14:textId="59026F06" w:rsidR="00C754E5" w:rsidRDefault="00260BE9" w:rsidP="00212CB4">
      <w:pPr>
        <w:pStyle w:val="ListParagraph"/>
        <w:numPr>
          <w:ilvl w:val="0"/>
          <w:numId w:val="1"/>
        </w:numPr>
        <w:spacing w:line="240" w:lineRule="auto"/>
        <w:ind w:left="714" w:hanging="357"/>
        <w:contextualSpacing w:val="0"/>
        <w:rPr>
          <w:rFonts w:ascii="Times New Roman" w:hAnsi="Times New Roman" w:cs="Times New Roman"/>
        </w:rPr>
      </w:pPr>
      <w:r>
        <w:rPr>
          <w:rFonts w:ascii="Times New Roman" w:hAnsi="Times New Roman" w:cs="Times New Roman"/>
        </w:rPr>
        <w:t xml:space="preserve">Kisely S, Campbell LA, Wang </w:t>
      </w:r>
      <w:r w:rsidR="00C754E5" w:rsidRPr="00C754E5">
        <w:rPr>
          <w:rFonts w:ascii="Times New Roman" w:hAnsi="Times New Roman" w:cs="Times New Roman"/>
        </w:rPr>
        <w:t>Y. Treatment of ischaemic heart disease and stroke in individuals with psychosis under universal healthcare</w:t>
      </w:r>
      <w:r w:rsidR="00C754E5" w:rsidRPr="00260BE9">
        <w:rPr>
          <w:rFonts w:ascii="Times New Roman" w:hAnsi="Times New Roman" w:cs="Times New Roman"/>
          <w:i/>
        </w:rPr>
        <w:t>.</w:t>
      </w:r>
      <w:r w:rsidR="00965766" w:rsidRPr="00965766">
        <w:t xml:space="preserve"> </w:t>
      </w:r>
      <w:r w:rsidR="00965766" w:rsidRPr="00965766">
        <w:rPr>
          <w:rFonts w:ascii="Times New Roman" w:hAnsi="Times New Roman" w:cs="Times New Roman"/>
          <w:i/>
        </w:rPr>
        <w:t>Br J Psychiatry</w:t>
      </w:r>
      <w:r>
        <w:rPr>
          <w:rFonts w:ascii="Times New Roman" w:hAnsi="Times New Roman" w:cs="Times New Roman"/>
        </w:rPr>
        <w:t xml:space="preserve"> 2009;</w:t>
      </w:r>
      <w:r w:rsidR="00C754E5" w:rsidRPr="00C754E5">
        <w:rPr>
          <w:rFonts w:ascii="Times New Roman" w:hAnsi="Times New Roman" w:cs="Times New Roman"/>
        </w:rPr>
        <w:t xml:space="preserve"> 195(6), 545–550. </w:t>
      </w:r>
      <w:hyperlink r:id="rId18" w:history="1">
        <w:r w:rsidR="00C754E5" w:rsidRPr="0074401E">
          <w:rPr>
            <w:rStyle w:val="Hyperlink"/>
            <w:rFonts w:ascii="Times New Roman" w:hAnsi="Times New Roman" w:cs="Times New Roman"/>
          </w:rPr>
          <w:t>https://doi.org/10.1192/bjp.bp.109.067082</w:t>
        </w:r>
      </w:hyperlink>
    </w:p>
    <w:p w14:paraId="0118A542" w14:textId="6021B1E6" w:rsidR="00C754E5" w:rsidRDefault="00260BE9" w:rsidP="00212CB4">
      <w:pPr>
        <w:pStyle w:val="ListParagraph"/>
        <w:numPr>
          <w:ilvl w:val="0"/>
          <w:numId w:val="1"/>
        </w:numPr>
        <w:spacing w:line="240" w:lineRule="auto"/>
        <w:ind w:left="714" w:hanging="357"/>
        <w:contextualSpacing w:val="0"/>
        <w:rPr>
          <w:rFonts w:ascii="Times New Roman" w:hAnsi="Times New Roman" w:cs="Times New Roman"/>
        </w:rPr>
      </w:pPr>
      <w:r>
        <w:rPr>
          <w:rFonts w:ascii="Times New Roman" w:hAnsi="Times New Roman" w:cs="Times New Roman"/>
        </w:rPr>
        <w:t xml:space="preserve">Baxter AJ, Harris MG, Khatib Y, </w:t>
      </w:r>
      <w:r w:rsidR="00965766">
        <w:rPr>
          <w:rFonts w:ascii="Times New Roman" w:hAnsi="Times New Roman" w:cs="Times New Roman"/>
        </w:rPr>
        <w:t>et al</w:t>
      </w:r>
      <w:r w:rsidR="0081048A" w:rsidRPr="0081048A">
        <w:rPr>
          <w:rFonts w:ascii="Times New Roman" w:hAnsi="Times New Roman" w:cs="Times New Roman"/>
        </w:rPr>
        <w:t xml:space="preserve">. Reducing excess mortality due to chronic disease in people with severe mental illness: meta-review of health interventions. </w:t>
      </w:r>
      <w:r w:rsidR="00965766" w:rsidRPr="00965766">
        <w:rPr>
          <w:rFonts w:ascii="Times New Roman" w:hAnsi="Times New Roman" w:cs="Times New Roman"/>
          <w:i/>
        </w:rPr>
        <w:t xml:space="preserve">Br J Psychiatry </w:t>
      </w:r>
      <w:r>
        <w:rPr>
          <w:rFonts w:ascii="Times New Roman" w:hAnsi="Times New Roman" w:cs="Times New Roman"/>
        </w:rPr>
        <w:t>2016;</w:t>
      </w:r>
      <w:r w:rsidR="0081048A" w:rsidRPr="0081048A">
        <w:rPr>
          <w:rFonts w:ascii="Times New Roman" w:hAnsi="Times New Roman" w:cs="Times New Roman"/>
        </w:rPr>
        <w:t xml:space="preserve"> 208(4), 322–329. </w:t>
      </w:r>
      <w:hyperlink r:id="rId19" w:history="1">
        <w:r w:rsidR="0081048A" w:rsidRPr="0074401E">
          <w:rPr>
            <w:rStyle w:val="Hyperlink"/>
            <w:rFonts w:ascii="Times New Roman" w:hAnsi="Times New Roman" w:cs="Times New Roman"/>
          </w:rPr>
          <w:t>https://doi.org/10.1192/bjp.bp.115.163170</w:t>
        </w:r>
      </w:hyperlink>
    </w:p>
    <w:p w14:paraId="31C4AF6A" w14:textId="50D99912" w:rsidR="0081048A" w:rsidRDefault="00260BE9" w:rsidP="00212CB4">
      <w:pPr>
        <w:pStyle w:val="ListParagraph"/>
        <w:numPr>
          <w:ilvl w:val="0"/>
          <w:numId w:val="1"/>
        </w:numPr>
        <w:spacing w:line="240" w:lineRule="auto"/>
        <w:ind w:left="714" w:hanging="357"/>
        <w:contextualSpacing w:val="0"/>
        <w:rPr>
          <w:rFonts w:ascii="Times New Roman" w:hAnsi="Times New Roman" w:cs="Times New Roman"/>
        </w:rPr>
      </w:pPr>
      <w:r>
        <w:rPr>
          <w:rFonts w:ascii="Times New Roman" w:hAnsi="Times New Roman" w:cs="Times New Roman"/>
        </w:rPr>
        <w:t xml:space="preserve">Goodwin N, Lawton-Smith </w:t>
      </w:r>
      <w:r w:rsidR="00ED4E6B" w:rsidRPr="0081048A">
        <w:rPr>
          <w:rFonts w:ascii="Times New Roman" w:hAnsi="Times New Roman" w:cs="Times New Roman"/>
        </w:rPr>
        <w:t xml:space="preserve">S. Integrating care for people with mental illness: the Care Programme Approach in England and its implications for long-term conditions management. </w:t>
      </w:r>
      <w:r w:rsidR="00965766" w:rsidRPr="00965766">
        <w:rPr>
          <w:rFonts w:ascii="Times New Roman" w:hAnsi="Times New Roman" w:cs="Times New Roman"/>
          <w:i/>
          <w:iCs/>
        </w:rPr>
        <w:t>Int J Integr Care</w:t>
      </w:r>
      <w:r w:rsidR="00965766" w:rsidRPr="00965766">
        <w:rPr>
          <w:rFonts w:ascii="Times New Roman" w:hAnsi="Times New Roman" w:cs="Times New Roman"/>
        </w:rPr>
        <w:t xml:space="preserve"> </w:t>
      </w:r>
      <w:r>
        <w:rPr>
          <w:rFonts w:ascii="Times New Roman" w:hAnsi="Times New Roman" w:cs="Times New Roman"/>
        </w:rPr>
        <w:t>2010;</w:t>
      </w:r>
      <w:r w:rsidR="00ED4E6B" w:rsidRPr="0081048A">
        <w:rPr>
          <w:rFonts w:ascii="Times New Roman" w:hAnsi="Times New Roman" w:cs="Times New Roman"/>
        </w:rPr>
        <w:t xml:space="preserve"> 10, e040. </w:t>
      </w:r>
      <w:hyperlink r:id="rId20" w:history="1">
        <w:r w:rsidR="0081048A" w:rsidRPr="0074401E">
          <w:rPr>
            <w:rStyle w:val="Hyperlink"/>
            <w:rFonts w:ascii="Times New Roman" w:hAnsi="Times New Roman" w:cs="Times New Roman"/>
          </w:rPr>
          <w:t>https://doi.org/10.5334/ijic.516</w:t>
        </w:r>
      </w:hyperlink>
    </w:p>
    <w:p w14:paraId="320F31DC" w14:textId="6737B46F" w:rsidR="00FC4866" w:rsidRPr="00FC4866" w:rsidRDefault="00ED4E6B" w:rsidP="00212CB4">
      <w:pPr>
        <w:pStyle w:val="ListParagraph"/>
        <w:numPr>
          <w:ilvl w:val="0"/>
          <w:numId w:val="1"/>
        </w:numPr>
        <w:spacing w:line="240" w:lineRule="auto"/>
        <w:ind w:left="714" w:hanging="357"/>
        <w:contextualSpacing w:val="0"/>
        <w:rPr>
          <w:rFonts w:ascii="Times New Roman" w:hAnsi="Times New Roman" w:cs="Times New Roman"/>
        </w:rPr>
      </w:pPr>
      <w:r w:rsidRPr="0081048A">
        <w:rPr>
          <w:rFonts w:ascii="Times New Roman" w:hAnsi="Times New Roman" w:cs="Times New Roman"/>
        </w:rPr>
        <w:t xml:space="preserve">Reilly S, Planner C, Gask L, </w:t>
      </w:r>
      <w:r w:rsidR="00965766">
        <w:rPr>
          <w:rFonts w:ascii="Times New Roman" w:hAnsi="Times New Roman" w:cs="Times New Roman"/>
        </w:rPr>
        <w:t>et al</w:t>
      </w:r>
      <w:r w:rsidRPr="0081048A">
        <w:rPr>
          <w:rFonts w:ascii="Times New Roman" w:hAnsi="Times New Roman" w:cs="Times New Roman"/>
        </w:rPr>
        <w:t xml:space="preserve">. Collaborative care approaches for people with severe mental illness. </w:t>
      </w:r>
      <w:r w:rsidR="00965766" w:rsidRPr="00965766">
        <w:rPr>
          <w:rFonts w:ascii="Times New Roman" w:hAnsi="Times New Roman" w:cs="Times New Roman"/>
          <w:i/>
          <w:iCs/>
        </w:rPr>
        <w:t>Cochrane Database Syst Rev</w:t>
      </w:r>
      <w:r w:rsidR="00965766">
        <w:rPr>
          <w:rFonts w:ascii="Times New Roman" w:hAnsi="Times New Roman" w:cs="Times New Roman"/>
        </w:rPr>
        <w:t xml:space="preserve"> </w:t>
      </w:r>
      <w:r w:rsidRPr="0081048A">
        <w:rPr>
          <w:rFonts w:ascii="Times New Roman" w:hAnsi="Times New Roman" w:cs="Times New Roman"/>
        </w:rPr>
        <w:t>2013, Issue 11. Art. No.: CD009531. DOI: 10.1002/14651858.CD009531.pub2</w:t>
      </w:r>
    </w:p>
    <w:p w14:paraId="5A0106C1" w14:textId="77777777" w:rsidR="00FC4866" w:rsidRPr="00FC4866" w:rsidRDefault="00FC4866" w:rsidP="006F7A04">
      <w:pPr>
        <w:jc w:val="both"/>
      </w:pPr>
    </w:p>
    <w:p w14:paraId="1583CA89" w14:textId="77777777" w:rsidR="00FC4866" w:rsidRPr="00FC4866" w:rsidRDefault="00FC4866" w:rsidP="006F7A04">
      <w:pPr>
        <w:jc w:val="both"/>
      </w:pPr>
    </w:p>
    <w:p w14:paraId="4DF32FA0" w14:textId="77777777" w:rsidR="00FC4866" w:rsidRPr="00FC4866" w:rsidRDefault="00FC4866" w:rsidP="006F7A04">
      <w:pPr>
        <w:jc w:val="both"/>
      </w:pPr>
    </w:p>
    <w:p w14:paraId="3C50F15F" w14:textId="77777777" w:rsidR="00FC4866" w:rsidRPr="00FC4866" w:rsidRDefault="00FC4866" w:rsidP="006F7A04">
      <w:pPr>
        <w:jc w:val="both"/>
      </w:pPr>
    </w:p>
    <w:p w14:paraId="6353E086" w14:textId="77777777" w:rsidR="00FC4866" w:rsidRPr="00FC4866" w:rsidRDefault="00FC4866" w:rsidP="006F7A04">
      <w:pPr>
        <w:jc w:val="both"/>
      </w:pPr>
    </w:p>
    <w:p w14:paraId="65CAF1C6" w14:textId="77777777" w:rsidR="00FC4866" w:rsidRPr="00FC4866" w:rsidRDefault="00FC4866" w:rsidP="006F7A04">
      <w:pPr>
        <w:jc w:val="both"/>
      </w:pPr>
    </w:p>
    <w:p w14:paraId="5DDA64F9" w14:textId="77777777" w:rsidR="00FC4866" w:rsidRPr="00FC4866" w:rsidRDefault="00FC4866" w:rsidP="006F7A04">
      <w:pPr>
        <w:jc w:val="both"/>
      </w:pPr>
    </w:p>
    <w:p w14:paraId="76727FEF" w14:textId="77777777" w:rsidR="00FC4866" w:rsidRPr="00FC4866" w:rsidRDefault="00FC4866" w:rsidP="006F7A04">
      <w:pPr>
        <w:jc w:val="both"/>
      </w:pPr>
    </w:p>
    <w:p w14:paraId="02A3CBDD" w14:textId="77777777" w:rsidR="00FC4866" w:rsidRPr="00FC4866" w:rsidRDefault="00FC4866" w:rsidP="006F7A04">
      <w:pPr>
        <w:jc w:val="both"/>
      </w:pPr>
    </w:p>
    <w:p w14:paraId="3CFDB2A0" w14:textId="77777777" w:rsidR="00FC4866" w:rsidRPr="00FC4866" w:rsidRDefault="00FC4866" w:rsidP="006F7A04">
      <w:pPr>
        <w:jc w:val="both"/>
      </w:pPr>
    </w:p>
    <w:p w14:paraId="6CB2FC12" w14:textId="77777777" w:rsidR="00FC4866" w:rsidRPr="00FC4866" w:rsidRDefault="00FC4866" w:rsidP="006F7A04">
      <w:pPr>
        <w:jc w:val="both"/>
      </w:pPr>
    </w:p>
    <w:p w14:paraId="452D4D26" w14:textId="77777777" w:rsidR="00FC4866" w:rsidRPr="00FC4866" w:rsidRDefault="00FC4866" w:rsidP="006F7A04">
      <w:pPr>
        <w:jc w:val="both"/>
      </w:pPr>
    </w:p>
    <w:p w14:paraId="67DD14E1" w14:textId="77777777" w:rsidR="00FC4866" w:rsidRPr="00FC4866" w:rsidRDefault="00FC4866" w:rsidP="006F7A04">
      <w:pPr>
        <w:jc w:val="both"/>
      </w:pPr>
    </w:p>
    <w:p w14:paraId="15599B87" w14:textId="77777777" w:rsidR="00FC4866" w:rsidRPr="00FC4866" w:rsidRDefault="00FC4866" w:rsidP="006F7A04">
      <w:pPr>
        <w:jc w:val="both"/>
      </w:pPr>
    </w:p>
    <w:p w14:paraId="68AAEF32" w14:textId="77777777" w:rsidR="00FC4866" w:rsidRPr="00FC4866" w:rsidRDefault="00FC4866" w:rsidP="006F7A04">
      <w:pPr>
        <w:jc w:val="both"/>
      </w:pPr>
    </w:p>
    <w:p w14:paraId="28FE4D77" w14:textId="77777777" w:rsidR="00FC4866" w:rsidRPr="00FC4866" w:rsidRDefault="00FC4866" w:rsidP="006F7A04">
      <w:pPr>
        <w:jc w:val="both"/>
      </w:pPr>
    </w:p>
    <w:p w14:paraId="64EC1520" w14:textId="77777777" w:rsidR="00FC4866" w:rsidRPr="00FC4866" w:rsidRDefault="00FC4866" w:rsidP="006F7A04">
      <w:pPr>
        <w:jc w:val="both"/>
      </w:pPr>
    </w:p>
    <w:p w14:paraId="4427E64A" w14:textId="77777777" w:rsidR="00FC4866" w:rsidRPr="00FC4866" w:rsidRDefault="00FC4866" w:rsidP="006F7A04">
      <w:pPr>
        <w:jc w:val="both"/>
      </w:pPr>
    </w:p>
    <w:p w14:paraId="11BEFAD7" w14:textId="77777777" w:rsidR="00FC4866" w:rsidRPr="00FC4866" w:rsidRDefault="00FC4866" w:rsidP="006F7A04">
      <w:pPr>
        <w:jc w:val="both"/>
      </w:pPr>
    </w:p>
    <w:p w14:paraId="1A591D9A" w14:textId="77777777" w:rsidR="00FC4866" w:rsidRPr="00FC4866" w:rsidRDefault="00FC4866" w:rsidP="006F7A04">
      <w:pPr>
        <w:jc w:val="both"/>
      </w:pPr>
    </w:p>
    <w:p w14:paraId="680F027A" w14:textId="77777777" w:rsidR="00FC4866" w:rsidRPr="00FC4866" w:rsidRDefault="00FC4866" w:rsidP="006F7A04">
      <w:pPr>
        <w:jc w:val="both"/>
      </w:pPr>
    </w:p>
    <w:p w14:paraId="5D20A680" w14:textId="77777777" w:rsidR="00FC4866" w:rsidRDefault="00FC4866" w:rsidP="006F7A04">
      <w:pPr>
        <w:jc w:val="both"/>
        <w:rPr>
          <w:rFonts w:ascii="Times New Roman" w:hAnsi="Times New Roman" w:cs="Times New Roman"/>
          <w:i/>
        </w:rPr>
      </w:pPr>
    </w:p>
    <w:p w14:paraId="49E3C037" w14:textId="77777777" w:rsidR="00B12FC3" w:rsidRDefault="00B12FC3" w:rsidP="006F7A04">
      <w:pPr>
        <w:jc w:val="both"/>
        <w:rPr>
          <w:rFonts w:ascii="Times New Roman" w:hAnsi="Times New Roman" w:cs="Times New Roman"/>
          <w:i/>
        </w:rPr>
        <w:sectPr w:rsidR="00B12FC3">
          <w:pgSz w:w="11906" w:h="16838"/>
          <w:pgMar w:top="1440" w:right="1440" w:bottom="1440" w:left="1440" w:header="708" w:footer="708" w:gutter="0"/>
          <w:cols w:space="708"/>
          <w:docGrid w:linePitch="360"/>
        </w:sectPr>
      </w:pPr>
    </w:p>
    <w:p w14:paraId="499F7A83" w14:textId="77777777" w:rsidR="008A474E" w:rsidRPr="00E9650F" w:rsidRDefault="008A474E" w:rsidP="008A474E">
      <w:pPr>
        <w:pStyle w:val="Caption"/>
        <w:keepNext/>
        <w:jc w:val="both"/>
        <w:rPr>
          <w:b/>
          <w:bCs/>
        </w:rPr>
      </w:pPr>
      <w:r w:rsidRPr="1EE1AA24">
        <w:rPr>
          <w:b/>
          <w:bCs/>
        </w:rPr>
        <w:t xml:space="preserve">Table </w:t>
      </w:r>
      <w:r w:rsidRPr="1EE1AA24">
        <w:rPr>
          <w:b/>
          <w:bCs/>
        </w:rPr>
        <w:fldChar w:fldCharType="begin"/>
      </w:r>
      <w:r w:rsidRPr="1EE1AA24">
        <w:rPr>
          <w:b/>
          <w:bCs/>
        </w:rPr>
        <w:instrText xml:space="preserve"> SEQ Table \* ARABIC </w:instrText>
      </w:r>
      <w:r w:rsidRPr="1EE1AA24">
        <w:rPr>
          <w:b/>
          <w:bCs/>
        </w:rPr>
        <w:fldChar w:fldCharType="separate"/>
      </w:r>
      <w:r>
        <w:rPr>
          <w:b/>
          <w:bCs/>
          <w:noProof/>
        </w:rPr>
        <w:t>1</w:t>
      </w:r>
      <w:r w:rsidRPr="1EE1AA24">
        <w:rPr>
          <w:b/>
          <w:bCs/>
        </w:rPr>
        <w:fldChar w:fldCharType="end"/>
      </w:r>
      <w:r w:rsidRPr="1EE1AA24">
        <w:rPr>
          <w:b/>
          <w:bCs/>
        </w:rPr>
        <w:t xml:space="preserve">. </w:t>
      </w:r>
      <w:r>
        <w:rPr>
          <w:b/>
          <w:bCs/>
        </w:rPr>
        <w:t>Baseline characteristics of participants.</w:t>
      </w:r>
    </w:p>
    <w:tbl>
      <w:tblPr>
        <w:tblW w:w="5000" w:type="pct"/>
        <w:tblLook w:val="04A0" w:firstRow="1" w:lastRow="0" w:firstColumn="1" w:lastColumn="0" w:noHBand="0" w:noVBand="1"/>
      </w:tblPr>
      <w:tblGrid>
        <w:gridCol w:w="3677"/>
        <w:gridCol w:w="2632"/>
        <w:gridCol w:w="1506"/>
        <w:gridCol w:w="1427"/>
      </w:tblGrid>
      <w:tr w:rsidR="008A474E" w:rsidRPr="005865EB" w14:paraId="52D6775E" w14:textId="77777777" w:rsidTr="008A474E">
        <w:trPr>
          <w:trHeight w:val="422"/>
        </w:trPr>
        <w:tc>
          <w:tcPr>
            <w:tcW w:w="1989" w:type="pct"/>
            <w:tcBorders>
              <w:top w:val="single" w:sz="4" w:space="0" w:color="auto"/>
              <w:left w:val="nil"/>
              <w:bottom w:val="single" w:sz="4" w:space="0" w:color="auto"/>
              <w:right w:val="nil"/>
            </w:tcBorders>
            <w:shd w:val="clear" w:color="auto" w:fill="auto"/>
            <w:noWrap/>
            <w:vAlign w:val="bottom"/>
            <w:hideMark/>
          </w:tcPr>
          <w:p w14:paraId="062BCD2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w:t>
            </w:r>
          </w:p>
        </w:tc>
        <w:tc>
          <w:tcPr>
            <w:tcW w:w="1424" w:type="pct"/>
            <w:tcBorders>
              <w:top w:val="single" w:sz="4" w:space="0" w:color="auto"/>
              <w:left w:val="nil"/>
              <w:bottom w:val="single" w:sz="4" w:space="0" w:color="auto"/>
              <w:right w:val="nil"/>
            </w:tcBorders>
            <w:shd w:val="clear" w:color="auto" w:fill="auto"/>
            <w:noWrap/>
            <w:vAlign w:val="bottom"/>
            <w:hideMark/>
          </w:tcPr>
          <w:p w14:paraId="59694726"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Overall</w:t>
            </w:r>
          </w:p>
        </w:tc>
        <w:tc>
          <w:tcPr>
            <w:tcW w:w="815" w:type="pct"/>
            <w:tcBorders>
              <w:top w:val="single" w:sz="4" w:space="0" w:color="auto"/>
              <w:left w:val="nil"/>
              <w:bottom w:val="single" w:sz="4" w:space="0" w:color="auto"/>
              <w:right w:val="nil"/>
            </w:tcBorders>
            <w:shd w:val="clear" w:color="auto" w:fill="auto"/>
            <w:vAlign w:val="bottom"/>
            <w:hideMark/>
          </w:tcPr>
          <w:p w14:paraId="36DB66AE" w14:textId="77777777" w:rsidR="008A474E"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 xml:space="preserve">Cases </w:t>
            </w:r>
          </w:p>
          <w:p w14:paraId="19FEEDF1"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(T2DM + SMI)</w:t>
            </w:r>
          </w:p>
        </w:tc>
        <w:tc>
          <w:tcPr>
            <w:tcW w:w="772" w:type="pct"/>
            <w:tcBorders>
              <w:top w:val="single" w:sz="4" w:space="0" w:color="auto"/>
              <w:left w:val="nil"/>
              <w:bottom w:val="single" w:sz="4" w:space="0" w:color="auto"/>
              <w:right w:val="nil"/>
            </w:tcBorders>
            <w:shd w:val="clear" w:color="auto" w:fill="auto"/>
            <w:vAlign w:val="bottom"/>
            <w:hideMark/>
          </w:tcPr>
          <w:p w14:paraId="63FAEA06" w14:textId="77777777" w:rsidR="008A474E"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 xml:space="preserve">Controls </w:t>
            </w:r>
          </w:p>
          <w:p w14:paraId="2BF0E037"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(T2DM)</w:t>
            </w:r>
          </w:p>
        </w:tc>
      </w:tr>
      <w:tr w:rsidR="008A474E" w:rsidRPr="005865EB" w14:paraId="1E3D88FC" w14:textId="77777777" w:rsidTr="008A474E">
        <w:trPr>
          <w:trHeight w:val="300"/>
        </w:trPr>
        <w:tc>
          <w:tcPr>
            <w:tcW w:w="1989" w:type="pct"/>
            <w:tcBorders>
              <w:top w:val="single" w:sz="4" w:space="0" w:color="auto"/>
              <w:left w:val="nil"/>
              <w:bottom w:val="nil"/>
              <w:right w:val="nil"/>
            </w:tcBorders>
            <w:shd w:val="clear" w:color="auto" w:fill="auto"/>
            <w:noWrap/>
            <w:vAlign w:val="bottom"/>
            <w:hideMark/>
          </w:tcPr>
          <w:p w14:paraId="08AE45BE"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 xml:space="preserve">No. of </w:t>
            </w:r>
            <w:r>
              <w:rPr>
                <w:rFonts w:eastAsia="Times New Roman" w:cstheme="minorHAnsi"/>
                <w:b/>
                <w:bCs/>
                <w:i/>
                <w:iCs/>
                <w:color w:val="000000"/>
                <w:sz w:val="16"/>
                <w:szCs w:val="16"/>
                <w:lang w:eastAsia="en-GB"/>
              </w:rPr>
              <w:t>participants</w:t>
            </w:r>
            <w:r w:rsidRPr="005865EB">
              <w:rPr>
                <w:rFonts w:eastAsia="Times New Roman" w:cstheme="minorHAnsi"/>
                <w:b/>
                <w:bCs/>
                <w:i/>
                <w:iCs/>
                <w:color w:val="000000"/>
                <w:sz w:val="16"/>
                <w:szCs w:val="16"/>
                <w:lang w:eastAsia="en-GB"/>
              </w:rPr>
              <w:t>, N (%)</w:t>
            </w:r>
          </w:p>
        </w:tc>
        <w:tc>
          <w:tcPr>
            <w:tcW w:w="1424" w:type="pct"/>
            <w:tcBorders>
              <w:top w:val="single" w:sz="4" w:space="0" w:color="auto"/>
              <w:left w:val="nil"/>
              <w:bottom w:val="nil"/>
              <w:right w:val="nil"/>
            </w:tcBorders>
            <w:shd w:val="clear" w:color="auto" w:fill="auto"/>
            <w:noWrap/>
            <w:vAlign w:val="bottom"/>
            <w:hideMark/>
          </w:tcPr>
          <w:p w14:paraId="20B62F6A"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9,965 (100%)</w:t>
            </w:r>
          </w:p>
        </w:tc>
        <w:tc>
          <w:tcPr>
            <w:tcW w:w="815" w:type="pct"/>
            <w:tcBorders>
              <w:top w:val="single" w:sz="4" w:space="0" w:color="auto"/>
              <w:left w:val="nil"/>
              <w:bottom w:val="nil"/>
              <w:right w:val="nil"/>
            </w:tcBorders>
            <w:shd w:val="clear" w:color="auto" w:fill="auto"/>
            <w:noWrap/>
            <w:vAlign w:val="bottom"/>
            <w:hideMark/>
          </w:tcPr>
          <w:p w14:paraId="0845C17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2,192 (22.0%)</w:t>
            </w:r>
          </w:p>
        </w:tc>
        <w:tc>
          <w:tcPr>
            <w:tcW w:w="772" w:type="pct"/>
            <w:tcBorders>
              <w:top w:val="single" w:sz="4" w:space="0" w:color="auto"/>
              <w:left w:val="nil"/>
              <w:bottom w:val="nil"/>
              <w:right w:val="nil"/>
            </w:tcBorders>
            <w:shd w:val="clear" w:color="auto" w:fill="auto"/>
            <w:noWrap/>
            <w:vAlign w:val="bottom"/>
            <w:hideMark/>
          </w:tcPr>
          <w:p w14:paraId="771C92E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7,773 (78.0%)</w:t>
            </w:r>
          </w:p>
        </w:tc>
      </w:tr>
      <w:tr w:rsidR="008A474E" w:rsidRPr="005865EB" w14:paraId="41D2AFEF" w14:textId="77777777" w:rsidTr="008A474E">
        <w:trPr>
          <w:trHeight w:val="300"/>
        </w:trPr>
        <w:tc>
          <w:tcPr>
            <w:tcW w:w="1989" w:type="pct"/>
            <w:tcBorders>
              <w:top w:val="nil"/>
              <w:left w:val="nil"/>
              <w:bottom w:val="nil"/>
              <w:right w:val="nil"/>
            </w:tcBorders>
            <w:shd w:val="clear" w:color="auto" w:fill="auto"/>
            <w:noWrap/>
            <w:vAlign w:val="bottom"/>
            <w:hideMark/>
          </w:tcPr>
          <w:p w14:paraId="39BCDAD4"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No. of controls</w:t>
            </w:r>
            <w:r>
              <w:rPr>
                <w:rFonts w:eastAsia="Times New Roman" w:cstheme="minorHAnsi"/>
                <w:b/>
                <w:bCs/>
                <w:i/>
                <w:iCs/>
                <w:color w:val="000000"/>
                <w:sz w:val="16"/>
                <w:szCs w:val="16"/>
                <w:lang w:eastAsia="en-GB"/>
              </w:rPr>
              <w:t xml:space="preserve"> per case</w:t>
            </w:r>
            <w:r w:rsidRPr="005865EB">
              <w:rPr>
                <w:rFonts w:eastAsia="Times New Roman" w:cstheme="minorHAnsi"/>
                <w:b/>
                <w:bCs/>
                <w:i/>
                <w:iCs/>
                <w:color w:val="000000"/>
                <w:sz w:val="16"/>
                <w:szCs w:val="16"/>
                <w:lang w:eastAsia="en-GB"/>
              </w:rPr>
              <w:t>, n (%)</w:t>
            </w:r>
          </w:p>
        </w:tc>
        <w:tc>
          <w:tcPr>
            <w:tcW w:w="1424" w:type="pct"/>
            <w:tcBorders>
              <w:top w:val="nil"/>
              <w:left w:val="nil"/>
              <w:bottom w:val="nil"/>
              <w:right w:val="nil"/>
            </w:tcBorders>
            <w:shd w:val="clear" w:color="auto" w:fill="auto"/>
            <w:noWrap/>
            <w:vAlign w:val="bottom"/>
            <w:hideMark/>
          </w:tcPr>
          <w:p w14:paraId="1D23C219"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7FD9ECB4"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665ABB5C"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5B70100E" w14:textId="77777777" w:rsidTr="008A474E">
        <w:trPr>
          <w:trHeight w:val="300"/>
        </w:trPr>
        <w:tc>
          <w:tcPr>
            <w:tcW w:w="1989" w:type="pct"/>
            <w:tcBorders>
              <w:top w:val="nil"/>
              <w:left w:val="nil"/>
              <w:bottom w:val="nil"/>
              <w:right w:val="nil"/>
            </w:tcBorders>
            <w:shd w:val="clear" w:color="auto" w:fill="auto"/>
            <w:noWrap/>
            <w:vAlign w:val="bottom"/>
            <w:hideMark/>
          </w:tcPr>
          <w:p w14:paraId="4AB432CC"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 controls</w:t>
            </w:r>
          </w:p>
        </w:tc>
        <w:tc>
          <w:tcPr>
            <w:tcW w:w="1424" w:type="pct"/>
            <w:tcBorders>
              <w:top w:val="nil"/>
              <w:left w:val="nil"/>
              <w:bottom w:val="nil"/>
              <w:right w:val="nil"/>
            </w:tcBorders>
            <w:shd w:val="clear" w:color="auto" w:fill="auto"/>
            <w:noWrap/>
            <w:vAlign w:val="bottom"/>
            <w:hideMark/>
          </w:tcPr>
          <w:p w14:paraId="7E0DA72E"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6CD37F3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1,599 (73.0%)</w:t>
            </w:r>
          </w:p>
        </w:tc>
        <w:tc>
          <w:tcPr>
            <w:tcW w:w="772" w:type="pct"/>
            <w:tcBorders>
              <w:top w:val="nil"/>
              <w:left w:val="nil"/>
              <w:bottom w:val="nil"/>
              <w:right w:val="nil"/>
            </w:tcBorders>
            <w:shd w:val="clear" w:color="auto" w:fill="auto"/>
            <w:noWrap/>
            <w:vAlign w:val="bottom"/>
            <w:hideMark/>
          </w:tcPr>
          <w:p w14:paraId="08C3D286"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53B93C8C" w14:textId="77777777" w:rsidTr="008A474E">
        <w:trPr>
          <w:trHeight w:val="300"/>
        </w:trPr>
        <w:tc>
          <w:tcPr>
            <w:tcW w:w="1989" w:type="pct"/>
            <w:tcBorders>
              <w:top w:val="nil"/>
              <w:left w:val="nil"/>
              <w:bottom w:val="nil"/>
              <w:right w:val="nil"/>
            </w:tcBorders>
            <w:shd w:val="clear" w:color="auto" w:fill="auto"/>
            <w:noWrap/>
            <w:vAlign w:val="bottom"/>
            <w:hideMark/>
          </w:tcPr>
          <w:p w14:paraId="7524DDD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3 controls </w:t>
            </w:r>
          </w:p>
        </w:tc>
        <w:tc>
          <w:tcPr>
            <w:tcW w:w="1424" w:type="pct"/>
            <w:tcBorders>
              <w:top w:val="nil"/>
              <w:left w:val="nil"/>
              <w:bottom w:val="nil"/>
              <w:right w:val="nil"/>
            </w:tcBorders>
            <w:shd w:val="clear" w:color="auto" w:fill="auto"/>
            <w:noWrap/>
            <w:vAlign w:val="bottom"/>
            <w:hideMark/>
          </w:tcPr>
          <w:p w14:paraId="225EC15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282C10C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323 (14.7%)</w:t>
            </w:r>
          </w:p>
        </w:tc>
        <w:tc>
          <w:tcPr>
            <w:tcW w:w="772" w:type="pct"/>
            <w:tcBorders>
              <w:top w:val="nil"/>
              <w:left w:val="nil"/>
              <w:bottom w:val="nil"/>
              <w:right w:val="nil"/>
            </w:tcBorders>
            <w:shd w:val="clear" w:color="auto" w:fill="auto"/>
            <w:noWrap/>
            <w:vAlign w:val="bottom"/>
            <w:hideMark/>
          </w:tcPr>
          <w:p w14:paraId="3D8C8AE5"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2008A5FF" w14:textId="77777777" w:rsidTr="008A474E">
        <w:trPr>
          <w:trHeight w:val="300"/>
        </w:trPr>
        <w:tc>
          <w:tcPr>
            <w:tcW w:w="1989" w:type="pct"/>
            <w:tcBorders>
              <w:top w:val="nil"/>
              <w:left w:val="nil"/>
              <w:bottom w:val="nil"/>
              <w:right w:val="nil"/>
            </w:tcBorders>
            <w:shd w:val="clear" w:color="auto" w:fill="auto"/>
            <w:noWrap/>
            <w:vAlign w:val="bottom"/>
            <w:hideMark/>
          </w:tcPr>
          <w:p w14:paraId="04549A09"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2 controls </w:t>
            </w:r>
          </w:p>
        </w:tc>
        <w:tc>
          <w:tcPr>
            <w:tcW w:w="1424" w:type="pct"/>
            <w:tcBorders>
              <w:top w:val="nil"/>
              <w:left w:val="nil"/>
              <w:bottom w:val="nil"/>
              <w:right w:val="nil"/>
            </w:tcBorders>
            <w:shd w:val="clear" w:color="auto" w:fill="auto"/>
            <w:noWrap/>
            <w:vAlign w:val="bottom"/>
            <w:hideMark/>
          </w:tcPr>
          <w:p w14:paraId="3CA5F036"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44FD102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138 (6.3%)</w:t>
            </w:r>
          </w:p>
        </w:tc>
        <w:tc>
          <w:tcPr>
            <w:tcW w:w="772" w:type="pct"/>
            <w:tcBorders>
              <w:top w:val="nil"/>
              <w:left w:val="nil"/>
              <w:bottom w:val="nil"/>
              <w:right w:val="nil"/>
            </w:tcBorders>
            <w:shd w:val="clear" w:color="auto" w:fill="auto"/>
            <w:noWrap/>
            <w:vAlign w:val="bottom"/>
            <w:hideMark/>
          </w:tcPr>
          <w:p w14:paraId="3B61550D"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5C61FDC4" w14:textId="77777777" w:rsidTr="008A474E">
        <w:trPr>
          <w:trHeight w:val="300"/>
        </w:trPr>
        <w:tc>
          <w:tcPr>
            <w:tcW w:w="1989" w:type="pct"/>
            <w:tcBorders>
              <w:top w:val="nil"/>
              <w:left w:val="nil"/>
              <w:bottom w:val="nil"/>
              <w:right w:val="nil"/>
            </w:tcBorders>
            <w:shd w:val="clear" w:color="auto" w:fill="auto"/>
            <w:noWrap/>
            <w:vAlign w:val="bottom"/>
            <w:hideMark/>
          </w:tcPr>
          <w:p w14:paraId="06D4EC0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1 control </w:t>
            </w:r>
          </w:p>
        </w:tc>
        <w:tc>
          <w:tcPr>
            <w:tcW w:w="1424" w:type="pct"/>
            <w:tcBorders>
              <w:top w:val="nil"/>
              <w:left w:val="nil"/>
              <w:bottom w:val="nil"/>
              <w:right w:val="nil"/>
            </w:tcBorders>
            <w:shd w:val="clear" w:color="auto" w:fill="auto"/>
            <w:noWrap/>
            <w:vAlign w:val="bottom"/>
            <w:hideMark/>
          </w:tcPr>
          <w:p w14:paraId="31705BFB"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3E857AE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132 (6.0%)</w:t>
            </w:r>
          </w:p>
        </w:tc>
        <w:tc>
          <w:tcPr>
            <w:tcW w:w="772" w:type="pct"/>
            <w:tcBorders>
              <w:top w:val="nil"/>
              <w:left w:val="nil"/>
              <w:bottom w:val="nil"/>
              <w:right w:val="nil"/>
            </w:tcBorders>
            <w:shd w:val="clear" w:color="auto" w:fill="auto"/>
            <w:noWrap/>
            <w:vAlign w:val="bottom"/>
            <w:hideMark/>
          </w:tcPr>
          <w:p w14:paraId="21C9F8FE"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43300D47" w14:textId="77777777" w:rsidTr="008A474E">
        <w:trPr>
          <w:trHeight w:val="300"/>
        </w:trPr>
        <w:tc>
          <w:tcPr>
            <w:tcW w:w="1989" w:type="pct"/>
            <w:tcBorders>
              <w:top w:val="nil"/>
              <w:left w:val="nil"/>
              <w:bottom w:val="nil"/>
              <w:right w:val="nil"/>
            </w:tcBorders>
            <w:shd w:val="clear" w:color="auto" w:fill="auto"/>
            <w:noWrap/>
            <w:vAlign w:val="bottom"/>
            <w:hideMark/>
          </w:tcPr>
          <w:p w14:paraId="36512BB5"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Diagnosis age, mean (SD)</w:t>
            </w:r>
          </w:p>
        </w:tc>
        <w:tc>
          <w:tcPr>
            <w:tcW w:w="1424" w:type="pct"/>
            <w:tcBorders>
              <w:top w:val="nil"/>
              <w:left w:val="nil"/>
              <w:bottom w:val="nil"/>
              <w:right w:val="nil"/>
            </w:tcBorders>
            <w:shd w:val="clear" w:color="auto" w:fill="auto"/>
            <w:noWrap/>
            <w:vAlign w:val="bottom"/>
            <w:hideMark/>
          </w:tcPr>
          <w:p w14:paraId="6306A0FC"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105AC269"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04E0E7FA"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636D855F" w14:textId="77777777" w:rsidTr="008A474E">
        <w:trPr>
          <w:trHeight w:val="300"/>
        </w:trPr>
        <w:tc>
          <w:tcPr>
            <w:tcW w:w="1989" w:type="pct"/>
            <w:tcBorders>
              <w:top w:val="nil"/>
              <w:left w:val="nil"/>
              <w:bottom w:val="nil"/>
              <w:right w:val="nil"/>
            </w:tcBorders>
            <w:shd w:val="clear" w:color="auto" w:fill="auto"/>
            <w:noWrap/>
            <w:vAlign w:val="bottom"/>
            <w:hideMark/>
          </w:tcPr>
          <w:p w14:paraId="257A441F"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SMI</w:t>
            </w:r>
          </w:p>
        </w:tc>
        <w:tc>
          <w:tcPr>
            <w:tcW w:w="1424" w:type="pct"/>
            <w:tcBorders>
              <w:top w:val="nil"/>
              <w:left w:val="nil"/>
              <w:bottom w:val="nil"/>
              <w:right w:val="nil"/>
            </w:tcBorders>
            <w:shd w:val="clear" w:color="auto" w:fill="auto"/>
            <w:noWrap/>
            <w:vAlign w:val="bottom"/>
            <w:hideMark/>
          </w:tcPr>
          <w:p w14:paraId="5E941F3E"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737F806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47.98 (17.40)</w:t>
            </w:r>
          </w:p>
        </w:tc>
        <w:tc>
          <w:tcPr>
            <w:tcW w:w="772" w:type="pct"/>
            <w:tcBorders>
              <w:top w:val="nil"/>
              <w:left w:val="nil"/>
              <w:bottom w:val="nil"/>
              <w:right w:val="nil"/>
            </w:tcBorders>
            <w:shd w:val="clear" w:color="auto" w:fill="auto"/>
            <w:noWrap/>
            <w:vAlign w:val="bottom"/>
            <w:hideMark/>
          </w:tcPr>
          <w:p w14:paraId="7D6D4142"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096AA281" w14:textId="77777777" w:rsidTr="008A474E">
        <w:trPr>
          <w:trHeight w:val="300"/>
        </w:trPr>
        <w:tc>
          <w:tcPr>
            <w:tcW w:w="1989" w:type="pct"/>
            <w:tcBorders>
              <w:top w:val="nil"/>
              <w:left w:val="nil"/>
              <w:bottom w:val="nil"/>
              <w:right w:val="nil"/>
            </w:tcBorders>
            <w:shd w:val="clear" w:color="auto" w:fill="auto"/>
            <w:noWrap/>
            <w:vAlign w:val="bottom"/>
            <w:hideMark/>
          </w:tcPr>
          <w:p w14:paraId="7BA28C36"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T2DM</w:t>
            </w:r>
          </w:p>
        </w:tc>
        <w:tc>
          <w:tcPr>
            <w:tcW w:w="1424" w:type="pct"/>
            <w:tcBorders>
              <w:top w:val="nil"/>
              <w:left w:val="nil"/>
              <w:bottom w:val="nil"/>
              <w:right w:val="nil"/>
            </w:tcBorders>
            <w:shd w:val="clear" w:color="auto" w:fill="auto"/>
            <w:noWrap/>
            <w:vAlign w:val="bottom"/>
            <w:hideMark/>
          </w:tcPr>
          <w:p w14:paraId="25E9F9BE" w14:textId="77777777" w:rsidR="008A474E" w:rsidRPr="005865EB" w:rsidRDefault="008A474E" w:rsidP="008A474E">
            <w:pPr>
              <w:spacing w:after="0" w:line="240" w:lineRule="auto"/>
              <w:rPr>
                <w:rFonts w:eastAsia="Times New Roman" w:cstheme="minorHAnsi"/>
                <w:color w:val="000000"/>
                <w:sz w:val="16"/>
                <w:szCs w:val="16"/>
                <w:lang w:eastAsia="en-GB"/>
              </w:rPr>
            </w:pPr>
            <w:r w:rsidRPr="005865EB">
              <w:rPr>
                <w:rFonts w:eastAsia="Times New Roman" w:cstheme="minorHAnsi"/>
                <w:color w:val="000000"/>
                <w:sz w:val="16"/>
                <w:szCs w:val="16"/>
                <w:lang w:eastAsia="en-GB"/>
              </w:rPr>
              <w:t>57.83 (12.97)</w:t>
            </w:r>
          </w:p>
        </w:tc>
        <w:tc>
          <w:tcPr>
            <w:tcW w:w="815" w:type="pct"/>
            <w:tcBorders>
              <w:top w:val="nil"/>
              <w:left w:val="nil"/>
              <w:bottom w:val="nil"/>
              <w:right w:val="nil"/>
            </w:tcBorders>
            <w:shd w:val="clear" w:color="auto" w:fill="auto"/>
            <w:noWrap/>
            <w:vAlign w:val="bottom"/>
            <w:hideMark/>
          </w:tcPr>
          <w:p w14:paraId="1C1EA6E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56.81 (13.19)</w:t>
            </w:r>
          </w:p>
        </w:tc>
        <w:tc>
          <w:tcPr>
            <w:tcW w:w="772" w:type="pct"/>
            <w:tcBorders>
              <w:top w:val="nil"/>
              <w:left w:val="nil"/>
              <w:bottom w:val="nil"/>
              <w:right w:val="nil"/>
            </w:tcBorders>
            <w:shd w:val="clear" w:color="auto" w:fill="auto"/>
            <w:noWrap/>
            <w:vAlign w:val="bottom"/>
            <w:hideMark/>
          </w:tcPr>
          <w:p w14:paraId="5EF573D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58.12 (12.89)</w:t>
            </w:r>
          </w:p>
        </w:tc>
      </w:tr>
      <w:tr w:rsidR="008A474E" w:rsidRPr="005865EB" w14:paraId="78B28F5E" w14:textId="77777777" w:rsidTr="008A474E">
        <w:trPr>
          <w:trHeight w:val="300"/>
        </w:trPr>
        <w:tc>
          <w:tcPr>
            <w:tcW w:w="1989" w:type="pct"/>
            <w:tcBorders>
              <w:top w:val="nil"/>
              <w:left w:val="nil"/>
              <w:bottom w:val="nil"/>
              <w:right w:val="nil"/>
            </w:tcBorders>
            <w:shd w:val="clear" w:color="auto" w:fill="auto"/>
            <w:noWrap/>
            <w:vAlign w:val="bottom"/>
            <w:hideMark/>
          </w:tcPr>
          <w:p w14:paraId="5AE8F1B3"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SMI type, n (%)</w:t>
            </w:r>
          </w:p>
        </w:tc>
        <w:tc>
          <w:tcPr>
            <w:tcW w:w="1424" w:type="pct"/>
            <w:tcBorders>
              <w:top w:val="nil"/>
              <w:left w:val="nil"/>
              <w:bottom w:val="nil"/>
              <w:right w:val="nil"/>
            </w:tcBorders>
            <w:shd w:val="clear" w:color="auto" w:fill="auto"/>
            <w:noWrap/>
            <w:vAlign w:val="bottom"/>
            <w:hideMark/>
          </w:tcPr>
          <w:p w14:paraId="358D3AC4"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061449C6"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535ED8DE"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5ACAF8B5" w14:textId="77777777" w:rsidTr="008A474E">
        <w:trPr>
          <w:trHeight w:val="300"/>
        </w:trPr>
        <w:tc>
          <w:tcPr>
            <w:tcW w:w="1989" w:type="pct"/>
            <w:tcBorders>
              <w:top w:val="nil"/>
              <w:left w:val="nil"/>
              <w:bottom w:val="nil"/>
              <w:right w:val="nil"/>
            </w:tcBorders>
            <w:shd w:val="clear" w:color="auto" w:fill="auto"/>
            <w:noWrap/>
            <w:vAlign w:val="bottom"/>
            <w:hideMark/>
          </w:tcPr>
          <w:p w14:paraId="7532F75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Schizophrenia </w:t>
            </w:r>
          </w:p>
        </w:tc>
        <w:tc>
          <w:tcPr>
            <w:tcW w:w="1424" w:type="pct"/>
            <w:tcBorders>
              <w:top w:val="nil"/>
              <w:left w:val="nil"/>
              <w:bottom w:val="nil"/>
              <w:right w:val="nil"/>
            </w:tcBorders>
            <w:shd w:val="clear" w:color="auto" w:fill="auto"/>
            <w:noWrap/>
            <w:vAlign w:val="bottom"/>
            <w:hideMark/>
          </w:tcPr>
          <w:p w14:paraId="3F48B27B"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62F3F0B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1,161 (53.0%)</w:t>
            </w:r>
          </w:p>
        </w:tc>
        <w:tc>
          <w:tcPr>
            <w:tcW w:w="772" w:type="pct"/>
            <w:tcBorders>
              <w:top w:val="nil"/>
              <w:left w:val="nil"/>
              <w:bottom w:val="nil"/>
              <w:right w:val="nil"/>
            </w:tcBorders>
            <w:shd w:val="clear" w:color="auto" w:fill="auto"/>
            <w:noWrap/>
            <w:vAlign w:val="bottom"/>
            <w:hideMark/>
          </w:tcPr>
          <w:p w14:paraId="4366D375"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6F52363E" w14:textId="77777777" w:rsidTr="008A474E">
        <w:trPr>
          <w:trHeight w:val="300"/>
        </w:trPr>
        <w:tc>
          <w:tcPr>
            <w:tcW w:w="1989" w:type="pct"/>
            <w:tcBorders>
              <w:top w:val="nil"/>
              <w:left w:val="nil"/>
              <w:bottom w:val="nil"/>
              <w:right w:val="nil"/>
            </w:tcBorders>
            <w:shd w:val="clear" w:color="auto" w:fill="auto"/>
            <w:noWrap/>
            <w:vAlign w:val="bottom"/>
            <w:hideMark/>
          </w:tcPr>
          <w:p w14:paraId="37B4235A"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Schizoaffective disorder</w:t>
            </w:r>
          </w:p>
        </w:tc>
        <w:tc>
          <w:tcPr>
            <w:tcW w:w="1424" w:type="pct"/>
            <w:tcBorders>
              <w:top w:val="nil"/>
              <w:left w:val="nil"/>
              <w:bottom w:val="nil"/>
              <w:right w:val="nil"/>
            </w:tcBorders>
            <w:shd w:val="clear" w:color="auto" w:fill="auto"/>
            <w:noWrap/>
            <w:vAlign w:val="bottom"/>
            <w:hideMark/>
          </w:tcPr>
          <w:p w14:paraId="14BD073E"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32CB9D4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113 (5.2%)</w:t>
            </w:r>
          </w:p>
        </w:tc>
        <w:tc>
          <w:tcPr>
            <w:tcW w:w="772" w:type="pct"/>
            <w:tcBorders>
              <w:top w:val="nil"/>
              <w:left w:val="nil"/>
              <w:bottom w:val="nil"/>
              <w:right w:val="nil"/>
            </w:tcBorders>
            <w:shd w:val="clear" w:color="auto" w:fill="auto"/>
            <w:noWrap/>
            <w:vAlign w:val="bottom"/>
            <w:hideMark/>
          </w:tcPr>
          <w:p w14:paraId="485E93A0"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4CCDC8C5" w14:textId="77777777" w:rsidTr="008A474E">
        <w:trPr>
          <w:trHeight w:val="300"/>
        </w:trPr>
        <w:tc>
          <w:tcPr>
            <w:tcW w:w="1989" w:type="pct"/>
            <w:tcBorders>
              <w:top w:val="nil"/>
              <w:left w:val="nil"/>
              <w:bottom w:val="nil"/>
              <w:right w:val="nil"/>
            </w:tcBorders>
            <w:shd w:val="clear" w:color="auto" w:fill="auto"/>
            <w:noWrap/>
            <w:vAlign w:val="bottom"/>
            <w:hideMark/>
          </w:tcPr>
          <w:p w14:paraId="3FF7CF8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Bipolar disorder</w:t>
            </w:r>
          </w:p>
        </w:tc>
        <w:tc>
          <w:tcPr>
            <w:tcW w:w="1424" w:type="pct"/>
            <w:tcBorders>
              <w:top w:val="nil"/>
              <w:left w:val="nil"/>
              <w:bottom w:val="nil"/>
              <w:right w:val="nil"/>
            </w:tcBorders>
            <w:shd w:val="clear" w:color="auto" w:fill="auto"/>
            <w:noWrap/>
            <w:vAlign w:val="bottom"/>
            <w:hideMark/>
          </w:tcPr>
          <w:p w14:paraId="20E224C6"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1EA97D8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701 (32.0%)</w:t>
            </w:r>
          </w:p>
        </w:tc>
        <w:tc>
          <w:tcPr>
            <w:tcW w:w="772" w:type="pct"/>
            <w:tcBorders>
              <w:top w:val="nil"/>
              <w:left w:val="nil"/>
              <w:bottom w:val="nil"/>
              <w:right w:val="nil"/>
            </w:tcBorders>
            <w:shd w:val="clear" w:color="auto" w:fill="auto"/>
            <w:noWrap/>
            <w:vAlign w:val="bottom"/>
            <w:hideMark/>
          </w:tcPr>
          <w:p w14:paraId="67413CFE"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19B7ED8F" w14:textId="77777777" w:rsidTr="008A474E">
        <w:trPr>
          <w:trHeight w:val="300"/>
        </w:trPr>
        <w:tc>
          <w:tcPr>
            <w:tcW w:w="1989" w:type="pct"/>
            <w:tcBorders>
              <w:top w:val="nil"/>
              <w:left w:val="nil"/>
              <w:bottom w:val="nil"/>
              <w:right w:val="nil"/>
            </w:tcBorders>
            <w:shd w:val="clear" w:color="auto" w:fill="auto"/>
            <w:noWrap/>
            <w:vAlign w:val="bottom"/>
            <w:hideMark/>
          </w:tcPr>
          <w:p w14:paraId="0D9C080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Depression and psychosis</w:t>
            </w:r>
          </w:p>
        </w:tc>
        <w:tc>
          <w:tcPr>
            <w:tcW w:w="1424" w:type="pct"/>
            <w:tcBorders>
              <w:top w:val="nil"/>
              <w:left w:val="nil"/>
              <w:bottom w:val="nil"/>
              <w:right w:val="nil"/>
            </w:tcBorders>
            <w:shd w:val="clear" w:color="auto" w:fill="auto"/>
            <w:noWrap/>
            <w:vAlign w:val="bottom"/>
            <w:hideMark/>
          </w:tcPr>
          <w:p w14:paraId="35EBF16B"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379974A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184 (8.4%)</w:t>
            </w:r>
          </w:p>
        </w:tc>
        <w:tc>
          <w:tcPr>
            <w:tcW w:w="772" w:type="pct"/>
            <w:tcBorders>
              <w:top w:val="nil"/>
              <w:left w:val="nil"/>
              <w:bottom w:val="nil"/>
              <w:right w:val="nil"/>
            </w:tcBorders>
            <w:shd w:val="clear" w:color="auto" w:fill="auto"/>
            <w:noWrap/>
            <w:vAlign w:val="bottom"/>
            <w:hideMark/>
          </w:tcPr>
          <w:p w14:paraId="151D2242"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1E0A1643" w14:textId="77777777" w:rsidTr="008A474E">
        <w:trPr>
          <w:trHeight w:val="300"/>
        </w:trPr>
        <w:tc>
          <w:tcPr>
            <w:tcW w:w="1989" w:type="pct"/>
            <w:tcBorders>
              <w:top w:val="nil"/>
              <w:left w:val="nil"/>
              <w:bottom w:val="nil"/>
              <w:right w:val="nil"/>
            </w:tcBorders>
            <w:shd w:val="clear" w:color="auto" w:fill="auto"/>
            <w:noWrap/>
            <w:vAlign w:val="bottom"/>
            <w:hideMark/>
          </w:tcPr>
          <w:p w14:paraId="4021478A"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Other affective disorder</w:t>
            </w:r>
          </w:p>
        </w:tc>
        <w:tc>
          <w:tcPr>
            <w:tcW w:w="1424" w:type="pct"/>
            <w:tcBorders>
              <w:top w:val="nil"/>
              <w:left w:val="nil"/>
              <w:bottom w:val="nil"/>
              <w:right w:val="nil"/>
            </w:tcBorders>
            <w:shd w:val="clear" w:color="auto" w:fill="auto"/>
            <w:noWrap/>
            <w:vAlign w:val="bottom"/>
            <w:hideMark/>
          </w:tcPr>
          <w:p w14:paraId="57C242A3"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5283485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26 (1.2%)</w:t>
            </w:r>
          </w:p>
        </w:tc>
        <w:tc>
          <w:tcPr>
            <w:tcW w:w="772" w:type="pct"/>
            <w:tcBorders>
              <w:top w:val="nil"/>
              <w:left w:val="nil"/>
              <w:bottom w:val="nil"/>
              <w:right w:val="nil"/>
            </w:tcBorders>
            <w:shd w:val="clear" w:color="auto" w:fill="auto"/>
            <w:noWrap/>
            <w:vAlign w:val="bottom"/>
            <w:hideMark/>
          </w:tcPr>
          <w:p w14:paraId="117A5B37"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55B85B18" w14:textId="77777777" w:rsidTr="008A474E">
        <w:trPr>
          <w:trHeight w:val="300"/>
        </w:trPr>
        <w:tc>
          <w:tcPr>
            <w:tcW w:w="1989" w:type="pct"/>
            <w:tcBorders>
              <w:top w:val="nil"/>
              <w:left w:val="nil"/>
              <w:bottom w:val="nil"/>
              <w:right w:val="nil"/>
            </w:tcBorders>
            <w:shd w:val="clear" w:color="auto" w:fill="auto"/>
            <w:noWrap/>
            <w:vAlign w:val="bottom"/>
            <w:hideMark/>
          </w:tcPr>
          <w:p w14:paraId="0404D48C"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Mixed</w:t>
            </w:r>
          </w:p>
        </w:tc>
        <w:tc>
          <w:tcPr>
            <w:tcW w:w="1424" w:type="pct"/>
            <w:tcBorders>
              <w:top w:val="nil"/>
              <w:left w:val="nil"/>
              <w:bottom w:val="nil"/>
              <w:right w:val="nil"/>
            </w:tcBorders>
            <w:shd w:val="clear" w:color="auto" w:fill="auto"/>
            <w:noWrap/>
            <w:vAlign w:val="bottom"/>
            <w:hideMark/>
          </w:tcPr>
          <w:p w14:paraId="485AA7EB"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58E8D0E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 (0.3%)</w:t>
            </w:r>
          </w:p>
        </w:tc>
        <w:tc>
          <w:tcPr>
            <w:tcW w:w="772" w:type="pct"/>
            <w:tcBorders>
              <w:top w:val="nil"/>
              <w:left w:val="nil"/>
              <w:bottom w:val="nil"/>
              <w:right w:val="nil"/>
            </w:tcBorders>
            <w:shd w:val="clear" w:color="auto" w:fill="auto"/>
            <w:noWrap/>
            <w:vAlign w:val="bottom"/>
            <w:hideMark/>
          </w:tcPr>
          <w:p w14:paraId="76A29198" w14:textId="77777777" w:rsidR="008A474E" w:rsidRPr="005865EB" w:rsidRDefault="008A474E" w:rsidP="008A474E">
            <w:pPr>
              <w:spacing w:after="0" w:line="240" w:lineRule="auto"/>
              <w:jc w:val="both"/>
              <w:rPr>
                <w:rFonts w:eastAsia="Times New Roman" w:cstheme="minorHAnsi"/>
                <w:color w:val="000000"/>
                <w:sz w:val="16"/>
                <w:szCs w:val="16"/>
                <w:lang w:eastAsia="en-GB"/>
              </w:rPr>
            </w:pPr>
          </w:p>
        </w:tc>
      </w:tr>
      <w:tr w:rsidR="008A474E" w:rsidRPr="005865EB" w14:paraId="2BA38DFC" w14:textId="77777777" w:rsidTr="008A474E">
        <w:trPr>
          <w:trHeight w:val="300"/>
        </w:trPr>
        <w:tc>
          <w:tcPr>
            <w:tcW w:w="1989" w:type="pct"/>
            <w:tcBorders>
              <w:top w:val="nil"/>
              <w:left w:val="nil"/>
              <w:bottom w:val="nil"/>
              <w:right w:val="nil"/>
            </w:tcBorders>
            <w:shd w:val="clear" w:color="auto" w:fill="auto"/>
            <w:noWrap/>
            <w:vAlign w:val="bottom"/>
            <w:hideMark/>
          </w:tcPr>
          <w:p w14:paraId="1C8B90B2"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Age at follow-up start, mean (SD)</w:t>
            </w:r>
          </w:p>
        </w:tc>
        <w:tc>
          <w:tcPr>
            <w:tcW w:w="1424" w:type="pct"/>
            <w:tcBorders>
              <w:top w:val="nil"/>
              <w:left w:val="nil"/>
              <w:bottom w:val="nil"/>
              <w:right w:val="nil"/>
            </w:tcBorders>
            <w:shd w:val="clear" w:color="auto" w:fill="auto"/>
            <w:noWrap/>
            <w:vAlign w:val="bottom"/>
            <w:hideMark/>
          </w:tcPr>
          <w:p w14:paraId="313AC28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58.63 (12.83)</w:t>
            </w:r>
          </w:p>
        </w:tc>
        <w:tc>
          <w:tcPr>
            <w:tcW w:w="815" w:type="pct"/>
            <w:tcBorders>
              <w:top w:val="nil"/>
              <w:left w:val="nil"/>
              <w:bottom w:val="nil"/>
              <w:right w:val="nil"/>
            </w:tcBorders>
            <w:shd w:val="clear" w:color="auto" w:fill="auto"/>
            <w:noWrap/>
            <w:vAlign w:val="bottom"/>
            <w:hideMark/>
          </w:tcPr>
          <w:p w14:paraId="3644671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57.67 (13.11)</w:t>
            </w:r>
          </w:p>
        </w:tc>
        <w:tc>
          <w:tcPr>
            <w:tcW w:w="772" w:type="pct"/>
            <w:tcBorders>
              <w:top w:val="nil"/>
              <w:left w:val="nil"/>
              <w:bottom w:val="nil"/>
              <w:right w:val="nil"/>
            </w:tcBorders>
            <w:shd w:val="clear" w:color="auto" w:fill="auto"/>
            <w:noWrap/>
            <w:vAlign w:val="bottom"/>
            <w:hideMark/>
          </w:tcPr>
          <w:p w14:paraId="7932C45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58.90 (12.74)</w:t>
            </w:r>
          </w:p>
        </w:tc>
      </w:tr>
      <w:tr w:rsidR="008A474E" w:rsidRPr="005865EB" w14:paraId="589EAEE7" w14:textId="77777777" w:rsidTr="008A474E">
        <w:trPr>
          <w:trHeight w:val="300"/>
        </w:trPr>
        <w:tc>
          <w:tcPr>
            <w:tcW w:w="1989" w:type="pct"/>
            <w:tcBorders>
              <w:top w:val="nil"/>
              <w:left w:val="nil"/>
              <w:bottom w:val="nil"/>
              <w:right w:val="nil"/>
            </w:tcBorders>
            <w:shd w:val="clear" w:color="auto" w:fill="auto"/>
            <w:noWrap/>
            <w:vAlign w:val="bottom"/>
            <w:hideMark/>
          </w:tcPr>
          <w:p w14:paraId="3C8AB591"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Duration of T2DM (years), mean (SD)</w:t>
            </w:r>
          </w:p>
        </w:tc>
        <w:tc>
          <w:tcPr>
            <w:tcW w:w="1424" w:type="pct"/>
            <w:tcBorders>
              <w:top w:val="nil"/>
              <w:left w:val="nil"/>
              <w:bottom w:val="nil"/>
              <w:right w:val="nil"/>
            </w:tcBorders>
            <w:shd w:val="clear" w:color="auto" w:fill="auto"/>
            <w:noWrap/>
            <w:vAlign w:val="bottom"/>
            <w:hideMark/>
          </w:tcPr>
          <w:p w14:paraId="30645E4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0.82 (2.85)</w:t>
            </w:r>
          </w:p>
        </w:tc>
        <w:tc>
          <w:tcPr>
            <w:tcW w:w="815" w:type="pct"/>
            <w:tcBorders>
              <w:top w:val="nil"/>
              <w:left w:val="nil"/>
              <w:bottom w:val="nil"/>
              <w:right w:val="nil"/>
            </w:tcBorders>
            <w:shd w:val="clear" w:color="auto" w:fill="auto"/>
            <w:noWrap/>
            <w:vAlign w:val="bottom"/>
            <w:hideMark/>
          </w:tcPr>
          <w:p w14:paraId="1581CB7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0.89 (3.02)</w:t>
            </w:r>
          </w:p>
        </w:tc>
        <w:tc>
          <w:tcPr>
            <w:tcW w:w="772" w:type="pct"/>
            <w:tcBorders>
              <w:top w:val="nil"/>
              <w:left w:val="nil"/>
              <w:bottom w:val="nil"/>
              <w:right w:val="nil"/>
            </w:tcBorders>
            <w:shd w:val="clear" w:color="auto" w:fill="auto"/>
            <w:noWrap/>
            <w:vAlign w:val="bottom"/>
            <w:hideMark/>
          </w:tcPr>
          <w:p w14:paraId="2F688AB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0.80 (2.80)</w:t>
            </w:r>
          </w:p>
        </w:tc>
      </w:tr>
      <w:tr w:rsidR="008A474E" w:rsidRPr="005865EB" w14:paraId="5EA4F2C9" w14:textId="77777777" w:rsidTr="008A474E">
        <w:trPr>
          <w:trHeight w:val="300"/>
        </w:trPr>
        <w:tc>
          <w:tcPr>
            <w:tcW w:w="1989" w:type="pct"/>
            <w:tcBorders>
              <w:top w:val="nil"/>
              <w:left w:val="nil"/>
              <w:bottom w:val="nil"/>
              <w:right w:val="nil"/>
            </w:tcBorders>
            <w:shd w:val="clear" w:color="auto" w:fill="auto"/>
            <w:noWrap/>
            <w:vAlign w:val="bottom"/>
            <w:hideMark/>
          </w:tcPr>
          <w:p w14:paraId="5AA8A9A2"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Follow-up length (years), mean (SD)</w:t>
            </w:r>
          </w:p>
        </w:tc>
        <w:tc>
          <w:tcPr>
            <w:tcW w:w="1424" w:type="pct"/>
            <w:tcBorders>
              <w:top w:val="nil"/>
              <w:left w:val="nil"/>
              <w:bottom w:val="nil"/>
              <w:right w:val="nil"/>
            </w:tcBorders>
            <w:shd w:val="clear" w:color="auto" w:fill="auto"/>
            <w:noWrap/>
            <w:vAlign w:val="bottom"/>
            <w:hideMark/>
          </w:tcPr>
          <w:p w14:paraId="1380A44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6.19 (4.43)</w:t>
            </w:r>
          </w:p>
        </w:tc>
        <w:tc>
          <w:tcPr>
            <w:tcW w:w="815" w:type="pct"/>
            <w:tcBorders>
              <w:top w:val="nil"/>
              <w:left w:val="nil"/>
              <w:bottom w:val="nil"/>
              <w:right w:val="nil"/>
            </w:tcBorders>
            <w:shd w:val="clear" w:color="auto" w:fill="auto"/>
            <w:noWrap/>
            <w:vAlign w:val="bottom"/>
            <w:hideMark/>
          </w:tcPr>
          <w:p w14:paraId="492A743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6.02 (4.45)</w:t>
            </w:r>
          </w:p>
        </w:tc>
        <w:tc>
          <w:tcPr>
            <w:tcW w:w="772" w:type="pct"/>
            <w:tcBorders>
              <w:top w:val="nil"/>
              <w:left w:val="nil"/>
              <w:bottom w:val="nil"/>
              <w:right w:val="nil"/>
            </w:tcBorders>
            <w:shd w:val="clear" w:color="auto" w:fill="auto"/>
            <w:noWrap/>
            <w:vAlign w:val="bottom"/>
            <w:hideMark/>
          </w:tcPr>
          <w:p w14:paraId="7CB8F53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6.23 (4.43)</w:t>
            </w:r>
          </w:p>
        </w:tc>
      </w:tr>
      <w:tr w:rsidR="008A474E" w:rsidRPr="005865EB" w14:paraId="3CD321E8" w14:textId="77777777" w:rsidTr="008A474E">
        <w:trPr>
          <w:trHeight w:val="300"/>
        </w:trPr>
        <w:tc>
          <w:tcPr>
            <w:tcW w:w="1989" w:type="pct"/>
            <w:tcBorders>
              <w:top w:val="nil"/>
              <w:left w:val="nil"/>
              <w:bottom w:val="nil"/>
              <w:right w:val="nil"/>
            </w:tcBorders>
            <w:shd w:val="clear" w:color="auto" w:fill="auto"/>
            <w:noWrap/>
            <w:vAlign w:val="bottom"/>
            <w:hideMark/>
          </w:tcPr>
          <w:p w14:paraId="7902E9C0"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Family history of diabetes, n (%)</w:t>
            </w:r>
          </w:p>
        </w:tc>
        <w:tc>
          <w:tcPr>
            <w:tcW w:w="1424" w:type="pct"/>
            <w:tcBorders>
              <w:top w:val="nil"/>
              <w:left w:val="nil"/>
              <w:bottom w:val="nil"/>
              <w:right w:val="nil"/>
            </w:tcBorders>
            <w:shd w:val="clear" w:color="auto" w:fill="auto"/>
            <w:noWrap/>
            <w:vAlign w:val="bottom"/>
            <w:hideMark/>
          </w:tcPr>
          <w:p w14:paraId="7FCE57B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1,766 (17.7%)</w:t>
            </w:r>
          </w:p>
        </w:tc>
        <w:tc>
          <w:tcPr>
            <w:tcW w:w="815" w:type="pct"/>
            <w:tcBorders>
              <w:top w:val="nil"/>
              <w:left w:val="nil"/>
              <w:bottom w:val="nil"/>
              <w:right w:val="nil"/>
            </w:tcBorders>
            <w:shd w:val="clear" w:color="auto" w:fill="auto"/>
            <w:noWrap/>
            <w:vAlign w:val="bottom"/>
            <w:hideMark/>
          </w:tcPr>
          <w:p w14:paraId="2A0725B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324 (14.8%)</w:t>
            </w:r>
          </w:p>
        </w:tc>
        <w:tc>
          <w:tcPr>
            <w:tcW w:w="772" w:type="pct"/>
            <w:tcBorders>
              <w:top w:val="nil"/>
              <w:left w:val="nil"/>
              <w:bottom w:val="nil"/>
              <w:right w:val="nil"/>
            </w:tcBorders>
            <w:shd w:val="clear" w:color="auto" w:fill="auto"/>
            <w:noWrap/>
            <w:vAlign w:val="bottom"/>
            <w:hideMark/>
          </w:tcPr>
          <w:p w14:paraId="6F3E1C5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1,442 (18.6%)</w:t>
            </w:r>
          </w:p>
        </w:tc>
      </w:tr>
      <w:tr w:rsidR="008A474E" w:rsidRPr="005865EB" w14:paraId="5D20FE93" w14:textId="77777777" w:rsidTr="008A474E">
        <w:trPr>
          <w:trHeight w:val="300"/>
        </w:trPr>
        <w:tc>
          <w:tcPr>
            <w:tcW w:w="1989" w:type="pct"/>
            <w:tcBorders>
              <w:top w:val="nil"/>
              <w:left w:val="nil"/>
              <w:bottom w:val="nil"/>
              <w:right w:val="nil"/>
            </w:tcBorders>
            <w:shd w:val="clear" w:color="auto" w:fill="auto"/>
            <w:noWrap/>
            <w:vAlign w:val="bottom"/>
            <w:hideMark/>
          </w:tcPr>
          <w:p w14:paraId="0AC8A085"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Sex, n (%)</w:t>
            </w:r>
          </w:p>
        </w:tc>
        <w:tc>
          <w:tcPr>
            <w:tcW w:w="1424" w:type="pct"/>
            <w:tcBorders>
              <w:top w:val="nil"/>
              <w:left w:val="nil"/>
              <w:bottom w:val="nil"/>
              <w:right w:val="nil"/>
            </w:tcBorders>
            <w:shd w:val="clear" w:color="auto" w:fill="auto"/>
            <w:noWrap/>
            <w:vAlign w:val="bottom"/>
            <w:hideMark/>
          </w:tcPr>
          <w:p w14:paraId="4DC2BC9F"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42CB0357"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014C09CF"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052EEC12" w14:textId="77777777" w:rsidTr="008A474E">
        <w:trPr>
          <w:trHeight w:val="300"/>
        </w:trPr>
        <w:tc>
          <w:tcPr>
            <w:tcW w:w="1989" w:type="pct"/>
            <w:tcBorders>
              <w:top w:val="nil"/>
              <w:left w:val="nil"/>
              <w:bottom w:val="nil"/>
              <w:right w:val="nil"/>
            </w:tcBorders>
            <w:shd w:val="clear" w:color="auto" w:fill="auto"/>
            <w:noWrap/>
            <w:vAlign w:val="bottom"/>
            <w:hideMark/>
          </w:tcPr>
          <w:p w14:paraId="55D325F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Male</w:t>
            </w:r>
          </w:p>
        </w:tc>
        <w:tc>
          <w:tcPr>
            <w:tcW w:w="1424" w:type="pct"/>
            <w:tcBorders>
              <w:top w:val="nil"/>
              <w:left w:val="nil"/>
              <w:bottom w:val="nil"/>
              <w:right w:val="nil"/>
            </w:tcBorders>
            <w:shd w:val="clear" w:color="auto" w:fill="auto"/>
            <w:noWrap/>
            <w:vAlign w:val="bottom"/>
            <w:hideMark/>
          </w:tcPr>
          <w:p w14:paraId="206474D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4,758 (47.8%)</w:t>
            </w:r>
          </w:p>
        </w:tc>
        <w:tc>
          <w:tcPr>
            <w:tcW w:w="815" w:type="pct"/>
            <w:tcBorders>
              <w:top w:val="nil"/>
              <w:left w:val="nil"/>
              <w:bottom w:val="nil"/>
              <w:right w:val="nil"/>
            </w:tcBorders>
            <w:shd w:val="clear" w:color="auto" w:fill="auto"/>
            <w:noWrap/>
            <w:vAlign w:val="bottom"/>
            <w:hideMark/>
          </w:tcPr>
          <w:p w14:paraId="48E3E6A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1,051 (48.0%)</w:t>
            </w:r>
          </w:p>
        </w:tc>
        <w:tc>
          <w:tcPr>
            <w:tcW w:w="772" w:type="pct"/>
            <w:tcBorders>
              <w:top w:val="nil"/>
              <w:left w:val="nil"/>
              <w:bottom w:val="nil"/>
              <w:right w:val="nil"/>
            </w:tcBorders>
            <w:shd w:val="clear" w:color="auto" w:fill="auto"/>
            <w:noWrap/>
            <w:vAlign w:val="bottom"/>
            <w:hideMark/>
          </w:tcPr>
          <w:p w14:paraId="6A1365A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3,707(47.7%)</w:t>
            </w:r>
          </w:p>
        </w:tc>
      </w:tr>
      <w:tr w:rsidR="008A474E" w:rsidRPr="005865EB" w14:paraId="7DE28653" w14:textId="77777777" w:rsidTr="008A474E">
        <w:trPr>
          <w:trHeight w:val="300"/>
        </w:trPr>
        <w:tc>
          <w:tcPr>
            <w:tcW w:w="1989" w:type="pct"/>
            <w:tcBorders>
              <w:top w:val="nil"/>
              <w:left w:val="nil"/>
              <w:bottom w:val="nil"/>
              <w:right w:val="nil"/>
            </w:tcBorders>
            <w:shd w:val="clear" w:color="auto" w:fill="auto"/>
            <w:noWrap/>
            <w:vAlign w:val="bottom"/>
            <w:hideMark/>
          </w:tcPr>
          <w:p w14:paraId="7423177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Female</w:t>
            </w:r>
          </w:p>
        </w:tc>
        <w:tc>
          <w:tcPr>
            <w:tcW w:w="1424" w:type="pct"/>
            <w:tcBorders>
              <w:top w:val="nil"/>
              <w:left w:val="nil"/>
              <w:bottom w:val="nil"/>
              <w:right w:val="nil"/>
            </w:tcBorders>
            <w:shd w:val="clear" w:color="auto" w:fill="auto"/>
            <w:noWrap/>
            <w:vAlign w:val="bottom"/>
            <w:hideMark/>
          </w:tcPr>
          <w:p w14:paraId="0147775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5,207 (52.3%)</w:t>
            </w:r>
          </w:p>
        </w:tc>
        <w:tc>
          <w:tcPr>
            <w:tcW w:w="815" w:type="pct"/>
            <w:tcBorders>
              <w:top w:val="nil"/>
              <w:left w:val="nil"/>
              <w:bottom w:val="nil"/>
              <w:right w:val="nil"/>
            </w:tcBorders>
            <w:shd w:val="clear" w:color="auto" w:fill="auto"/>
            <w:noWrap/>
            <w:vAlign w:val="bottom"/>
            <w:hideMark/>
          </w:tcPr>
          <w:p w14:paraId="2DBAE38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1,141 (52.1%)</w:t>
            </w:r>
          </w:p>
        </w:tc>
        <w:tc>
          <w:tcPr>
            <w:tcW w:w="772" w:type="pct"/>
            <w:tcBorders>
              <w:top w:val="nil"/>
              <w:left w:val="nil"/>
              <w:bottom w:val="nil"/>
              <w:right w:val="nil"/>
            </w:tcBorders>
            <w:shd w:val="clear" w:color="auto" w:fill="auto"/>
            <w:noWrap/>
            <w:vAlign w:val="bottom"/>
            <w:hideMark/>
          </w:tcPr>
          <w:p w14:paraId="75B6B8F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4,066 (52.3%)</w:t>
            </w:r>
          </w:p>
        </w:tc>
      </w:tr>
      <w:tr w:rsidR="008A474E" w:rsidRPr="005865EB" w14:paraId="0C7979CF" w14:textId="77777777" w:rsidTr="008A474E">
        <w:trPr>
          <w:trHeight w:val="300"/>
        </w:trPr>
        <w:tc>
          <w:tcPr>
            <w:tcW w:w="1989" w:type="pct"/>
            <w:tcBorders>
              <w:top w:val="nil"/>
              <w:left w:val="nil"/>
              <w:bottom w:val="nil"/>
              <w:right w:val="nil"/>
            </w:tcBorders>
            <w:shd w:val="clear" w:color="auto" w:fill="auto"/>
            <w:noWrap/>
            <w:vAlign w:val="bottom"/>
            <w:hideMark/>
          </w:tcPr>
          <w:p w14:paraId="7648155C"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Ethnicity, n (%)</w:t>
            </w:r>
          </w:p>
        </w:tc>
        <w:tc>
          <w:tcPr>
            <w:tcW w:w="1424" w:type="pct"/>
            <w:tcBorders>
              <w:top w:val="nil"/>
              <w:left w:val="nil"/>
              <w:bottom w:val="nil"/>
              <w:right w:val="nil"/>
            </w:tcBorders>
            <w:shd w:val="clear" w:color="auto" w:fill="auto"/>
            <w:noWrap/>
            <w:vAlign w:val="bottom"/>
            <w:hideMark/>
          </w:tcPr>
          <w:p w14:paraId="46686A53"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2EC3CE64"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28D19CCF"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2AE8E8C8" w14:textId="77777777" w:rsidTr="008A474E">
        <w:trPr>
          <w:trHeight w:val="300"/>
        </w:trPr>
        <w:tc>
          <w:tcPr>
            <w:tcW w:w="1989" w:type="pct"/>
            <w:tcBorders>
              <w:top w:val="nil"/>
              <w:left w:val="nil"/>
              <w:bottom w:val="nil"/>
              <w:right w:val="nil"/>
            </w:tcBorders>
            <w:shd w:val="clear" w:color="auto" w:fill="auto"/>
            <w:noWrap/>
            <w:vAlign w:val="bottom"/>
            <w:hideMark/>
          </w:tcPr>
          <w:p w14:paraId="2B42AE0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White</w:t>
            </w:r>
          </w:p>
        </w:tc>
        <w:tc>
          <w:tcPr>
            <w:tcW w:w="1424" w:type="pct"/>
            <w:tcBorders>
              <w:top w:val="nil"/>
              <w:left w:val="nil"/>
              <w:bottom w:val="nil"/>
              <w:right w:val="nil"/>
            </w:tcBorders>
            <w:shd w:val="clear" w:color="auto" w:fill="auto"/>
            <w:noWrap/>
            <w:vAlign w:val="bottom"/>
            <w:hideMark/>
          </w:tcPr>
          <w:p w14:paraId="381BF6E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8,095 (81.2%)</w:t>
            </w:r>
          </w:p>
        </w:tc>
        <w:tc>
          <w:tcPr>
            <w:tcW w:w="815" w:type="pct"/>
            <w:tcBorders>
              <w:top w:val="nil"/>
              <w:left w:val="nil"/>
              <w:bottom w:val="nil"/>
              <w:right w:val="nil"/>
            </w:tcBorders>
            <w:shd w:val="clear" w:color="auto" w:fill="auto"/>
            <w:noWrap/>
            <w:vAlign w:val="bottom"/>
            <w:hideMark/>
          </w:tcPr>
          <w:p w14:paraId="23DAB42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1,826 (83.3%)</w:t>
            </w:r>
          </w:p>
        </w:tc>
        <w:tc>
          <w:tcPr>
            <w:tcW w:w="772" w:type="pct"/>
            <w:tcBorders>
              <w:top w:val="nil"/>
              <w:left w:val="nil"/>
              <w:bottom w:val="nil"/>
              <w:right w:val="nil"/>
            </w:tcBorders>
            <w:shd w:val="clear" w:color="auto" w:fill="auto"/>
            <w:noWrap/>
            <w:vAlign w:val="bottom"/>
            <w:hideMark/>
          </w:tcPr>
          <w:p w14:paraId="183E58F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6,269 (80.7%)</w:t>
            </w:r>
          </w:p>
        </w:tc>
      </w:tr>
      <w:tr w:rsidR="008A474E" w:rsidRPr="005865EB" w14:paraId="5545D886" w14:textId="77777777" w:rsidTr="008A474E">
        <w:trPr>
          <w:trHeight w:val="300"/>
        </w:trPr>
        <w:tc>
          <w:tcPr>
            <w:tcW w:w="1989" w:type="pct"/>
            <w:tcBorders>
              <w:top w:val="nil"/>
              <w:left w:val="nil"/>
              <w:bottom w:val="nil"/>
              <w:right w:val="nil"/>
            </w:tcBorders>
            <w:shd w:val="clear" w:color="auto" w:fill="auto"/>
            <w:noWrap/>
            <w:vAlign w:val="bottom"/>
            <w:hideMark/>
          </w:tcPr>
          <w:p w14:paraId="443718B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Asian</w:t>
            </w:r>
          </w:p>
        </w:tc>
        <w:tc>
          <w:tcPr>
            <w:tcW w:w="1424" w:type="pct"/>
            <w:tcBorders>
              <w:top w:val="nil"/>
              <w:left w:val="nil"/>
              <w:bottom w:val="nil"/>
              <w:right w:val="nil"/>
            </w:tcBorders>
            <w:shd w:val="clear" w:color="auto" w:fill="auto"/>
            <w:noWrap/>
            <w:vAlign w:val="bottom"/>
            <w:hideMark/>
          </w:tcPr>
          <w:p w14:paraId="10BB4EE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638 (6.4%)</w:t>
            </w:r>
          </w:p>
        </w:tc>
        <w:tc>
          <w:tcPr>
            <w:tcW w:w="815" w:type="pct"/>
            <w:tcBorders>
              <w:top w:val="nil"/>
              <w:left w:val="nil"/>
              <w:bottom w:val="nil"/>
              <w:right w:val="nil"/>
            </w:tcBorders>
            <w:shd w:val="clear" w:color="auto" w:fill="auto"/>
            <w:noWrap/>
            <w:vAlign w:val="bottom"/>
            <w:hideMark/>
          </w:tcPr>
          <w:p w14:paraId="7CCF303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139 (6.3%)</w:t>
            </w:r>
          </w:p>
        </w:tc>
        <w:tc>
          <w:tcPr>
            <w:tcW w:w="772" w:type="pct"/>
            <w:tcBorders>
              <w:top w:val="nil"/>
              <w:left w:val="nil"/>
              <w:bottom w:val="nil"/>
              <w:right w:val="nil"/>
            </w:tcBorders>
            <w:shd w:val="clear" w:color="auto" w:fill="auto"/>
            <w:noWrap/>
            <w:vAlign w:val="bottom"/>
            <w:hideMark/>
          </w:tcPr>
          <w:p w14:paraId="3379733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499 (6.4%)</w:t>
            </w:r>
          </w:p>
        </w:tc>
      </w:tr>
      <w:tr w:rsidR="008A474E" w:rsidRPr="005865EB" w14:paraId="1021EB2C" w14:textId="77777777" w:rsidTr="008A474E">
        <w:trPr>
          <w:trHeight w:val="300"/>
        </w:trPr>
        <w:tc>
          <w:tcPr>
            <w:tcW w:w="1989" w:type="pct"/>
            <w:tcBorders>
              <w:top w:val="nil"/>
              <w:left w:val="nil"/>
              <w:bottom w:val="nil"/>
              <w:right w:val="nil"/>
            </w:tcBorders>
            <w:shd w:val="clear" w:color="auto" w:fill="auto"/>
            <w:noWrap/>
            <w:vAlign w:val="bottom"/>
            <w:hideMark/>
          </w:tcPr>
          <w:p w14:paraId="73907AD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Black</w:t>
            </w:r>
          </w:p>
        </w:tc>
        <w:tc>
          <w:tcPr>
            <w:tcW w:w="1424" w:type="pct"/>
            <w:tcBorders>
              <w:top w:val="nil"/>
              <w:left w:val="nil"/>
              <w:bottom w:val="nil"/>
              <w:right w:val="nil"/>
            </w:tcBorders>
            <w:shd w:val="clear" w:color="auto" w:fill="auto"/>
            <w:noWrap/>
            <w:vAlign w:val="bottom"/>
            <w:hideMark/>
          </w:tcPr>
          <w:p w14:paraId="08C4CAF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363 (3.6%)</w:t>
            </w:r>
          </w:p>
        </w:tc>
        <w:tc>
          <w:tcPr>
            <w:tcW w:w="815" w:type="pct"/>
            <w:tcBorders>
              <w:top w:val="nil"/>
              <w:left w:val="nil"/>
              <w:bottom w:val="nil"/>
              <w:right w:val="nil"/>
            </w:tcBorders>
            <w:shd w:val="clear" w:color="auto" w:fill="auto"/>
            <w:noWrap/>
            <w:vAlign w:val="bottom"/>
            <w:hideMark/>
          </w:tcPr>
          <w:p w14:paraId="00AA54C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106 (4.8%)</w:t>
            </w:r>
          </w:p>
        </w:tc>
        <w:tc>
          <w:tcPr>
            <w:tcW w:w="772" w:type="pct"/>
            <w:tcBorders>
              <w:top w:val="nil"/>
              <w:left w:val="nil"/>
              <w:bottom w:val="nil"/>
              <w:right w:val="nil"/>
            </w:tcBorders>
            <w:shd w:val="clear" w:color="auto" w:fill="auto"/>
            <w:noWrap/>
            <w:vAlign w:val="bottom"/>
            <w:hideMark/>
          </w:tcPr>
          <w:p w14:paraId="2181EB0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257 (3.3%)</w:t>
            </w:r>
          </w:p>
        </w:tc>
      </w:tr>
      <w:tr w:rsidR="008A474E" w:rsidRPr="005865EB" w14:paraId="7D4B17C0" w14:textId="77777777" w:rsidTr="008A474E">
        <w:trPr>
          <w:trHeight w:val="300"/>
        </w:trPr>
        <w:tc>
          <w:tcPr>
            <w:tcW w:w="1989" w:type="pct"/>
            <w:tcBorders>
              <w:top w:val="nil"/>
              <w:left w:val="nil"/>
              <w:bottom w:val="nil"/>
              <w:right w:val="nil"/>
            </w:tcBorders>
            <w:shd w:val="clear" w:color="auto" w:fill="auto"/>
            <w:noWrap/>
            <w:vAlign w:val="bottom"/>
            <w:hideMark/>
          </w:tcPr>
          <w:p w14:paraId="0047B97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Mixed, other and unknown</w:t>
            </w:r>
          </w:p>
        </w:tc>
        <w:tc>
          <w:tcPr>
            <w:tcW w:w="1424" w:type="pct"/>
            <w:tcBorders>
              <w:top w:val="nil"/>
              <w:left w:val="nil"/>
              <w:bottom w:val="nil"/>
              <w:right w:val="nil"/>
            </w:tcBorders>
            <w:shd w:val="clear" w:color="auto" w:fill="auto"/>
            <w:noWrap/>
            <w:vAlign w:val="bottom"/>
            <w:hideMark/>
          </w:tcPr>
          <w:p w14:paraId="5AA3989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869 (8.7%)</w:t>
            </w:r>
          </w:p>
        </w:tc>
        <w:tc>
          <w:tcPr>
            <w:tcW w:w="815" w:type="pct"/>
            <w:tcBorders>
              <w:top w:val="nil"/>
              <w:left w:val="nil"/>
              <w:bottom w:val="nil"/>
              <w:right w:val="nil"/>
            </w:tcBorders>
            <w:shd w:val="clear" w:color="auto" w:fill="auto"/>
            <w:noWrap/>
            <w:vAlign w:val="bottom"/>
            <w:hideMark/>
          </w:tcPr>
          <w:p w14:paraId="5122709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121 (5.5%)</w:t>
            </w:r>
          </w:p>
        </w:tc>
        <w:tc>
          <w:tcPr>
            <w:tcW w:w="772" w:type="pct"/>
            <w:tcBorders>
              <w:top w:val="nil"/>
              <w:left w:val="nil"/>
              <w:bottom w:val="nil"/>
              <w:right w:val="nil"/>
            </w:tcBorders>
            <w:shd w:val="clear" w:color="auto" w:fill="auto"/>
            <w:noWrap/>
            <w:vAlign w:val="bottom"/>
            <w:hideMark/>
          </w:tcPr>
          <w:p w14:paraId="31469EE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748 (9.6%)</w:t>
            </w:r>
          </w:p>
        </w:tc>
      </w:tr>
      <w:tr w:rsidR="008A474E" w:rsidRPr="005865EB" w14:paraId="37900331" w14:textId="77777777" w:rsidTr="008A474E">
        <w:trPr>
          <w:trHeight w:val="300"/>
        </w:trPr>
        <w:tc>
          <w:tcPr>
            <w:tcW w:w="1989" w:type="pct"/>
            <w:tcBorders>
              <w:top w:val="nil"/>
              <w:left w:val="nil"/>
              <w:bottom w:val="nil"/>
              <w:right w:val="nil"/>
            </w:tcBorders>
            <w:shd w:val="clear" w:color="auto" w:fill="auto"/>
            <w:noWrap/>
            <w:vAlign w:val="bottom"/>
            <w:hideMark/>
          </w:tcPr>
          <w:p w14:paraId="44DB090D"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Deprivation (IMD 2010), n (%)</w:t>
            </w:r>
          </w:p>
        </w:tc>
        <w:tc>
          <w:tcPr>
            <w:tcW w:w="1424" w:type="pct"/>
            <w:tcBorders>
              <w:top w:val="nil"/>
              <w:left w:val="nil"/>
              <w:bottom w:val="nil"/>
              <w:right w:val="nil"/>
            </w:tcBorders>
            <w:shd w:val="clear" w:color="auto" w:fill="auto"/>
            <w:noWrap/>
            <w:vAlign w:val="bottom"/>
            <w:hideMark/>
          </w:tcPr>
          <w:p w14:paraId="21F70B92"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1D839D55"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5D378FAF"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2F468029" w14:textId="77777777" w:rsidTr="008A474E">
        <w:trPr>
          <w:trHeight w:val="300"/>
        </w:trPr>
        <w:tc>
          <w:tcPr>
            <w:tcW w:w="1989" w:type="pct"/>
            <w:tcBorders>
              <w:top w:val="nil"/>
              <w:left w:val="nil"/>
              <w:bottom w:val="nil"/>
              <w:right w:val="nil"/>
            </w:tcBorders>
            <w:shd w:val="clear" w:color="auto" w:fill="auto"/>
            <w:noWrap/>
            <w:vAlign w:val="bottom"/>
            <w:hideMark/>
          </w:tcPr>
          <w:p w14:paraId="2AD747BE"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1st quintile (lease deprived)</w:t>
            </w:r>
          </w:p>
        </w:tc>
        <w:tc>
          <w:tcPr>
            <w:tcW w:w="1424" w:type="pct"/>
            <w:tcBorders>
              <w:top w:val="nil"/>
              <w:left w:val="nil"/>
              <w:bottom w:val="nil"/>
              <w:right w:val="nil"/>
            </w:tcBorders>
            <w:shd w:val="clear" w:color="auto" w:fill="auto"/>
            <w:noWrap/>
            <w:vAlign w:val="bottom"/>
            <w:hideMark/>
          </w:tcPr>
          <w:p w14:paraId="1FE80EC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1,490 (15.0%)</w:t>
            </w:r>
          </w:p>
        </w:tc>
        <w:tc>
          <w:tcPr>
            <w:tcW w:w="815" w:type="pct"/>
            <w:tcBorders>
              <w:top w:val="nil"/>
              <w:left w:val="nil"/>
              <w:bottom w:val="nil"/>
              <w:right w:val="nil"/>
            </w:tcBorders>
            <w:shd w:val="clear" w:color="auto" w:fill="auto"/>
            <w:noWrap/>
            <w:vAlign w:val="bottom"/>
            <w:hideMark/>
          </w:tcPr>
          <w:p w14:paraId="248CB2F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279 (12.7%)</w:t>
            </w:r>
          </w:p>
        </w:tc>
        <w:tc>
          <w:tcPr>
            <w:tcW w:w="772" w:type="pct"/>
            <w:tcBorders>
              <w:top w:val="nil"/>
              <w:left w:val="nil"/>
              <w:bottom w:val="nil"/>
              <w:right w:val="nil"/>
            </w:tcBorders>
            <w:shd w:val="clear" w:color="auto" w:fill="auto"/>
            <w:noWrap/>
            <w:vAlign w:val="bottom"/>
            <w:hideMark/>
          </w:tcPr>
          <w:p w14:paraId="44BA045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1,211 (15.6%)</w:t>
            </w:r>
          </w:p>
        </w:tc>
      </w:tr>
      <w:tr w:rsidR="008A474E" w:rsidRPr="005865EB" w14:paraId="5C1C970C" w14:textId="77777777" w:rsidTr="008A474E">
        <w:trPr>
          <w:trHeight w:val="300"/>
        </w:trPr>
        <w:tc>
          <w:tcPr>
            <w:tcW w:w="1989" w:type="pct"/>
            <w:tcBorders>
              <w:top w:val="nil"/>
              <w:left w:val="nil"/>
              <w:bottom w:val="nil"/>
              <w:right w:val="nil"/>
            </w:tcBorders>
            <w:shd w:val="clear" w:color="auto" w:fill="auto"/>
            <w:noWrap/>
            <w:vAlign w:val="bottom"/>
            <w:hideMark/>
          </w:tcPr>
          <w:p w14:paraId="3EAF81F5"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2nd quintile</w:t>
            </w:r>
          </w:p>
        </w:tc>
        <w:tc>
          <w:tcPr>
            <w:tcW w:w="1424" w:type="pct"/>
            <w:tcBorders>
              <w:top w:val="nil"/>
              <w:left w:val="nil"/>
              <w:bottom w:val="nil"/>
              <w:right w:val="nil"/>
            </w:tcBorders>
            <w:shd w:val="clear" w:color="auto" w:fill="auto"/>
            <w:noWrap/>
            <w:vAlign w:val="bottom"/>
            <w:hideMark/>
          </w:tcPr>
          <w:p w14:paraId="6E195E6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1,860 (18.7%)</w:t>
            </w:r>
          </w:p>
        </w:tc>
        <w:tc>
          <w:tcPr>
            <w:tcW w:w="815" w:type="pct"/>
            <w:tcBorders>
              <w:top w:val="nil"/>
              <w:left w:val="nil"/>
              <w:bottom w:val="nil"/>
              <w:right w:val="nil"/>
            </w:tcBorders>
            <w:shd w:val="clear" w:color="auto" w:fill="auto"/>
            <w:noWrap/>
            <w:vAlign w:val="bottom"/>
            <w:hideMark/>
          </w:tcPr>
          <w:p w14:paraId="5E47A3C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358 (16.3%)</w:t>
            </w:r>
          </w:p>
        </w:tc>
        <w:tc>
          <w:tcPr>
            <w:tcW w:w="772" w:type="pct"/>
            <w:tcBorders>
              <w:top w:val="nil"/>
              <w:left w:val="nil"/>
              <w:bottom w:val="nil"/>
              <w:right w:val="nil"/>
            </w:tcBorders>
            <w:shd w:val="clear" w:color="auto" w:fill="auto"/>
            <w:noWrap/>
            <w:vAlign w:val="bottom"/>
            <w:hideMark/>
          </w:tcPr>
          <w:p w14:paraId="7D630DF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1,502 (19.3%)</w:t>
            </w:r>
          </w:p>
        </w:tc>
      </w:tr>
      <w:tr w:rsidR="008A474E" w:rsidRPr="005865EB" w14:paraId="6B4FDDA7" w14:textId="77777777" w:rsidTr="008A474E">
        <w:trPr>
          <w:trHeight w:val="300"/>
        </w:trPr>
        <w:tc>
          <w:tcPr>
            <w:tcW w:w="1989" w:type="pct"/>
            <w:tcBorders>
              <w:top w:val="nil"/>
              <w:left w:val="nil"/>
              <w:bottom w:val="nil"/>
              <w:right w:val="nil"/>
            </w:tcBorders>
            <w:shd w:val="clear" w:color="auto" w:fill="auto"/>
            <w:noWrap/>
            <w:vAlign w:val="bottom"/>
            <w:hideMark/>
          </w:tcPr>
          <w:p w14:paraId="4FDB962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3rd quintile</w:t>
            </w:r>
          </w:p>
        </w:tc>
        <w:tc>
          <w:tcPr>
            <w:tcW w:w="1424" w:type="pct"/>
            <w:tcBorders>
              <w:top w:val="nil"/>
              <w:left w:val="nil"/>
              <w:bottom w:val="nil"/>
              <w:right w:val="nil"/>
            </w:tcBorders>
            <w:shd w:val="clear" w:color="auto" w:fill="auto"/>
            <w:noWrap/>
            <w:vAlign w:val="bottom"/>
            <w:hideMark/>
          </w:tcPr>
          <w:p w14:paraId="361D2EF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1,984 (19.9%)</w:t>
            </w:r>
          </w:p>
        </w:tc>
        <w:tc>
          <w:tcPr>
            <w:tcW w:w="815" w:type="pct"/>
            <w:tcBorders>
              <w:top w:val="nil"/>
              <w:left w:val="nil"/>
              <w:bottom w:val="nil"/>
              <w:right w:val="nil"/>
            </w:tcBorders>
            <w:shd w:val="clear" w:color="auto" w:fill="auto"/>
            <w:noWrap/>
            <w:vAlign w:val="bottom"/>
            <w:hideMark/>
          </w:tcPr>
          <w:p w14:paraId="18A0764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415 (18.9%)</w:t>
            </w:r>
          </w:p>
        </w:tc>
        <w:tc>
          <w:tcPr>
            <w:tcW w:w="772" w:type="pct"/>
            <w:tcBorders>
              <w:top w:val="nil"/>
              <w:left w:val="nil"/>
              <w:bottom w:val="nil"/>
              <w:right w:val="nil"/>
            </w:tcBorders>
            <w:shd w:val="clear" w:color="auto" w:fill="auto"/>
            <w:noWrap/>
            <w:vAlign w:val="bottom"/>
            <w:hideMark/>
          </w:tcPr>
          <w:p w14:paraId="5EE7525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1,569 (20.2%)</w:t>
            </w:r>
          </w:p>
        </w:tc>
      </w:tr>
      <w:tr w:rsidR="008A474E" w:rsidRPr="005865EB" w14:paraId="7CBA61FD" w14:textId="77777777" w:rsidTr="008A474E">
        <w:trPr>
          <w:trHeight w:val="300"/>
        </w:trPr>
        <w:tc>
          <w:tcPr>
            <w:tcW w:w="1989" w:type="pct"/>
            <w:tcBorders>
              <w:top w:val="nil"/>
              <w:left w:val="nil"/>
              <w:bottom w:val="nil"/>
              <w:right w:val="nil"/>
            </w:tcBorders>
            <w:shd w:val="clear" w:color="auto" w:fill="auto"/>
            <w:noWrap/>
            <w:vAlign w:val="bottom"/>
            <w:hideMark/>
          </w:tcPr>
          <w:p w14:paraId="71F73305"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4th quintile</w:t>
            </w:r>
          </w:p>
        </w:tc>
        <w:tc>
          <w:tcPr>
            <w:tcW w:w="1424" w:type="pct"/>
            <w:tcBorders>
              <w:top w:val="nil"/>
              <w:left w:val="nil"/>
              <w:bottom w:val="nil"/>
              <w:right w:val="nil"/>
            </w:tcBorders>
            <w:shd w:val="clear" w:color="auto" w:fill="auto"/>
            <w:noWrap/>
            <w:vAlign w:val="bottom"/>
            <w:hideMark/>
          </w:tcPr>
          <w:p w14:paraId="336D41A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2,287 (23.0%)</w:t>
            </w:r>
          </w:p>
        </w:tc>
        <w:tc>
          <w:tcPr>
            <w:tcW w:w="815" w:type="pct"/>
            <w:tcBorders>
              <w:top w:val="nil"/>
              <w:left w:val="nil"/>
              <w:bottom w:val="nil"/>
              <w:right w:val="nil"/>
            </w:tcBorders>
            <w:shd w:val="clear" w:color="auto" w:fill="auto"/>
            <w:noWrap/>
            <w:vAlign w:val="bottom"/>
            <w:hideMark/>
          </w:tcPr>
          <w:p w14:paraId="017B65E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542 (24.7%)</w:t>
            </w:r>
          </w:p>
        </w:tc>
        <w:tc>
          <w:tcPr>
            <w:tcW w:w="772" w:type="pct"/>
            <w:tcBorders>
              <w:top w:val="nil"/>
              <w:left w:val="nil"/>
              <w:bottom w:val="nil"/>
              <w:right w:val="nil"/>
            </w:tcBorders>
            <w:shd w:val="clear" w:color="auto" w:fill="auto"/>
            <w:noWrap/>
            <w:vAlign w:val="bottom"/>
            <w:hideMark/>
          </w:tcPr>
          <w:p w14:paraId="7600188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1,745 (22.5%)</w:t>
            </w:r>
          </w:p>
        </w:tc>
      </w:tr>
      <w:tr w:rsidR="008A474E" w:rsidRPr="005865EB" w14:paraId="3D112830" w14:textId="77777777" w:rsidTr="008A474E">
        <w:trPr>
          <w:trHeight w:val="300"/>
        </w:trPr>
        <w:tc>
          <w:tcPr>
            <w:tcW w:w="1989" w:type="pct"/>
            <w:tcBorders>
              <w:top w:val="nil"/>
              <w:left w:val="nil"/>
              <w:bottom w:val="nil"/>
              <w:right w:val="nil"/>
            </w:tcBorders>
            <w:shd w:val="clear" w:color="auto" w:fill="auto"/>
            <w:noWrap/>
            <w:vAlign w:val="bottom"/>
            <w:hideMark/>
          </w:tcPr>
          <w:p w14:paraId="154E160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5th quintile</w:t>
            </w:r>
          </w:p>
        </w:tc>
        <w:tc>
          <w:tcPr>
            <w:tcW w:w="1424" w:type="pct"/>
            <w:tcBorders>
              <w:top w:val="nil"/>
              <w:left w:val="nil"/>
              <w:bottom w:val="nil"/>
              <w:right w:val="nil"/>
            </w:tcBorders>
            <w:shd w:val="clear" w:color="auto" w:fill="auto"/>
            <w:noWrap/>
            <w:vAlign w:val="bottom"/>
            <w:hideMark/>
          </w:tcPr>
          <w:p w14:paraId="6FAFF2C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2,334 (23.4%)</w:t>
            </w:r>
          </w:p>
        </w:tc>
        <w:tc>
          <w:tcPr>
            <w:tcW w:w="815" w:type="pct"/>
            <w:tcBorders>
              <w:top w:val="nil"/>
              <w:left w:val="nil"/>
              <w:bottom w:val="nil"/>
              <w:right w:val="nil"/>
            </w:tcBorders>
            <w:shd w:val="clear" w:color="auto" w:fill="auto"/>
            <w:noWrap/>
            <w:vAlign w:val="bottom"/>
            <w:hideMark/>
          </w:tcPr>
          <w:p w14:paraId="4C013C7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595 (27.1%)</w:t>
            </w:r>
          </w:p>
        </w:tc>
        <w:tc>
          <w:tcPr>
            <w:tcW w:w="772" w:type="pct"/>
            <w:tcBorders>
              <w:top w:val="nil"/>
              <w:left w:val="nil"/>
              <w:bottom w:val="nil"/>
              <w:right w:val="nil"/>
            </w:tcBorders>
            <w:shd w:val="clear" w:color="auto" w:fill="auto"/>
            <w:noWrap/>
            <w:vAlign w:val="bottom"/>
            <w:hideMark/>
          </w:tcPr>
          <w:p w14:paraId="6678A2F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1,739 (22.4%)</w:t>
            </w:r>
          </w:p>
        </w:tc>
      </w:tr>
      <w:tr w:rsidR="008A474E" w:rsidRPr="005865EB" w14:paraId="1443EF8D" w14:textId="77777777" w:rsidTr="008A474E">
        <w:trPr>
          <w:trHeight w:val="300"/>
        </w:trPr>
        <w:tc>
          <w:tcPr>
            <w:tcW w:w="1989" w:type="pct"/>
            <w:tcBorders>
              <w:top w:val="nil"/>
              <w:left w:val="nil"/>
              <w:bottom w:val="single" w:sz="4" w:space="0" w:color="auto"/>
              <w:right w:val="nil"/>
            </w:tcBorders>
            <w:shd w:val="clear" w:color="auto" w:fill="auto"/>
            <w:noWrap/>
            <w:vAlign w:val="bottom"/>
            <w:hideMark/>
          </w:tcPr>
          <w:p w14:paraId="563F8B55"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single" w:sz="4" w:space="0" w:color="auto"/>
              <w:right w:val="nil"/>
            </w:tcBorders>
            <w:shd w:val="clear" w:color="auto" w:fill="auto"/>
            <w:noWrap/>
            <w:vAlign w:val="bottom"/>
            <w:hideMark/>
          </w:tcPr>
          <w:p w14:paraId="5ED12A2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 (0.1%)</w:t>
            </w:r>
          </w:p>
        </w:tc>
        <w:tc>
          <w:tcPr>
            <w:tcW w:w="815" w:type="pct"/>
            <w:tcBorders>
              <w:top w:val="nil"/>
              <w:left w:val="nil"/>
              <w:bottom w:val="single" w:sz="4" w:space="0" w:color="auto"/>
              <w:right w:val="nil"/>
            </w:tcBorders>
            <w:shd w:val="clear" w:color="auto" w:fill="auto"/>
            <w:noWrap/>
            <w:vAlign w:val="bottom"/>
            <w:hideMark/>
          </w:tcPr>
          <w:p w14:paraId="194BC23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 (0.1%)</w:t>
            </w:r>
          </w:p>
        </w:tc>
        <w:tc>
          <w:tcPr>
            <w:tcW w:w="772" w:type="pct"/>
            <w:tcBorders>
              <w:top w:val="nil"/>
              <w:left w:val="nil"/>
              <w:bottom w:val="single" w:sz="4" w:space="0" w:color="auto"/>
              <w:right w:val="nil"/>
            </w:tcBorders>
            <w:shd w:val="clear" w:color="auto" w:fill="auto"/>
            <w:noWrap/>
            <w:vAlign w:val="bottom"/>
            <w:hideMark/>
          </w:tcPr>
          <w:p w14:paraId="0A665E7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 (0.1%)</w:t>
            </w:r>
          </w:p>
        </w:tc>
      </w:tr>
    </w:tbl>
    <w:p w14:paraId="0D49BDA8" w14:textId="77777777" w:rsidR="008A474E" w:rsidRPr="00DD32A3" w:rsidRDefault="008A474E" w:rsidP="008A474E">
      <w:pPr>
        <w:jc w:val="both"/>
        <w:rPr>
          <w:rFonts w:ascii="Times New Roman" w:hAnsi="Times New Roman" w:cs="Times New Roman"/>
        </w:rPr>
      </w:pPr>
    </w:p>
    <w:p w14:paraId="60FD89CE" w14:textId="77777777" w:rsidR="008A474E" w:rsidRDefault="008A474E" w:rsidP="008A474E">
      <w:pPr>
        <w:jc w:val="both"/>
        <w:rPr>
          <w:rFonts w:ascii="Times New Roman" w:hAnsi="Times New Roman" w:cs="Times New Roman"/>
        </w:rPr>
      </w:pPr>
    </w:p>
    <w:p w14:paraId="799C9161" w14:textId="77777777" w:rsidR="008A474E" w:rsidRDefault="008A474E" w:rsidP="008A474E">
      <w:pPr>
        <w:jc w:val="both"/>
        <w:rPr>
          <w:rFonts w:ascii="Times New Roman" w:hAnsi="Times New Roman" w:cs="Times New Roman"/>
        </w:rPr>
      </w:pPr>
    </w:p>
    <w:p w14:paraId="06822583" w14:textId="77777777" w:rsidR="008A474E" w:rsidRDefault="008A474E" w:rsidP="008A474E">
      <w:pPr>
        <w:jc w:val="both"/>
        <w:rPr>
          <w:rFonts w:ascii="Times New Roman" w:hAnsi="Times New Roman" w:cs="Times New Roman"/>
        </w:rPr>
      </w:pPr>
    </w:p>
    <w:p w14:paraId="49E5BC06" w14:textId="77777777" w:rsidR="008A474E" w:rsidRDefault="008A474E" w:rsidP="008A474E">
      <w:pPr>
        <w:jc w:val="both"/>
        <w:rPr>
          <w:rFonts w:ascii="Times New Roman" w:hAnsi="Times New Roman" w:cs="Times New Roman"/>
        </w:rPr>
      </w:pPr>
    </w:p>
    <w:p w14:paraId="0D6B1D2E" w14:textId="77777777" w:rsidR="008A474E" w:rsidRPr="00D40399" w:rsidRDefault="008A474E" w:rsidP="008A474E">
      <w:pPr>
        <w:pStyle w:val="Caption"/>
        <w:keepNext/>
        <w:jc w:val="both"/>
        <w:rPr>
          <w:b/>
          <w:bCs/>
        </w:rPr>
      </w:pPr>
      <w:r w:rsidRPr="00D40399">
        <w:rPr>
          <w:b/>
          <w:bCs/>
        </w:rPr>
        <w:t xml:space="preserve">Table </w:t>
      </w:r>
      <w:r w:rsidRPr="00D40399">
        <w:rPr>
          <w:b/>
          <w:bCs/>
        </w:rPr>
        <w:fldChar w:fldCharType="begin"/>
      </w:r>
      <w:r w:rsidRPr="00D40399">
        <w:rPr>
          <w:b/>
          <w:bCs/>
        </w:rPr>
        <w:instrText xml:space="preserve"> SEQ Table \* ARABIC </w:instrText>
      </w:r>
      <w:r w:rsidRPr="00D40399">
        <w:rPr>
          <w:b/>
          <w:bCs/>
        </w:rPr>
        <w:fldChar w:fldCharType="separate"/>
      </w:r>
      <w:r w:rsidRPr="00D40399">
        <w:rPr>
          <w:b/>
          <w:bCs/>
          <w:noProof/>
        </w:rPr>
        <w:t>2</w:t>
      </w:r>
      <w:r w:rsidRPr="00D40399">
        <w:rPr>
          <w:b/>
          <w:bCs/>
          <w:noProof/>
        </w:rPr>
        <w:fldChar w:fldCharType="end"/>
      </w:r>
      <w:r w:rsidRPr="00D40399">
        <w:rPr>
          <w:b/>
          <w:bCs/>
        </w:rPr>
        <w:t>. Baseline characteristics of participants (continued).</w:t>
      </w:r>
    </w:p>
    <w:tbl>
      <w:tblPr>
        <w:tblW w:w="5000" w:type="pct"/>
        <w:tblLook w:val="04A0" w:firstRow="1" w:lastRow="0" w:firstColumn="1" w:lastColumn="0" w:noHBand="0" w:noVBand="1"/>
      </w:tblPr>
      <w:tblGrid>
        <w:gridCol w:w="3677"/>
        <w:gridCol w:w="2632"/>
        <w:gridCol w:w="1506"/>
        <w:gridCol w:w="1427"/>
      </w:tblGrid>
      <w:tr w:rsidR="008A474E" w:rsidRPr="005865EB" w14:paraId="70F36434" w14:textId="77777777" w:rsidTr="008A474E">
        <w:trPr>
          <w:trHeight w:val="300"/>
        </w:trPr>
        <w:tc>
          <w:tcPr>
            <w:tcW w:w="1989" w:type="pct"/>
            <w:tcBorders>
              <w:top w:val="single" w:sz="4" w:space="0" w:color="auto"/>
              <w:left w:val="nil"/>
              <w:right w:val="nil"/>
            </w:tcBorders>
            <w:shd w:val="clear" w:color="auto" w:fill="auto"/>
            <w:noWrap/>
            <w:vAlign w:val="bottom"/>
            <w:hideMark/>
          </w:tcPr>
          <w:p w14:paraId="614B2FD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w:t>
            </w:r>
          </w:p>
        </w:tc>
        <w:tc>
          <w:tcPr>
            <w:tcW w:w="1424" w:type="pct"/>
            <w:vMerge w:val="restart"/>
            <w:tcBorders>
              <w:top w:val="single" w:sz="4" w:space="0" w:color="auto"/>
              <w:left w:val="nil"/>
              <w:right w:val="nil"/>
            </w:tcBorders>
            <w:shd w:val="clear" w:color="auto" w:fill="auto"/>
            <w:noWrap/>
            <w:vAlign w:val="bottom"/>
            <w:hideMark/>
          </w:tcPr>
          <w:p w14:paraId="1C7866C4"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Overall</w:t>
            </w:r>
          </w:p>
        </w:tc>
        <w:tc>
          <w:tcPr>
            <w:tcW w:w="815" w:type="pct"/>
            <w:vMerge w:val="restart"/>
            <w:tcBorders>
              <w:top w:val="single" w:sz="4" w:space="0" w:color="auto"/>
              <w:left w:val="nil"/>
              <w:right w:val="nil"/>
            </w:tcBorders>
            <w:shd w:val="clear" w:color="auto" w:fill="auto"/>
            <w:vAlign w:val="bottom"/>
            <w:hideMark/>
          </w:tcPr>
          <w:p w14:paraId="520B1E21" w14:textId="77777777" w:rsidR="008A474E"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 xml:space="preserve">Cases </w:t>
            </w:r>
          </w:p>
          <w:p w14:paraId="0F8FC948"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(T2DM + SMI)</w:t>
            </w:r>
          </w:p>
        </w:tc>
        <w:tc>
          <w:tcPr>
            <w:tcW w:w="772" w:type="pct"/>
            <w:vMerge w:val="restart"/>
            <w:tcBorders>
              <w:top w:val="single" w:sz="4" w:space="0" w:color="auto"/>
              <w:left w:val="nil"/>
              <w:right w:val="nil"/>
            </w:tcBorders>
            <w:shd w:val="clear" w:color="auto" w:fill="auto"/>
            <w:vAlign w:val="bottom"/>
            <w:hideMark/>
          </w:tcPr>
          <w:p w14:paraId="1A299B36" w14:textId="77777777" w:rsidR="008A474E"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Controls</w:t>
            </w:r>
          </w:p>
          <w:p w14:paraId="4934281B"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 xml:space="preserve"> (T2DM)</w:t>
            </w:r>
          </w:p>
        </w:tc>
      </w:tr>
      <w:tr w:rsidR="008A474E" w:rsidRPr="005865EB" w14:paraId="3DBD887A" w14:textId="77777777" w:rsidTr="008A474E">
        <w:trPr>
          <w:trHeight w:val="110"/>
        </w:trPr>
        <w:tc>
          <w:tcPr>
            <w:tcW w:w="1989" w:type="pct"/>
            <w:tcBorders>
              <w:left w:val="nil"/>
              <w:bottom w:val="single" w:sz="4" w:space="0" w:color="auto"/>
              <w:right w:val="nil"/>
            </w:tcBorders>
            <w:shd w:val="clear" w:color="auto" w:fill="auto"/>
            <w:noWrap/>
            <w:vAlign w:val="bottom"/>
            <w:hideMark/>
          </w:tcPr>
          <w:p w14:paraId="44581B46"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p>
        </w:tc>
        <w:tc>
          <w:tcPr>
            <w:tcW w:w="1424" w:type="pct"/>
            <w:vMerge/>
            <w:tcBorders>
              <w:left w:val="nil"/>
              <w:bottom w:val="single" w:sz="4" w:space="0" w:color="auto"/>
              <w:right w:val="nil"/>
            </w:tcBorders>
            <w:vAlign w:val="center"/>
            <w:hideMark/>
          </w:tcPr>
          <w:p w14:paraId="031B13FE"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p>
        </w:tc>
        <w:tc>
          <w:tcPr>
            <w:tcW w:w="815" w:type="pct"/>
            <w:vMerge/>
            <w:tcBorders>
              <w:left w:val="nil"/>
              <w:bottom w:val="single" w:sz="4" w:space="0" w:color="auto"/>
              <w:right w:val="nil"/>
            </w:tcBorders>
            <w:vAlign w:val="center"/>
            <w:hideMark/>
          </w:tcPr>
          <w:p w14:paraId="40DA964B"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p>
        </w:tc>
        <w:tc>
          <w:tcPr>
            <w:tcW w:w="772" w:type="pct"/>
            <w:vMerge/>
            <w:tcBorders>
              <w:left w:val="nil"/>
              <w:bottom w:val="single" w:sz="4" w:space="0" w:color="auto"/>
              <w:right w:val="nil"/>
            </w:tcBorders>
            <w:vAlign w:val="center"/>
            <w:hideMark/>
          </w:tcPr>
          <w:p w14:paraId="1CC49CBC"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p>
        </w:tc>
      </w:tr>
      <w:tr w:rsidR="008A474E" w:rsidRPr="005865EB" w14:paraId="0D7C436E" w14:textId="77777777" w:rsidTr="008A474E">
        <w:trPr>
          <w:trHeight w:val="300"/>
        </w:trPr>
        <w:tc>
          <w:tcPr>
            <w:tcW w:w="1989" w:type="pct"/>
            <w:tcBorders>
              <w:top w:val="single" w:sz="4" w:space="0" w:color="auto"/>
              <w:left w:val="nil"/>
              <w:bottom w:val="nil"/>
              <w:right w:val="nil"/>
            </w:tcBorders>
            <w:shd w:val="clear" w:color="auto" w:fill="auto"/>
            <w:noWrap/>
            <w:vAlign w:val="bottom"/>
            <w:hideMark/>
          </w:tcPr>
          <w:p w14:paraId="2B29824B"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Comorbidities, n (%)</w:t>
            </w:r>
          </w:p>
        </w:tc>
        <w:tc>
          <w:tcPr>
            <w:tcW w:w="1424" w:type="pct"/>
            <w:tcBorders>
              <w:top w:val="single" w:sz="4" w:space="0" w:color="auto"/>
              <w:left w:val="nil"/>
              <w:bottom w:val="nil"/>
              <w:right w:val="nil"/>
            </w:tcBorders>
            <w:shd w:val="clear" w:color="auto" w:fill="auto"/>
            <w:noWrap/>
            <w:vAlign w:val="bottom"/>
            <w:hideMark/>
          </w:tcPr>
          <w:p w14:paraId="72784625"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single" w:sz="4" w:space="0" w:color="auto"/>
              <w:left w:val="nil"/>
              <w:bottom w:val="nil"/>
              <w:right w:val="nil"/>
            </w:tcBorders>
            <w:shd w:val="clear" w:color="auto" w:fill="auto"/>
            <w:noWrap/>
            <w:vAlign w:val="bottom"/>
            <w:hideMark/>
          </w:tcPr>
          <w:p w14:paraId="0B27DD8D"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single" w:sz="4" w:space="0" w:color="auto"/>
              <w:left w:val="nil"/>
              <w:bottom w:val="nil"/>
              <w:right w:val="nil"/>
            </w:tcBorders>
            <w:shd w:val="clear" w:color="auto" w:fill="auto"/>
            <w:noWrap/>
            <w:vAlign w:val="bottom"/>
            <w:hideMark/>
          </w:tcPr>
          <w:p w14:paraId="136B111D"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65CB44C6" w14:textId="77777777" w:rsidTr="008A474E">
        <w:trPr>
          <w:trHeight w:val="300"/>
        </w:trPr>
        <w:tc>
          <w:tcPr>
            <w:tcW w:w="1989" w:type="pct"/>
            <w:tcBorders>
              <w:top w:val="nil"/>
              <w:left w:val="nil"/>
              <w:bottom w:val="nil"/>
              <w:right w:val="nil"/>
            </w:tcBorders>
            <w:shd w:val="clear" w:color="auto" w:fill="auto"/>
            <w:noWrap/>
            <w:vAlign w:val="bottom"/>
            <w:hideMark/>
          </w:tcPr>
          <w:p w14:paraId="733387C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Cardiovascular disease</w:t>
            </w:r>
          </w:p>
        </w:tc>
        <w:tc>
          <w:tcPr>
            <w:tcW w:w="1424" w:type="pct"/>
            <w:tcBorders>
              <w:top w:val="nil"/>
              <w:left w:val="nil"/>
              <w:bottom w:val="nil"/>
              <w:right w:val="nil"/>
            </w:tcBorders>
            <w:shd w:val="clear" w:color="auto" w:fill="auto"/>
            <w:noWrap/>
            <w:vAlign w:val="bottom"/>
            <w:hideMark/>
          </w:tcPr>
          <w:p w14:paraId="1AED060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1,591 (16.0%)</w:t>
            </w:r>
          </w:p>
        </w:tc>
        <w:tc>
          <w:tcPr>
            <w:tcW w:w="815" w:type="pct"/>
            <w:tcBorders>
              <w:top w:val="nil"/>
              <w:left w:val="nil"/>
              <w:bottom w:val="nil"/>
              <w:right w:val="nil"/>
            </w:tcBorders>
            <w:shd w:val="clear" w:color="auto" w:fill="auto"/>
            <w:noWrap/>
            <w:vAlign w:val="bottom"/>
            <w:hideMark/>
          </w:tcPr>
          <w:p w14:paraId="120D3CD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285 (13.0%)</w:t>
            </w:r>
          </w:p>
        </w:tc>
        <w:tc>
          <w:tcPr>
            <w:tcW w:w="772" w:type="pct"/>
            <w:tcBorders>
              <w:top w:val="nil"/>
              <w:left w:val="nil"/>
              <w:bottom w:val="nil"/>
              <w:right w:val="nil"/>
            </w:tcBorders>
            <w:shd w:val="clear" w:color="auto" w:fill="auto"/>
            <w:noWrap/>
            <w:vAlign w:val="bottom"/>
            <w:hideMark/>
          </w:tcPr>
          <w:p w14:paraId="20E3FF7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1,306 (16.8%)</w:t>
            </w:r>
          </w:p>
        </w:tc>
      </w:tr>
      <w:tr w:rsidR="008A474E" w:rsidRPr="005865EB" w14:paraId="165DD9EC" w14:textId="77777777" w:rsidTr="008A474E">
        <w:trPr>
          <w:trHeight w:val="300"/>
        </w:trPr>
        <w:tc>
          <w:tcPr>
            <w:tcW w:w="1989" w:type="pct"/>
            <w:tcBorders>
              <w:top w:val="nil"/>
              <w:left w:val="nil"/>
              <w:bottom w:val="nil"/>
              <w:right w:val="nil"/>
            </w:tcBorders>
            <w:shd w:val="clear" w:color="auto" w:fill="auto"/>
            <w:noWrap/>
            <w:vAlign w:val="bottom"/>
            <w:hideMark/>
          </w:tcPr>
          <w:p w14:paraId="421A5F0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Hypertension</w:t>
            </w:r>
          </w:p>
        </w:tc>
        <w:tc>
          <w:tcPr>
            <w:tcW w:w="1424" w:type="pct"/>
            <w:tcBorders>
              <w:top w:val="nil"/>
              <w:left w:val="nil"/>
              <w:bottom w:val="nil"/>
              <w:right w:val="nil"/>
            </w:tcBorders>
            <w:shd w:val="clear" w:color="auto" w:fill="auto"/>
            <w:noWrap/>
            <w:vAlign w:val="bottom"/>
            <w:hideMark/>
          </w:tcPr>
          <w:p w14:paraId="08BBABF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4,318 (43.3%)</w:t>
            </w:r>
          </w:p>
        </w:tc>
        <w:tc>
          <w:tcPr>
            <w:tcW w:w="815" w:type="pct"/>
            <w:tcBorders>
              <w:top w:val="nil"/>
              <w:left w:val="nil"/>
              <w:bottom w:val="nil"/>
              <w:right w:val="nil"/>
            </w:tcBorders>
            <w:shd w:val="clear" w:color="auto" w:fill="auto"/>
            <w:noWrap/>
            <w:vAlign w:val="bottom"/>
            <w:hideMark/>
          </w:tcPr>
          <w:p w14:paraId="22C0ED3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734 (33.5%)</w:t>
            </w:r>
          </w:p>
        </w:tc>
        <w:tc>
          <w:tcPr>
            <w:tcW w:w="772" w:type="pct"/>
            <w:tcBorders>
              <w:top w:val="nil"/>
              <w:left w:val="nil"/>
              <w:bottom w:val="nil"/>
              <w:right w:val="nil"/>
            </w:tcBorders>
            <w:shd w:val="clear" w:color="auto" w:fill="auto"/>
            <w:noWrap/>
            <w:vAlign w:val="bottom"/>
            <w:hideMark/>
          </w:tcPr>
          <w:p w14:paraId="5E58F93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3,584 (46.1%)</w:t>
            </w:r>
          </w:p>
        </w:tc>
      </w:tr>
      <w:tr w:rsidR="008A474E" w:rsidRPr="005865EB" w14:paraId="51287A25" w14:textId="77777777" w:rsidTr="008A474E">
        <w:trPr>
          <w:trHeight w:val="300"/>
        </w:trPr>
        <w:tc>
          <w:tcPr>
            <w:tcW w:w="1989" w:type="pct"/>
            <w:tcBorders>
              <w:top w:val="nil"/>
              <w:left w:val="nil"/>
              <w:bottom w:val="nil"/>
              <w:right w:val="nil"/>
            </w:tcBorders>
            <w:shd w:val="clear" w:color="auto" w:fill="auto"/>
            <w:noWrap/>
            <w:vAlign w:val="bottom"/>
            <w:hideMark/>
          </w:tcPr>
          <w:p w14:paraId="297E00E3"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Dementia </w:t>
            </w:r>
          </w:p>
        </w:tc>
        <w:tc>
          <w:tcPr>
            <w:tcW w:w="1424" w:type="pct"/>
            <w:tcBorders>
              <w:top w:val="nil"/>
              <w:left w:val="nil"/>
              <w:bottom w:val="nil"/>
              <w:right w:val="nil"/>
            </w:tcBorders>
            <w:shd w:val="clear" w:color="auto" w:fill="auto"/>
            <w:noWrap/>
            <w:vAlign w:val="bottom"/>
            <w:hideMark/>
          </w:tcPr>
          <w:p w14:paraId="61F4C93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64 (0.6%)</w:t>
            </w:r>
          </w:p>
        </w:tc>
        <w:tc>
          <w:tcPr>
            <w:tcW w:w="815" w:type="pct"/>
            <w:tcBorders>
              <w:top w:val="nil"/>
              <w:left w:val="nil"/>
              <w:bottom w:val="nil"/>
              <w:right w:val="nil"/>
            </w:tcBorders>
            <w:shd w:val="clear" w:color="auto" w:fill="auto"/>
            <w:noWrap/>
            <w:vAlign w:val="bottom"/>
            <w:hideMark/>
          </w:tcPr>
          <w:p w14:paraId="06D96C5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 (1.5%)</w:t>
            </w:r>
          </w:p>
        </w:tc>
        <w:tc>
          <w:tcPr>
            <w:tcW w:w="772" w:type="pct"/>
            <w:tcBorders>
              <w:top w:val="nil"/>
              <w:left w:val="nil"/>
              <w:bottom w:val="nil"/>
              <w:right w:val="nil"/>
            </w:tcBorders>
            <w:shd w:val="clear" w:color="auto" w:fill="auto"/>
            <w:noWrap/>
            <w:vAlign w:val="bottom"/>
            <w:hideMark/>
          </w:tcPr>
          <w:p w14:paraId="5E1E72D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32(0.4%)</w:t>
            </w:r>
          </w:p>
        </w:tc>
      </w:tr>
      <w:tr w:rsidR="008A474E" w:rsidRPr="005865EB" w14:paraId="21C2264B" w14:textId="77777777" w:rsidTr="008A474E">
        <w:trPr>
          <w:trHeight w:val="300"/>
        </w:trPr>
        <w:tc>
          <w:tcPr>
            <w:tcW w:w="1989" w:type="pct"/>
            <w:tcBorders>
              <w:top w:val="nil"/>
              <w:left w:val="nil"/>
              <w:bottom w:val="nil"/>
              <w:right w:val="nil"/>
            </w:tcBorders>
            <w:shd w:val="clear" w:color="auto" w:fill="auto"/>
            <w:noWrap/>
            <w:vAlign w:val="bottom"/>
            <w:hideMark/>
          </w:tcPr>
          <w:p w14:paraId="18E2C7B1"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Learning disability</w:t>
            </w:r>
          </w:p>
        </w:tc>
        <w:tc>
          <w:tcPr>
            <w:tcW w:w="1424" w:type="pct"/>
            <w:tcBorders>
              <w:top w:val="nil"/>
              <w:left w:val="nil"/>
              <w:bottom w:val="nil"/>
              <w:right w:val="nil"/>
            </w:tcBorders>
            <w:shd w:val="clear" w:color="auto" w:fill="auto"/>
            <w:noWrap/>
            <w:vAlign w:val="bottom"/>
            <w:hideMark/>
          </w:tcPr>
          <w:p w14:paraId="4F139A8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40 (0.4%)</w:t>
            </w:r>
          </w:p>
        </w:tc>
        <w:tc>
          <w:tcPr>
            <w:tcW w:w="815" w:type="pct"/>
            <w:tcBorders>
              <w:top w:val="nil"/>
              <w:left w:val="nil"/>
              <w:bottom w:val="nil"/>
              <w:right w:val="nil"/>
            </w:tcBorders>
            <w:shd w:val="clear" w:color="auto" w:fill="auto"/>
            <w:noWrap/>
            <w:vAlign w:val="bottom"/>
            <w:hideMark/>
          </w:tcPr>
          <w:p w14:paraId="3E1B327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19 (0.9%)</w:t>
            </w:r>
          </w:p>
        </w:tc>
        <w:tc>
          <w:tcPr>
            <w:tcW w:w="772" w:type="pct"/>
            <w:tcBorders>
              <w:top w:val="nil"/>
              <w:left w:val="nil"/>
              <w:bottom w:val="nil"/>
              <w:right w:val="nil"/>
            </w:tcBorders>
            <w:shd w:val="clear" w:color="auto" w:fill="auto"/>
            <w:noWrap/>
            <w:vAlign w:val="bottom"/>
            <w:hideMark/>
          </w:tcPr>
          <w:p w14:paraId="346BAC6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21 (0.3%)</w:t>
            </w:r>
          </w:p>
        </w:tc>
      </w:tr>
      <w:tr w:rsidR="008A474E" w:rsidRPr="005865EB" w14:paraId="7CC47EF2" w14:textId="77777777" w:rsidTr="008A474E">
        <w:trPr>
          <w:trHeight w:val="300"/>
        </w:trPr>
        <w:tc>
          <w:tcPr>
            <w:tcW w:w="1989" w:type="pct"/>
            <w:tcBorders>
              <w:top w:val="nil"/>
              <w:left w:val="nil"/>
              <w:bottom w:val="nil"/>
              <w:right w:val="nil"/>
            </w:tcBorders>
            <w:shd w:val="clear" w:color="auto" w:fill="auto"/>
            <w:noWrap/>
            <w:vAlign w:val="bottom"/>
            <w:hideMark/>
          </w:tcPr>
          <w:p w14:paraId="3043BF2C"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Charlson, mean (SD)</w:t>
            </w:r>
          </w:p>
        </w:tc>
        <w:tc>
          <w:tcPr>
            <w:tcW w:w="1424" w:type="pct"/>
            <w:tcBorders>
              <w:top w:val="nil"/>
              <w:left w:val="nil"/>
              <w:bottom w:val="nil"/>
              <w:right w:val="nil"/>
            </w:tcBorders>
            <w:shd w:val="clear" w:color="auto" w:fill="auto"/>
            <w:noWrap/>
            <w:vAlign w:val="bottom"/>
            <w:hideMark/>
          </w:tcPr>
          <w:p w14:paraId="3209D01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0.53 (0.78)</w:t>
            </w:r>
          </w:p>
        </w:tc>
        <w:tc>
          <w:tcPr>
            <w:tcW w:w="815" w:type="pct"/>
            <w:tcBorders>
              <w:top w:val="nil"/>
              <w:left w:val="nil"/>
              <w:bottom w:val="nil"/>
              <w:right w:val="nil"/>
            </w:tcBorders>
            <w:shd w:val="clear" w:color="auto" w:fill="auto"/>
            <w:noWrap/>
            <w:vAlign w:val="bottom"/>
            <w:hideMark/>
          </w:tcPr>
          <w:p w14:paraId="3D815C7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0.49 (0.73)</w:t>
            </w:r>
          </w:p>
        </w:tc>
        <w:tc>
          <w:tcPr>
            <w:tcW w:w="772" w:type="pct"/>
            <w:tcBorders>
              <w:top w:val="nil"/>
              <w:left w:val="nil"/>
              <w:bottom w:val="nil"/>
              <w:right w:val="nil"/>
            </w:tcBorders>
            <w:shd w:val="clear" w:color="auto" w:fill="auto"/>
            <w:noWrap/>
            <w:vAlign w:val="bottom"/>
            <w:hideMark/>
          </w:tcPr>
          <w:p w14:paraId="26C55E6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0.54 (0.79)</w:t>
            </w:r>
          </w:p>
        </w:tc>
      </w:tr>
      <w:tr w:rsidR="008A474E" w:rsidRPr="005865EB" w14:paraId="3D4A17F0" w14:textId="77777777" w:rsidTr="008A474E">
        <w:trPr>
          <w:trHeight w:val="300"/>
        </w:trPr>
        <w:tc>
          <w:tcPr>
            <w:tcW w:w="1989" w:type="pct"/>
            <w:tcBorders>
              <w:top w:val="nil"/>
              <w:left w:val="nil"/>
              <w:bottom w:val="nil"/>
              <w:right w:val="nil"/>
            </w:tcBorders>
            <w:shd w:val="clear" w:color="auto" w:fill="auto"/>
            <w:noWrap/>
            <w:vAlign w:val="bottom"/>
            <w:hideMark/>
          </w:tcPr>
          <w:p w14:paraId="1946F3B7"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Medications, n (%)</w:t>
            </w:r>
          </w:p>
        </w:tc>
        <w:tc>
          <w:tcPr>
            <w:tcW w:w="1424" w:type="pct"/>
            <w:tcBorders>
              <w:top w:val="nil"/>
              <w:left w:val="nil"/>
              <w:bottom w:val="nil"/>
              <w:right w:val="nil"/>
            </w:tcBorders>
            <w:shd w:val="clear" w:color="auto" w:fill="auto"/>
            <w:noWrap/>
            <w:vAlign w:val="bottom"/>
            <w:hideMark/>
          </w:tcPr>
          <w:p w14:paraId="5200793D"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7737F71E"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3910318F"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4E488615" w14:textId="77777777" w:rsidTr="008A474E">
        <w:trPr>
          <w:trHeight w:val="300"/>
        </w:trPr>
        <w:tc>
          <w:tcPr>
            <w:tcW w:w="1989" w:type="pct"/>
            <w:tcBorders>
              <w:top w:val="nil"/>
              <w:left w:val="nil"/>
              <w:bottom w:val="nil"/>
              <w:right w:val="nil"/>
            </w:tcBorders>
            <w:shd w:val="clear" w:color="auto" w:fill="auto"/>
            <w:noWrap/>
            <w:vAlign w:val="bottom"/>
            <w:hideMark/>
          </w:tcPr>
          <w:p w14:paraId="5E85159F"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Antidepressants</w:t>
            </w:r>
          </w:p>
        </w:tc>
        <w:tc>
          <w:tcPr>
            <w:tcW w:w="1424" w:type="pct"/>
            <w:tcBorders>
              <w:top w:val="nil"/>
              <w:left w:val="nil"/>
              <w:bottom w:val="nil"/>
              <w:right w:val="nil"/>
            </w:tcBorders>
            <w:shd w:val="clear" w:color="auto" w:fill="auto"/>
            <w:noWrap/>
            <w:vAlign w:val="bottom"/>
            <w:hideMark/>
          </w:tcPr>
          <w:p w14:paraId="329B60E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2,585 (25.9%)</w:t>
            </w:r>
          </w:p>
        </w:tc>
        <w:tc>
          <w:tcPr>
            <w:tcW w:w="815" w:type="pct"/>
            <w:tcBorders>
              <w:top w:val="nil"/>
              <w:left w:val="nil"/>
              <w:bottom w:val="nil"/>
              <w:right w:val="nil"/>
            </w:tcBorders>
            <w:shd w:val="clear" w:color="auto" w:fill="auto"/>
            <w:noWrap/>
            <w:vAlign w:val="bottom"/>
            <w:hideMark/>
          </w:tcPr>
          <w:p w14:paraId="0DE09C1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1,062 (48.5%)</w:t>
            </w:r>
          </w:p>
        </w:tc>
        <w:tc>
          <w:tcPr>
            <w:tcW w:w="772" w:type="pct"/>
            <w:tcBorders>
              <w:top w:val="nil"/>
              <w:left w:val="nil"/>
              <w:bottom w:val="nil"/>
              <w:right w:val="nil"/>
            </w:tcBorders>
            <w:shd w:val="clear" w:color="auto" w:fill="auto"/>
            <w:noWrap/>
            <w:vAlign w:val="bottom"/>
            <w:hideMark/>
          </w:tcPr>
          <w:p w14:paraId="7CCFE31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1,523 (19.6%)</w:t>
            </w:r>
          </w:p>
        </w:tc>
      </w:tr>
      <w:tr w:rsidR="008A474E" w:rsidRPr="005865EB" w14:paraId="7E1E29F1" w14:textId="77777777" w:rsidTr="008A474E">
        <w:trPr>
          <w:trHeight w:val="300"/>
        </w:trPr>
        <w:tc>
          <w:tcPr>
            <w:tcW w:w="1989" w:type="pct"/>
            <w:tcBorders>
              <w:top w:val="nil"/>
              <w:left w:val="nil"/>
              <w:bottom w:val="nil"/>
              <w:right w:val="nil"/>
            </w:tcBorders>
            <w:shd w:val="clear" w:color="auto" w:fill="auto"/>
            <w:noWrap/>
            <w:vAlign w:val="bottom"/>
            <w:hideMark/>
          </w:tcPr>
          <w:p w14:paraId="4F4CB675"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Antipsychotics</w:t>
            </w:r>
          </w:p>
        </w:tc>
        <w:tc>
          <w:tcPr>
            <w:tcW w:w="1424" w:type="pct"/>
            <w:tcBorders>
              <w:top w:val="nil"/>
              <w:left w:val="nil"/>
              <w:bottom w:val="nil"/>
              <w:right w:val="nil"/>
            </w:tcBorders>
            <w:shd w:val="clear" w:color="auto" w:fill="auto"/>
            <w:noWrap/>
            <w:vAlign w:val="bottom"/>
            <w:hideMark/>
          </w:tcPr>
          <w:p w14:paraId="4D0096BF"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2AA3FAF9"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6FDFF746"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0CAB48E5" w14:textId="77777777" w:rsidTr="008A474E">
        <w:trPr>
          <w:trHeight w:val="300"/>
        </w:trPr>
        <w:tc>
          <w:tcPr>
            <w:tcW w:w="1989" w:type="pct"/>
            <w:tcBorders>
              <w:top w:val="nil"/>
              <w:left w:val="nil"/>
              <w:bottom w:val="nil"/>
              <w:right w:val="nil"/>
            </w:tcBorders>
            <w:shd w:val="clear" w:color="auto" w:fill="auto"/>
            <w:noWrap/>
            <w:vAlign w:val="bottom"/>
            <w:hideMark/>
          </w:tcPr>
          <w:p w14:paraId="663C09F2"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1</w:t>
            </w:r>
            <w:r w:rsidRPr="000F7C59">
              <w:rPr>
                <w:rFonts w:eastAsia="Times New Roman" w:cstheme="minorHAnsi"/>
                <w:color w:val="000000"/>
                <w:sz w:val="16"/>
                <w:szCs w:val="16"/>
                <w:vertAlign w:val="superscript"/>
                <w:lang w:eastAsia="en-GB"/>
              </w:rPr>
              <w:t>st</w:t>
            </w:r>
            <w:r>
              <w:rPr>
                <w:rFonts w:eastAsia="Times New Roman" w:cstheme="minorHAnsi"/>
                <w:color w:val="000000"/>
                <w:sz w:val="16"/>
                <w:szCs w:val="16"/>
                <w:lang w:eastAsia="en-GB"/>
              </w:rPr>
              <w:t xml:space="preserve"> generation</w:t>
            </w:r>
          </w:p>
        </w:tc>
        <w:tc>
          <w:tcPr>
            <w:tcW w:w="1424" w:type="pct"/>
            <w:tcBorders>
              <w:top w:val="nil"/>
              <w:left w:val="nil"/>
              <w:bottom w:val="nil"/>
              <w:right w:val="nil"/>
            </w:tcBorders>
            <w:shd w:val="clear" w:color="auto" w:fill="auto"/>
            <w:noWrap/>
            <w:vAlign w:val="bottom"/>
            <w:hideMark/>
          </w:tcPr>
          <w:p w14:paraId="28566B7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524 (5.3%)</w:t>
            </w:r>
          </w:p>
        </w:tc>
        <w:tc>
          <w:tcPr>
            <w:tcW w:w="815" w:type="pct"/>
            <w:tcBorders>
              <w:top w:val="nil"/>
              <w:left w:val="nil"/>
              <w:bottom w:val="nil"/>
              <w:right w:val="nil"/>
            </w:tcBorders>
            <w:shd w:val="clear" w:color="auto" w:fill="auto"/>
            <w:noWrap/>
            <w:vAlign w:val="bottom"/>
            <w:hideMark/>
          </w:tcPr>
          <w:p w14:paraId="1664C8C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434 (19.8%)</w:t>
            </w:r>
          </w:p>
        </w:tc>
        <w:tc>
          <w:tcPr>
            <w:tcW w:w="772" w:type="pct"/>
            <w:tcBorders>
              <w:top w:val="nil"/>
              <w:left w:val="nil"/>
              <w:bottom w:val="nil"/>
              <w:right w:val="nil"/>
            </w:tcBorders>
            <w:shd w:val="clear" w:color="auto" w:fill="auto"/>
            <w:noWrap/>
            <w:vAlign w:val="bottom"/>
            <w:hideMark/>
          </w:tcPr>
          <w:p w14:paraId="33778EB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90 (1.2%)</w:t>
            </w:r>
          </w:p>
        </w:tc>
      </w:tr>
      <w:tr w:rsidR="008A474E" w:rsidRPr="005865EB" w14:paraId="6DE2D859" w14:textId="77777777" w:rsidTr="008A474E">
        <w:trPr>
          <w:trHeight w:val="300"/>
        </w:trPr>
        <w:tc>
          <w:tcPr>
            <w:tcW w:w="1989" w:type="pct"/>
            <w:tcBorders>
              <w:top w:val="nil"/>
              <w:left w:val="nil"/>
              <w:bottom w:val="nil"/>
              <w:right w:val="nil"/>
            </w:tcBorders>
            <w:shd w:val="clear" w:color="auto" w:fill="auto"/>
            <w:noWrap/>
            <w:vAlign w:val="bottom"/>
            <w:hideMark/>
          </w:tcPr>
          <w:p w14:paraId="22182C12"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2</w:t>
            </w:r>
            <w:r w:rsidRPr="000F7C59">
              <w:rPr>
                <w:rFonts w:eastAsia="Times New Roman" w:cstheme="minorHAnsi"/>
                <w:color w:val="000000"/>
                <w:sz w:val="16"/>
                <w:szCs w:val="16"/>
                <w:vertAlign w:val="superscript"/>
                <w:lang w:eastAsia="en-GB"/>
              </w:rPr>
              <w:t>nd</w:t>
            </w:r>
            <w:r>
              <w:rPr>
                <w:rFonts w:eastAsia="Times New Roman" w:cstheme="minorHAnsi"/>
                <w:color w:val="000000"/>
                <w:sz w:val="16"/>
                <w:szCs w:val="16"/>
                <w:lang w:eastAsia="en-GB"/>
              </w:rPr>
              <w:t xml:space="preserve"> generation</w:t>
            </w:r>
          </w:p>
        </w:tc>
        <w:tc>
          <w:tcPr>
            <w:tcW w:w="1424" w:type="pct"/>
            <w:tcBorders>
              <w:top w:val="nil"/>
              <w:left w:val="nil"/>
              <w:bottom w:val="nil"/>
              <w:right w:val="nil"/>
            </w:tcBorders>
            <w:shd w:val="clear" w:color="auto" w:fill="auto"/>
            <w:noWrap/>
            <w:vAlign w:val="bottom"/>
            <w:hideMark/>
          </w:tcPr>
          <w:p w14:paraId="145F6ED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1,009 (10.1%)</w:t>
            </w:r>
          </w:p>
        </w:tc>
        <w:tc>
          <w:tcPr>
            <w:tcW w:w="815" w:type="pct"/>
            <w:tcBorders>
              <w:top w:val="nil"/>
              <w:left w:val="nil"/>
              <w:bottom w:val="nil"/>
              <w:right w:val="nil"/>
            </w:tcBorders>
            <w:shd w:val="clear" w:color="auto" w:fill="auto"/>
            <w:noWrap/>
            <w:vAlign w:val="bottom"/>
            <w:hideMark/>
          </w:tcPr>
          <w:p w14:paraId="2C2B8F0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957 (43.7%)</w:t>
            </w:r>
          </w:p>
        </w:tc>
        <w:tc>
          <w:tcPr>
            <w:tcW w:w="772" w:type="pct"/>
            <w:tcBorders>
              <w:top w:val="nil"/>
              <w:left w:val="nil"/>
              <w:bottom w:val="nil"/>
              <w:right w:val="nil"/>
            </w:tcBorders>
            <w:shd w:val="clear" w:color="auto" w:fill="auto"/>
            <w:noWrap/>
            <w:vAlign w:val="bottom"/>
            <w:hideMark/>
          </w:tcPr>
          <w:p w14:paraId="1E1A315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52 (0.7%)</w:t>
            </w:r>
          </w:p>
        </w:tc>
      </w:tr>
      <w:tr w:rsidR="008A474E" w:rsidRPr="005865EB" w14:paraId="14C4E8DA" w14:textId="77777777" w:rsidTr="008A474E">
        <w:trPr>
          <w:trHeight w:val="300"/>
        </w:trPr>
        <w:tc>
          <w:tcPr>
            <w:tcW w:w="1989" w:type="pct"/>
            <w:tcBorders>
              <w:top w:val="nil"/>
              <w:left w:val="nil"/>
              <w:bottom w:val="nil"/>
              <w:right w:val="nil"/>
            </w:tcBorders>
            <w:shd w:val="clear" w:color="auto" w:fill="auto"/>
            <w:noWrap/>
            <w:vAlign w:val="bottom"/>
            <w:hideMark/>
          </w:tcPr>
          <w:p w14:paraId="3292CC10"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Antidiabet</w:t>
            </w:r>
            <w:r>
              <w:rPr>
                <w:rFonts w:eastAsia="Times New Roman" w:cstheme="minorHAnsi"/>
                <w:color w:val="000000"/>
                <w:sz w:val="16"/>
                <w:szCs w:val="16"/>
                <w:lang w:eastAsia="en-GB"/>
              </w:rPr>
              <w:t>es</w:t>
            </w:r>
          </w:p>
        </w:tc>
        <w:tc>
          <w:tcPr>
            <w:tcW w:w="1424" w:type="pct"/>
            <w:tcBorders>
              <w:top w:val="nil"/>
              <w:left w:val="nil"/>
              <w:bottom w:val="nil"/>
              <w:right w:val="nil"/>
            </w:tcBorders>
            <w:shd w:val="clear" w:color="auto" w:fill="auto"/>
            <w:noWrap/>
            <w:vAlign w:val="bottom"/>
            <w:hideMark/>
          </w:tcPr>
          <w:p w14:paraId="44AB53D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2,164 (21.7%)</w:t>
            </w:r>
          </w:p>
        </w:tc>
        <w:tc>
          <w:tcPr>
            <w:tcW w:w="815" w:type="pct"/>
            <w:tcBorders>
              <w:top w:val="nil"/>
              <w:left w:val="nil"/>
              <w:bottom w:val="nil"/>
              <w:right w:val="nil"/>
            </w:tcBorders>
            <w:shd w:val="clear" w:color="auto" w:fill="auto"/>
            <w:noWrap/>
            <w:vAlign w:val="bottom"/>
            <w:hideMark/>
          </w:tcPr>
          <w:p w14:paraId="7BBCF4C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521 (23.8%)</w:t>
            </w:r>
          </w:p>
        </w:tc>
        <w:tc>
          <w:tcPr>
            <w:tcW w:w="772" w:type="pct"/>
            <w:tcBorders>
              <w:top w:val="nil"/>
              <w:left w:val="nil"/>
              <w:bottom w:val="nil"/>
              <w:right w:val="nil"/>
            </w:tcBorders>
            <w:shd w:val="clear" w:color="auto" w:fill="auto"/>
            <w:noWrap/>
            <w:vAlign w:val="bottom"/>
            <w:hideMark/>
          </w:tcPr>
          <w:p w14:paraId="1B07C95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1,643 (21.1%)</w:t>
            </w:r>
          </w:p>
        </w:tc>
      </w:tr>
      <w:tr w:rsidR="008A474E" w:rsidRPr="005865EB" w14:paraId="2BE1F820" w14:textId="77777777" w:rsidTr="008A474E">
        <w:trPr>
          <w:trHeight w:val="300"/>
        </w:trPr>
        <w:tc>
          <w:tcPr>
            <w:tcW w:w="1989" w:type="pct"/>
            <w:tcBorders>
              <w:top w:val="nil"/>
              <w:left w:val="nil"/>
              <w:bottom w:val="nil"/>
              <w:right w:val="nil"/>
            </w:tcBorders>
            <w:shd w:val="clear" w:color="auto" w:fill="auto"/>
            <w:noWrap/>
            <w:vAlign w:val="bottom"/>
            <w:hideMark/>
          </w:tcPr>
          <w:p w14:paraId="6125B48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Antihypertensives</w:t>
            </w:r>
          </w:p>
        </w:tc>
        <w:tc>
          <w:tcPr>
            <w:tcW w:w="1424" w:type="pct"/>
            <w:tcBorders>
              <w:top w:val="nil"/>
              <w:left w:val="nil"/>
              <w:bottom w:val="nil"/>
              <w:right w:val="nil"/>
            </w:tcBorders>
            <w:shd w:val="clear" w:color="auto" w:fill="auto"/>
            <w:noWrap/>
            <w:vAlign w:val="bottom"/>
            <w:hideMark/>
          </w:tcPr>
          <w:p w14:paraId="7E8BAE3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5,349 (53.7%)</w:t>
            </w:r>
          </w:p>
        </w:tc>
        <w:tc>
          <w:tcPr>
            <w:tcW w:w="815" w:type="pct"/>
            <w:tcBorders>
              <w:top w:val="nil"/>
              <w:left w:val="nil"/>
              <w:bottom w:val="nil"/>
              <w:right w:val="nil"/>
            </w:tcBorders>
            <w:shd w:val="clear" w:color="auto" w:fill="auto"/>
            <w:noWrap/>
            <w:vAlign w:val="bottom"/>
            <w:hideMark/>
          </w:tcPr>
          <w:p w14:paraId="4FA7EBB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1,000 (45.6%)</w:t>
            </w:r>
          </w:p>
        </w:tc>
        <w:tc>
          <w:tcPr>
            <w:tcW w:w="772" w:type="pct"/>
            <w:tcBorders>
              <w:top w:val="nil"/>
              <w:left w:val="nil"/>
              <w:bottom w:val="nil"/>
              <w:right w:val="nil"/>
            </w:tcBorders>
            <w:shd w:val="clear" w:color="auto" w:fill="auto"/>
            <w:noWrap/>
            <w:vAlign w:val="bottom"/>
            <w:hideMark/>
          </w:tcPr>
          <w:p w14:paraId="7809D29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4,349 (56.0%)</w:t>
            </w:r>
          </w:p>
        </w:tc>
      </w:tr>
      <w:tr w:rsidR="008A474E" w:rsidRPr="005865EB" w14:paraId="5C1CC9A8" w14:textId="77777777" w:rsidTr="008A474E">
        <w:trPr>
          <w:trHeight w:val="300"/>
        </w:trPr>
        <w:tc>
          <w:tcPr>
            <w:tcW w:w="1989" w:type="pct"/>
            <w:tcBorders>
              <w:top w:val="nil"/>
              <w:left w:val="nil"/>
              <w:bottom w:val="nil"/>
              <w:right w:val="nil"/>
            </w:tcBorders>
            <w:shd w:val="clear" w:color="auto" w:fill="auto"/>
            <w:noWrap/>
            <w:vAlign w:val="bottom"/>
            <w:hideMark/>
          </w:tcPr>
          <w:p w14:paraId="16F8BFDD"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Lipid lowering drugs</w:t>
            </w:r>
          </w:p>
        </w:tc>
        <w:tc>
          <w:tcPr>
            <w:tcW w:w="1424" w:type="pct"/>
            <w:tcBorders>
              <w:top w:val="nil"/>
              <w:left w:val="nil"/>
              <w:bottom w:val="nil"/>
              <w:right w:val="nil"/>
            </w:tcBorders>
            <w:shd w:val="clear" w:color="auto" w:fill="auto"/>
            <w:noWrap/>
            <w:vAlign w:val="bottom"/>
            <w:hideMark/>
          </w:tcPr>
          <w:p w14:paraId="5FE54BC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3,361 (33.7%)</w:t>
            </w:r>
          </w:p>
        </w:tc>
        <w:tc>
          <w:tcPr>
            <w:tcW w:w="815" w:type="pct"/>
            <w:tcBorders>
              <w:top w:val="nil"/>
              <w:left w:val="nil"/>
              <w:bottom w:val="nil"/>
              <w:right w:val="nil"/>
            </w:tcBorders>
            <w:shd w:val="clear" w:color="auto" w:fill="auto"/>
            <w:noWrap/>
            <w:vAlign w:val="bottom"/>
            <w:hideMark/>
          </w:tcPr>
          <w:p w14:paraId="7A9866C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684 (31.2%)</w:t>
            </w:r>
          </w:p>
        </w:tc>
        <w:tc>
          <w:tcPr>
            <w:tcW w:w="772" w:type="pct"/>
            <w:tcBorders>
              <w:top w:val="nil"/>
              <w:left w:val="nil"/>
              <w:bottom w:val="nil"/>
              <w:right w:val="nil"/>
            </w:tcBorders>
            <w:shd w:val="clear" w:color="auto" w:fill="auto"/>
            <w:noWrap/>
            <w:vAlign w:val="bottom"/>
            <w:hideMark/>
          </w:tcPr>
          <w:p w14:paraId="43ACED6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2,677 (34.4%)</w:t>
            </w:r>
          </w:p>
        </w:tc>
      </w:tr>
      <w:tr w:rsidR="008A474E" w:rsidRPr="005865EB" w14:paraId="4DE80EFE" w14:textId="77777777" w:rsidTr="008A474E">
        <w:trPr>
          <w:trHeight w:val="300"/>
        </w:trPr>
        <w:tc>
          <w:tcPr>
            <w:tcW w:w="1989" w:type="pct"/>
            <w:tcBorders>
              <w:top w:val="nil"/>
              <w:left w:val="nil"/>
              <w:bottom w:val="nil"/>
              <w:right w:val="nil"/>
            </w:tcBorders>
            <w:shd w:val="clear" w:color="auto" w:fill="auto"/>
            <w:noWrap/>
            <w:vAlign w:val="bottom"/>
            <w:hideMark/>
          </w:tcPr>
          <w:p w14:paraId="57711D2D"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r w:rsidRPr="005865EB">
              <w:rPr>
                <w:rFonts w:eastAsia="Times New Roman" w:cstheme="minorHAnsi"/>
                <w:b/>
                <w:bCs/>
                <w:color w:val="000000"/>
                <w:sz w:val="16"/>
                <w:szCs w:val="16"/>
                <w:lang w:eastAsia="en-GB"/>
              </w:rPr>
              <w:t>Smoking, n (%)</w:t>
            </w:r>
          </w:p>
        </w:tc>
        <w:tc>
          <w:tcPr>
            <w:tcW w:w="1424" w:type="pct"/>
            <w:tcBorders>
              <w:top w:val="nil"/>
              <w:left w:val="nil"/>
              <w:bottom w:val="nil"/>
              <w:right w:val="nil"/>
            </w:tcBorders>
            <w:shd w:val="clear" w:color="auto" w:fill="auto"/>
            <w:noWrap/>
            <w:vAlign w:val="bottom"/>
            <w:hideMark/>
          </w:tcPr>
          <w:p w14:paraId="29793DD0" w14:textId="77777777" w:rsidR="008A474E" w:rsidRPr="005865EB" w:rsidRDefault="008A474E" w:rsidP="008A474E">
            <w:pPr>
              <w:spacing w:after="0" w:line="240" w:lineRule="auto"/>
              <w:jc w:val="both"/>
              <w:rPr>
                <w:rFonts w:eastAsia="Times New Roman" w:cstheme="minorHAnsi"/>
                <w:b/>
                <w:b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2B450EB5"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13520DCC"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6B8AEA40" w14:textId="77777777" w:rsidTr="008A474E">
        <w:trPr>
          <w:trHeight w:val="300"/>
        </w:trPr>
        <w:tc>
          <w:tcPr>
            <w:tcW w:w="1989" w:type="pct"/>
            <w:tcBorders>
              <w:top w:val="nil"/>
              <w:left w:val="nil"/>
              <w:bottom w:val="nil"/>
              <w:right w:val="nil"/>
            </w:tcBorders>
            <w:shd w:val="clear" w:color="auto" w:fill="auto"/>
            <w:noWrap/>
            <w:vAlign w:val="bottom"/>
            <w:hideMark/>
          </w:tcPr>
          <w:p w14:paraId="5A9415D7"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Non-smoker</w:t>
            </w:r>
          </w:p>
        </w:tc>
        <w:tc>
          <w:tcPr>
            <w:tcW w:w="1424" w:type="pct"/>
            <w:tcBorders>
              <w:top w:val="nil"/>
              <w:left w:val="nil"/>
              <w:bottom w:val="nil"/>
              <w:right w:val="nil"/>
            </w:tcBorders>
            <w:shd w:val="clear" w:color="auto" w:fill="auto"/>
            <w:noWrap/>
            <w:vAlign w:val="bottom"/>
            <w:hideMark/>
          </w:tcPr>
          <w:p w14:paraId="7E16C4B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2,775 (27.9%)</w:t>
            </w:r>
          </w:p>
        </w:tc>
        <w:tc>
          <w:tcPr>
            <w:tcW w:w="815" w:type="pct"/>
            <w:tcBorders>
              <w:top w:val="nil"/>
              <w:left w:val="nil"/>
              <w:bottom w:val="nil"/>
              <w:right w:val="nil"/>
            </w:tcBorders>
            <w:shd w:val="clear" w:color="auto" w:fill="auto"/>
            <w:noWrap/>
            <w:vAlign w:val="bottom"/>
            <w:hideMark/>
          </w:tcPr>
          <w:p w14:paraId="4A8500E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544 (24.8%)</w:t>
            </w:r>
          </w:p>
        </w:tc>
        <w:tc>
          <w:tcPr>
            <w:tcW w:w="772" w:type="pct"/>
            <w:tcBorders>
              <w:top w:val="nil"/>
              <w:left w:val="nil"/>
              <w:bottom w:val="nil"/>
              <w:right w:val="nil"/>
            </w:tcBorders>
            <w:shd w:val="clear" w:color="auto" w:fill="auto"/>
            <w:noWrap/>
            <w:vAlign w:val="bottom"/>
            <w:hideMark/>
          </w:tcPr>
          <w:p w14:paraId="6B81BF0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2,231 (28.7%)</w:t>
            </w:r>
          </w:p>
        </w:tc>
      </w:tr>
      <w:tr w:rsidR="008A474E" w:rsidRPr="005865EB" w14:paraId="7F12FBCC" w14:textId="77777777" w:rsidTr="008A474E">
        <w:trPr>
          <w:trHeight w:val="300"/>
        </w:trPr>
        <w:tc>
          <w:tcPr>
            <w:tcW w:w="1989" w:type="pct"/>
            <w:tcBorders>
              <w:top w:val="nil"/>
              <w:left w:val="nil"/>
              <w:bottom w:val="nil"/>
              <w:right w:val="nil"/>
            </w:tcBorders>
            <w:shd w:val="clear" w:color="auto" w:fill="auto"/>
            <w:noWrap/>
            <w:vAlign w:val="bottom"/>
            <w:hideMark/>
          </w:tcPr>
          <w:p w14:paraId="4B4990C3"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Ex-smoker</w:t>
            </w:r>
          </w:p>
        </w:tc>
        <w:tc>
          <w:tcPr>
            <w:tcW w:w="1424" w:type="pct"/>
            <w:tcBorders>
              <w:top w:val="nil"/>
              <w:left w:val="nil"/>
              <w:bottom w:val="nil"/>
              <w:right w:val="nil"/>
            </w:tcBorders>
            <w:shd w:val="clear" w:color="auto" w:fill="auto"/>
            <w:noWrap/>
            <w:vAlign w:val="bottom"/>
            <w:hideMark/>
          </w:tcPr>
          <w:p w14:paraId="604357E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2,049 (20.6%)</w:t>
            </w:r>
          </w:p>
        </w:tc>
        <w:tc>
          <w:tcPr>
            <w:tcW w:w="815" w:type="pct"/>
            <w:tcBorders>
              <w:top w:val="nil"/>
              <w:left w:val="nil"/>
              <w:bottom w:val="nil"/>
              <w:right w:val="nil"/>
            </w:tcBorders>
            <w:shd w:val="clear" w:color="auto" w:fill="auto"/>
            <w:noWrap/>
            <w:vAlign w:val="bottom"/>
            <w:hideMark/>
          </w:tcPr>
          <w:p w14:paraId="128F918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390 (17.8%)</w:t>
            </w:r>
          </w:p>
        </w:tc>
        <w:tc>
          <w:tcPr>
            <w:tcW w:w="772" w:type="pct"/>
            <w:tcBorders>
              <w:top w:val="nil"/>
              <w:left w:val="nil"/>
              <w:bottom w:val="nil"/>
              <w:right w:val="nil"/>
            </w:tcBorders>
            <w:shd w:val="clear" w:color="auto" w:fill="auto"/>
            <w:noWrap/>
            <w:vAlign w:val="bottom"/>
            <w:hideMark/>
          </w:tcPr>
          <w:p w14:paraId="28CDED3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1,659 (21.3%)</w:t>
            </w:r>
          </w:p>
        </w:tc>
      </w:tr>
      <w:tr w:rsidR="008A474E" w:rsidRPr="005865EB" w14:paraId="033D70EB" w14:textId="77777777" w:rsidTr="008A474E">
        <w:trPr>
          <w:trHeight w:val="300"/>
        </w:trPr>
        <w:tc>
          <w:tcPr>
            <w:tcW w:w="1989" w:type="pct"/>
            <w:tcBorders>
              <w:top w:val="nil"/>
              <w:left w:val="nil"/>
              <w:bottom w:val="nil"/>
              <w:right w:val="nil"/>
            </w:tcBorders>
            <w:shd w:val="clear" w:color="auto" w:fill="auto"/>
            <w:noWrap/>
            <w:vAlign w:val="bottom"/>
            <w:hideMark/>
          </w:tcPr>
          <w:p w14:paraId="1652BB9F"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Current smoker</w:t>
            </w:r>
          </w:p>
        </w:tc>
        <w:tc>
          <w:tcPr>
            <w:tcW w:w="1424" w:type="pct"/>
            <w:tcBorders>
              <w:top w:val="nil"/>
              <w:left w:val="nil"/>
              <w:bottom w:val="nil"/>
              <w:right w:val="nil"/>
            </w:tcBorders>
            <w:shd w:val="clear" w:color="auto" w:fill="auto"/>
            <w:noWrap/>
            <w:vAlign w:val="bottom"/>
            <w:hideMark/>
          </w:tcPr>
          <w:p w14:paraId="7EF475A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1,873 (18.8%)</w:t>
            </w:r>
          </w:p>
        </w:tc>
        <w:tc>
          <w:tcPr>
            <w:tcW w:w="815" w:type="pct"/>
            <w:tcBorders>
              <w:top w:val="nil"/>
              <w:left w:val="nil"/>
              <w:bottom w:val="nil"/>
              <w:right w:val="nil"/>
            </w:tcBorders>
            <w:shd w:val="clear" w:color="auto" w:fill="auto"/>
            <w:noWrap/>
            <w:vAlign w:val="bottom"/>
            <w:hideMark/>
          </w:tcPr>
          <w:p w14:paraId="0351D4D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650 (29.7%)</w:t>
            </w:r>
          </w:p>
        </w:tc>
        <w:tc>
          <w:tcPr>
            <w:tcW w:w="772" w:type="pct"/>
            <w:tcBorders>
              <w:top w:val="nil"/>
              <w:left w:val="nil"/>
              <w:bottom w:val="nil"/>
              <w:right w:val="nil"/>
            </w:tcBorders>
            <w:shd w:val="clear" w:color="auto" w:fill="auto"/>
            <w:noWrap/>
            <w:vAlign w:val="bottom"/>
            <w:hideMark/>
          </w:tcPr>
          <w:p w14:paraId="75601CC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1,223 (15.7%)</w:t>
            </w:r>
          </w:p>
        </w:tc>
      </w:tr>
      <w:tr w:rsidR="008A474E" w:rsidRPr="005865EB" w14:paraId="72F804CC" w14:textId="77777777" w:rsidTr="008A474E">
        <w:trPr>
          <w:trHeight w:val="300"/>
        </w:trPr>
        <w:tc>
          <w:tcPr>
            <w:tcW w:w="1989" w:type="pct"/>
            <w:tcBorders>
              <w:top w:val="nil"/>
              <w:left w:val="nil"/>
              <w:bottom w:val="nil"/>
              <w:right w:val="nil"/>
            </w:tcBorders>
            <w:shd w:val="clear" w:color="auto" w:fill="auto"/>
            <w:noWrap/>
            <w:vAlign w:val="bottom"/>
            <w:hideMark/>
          </w:tcPr>
          <w:p w14:paraId="67219167"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nil"/>
              <w:right w:val="nil"/>
            </w:tcBorders>
            <w:shd w:val="clear" w:color="auto" w:fill="auto"/>
            <w:noWrap/>
            <w:vAlign w:val="bottom"/>
            <w:hideMark/>
          </w:tcPr>
          <w:p w14:paraId="0DD418C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3,268 (32.8%)</w:t>
            </w:r>
          </w:p>
        </w:tc>
        <w:tc>
          <w:tcPr>
            <w:tcW w:w="815" w:type="pct"/>
            <w:tcBorders>
              <w:top w:val="nil"/>
              <w:left w:val="nil"/>
              <w:bottom w:val="nil"/>
              <w:right w:val="nil"/>
            </w:tcBorders>
            <w:shd w:val="clear" w:color="auto" w:fill="auto"/>
            <w:noWrap/>
            <w:vAlign w:val="bottom"/>
            <w:hideMark/>
          </w:tcPr>
          <w:p w14:paraId="1CC84F0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608 (27.7%)</w:t>
            </w:r>
          </w:p>
        </w:tc>
        <w:tc>
          <w:tcPr>
            <w:tcW w:w="772" w:type="pct"/>
            <w:tcBorders>
              <w:top w:val="nil"/>
              <w:left w:val="nil"/>
              <w:bottom w:val="nil"/>
              <w:right w:val="nil"/>
            </w:tcBorders>
            <w:shd w:val="clear" w:color="auto" w:fill="auto"/>
            <w:noWrap/>
            <w:vAlign w:val="bottom"/>
            <w:hideMark/>
          </w:tcPr>
          <w:p w14:paraId="4B8CC89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2,660 (34.2%)</w:t>
            </w:r>
          </w:p>
        </w:tc>
      </w:tr>
      <w:tr w:rsidR="008A474E" w:rsidRPr="005865EB" w14:paraId="7974D453" w14:textId="77777777" w:rsidTr="008A474E">
        <w:trPr>
          <w:trHeight w:val="300"/>
        </w:trPr>
        <w:tc>
          <w:tcPr>
            <w:tcW w:w="1989" w:type="pct"/>
            <w:tcBorders>
              <w:top w:val="nil"/>
              <w:left w:val="nil"/>
              <w:bottom w:val="nil"/>
              <w:right w:val="nil"/>
            </w:tcBorders>
            <w:shd w:val="clear" w:color="auto" w:fill="auto"/>
            <w:noWrap/>
            <w:vAlign w:val="bottom"/>
            <w:hideMark/>
          </w:tcPr>
          <w:p w14:paraId="2FDCEBF0"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r w:rsidRPr="005865EB">
              <w:rPr>
                <w:rFonts w:eastAsia="Times New Roman" w:cstheme="minorHAnsi"/>
                <w:b/>
                <w:bCs/>
                <w:i/>
                <w:iCs/>
                <w:color w:val="000000"/>
                <w:sz w:val="16"/>
                <w:szCs w:val="16"/>
                <w:lang w:eastAsia="en-GB"/>
              </w:rPr>
              <w:t>Biometric measures, n (%)</w:t>
            </w:r>
          </w:p>
        </w:tc>
        <w:tc>
          <w:tcPr>
            <w:tcW w:w="1424" w:type="pct"/>
            <w:tcBorders>
              <w:top w:val="nil"/>
              <w:left w:val="nil"/>
              <w:bottom w:val="nil"/>
              <w:right w:val="nil"/>
            </w:tcBorders>
            <w:shd w:val="clear" w:color="auto" w:fill="auto"/>
            <w:noWrap/>
            <w:vAlign w:val="bottom"/>
            <w:hideMark/>
          </w:tcPr>
          <w:p w14:paraId="49542A55" w14:textId="77777777" w:rsidR="008A474E" w:rsidRPr="005865EB" w:rsidRDefault="008A474E" w:rsidP="008A474E">
            <w:pPr>
              <w:spacing w:after="0" w:line="240" w:lineRule="auto"/>
              <w:jc w:val="both"/>
              <w:rPr>
                <w:rFonts w:eastAsia="Times New Roman" w:cstheme="minorHAnsi"/>
                <w:b/>
                <w:bCs/>
                <w:i/>
                <w:iCs/>
                <w:color w:val="000000"/>
                <w:sz w:val="16"/>
                <w:szCs w:val="16"/>
                <w:lang w:eastAsia="en-GB"/>
              </w:rPr>
            </w:pPr>
          </w:p>
        </w:tc>
        <w:tc>
          <w:tcPr>
            <w:tcW w:w="815" w:type="pct"/>
            <w:tcBorders>
              <w:top w:val="nil"/>
              <w:left w:val="nil"/>
              <w:bottom w:val="nil"/>
              <w:right w:val="nil"/>
            </w:tcBorders>
            <w:shd w:val="clear" w:color="auto" w:fill="auto"/>
            <w:noWrap/>
            <w:vAlign w:val="bottom"/>
            <w:hideMark/>
          </w:tcPr>
          <w:p w14:paraId="3CE8D80B" w14:textId="77777777" w:rsidR="008A474E" w:rsidRPr="005865EB" w:rsidRDefault="008A474E" w:rsidP="008A474E">
            <w:pPr>
              <w:spacing w:after="0" w:line="240" w:lineRule="auto"/>
              <w:jc w:val="both"/>
              <w:rPr>
                <w:rFonts w:eastAsia="Times New Roman" w:cstheme="minorHAnsi"/>
                <w:sz w:val="16"/>
                <w:szCs w:val="16"/>
                <w:lang w:eastAsia="en-GB"/>
              </w:rPr>
            </w:pPr>
          </w:p>
        </w:tc>
        <w:tc>
          <w:tcPr>
            <w:tcW w:w="772" w:type="pct"/>
            <w:tcBorders>
              <w:top w:val="nil"/>
              <w:left w:val="nil"/>
              <w:bottom w:val="nil"/>
              <w:right w:val="nil"/>
            </w:tcBorders>
            <w:shd w:val="clear" w:color="auto" w:fill="auto"/>
            <w:noWrap/>
            <w:vAlign w:val="bottom"/>
            <w:hideMark/>
          </w:tcPr>
          <w:p w14:paraId="4BB4FDAE" w14:textId="77777777" w:rsidR="008A474E" w:rsidRPr="005865EB" w:rsidRDefault="008A474E" w:rsidP="008A474E">
            <w:pPr>
              <w:spacing w:after="0" w:line="240" w:lineRule="auto"/>
              <w:jc w:val="both"/>
              <w:rPr>
                <w:rFonts w:eastAsia="Times New Roman" w:cstheme="minorHAnsi"/>
                <w:sz w:val="16"/>
                <w:szCs w:val="16"/>
                <w:lang w:eastAsia="en-GB"/>
              </w:rPr>
            </w:pPr>
          </w:p>
        </w:tc>
      </w:tr>
      <w:tr w:rsidR="008A474E" w:rsidRPr="005865EB" w14:paraId="67AA03DB" w14:textId="77777777" w:rsidTr="008A474E">
        <w:trPr>
          <w:trHeight w:val="300"/>
        </w:trPr>
        <w:tc>
          <w:tcPr>
            <w:tcW w:w="1989" w:type="pct"/>
            <w:tcBorders>
              <w:top w:val="nil"/>
              <w:left w:val="nil"/>
              <w:bottom w:val="nil"/>
              <w:right w:val="nil"/>
            </w:tcBorders>
            <w:shd w:val="clear" w:color="auto" w:fill="auto"/>
            <w:noWrap/>
            <w:vAlign w:val="bottom"/>
            <w:hideMark/>
          </w:tcPr>
          <w:p w14:paraId="1202655F"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BMI, mean (SD)</w:t>
            </w:r>
          </w:p>
        </w:tc>
        <w:tc>
          <w:tcPr>
            <w:tcW w:w="1424" w:type="pct"/>
            <w:tcBorders>
              <w:top w:val="nil"/>
              <w:left w:val="nil"/>
              <w:bottom w:val="nil"/>
              <w:right w:val="nil"/>
            </w:tcBorders>
            <w:shd w:val="clear" w:color="auto" w:fill="auto"/>
            <w:noWrap/>
            <w:vAlign w:val="bottom"/>
            <w:hideMark/>
          </w:tcPr>
          <w:p w14:paraId="00F7B2A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32.66 (6.95)</w:t>
            </w:r>
          </w:p>
        </w:tc>
        <w:tc>
          <w:tcPr>
            <w:tcW w:w="815" w:type="pct"/>
            <w:tcBorders>
              <w:top w:val="nil"/>
              <w:left w:val="nil"/>
              <w:bottom w:val="nil"/>
              <w:right w:val="nil"/>
            </w:tcBorders>
            <w:shd w:val="clear" w:color="auto" w:fill="auto"/>
            <w:noWrap/>
            <w:vAlign w:val="bottom"/>
            <w:hideMark/>
          </w:tcPr>
          <w:p w14:paraId="398E3D1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32.97 (6.99)</w:t>
            </w:r>
          </w:p>
        </w:tc>
        <w:tc>
          <w:tcPr>
            <w:tcW w:w="772" w:type="pct"/>
            <w:tcBorders>
              <w:top w:val="nil"/>
              <w:left w:val="nil"/>
              <w:bottom w:val="nil"/>
              <w:right w:val="nil"/>
            </w:tcBorders>
            <w:shd w:val="clear" w:color="auto" w:fill="auto"/>
            <w:noWrap/>
            <w:vAlign w:val="bottom"/>
            <w:hideMark/>
          </w:tcPr>
          <w:p w14:paraId="20C95AB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32.56 (6.94)</w:t>
            </w:r>
          </w:p>
        </w:tc>
      </w:tr>
      <w:tr w:rsidR="008A474E" w:rsidRPr="005865EB" w14:paraId="517B37AE" w14:textId="77777777" w:rsidTr="008A474E">
        <w:trPr>
          <w:trHeight w:val="300"/>
        </w:trPr>
        <w:tc>
          <w:tcPr>
            <w:tcW w:w="1989" w:type="pct"/>
            <w:tcBorders>
              <w:top w:val="nil"/>
              <w:left w:val="nil"/>
              <w:bottom w:val="nil"/>
              <w:right w:val="nil"/>
            </w:tcBorders>
            <w:shd w:val="clear" w:color="auto" w:fill="auto"/>
            <w:noWrap/>
            <w:vAlign w:val="bottom"/>
            <w:hideMark/>
          </w:tcPr>
          <w:p w14:paraId="0062DF8D"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&lt; 20</w:t>
            </w:r>
            <w:r>
              <w:rPr>
                <w:rFonts w:eastAsia="Times New Roman" w:cstheme="minorHAnsi"/>
                <w:color w:val="000000"/>
                <w:sz w:val="16"/>
                <w:szCs w:val="16"/>
                <w:lang w:eastAsia="en-GB"/>
              </w:rPr>
              <w:t xml:space="preserve"> kg/m</w:t>
            </w:r>
            <w:r w:rsidRPr="00932C2F">
              <w:rPr>
                <w:rFonts w:eastAsia="Times New Roman" w:cstheme="minorHAnsi"/>
                <w:color w:val="000000"/>
                <w:sz w:val="16"/>
                <w:szCs w:val="16"/>
                <w:vertAlign w:val="superscript"/>
                <w:lang w:eastAsia="en-GB"/>
              </w:rPr>
              <w:t>2</w:t>
            </w:r>
          </w:p>
        </w:tc>
        <w:tc>
          <w:tcPr>
            <w:tcW w:w="1424" w:type="pct"/>
            <w:tcBorders>
              <w:top w:val="nil"/>
              <w:left w:val="nil"/>
              <w:bottom w:val="nil"/>
              <w:right w:val="nil"/>
            </w:tcBorders>
            <w:shd w:val="clear" w:color="auto" w:fill="auto"/>
            <w:noWrap/>
            <w:vAlign w:val="bottom"/>
            <w:hideMark/>
          </w:tcPr>
          <w:p w14:paraId="6C26C26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62 (0.6%)</w:t>
            </w:r>
          </w:p>
        </w:tc>
        <w:tc>
          <w:tcPr>
            <w:tcW w:w="815" w:type="pct"/>
            <w:tcBorders>
              <w:top w:val="nil"/>
              <w:left w:val="nil"/>
              <w:bottom w:val="nil"/>
              <w:right w:val="nil"/>
            </w:tcBorders>
            <w:shd w:val="clear" w:color="auto" w:fill="auto"/>
            <w:noWrap/>
            <w:vAlign w:val="bottom"/>
            <w:hideMark/>
          </w:tcPr>
          <w:p w14:paraId="25FD646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12 (0.6%)</w:t>
            </w:r>
          </w:p>
        </w:tc>
        <w:tc>
          <w:tcPr>
            <w:tcW w:w="772" w:type="pct"/>
            <w:tcBorders>
              <w:top w:val="nil"/>
              <w:left w:val="nil"/>
              <w:bottom w:val="nil"/>
              <w:right w:val="nil"/>
            </w:tcBorders>
            <w:shd w:val="clear" w:color="auto" w:fill="auto"/>
            <w:noWrap/>
            <w:vAlign w:val="bottom"/>
            <w:hideMark/>
          </w:tcPr>
          <w:p w14:paraId="0502A4D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50 (0.6%)</w:t>
            </w:r>
          </w:p>
        </w:tc>
      </w:tr>
      <w:tr w:rsidR="008A474E" w:rsidRPr="005865EB" w14:paraId="07C07702" w14:textId="77777777" w:rsidTr="008A474E">
        <w:trPr>
          <w:trHeight w:val="300"/>
        </w:trPr>
        <w:tc>
          <w:tcPr>
            <w:tcW w:w="1989" w:type="pct"/>
            <w:tcBorders>
              <w:top w:val="nil"/>
              <w:left w:val="nil"/>
              <w:bottom w:val="nil"/>
              <w:right w:val="nil"/>
            </w:tcBorders>
            <w:shd w:val="clear" w:color="auto" w:fill="auto"/>
            <w:noWrap/>
            <w:vAlign w:val="bottom"/>
            <w:hideMark/>
          </w:tcPr>
          <w:p w14:paraId="7F13EB0B"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20 </w:t>
            </w: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24</w:t>
            </w:r>
            <w:r>
              <w:rPr>
                <w:rFonts w:eastAsia="Times New Roman" w:cstheme="minorHAnsi"/>
                <w:color w:val="000000"/>
                <w:sz w:val="16"/>
                <w:szCs w:val="16"/>
                <w:lang w:eastAsia="en-GB"/>
              </w:rPr>
              <w:t xml:space="preserve"> kg/m</w:t>
            </w:r>
            <w:r w:rsidRPr="00932C2F">
              <w:rPr>
                <w:rFonts w:eastAsia="Times New Roman" w:cstheme="minorHAnsi"/>
                <w:color w:val="000000"/>
                <w:sz w:val="16"/>
                <w:szCs w:val="16"/>
                <w:vertAlign w:val="superscript"/>
                <w:lang w:eastAsia="en-GB"/>
              </w:rPr>
              <w:t>2</w:t>
            </w:r>
          </w:p>
        </w:tc>
        <w:tc>
          <w:tcPr>
            <w:tcW w:w="1424" w:type="pct"/>
            <w:tcBorders>
              <w:top w:val="nil"/>
              <w:left w:val="nil"/>
              <w:bottom w:val="nil"/>
              <w:right w:val="nil"/>
            </w:tcBorders>
            <w:shd w:val="clear" w:color="auto" w:fill="auto"/>
            <w:noWrap/>
            <w:vAlign w:val="bottom"/>
            <w:hideMark/>
          </w:tcPr>
          <w:p w14:paraId="3A2D073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617 (6.2%)</w:t>
            </w:r>
          </w:p>
        </w:tc>
        <w:tc>
          <w:tcPr>
            <w:tcW w:w="815" w:type="pct"/>
            <w:tcBorders>
              <w:top w:val="nil"/>
              <w:left w:val="nil"/>
              <w:bottom w:val="nil"/>
              <w:right w:val="nil"/>
            </w:tcBorders>
            <w:shd w:val="clear" w:color="auto" w:fill="auto"/>
            <w:noWrap/>
            <w:vAlign w:val="bottom"/>
            <w:hideMark/>
          </w:tcPr>
          <w:p w14:paraId="6C7AE3D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145 (6.6%)</w:t>
            </w:r>
          </w:p>
        </w:tc>
        <w:tc>
          <w:tcPr>
            <w:tcW w:w="772" w:type="pct"/>
            <w:tcBorders>
              <w:top w:val="nil"/>
              <w:left w:val="nil"/>
              <w:bottom w:val="nil"/>
              <w:right w:val="nil"/>
            </w:tcBorders>
            <w:shd w:val="clear" w:color="auto" w:fill="auto"/>
            <w:noWrap/>
            <w:vAlign w:val="bottom"/>
            <w:hideMark/>
          </w:tcPr>
          <w:p w14:paraId="418433B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472 (6.1%)</w:t>
            </w:r>
          </w:p>
        </w:tc>
      </w:tr>
      <w:tr w:rsidR="008A474E" w:rsidRPr="005865EB" w14:paraId="23779797" w14:textId="77777777" w:rsidTr="008A474E">
        <w:trPr>
          <w:trHeight w:val="300"/>
        </w:trPr>
        <w:tc>
          <w:tcPr>
            <w:tcW w:w="1989" w:type="pct"/>
            <w:tcBorders>
              <w:top w:val="nil"/>
              <w:left w:val="nil"/>
              <w:bottom w:val="nil"/>
              <w:right w:val="nil"/>
            </w:tcBorders>
            <w:shd w:val="clear" w:color="auto" w:fill="auto"/>
            <w:noWrap/>
            <w:vAlign w:val="bottom"/>
            <w:hideMark/>
          </w:tcPr>
          <w:p w14:paraId="7DA22971"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25 </w:t>
            </w: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29</w:t>
            </w:r>
            <w:r>
              <w:rPr>
                <w:rFonts w:eastAsia="Times New Roman" w:cstheme="minorHAnsi"/>
                <w:color w:val="000000"/>
                <w:sz w:val="16"/>
                <w:szCs w:val="16"/>
                <w:lang w:eastAsia="en-GB"/>
              </w:rPr>
              <w:t xml:space="preserve"> kg/m</w:t>
            </w:r>
            <w:r w:rsidRPr="00932C2F">
              <w:rPr>
                <w:rFonts w:eastAsia="Times New Roman" w:cstheme="minorHAnsi"/>
                <w:color w:val="000000"/>
                <w:sz w:val="16"/>
                <w:szCs w:val="16"/>
                <w:vertAlign w:val="superscript"/>
                <w:lang w:eastAsia="en-GB"/>
              </w:rPr>
              <w:t>2</w:t>
            </w:r>
          </w:p>
        </w:tc>
        <w:tc>
          <w:tcPr>
            <w:tcW w:w="1424" w:type="pct"/>
            <w:tcBorders>
              <w:top w:val="nil"/>
              <w:left w:val="nil"/>
              <w:bottom w:val="nil"/>
              <w:right w:val="nil"/>
            </w:tcBorders>
            <w:shd w:val="clear" w:color="auto" w:fill="auto"/>
            <w:noWrap/>
            <w:vAlign w:val="bottom"/>
            <w:hideMark/>
          </w:tcPr>
          <w:p w14:paraId="511CCA3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1,752 (17.6%)</w:t>
            </w:r>
          </w:p>
        </w:tc>
        <w:tc>
          <w:tcPr>
            <w:tcW w:w="815" w:type="pct"/>
            <w:tcBorders>
              <w:top w:val="nil"/>
              <w:left w:val="nil"/>
              <w:bottom w:val="nil"/>
              <w:right w:val="nil"/>
            </w:tcBorders>
            <w:shd w:val="clear" w:color="auto" w:fill="auto"/>
            <w:noWrap/>
            <w:vAlign w:val="bottom"/>
            <w:hideMark/>
          </w:tcPr>
          <w:p w14:paraId="588664B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401 (18.3%)</w:t>
            </w:r>
          </w:p>
        </w:tc>
        <w:tc>
          <w:tcPr>
            <w:tcW w:w="772" w:type="pct"/>
            <w:tcBorders>
              <w:top w:val="nil"/>
              <w:left w:val="nil"/>
              <w:bottom w:val="nil"/>
              <w:right w:val="nil"/>
            </w:tcBorders>
            <w:shd w:val="clear" w:color="auto" w:fill="auto"/>
            <w:noWrap/>
            <w:vAlign w:val="bottom"/>
            <w:hideMark/>
          </w:tcPr>
          <w:p w14:paraId="36D1A36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1,351 (17.4%)</w:t>
            </w:r>
          </w:p>
        </w:tc>
      </w:tr>
      <w:tr w:rsidR="008A474E" w:rsidRPr="005865EB" w14:paraId="784B7D64" w14:textId="77777777" w:rsidTr="008A474E">
        <w:trPr>
          <w:trHeight w:val="300"/>
        </w:trPr>
        <w:tc>
          <w:tcPr>
            <w:tcW w:w="1989" w:type="pct"/>
            <w:tcBorders>
              <w:top w:val="nil"/>
              <w:left w:val="nil"/>
              <w:bottom w:val="nil"/>
              <w:right w:val="nil"/>
            </w:tcBorders>
            <w:shd w:val="clear" w:color="auto" w:fill="auto"/>
            <w:noWrap/>
            <w:vAlign w:val="bottom"/>
            <w:hideMark/>
          </w:tcPr>
          <w:p w14:paraId="3DFF5386"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30+</w:t>
            </w:r>
            <w:r>
              <w:rPr>
                <w:rFonts w:eastAsia="Times New Roman" w:cstheme="minorHAnsi"/>
                <w:color w:val="000000"/>
                <w:sz w:val="16"/>
                <w:szCs w:val="16"/>
                <w:lang w:eastAsia="en-GB"/>
              </w:rPr>
              <w:t xml:space="preserve"> kg/m</w:t>
            </w:r>
            <w:r w:rsidRPr="00932C2F">
              <w:rPr>
                <w:rFonts w:eastAsia="Times New Roman" w:cstheme="minorHAnsi"/>
                <w:color w:val="000000"/>
                <w:sz w:val="16"/>
                <w:szCs w:val="16"/>
                <w:vertAlign w:val="superscript"/>
                <w:lang w:eastAsia="en-GB"/>
              </w:rPr>
              <w:t>2</w:t>
            </w:r>
          </w:p>
        </w:tc>
        <w:tc>
          <w:tcPr>
            <w:tcW w:w="1424" w:type="pct"/>
            <w:tcBorders>
              <w:top w:val="nil"/>
              <w:left w:val="nil"/>
              <w:bottom w:val="nil"/>
              <w:right w:val="nil"/>
            </w:tcBorders>
            <w:shd w:val="clear" w:color="auto" w:fill="auto"/>
            <w:noWrap/>
            <w:vAlign w:val="bottom"/>
            <w:hideMark/>
          </w:tcPr>
          <w:p w14:paraId="0734031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3,004 (30.2%)</w:t>
            </w:r>
          </w:p>
        </w:tc>
        <w:tc>
          <w:tcPr>
            <w:tcW w:w="815" w:type="pct"/>
            <w:tcBorders>
              <w:top w:val="nil"/>
              <w:left w:val="nil"/>
              <w:bottom w:val="nil"/>
              <w:right w:val="nil"/>
            </w:tcBorders>
            <w:shd w:val="clear" w:color="auto" w:fill="auto"/>
            <w:noWrap/>
            <w:vAlign w:val="bottom"/>
            <w:hideMark/>
          </w:tcPr>
          <w:p w14:paraId="716740C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733 (33.4%)</w:t>
            </w:r>
          </w:p>
        </w:tc>
        <w:tc>
          <w:tcPr>
            <w:tcW w:w="772" w:type="pct"/>
            <w:tcBorders>
              <w:top w:val="nil"/>
              <w:left w:val="nil"/>
              <w:bottom w:val="nil"/>
              <w:right w:val="nil"/>
            </w:tcBorders>
            <w:shd w:val="clear" w:color="auto" w:fill="auto"/>
            <w:noWrap/>
            <w:vAlign w:val="bottom"/>
            <w:hideMark/>
          </w:tcPr>
          <w:p w14:paraId="212DE23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2,271 (29.2%)</w:t>
            </w:r>
          </w:p>
        </w:tc>
      </w:tr>
      <w:tr w:rsidR="008A474E" w:rsidRPr="005865EB" w14:paraId="675DB26F" w14:textId="77777777" w:rsidTr="008A474E">
        <w:trPr>
          <w:trHeight w:val="300"/>
        </w:trPr>
        <w:tc>
          <w:tcPr>
            <w:tcW w:w="1989" w:type="pct"/>
            <w:tcBorders>
              <w:top w:val="nil"/>
              <w:left w:val="nil"/>
              <w:bottom w:val="nil"/>
              <w:right w:val="nil"/>
            </w:tcBorders>
            <w:shd w:val="clear" w:color="auto" w:fill="auto"/>
            <w:noWrap/>
            <w:vAlign w:val="bottom"/>
            <w:hideMark/>
          </w:tcPr>
          <w:p w14:paraId="03164E62"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40+</w:t>
            </w:r>
            <w:r>
              <w:rPr>
                <w:rFonts w:eastAsia="Times New Roman" w:cstheme="minorHAnsi"/>
                <w:color w:val="000000"/>
                <w:sz w:val="16"/>
                <w:szCs w:val="16"/>
                <w:lang w:eastAsia="en-GB"/>
              </w:rPr>
              <w:t xml:space="preserve"> kg/m</w:t>
            </w:r>
            <w:r w:rsidRPr="00932C2F">
              <w:rPr>
                <w:rFonts w:eastAsia="Times New Roman" w:cstheme="minorHAnsi"/>
                <w:color w:val="000000"/>
                <w:sz w:val="16"/>
                <w:szCs w:val="16"/>
                <w:vertAlign w:val="superscript"/>
                <w:lang w:eastAsia="en-GB"/>
              </w:rPr>
              <w:t>2</w:t>
            </w:r>
          </w:p>
        </w:tc>
        <w:tc>
          <w:tcPr>
            <w:tcW w:w="1424" w:type="pct"/>
            <w:tcBorders>
              <w:top w:val="nil"/>
              <w:left w:val="nil"/>
              <w:bottom w:val="nil"/>
              <w:right w:val="nil"/>
            </w:tcBorders>
            <w:shd w:val="clear" w:color="auto" w:fill="auto"/>
            <w:noWrap/>
            <w:vAlign w:val="bottom"/>
            <w:hideMark/>
          </w:tcPr>
          <w:p w14:paraId="09C9AC3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871 (8.7%)</w:t>
            </w:r>
          </w:p>
        </w:tc>
        <w:tc>
          <w:tcPr>
            <w:tcW w:w="815" w:type="pct"/>
            <w:tcBorders>
              <w:top w:val="nil"/>
              <w:left w:val="nil"/>
              <w:bottom w:val="nil"/>
              <w:right w:val="nil"/>
            </w:tcBorders>
            <w:shd w:val="clear" w:color="auto" w:fill="auto"/>
            <w:noWrap/>
            <w:vAlign w:val="bottom"/>
            <w:hideMark/>
          </w:tcPr>
          <w:p w14:paraId="18DF9C3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221 (10.1%)</w:t>
            </w:r>
          </w:p>
        </w:tc>
        <w:tc>
          <w:tcPr>
            <w:tcW w:w="772" w:type="pct"/>
            <w:tcBorders>
              <w:top w:val="nil"/>
              <w:left w:val="nil"/>
              <w:bottom w:val="nil"/>
              <w:right w:val="nil"/>
            </w:tcBorders>
            <w:shd w:val="clear" w:color="auto" w:fill="auto"/>
            <w:noWrap/>
            <w:vAlign w:val="bottom"/>
            <w:hideMark/>
          </w:tcPr>
          <w:p w14:paraId="5577936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650 (8.4%)</w:t>
            </w:r>
          </w:p>
        </w:tc>
      </w:tr>
      <w:tr w:rsidR="008A474E" w:rsidRPr="005865EB" w14:paraId="1FDC9899" w14:textId="77777777" w:rsidTr="008A474E">
        <w:trPr>
          <w:trHeight w:val="300"/>
        </w:trPr>
        <w:tc>
          <w:tcPr>
            <w:tcW w:w="1989" w:type="pct"/>
            <w:tcBorders>
              <w:top w:val="nil"/>
              <w:left w:val="nil"/>
              <w:bottom w:val="nil"/>
              <w:right w:val="nil"/>
            </w:tcBorders>
            <w:shd w:val="clear" w:color="auto" w:fill="auto"/>
            <w:noWrap/>
            <w:vAlign w:val="bottom"/>
            <w:hideMark/>
          </w:tcPr>
          <w:p w14:paraId="10934BB5"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 xml:space="preserve"> Missing</w:t>
            </w:r>
          </w:p>
        </w:tc>
        <w:tc>
          <w:tcPr>
            <w:tcW w:w="1424" w:type="pct"/>
            <w:tcBorders>
              <w:top w:val="nil"/>
              <w:left w:val="nil"/>
              <w:bottom w:val="nil"/>
              <w:right w:val="nil"/>
            </w:tcBorders>
            <w:shd w:val="clear" w:color="auto" w:fill="auto"/>
            <w:noWrap/>
            <w:vAlign w:val="bottom"/>
            <w:hideMark/>
          </w:tcPr>
          <w:p w14:paraId="7DCC0A2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3,659 (36.7%)</w:t>
            </w:r>
          </w:p>
        </w:tc>
        <w:tc>
          <w:tcPr>
            <w:tcW w:w="815" w:type="pct"/>
            <w:tcBorders>
              <w:top w:val="nil"/>
              <w:left w:val="nil"/>
              <w:bottom w:val="nil"/>
              <w:right w:val="nil"/>
            </w:tcBorders>
            <w:shd w:val="clear" w:color="auto" w:fill="auto"/>
            <w:noWrap/>
            <w:vAlign w:val="bottom"/>
            <w:hideMark/>
          </w:tcPr>
          <w:p w14:paraId="17ADC11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680 (31.0%)</w:t>
            </w:r>
          </w:p>
        </w:tc>
        <w:tc>
          <w:tcPr>
            <w:tcW w:w="772" w:type="pct"/>
            <w:tcBorders>
              <w:top w:val="nil"/>
              <w:left w:val="nil"/>
              <w:bottom w:val="nil"/>
              <w:right w:val="nil"/>
            </w:tcBorders>
            <w:shd w:val="clear" w:color="auto" w:fill="auto"/>
            <w:noWrap/>
            <w:vAlign w:val="bottom"/>
            <w:hideMark/>
          </w:tcPr>
          <w:p w14:paraId="7FD4C02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2.979 (38.3%)</w:t>
            </w:r>
          </w:p>
        </w:tc>
      </w:tr>
      <w:tr w:rsidR="008A474E" w:rsidRPr="005865EB" w14:paraId="4F0E1431" w14:textId="77777777" w:rsidTr="008A474E">
        <w:trPr>
          <w:trHeight w:val="300"/>
        </w:trPr>
        <w:tc>
          <w:tcPr>
            <w:tcW w:w="1989" w:type="pct"/>
            <w:tcBorders>
              <w:top w:val="nil"/>
              <w:left w:val="nil"/>
              <w:bottom w:val="nil"/>
              <w:right w:val="nil"/>
            </w:tcBorders>
            <w:shd w:val="clear" w:color="auto" w:fill="auto"/>
            <w:noWrap/>
            <w:vAlign w:val="bottom"/>
            <w:hideMark/>
          </w:tcPr>
          <w:p w14:paraId="6CD6E5F1"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HbA</w:t>
            </w:r>
            <w:r w:rsidRPr="005865EB">
              <w:rPr>
                <w:rFonts w:eastAsia="Times New Roman" w:cstheme="minorHAnsi"/>
                <w:color w:val="000000"/>
                <w:sz w:val="16"/>
                <w:szCs w:val="16"/>
                <w:vertAlign w:val="subscript"/>
                <w:lang w:eastAsia="en-GB"/>
              </w:rPr>
              <w:t>1c</w:t>
            </w:r>
            <w:r w:rsidRPr="005865EB">
              <w:rPr>
                <w:rFonts w:eastAsia="Times New Roman" w:cstheme="minorHAnsi"/>
                <w:color w:val="000000"/>
                <w:sz w:val="16"/>
                <w:szCs w:val="16"/>
                <w:lang w:eastAsia="en-GB"/>
              </w:rPr>
              <w:t xml:space="preserve"> (%</w:t>
            </w:r>
            <w:r>
              <w:rPr>
                <w:rFonts w:eastAsia="Times New Roman" w:cstheme="minorHAnsi"/>
                <w:color w:val="000000"/>
                <w:sz w:val="16"/>
                <w:szCs w:val="16"/>
                <w:lang w:eastAsia="en-GB"/>
              </w:rPr>
              <w:t>, mmol/mol</w:t>
            </w:r>
            <w:r w:rsidRPr="005865EB">
              <w:rPr>
                <w:rFonts w:eastAsia="Times New Roman" w:cstheme="minorHAnsi"/>
                <w:color w:val="000000"/>
                <w:sz w:val="16"/>
                <w:szCs w:val="16"/>
                <w:lang w:eastAsia="en-GB"/>
              </w:rPr>
              <w:t>), mean (SD)</w:t>
            </w:r>
          </w:p>
        </w:tc>
        <w:tc>
          <w:tcPr>
            <w:tcW w:w="1424" w:type="pct"/>
            <w:tcBorders>
              <w:top w:val="nil"/>
              <w:left w:val="nil"/>
              <w:bottom w:val="nil"/>
              <w:right w:val="nil"/>
            </w:tcBorders>
            <w:shd w:val="clear" w:color="auto" w:fill="auto"/>
            <w:noWrap/>
            <w:vAlign w:val="bottom"/>
            <w:hideMark/>
          </w:tcPr>
          <w:p w14:paraId="0B404FE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7.88 (1.95)</w:t>
            </w:r>
          </w:p>
        </w:tc>
        <w:tc>
          <w:tcPr>
            <w:tcW w:w="815" w:type="pct"/>
            <w:tcBorders>
              <w:top w:val="nil"/>
              <w:left w:val="nil"/>
              <w:bottom w:val="nil"/>
              <w:right w:val="nil"/>
            </w:tcBorders>
            <w:shd w:val="clear" w:color="auto" w:fill="auto"/>
            <w:noWrap/>
            <w:vAlign w:val="bottom"/>
            <w:hideMark/>
          </w:tcPr>
          <w:p w14:paraId="3D4531F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7.82 (1.99)</w:t>
            </w:r>
          </w:p>
        </w:tc>
        <w:tc>
          <w:tcPr>
            <w:tcW w:w="772" w:type="pct"/>
            <w:tcBorders>
              <w:top w:val="nil"/>
              <w:left w:val="nil"/>
              <w:bottom w:val="nil"/>
              <w:right w:val="nil"/>
            </w:tcBorders>
            <w:shd w:val="clear" w:color="auto" w:fill="auto"/>
            <w:noWrap/>
            <w:vAlign w:val="bottom"/>
            <w:hideMark/>
          </w:tcPr>
          <w:p w14:paraId="229BD383"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7.90 (1.95)</w:t>
            </w:r>
          </w:p>
        </w:tc>
      </w:tr>
      <w:tr w:rsidR="008A474E" w:rsidRPr="005865EB" w14:paraId="0798F49F" w14:textId="77777777" w:rsidTr="008A474E">
        <w:trPr>
          <w:trHeight w:val="300"/>
        </w:trPr>
        <w:tc>
          <w:tcPr>
            <w:tcW w:w="1989" w:type="pct"/>
            <w:tcBorders>
              <w:top w:val="nil"/>
              <w:left w:val="nil"/>
              <w:bottom w:val="nil"/>
              <w:right w:val="nil"/>
            </w:tcBorders>
            <w:shd w:val="clear" w:color="auto" w:fill="auto"/>
            <w:noWrap/>
            <w:vAlign w:val="bottom"/>
            <w:hideMark/>
          </w:tcPr>
          <w:p w14:paraId="6A298034"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7.5%</w:t>
            </w:r>
            <w:r>
              <w:rPr>
                <w:rFonts w:eastAsia="Times New Roman" w:cstheme="minorHAnsi"/>
                <w:color w:val="000000"/>
                <w:sz w:val="16"/>
                <w:szCs w:val="16"/>
                <w:lang w:eastAsia="en-GB"/>
              </w:rPr>
              <w:t xml:space="preserve"> (58 mmol/mol)</w:t>
            </w:r>
          </w:p>
        </w:tc>
        <w:tc>
          <w:tcPr>
            <w:tcW w:w="1424" w:type="pct"/>
            <w:tcBorders>
              <w:top w:val="nil"/>
              <w:left w:val="nil"/>
              <w:bottom w:val="nil"/>
              <w:right w:val="nil"/>
            </w:tcBorders>
            <w:shd w:val="clear" w:color="auto" w:fill="auto"/>
            <w:noWrap/>
            <w:vAlign w:val="bottom"/>
            <w:hideMark/>
          </w:tcPr>
          <w:p w14:paraId="5528340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2,998 (30.1%)</w:t>
            </w:r>
          </w:p>
        </w:tc>
        <w:tc>
          <w:tcPr>
            <w:tcW w:w="815" w:type="pct"/>
            <w:tcBorders>
              <w:top w:val="nil"/>
              <w:left w:val="nil"/>
              <w:bottom w:val="nil"/>
              <w:right w:val="nil"/>
            </w:tcBorders>
            <w:shd w:val="clear" w:color="auto" w:fill="auto"/>
            <w:noWrap/>
            <w:vAlign w:val="bottom"/>
            <w:hideMark/>
          </w:tcPr>
          <w:p w14:paraId="0260513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672 (30.7%)</w:t>
            </w:r>
          </w:p>
        </w:tc>
        <w:tc>
          <w:tcPr>
            <w:tcW w:w="772" w:type="pct"/>
            <w:tcBorders>
              <w:top w:val="nil"/>
              <w:left w:val="nil"/>
              <w:bottom w:val="nil"/>
              <w:right w:val="nil"/>
            </w:tcBorders>
            <w:shd w:val="clear" w:color="auto" w:fill="auto"/>
            <w:noWrap/>
            <w:vAlign w:val="bottom"/>
            <w:hideMark/>
          </w:tcPr>
          <w:p w14:paraId="4418D46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2,326 (29.9%)</w:t>
            </w:r>
          </w:p>
        </w:tc>
      </w:tr>
      <w:tr w:rsidR="008A474E" w:rsidRPr="005865EB" w14:paraId="22340B12" w14:textId="77777777" w:rsidTr="008A474E">
        <w:trPr>
          <w:trHeight w:val="300"/>
        </w:trPr>
        <w:tc>
          <w:tcPr>
            <w:tcW w:w="1989" w:type="pct"/>
            <w:tcBorders>
              <w:top w:val="nil"/>
              <w:left w:val="nil"/>
              <w:bottom w:val="nil"/>
              <w:right w:val="nil"/>
            </w:tcBorders>
            <w:shd w:val="clear" w:color="auto" w:fill="auto"/>
            <w:noWrap/>
            <w:vAlign w:val="bottom"/>
            <w:hideMark/>
          </w:tcPr>
          <w:p w14:paraId="11ED3EA6"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&gt; 7.5%</w:t>
            </w:r>
            <w:r>
              <w:rPr>
                <w:rFonts w:eastAsia="Times New Roman" w:cstheme="minorHAnsi"/>
                <w:color w:val="000000"/>
                <w:sz w:val="16"/>
                <w:szCs w:val="16"/>
                <w:lang w:eastAsia="en-GB"/>
              </w:rPr>
              <w:t xml:space="preserve"> (58 mmol/mol)</w:t>
            </w:r>
          </w:p>
        </w:tc>
        <w:tc>
          <w:tcPr>
            <w:tcW w:w="1424" w:type="pct"/>
            <w:tcBorders>
              <w:top w:val="nil"/>
              <w:left w:val="nil"/>
              <w:bottom w:val="nil"/>
              <w:right w:val="nil"/>
            </w:tcBorders>
            <w:shd w:val="clear" w:color="auto" w:fill="auto"/>
            <w:noWrap/>
            <w:vAlign w:val="bottom"/>
            <w:hideMark/>
          </w:tcPr>
          <w:p w14:paraId="5589135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2,188 (22.0%)</w:t>
            </w:r>
          </w:p>
        </w:tc>
        <w:tc>
          <w:tcPr>
            <w:tcW w:w="815" w:type="pct"/>
            <w:tcBorders>
              <w:top w:val="nil"/>
              <w:left w:val="nil"/>
              <w:bottom w:val="nil"/>
              <w:right w:val="nil"/>
            </w:tcBorders>
            <w:shd w:val="clear" w:color="auto" w:fill="auto"/>
            <w:noWrap/>
            <w:vAlign w:val="bottom"/>
            <w:hideMark/>
          </w:tcPr>
          <w:p w14:paraId="06B7AA7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460 (21.0%)</w:t>
            </w:r>
          </w:p>
        </w:tc>
        <w:tc>
          <w:tcPr>
            <w:tcW w:w="772" w:type="pct"/>
            <w:tcBorders>
              <w:top w:val="nil"/>
              <w:left w:val="nil"/>
              <w:bottom w:val="nil"/>
              <w:right w:val="nil"/>
            </w:tcBorders>
            <w:shd w:val="clear" w:color="auto" w:fill="auto"/>
            <w:noWrap/>
            <w:vAlign w:val="bottom"/>
            <w:hideMark/>
          </w:tcPr>
          <w:p w14:paraId="4F12E04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1,728 (22.2%)</w:t>
            </w:r>
          </w:p>
        </w:tc>
      </w:tr>
      <w:tr w:rsidR="008A474E" w:rsidRPr="005865EB" w14:paraId="66578897" w14:textId="77777777" w:rsidTr="008A474E">
        <w:trPr>
          <w:trHeight w:val="300"/>
        </w:trPr>
        <w:tc>
          <w:tcPr>
            <w:tcW w:w="1989" w:type="pct"/>
            <w:tcBorders>
              <w:top w:val="nil"/>
              <w:left w:val="nil"/>
              <w:bottom w:val="nil"/>
              <w:right w:val="nil"/>
            </w:tcBorders>
            <w:shd w:val="clear" w:color="auto" w:fill="auto"/>
            <w:noWrap/>
            <w:vAlign w:val="bottom"/>
            <w:hideMark/>
          </w:tcPr>
          <w:p w14:paraId="4199793F"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nil"/>
              <w:right w:val="nil"/>
            </w:tcBorders>
            <w:shd w:val="clear" w:color="auto" w:fill="auto"/>
            <w:noWrap/>
            <w:vAlign w:val="bottom"/>
            <w:hideMark/>
          </w:tcPr>
          <w:p w14:paraId="37CD393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4,779 (48.0%)</w:t>
            </w:r>
          </w:p>
        </w:tc>
        <w:tc>
          <w:tcPr>
            <w:tcW w:w="815" w:type="pct"/>
            <w:tcBorders>
              <w:top w:val="nil"/>
              <w:left w:val="nil"/>
              <w:bottom w:val="nil"/>
              <w:right w:val="nil"/>
            </w:tcBorders>
            <w:shd w:val="clear" w:color="auto" w:fill="auto"/>
            <w:noWrap/>
            <w:vAlign w:val="bottom"/>
            <w:hideMark/>
          </w:tcPr>
          <w:p w14:paraId="57187F7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1,060 (48.4%)</w:t>
            </w:r>
          </w:p>
        </w:tc>
        <w:tc>
          <w:tcPr>
            <w:tcW w:w="772" w:type="pct"/>
            <w:tcBorders>
              <w:top w:val="nil"/>
              <w:left w:val="nil"/>
              <w:bottom w:val="nil"/>
              <w:right w:val="nil"/>
            </w:tcBorders>
            <w:shd w:val="clear" w:color="auto" w:fill="auto"/>
            <w:noWrap/>
            <w:vAlign w:val="bottom"/>
            <w:hideMark/>
          </w:tcPr>
          <w:p w14:paraId="61DFEB6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3,719 (47.9%)</w:t>
            </w:r>
          </w:p>
        </w:tc>
      </w:tr>
      <w:tr w:rsidR="008A474E" w:rsidRPr="005865EB" w14:paraId="19FCAFFE" w14:textId="77777777" w:rsidTr="008A474E">
        <w:trPr>
          <w:trHeight w:val="300"/>
        </w:trPr>
        <w:tc>
          <w:tcPr>
            <w:tcW w:w="1989" w:type="pct"/>
            <w:tcBorders>
              <w:top w:val="nil"/>
              <w:left w:val="nil"/>
              <w:bottom w:val="nil"/>
              <w:right w:val="nil"/>
            </w:tcBorders>
            <w:shd w:val="clear" w:color="auto" w:fill="auto"/>
            <w:noWrap/>
            <w:vAlign w:val="bottom"/>
            <w:hideMark/>
          </w:tcPr>
          <w:p w14:paraId="471FFA72"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Pr>
                <w:rFonts w:eastAsia="Times New Roman" w:cstheme="minorHAnsi"/>
                <w:color w:val="000000"/>
                <w:sz w:val="16"/>
                <w:szCs w:val="16"/>
                <w:lang w:eastAsia="en-GB"/>
              </w:rPr>
              <w:t xml:space="preserve">Total </w:t>
            </w:r>
            <w:r w:rsidRPr="005865EB">
              <w:rPr>
                <w:rFonts w:eastAsia="Times New Roman" w:cstheme="minorHAnsi"/>
                <w:color w:val="000000"/>
                <w:sz w:val="16"/>
                <w:szCs w:val="16"/>
                <w:lang w:eastAsia="en-GB"/>
              </w:rPr>
              <w:t>Cholesterol (mmol/L), mean (SD)</w:t>
            </w:r>
          </w:p>
        </w:tc>
        <w:tc>
          <w:tcPr>
            <w:tcW w:w="1424" w:type="pct"/>
            <w:tcBorders>
              <w:top w:val="nil"/>
              <w:left w:val="nil"/>
              <w:bottom w:val="nil"/>
              <w:right w:val="nil"/>
            </w:tcBorders>
            <w:shd w:val="clear" w:color="auto" w:fill="auto"/>
            <w:noWrap/>
            <w:vAlign w:val="bottom"/>
            <w:hideMark/>
          </w:tcPr>
          <w:p w14:paraId="30D7CF5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5.30 (1.31)</w:t>
            </w:r>
          </w:p>
        </w:tc>
        <w:tc>
          <w:tcPr>
            <w:tcW w:w="815" w:type="pct"/>
            <w:tcBorders>
              <w:top w:val="nil"/>
              <w:left w:val="nil"/>
              <w:bottom w:val="nil"/>
              <w:right w:val="nil"/>
            </w:tcBorders>
            <w:shd w:val="clear" w:color="auto" w:fill="auto"/>
            <w:noWrap/>
            <w:vAlign w:val="bottom"/>
            <w:hideMark/>
          </w:tcPr>
          <w:p w14:paraId="623A13F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5.36 (1.42)</w:t>
            </w:r>
          </w:p>
        </w:tc>
        <w:tc>
          <w:tcPr>
            <w:tcW w:w="772" w:type="pct"/>
            <w:tcBorders>
              <w:top w:val="nil"/>
              <w:left w:val="nil"/>
              <w:bottom w:val="nil"/>
              <w:right w:val="nil"/>
            </w:tcBorders>
            <w:shd w:val="clear" w:color="auto" w:fill="auto"/>
            <w:noWrap/>
            <w:vAlign w:val="bottom"/>
            <w:hideMark/>
          </w:tcPr>
          <w:p w14:paraId="691D095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5.28 (1.28)</w:t>
            </w:r>
          </w:p>
        </w:tc>
      </w:tr>
      <w:tr w:rsidR="008A474E" w:rsidRPr="005865EB" w14:paraId="239BE84C" w14:textId="77777777" w:rsidTr="008A474E">
        <w:trPr>
          <w:trHeight w:val="300"/>
        </w:trPr>
        <w:tc>
          <w:tcPr>
            <w:tcW w:w="1989" w:type="pct"/>
            <w:tcBorders>
              <w:top w:val="nil"/>
              <w:left w:val="nil"/>
              <w:bottom w:val="nil"/>
              <w:right w:val="nil"/>
            </w:tcBorders>
            <w:shd w:val="clear" w:color="auto" w:fill="auto"/>
            <w:noWrap/>
            <w:vAlign w:val="bottom"/>
            <w:hideMark/>
          </w:tcPr>
          <w:p w14:paraId="0DF86524"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5 mmol/L</w:t>
            </w:r>
          </w:p>
        </w:tc>
        <w:tc>
          <w:tcPr>
            <w:tcW w:w="1424" w:type="pct"/>
            <w:tcBorders>
              <w:top w:val="nil"/>
              <w:left w:val="nil"/>
              <w:bottom w:val="nil"/>
              <w:right w:val="nil"/>
            </w:tcBorders>
            <w:shd w:val="clear" w:color="auto" w:fill="auto"/>
            <w:noWrap/>
            <w:vAlign w:val="bottom"/>
            <w:hideMark/>
          </w:tcPr>
          <w:p w14:paraId="0D4CBC98"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3,477 (34.9%)</w:t>
            </w:r>
          </w:p>
        </w:tc>
        <w:tc>
          <w:tcPr>
            <w:tcW w:w="815" w:type="pct"/>
            <w:tcBorders>
              <w:top w:val="nil"/>
              <w:left w:val="nil"/>
              <w:bottom w:val="nil"/>
              <w:right w:val="nil"/>
            </w:tcBorders>
            <w:shd w:val="clear" w:color="auto" w:fill="auto"/>
            <w:noWrap/>
            <w:vAlign w:val="bottom"/>
            <w:hideMark/>
          </w:tcPr>
          <w:p w14:paraId="53EBD4A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722 (32.9%)</w:t>
            </w:r>
          </w:p>
        </w:tc>
        <w:tc>
          <w:tcPr>
            <w:tcW w:w="772" w:type="pct"/>
            <w:tcBorders>
              <w:top w:val="nil"/>
              <w:left w:val="nil"/>
              <w:bottom w:val="nil"/>
              <w:right w:val="nil"/>
            </w:tcBorders>
            <w:shd w:val="clear" w:color="auto" w:fill="auto"/>
            <w:noWrap/>
            <w:vAlign w:val="bottom"/>
            <w:hideMark/>
          </w:tcPr>
          <w:p w14:paraId="1949144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2,755 (35.4%)</w:t>
            </w:r>
          </w:p>
        </w:tc>
      </w:tr>
      <w:tr w:rsidR="008A474E" w:rsidRPr="005865EB" w14:paraId="62FC0BB4" w14:textId="77777777" w:rsidTr="008A474E">
        <w:trPr>
          <w:trHeight w:val="300"/>
        </w:trPr>
        <w:tc>
          <w:tcPr>
            <w:tcW w:w="1989" w:type="pct"/>
            <w:tcBorders>
              <w:top w:val="nil"/>
              <w:left w:val="nil"/>
              <w:bottom w:val="nil"/>
              <w:right w:val="nil"/>
            </w:tcBorders>
            <w:shd w:val="clear" w:color="auto" w:fill="auto"/>
            <w:noWrap/>
            <w:vAlign w:val="bottom"/>
            <w:hideMark/>
          </w:tcPr>
          <w:p w14:paraId="2F2B72CB"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&gt; 5 mmol/L</w:t>
            </w:r>
          </w:p>
        </w:tc>
        <w:tc>
          <w:tcPr>
            <w:tcW w:w="1424" w:type="pct"/>
            <w:tcBorders>
              <w:top w:val="nil"/>
              <w:left w:val="nil"/>
              <w:bottom w:val="nil"/>
              <w:right w:val="nil"/>
            </w:tcBorders>
            <w:shd w:val="clear" w:color="auto" w:fill="auto"/>
            <w:noWrap/>
            <w:vAlign w:val="bottom"/>
            <w:hideMark/>
          </w:tcPr>
          <w:p w14:paraId="30DF9EA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4,105 (41.2%)</w:t>
            </w:r>
          </w:p>
        </w:tc>
        <w:tc>
          <w:tcPr>
            <w:tcW w:w="815" w:type="pct"/>
            <w:tcBorders>
              <w:top w:val="nil"/>
              <w:left w:val="nil"/>
              <w:bottom w:val="nil"/>
              <w:right w:val="nil"/>
            </w:tcBorders>
            <w:shd w:val="clear" w:color="auto" w:fill="auto"/>
            <w:noWrap/>
            <w:vAlign w:val="bottom"/>
            <w:hideMark/>
          </w:tcPr>
          <w:p w14:paraId="0DD63C6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892 (40.7%)</w:t>
            </w:r>
          </w:p>
        </w:tc>
        <w:tc>
          <w:tcPr>
            <w:tcW w:w="772" w:type="pct"/>
            <w:tcBorders>
              <w:top w:val="nil"/>
              <w:left w:val="nil"/>
              <w:bottom w:val="nil"/>
              <w:right w:val="nil"/>
            </w:tcBorders>
            <w:shd w:val="clear" w:color="auto" w:fill="auto"/>
            <w:noWrap/>
            <w:vAlign w:val="bottom"/>
            <w:hideMark/>
          </w:tcPr>
          <w:p w14:paraId="6ED7AC5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3,213 (41.3%)</w:t>
            </w:r>
          </w:p>
        </w:tc>
      </w:tr>
      <w:tr w:rsidR="008A474E" w:rsidRPr="005865EB" w14:paraId="03D065F9" w14:textId="77777777" w:rsidTr="008A474E">
        <w:trPr>
          <w:trHeight w:val="300"/>
        </w:trPr>
        <w:tc>
          <w:tcPr>
            <w:tcW w:w="1989" w:type="pct"/>
            <w:tcBorders>
              <w:top w:val="nil"/>
              <w:left w:val="nil"/>
              <w:bottom w:val="nil"/>
              <w:right w:val="nil"/>
            </w:tcBorders>
            <w:shd w:val="clear" w:color="auto" w:fill="auto"/>
            <w:noWrap/>
            <w:vAlign w:val="bottom"/>
            <w:hideMark/>
          </w:tcPr>
          <w:p w14:paraId="7A59E0EA"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nil"/>
              <w:right w:val="nil"/>
            </w:tcBorders>
            <w:shd w:val="clear" w:color="auto" w:fill="auto"/>
            <w:noWrap/>
            <w:vAlign w:val="bottom"/>
            <w:hideMark/>
          </w:tcPr>
          <w:p w14:paraId="651659C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2,383 (23.9%)</w:t>
            </w:r>
          </w:p>
        </w:tc>
        <w:tc>
          <w:tcPr>
            <w:tcW w:w="815" w:type="pct"/>
            <w:tcBorders>
              <w:top w:val="nil"/>
              <w:left w:val="nil"/>
              <w:bottom w:val="nil"/>
              <w:right w:val="nil"/>
            </w:tcBorders>
            <w:shd w:val="clear" w:color="auto" w:fill="auto"/>
            <w:noWrap/>
            <w:vAlign w:val="bottom"/>
            <w:hideMark/>
          </w:tcPr>
          <w:p w14:paraId="257E3EE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578 (26.4%)</w:t>
            </w:r>
          </w:p>
        </w:tc>
        <w:tc>
          <w:tcPr>
            <w:tcW w:w="772" w:type="pct"/>
            <w:tcBorders>
              <w:top w:val="nil"/>
              <w:left w:val="nil"/>
              <w:bottom w:val="nil"/>
              <w:right w:val="nil"/>
            </w:tcBorders>
            <w:shd w:val="clear" w:color="auto" w:fill="auto"/>
            <w:noWrap/>
            <w:vAlign w:val="bottom"/>
            <w:hideMark/>
          </w:tcPr>
          <w:p w14:paraId="7740963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1,805 (23.2%)</w:t>
            </w:r>
          </w:p>
        </w:tc>
      </w:tr>
      <w:tr w:rsidR="008A474E" w:rsidRPr="005865EB" w14:paraId="299EC1E2" w14:textId="77777777" w:rsidTr="008A474E">
        <w:trPr>
          <w:trHeight w:val="300"/>
        </w:trPr>
        <w:tc>
          <w:tcPr>
            <w:tcW w:w="1989" w:type="pct"/>
            <w:tcBorders>
              <w:top w:val="nil"/>
              <w:left w:val="nil"/>
              <w:bottom w:val="nil"/>
              <w:right w:val="nil"/>
            </w:tcBorders>
            <w:shd w:val="clear" w:color="auto" w:fill="auto"/>
            <w:noWrap/>
            <w:vAlign w:val="bottom"/>
            <w:hideMark/>
          </w:tcPr>
          <w:p w14:paraId="6CE4C3C4"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BP systolic (mmHg), mean (SD)</w:t>
            </w:r>
          </w:p>
        </w:tc>
        <w:tc>
          <w:tcPr>
            <w:tcW w:w="1424" w:type="pct"/>
            <w:tcBorders>
              <w:top w:val="nil"/>
              <w:left w:val="nil"/>
              <w:bottom w:val="nil"/>
              <w:right w:val="nil"/>
            </w:tcBorders>
            <w:shd w:val="clear" w:color="auto" w:fill="auto"/>
            <w:noWrap/>
            <w:vAlign w:val="bottom"/>
            <w:hideMark/>
          </w:tcPr>
          <w:p w14:paraId="1F372CE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139.17 (18.28)</w:t>
            </w:r>
          </w:p>
        </w:tc>
        <w:tc>
          <w:tcPr>
            <w:tcW w:w="815" w:type="pct"/>
            <w:tcBorders>
              <w:top w:val="nil"/>
              <w:left w:val="nil"/>
              <w:bottom w:val="nil"/>
              <w:right w:val="nil"/>
            </w:tcBorders>
            <w:shd w:val="clear" w:color="auto" w:fill="auto"/>
            <w:noWrap/>
            <w:vAlign w:val="bottom"/>
            <w:hideMark/>
          </w:tcPr>
          <w:p w14:paraId="22C1F5E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135.82 (18.16)</w:t>
            </w:r>
          </w:p>
        </w:tc>
        <w:tc>
          <w:tcPr>
            <w:tcW w:w="772" w:type="pct"/>
            <w:tcBorders>
              <w:top w:val="nil"/>
              <w:left w:val="nil"/>
              <w:bottom w:val="nil"/>
              <w:right w:val="nil"/>
            </w:tcBorders>
            <w:shd w:val="clear" w:color="auto" w:fill="auto"/>
            <w:noWrap/>
            <w:vAlign w:val="bottom"/>
            <w:hideMark/>
          </w:tcPr>
          <w:p w14:paraId="0602846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140.13 (18.21)</w:t>
            </w:r>
          </w:p>
        </w:tc>
      </w:tr>
      <w:tr w:rsidR="008A474E" w:rsidRPr="005865EB" w14:paraId="11BDBB82" w14:textId="77777777" w:rsidTr="008A474E">
        <w:trPr>
          <w:trHeight w:val="300"/>
        </w:trPr>
        <w:tc>
          <w:tcPr>
            <w:tcW w:w="1989" w:type="pct"/>
            <w:tcBorders>
              <w:top w:val="nil"/>
              <w:left w:val="nil"/>
              <w:bottom w:val="nil"/>
              <w:right w:val="nil"/>
            </w:tcBorders>
            <w:shd w:val="clear" w:color="auto" w:fill="auto"/>
            <w:noWrap/>
            <w:vAlign w:val="bottom"/>
            <w:hideMark/>
          </w:tcPr>
          <w:p w14:paraId="4A80B9BE"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140 mmHg</w:t>
            </w:r>
          </w:p>
        </w:tc>
        <w:tc>
          <w:tcPr>
            <w:tcW w:w="1424" w:type="pct"/>
            <w:tcBorders>
              <w:top w:val="nil"/>
              <w:left w:val="nil"/>
              <w:bottom w:val="nil"/>
              <w:right w:val="nil"/>
            </w:tcBorders>
            <w:shd w:val="clear" w:color="auto" w:fill="auto"/>
            <w:noWrap/>
            <w:vAlign w:val="bottom"/>
            <w:hideMark/>
          </w:tcPr>
          <w:p w14:paraId="4762822B"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5,154 (51.7%)</w:t>
            </w:r>
          </w:p>
        </w:tc>
        <w:tc>
          <w:tcPr>
            <w:tcW w:w="815" w:type="pct"/>
            <w:tcBorders>
              <w:top w:val="nil"/>
              <w:left w:val="nil"/>
              <w:bottom w:val="nil"/>
              <w:right w:val="nil"/>
            </w:tcBorders>
            <w:shd w:val="clear" w:color="auto" w:fill="auto"/>
            <w:noWrap/>
            <w:vAlign w:val="bottom"/>
            <w:hideMark/>
          </w:tcPr>
          <w:p w14:paraId="292884CA"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1,280 (58.4%)</w:t>
            </w:r>
          </w:p>
        </w:tc>
        <w:tc>
          <w:tcPr>
            <w:tcW w:w="772" w:type="pct"/>
            <w:tcBorders>
              <w:top w:val="nil"/>
              <w:left w:val="nil"/>
              <w:bottom w:val="nil"/>
              <w:right w:val="nil"/>
            </w:tcBorders>
            <w:shd w:val="clear" w:color="auto" w:fill="auto"/>
            <w:noWrap/>
            <w:vAlign w:val="bottom"/>
            <w:hideMark/>
          </w:tcPr>
          <w:p w14:paraId="127AF2B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3,874 (49.8%)</w:t>
            </w:r>
          </w:p>
        </w:tc>
      </w:tr>
      <w:tr w:rsidR="008A474E" w:rsidRPr="005865EB" w14:paraId="38E575C7" w14:textId="77777777" w:rsidTr="008A474E">
        <w:trPr>
          <w:trHeight w:val="300"/>
        </w:trPr>
        <w:tc>
          <w:tcPr>
            <w:tcW w:w="1989" w:type="pct"/>
            <w:tcBorders>
              <w:top w:val="nil"/>
              <w:left w:val="nil"/>
              <w:bottom w:val="nil"/>
              <w:right w:val="nil"/>
            </w:tcBorders>
            <w:shd w:val="clear" w:color="auto" w:fill="auto"/>
            <w:noWrap/>
            <w:vAlign w:val="bottom"/>
            <w:hideMark/>
          </w:tcPr>
          <w:p w14:paraId="36CF3515"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&gt; 140 mmHg</w:t>
            </w:r>
          </w:p>
        </w:tc>
        <w:tc>
          <w:tcPr>
            <w:tcW w:w="1424" w:type="pct"/>
            <w:tcBorders>
              <w:top w:val="nil"/>
              <w:left w:val="nil"/>
              <w:bottom w:val="nil"/>
              <w:right w:val="nil"/>
            </w:tcBorders>
            <w:shd w:val="clear" w:color="auto" w:fill="auto"/>
            <w:noWrap/>
            <w:vAlign w:val="bottom"/>
            <w:hideMark/>
          </w:tcPr>
          <w:p w14:paraId="46342BB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3,306 (33.2%)</w:t>
            </w:r>
          </w:p>
        </w:tc>
        <w:tc>
          <w:tcPr>
            <w:tcW w:w="815" w:type="pct"/>
            <w:tcBorders>
              <w:top w:val="nil"/>
              <w:left w:val="nil"/>
              <w:bottom w:val="nil"/>
              <w:right w:val="nil"/>
            </w:tcBorders>
            <w:shd w:val="clear" w:color="auto" w:fill="auto"/>
            <w:noWrap/>
            <w:vAlign w:val="bottom"/>
            <w:hideMark/>
          </w:tcPr>
          <w:p w14:paraId="5A7DD116"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605 (27.6%)</w:t>
            </w:r>
          </w:p>
        </w:tc>
        <w:tc>
          <w:tcPr>
            <w:tcW w:w="772" w:type="pct"/>
            <w:tcBorders>
              <w:top w:val="nil"/>
              <w:left w:val="nil"/>
              <w:bottom w:val="nil"/>
              <w:right w:val="nil"/>
            </w:tcBorders>
            <w:shd w:val="clear" w:color="auto" w:fill="auto"/>
            <w:noWrap/>
            <w:vAlign w:val="bottom"/>
            <w:hideMark/>
          </w:tcPr>
          <w:p w14:paraId="27CB2F6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2,701 (34.8%)</w:t>
            </w:r>
          </w:p>
        </w:tc>
      </w:tr>
      <w:tr w:rsidR="008A474E" w:rsidRPr="005865EB" w14:paraId="407FE9F8" w14:textId="77777777" w:rsidTr="008A474E">
        <w:trPr>
          <w:trHeight w:val="300"/>
        </w:trPr>
        <w:tc>
          <w:tcPr>
            <w:tcW w:w="1989" w:type="pct"/>
            <w:tcBorders>
              <w:top w:val="nil"/>
              <w:left w:val="nil"/>
              <w:bottom w:val="nil"/>
              <w:right w:val="nil"/>
            </w:tcBorders>
            <w:shd w:val="clear" w:color="auto" w:fill="auto"/>
            <w:noWrap/>
            <w:vAlign w:val="bottom"/>
            <w:hideMark/>
          </w:tcPr>
          <w:p w14:paraId="55E42F74"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nil"/>
              <w:right w:val="nil"/>
            </w:tcBorders>
            <w:shd w:val="clear" w:color="auto" w:fill="auto"/>
            <w:noWrap/>
            <w:vAlign w:val="bottom"/>
            <w:hideMark/>
          </w:tcPr>
          <w:p w14:paraId="2DFD5F04"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1,505 (15.1%)</w:t>
            </w:r>
          </w:p>
        </w:tc>
        <w:tc>
          <w:tcPr>
            <w:tcW w:w="815" w:type="pct"/>
            <w:tcBorders>
              <w:top w:val="nil"/>
              <w:left w:val="nil"/>
              <w:bottom w:val="nil"/>
              <w:right w:val="nil"/>
            </w:tcBorders>
            <w:shd w:val="clear" w:color="auto" w:fill="auto"/>
            <w:noWrap/>
            <w:vAlign w:val="bottom"/>
            <w:hideMark/>
          </w:tcPr>
          <w:p w14:paraId="6C32E92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307 (14.0%)</w:t>
            </w:r>
          </w:p>
        </w:tc>
        <w:tc>
          <w:tcPr>
            <w:tcW w:w="772" w:type="pct"/>
            <w:tcBorders>
              <w:top w:val="nil"/>
              <w:left w:val="nil"/>
              <w:bottom w:val="nil"/>
              <w:right w:val="nil"/>
            </w:tcBorders>
            <w:shd w:val="clear" w:color="auto" w:fill="auto"/>
            <w:noWrap/>
            <w:vAlign w:val="bottom"/>
            <w:hideMark/>
          </w:tcPr>
          <w:p w14:paraId="7828638C"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1,198 (15.4%)</w:t>
            </w:r>
          </w:p>
        </w:tc>
      </w:tr>
      <w:tr w:rsidR="008A474E" w:rsidRPr="005865EB" w14:paraId="1BEF6B4B" w14:textId="77777777" w:rsidTr="008A474E">
        <w:trPr>
          <w:trHeight w:val="300"/>
        </w:trPr>
        <w:tc>
          <w:tcPr>
            <w:tcW w:w="1989" w:type="pct"/>
            <w:tcBorders>
              <w:top w:val="nil"/>
              <w:left w:val="nil"/>
              <w:bottom w:val="nil"/>
              <w:right w:val="nil"/>
            </w:tcBorders>
            <w:shd w:val="clear" w:color="auto" w:fill="auto"/>
            <w:noWrap/>
            <w:vAlign w:val="bottom"/>
            <w:hideMark/>
          </w:tcPr>
          <w:p w14:paraId="063FAF88" w14:textId="77777777" w:rsidR="008A474E" w:rsidRPr="005865EB" w:rsidRDefault="008A474E" w:rsidP="008A474E">
            <w:pPr>
              <w:spacing w:after="0" w:line="240" w:lineRule="auto"/>
              <w:ind w:firstLineChars="200" w:firstLine="32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BP diastolic (mmHg), mean (SD)</w:t>
            </w:r>
          </w:p>
        </w:tc>
        <w:tc>
          <w:tcPr>
            <w:tcW w:w="1424" w:type="pct"/>
            <w:tcBorders>
              <w:top w:val="nil"/>
              <w:left w:val="nil"/>
              <w:bottom w:val="nil"/>
              <w:right w:val="nil"/>
            </w:tcBorders>
            <w:shd w:val="clear" w:color="auto" w:fill="auto"/>
            <w:noWrap/>
            <w:vAlign w:val="bottom"/>
            <w:hideMark/>
          </w:tcPr>
          <w:p w14:paraId="543D9F1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81.87 (10.72)</w:t>
            </w:r>
          </w:p>
        </w:tc>
        <w:tc>
          <w:tcPr>
            <w:tcW w:w="815" w:type="pct"/>
            <w:tcBorders>
              <w:top w:val="nil"/>
              <w:left w:val="nil"/>
              <w:bottom w:val="nil"/>
              <w:right w:val="nil"/>
            </w:tcBorders>
            <w:shd w:val="clear" w:color="auto" w:fill="auto"/>
            <w:noWrap/>
            <w:vAlign w:val="bottom"/>
            <w:hideMark/>
          </w:tcPr>
          <w:p w14:paraId="5B0E09E7"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81.47 (10.72)</w:t>
            </w:r>
          </w:p>
        </w:tc>
        <w:tc>
          <w:tcPr>
            <w:tcW w:w="772" w:type="pct"/>
            <w:tcBorders>
              <w:top w:val="nil"/>
              <w:left w:val="nil"/>
              <w:bottom w:val="nil"/>
              <w:right w:val="nil"/>
            </w:tcBorders>
            <w:shd w:val="clear" w:color="auto" w:fill="auto"/>
            <w:noWrap/>
            <w:vAlign w:val="bottom"/>
            <w:hideMark/>
          </w:tcPr>
          <w:p w14:paraId="449ED21D"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81.99 (10.71)</w:t>
            </w:r>
          </w:p>
        </w:tc>
      </w:tr>
      <w:tr w:rsidR="008A474E" w:rsidRPr="005865EB" w14:paraId="07950337" w14:textId="77777777" w:rsidTr="008A474E">
        <w:trPr>
          <w:trHeight w:val="300"/>
        </w:trPr>
        <w:tc>
          <w:tcPr>
            <w:tcW w:w="1989" w:type="pct"/>
            <w:tcBorders>
              <w:top w:val="nil"/>
              <w:left w:val="nil"/>
              <w:bottom w:val="nil"/>
              <w:right w:val="nil"/>
            </w:tcBorders>
            <w:shd w:val="clear" w:color="auto" w:fill="auto"/>
            <w:noWrap/>
            <w:vAlign w:val="bottom"/>
            <w:hideMark/>
          </w:tcPr>
          <w:p w14:paraId="4AF3DE08"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Pr>
                <w:rFonts w:eastAsia="Times New Roman" w:cstheme="minorHAnsi"/>
                <w:color w:val="000000"/>
                <w:sz w:val="16"/>
                <w:szCs w:val="16"/>
                <w:lang w:eastAsia="en-GB"/>
              </w:rPr>
              <w:t>≤</w:t>
            </w:r>
            <w:r w:rsidRPr="005865EB">
              <w:rPr>
                <w:rFonts w:eastAsia="Times New Roman" w:cstheme="minorHAnsi"/>
                <w:color w:val="000000"/>
                <w:sz w:val="16"/>
                <w:szCs w:val="16"/>
                <w:lang w:eastAsia="en-GB"/>
              </w:rPr>
              <w:t xml:space="preserve"> 80 mmHg</w:t>
            </w:r>
          </w:p>
        </w:tc>
        <w:tc>
          <w:tcPr>
            <w:tcW w:w="1424" w:type="pct"/>
            <w:tcBorders>
              <w:top w:val="nil"/>
              <w:left w:val="nil"/>
              <w:bottom w:val="nil"/>
              <w:right w:val="nil"/>
            </w:tcBorders>
            <w:shd w:val="clear" w:color="auto" w:fill="auto"/>
            <w:noWrap/>
            <w:vAlign w:val="bottom"/>
            <w:hideMark/>
          </w:tcPr>
          <w:p w14:paraId="0899C52E"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4,391 (44.1%)</w:t>
            </w:r>
          </w:p>
        </w:tc>
        <w:tc>
          <w:tcPr>
            <w:tcW w:w="815" w:type="pct"/>
            <w:tcBorders>
              <w:top w:val="nil"/>
              <w:left w:val="nil"/>
              <w:bottom w:val="nil"/>
              <w:right w:val="nil"/>
            </w:tcBorders>
            <w:shd w:val="clear" w:color="auto" w:fill="auto"/>
            <w:noWrap/>
            <w:vAlign w:val="bottom"/>
            <w:hideMark/>
          </w:tcPr>
          <w:p w14:paraId="0E2E3B3F"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1,011 (46.1%)</w:t>
            </w:r>
          </w:p>
        </w:tc>
        <w:tc>
          <w:tcPr>
            <w:tcW w:w="772" w:type="pct"/>
            <w:tcBorders>
              <w:top w:val="nil"/>
              <w:left w:val="nil"/>
              <w:bottom w:val="nil"/>
              <w:right w:val="nil"/>
            </w:tcBorders>
            <w:shd w:val="clear" w:color="auto" w:fill="auto"/>
            <w:noWrap/>
            <w:vAlign w:val="bottom"/>
            <w:hideMark/>
          </w:tcPr>
          <w:p w14:paraId="1EA3A8F2"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3,380 (43.5%)</w:t>
            </w:r>
          </w:p>
        </w:tc>
      </w:tr>
      <w:tr w:rsidR="008A474E" w:rsidRPr="005865EB" w14:paraId="343128D0" w14:textId="77777777" w:rsidTr="008A474E">
        <w:trPr>
          <w:trHeight w:val="300"/>
        </w:trPr>
        <w:tc>
          <w:tcPr>
            <w:tcW w:w="1989" w:type="pct"/>
            <w:tcBorders>
              <w:top w:val="nil"/>
              <w:left w:val="nil"/>
              <w:bottom w:val="nil"/>
              <w:right w:val="nil"/>
            </w:tcBorders>
            <w:shd w:val="clear" w:color="auto" w:fill="auto"/>
            <w:noWrap/>
            <w:vAlign w:val="bottom"/>
            <w:hideMark/>
          </w:tcPr>
          <w:p w14:paraId="7AA90A67"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&gt; 80 mmHg</w:t>
            </w:r>
          </w:p>
        </w:tc>
        <w:tc>
          <w:tcPr>
            <w:tcW w:w="1424" w:type="pct"/>
            <w:tcBorders>
              <w:top w:val="nil"/>
              <w:left w:val="nil"/>
              <w:bottom w:val="nil"/>
              <w:right w:val="nil"/>
            </w:tcBorders>
            <w:shd w:val="clear" w:color="auto" w:fill="auto"/>
            <w:noWrap/>
            <w:vAlign w:val="bottom"/>
            <w:hideMark/>
          </w:tcPr>
          <w:p w14:paraId="4200FED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4,069 (40.8%)</w:t>
            </w:r>
          </w:p>
        </w:tc>
        <w:tc>
          <w:tcPr>
            <w:tcW w:w="815" w:type="pct"/>
            <w:tcBorders>
              <w:top w:val="nil"/>
              <w:left w:val="nil"/>
              <w:bottom w:val="nil"/>
              <w:right w:val="nil"/>
            </w:tcBorders>
            <w:shd w:val="clear" w:color="auto" w:fill="auto"/>
            <w:noWrap/>
            <w:vAlign w:val="bottom"/>
            <w:hideMark/>
          </w:tcPr>
          <w:p w14:paraId="3B3C52E5"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874 (39.9%)</w:t>
            </w:r>
          </w:p>
        </w:tc>
        <w:tc>
          <w:tcPr>
            <w:tcW w:w="772" w:type="pct"/>
            <w:tcBorders>
              <w:top w:val="nil"/>
              <w:left w:val="nil"/>
              <w:bottom w:val="nil"/>
              <w:right w:val="nil"/>
            </w:tcBorders>
            <w:shd w:val="clear" w:color="auto" w:fill="auto"/>
            <w:noWrap/>
            <w:vAlign w:val="bottom"/>
            <w:hideMark/>
          </w:tcPr>
          <w:p w14:paraId="1444F329"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3,195 (41.1%)</w:t>
            </w:r>
          </w:p>
        </w:tc>
      </w:tr>
      <w:tr w:rsidR="008A474E" w:rsidRPr="005865EB" w14:paraId="55C6B22A" w14:textId="77777777" w:rsidTr="008A474E">
        <w:trPr>
          <w:trHeight w:val="300"/>
        </w:trPr>
        <w:tc>
          <w:tcPr>
            <w:tcW w:w="1989" w:type="pct"/>
            <w:tcBorders>
              <w:top w:val="nil"/>
              <w:left w:val="nil"/>
              <w:bottom w:val="single" w:sz="4" w:space="0" w:color="auto"/>
              <w:right w:val="nil"/>
            </w:tcBorders>
            <w:shd w:val="clear" w:color="auto" w:fill="auto"/>
            <w:noWrap/>
            <w:vAlign w:val="bottom"/>
            <w:hideMark/>
          </w:tcPr>
          <w:p w14:paraId="5CF780E3" w14:textId="77777777" w:rsidR="008A474E" w:rsidRPr="005865EB" w:rsidRDefault="008A474E" w:rsidP="008A474E">
            <w:pPr>
              <w:spacing w:after="0" w:line="240" w:lineRule="auto"/>
              <w:ind w:firstLineChars="400" w:firstLine="640"/>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Missing</w:t>
            </w:r>
          </w:p>
        </w:tc>
        <w:tc>
          <w:tcPr>
            <w:tcW w:w="1424" w:type="pct"/>
            <w:tcBorders>
              <w:top w:val="nil"/>
              <w:left w:val="nil"/>
              <w:bottom w:val="single" w:sz="4" w:space="0" w:color="auto"/>
              <w:right w:val="nil"/>
            </w:tcBorders>
            <w:shd w:val="clear" w:color="auto" w:fill="auto"/>
            <w:noWrap/>
            <w:vAlign w:val="bottom"/>
            <w:hideMark/>
          </w:tcPr>
          <w:p w14:paraId="1E186FB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1,505 (15.1%)</w:t>
            </w:r>
          </w:p>
        </w:tc>
        <w:tc>
          <w:tcPr>
            <w:tcW w:w="815" w:type="pct"/>
            <w:tcBorders>
              <w:top w:val="nil"/>
              <w:left w:val="nil"/>
              <w:bottom w:val="single" w:sz="4" w:space="0" w:color="auto"/>
              <w:right w:val="nil"/>
            </w:tcBorders>
            <w:shd w:val="clear" w:color="auto" w:fill="auto"/>
            <w:noWrap/>
            <w:vAlign w:val="bottom"/>
            <w:hideMark/>
          </w:tcPr>
          <w:p w14:paraId="2A818A01"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307 (14.0%)</w:t>
            </w:r>
          </w:p>
        </w:tc>
        <w:tc>
          <w:tcPr>
            <w:tcW w:w="772" w:type="pct"/>
            <w:tcBorders>
              <w:top w:val="nil"/>
              <w:left w:val="nil"/>
              <w:bottom w:val="single" w:sz="4" w:space="0" w:color="auto"/>
              <w:right w:val="nil"/>
            </w:tcBorders>
            <w:shd w:val="clear" w:color="auto" w:fill="auto"/>
            <w:noWrap/>
            <w:vAlign w:val="bottom"/>
            <w:hideMark/>
          </w:tcPr>
          <w:p w14:paraId="469824C0" w14:textId="77777777" w:rsidR="008A474E" w:rsidRPr="005865EB" w:rsidRDefault="008A474E" w:rsidP="008A474E">
            <w:pPr>
              <w:spacing w:after="0" w:line="240" w:lineRule="auto"/>
              <w:jc w:val="both"/>
              <w:rPr>
                <w:rFonts w:eastAsia="Times New Roman" w:cstheme="minorHAnsi"/>
                <w:color w:val="000000"/>
                <w:sz w:val="16"/>
                <w:szCs w:val="16"/>
                <w:lang w:eastAsia="en-GB"/>
              </w:rPr>
            </w:pPr>
            <w:r w:rsidRPr="005865EB">
              <w:rPr>
                <w:rFonts w:eastAsia="Times New Roman" w:cstheme="minorHAnsi"/>
                <w:color w:val="000000"/>
                <w:sz w:val="16"/>
                <w:szCs w:val="16"/>
                <w:lang w:eastAsia="en-GB"/>
              </w:rPr>
              <w:t>1,198 (15.4%)</w:t>
            </w:r>
          </w:p>
        </w:tc>
      </w:tr>
    </w:tbl>
    <w:p w14:paraId="42ADDBFC" w14:textId="77777777" w:rsidR="008A474E" w:rsidRDefault="008A474E" w:rsidP="008A474E">
      <w:pPr>
        <w:jc w:val="both"/>
        <w:rPr>
          <w:rFonts w:ascii="Times New Roman" w:hAnsi="Times New Roman" w:cs="Times New Roman"/>
        </w:rPr>
        <w:sectPr w:rsidR="008A474E">
          <w:pgSz w:w="11906" w:h="16838"/>
          <w:pgMar w:top="1440" w:right="1440" w:bottom="1440" w:left="1440" w:header="708" w:footer="708" w:gutter="0"/>
          <w:cols w:space="708"/>
          <w:docGrid w:linePitch="360"/>
        </w:sectPr>
      </w:pPr>
    </w:p>
    <w:p w14:paraId="22DD2D83" w14:textId="77777777" w:rsidR="008A474E" w:rsidRPr="001322F7" w:rsidRDefault="008A474E" w:rsidP="008A474E">
      <w:pPr>
        <w:pStyle w:val="Caption"/>
        <w:keepNext/>
        <w:jc w:val="both"/>
        <w:rPr>
          <w:b/>
        </w:rPr>
      </w:pPr>
      <w:r w:rsidRPr="001322F7">
        <w:rPr>
          <w:b/>
        </w:rPr>
        <w:t xml:space="preserve">Table </w:t>
      </w:r>
      <w:r>
        <w:rPr>
          <w:b/>
        </w:rPr>
        <w:t>3</w:t>
      </w:r>
      <w:r w:rsidRPr="001322F7">
        <w:rPr>
          <w:b/>
        </w:rPr>
        <w:t xml:space="preserve">. </w:t>
      </w:r>
      <w:r>
        <w:rPr>
          <w:b/>
        </w:rPr>
        <w:t>Crude</w:t>
      </w:r>
      <w:r w:rsidRPr="001322F7">
        <w:rPr>
          <w:b/>
        </w:rPr>
        <w:t xml:space="preserve"> healthcare use and health outcomes</w:t>
      </w:r>
      <w:r>
        <w:rPr>
          <w:b/>
        </w:rPr>
        <w:t xml:space="preserve"> of participants.</w:t>
      </w:r>
    </w:p>
    <w:tbl>
      <w:tblPr>
        <w:tblW w:w="5000" w:type="pct"/>
        <w:tblLook w:val="04A0" w:firstRow="1" w:lastRow="0" w:firstColumn="1" w:lastColumn="0" w:noHBand="0" w:noVBand="1"/>
      </w:tblPr>
      <w:tblGrid>
        <w:gridCol w:w="3850"/>
        <w:gridCol w:w="771"/>
        <w:gridCol w:w="1026"/>
        <w:gridCol w:w="1797"/>
        <w:gridCol w:w="1798"/>
      </w:tblGrid>
      <w:tr w:rsidR="008A474E" w:rsidRPr="001E53EC" w14:paraId="27A37CCF" w14:textId="77777777" w:rsidTr="008A474E">
        <w:trPr>
          <w:trHeight w:val="558"/>
        </w:trPr>
        <w:tc>
          <w:tcPr>
            <w:tcW w:w="3760" w:type="dxa"/>
            <w:tcBorders>
              <w:top w:val="single" w:sz="4" w:space="0" w:color="auto"/>
              <w:left w:val="nil"/>
              <w:bottom w:val="single" w:sz="4" w:space="0" w:color="auto"/>
              <w:right w:val="nil"/>
            </w:tcBorders>
            <w:shd w:val="clear" w:color="auto" w:fill="auto"/>
            <w:noWrap/>
            <w:vAlign w:val="bottom"/>
            <w:hideMark/>
          </w:tcPr>
          <w:p w14:paraId="1A27C1B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 </w:t>
            </w:r>
          </w:p>
        </w:tc>
        <w:tc>
          <w:tcPr>
            <w:tcW w:w="1755" w:type="dxa"/>
            <w:gridSpan w:val="2"/>
            <w:tcBorders>
              <w:top w:val="single" w:sz="4" w:space="0" w:color="auto"/>
              <w:left w:val="nil"/>
              <w:bottom w:val="single" w:sz="4" w:space="0" w:color="auto"/>
              <w:right w:val="nil"/>
            </w:tcBorders>
            <w:shd w:val="clear" w:color="auto" w:fill="auto"/>
            <w:noWrap/>
            <w:vAlign w:val="bottom"/>
            <w:hideMark/>
          </w:tcPr>
          <w:p w14:paraId="023EB1F8"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Overall</w:t>
            </w:r>
          </w:p>
        </w:tc>
        <w:tc>
          <w:tcPr>
            <w:tcW w:w="1755" w:type="dxa"/>
            <w:tcBorders>
              <w:top w:val="single" w:sz="4" w:space="0" w:color="auto"/>
              <w:left w:val="nil"/>
              <w:bottom w:val="single" w:sz="4" w:space="0" w:color="auto"/>
              <w:right w:val="nil"/>
            </w:tcBorders>
            <w:shd w:val="clear" w:color="auto" w:fill="auto"/>
            <w:vAlign w:val="bottom"/>
            <w:hideMark/>
          </w:tcPr>
          <w:p w14:paraId="3A3E2493" w14:textId="77777777" w:rsidR="008A474E" w:rsidRPr="000D024A"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 xml:space="preserve">Cases </w:t>
            </w:r>
          </w:p>
          <w:p w14:paraId="7D0DFF0E"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(T2DM + SMI)</w:t>
            </w:r>
          </w:p>
        </w:tc>
        <w:tc>
          <w:tcPr>
            <w:tcW w:w="1756" w:type="dxa"/>
            <w:tcBorders>
              <w:top w:val="single" w:sz="4" w:space="0" w:color="auto"/>
              <w:left w:val="nil"/>
              <w:bottom w:val="single" w:sz="4" w:space="0" w:color="auto"/>
              <w:right w:val="nil"/>
            </w:tcBorders>
            <w:shd w:val="clear" w:color="auto" w:fill="auto"/>
            <w:vAlign w:val="bottom"/>
            <w:hideMark/>
          </w:tcPr>
          <w:p w14:paraId="1CFEC342" w14:textId="77777777" w:rsidR="008A474E" w:rsidRPr="000D024A"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 xml:space="preserve">Controls </w:t>
            </w:r>
          </w:p>
          <w:p w14:paraId="74958886"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(T2DM)</w:t>
            </w:r>
          </w:p>
        </w:tc>
      </w:tr>
      <w:tr w:rsidR="008A474E" w:rsidRPr="001E53EC" w14:paraId="27E3F611" w14:textId="77777777" w:rsidTr="008A474E">
        <w:trPr>
          <w:trHeight w:val="300"/>
        </w:trPr>
        <w:tc>
          <w:tcPr>
            <w:tcW w:w="3760" w:type="dxa"/>
            <w:tcBorders>
              <w:top w:val="nil"/>
              <w:left w:val="nil"/>
              <w:bottom w:val="nil"/>
              <w:right w:val="nil"/>
            </w:tcBorders>
            <w:shd w:val="clear" w:color="auto" w:fill="auto"/>
            <w:noWrap/>
            <w:vAlign w:val="bottom"/>
            <w:hideMark/>
          </w:tcPr>
          <w:p w14:paraId="45F7DC0D"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Primary care consultations</w:t>
            </w:r>
            <w:r w:rsidRPr="000D024A">
              <w:rPr>
                <w:rFonts w:ascii="Calibri" w:eastAsia="Times New Roman" w:hAnsi="Calibri" w:cs="Times New Roman"/>
                <w:b/>
                <w:bCs/>
                <w:color w:val="000000"/>
                <w:sz w:val="16"/>
                <w:szCs w:val="16"/>
                <w:lang w:eastAsia="en-GB"/>
              </w:rPr>
              <w:t xml:space="preserve"> (per year)</w:t>
            </w:r>
          </w:p>
        </w:tc>
        <w:tc>
          <w:tcPr>
            <w:tcW w:w="1755" w:type="dxa"/>
            <w:gridSpan w:val="2"/>
            <w:tcBorders>
              <w:top w:val="nil"/>
              <w:left w:val="nil"/>
              <w:bottom w:val="nil"/>
              <w:right w:val="nil"/>
            </w:tcBorders>
            <w:shd w:val="clear" w:color="auto" w:fill="auto"/>
            <w:noWrap/>
            <w:vAlign w:val="bottom"/>
            <w:hideMark/>
          </w:tcPr>
          <w:p w14:paraId="50C1CA2B"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3575BF98"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0143FA3F"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029BFF71" w14:textId="77777777" w:rsidTr="008A474E">
        <w:trPr>
          <w:trHeight w:val="300"/>
        </w:trPr>
        <w:tc>
          <w:tcPr>
            <w:tcW w:w="3760" w:type="dxa"/>
            <w:tcBorders>
              <w:top w:val="nil"/>
              <w:left w:val="nil"/>
              <w:bottom w:val="nil"/>
              <w:right w:val="nil"/>
            </w:tcBorders>
            <w:shd w:val="clear" w:color="auto" w:fill="auto"/>
            <w:noWrap/>
            <w:vAlign w:val="bottom"/>
            <w:hideMark/>
          </w:tcPr>
          <w:p w14:paraId="6F639FF9"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0D024A">
              <w:rPr>
                <w:rFonts w:ascii="Calibri" w:eastAsia="Times New Roman" w:hAnsi="Calibri" w:cs="Times New Roman"/>
                <w:color w:val="000000"/>
                <w:sz w:val="16"/>
                <w:szCs w:val="16"/>
                <w:lang w:eastAsia="en-GB"/>
              </w:rPr>
              <w:t>Overall</w:t>
            </w:r>
          </w:p>
        </w:tc>
        <w:tc>
          <w:tcPr>
            <w:tcW w:w="1755" w:type="dxa"/>
            <w:gridSpan w:val="2"/>
            <w:tcBorders>
              <w:top w:val="nil"/>
              <w:left w:val="nil"/>
              <w:bottom w:val="nil"/>
              <w:right w:val="nil"/>
            </w:tcBorders>
            <w:shd w:val="clear" w:color="auto" w:fill="auto"/>
            <w:noWrap/>
            <w:vAlign w:val="bottom"/>
            <w:hideMark/>
          </w:tcPr>
          <w:p w14:paraId="5BFD08D5"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1548AEDF"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20694C2C"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4C2483BE" w14:textId="77777777" w:rsidTr="008A474E">
        <w:trPr>
          <w:trHeight w:val="300"/>
        </w:trPr>
        <w:tc>
          <w:tcPr>
            <w:tcW w:w="3760" w:type="dxa"/>
            <w:tcBorders>
              <w:top w:val="nil"/>
              <w:left w:val="nil"/>
              <w:bottom w:val="nil"/>
              <w:right w:val="nil"/>
            </w:tcBorders>
            <w:shd w:val="clear" w:color="auto" w:fill="auto"/>
            <w:noWrap/>
            <w:vAlign w:val="bottom"/>
            <w:hideMark/>
          </w:tcPr>
          <w:p w14:paraId="35A34228"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532DC389"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11.72 (10.05)</w:t>
            </w:r>
          </w:p>
        </w:tc>
        <w:tc>
          <w:tcPr>
            <w:tcW w:w="1755" w:type="dxa"/>
            <w:tcBorders>
              <w:top w:val="nil"/>
              <w:left w:val="nil"/>
              <w:bottom w:val="nil"/>
              <w:right w:val="nil"/>
            </w:tcBorders>
            <w:shd w:val="clear" w:color="auto" w:fill="auto"/>
            <w:noWrap/>
            <w:vAlign w:val="bottom"/>
            <w:hideMark/>
          </w:tcPr>
          <w:p w14:paraId="1DB348CC"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13.65 (10.07)</w:t>
            </w:r>
          </w:p>
        </w:tc>
        <w:tc>
          <w:tcPr>
            <w:tcW w:w="1756" w:type="dxa"/>
            <w:tcBorders>
              <w:top w:val="nil"/>
              <w:left w:val="nil"/>
              <w:bottom w:val="nil"/>
              <w:right w:val="nil"/>
            </w:tcBorders>
            <w:shd w:val="clear" w:color="auto" w:fill="auto"/>
            <w:noWrap/>
            <w:vAlign w:val="bottom"/>
            <w:hideMark/>
          </w:tcPr>
          <w:p w14:paraId="01FC6E6A" w14:textId="77777777" w:rsidR="008A474E" w:rsidRPr="00A34CD4"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11.18 (9.97)</w:t>
            </w:r>
          </w:p>
        </w:tc>
      </w:tr>
      <w:tr w:rsidR="008A474E" w:rsidRPr="001E53EC" w14:paraId="2BDA0BD8" w14:textId="77777777" w:rsidTr="008A474E">
        <w:trPr>
          <w:trHeight w:val="300"/>
        </w:trPr>
        <w:tc>
          <w:tcPr>
            <w:tcW w:w="3760" w:type="dxa"/>
            <w:tcBorders>
              <w:top w:val="nil"/>
              <w:left w:val="nil"/>
              <w:bottom w:val="nil"/>
              <w:right w:val="nil"/>
            </w:tcBorders>
            <w:shd w:val="clear" w:color="auto" w:fill="auto"/>
            <w:noWrap/>
            <w:vAlign w:val="bottom"/>
            <w:hideMark/>
          </w:tcPr>
          <w:p w14:paraId="2FDEE273"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14A218C4"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9.60 (0, 365.30</w:t>
            </w:r>
            <w:r>
              <w:rPr>
                <w:rFonts w:ascii="Calibri" w:hAnsi="Calibri" w:cs="Calibri"/>
                <w:color w:val="000000"/>
                <w:sz w:val="16"/>
                <w:szCs w:val="16"/>
                <w:vertAlign w:val="superscript"/>
              </w:rPr>
              <w:t>a</w:t>
            </w:r>
            <w:r w:rsidRPr="00593579">
              <w:rPr>
                <w:rFonts w:ascii="Calibri" w:hAnsi="Calibri" w:cs="Calibri"/>
                <w:color w:val="000000"/>
                <w:sz w:val="16"/>
                <w:szCs w:val="16"/>
              </w:rPr>
              <w:t>)</w:t>
            </w:r>
          </w:p>
        </w:tc>
        <w:tc>
          <w:tcPr>
            <w:tcW w:w="1755" w:type="dxa"/>
            <w:tcBorders>
              <w:top w:val="nil"/>
              <w:left w:val="nil"/>
              <w:bottom w:val="nil"/>
              <w:right w:val="nil"/>
            </w:tcBorders>
            <w:shd w:val="clear" w:color="auto" w:fill="auto"/>
            <w:noWrap/>
            <w:vAlign w:val="bottom"/>
            <w:hideMark/>
          </w:tcPr>
          <w:p w14:paraId="299CD984"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11.10 (0, 113.00)</w:t>
            </w:r>
          </w:p>
        </w:tc>
        <w:tc>
          <w:tcPr>
            <w:tcW w:w="1756" w:type="dxa"/>
            <w:tcBorders>
              <w:top w:val="nil"/>
              <w:left w:val="nil"/>
              <w:bottom w:val="nil"/>
              <w:right w:val="nil"/>
            </w:tcBorders>
            <w:shd w:val="clear" w:color="auto" w:fill="auto"/>
            <w:noWrap/>
            <w:vAlign w:val="bottom"/>
            <w:hideMark/>
          </w:tcPr>
          <w:p w14:paraId="01516D48"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9.20 (0, 365.30</w:t>
            </w:r>
            <w:r>
              <w:rPr>
                <w:rFonts w:ascii="Calibri" w:hAnsi="Calibri" w:cs="Calibri"/>
                <w:color w:val="000000"/>
                <w:sz w:val="16"/>
                <w:szCs w:val="16"/>
                <w:vertAlign w:val="superscript"/>
              </w:rPr>
              <w:t>a</w:t>
            </w:r>
            <w:r w:rsidRPr="00593579">
              <w:rPr>
                <w:rFonts w:ascii="Calibri" w:hAnsi="Calibri" w:cs="Calibri"/>
                <w:color w:val="000000"/>
                <w:sz w:val="16"/>
                <w:szCs w:val="16"/>
              </w:rPr>
              <w:t>)</w:t>
            </w:r>
          </w:p>
        </w:tc>
      </w:tr>
      <w:tr w:rsidR="008A474E" w:rsidRPr="001E53EC" w14:paraId="5ADD8A99" w14:textId="77777777" w:rsidTr="008A474E">
        <w:trPr>
          <w:trHeight w:val="300"/>
        </w:trPr>
        <w:tc>
          <w:tcPr>
            <w:tcW w:w="3760" w:type="dxa"/>
            <w:tcBorders>
              <w:top w:val="nil"/>
              <w:left w:val="nil"/>
              <w:bottom w:val="nil"/>
              <w:right w:val="nil"/>
            </w:tcBorders>
            <w:shd w:val="clear" w:color="auto" w:fill="auto"/>
            <w:noWrap/>
            <w:vAlign w:val="bottom"/>
            <w:hideMark/>
          </w:tcPr>
          <w:p w14:paraId="67052925"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Primary care physicians</w:t>
            </w:r>
          </w:p>
        </w:tc>
        <w:tc>
          <w:tcPr>
            <w:tcW w:w="1755" w:type="dxa"/>
            <w:gridSpan w:val="2"/>
            <w:tcBorders>
              <w:top w:val="nil"/>
              <w:left w:val="nil"/>
              <w:bottom w:val="nil"/>
              <w:right w:val="nil"/>
            </w:tcBorders>
            <w:shd w:val="clear" w:color="auto" w:fill="auto"/>
            <w:noWrap/>
            <w:vAlign w:val="bottom"/>
            <w:hideMark/>
          </w:tcPr>
          <w:p w14:paraId="4C086751"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79705BC0"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667CBFF8"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59AA12E6" w14:textId="77777777" w:rsidTr="008A474E">
        <w:trPr>
          <w:trHeight w:val="300"/>
        </w:trPr>
        <w:tc>
          <w:tcPr>
            <w:tcW w:w="3760" w:type="dxa"/>
            <w:tcBorders>
              <w:top w:val="nil"/>
              <w:left w:val="nil"/>
              <w:bottom w:val="nil"/>
              <w:right w:val="nil"/>
            </w:tcBorders>
            <w:shd w:val="clear" w:color="auto" w:fill="auto"/>
            <w:noWrap/>
            <w:vAlign w:val="bottom"/>
            <w:hideMark/>
          </w:tcPr>
          <w:p w14:paraId="001AF2F1"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24E6B57C"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7.32 (7.77)</w:t>
            </w:r>
          </w:p>
        </w:tc>
        <w:tc>
          <w:tcPr>
            <w:tcW w:w="1755" w:type="dxa"/>
            <w:tcBorders>
              <w:top w:val="nil"/>
              <w:left w:val="nil"/>
              <w:bottom w:val="nil"/>
              <w:right w:val="nil"/>
            </w:tcBorders>
            <w:shd w:val="clear" w:color="auto" w:fill="auto"/>
            <w:noWrap/>
            <w:vAlign w:val="bottom"/>
            <w:hideMark/>
          </w:tcPr>
          <w:p w14:paraId="41CD16C9"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8.98 (7.83)</w:t>
            </w:r>
          </w:p>
        </w:tc>
        <w:tc>
          <w:tcPr>
            <w:tcW w:w="1756" w:type="dxa"/>
            <w:tcBorders>
              <w:top w:val="nil"/>
              <w:left w:val="nil"/>
              <w:bottom w:val="nil"/>
              <w:right w:val="nil"/>
            </w:tcBorders>
            <w:shd w:val="clear" w:color="auto" w:fill="auto"/>
            <w:noWrap/>
            <w:vAlign w:val="bottom"/>
            <w:hideMark/>
          </w:tcPr>
          <w:p w14:paraId="73F002D8"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6.85 (7.69)</w:t>
            </w:r>
          </w:p>
        </w:tc>
      </w:tr>
      <w:tr w:rsidR="008A474E" w:rsidRPr="001E53EC" w14:paraId="5DE77EF6" w14:textId="77777777" w:rsidTr="008A474E">
        <w:trPr>
          <w:trHeight w:val="300"/>
        </w:trPr>
        <w:tc>
          <w:tcPr>
            <w:tcW w:w="3760" w:type="dxa"/>
            <w:tcBorders>
              <w:top w:val="nil"/>
              <w:left w:val="nil"/>
              <w:bottom w:val="nil"/>
              <w:right w:val="nil"/>
            </w:tcBorders>
            <w:shd w:val="clear" w:color="auto" w:fill="auto"/>
            <w:noWrap/>
            <w:vAlign w:val="bottom"/>
            <w:hideMark/>
          </w:tcPr>
          <w:p w14:paraId="6CA3FA43"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69C4CE14"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5.70 (0, 365.30</w:t>
            </w:r>
            <w:r>
              <w:rPr>
                <w:rFonts w:ascii="Calibri" w:hAnsi="Calibri" w:cs="Calibri"/>
                <w:color w:val="000000"/>
                <w:sz w:val="16"/>
                <w:szCs w:val="16"/>
                <w:vertAlign w:val="superscript"/>
              </w:rPr>
              <w:t>a</w:t>
            </w:r>
            <w:r w:rsidRPr="00593579">
              <w:rPr>
                <w:rFonts w:ascii="Calibri" w:hAnsi="Calibri" w:cs="Calibri"/>
                <w:color w:val="000000"/>
                <w:sz w:val="16"/>
                <w:szCs w:val="16"/>
              </w:rPr>
              <w:t>)</w:t>
            </w:r>
          </w:p>
        </w:tc>
        <w:tc>
          <w:tcPr>
            <w:tcW w:w="1755" w:type="dxa"/>
            <w:tcBorders>
              <w:top w:val="nil"/>
              <w:left w:val="nil"/>
              <w:bottom w:val="nil"/>
              <w:right w:val="nil"/>
            </w:tcBorders>
            <w:shd w:val="clear" w:color="auto" w:fill="auto"/>
            <w:noWrap/>
            <w:vAlign w:val="bottom"/>
            <w:hideMark/>
          </w:tcPr>
          <w:p w14:paraId="3E22CB47"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7.10 (0, 91.30)</w:t>
            </w:r>
          </w:p>
        </w:tc>
        <w:tc>
          <w:tcPr>
            <w:tcW w:w="1756" w:type="dxa"/>
            <w:tcBorders>
              <w:top w:val="nil"/>
              <w:left w:val="nil"/>
              <w:bottom w:val="nil"/>
              <w:right w:val="nil"/>
            </w:tcBorders>
            <w:shd w:val="clear" w:color="auto" w:fill="auto"/>
            <w:noWrap/>
            <w:vAlign w:val="bottom"/>
            <w:hideMark/>
          </w:tcPr>
          <w:p w14:paraId="57DD3FDA"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5.30 (0, 365.30</w:t>
            </w:r>
            <w:r>
              <w:rPr>
                <w:rFonts w:ascii="Calibri" w:hAnsi="Calibri" w:cs="Calibri"/>
                <w:color w:val="000000"/>
                <w:sz w:val="16"/>
                <w:szCs w:val="16"/>
                <w:vertAlign w:val="superscript"/>
              </w:rPr>
              <w:t>a</w:t>
            </w:r>
            <w:r w:rsidRPr="00593579">
              <w:rPr>
                <w:rFonts w:ascii="Calibri" w:hAnsi="Calibri" w:cs="Calibri"/>
                <w:color w:val="000000"/>
                <w:sz w:val="16"/>
                <w:szCs w:val="16"/>
              </w:rPr>
              <w:t>)</w:t>
            </w:r>
          </w:p>
        </w:tc>
      </w:tr>
      <w:tr w:rsidR="008A474E" w:rsidRPr="001E53EC" w14:paraId="4657DAB5" w14:textId="77777777" w:rsidTr="008A474E">
        <w:trPr>
          <w:trHeight w:val="300"/>
        </w:trPr>
        <w:tc>
          <w:tcPr>
            <w:tcW w:w="3760" w:type="dxa"/>
            <w:tcBorders>
              <w:top w:val="nil"/>
              <w:left w:val="nil"/>
              <w:bottom w:val="nil"/>
              <w:right w:val="nil"/>
            </w:tcBorders>
            <w:shd w:val="clear" w:color="auto" w:fill="auto"/>
            <w:noWrap/>
            <w:vAlign w:val="bottom"/>
            <w:hideMark/>
          </w:tcPr>
          <w:p w14:paraId="14FE8B5F"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Practice </w:t>
            </w:r>
            <w:r w:rsidRPr="001E53EC">
              <w:rPr>
                <w:rFonts w:ascii="Calibri" w:eastAsia="Times New Roman" w:hAnsi="Calibri" w:cs="Times New Roman"/>
                <w:color w:val="000000"/>
                <w:sz w:val="16"/>
                <w:szCs w:val="16"/>
                <w:lang w:eastAsia="en-GB"/>
              </w:rPr>
              <w:t xml:space="preserve">Nurses </w:t>
            </w:r>
          </w:p>
        </w:tc>
        <w:tc>
          <w:tcPr>
            <w:tcW w:w="1755" w:type="dxa"/>
            <w:gridSpan w:val="2"/>
            <w:tcBorders>
              <w:top w:val="nil"/>
              <w:left w:val="nil"/>
              <w:bottom w:val="nil"/>
              <w:right w:val="nil"/>
            </w:tcBorders>
            <w:shd w:val="clear" w:color="auto" w:fill="auto"/>
            <w:noWrap/>
            <w:vAlign w:val="bottom"/>
            <w:hideMark/>
          </w:tcPr>
          <w:p w14:paraId="0435737D"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119C29D3"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2EFD4BF6"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1805E569" w14:textId="77777777" w:rsidTr="008A474E">
        <w:trPr>
          <w:trHeight w:val="300"/>
        </w:trPr>
        <w:tc>
          <w:tcPr>
            <w:tcW w:w="3760" w:type="dxa"/>
            <w:tcBorders>
              <w:top w:val="nil"/>
              <w:left w:val="nil"/>
              <w:bottom w:val="nil"/>
              <w:right w:val="nil"/>
            </w:tcBorders>
            <w:shd w:val="clear" w:color="auto" w:fill="auto"/>
            <w:noWrap/>
            <w:vAlign w:val="bottom"/>
            <w:hideMark/>
          </w:tcPr>
          <w:p w14:paraId="336E3064"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25432F9E"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4.40 (5.29)</w:t>
            </w:r>
          </w:p>
        </w:tc>
        <w:tc>
          <w:tcPr>
            <w:tcW w:w="1755" w:type="dxa"/>
            <w:tcBorders>
              <w:top w:val="nil"/>
              <w:left w:val="nil"/>
              <w:bottom w:val="nil"/>
              <w:right w:val="nil"/>
            </w:tcBorders>
            <w:shd w:val="clear" w:color="auto" w:fill="auto"/>
            <w:noWrap/>
            <w:vAlign w:val="bottom"/>
            <w:hideMark/>
          </w:tcPr>
          <w:p w14:paraId="1D867839"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4.67 (5.26)</w:t>
            </w:r>
          </w:p>
        </w:tc>
        <w:tc>
          <w:tcPr>
            <w:tcW w:w="1756" w:type="dxa"/>
            <w:tcBorders>
              <w:top w:val="nil"/>
              <w:left w:val="nil"/>
              <w:bottom w:val="nil"/>
              <w:right w:val="nil"/>
            </w:tcBorders>
            <w:shd w:val="clear" w:color="auto" w:fill="auto"/>
            <w:noWrap/>
            <w:vAlign w:val="bottom"/>
            <w:hideMark/>
          </w:tcPr>
          <w:p w14:paraId="4ABEE28C"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4.32 (5.30)</w:t>
            </w:r>
          </w:p>
        </w:tc>
      </w:tr>
      <w:tr w:rsidR="008A474E" w:rsidRPr="001E53EC" w14:paraId="1546FC66" w14:textId="77777777" w:rsidTr="008A474E">
        <w:trPr>
          <w:trHeight w:val="300"/>
        </w:trPr>
        <w:tc>
          <w:tcPr>
            <w:tcW w:w="3760" w:type="dxa"/>
            <w:tcBorders>
              <w:top w:val="nil"/>
              <w:left w:val="nil"/>
              <w:bottom w:val="nil"/>
              <w:right w:val="nil"/>
            </w:tcBorders>
            <w:shd w:val="clear" w:color="auto" w:fill="auto"/>
            <w:noWrap/>
            <w:vAlign w:val="bottom"/>
            <w:hideMark/>
          </w:tcPr>
          <w:p w14:paraId="353EAABD"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4028D3FA"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3.30 (0, 143.40)</w:t>
            </w:r>
          </w:p>
        </w:tc>
        <w:tc>
          <w:tcPr>
            <w:tcW w:w="1755" w:type="dxa"/>
            <w:tcBorders>
              <w:top w:val="nil"/>
              <w:left w:val="nil"/>
              <w:bottom w:val="nil"/>
              <w:right w:val="nil"/>
            </w:tcBorders>
            <w:shd w:val="clear" w:color="auto" w:fill="auto"/>
            <w:noWrap/>
            <w:vAlign w:val="bottom"/>
            <w:hideMark/>
          </w:tcPr>
          <w:p w14:paraId="7958E3F3"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3.40 (0, 68.30)</w:t>
            </w:r>
          </w:p>
        </w:tc>
        <w:tc>
          <w:tcPr>
            <w:tcW w:w="1756" w:type="dxa"/>
            <w:tcBorders>
              <w:top w:val="nil"/>
              <w:left w:val="nil"/>
              <w:bottom w:val="nil"/>
              <w:right w:val="nil"/>
            </w:tcBorders>
            <w:shd w:val="clear" w:color="auto" w:fill="auto"/>
            <w:noWrap/>
            <w:vAlign w:val="bottom"/>
            <w:hideMark/>
          </w:tcPr>
          <w:p w14:paraId="622DE214"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3.20 (0, 143.40)</w:t>
            </w:r>
          </w:p>
        </w:tc>
      </w:tr>
      <w:tr w:rsidR="008A474E" w:rsidRPr="001E53EC" w14:paraId="53754166" w14:textId="77777777" w:rsidTr="008A474E">
        <w:trPr>
          <w:trHeight w:val="300"/>
        </w:trPr>
        <w:tc>
          <w:tcPr>
            <w:tcW w:w="3760" w:type="dxa"/>
            <w:tcBorders>
              <w:top w:val="nil"/>
              <w:left w:val="nil"/>
              <w:bottom w:val="nil"/>
              <w:right w:val="nil"/>
            </w:tcBorders>
            <w:shd w:val="clear" w:color="auto" w:fill="auto"/>
            <w:noWrap/>
            <w:vAlign w:val="bottom"/>
            <w:hideMark/>
          </w:tcPr>
          <w:p w14:paraId="5F4D9471"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Health checks (per year)</w:t>
            </w:r>
          </w:p>
        </w:tc>
        <w:tc>
          <w:tcPr>
            <w:tcW w:w="1755" w:type="dxa"/>
            <w:gridSpan w:val="2"/>
            <w:tcBorders>
              <w:top w:val="nil"/>
              <w:left w:val="nil"/>
              <w:bottom w:val="nil"/>
              <w:right w:val="nil"/>
            </w:tcBorders>
            <w:shd w:val="clear" w:color="auto" w:fill="auto"/>
            <w:noWrap/>
            <w:vAlign w:val="bottom"/>
            <w:hideMark/>
          </w:tcPr>
          <w:p w14:paraId="3E44A684"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6AB4EC45"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39D8F67F"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1166BEAD" w14:textId="77777777" w:rsidTr="008A474E">
        <w:trPr>
          <w:trHeight w:val="300"/>
        </w:trPr>
        <w:tc>
          <w:tcPr>
            <w:tcW w:w="3760" w:type="dxa"/>
            <w:tcBorders>
              <w:top w:val="nil"/>
              <w:left w:val="nil"/>
              <w:bottom w:val="nil"/>
              <w:right w:val="nil"/>
            </w:tcBorders>
            <w:shd w:val="clear" w:color="auto" w:fill="auto"/>
            <w:noWrap/>
            <w:vAlign w:val="bottom"/>
            <w:hideMark/>
          </w:tcPr>
          <w:p w14:paraId="545AC909"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HbA</w:t>
            </w:r>
            <w:r w:rsidRPr="006C7746">
              <w:rPr>
                <w:rFonts w:ascii="Calibri" w:eastAsia="Times New Roman" w:hAnsi="Calibri" w:cs="Times New Roman"/>
                <w:color w:val="000000"/>
                <w:sz w:val="16"/>
                <w:szCs w:val="16"/>
                <w:vertAlign w:val="subscript"/>
                <w:lang w:eastAsia="en-GB"/>
              </w:rPr>
              <w:t>1c</w:t>
            </w:r>
          </w:p>
        </w:tc>
        <w:tc>
          <w:tcPr>
            <w:tcW w:w="1755" w:type="dxa"/>
            <w:gridSpan w:val="2"/>
            <w:tcBorders>
              <w:top w:val="nil"/>
              <w:left w:val="nil"/>
              <w:bottom w:val="nil"/>
              <w:right w:val="nil"/>
            </w:tcBorders>
            <w:shd w:val="clear" w:color="auto" w:fill="auto"/>
            <w:noWrap/>
            <w:vAlign w:val="bottom"/>
            <w:hideMark/>
          </w:tcPr>
          <w:p w14:paraId="39DF3616"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432ABF56"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59FB1BCF"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7EBA313B" w14:textId="77777777" w:rsidTr="008A474E">
        <w:trPr>
          <w:trHeight w:val="300"/>
        </w:trPr>
        <w:tc>
          <w:tcPr>
            <w:tcW w:w="3760" w:type="dxa"/>
            <w:tcBorders>
              <w:top w:val="nil"/>
              <w:left w:val="nil"/>
              <w:bottom w:val="nil"/>
              <w:right w:val="nil"/>
            </w:tcBorders>
            <w:shd w:val="clear" w:color="auto" w:fill="auto"/>
            <w:noWrap/>
            <w:vAlign w:val="bottom"/>
            <w:hideMark/>
          </w:tcPr>
          <w:p w14:paraId="2DADAA99"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7A76687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1.80 (1.16)</w:t>
            </w:r>
          </w:p>
        </w:tc>
        <w:tc>
          <w:tcPr>
            <w:tcW w:w="1755" w:type="dxa"/>
            <w:tcBorders>
              <w:top w:val="nil"/>
              <w:left w:val="nil"/>
              <w:bottom w:val="nil"/>
              <w:right w:val="nil"/>
            </w:tcBorders>
            <w:shd w:val="clear" w:color="auto" w:fill="auto"/>
            <w:noWrap/>
            <w:vAlign w:val="bottom"/>
            <w:hideMark/>
          </w:tcPr>
          <w:p w14:paraId="2B91FED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1.78 (1.27)</w:t>
            </w:r>
          </w:p>
        </w:tc>
        <w:tc>
          <w:tcPr>
            <w:tcW w:w="1756" w:type="dxa"/>
            <w:tcBorders>
              <w:top w:val="nil"/>
              <w:left w:val="nil"/>
              <w:bottom w:val="nil"/>
              <w:right w:val="nil"/>
            </w:tcBorders>
            <w:shd w:val="clear" w:color="auto" w:fill="auto"/>
            <w:noWrap/>
            <w:vAlign w:val="bottom"/>
            <w:hideMark/>
          </w:tcPr>
          <w:p w14:paraId="1AE92EEE"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1.81 (1.13)</w:t>
            </w:r>
          </w:p>
        </w:tc>
      </w:tr>
      <w:tr w:rsidR="008A474E" w:rsidRPr="001E53EC" w14:paraId="6AE12AD0" w14:textId="77777777" w:rsidTr="008A474E">
        <w:trPr>
          <w:trHeight w:val="300"/>
        </w:trPr>
        <w:tc>
          <w:tcPr>
            <w:tcW w:w="3760" w:type="dxa"/>
            <w:tcBorders>
              <w:top w:val="nil"/>
              <w:left w:val="nil"/>
              <w:bottom w:val="nil"/>
              <w:right w:val="nil"/>
            </w:tcBorders>
            <w:shd w:val="clear" w:color="auto" w:fill="auto"/>
            <w:noWrap/>
            <w:vAlign w:val="bottom"/>
            <w:hideMark/>
          </w:tcPr>
          <w:p w14:paraId="47FF9D4B"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34421FA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1.70 (0 - 45.70)</w:t>
            </w:r>
          </w:p>
        </w:tc>
        <w:tc>
          <w:tcPr>
            <w:tcW w:w="1755" w:type="dxa"/>
            <w:tcBorders>
              <w:top w:val="nil"/>
              <w:left w:val="nil"/>
              <w:bottom w:val="nil"/>
              <w:right w:val="nil"/>
            </w:tcBorders>
            <w:shd w:val="clear" w:color="auto" w:fill="auto"/>
            <w:noWrap/>
            <w:vAlign w:val="bottom"/>
            <w:hideMark/>
          </w:tcPr>
          <w:p w14:paraId="67C47E7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1.70 (0 - 28.10)</w:t>
            </w:r>
          </w:p>
        </w:tc>
        <w:tc>
          <w:tcPr>
            <w:tcW w:w="1756" w:type="dxa"/>
            <w:tcBorders>
              <w:top w:val="nil"/>
              <w:left w:val="nil"/>
              <w:bottom w:val="nil"/>
              <w:right w:val="nil"/>
            </w:tcBorders>
            <w:shd w:val="clear" w:color="auto" w:fill="auto"/>
            <w:noWrap/>
            <w:vAlign w:val="bottom"/>
            <w:hideMark/>
          </w:tcPr>
          <w:p w14:paraId="783380CD"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1.70 (0 - 45.70)</w:t>
            </w:r>
          </w:p>
        </w:tc>
      </w:tr>
      <w:tr w:rsidR="008A474E" w:rsidRPr="001E53EC" w14:paraId="66BA29EA" w14:textId="77777777" w:rsidTr="008A474E">
        <w:trPr>
          <w:trHeight w:val="300"/>
        </w:trPr>
        <w:tc>
          <w:tcPr>
            <w:tcW w:w="3760" w:type="dxa"/>
            <w:tcBorders>
              <w:top w:val="nil"/>
              <w:left w:val="nil"/>
              <w:bottom w:val="nil"/>
              <w:right w:val="nil"/>
            </w:tcBorders>
            <w:shd w:val="clear" w:color="auto" w:fill="auto"/>
            <w:noWrap/>
            <w:vAlign w:val="bottom"/>
            <w:hideMark/>
          </w:tcPr>
          <w:p w14:paraId="5B344E98"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Blood pressure</w:t>
            </w:r>
          </w:p>
        </w:tc>
        <w:tc>
          <w:tcPr>
            <w:tcW w:w="1755" w:type="dxa"/>
            <w:gridSpan w:val="2"/>
            <w:tcBorders>
              <w:top w:val="nil"/>
              <w:left w:val="nil"/>
              <w:bottom w:val="nil"/>
              <w:right w:val="nil"/>
            </w:tcBorders>
            <w:shd w:val="clear" w:color="auto" w:fill="auto"/>
            <w:noWrap/>
            <w:vAlign w:val="bottom"/>
            <w:hideMark/>
          </w:tcPr>
          <w:p w14:paraId="00B7FFC1"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2DDB3D1F"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4EC495F8"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3F819FDC" w14:textId="77777777" w:rsidTr="008A474E">
        <w:trPr>
          <w:trHeight w:val="300"/>
        </w:trPr>
        <w:tc>
          <w:tcPr>
            <w:tcW w:w="3760" w:type="dxa"/>
            <w:tcBorders>
              <w:top w:val="nil"/>
              <w:left w:val="nil"/>
              <w:bottom w:val="nil"/>
              <w:right w:val="nil"/>
            </w:tcBorders>
            <w:shd w:val="clear" w:color="auto" w:fill="auto"/>
            <w:noWrap/>
            <w:vAlign w:val="bottom"/>
            <w:hideMark/>
          </w:tcPr>
          <w:p w14:paraId="0EE6DDDD"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49DA1152"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3.01 (4.27)</w:t>
            </w:r>
          </w:p>
        </w:tc>
        <w:tc>
          <w:tcPr>
            <w:tcW w:w="1755" w:type="dxa"/>
            <w:tcBorders>
              <w:top w:val="nil"/>
              <w:left w:val="nil"/>
              <w:bottom w:val="nil"/>
              <w:right w:val="nil"/>
            </w:tcBorders>
            <w:shd w:val="clear" w:color="auto" w:fill="auto"/>
            <w:noWrap/>
            <w:vAlign w:val="bottom"/>
            <w:hideMark/>
          </w:tcPr>
          <w:p w14:paraId="4DD74CCE"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2.93 (2.49)</w:t>
            </w:r>
          </w:p>
        </w:tc>
        <w:tc>
          <w:tcPr>
            <w:tcW w:w="1756" w:type="dxa"/>
            <w:tcBorders>
              <w:top w:val="nil"/>
              <w:left w:val="nil"/>
              <w:bottom w:val="nil"/>
              <w:right w:val="nil"/>
            </w:tcBorders>
            <w:shd w:val="clear" w:color="auto" w:fill="auto"/>
            <w:noWrap/>
            <w:vAlign w:val="bottom"/>
            <w:hideMark/>
          </w:tcPr>
          <w:p w14:paraId="57AA68C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3.03 (4.66)</w:t>
            </w:r>
          </w:p>
        </w:tc>
      </w:tr>
      <w:tr w:rsidR="008A474E" w:rsidRPr="001E53EC" w14:paraId="53DEE668" w14:textId="77777777" w:rsidTr="008A474E">
        <w:trPr>
          <w:trHeight w:val="300"/>
        </w:trPr>
        <w:tc>
          <w:tcPr>
            <w:tcW w:w="3760" w:type="dxa"/>
            <w:tcBorders>
              <w:top w:val="nil"/>
              <w:left w:val="nil"/>
              <w:bottom w:val="nil"/>
              <w:right w:val="nil"/>
            </w:tcBorders>
            <w:shd w:val="clear" w:color="auto" w:fill="auto"/>
            <w:noWrap/>
            <w:vAlign w:val="bottom"/>
            <w:hideMark/>
          </w:tcPr>
          <w:p w14:paraId="6ADE9C67"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7923015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2.60 (0 - 365.3</w:t>
            </w:r>
            <w:r>
              <w:rPr>
                <w:rFonts w:ascii="Calibri" w:eastAsia="Times New Roman" w:hAnsi="Calibri" w:cs="Times New Roman"/>
                <w:color w:val="000000"/>
                <w:sz w:val="16"/>
                <w:szCs w:val="16"/>
                <w:lang w:eastAsia="en-GB"/>
              </w:rPr>
              <w:t>0</w:t>
            </w:r>
            <w:r>
              <w:rPr>
                <w:rFonts w:ascii="Calibri" w:eastAsia="Times New Roman" w:hAnsi="Calibri" w:cs="Times New Roman"/>
                <w:color w:val="000000"/>
                <w:sz w:val="16"/>
                <w:szCs w:val="16"/>
                <w:vertAlign w:val="superscript"/>
                <w:lang w:eastAsia="en-GB"/>
              </w:rPr>
              <w:t>a</w:t>
            </w:r>
            <w:r w:rsidRPr="001E53EC">
              <w:rPr>
                <w:rFonts w:ascii="Calibri" w:eastAsia="Times New Roman" w:hAnsi="Calibri" w:cs="Times New Roman"/>
                <w:color w:val="000000"/>
                <w:sz w:val="16"/>
                <w:szCs w:val="16"/>
                <w:lang w:eastAsia="en-GB"/>
              </w:rPr>
              <w:t>)</w:t>
            </w:r>
          </w:p>
        </w:tc>
        <w:tc>
          <w:tcPr>
            <w:tcW w:w="1755" w:type="dxa"/>
            <w:tcBorders>
              <w:top w:val="nil"/>
              <w:left w:val="nil"/>
              <w:bottom w:val="nil"/>
              <w:right w:val="nil"/>
            </w:tcBorders>
            <w:shd w:val="clear" w:color="auto" w:fill="auto"/>
            <w:noWrap/>
            <w:vAlign w:val="bottom"/>
            <w:hideMark/>
          </w:tcPr>
          <w:p w14:paraId="4EF681D4"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2.50 (0 - 52.20)</w:t>
            </w:r>
          </w:p>
        </w:tc>
        <w:tc>
          <w:tcPr>
            <w:tcW w:w="1756" w:type="dxa"/>
            <w:tcBorders>
              <w:top w:val="nil"/>
              <w:left w:val="nil"/>
              <w:bottom w:val="nil"/>
              <w:right w:val="nil"/>
            </w:tcBorders>
            <w:shd w:val="clear" w:color="auto" w:fill="auto"/>
            <w:noWrap/>
            <w:vAlign w:val="bottom"/>
            <w:hideMark/>
          </w:tcPr>
          <w:p w14:paraId="61DF702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2.60 (0 - 365.3</w:t>
            </w:r>
            <w:r>
              <w:rPr>
                <w:rFonts w:ascii="Calibri" w:eastAsia="Times New Roman" w:hAnsi="Calibri" w:cs="Times New Roman"/>
                <w:color w:val="000000"/>
                <w:sz w:val="16"/>
                <w:szCs w:val="16"/>
                <w:lang w:eastAsia="en-GB"/>
              </w:rPr>
              <w:t>0</w:t>
            </w:r>
            <w:r>
              <w:rPr>
                <w:rFonts w:ascii="Calibri" w:eastAsia="Times New Roman" w:hAnsi="Calibri" w:cs="Times New Roman"/>
                <w:color w:val="000000"/>
                <w:sz w:val="16"/>
                <w:szCs w:val="16"/>
                <w:vertAlign w:val="superscript"/>
                <w:lang w:eastAsia="en-GB"/>
              </w:rPr>
              <w:t>a</w:t>
            </w:r>
            <w:r w:rsidRPr="001E53EC">
              <w:rPr>
                <w:rFonts w:ascii="Calibri" w:eastAsia="Times New Roman" w:hAnsi="Calibri" w:cs="Times New Roman"/>
                <w:color w:val="000000"/>
                <w:sz w:val="16"/>
                <w:szCs w:val="16"/>
                <w:lang w:eastAsia="en-GB"/>
              </w:rPr>
              <w:t>)</w:t>
            </w:r>
          </w:p>
        </w:tc>
      </w:tr>
      <w:tr w:rsidR="008A474E" w:rsidRPr="001E53EC" w14:paraId="2B69F88A" w14:textId="77777777" w:rsidTr="008A474E">
        <w:trPr>
          <w:trHeight w:val="300"/>
        </w:trPr>
        <w:tc>
          <w:tcPr>
            <w:tcW w:w="3760" w:type="dxa"/>
            <w:tcBorders>
              <w:top w:val="nil"/>
              <w:left w:val="nil"/>
              <w:bottom w:val="nil"/>
              <w:right w:val="nil"/>
            </w:tcBorders>
            <w:shd w:val="clear" w:color="auto" w:fill="auto"/>
            <w:noWrap/>
            <w:vAlign w:val="bottom"/>
            <w:hideMark/>
          </w:tcPr>
          <w:p w14:paraId="2939F3E2"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Total </w:t>
            </w:r>
            <w:r w:rsidRPr="001E53EC">
              <w:rPr>
                <w:rFonts w:ascii="Calibri" w:eastAsia="Times New Roman" w:hAnsi="Calibri" w:cs="Times New Roman"/>
                <w:color w:val="000000"/>
                <w:sz w:val="16"/>
                <w:szCs w:val="16"/>
                <w:lang w:eastAsia="en-GB"/>
              </w:rPr>
              <w:t>Cholesterol</w:t>
            </w:r>
          </w:p>
        </w:tc>
        <w:tc>
          <w:tcPr>
            <w:tcW w:w="1755" w:type="dxa"/>
            <w:gridSpan w:val="2"/>
            <w:tcBorders>
              <w:top w:val="nil"/>
              <w:left w:val="nil"/>
              <w:bottom w:val="nil"/>
              <w:right w:val="nil"/>
            </w:tcBorders>
            <w:shd w:val="clear" w:color="auto" w:fill="auto"/>
            <w:noWrap/>
            <w:vAlign w:val="bottom"/>
            <w:hideMark/>
          </w:tcPr>
          <w:p w14:paraId="2F4DDF3F"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597A4BED"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43BFAD59"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0C7CBD83" w14:textId="77777777" w:rsidTr="008A474E">
        <w:trPr>
          <w:trHeight w:val="300"/>
        </w:trPr>
        <w:tc>
          <w:tcPr>
            <w:tcW w:w="3760" w:type="dxa"/>
            <w:tcBorders>
              <w:top w:val="nil"/>
              <w:left w:val="nil"/>
              <w:bottom w:val="nil"/>
              <w:right w:val="nil"/>
            </w:tcBorders>
            <w:shd w:val="clear" w:color="auto" w:fill="auto"/>
            <w:noWrap/>
            <w:vAlign w:val="bottom"/>
            <w:hideMark/>
          </w:tcPr>
          <w:p w14:paraId="1B708B5E"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479F68B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1.35 (0.86)</w:t>
            </w:r>
          </w:p>
        </w:tc>
        <w:tc>
          <w:tcPr>
            <w:tcW w:w="1755" w:type="dxa"/>
            <w:tcBorders>
              <w:top w:val="nil"/>
              <w:left w:val="nil"/>
              <w:bottom w:val="nil"/>
              <w:right w:val="nil"/>
            </w:tcBorders>
            <w:shd w:val="clear" w:color="auto" w:fill="auto"/>
            <w:noWrap/>
            <w:vAlign w:val="bottom"/>
            <w:hideMark/>
          </w:tcPr>
          <w:p w14:paraId="49803C72"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1.38 (0.97)</w:t>
            </w:r>
          </w:p>
        </w:tc>
        <w:tc>
          <w:tcPr>
            <w:tcW w:w="1756" w:type="dxa"/>
            <w:tcBorders>
              <w:top w:val="nil"/>
              <w:left w:val="nil"/>
              <w:bottom w:val="nil"/>
              <w:right w:val="nil"/>
            </w:tcBorders>
            <w:shd w:val="clear" w:color="auto" w:fill="auto"/>
            <w:noWrap/>
            <w:vAlign w:val="bottom"/>
            <w:hideMark/>
          </w:tcPr>
          <w:p w14:paraId="579BBBB4"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1.35 (0.82)</w:t>
            </w:r>
          </w:p>
        </w:tc>
      </w:tr>
      <w:tr w:rsidR="008A474E" w:rsidRPr="001E53EC" w14:paraId="396EA285" w14:textId="77777777" w:rsidTr="008A474E">
        <w:trPr>
          <w:trHeight w:val="300"/>
        </w:trPr>
        <w:tc>
          <w:tcPr>
            <w:tcW w:w="3760" w:type="dxa"/>
            <w:tcBorders>
              <w:top w:val="nil"/>
              <w:left w:val="nil"/>
              <w:bottom w:val="nil"/>
              <w:right w:val="nil"/>
            </w:tcBorders>
            <w:shd w:val="clear" w:color="auto" w:fill="auto"/>
            <w:noWrap/>
            <w:vAlign w:val="bottom"/>
            <w:hideMark/>
          </w:tcPr>
          <w:p w14:paraId="287F0B41"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2CDF8D16"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1.30 (0 - 26.10)</w:t>
            </w:r>
          </w:p>
        </w:tc>
        <w:tc>
          <w:tcPr>
            <w:tcW w:w="1755" w:type="dxa"/>
            <w:tcBorders>
              <w:top w:val="nil"/>
              <w:left w:val="nil"/>
              <w:bottom w:val="nil"/>
              <w:right w:val="nil"/>
            </w:tcBorders>
            <w:shd w:val="clear" w:color="auto" w:fill="auto"/>
            <w:noWrap/>
            <w:vAlign w:val="bottom"/>
            <w:hideMark/>
          </w:tcPr>
          <w:p w14:paraId="173461FB"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1.30 (0 - 26.10)</w:t>
            </w:r>
          </w:p>
        </w:tc>
        <w:tc>
          <w:tcPr>
            <w:tcW w:w="1756" w:type="dxa"/>
            <w:tcBorders>
              <w:top w:val="nil"/>
              <w:left w:val="nil"/>
              <w:bottom w:val="nil"/>
              <w:right w:val="nil"/>
            </w:tcBorders>
            <w:shd w:val="clear" w:color="auto" w:fill="auto"/>
            <w:noWrap/>
            <w:vAlign w:val="bottom"/>
            <w:hideMark/>
          </w:tcPr>
          <w:p w14:paraId="4F9F9D9E"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1.30 (0 - 13.50)</w:t>
            </w:r>
          </w:p>
        </w:tc>
      </w:tr>
      <w:tr w:rsidR="008A474E" w:rsidRPr="001E53EC" w14:paraId="42920EA6" w14:textId="77777777" w:rsidTr="008A474E">
        <w:trPr>
          <w:trHeight w:val="300"/>
        </w:trPr>
        <w:tc>
          <w:tcPr>
            <w:tcW w:w="3760" w:type="dxa"/>
            <w:tcBorders>
              <w:top w:val="nil"/>
              <w:left w:val="nil"/>
              <w:bottom w:val="nil"/>
              <w:right w:val="nil"/>
            </w:tcBorders>
            <w:shd w:val="clear" w:color="auto" w:fill="auto"/>
            <w:noWrap/>
            <w:vAlign w:val="bottom"/>
            <w:hideMark/>
          </w:tcPr>
          <w:p w14:paraId="645DA646"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BMI</w:t>
            </w:r>
          </w:p>
        </w:tc>
        <w:tc>
          <w:tcPr>
            <w:tcW w:w="1755" w:type="dxa"/>
            <w:gridSpan w:val="2"/>
            <w:tcBorders>
              <w:top w:val="nil"/>
              <w:left w:val="nil"/>
              <w:bottom w:val="nil"/>
              <w:right w:val="nil"/>
            </w:tcBorders>
            <w:shd w:val="clear" w:color="auto" w:fill="auto"/>
            <w:noWrap/>
            <w:vAlign w:val="bottom"/>
            <w:hideMark/>
          </w:tcPr>
          <w:p w14:paraId="77C0C316"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p>
        </w:tc>
        <w:tc>
          <w:tcPr>
            <w:tcW w:w="1755" w:type="dxa"/>
            <w:tcBorders>
              <w:top w:val="nil"/>
              <w:left w:val="nil"/>
              <w:bottom w:val="nil"/>
              <w:right w:val="nil"/>
            </w:tcBorders>
            <w:shd w:val="clear" w:color="auto" w:fill="auto"/>
            <w:noWrap/>
            <w:vAlign w:val="bottom"/>
            <w:hideMark/>
          </w:tcPr>
          <w:p w14:paraId="39092644"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c>
          <w:tcPr>
            <w:tcW w:w="1756" w:type="dxa"/>
            <w:tcBorders>
              <w:top w:val="nil"/>
              <w:left w:val="nil"/>
              <w:bottom w:val="nil"/>
              <w:right w:val="nil"/>
            </w:tcBorders>
            <w:shd w:val="clear" w:color="auto" w:fill="auto"/>
            <w:noWrap/>
            <w:vAlign w:val="bottom"/>
            <w:hideMark/>
          </w:tcPr>
          <w:p w14:paraId="2F0DE189" w14:textId="77777777" w:rsidR="008A474E" w:rsidRPr="001E53EC"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1E53EC" w14:paraId="7A0F305A" w14:textId="77777777" w:rsidTr="008A474E">
        <w:trPr>
          <w:trHeight w:val="300"/>
        </w:trPr>
        <w:tc>
          <w:tcPr>
            <w:tcW w:w="3760" w:type="dxa"/>
            <w:tcBorders>
              <w:top w:val="nil"/>
              <w:left w:val="nil"/>
              <w:bottom w:val="nil"/>
              <w:right w:val="nil"/>
            </w:tcBorders>
            <w:shd w:val="clear" w:color="auto" w:fill="auto"/>
            <w:noWrap/>
            <w:vAlign w:val="bottom"/>
            <w:hideMark/>
          </w:tcPr>
          <w:p w14:paraId="7848D3E3"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Mean (SD)</w:t>
            </w:r>
          </w:p>
        </w:tc>
        <w:tc>
          <w:tcPr>
            <w:tcW w:w="1755" w:type="dxa"/>
            <w:gridSpan w:val="2"/>
            <w:tcBorders>
              <w:top w:val="nil"/>
              <w:left w:val="nil"/>
              <w:bottom w:val="nil"/>
              <w:right w:val="nil"/>
            </w:tcBorders>
            <w:shd w:val="clear" w:color="auto" w:fill="auto"/>
            <w:noWrap/>
            <w:vAlign w:val="bottom"/>
            <w:hideMark/>
          </w:tcPr>
          <w:p w14:paraId="1CF5A6A6"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1.98 (4.07)</w:t>
            </w:r>
          </w:p>
        </w:tc>
        <w:tc>
          <w:tcPr>
            <w:tcW w:w="1755" w:type="dxa"/>
            <w:tcBorders>
              <w:top w:val="nil"/>
              <w:left w:val="nil"/>
              <w:bottom w:val="nil"/>
              <w:right w:val="nil"/>
            </w:tcBorders>
            <w:shd w:val="clear" w:color="auto" w:fill="auto"/>
            <w:noWrap/>
            <w:vAlign w:val="bottom"/>
            <w:hideMark/>
          </w:tcPr>
          <w:p w14:paraId="1706F976"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2.08 (1.95)</w:t>
            </w:r>
          </w:p>
        </w:tc>
        <w:tc>
          <w:tcPr>
            <w:tcW w:w="1756" w:type="dxa"/>
            <w:tcBorders>
              <w:top w:val="nil"/>
              <w:left w:val="nil"/>
              <w:bottom w:val="nil"/>
              <w:right w:val="nil"/>
            </w:tcBorders>
            <w:shd w:val="clear" w:color="auto" w:fill="auto"/>
            <w:noWrap/>
            <w:vAlign w:val="bottom"/>
            <w:hideMark/>
          </w:tcPr>
          <w:p w14:paraId="019CDE77"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1.95 (4.49)</w:t>
            </w:r>
          </w:p>
        </w:tc>
      </w:tr>
      <w:tr w:rsidR="008A474E" w:rsidRPr="001E53EC" w14:paraId="6C6F1DBD" w14:textId="77777777" w:rsidTr="008A474E">
        <w:trPr>
          <w:trHeight w:val="300"/>
        </w:trPr>
        <w:tc>
          <w:tcPr>
            <w:tcW w:w="3760" w:type="dxa"/>
            <w:tcBorders>
              <w:top w:val="nil"/>
              <w:left w:val="nil"/>
              <w:bottom w:val="nil"/>
              <w:right w:val="nil"/>
            </w:tcBorders>
            <w:shd w:val="clear" w:color="auto" w:fill="auto"/>
            <w:noWrap/>
            <w:vAlign w:val="bottom"/>
            <w:hideMark/>
          </w:tcPr>
          <w:p w14:paraId="33BEE495" w14:textId="77777777" w:rsidR="008A474E" w:rsidRPr="001E53EC" w:rsidRDefault="008A474E" w:rsidP="008A474E">
            <w:pPr>
              <w:spacing w:after="0" w:line="240" w:lineRule="auto"/>
              <w:ind w:firstLineChars="400" w:firstLine="64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Median (min, max)</w:t>
            </w:r>
          </w:p>
        </w:tc>
        <w:tc>
          <w:tcPr>
            <w:tcW w:w="1755" w:type="dxa"/>
            <w:gridSpan w:val="2"/>
            <w:tcBorders>
              <w:top w:val="nil"/>
              <w:left w:val="nil"/>
              <w:bottom w:val="nil"/>
              <w:right w:val="nil"/>
            </w:tcBorders>
            <w:shd w:val="clear" w:color="auto" w:fill="auto"/>
            <w:noWrap/>
            <w:vAlign w:val="bottom"/>
            <w:hideMark/>
          </w:tcPr>
          <w:p w14:paraId="3D53FF1F"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1.60 (0 - 365.30</w:t>
            </w:r>
            <w:r>
              <w:rPr>
                <w:rFonts w:ascii="Calibri" w:eastAsia="Times New Roman" w:hAnsi="Calibri" w:cs="Times New Roman"/>
                <w:color w:val="000000"/>
                <w:sz w:val="16"/>
                <w:szCs w:val="16"/>
                <w:vertAlign w:val="superscript"/>
                <w:lang w:eastAsia="en-GB"/>
              </w:rPr>
              <w:t>a</w:t>
            </w:r>
            <w:r w:rsidRPr="001E53EC">
              <w:rPr>
                <w:rFonts w:ascii="Calibri" w:eastAsia="Times New Roman" w:hAnsi="Calibri" w:cs="Times New Roman"/>
                <w:color w:val="000000"/>
                <w:sz w:val="16"/>
                <w:szCs w:val="16"/>
                <w:lang w:eastAsia="en-GB"/>
              </w:rPr>
              <w:t>)</w:t>
            </w:r>
          </w:p>
        </w:tc>
        <w:tc>
          <w:tcPr>
            <w:tcW w:w="1755" w:type="dxa"/>
            <w:tcBorders>
              <w:top w:val="nil"/>
              <w:left w:val="nil"/>
              <w:bottom w:val="nil"/>
              <w:right w:val="nil"/>
            </w:tcBorders>
            <w:shd w:val="clear" w:color="auto" w:fill="auto"/>
            <w:noWrap/>
            <w:vAlign w:val="bottom"/>
            <w:hideMark/>
          </w:tcPr>
          <w:p w14:paraId="5A6F1DAE"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1.70 (0 - 30.40)</w:t>
            </w:r>
          </w:p>
        </w:tc>
        <w:tc>
          <w:tcPr>
            <w:tcW w:w="1756" w:type="dxa"/>
            <w:tcBorders>
              <w:top w:val="nil"/>
              <w:left w:val="nil"/>
              <w:bottom w:val="nil"/>
              <w:right w:val="nil"/>
            </w:tcBorders>
            <w:shd w:val="clear" w:color="auto" w:fill="auto"/>
            <w:noWrap/>
            <w:vAlign w:val="bottom"/>
            <w:hideMark/>
          </w:tcPr>
          <w:p w14:paraId="73D278BF"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1.60 (0 - 365.30</w:t>
            </w:r>
            <w:r>
              <w:rPr>
                <w:rFonts w:ascii="Calibri" w:eastAsia="Times New Roman" w:hAnsi="Calibri" w:cs="Times New Roman"/>
                <w:color w:val="000000"/>
                <w:sz w:val="16"/>
                <w:szCs w:val="16"/>
                <w:vertAlign w:val="superscript"/>
                <w:lang w:eastAsia="en-GB"/>
              </w:rPr>
              <w:t>a</w:t>
            </w:r>
            <w:r w:rsidRPr="001E53EC">
              <w:rPr>
                <w:rFonts w:ascii="Calibri" w:eastAsia="Times New Roman" w:hAnsi="Calibri" w:cs="Times New Roman"/>
                <w:color w:val="000000"/>
                <w:sz w:val="16"/>
                <w:szCs w:val="16"/>
                <w:lang w:eastAsia="en-GB"/>
              </w:rPr>
              <w:t>)</w:t>
            </w:r>
          </w:p>
        </w:tc>
      </w:tr>
      <w:tr w:rsidR="008A474E" w:rsidRPr="001E53EC" w14:paraId="79CB8DE7" w14:textId="77777777" w:rsidTr="008A474E">
        <w:trPr>
          <w:trHeight w:val="300"/>
        </w:trPr>
        <w:tc>
          <w:tcPr>
            <w:tcW w:w="3760" w:type="dxa"/>
            <w:tcBorders>
              <w:top w:val="nil"/>
              <w:left w:val="nil"/>
              <w:bottom w:val="nil"/>
              <w:right w:val="nil"/>
            </w:tcBorders>
            <w:shd w:val="clear" w:color="auto" w:fill="auto"/>
            <w:noWrap/>
            <w:vAlign w:val="bottom"/>
            <w:hideMark/>
          </w:tcPr>
          <w:p w14:paraId="7DD4BA4B"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Macrovascular complications (combined), n (%)</w:t>
            </w:r>
          </w:p>
        </w:tc>
        <w:tc>
          <w:tcPr>
            <w:tcW w:w="1755" w:type="dxa"/>
            <w:gridSpan w:val="2"/>
            <w:tcBorders>
              <w:top w:val="nil"/>
              <w:left w:val="nil"/>
              <w:bottom w:val="nil"/>
              <w:right w:val="nil"/>
            </w:tcBorders>
            <w:shd w:val="clear" w:color="auto" w:fill="auto"/>
            <w:noWrap/>
            <w:vAlign w:val="bottom"/>
            <w:hideMark/>
          </w:tcPr>
          <w:p w14:paraId="64FBB8F8"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868 (8.7%)</w:t>
            </w:r>
          </w:p>
        </w:tc>
        <w:tc>
          <w:tcPr>
            <w:tcW w:w="1755" w:type="dxa"/>
            <w:tcBorders>
              <w:top w:val="nil"/>
              <w:left w:val="nil"/>
              <w:bottom w:val="nil"/>
              <w:right w:val="nil"/>
            </w:tcBorders>
            <w:shd w:val="clear" w:color="auto" w:fill="auto"/>
            <w:noWrap/>
            <w:vAlign w:val="bottom"/>
            <w:hideMark/>
          </w:tcPr>
          <w:p w14:paraId="27F3E75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184 (8.4%)</w:t>
            </w:r>
          </w:p>
        </w:tc>
        <w:tc>
          <w:tcPr>
            <w:tcW w:w="1756" w:type="dxa"/>
            <w:tcBorders>
              <w:top w:val="nil"/>
              <w:left w:val="nil"/>
              <w:bottom w:val="nil"/>
              <w:right w:val="nil"/>
            </w:tcBorders>
            <w:shd w:val="clear" w:color="auto" w:fill="auto"/>
            <w:noWrap/>
            <w:vAlign w:val="bottom"/>
            <w:hideMark/>
          </w:tcPr>
          <w:p w14:paraId="52FE1DD6"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684 (8.8%)</w:t>
            </w:r>
          </w:p>
        </w:tc>
      </w:tr>
      <w:tr w:rsidR="008A474E" w:rsidRPr="001E53EC" w14:paraId="319EA553" w14:textId="77777777" w:rsidTr="008A474E">
        <w:trPr>
          <w:trHeight w:val="300"/>
        </w:trPr>
        <w:tc>
          <w:tcPr>
            <w:tcW w:w="3760" w:type="dxa"/>
            <w:tcBorders>
              <w:top w:val="nil"/>
              <w:left w:val="nil"/>
              <w:bottom w:val="nil"/>
              <w:right w:val="nil"/>
            </w:tcBorders>
            <w:shd w:val="clear" w:color="auto" w:fill="auto"/>
            <w:noWrap/>
            <w:vAlign w:val="bottom"/>
            <w:hideMark/>
          </w:tcPr>
          <w:p w14:paraId="110FDE17"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MI</w:t>
            </w:r>
          </w:p>
        </w:tc>
        <w:tc>
          <w:tcPr>
            <w:tcW w:w="1755" w:type="dxa"/>
            <w:gridSpan w:val="2"/>
            <w:tcBorders>
              <w:top w:val="nil"/>
              <w:left w:val="nil"/>
              <w:bottom w:val="nil"/>
              <w:right w:val="nil"/>
            </w:tcBorders>
            <w:shd w:val="clear" w:color="auto" w:fill="auto"/>
            <w:noWrap/>
            <w:vAlign w:val="bottom"/>
            <w:hideMark/>
          </w:tcPr>
          <w:p w14:paraId="28C7E5E8"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344 (3.5%)</w:t>
            </w:r>
          </w:p>
        </w:tc>
        <w:tc>
          <w:tcPr>
            <w:tcW w:w="1755" w:type="dxa"/>
            <w:tcBorders>
              <w:top w:val="nil"/>
              <w:left w:val="nil"/>
              <w:bottom w:val="nil"/>
              <w:right w:val="nil"/>
            </w:tcBorders>
            <w:shd w:val="clear" w:color="auto" w:fill="auto"/>
            <w:noWrap/>
            <w:vAlign w:val="bottom"/>
            <w:hideMark/>
          </w:tcPr>
          <w:p w14:paraId="17CBCF0C"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70 (3.2%)</w:t>
            </w:r>
          </w:p>
        </w:tc>
        <w:tc>
          <w:tcPr>
            <w:tcW w:w="1756" w:type="dxa"/>
            <w:tcBorders>
              <w:top w:val="nil"/>
              <w:left w:val="nil"/>
              <w:bottom w:val="nil"/>
              <w:right w:val="nil"/>
            </w:tcBorders>
            <w:shd w:val="clear" w:color="auto" w:fill="auto"/>
            <w:noWrap/>
            <w:vAlign w:val="bottom"/>
            <w:hideMark/>
          </w:tcPr>
          <w:p w14:paraId="00D2CA1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274 (3.5%)</w:t>
            </w:r>
          </w:p>
        </w:tc>
      </w:tr>
      <w:tr w:rsidR="008A474E" w:rsidRPr="001E53EC" w14:paraId="2846963D" w14:textId="77777777" w:rsidTr="008A474E">
        <w:trPr>
          <w:trHeight w:val="300"/>
        </w:trPr>
        <w:tc>
          <w:tcPr>
            <w:tcW w:w="3760" w:type="dxa"/>
            <w:tcBorders>
              <w:top w:val="nil"/>
              <w:left w:val="nil"/>
              <w:bottom w:val="nil"/>
              <w:right w:val="nil"/>
            </w:tcBorders>
            <w:shd w:val="clear" w:color="auto" w:fill="auto"/>
            <w:noWrap/>
            <w:vAlign w:val="bottom"/>
            <w:hideMark/>
          </w:tcPr>
          <w:p w14:paraId="2E392F01"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PVD</w:t>
            </w:r>
          </w:p>
        </w:tc>
        <w:tc>
          <w:tcPr>
            <w:tcW w:w="1755" w:type="dxa"/>
            <w:gridSpan w:val="2"/>
            <w:tcBorders>
              <w:top w:val="nil"/>
              <w:left w:val="nil"/>
              <w:bottom w:val="nil"/>
              <w:right w:val="nil"/>
            </w:tcBorders>
            <w:shd w:val="clear" w:color="auto" w:fill="auto"/>
            <w:noWrap/>
            <w:vAlign w:val="bottom"/>
            <w:hideMark/>
          </w:tcPr>
          <w:p w14:paraId="62CD142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305 (3.1%)</w:t>
            </w:r>
          </w:p>
        </w:tc>
        <w:tc>
          <w:tcPr>
            <w:tcW w:w="1755" w:type="dxa"/>
            <w:tcBorders>
              <w:top w:val="nil"/>
              <w:left w:val="nil"/>
              <w:bottom w:val="nil"/>
              <w:right w:val="nil"/>
            </w:tcBorders>
            <w:shd w:val="clear" w:color="auto" w:fill="auto"/>
            <w:noWrap/>
            <w:vAlign w:val="bottom"/>
            <w:hideMark/>
          </w:tcPr>
          <w:p w14:paraId="708A71F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58 (2.7%)</w:t>
            </w:r>
          </w:p>
        </w:tc>
        <w:tc>
          <w:tcPr>
            <w:tcW w:w="1756" w:type="dxa"/>
            <w:tcBorders>
              <w:top w:val="nil"/>
              <w:left w:val="nil"/>
              <w:bottom w:val="nil"/>
              <w:right w:val="nil"/>
            </w:tcBorders>
            <w:shd w:val="clear" w:color="auto" w:fill="auto"/>
            <w:noWrap/>
            <w:vAlign w:val="bottom"/>
            <w:hideMark/>
          </w:tcPr>
          <w:p w14:paraId="0A42306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247 (3.2%)</w:t>
            </w:r>
          </w:p>
        </w:tc>
      </w:tr>
      <w:tr w:rsidR="008A474E" w:rsidRPr="001E53EC" w14:paraId="112BD67E" w14:textId="77777777" w:rsidTr="008A474E">
        <w:trPr>
          <w:trHeight w:val="300"/>
        </w:trPr>
        <w:tc>
          <w:tcPr>
            <w:tcW w:w="3760" w:type="dxa"/>
            <w:tcBorders>
              <w:top w:val="nil"/>
              <w:left w:val="nil"/>
              <w:bottom w:val="nil"/>
              <w:right w:val="nil"/>
            </w:tcBorders>
            <w:shd w:val="clear" w:color="auto" w:fill="auto"/>
            <w:noWrap/>
            <w:vAlign w:val="bottom"/>
            <w:hideMark/>
          </w:tcPr>
          <w:p w14:paraId="36FE60F3"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Stroke</w:t>
            </w:r>
          </w:p>
        </w:tc>
        <w:tc>
          <w:tcPr>
            <w:tcW w:w="1755" w:type="dxa"/>
            <w:gridSpan w:val="2"/>
            <w:tcBorders>
              <w:top w:val="nil"/>
              <w:left w:val="nil"/>
              <w:bottom w:val="nil"/>
              <w:right w:val="nil"/>
            </w:tcBorders>
            <w:shd w:val="clear" w:color="auto" w:fill="auto"/>
            <w:noWrap/>
            <w:vAlign w:val="bottom"/>
            <w:hideMark/>
          </w:tcPr>
          <w:p w14:paraId="57DA2C5B"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293 (2.9%)</w:t>
            </w:r>
          </w:p>
        </w:tc>
        <w:tc>
          <w:tcPr>
            <w:tcW w:w="1755" w:type="dxa"/>
            <w:tcBorders>
              <w:top w:val="nil"/>
              <w:left w:val="nil"/>
              <w:bottom w:val="nil"/>
              <w:right w:val="nil"/>
            </w:tcBorders>
            <w:shd w:val="clear" w:color="auto" w:fill="auto"/>
            <w:noWrap/>
            <w:vAlign w:val="bottom"/>
            <w:hideMark/>
          </w:tcPr>
          <w:p w14:paraId="67E49658"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72 (3.3%)</w:t>
            </w:r>
          </w:p>
        </w:tc>
        <w:tc>
          <w:tcPr>
            <w:tcW w:w="1756" w:type="dxa"/>
            <w:tcBorders>
              <w:top w:val="nil"/>
              <w:left w:val="nil"/>
              <w:bottom w:val="nil"/>
              <w:right w:val="nil"/>
            </w:tcBorders>
            <w:shd w:val="clear" w:color="auto" w:fill="auto"/>
            <w:noWrap/>
            <w:vAlign w:val="bottom"/>
            <w:hideMark/>
          </w:tcPr>
          <w:p w14:paraId="47688E67"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221 (2.8%)</w:t>
            </w:r>
          </w:p>
        </w:tc>
      </w:tr>
      <w:tr w:rsidR="008A474E" w:rsidRPr="001E53EC" w14:paraId="650D890D" w14:textId="77777777" w:rsidTr="008A474E">
        <w:trPr>
          <w:trHeight w:val="300"/>
        </w:trPr>
        <w:tc>
          <w:tcPr>
            <w:tcW w:w="3760" w:type="dxa"/>
            <w:tcBorders>
              <w:top w:val="nil"/>
              <w:left w:val="nil"/>
              <w:bottom w:val="nil"/>
              <w:right w:val="nil"/>
            </w:tcBorders>
            <w:shd w:val="clear" w:color="auto" w:fill="auto"/>
            <w:noWrap/>
            <w:vAlign w:val="bottom"/>
            <w:hideMark/>
          </w:tcPr>
          <w:p w14:paraId="59D067C7"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Angina</w:t>
            </w:r>
          </w:p>
        </w:tc>
        <w:tc>
          <w:tcPr>
            <w:tcW w:w="1755" w:type="dxa"/>
            <w:gridSpan w:val="2"/>
            <w:tcBorders>
              <w:top w:val="nil"/>
              <w:left w:val="nil"/>
              <w:bottom w:val="nil"/>
              <w:right w:val="nil"/>
            </w:tcBorders>
            <w:shd w:val="clear" w:color="auto" w:fill="auto"/>
            <w:noWrap/>
            <w:vAlign w:val="bottom"/>
            <w:hideMark/>
          </w:tcPr>
          <w:p w14:paraId="2B2A2C7D"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324 (3.3%)</w:t>
            </w:r>
          </w:p>
        </w:tc>
        <w:tc>
          <w:tcPr>
            <w:tcW w:w="1755" w:type="dxa"/>
            <w:tcBorders>
              <w:top w:val="nil"/>
              <w:left w:val="nil"/>
              <w:bottom w:val="nil"/>
              <w:right w:val="nil"/>
            </w:tcBorders>
            <w:shd w:val="clear" w:color="auto" w:fill="auto"/>
            <w:noWrap/>
            <w:vAlign w:val="bottom"/>
            <w:hideMark/>
          </w:tcPr>
          <w:p w14:paraId="0BF9802B"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55 (2.5%)</w:t>
            </w:r>
          </w:p>
        </w:tc>
        <w:tc>
          <w:tcPr>
            <w:tcW w:w="1756" w:type="dxa"/>
            <w:tcBorders>
              <w:top w:val="nil"/>
              <w:left w:val="nil"/>
              <w:bottom w:val="nil"/>
              <w:right w:val="nil"/>
            </w:tcBorders>
            <w:shd w:val="clear" w:color="auto" w:fill="auto"/>
            <w:noWrap/>
            <w:vAlign w:val="bottom"/>
            <w:hideMark/>
          </w:tcPr>
          <w:p w14:paraId="7DB6B368"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269 (3.5%)</w:t>
            </w:r>
          </w:p>
        </w:tc>
      </w:tr>
      <w:tr w:rsidR="008A474E" w:rsidRPr="001E53EC" w14:paraId="65E6AC8E" w14:textId="77777777" w:rsidTr="008A474E">
        <w:trPr>
          <w:trHeight w:val="300"/>
        </w:trPr>
        <w:tc>
          <w:tcPr>
            <w:tcW w:w="3760" w:type="dxa"/>
            <w:tcBorders>
              <w:top w:val="nil"/>
              <w:left w:val="nil"/>
              <w:bottom w:val="nil"/>
              <w:right w:val="nil"/>
            </w:tcBorders>
            <w:shd w:val="clear" w:color="auto" w:fill="auto"/>
            <w:noWrap/>
            <w:vAlign w:val="bottom"/>
            <w:hideMark/>
          </w:tcPr>
          <w:p w14:paraId="534FA3B2"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Chronic IHD</w:t>
            </w:r>
          </w:p>
        </w:tc>
        <w:tc>
          <w:tcPr>
            <w:tcW w:w="1755" w:type="dxa"/>
            <w:gridSpan w:val="2"/>
            <w:tcBorders>
              <w:top w:val="nil"/>
              <w:left w:val="nil"/>
              <w:bottom w:val="nil"/>
              <w:right w:val="nil"/>
            </w:tcBorders>
            <w:shd w:val="clear" w:color="auto" w:fill="auto"/>
            <w:noWrap/>
            <w:vAlign w:val="bottom"/>
            <w:hideMark/>
          </w:tcPr>
          <w:p w14:paraId="3147B3B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101 (1.0%)</w:t>
            </w:r>
          </w:p>
        </w:tc>
        <w:tc>
          <w:tcPr>
            <w:tcW w:w="1755" w:type="dxa"/>
            <w:tcBorders>
              <w:top w:val="nil"/>
              <w:left w:val="nil"/>
              <w:bottom w:val="nil"/>
              <w:right w:val="nil"/>
            </w:tcBorders>
            <w:shd w:val="clear" w:color="auto" w:fill="auto"/>
            <w:noWrap/>
            <w:vAlign w:val="bottom"/>
            <w:hideMark/>
          </w:tcPr>
          <w:p w14:paraId="26C5407B"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17 (0.8%)</w:t>
            </w:r>
          </w:p>
        </w:tc>
        <w:tc>
          <w:tcPr>
            <w:tcW w:w="1756" w:type="dxa"/>
            <w:tcBorders>
              <w:top w:val="nil"/>
              <w:left w:val="nil"/>
              <w:bottom w:val="nil"/>
              <w:right w:val="nil"/>
            </w:tcBorders>
            <w:shd w:val="clear" w:color="auto" w:fill="auto"/>
            <w:noWrap/>
            <w:vAlign w:val="bottom"/>
            <w:hideMark/>
          </w:tcPr>
          <w:p w14:paraId="7847647B"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84 (1.1%)</w:t>
            </w:r>
          </w:p>
        </w:tc>
      </w:tr>
      <w:tr w:rsidR="008A474E" w:rsidRPr="000D024A" w14:paraId="787A6F7F" w14:textId="77777777" w:rsidTr="008A474E">
        <w:trPr>
          <w:trHeight w:val="300"/>
        </w:trPr>
        <w:tc>
          <w:tcPr>
            <w:tcW w:w="4513" w:type="dxa"/>
            <w:gridSpan w:val="2"/>
            <w:tcBorders>
              <w:top w:val="nil"/>
              <w:left w:val="nil"/>
              <w:bottom w:val="nil"/>
              <w:right w:val="nil"/>
            </w:tcBorders>
            <w:shd w:val="clear" w:color="auto" w:fill="auto"/>
            <w:noWrap/>
            <w:vAlign w:val="bottom"/>
          </w:tcPr>
          <w:p w14:paraId="5D76B6C0" w14:textId="77777777" w:rsidR="008A474E" w:rsidRPr="000D024A" w:rsidRDefault="008A474E" w:rsidP="008A474E">
            <w:pPr>
              <w:spacing w:after="0" w:line="240" w:lineRule="auto"/>
              <w:jc w:val="both"/>
              <w:rPr>
                <w:rFonts w:ascii="Calibri" w:eastAsia="Times New Roman" w:hAnsi="Calibri" w:cs="Times New Roman"/>
                <w:b/>
                <w:bCs/>
                <w:color w:val="000000"/>
                <w:sz w:val="16"/>
                <w:szCs w:val="16"/>
                <w:lang w:eastAsia="en-GB"/>
              </w:rPr>
            </w:pPr>
          </w:p>
        </w:tc>
        <w:tc>
          <w:tcPr>
            <w:tcW w:w="4513" w:type="dxa"/>
            <w:gridSpan w:val="3"/>
            <w:tcBorders>
              <w:top w:val="nil"/>
              <w:left w:val="nil"/>
              <w:bottom w:val="nil"/>
              <w:right w:val="nil"/>
            </w:tcBorders>
            <w:shd w:val="clear" w:color="auto" w:fill="auto"/>
            <w:noWrap/>
            <w:vAlign w:val="bottom"/>
          </w:tcPr>
          <w:p w14:paraId="2E4DC48F" w14:textId="77777777" w:rsidR="008A474E" w:rsidRPr="000D024A" w:rsidRDefault="008A474E" w:rsidP="008A474E">
            <w:pPr>
              <w:spacing w:after="0" w:line="240" w:lineRule="auto"/>
              <w:jc w:val="both"/>
              <w:rPr>
                <w:rFonts w:ascii="Calibri" w:eastAsia="Times New Roman" w:hAnsi="Calibri" w:cs="Times New Roman"/>
                <w:b/>
                <w:bCs/>
                <w:color w:val="000000"/>
                <w:sz w:val="16"/>
                <w:szCs w:val="16"/>
                <w:lang w:eastAsia="en-GB"/>
              </w:rPr>
            </w:pPr>
          </w:p>
        </w:tc>
      </w:tr>
      <w:tr w:rsidR="008A474E" w:rsidRPr="001E53EC" w14:paraId="2FE47FE1" w14:textId="77777777" w:rsidTr="008A474E">
        <w:trPr>
          <w:trHeight w:val="300"/>
        </w:trPr>
        <w:tc>
          <w:tcPr>
            <w:tcW w:w="4513" w:type="dxa"/>
            <w:gridSpan w:val="2"/>
            <w:tcBorders>
              <w:top w:val="nil"/>
              <w:left w:val="nil"/>
              <w:bottom w:val="nil"/>
              <w:right w:val="nil"/>
            </w:tcBorders>
            <w:shd w:val="clear" w:color="auto" w:fill="auto"/>
            <w:noWrap/>
            <w:vAlign w:val="bottom"/>
            <w:hideMark/>
          </w:tcPr>
          <w:p w14:paraId="0C145B45" w14:textId="77777777" w:rsidR="008A474E" w:rsidRPr="000D024A"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Hospital admissions for car</w:t>
            </w:r>
            <w:r w:rsidRPr="000D024A">
              <w:rPr>
                <w:rFonts w:ascii="Calibri" w:eastAsia="Times New Roman" w:hAnsi="Calibri" w:cs="Times New Roman"/>
                <w:b/>
                <w:bCs/>
                <w:color w:val="000000"/>
                <w:sz w:val="16"/>
                <w:szCs w:val="16"/>
                <w:lang w:eastAsia="en-GB"/>
              </w:rPr>
              <w:t xml:space="preserve">diovascular disease </w:t>
            </w:r>
          </w:p>
          <w:p w14:paraId="03FE0A8F"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0D024A">
              <w:rPr>
                <w:rFonts w:ascii="Calibri" w:eastAsia="Times New Roman" w:hAnsi="Calibri" w:cs="Times New Roman"/>
                <w:b/>
                <w:bCs/>
                <w:color w:val="000000"/>
                <w:sz w:val="16"/>
                <w:szCs w:val="16"/>
                <w:lang w:eastAsia="en-GB"/>
              </w:rPr>
              <w:t xml:space="preserve">(per year), </w:t>
            </w:r>
            <w:r w:rsidRPr="001E53EC">
              <w:rPr>
                <w:rFonts w:ascii="Calibri" w:eastAsia="Times New Roman" w:hAnsi="Calibri" w:cs="Times New Roman"/>
                <w:b/>
                <w:bCs/>
                <w:color w:val="000000"/>
                <w:sz w:val="16"/>
                <w:szCs w:val="16"/>
                <w:lang w:eastAsia="en-GB"/>
              </w:rPr>
              <w:t>mean (SD)</w:t>
            </w:r>
          </w:p>
        </w:tc>
        <w:tc>
          <w:tcPr>
            <w:tcW w:w="4513" w:type="dxa"/>
            <w:gridSpan w:val="3"/>
            <w:tcBorders>
              <w:top w:val="nil"/>
              <w:left w:val="nil"/>
              <w:bottom w:val="nil"/>
              <w:right w:val="nil"/>
            </w:tcBorders>
            <w:shd w:val="clear" w:color="auto" w:fill="auto"/>
            <w:noWrap/>
            <w:vAlign w:val="bottom"/>
            <w:hideMark/>
          </w:tcPr>
          <w:p w14:paraId="43E7D508"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p>
        </w:tc>
      </w:tr>
      <w:tr w:rsidR="008A474E" w:rsidRPr="001E53EC" w14:paraId="6A345BF2" w14:textId="77777777" w:rsidTr="008A474E">
        <w:trPr>
          <w:trHeight w:val="300"/>
        </w:trPr>
        <w:tc>
          <w:tcPr>
            <w:tcW w:w="3760" w:type="dxa"/>
            <w:tcBorders>
              <w:top w:val="nil"/>
              <w:left w:val="nil"/>
              <w:bottom w:val="nil"/>
              <w:right w:val="nil"/>
            </w:tcBorders>
            <w:shd w:val="clear" w:color="auto" w:fill="auto"/>
            <w:noWrap/>
            <w:vAlign w:val="bottom"/>
            <w:hideMark/>
          </w:tcPr>
          <w:p w14:paraId="6C0AAAC2"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Emergency</w:t>
            </w:r>
          </w:p>
        </w:tc>
        <w:tc>
          <w:tcPr>
            <w:tcW w:w="1755" w:type="dxa"/>
            <w:gridSpan w:val="2"/>
            <w:tcBorders>
              <w:top w:val="nil"/>
              <w:left w:val="nil"/>
              <w:bottom w:val="nil"/>
              <w:right w:val="nil"/>
            </w:tcBorders>
            <w:shd w:val="clear" w:color="auto" w:fill="auto"/>
            <w:noWrap/>
            <w:vAlign w:val="bottom"/>
            <w:hideMark/>
          </w:tcPr>
          <w:p w14:paraId="7045D46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0.03 (1.20)</w:t>
            </w:r>
          </w:p>
        </w:tc>
        <w:tc>
          <w:tcPr>
            <w:tcW w:w="1755" w:type="dxa"/>
            <w:tcBorders>
              <w:top w:val="nil"/>
              <w:left w:val="nil"/>
              <w:bottom w:val="nil"/>
              <w:right w:val="nil"/>
            </w:tcBorders>
            <w:shd w:val="clear" w:color="auto" w:fill="auto"/>
            <w:noWrap/>
            <w:vAlign w:val="bottom"/>
            <w:hideMark/>
          </w:tcPr>
          <w:p w14:paraId="41F1697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0.03 (0.25)</w:t>
            </w:r>
          </w:p>
        </w:tc>
        <w:tc>
          <w:tcPr>
            <w:tcW w:w="1756" w:type="dxa"/>
            <w:tcBorders>
              <w:top w:val="nil"/>
              <w:left w:val="nil"/>
              <w:bottom w:val="nil"/>
              <w:right w:val="nil"/>
            </w:tcBorders>
            <w:shd w:val="clear" w:color="auto" w:fill="auto"/>
            <w:noWrap/>
            <w:vAlign w:val="bottom"/>
            <w:hideMark/>
          </w:tcPr>
          <w:p w14:paraId="656837DF"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0.02 (0.18)</w:t>
            </w:r>
          </w:p>
        </w:tc>
      </w:tr>
      <w:tr w:rsidR="008A474E" w:rsidRPr="001E53EC" w14:paraId="5C972BBD" w14:textId="77777777" w:rsidTr="008A474E">
        <w:trPr>
          <w:trHeight w:val="300"/>
        </w:trPr>
        <w:tc>
          <w:tcPr>
            <w:tcW w:w="3760" w:type="dxa"/>
            <w:tcBorders>
              <w:top w:val="nil"/>
              <w:left w:val="nil"/>
              <w:bottom w:val="nil"/>
              <w:right w:val="nil"/>
            </w:tcBorders>
            <w:shd w:val="clear" w:color="auto" w:fill="auto"/>
            <w:noWrap/>
            <w:vAlign w:val="bottom"/>
            <w:hideMark/>
          </w:tcPr>
          <w:p w14:paraId="75B84F5E" w14:textId="77777777" w:rsidR="008A474E" w:rsidRPr="001E53EC"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Elective</w:t>
            </w:r>
          </w:p>
        </w:tc>
        <w:tc>
          <w:tcPr>
            <w:tcW w:w="1755" w:type="dxa"/>
            <w:gridSpan w:val="2"/>
            <w:tcBorders>
              <w:top w:val="nil"/>
              <w:left w:val="nil"/>
              <w:bottom w:val="nil"/>
              <w:right w:val="nil"/>
            </w:tcBorders>
            <w:shd w:val="clear" w:color="auto" w:fill="auto"/>
            <w:noWrap/>
            <w:vAlign w:val="bottom"/>
            <w:hideMark/>
          </w:tcPr>
          <w:p w14:paraId="3AC9BE0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(0.15)</w:t>
            </w:r>
          </w:p>
        </w:tc>
        <w:tc>
          <w:tcPr>
            <w:tcW w:w="1755" w:type="dxa"/>
            <w:tcBorders>
              <w:top w:val="nil"/>
              <w:left w:val="nil"/>
              <w:bottom w:val="nil"/>
              <w:right w:val="nil"/>
            </w:tcBorders>
            <w:shd w:val="clear" w:color="auto" w:fill="auto"/>
            <w:noWrap/>
            <w:vAlign w:val="bottom"/>
            <w:hideMark/>
          </w:tcPr>
          <w:p w14:paraId="688C46E5"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(0.05)</w:t>
            </w:r>
          </w:p>
        </w:tc>
        <w:tc>
          <w:tcPr>
            <w:tcW w:w="1756" w:type="dxa"/>
            <w:tcBorders>
              <w:top w:val="nil"/>
              <w:left w:val="nil"/>
              <w:bottom w:val="nil"/>
              <w:right w:val="nil"/>
            </w:tcBorders>
            <w:shd w:val="clear" w:color="auto" w:fill="auto"/>
            <w:noWrap/>
            <w:vAlign w:val="bottom"/>
            <w:hideMark/>
          </w:tcPr>
          <w:p w14:paraId="6888A10C"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(0.16)</w:t>
            </w:r>
          </w:p>
        </w:tc>
      </w:tr>
      <w:tr w:rsidR="008A474E" w:rsidRPr="001E53EC" w14:paraId="305A8A4C" w14:textId="77777777" w:rsidTr="008A474E">
        <w:trPr>
          <w:trHeight w:val="300"/>
        </w:trPr>
        <w:tc>
          <w:tcPr>
            <w:tcW w:w="3760" w:type="dxa"/>
            <w:tcBorders>
              <w:top w:val="nil"/>
              <w:left w:val="nil"/>
              <w:bottom w:val="nil"/>
              <w:right w:val="nil"/>
            </w:tcBorders>
            <w:shd w:val="clear" w:color="auto" w:fill="auto"/>
            <w:noWrap/>
            <w:vAlign w:val="bottom"/>
            <w:hideMark/>
          </w:tcPr>
          <w:p w14:paraId="2E75DE75" w14:textId="77777777" w:rsidR="008A474E" w:rsidRPr="00D40399" w:rsidRDefault="008A474E" w:rsidP="008A474E">
            <w:pPr>
              <w:spacing w:after="0" w:line="240" w:lineRule="auto"/>
              <w:ind w:firstLineChars="200" w:firstLine="320"/>
              <w:jc w:val="both"/>
              <w:rPr>
                <w:rFonts w:ascii="Calibri" w:eastAsia="Times New Roman" w:hAnsi="Calibri" w:cs="Times New Roman"/>
                <w:color w:val="000000"/>
                <w:sz w:val="16"/>
                <w:szCs w:val="16"/>
                <w:vertAlign w:val="superscript"/>
                <w:lang w:eastAsia="en-GB"/>
              </w:rPr>
            </w:pPr>
            <w:r w:rsidRPr="001E53EC">
              <w:rPr>
                <w:rFonts w:ascii="Calibri" w:eastAsia="Times New Roman" w:hAnsi="Calibri" w:cs="Times New Roman"/>
                <w:color w:val="000000"/>
                <w:sz w:val="16"/>
                <w:szCs w:val="16"/>
                <w:lang w:eastAsia="en-GB"/>
              </w:rPr>
              <w:t>Angina (I20</w:t>
            </w:r>
            <w:r>
              <w:rPr>
                <w:rFonts w:ascii="Calibri" w:eastAsia="Times New Roman" w:hAnsi="Calibri" w:cs="Times New Roman"/>
                <w:color w:val="000000"/>
                <w:sz w:val="16"/>
                <w:szCs w:val="16"/>
                <w:vertAlign w:val="superscript"/>
                <w:lang w:eastAsia="en-GB"/>
              </w:rPr>
              <w:t>b</w:t>
            </w:r>
            <w:r w:rsidRPr="001E53EC">
              <w:rPr>
                <w:rFonts w:ascii="Calibri" w:eastAsia="Times New Roman" w:hAnsi="Calibri" w:cs="Times New Roman"/>
                <w:color w:val="000000"/>
                <w:sz w:val="16"/>
                <w:szCs w:val="16"/>
                <w:lang w:eastAsia="en-GB"/>
              </w:rPr>
              <w:t>)</w:t>
            </w:r>
          </w:p>
        </w:tc>
        <w:tc>
          <w:tcPr>
            <w:tcW w:w="1755" w:type="dxa"/>
            <w:gridSpan w:val="2"/>
            <w:tcBorders>
              <w:top w:val="nil"/>
              <w:left w:val="nil"/>
              <w:bottom w:val="nil"/>
              <w:right w:val="nil"/>
            </w:tcBorders>
            <w:shd w:val="clear" w:color="auto" w:fill="auto"/>
            <w:noWrap/>
            <w:vAlign w:val="bottom"/>
            <w:hideMark/>
          </w:tcPr>
          <w:p w14:paraId="7AE3FE7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(0.06)</w:t>
            </w:r>
          </w:p>
        </w:tc>
        <w:tc>
          <w:tcPr>
            <w:tcW w:w="1755" w:type="dxa"/>
            <w:tcBorders>
              <w:top w:val="nil"/>
              <w:left w:val="nil"/>
              <w:bottom w:val="nil"/>
              <w:right w:val="nil"/>
            </w:tcBorders>
            <w:shd w:val="clear" w:color="auto" w:fill="auto"/>
            <w:noWrap/>
            <w:vAlign w:val="bottom"/>
            <w:hideMark/>
          </w:tcPr>
          <w:p w14:paraId="17A57AB7"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(0.06)</w:t>
            </w:r>
          </w:p>
        </w:tc>
        <w:tc>
          <w:tcPr>
            <w:tcW w:w="1756" w:type="dxa"/>
            <w:tcBorders>
              <w:top w:val="nil"/>
              <w:left w:val="nil"/>
              <w:bottom w:val="nil"/>
              <w:right w:val="nil"/>
            </w:tcBorders>
            <w:shd w:val="clear" w:color="auto" w:fill="auto"/>
            <w:noWrap/>
            <w:vAlign w:val="bottom"/>
            <w:hideMark/>
          </w:tcPr>
          <w:p w14:paraId="4261788D"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(0.07)</w:t>
            </w:r>
          </w:p>
        </w:tc>
      </w:tr>
      <w:tr w:rsidR="008A474E" w:rsidRPr="001E53EC" w14:paraId="135946EB" w14:textId="77777777" w:rsidTr="008A474E">
        <w:trPr>
          <w:trHeight w:val="300"/>
        </w:trPr>
        <w:tc>
          <w:tcPr>
            <w:tcW w:w="3760" w:type="dxa"/>
            <w:tcBorders>
              <w:top w:val="nil"/>
              <w:left w:val="nil"/>
              <w:bottom w:val="nil"/>
              <w:right w:val="nil"/>
            </w:tcBorders>
            <w:shd w:val="clear" w:color="auto" w:fill="auto"/>
            <w:noWrap/>
            <w:vAlign w:val="bottom"/>
            <w:hideMark/>
          </w:tcPr>
          <w:p w14:paraId="1C784D9E" w14:textId="77777777" w:rsidR="008A474E" w:rsidRPr="00D40399" w:rsidRDefault="008A474E" w:rsidP="008A474E">
            <w:pPr>
              <w:spacing w:after="0" w:line="240" w:lineRule="auto"/>
              <w:ind w:firstLineChars="200" w:firstLine="320"/>
              <w:jc w:val="both"/>
              <w:rPr>
                <w:rFonts w:ascii="Calibri" w:eastAsia="Times New Roman" w:hAnsi="Calibri" w:cs="Times New Roman"/>
                <w:color w:val="000000"/>
                <w:sz w:val="16"/>
                <w:szCs w:val="16"/>
                <w:vertAlign w:val="superscript"/>
                <w:lang w:eastAsia="en-GB"/>
              </w:rPr>
            </w:pPr>
            <w:r w:rsidRPr="001E53EC">
              <w:rPr>
                <w:rFonts w:ascii="Calibri" w:eastAsia="Times New Roman" w:hAnsi="Calibri" w:cs="Times New Roman"/>
                <w:color w:val="000000"/>
                <w:sz w:val="16"/>
                <w:szCs w:val="16"/>
                <w:lang w:eastAsia="en-GB"/>
              </w:rPr>
              <w:t>MI (I21</w:t>
            </w:r>
            <w:r>
              <w:rPr>
                <w:rFonts w:ascii="Calibri" w:eastAsia="Times New Roman" w:hAnsi="Calibri" w:cs="Times New Roman"/>
                <w:color w:val="000000"/>
                <w:sz w:val="16"/>
                <w:szCs w:val="16"/>
                <w:lang w:eastAsia="en-GB"/>
              </w:rPr>
              <w:t>&amp;</w:t>
            </w:r>
            <w:r w:rsidRPr="001E53EC">
              <w:rPr>
                <w:rFonts w:ascii="Calibri" w:eastAsia="Times New Roman" w:hAnsi="Calibri" w:cs="Times New Roman"/>
                <w:color w:val="000000"/>
                <w:sz w:val="16"/>
                <w:szCs w:val="16"/>
                <w:lang w:eastAsia="en-GB"/>
              </w:rPr>
              <w:t>I22</w:t>
            </w:r>
            <w:r>
              <w:rPr>
                <w:rFonts w:ascii="Calibri" w:eastAsia="Times New Roman" w:hAnsi="Calibri" w:cs="Times New Roman"/>
                <w:color w:val="000000"/>
                <w:sz w:val="16"/>
                <w:szCs w:val="16"/>
                <w:vertAlign w:val="superscript"/>
                <w:lang w:eastAsia="en-GB"/>
              </w:rPr>
              <w:t>b</w:t>
            </w:r>
            <w:r w:rsidRPr="001E53EC">
              <w:rPr>
                <w:rFonts w:ascii="Calibri" w:eastAsia="Times New Roman" w:hAnsi="Calibri" w:cs="Times New Roman"/>
                <w:color w:val="000000"/>
                <w:sz w:val="16"/>
                <w:szCs w:val="16"/>
                <w:lang w:eastAsia="en-GB"/>
              </w:rPr>
              <w:t>)</w:t>
            </w:r>
          </w:p>
        </w:tc>
        <w:tc>
          <w:tcPr>
            <w:tcW w:w="1755" w:type="dxa"/>
            <w:gridSpan w:val="2"/>
            <w:tcBorders>
              <w:top w:val="nil"/>
              <w:left w:val="nil"/>
              <w:bottom w:val="nil"/>
              <w:right w:val="nil"/>
            </w:tcBorders>
            <w:shd w:val="clear" w:color="auto" w:fill="auto"/>
            <w:noWrap/>
            <w:vAlign w:val="bottom"/>
            <w:hideMark/>
          </w:tcPr>
          <w:p w14:paraId="4E466F3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(0.17)</w:t>
            </w:r>
          </w:p>
        </w:tc>
        <w:tc>
          <w:tcPr>
            <w:tcW w:w="1755" w:type="dxa"/>
            <w:tcBorders>
              <w:top w:val="nil"/>
              <w:left w:val="nil"/>
              <w:bottom w:val="nil"/>
              <w:right w:val="nil"/>
            </w:tcBorders>
            <w:shd w:val="clear" w:color="auto" w:fill="auto"/>
            <w:noWrap/>
            <w:vAlign w:val="bottom"/>
            <w:hideMark/>
          </w:tcPr>
          <w:p w14:paraId="7F25F32F"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(0.24)</w:t>
            </w:r>
          </w:p>
        </w:tc>
        <w:tc>
          <w:tcPr>
            <w:tcW w:w="1756" w:type="dxa"/>
            <w:tcBorders>
              <w:top w:val="nil"/>
              <w:left w:val="nil"/>
              <w:bottom w:val="nil"/>
              <w:right w:val="nil"/>
            </w:tcBorders>
            <w:shd w:val="clear" w:color="auto" w:fill="auto"/>
            <w:noWrap/>
            <w:vAlign w:val="bottom"/>
            <w:hideMark/>
          </w:tcPr>
          <w:p w14:paraId="6DEF6096"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(0.15)</w:t>
            </w:r>
          </w:p>
        </w:tc>
      </w:tr>
      <w:tr w:rsidR="008A474E" w:rsidRPr="001E53EC" w14:paraId="19DA5BBC" w14:textId="77777777" w:rsidTr="008A474E">
        <w:trPr>
          <w:trHeight w:val="300"/>
        </w:trPr>
        <w:tc>
          <w:tcPr>
            <w:tcW w:w="3760" w:type="dxa"/>
            <w:tcBorders>
              <w:top w:val="nil"/>
              <w:left w:val="nil"/>
              <w:bottom w:val="nil"/>
              <w:right w:val="nil"/>
            </w:tcBorders>
            <w:shd w:val="clear" w:color="auto" w:fill="auto"/>
            <w:noWrap/>
            <w:vAlign w:val="bottom"/>
            <w:hideMark/>
          </w:tcPr>
          <w:p w14:paraId="6302528D" w14:textId="77777777" w:rsidR="008A474E" w:rsidRPr="00D40399" w:rsidRDefault="008A474E" w:rsidP="008A474E">
            <w:pPr>
              <w:spacing w:after="0" w:line="240" w:lineRule="auto"/>
              <w:ind w:firstLineChars="200" w:firstLine="320"/>
              <w:jc w:val="both"/>
              <w:rPr>
                <w:rFonts w:ascii="Calibri" w:eastAsia="Times New Roman" w:hAnsi="Calibri" w:cs="Times New Roman"/>
                <w:color w:val="000000"/>
                <w:sz w:val="16"/>
                <w:szCs w:val="16"/>
                <w:vertAlign w:val="superscript"/>
                <w:lang w:eastAsia="en-GB"/>
              </w:rPr>
            </w:pPr>
            <w:r w:rsidRPr="001E53EC">
              <w:rPr>
                <w:rFonts w:ascii="Calibri" w:eastAsia="Times New Roman" w:hAnsi="Calibri" w:cs="Times New Roman"/>
                <w:color w:val="000000"/>
                <w:sz w:val="16"/>
                <w:szCs w:val="16"/>
                <w:lang w:eastAsia="en-GB"/>
              </w:rPr>
              <w:t>Chronic IHD (I25</w:t>
            </w:r>
            <w:r>
              <w:rPr>
                <w:rFonts w:ascii="Calibri" w:eastAsia="Times New Roman" w:hAnsi="Calibri" w:cs="Times New Roman"/>
                <w:color w:val="000000"/>
                <w:sz w:val="16"/>
                <w:szCs w:val="16"/>
                <w:vertAlign w:val="superscript"/>
                <w:lang w:eastAsia="en-GB"/>
              </w:rPr>
              <w:t>b</w:t>
            </w:r>
            <w:r w:rsidRPr="001E53EC">
              <w:rPr>
                <w:rFonts w:ascii="Calibri" w:eastAsia="Times New Roman" w:hAnsi="Calibri" w:cs="Times New Roman"/>
                <w:color w:val="000000"/>
                <w:sz w:val="16"/>
                <w:szCs w:val="16"/>
                <w:lang w:eastAsia="en-GB"/>
              </w:rPr>
              <w:t>)</w:t>
            </w:r>
          </w:p>
        </w:tc>
        <w:tc>
          <w:tcPr>
            <w:tcW w:w="1755" w:type="dxa"/>
            <w:gridSpan w:val="2"/>
            <w:tcBorders>
              <w:top w:val="nil"/>
              <w:left w:val="nil"/>
              <w:bottom w:val="nil"/>
              <w:right w:val="nil"/>
            </w:tcBorders>
            <w:shd w:val="clear" w:color="auto" w:fill="auto"/>
            <w:noWrap/>
            <w:vAlign w:val="bottom"/>
            <w:hideMark/>
          </w:tcPr>
          <w:p w14:paraId="6B25D95D"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(0.15)</w:t>
            </w:r>
          </w:p>
        </w:tc>
        <w:tc>
          <w:tcPr>
            <w:tcW w:w="1755" w:type="dxa"/>
            <w:tcBorders>
              <w:top w:val="nil"/>
              <w:left w:val="nil"/>
              <w:bottom w:val="nil"/>
              <w:right w:val="nil"/>
            </w:tcBorders>
            <w:shd w:val="clear" w:color="auto" w:fill="auto"/>
            <w:noWrap/>
            <w:vAlign w:val="bottom"/>
            <w:hideMark/>
          </w:tcPr>
          <w:p w14:paraId="2610C570"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(0.05)</w:t>
            </w:r>
          </w:p>
        </w:tc>
        <w:tc>
          <w:tcPr>
            <w:tcW w:w="1756" w:type="dxa"/>
            <w:tcBorders>
              <w:top w:val="nil"/>
              <w:left w:val="nil"/>
              <w:bottom w:val="nil"/>
              <w:right w:val="nil"/>
            </w:tcBorders>
            <w:shd w:val="clear" w:color="auto" w:fill="auto"/>
            <w:noWrap/>
            <w:vAlign w:val="bottom"/>
            <w:hideMark/>
          </w:tcPr>
          <w:p w14:paraId="6C732EE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(0.17)</w:t>
            </w:r>
          </w:p>
        </w:tc>
      </w:tr>
      <w:tr w:rsidR="008A474E" w:rsidRPr="001E53EC" w14:paraId="671016B9" w14:textId="77777777" w:rsidTr="008A474E">
        <w:trPr>
          <w:trHeight w:val="300"/>
        </w:trPr>
        <w:tc>
          <w:tcPr>
            <w:tcW w:w="3760" w:type="dxa"/>
            <w:tcBorders>
              <w:top w:val="nil"/>
              <w:left w:val="nil"/>
              <w:bottom w:val="nil"/>
              <w:right w:val="nil"/>
            </w:tcBorders>
            <w:shd w:val="clear" w:color="auto" w:fill="auto"/>
            <w:noWrap/>
            <w:vAlign w:val="bottom"/>
            <w:hideMark/>
          </w:tcPr>
          <w:p w14:paraId="68FE07A6" w14:textId="77777777" w:rsidR="008A474E" w:rsidRPr="00D40399" w:rsidRDefault="008A474E" w:rsidP="008A474E">
            <w:pPr>
              <w:spacing w:after="0" w:line="240" w:lineRule="auto"/>
              <w:ind w:firstLineChars="200" w:firstLine="320"/>
              <w:jc w:val="both"/>
              <w:rPr>
                <w:rFonts w:ascii="Calibri" w:eastAsia="Times New Roman" w:hAnsi="Calibri" w:cs="Times New Roman"/>
                <w:color w:val="000000"/>
                <w:sz w:val="16"/>
                <w:szCs w:val="16"/>
                <w:vertAlign w:val="superscript"/>
                <w:lang w:eastAsia="en-GB"/>
              </w:rPr>
            </w:pPr>
            <w:r w:rsidRPr="001E53EC">
              <w:rPr>
                <w:rFonts w:ascii="Calibri" w:eastAsia="Times New Roman" w:hAnsi="Calibri" w:cs="Times New Roman"/>
                <w:color w:val="000000"/>
                <w:sz w:val="16"/>
                <w:szCs w:val="16"/>
                <w:lang w:eastAsia="en-GB"/>
              </w:rPr>
              <w:t>Stroke (I60 - I64</w:t>
            </w:r>
            <w:r>
              <w:rPr>
                <w:rFonts w:ascii="Calibri" w:eastAsia="Times New Roman" w:hAnsi="Calibri" w:cs="Times New Roman"/>
                <w:color w:val="000000"/>
                <w:sz w:val="16"/>
                <w:szCs w:val="16"/>
                <w:vertAlign w:val="superscript"/>
                <w:lang w:eastAsia="en-GB"/>
              </w:rPr>
              <w:t>b</w:t>
            </w:r>
            <w:r w:rsidRPr="001E53EC">
              <w:rPr>
                <w:rFonts w:ascii="Calibri" w:eastAsia="Times New Roman" w:hAnsi="Calibri" w:cs="Times New Roman"/>
                <w:color w:val="000000"/>
                <w:sz w:val="16"/>
                <w:szCs w:val="16"/>
                <w:lang w:eastAsia="en-GB"/>
              </w:rPr>
              <w:t>)</w:t>
            </w:r>
          </w:p>
        </w:tc>
        <w:tc>
          <w:tcPr>
            <w:tcW w:w="1755" w:type="dxa"/>
            <w:gridSpan w:val="2"/>
            <w:tcBorders>
              <w:top w:val="nil"/>
              <w:left w:val="nil"/>
              <w:bottom w:val="nil"/>
              <w:right w:val="nil"/>
            </w:tcBorders>
            <w:shd w:val="clear" w:color="auto" w:fill="auto"/>
            <w:noWrap/>
            <w:vAlign w:val="bottom"/>
            <w:hideMark/>
          </w:tcPr>
          <w:p w14:paraId="747848A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(0.07)</w:t>
            </w:r>
          </w:p>
        </w:tc>
        <w:tc>
          <w:tcPr>
            <w:tcW w:w="1755" w:type="dxa"/>
            <w:tcBorders>
              <w:top w:val="nil"/>
              <w:left w:val="nil"/>
              <w:bottom w:val="nil"/>
              <w:right w:val="nil"/>
            </w:tcBorders>
            <w:shd w:val="clear" w:color="auto" w:fill="auto"/>
            <w:noWrap/>
            <w:vAlign w:val="bottom"/>
            <w:hideMark/>
          </w:tcPr>
          <w:p w14:paraId="45888809"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(0.08)</w:t>
            </w:r>
          </w:p>
        </w:tc>
        <w:tc>
          <w:tcPr>
            <w:tcW w:w="1756" w:type="dxa"/>
            <w:tcBorders>
              <w:top w:val="nil"/>
              <w:left w:val="nil"/>
              <w:bottom w:val="nil"/>
              <w:right w:val="nil"/>
            </w:tcBorders>
            <w:shd w:val="clear" w:color="auto" w:fill="auto"/>
            <w:noWrap/>
            <w:vAlign w:val="bottom"/>
            <w:hideMark/>
          </w:tcPr>
          <w:p w14:paraId="21D798DD"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0.01 (0.07)</w:t>
            </w:r>
          </w:p>
        </w:tc>
      </w:tr>
      <w:tr w:rsidR="008A474E" w:rsidRPr="001E53EC" w14:paraId="7D923D20" w14:textId="77777777" w:rsidTr="008A474E">
        <w:trPr>
          <w:trHeight w:val="300"/>
        </w:trPr>
        <w:tc>
          <w:tcPr>
            <w:tcW w:w="3760" w:type="dxa"/>
            <w:tcBorders>
              <w:top w:val="nil"/>
              <w:left w:val="nil"/>
              <w:right w:val="nil"/>
            </w:tcBorders>
            <w:shd w:val="clear" w:color="auto" w:fill="auto"/>
            <w:noWrap/>
            <w:vAlign w:val="bottom"/>
            <w:hideMark/>
          </w:tcPr>
          <w:p w14:paraId="6F449923"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Mortality - all causes, n</w:t>
            </w:r>
            <w:r w:rsidRPr="000D024A">
              <w:rPr>
                <w:rFonts w:ascii="Calibri" w:eastAsia="Times New Roman" w:hAnsi="Calibri" w:cs="Times New Roman"/>
                <w:b/>
                <w:bCs/>
                <w:color w:val="000000"/>
                <w:sz w:val="16"/>
                <w:szCs w:val="16"/>
                <w:lang w:eastAsia="en-GB"/>
              </w:rPr>
              <w:t xml:space="preserve"> </w:t>
            </w:r>
            <w:r w:rsidRPr="001E53EC">
              <w:rPr>
                <w:rFonts w:ascii="Calibri" w:eastAsia="Times New Roman" w:hAnsi="Calibri" w:cs="Times New Roman"/>
                <w:b/>
                <w:bCs/>
                <w:color w:val="000000"/>
                <w:sz w:val="16"/>
                <w:szCs w:val="16"/>
                <w:lang w:eastAsia="en-GB"/>
              </w:rPr>
              <w:t>(%)</w:t>
            </w:r>
          </w:p>
        </w:tc>
        <w:tc>
          <w:tcPr>
            <w:tcW w:w="1755" w:type="dxa"/>
            <w:gridSpan w:val="2"/>
            <w:tcBorders>
              <w:top w:val="nil"/>
              <w:left w:val="nil"/>
              <w:right w:val="nil"/>
            </w:tcBorders>
            <w:shd w:val="clear" w:color="auto" w:fill="auto"/>
            <w:noWrap/>
            <w:vAlign w:val="bottom"/>
            <w:hideMark/>
          </w:tcPr>
          <w:p w14:paraId="35B3BD1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1,384 (13.9%)</w:t>
            </w:r>
          </w:p>
        </w:tc>
        <w:tc>
          <w:tcPr>
            <w:tcW w:w="1755" w:type="dxa"/>
            <w:tcBorders>
              <w:top w:val="nil"/>
              <w:left w:val="nil"/>
              <w:right w:val="nil"/>
            </w:tcBorders>
            <w:shd w:val="clear" w:color="auto" w:fill="auto"/>
            <w:noWrap/>
            <w:vAlign w:val="bottom"/>
            <w:hideMark/>
          </w:tcPr>
          <w:p w14:paraId="4B68F7A3"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364 (16.6%)</w:t>
            </w:r>
          </w:p>
        </w:tc>
        <w:tc>
          <w:tcPr>
            <w:tcW w:w="1756" w:type="dxa"/>
            <w:tcBorders>
              <w:top w:val="nil"/>
              <w:left w:val="nil"/>
              <w:right w:val="nil"/>
            </w:tcBorders>
            <w:shd w:val="clear" w:color="auto" w:fill="auto"/>
            <w:noWrap/>
            <w:vAlign w:val="bottom"/>
            <w:hideMark/>
          </w:tcPr>
          <w:p w14:paraId="14F1067A"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1,020 (13.1%)</w:t>
            </w:r>
          </w:p>
        </w:tc>
      </w:tr>
      <w:tr w:rsidR="008A474E" w:rsidRPr="001E53EC" w14:paraId="0E5C4E9F" w14:textId="77777777" w:rsidTr="008A474E">
        <w:trPr>
          <w:trHeight w:val="300"/>
        </w:trPr>
        <w:tc>
          <w:tcPr>
            <w:tcW w:w="3760" w:type="dxa"/>
            <w:tcBorders>
              <w:top w:val="nil"/>
              <w:left w:val="nil"/>
              <w:bottom w:val="single" w:sz="4" w:space="0" w:color="auto"/>
              <w:right w:val="nil"/>
            </w:tcBorders>
            <w:shd w:val="clear" w:color="auto" w:fill="auto"/>
            <w:noWrap/>
            <w:vAlign w:val="bottom"/>
            <w:hideMark/>
          </w:tcPr>
          <w:p w14:paraId="6E3FE76A" w14:textId="77777777" w:rsidR="008A474E" w:rsidRPr="001E53EC" w:rsidRDefault="008A474E" w:rsidP="008A474E">
            <w:pPr>
              <w:spacing w:after="0" w:line="240" w:lineRule="auto"/>
              <w:jc w:val="both"/>
              <w:rPr>
                <w:rFonts w:ascii="Calibri" w:eastAsia="Times New Roman" w:hAnsi="Calibri" w:cs="Times New Roman"/>
                <w:b/>
                <w:bCs/>
                <w:color w:val="000000"/>
                <w:sz w:val="16"/>
                <w:szCs w:val="16"/>
                <w:lang w:eastAsia="en-GB"/>
              </w:rPr>
            </w:pPr>
            <w:r w:rsidRPr="001E53EC">
              <w:rPr>
                <w:rFonts w:ascii="Calibri" w:eastAsia="Times New Roman" w:hAnsi="Calibri" w:cs="Times New Roman"/>
                <w:b/>
                <w:bCs/>
                <w:color w:val="000000"/>
                <w:sz w:val="16"/>
                <w:szCs w:val="16"/>
                <w:lang w:eastAsia="en-GB"/>
              </w:rPr>
              <w:t xml:space="preserve">Mortality </w:t>
            </w:r>
            <w:r>
              <w:rPr>
                <w:rFonts w:ascii="Calibri" w:eastAsia="Times New Roman" w:hAnsi="Calibri" w:cs="Times New Roman"/>
                <w:b/>
                <w:bCs/>
                <w:color w:val="000000"/>
                <w:sz w:val="16"/>
                <w:szCs w:val="16"/>
                <w:lang w:eastAsia="en-GB"/>
              </w:rPr>
              <w:t>–</w:t>
            </w:r>
            <w:r w:rsidRPr="001E53EC">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t>CVD</w:t>
            </w:r>
            <w:r w:rsidRPr="001E53EC">
              <w:rPr>
                <w:rFonts w:ascii="Calibri" w:eastAsia="Times New Roman" w:hAnsi="Calibri" w:cs="Times New Roman"/>
                <w:b/>
                <w:bCs/>
                <w:color w:val="000000"/>
                <w:sz w:val="16"/>
                <w:szCs w:val="16"/>
                <w:lang w:eastAsia="en-GB"/>
              </w:rPr>
              <w:t>, n (%)</w:t>
            </w:r>
          </w:p>
        </w:tc>
        <w:tc>
          <w:tcPr>
            <w:tcW w:w="1755" w:type="dxa"/>
            <w:gridSpan w:val="2"/>
            <w:tcBorders>
              <w:top w:val="nil"/>
              <w:left w:val="nil"/>
              <w:bottom w:val="single" w:sz="4" w:space="0" w:color="auto"/>
              <w:right w:val="nil"/>
            </w:tcBorders>
            <w:shd w:val="clear" w:color="auto" w:fill="auto"/>
            <w:noWrap/>
            <w:vAlign w:val="bottom"/>
            <w:hideMark/>
          </w:tcPr>
          <w:p w14:paraId="249DB1D7"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511 (5.1%)</w:t>
            </w:r>
          </w:p>
        </w:tc>
        <w:tc>
          <w:tcPr>
            <w:tcW w:w="1755" w:type="dxa"/>
            <w:tcBorders>
              <w:top w:val="nil"/>
              <w:left w:val="nil"/>
              <w:bottom w:val="single" w:sz="4" w:space="0" w:color="auto"/>
              <w:right w:val="nil"/>
            </w:tcBorders>
            <w:shd w:val="clear" w:color="auto" w:fill="auto"/>
            <w:noWrap/>
            <w:vAlign w:val="bottom"/>
            <w:hideMark/>
          </w:tcPr>
          <w:p w14:paraId="50BC40F9"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132 (6.0%)</w:t>
            </w:r>
          </w:p>
        </w:tc>
        <w:tc>
          <w:tcPr>
            <w:tcW w:w="1756" w:type="dxa"/>
            <w:tcBorders>
              <w:top w:val="nil"/>
              <w:left w:val="nil"/>
              <w:bottom w:val="single" w:sz="4" w:space="0" w:color="auto"/>
              <w:right w:val="nil"/>
            </w:tcBorders>
            <w:shd w:val="clear" w:color="auto" w:fill="auto"/>
            <w:noWrap/>
            <w:vAlign w:val="bottom"/>
            <w:hideMark/>
          </w:tcPr>
          <w:p w14:paraId="61156F51" w14:textId="77777777" w:rsidR="008A474E" w:rsidRPr="001E53EC" w:rsidRDefault="008A474E" w:rsidP="008A474E">
            <w:pPr>
              <w:spacing w:after="0" w:line="240" w:lineRule="auto"/>
              <w:jc w:val="both"/>
              <w:rPr>
                <w:rFonts w:ascii="Calibri" w:eastAsia="Times New Roman" w:hAnsi="Calibri" w:cs="Times New Roman"/>
                <w:color w:val="000000"/>
                <w:sz w:val="16"/>
                <w:szCs w:val="16"/>
                <w:lang w:eastAsia="en-GB"/>
              </w:rPr>
            </w:pPr>
            <w:r w:rsidRPr="001E53EC">
              <w:rPr>
                <w:rFonts w:ascii="Calibri" w:eastAsia="Times New Roman" w:hAnsi="Calibri" w:cs="Times New Roman"/>
                <w:color w:val="000000"/>
                <w:sz w:val="16"/>
                <w:szCs w:val="16"/>
                <w:lang w:eastAsia="en-GB"/>
              </w:rPr>
              <w:t>379 (4.9%)</w:t>
            </w:r>
          </w:p>
        </w:tc>
      </w:tr>
      <w:tr w:rsidR="008A474E" w:rsidRPr="0086436F" w14:paraId="0040ACAD" w14:textId="77777777" w:rsidTr="008A474E">
        <w:trPr>
          <w:trHeight w:val="300"/>
        </w:trPr>
        <w:tc>
          <w:tcPr>
            <w:tcW w:w="9026" w:type="dxa"/>
            <w:gridSpan w:val="5"/>
            <w:tcBorders>
              <w:top w:val="single" w:sz="4" w:space="0" w:color="auto"/>
              <w:left w:val="nil"/>
              <w:right w:val="nil"/>
            </w:tcBorders>
            <w:shd w:val="clear" w:color="auto" w:fill="auto"/>
            <w:noWrap/>
          </w:tcPr>
          <w:p w14:paraId="0640D539" w14:textId="77777777" w:rsidR="008A474E" w:rsidRPr="0086436F" w:rsidRDefault="008A474E" w:rsidP="008A474E">
            <w:pPr>
              <w:spacing w:after="0" w:line="240" w:lineRule="auto"/>
              <w:jc w:val="both"/>
              <w:rPr>
                <w:rFonts w:ascii="Calibri" w:eastAsia="Times New Roman" w:hAnsi="Calibri" w:cs="Times New Roman"/>
                <w:color w:val="000000"/>
                <w:sz w:val="16"/>
                <w:szCs w:val="16"/>
                <w:lang w:eastAsia="en-GB"/>
              </w:rPr>
            </w:pPr>
            <w:r w:rsidRPr="0086436F">
              <w:rPr>
                <w:rFonts w:ascii="Calibri" w:eastAsia="Times New Roman" w:hAnsi="Calibri" w:cs="Times New Roman"/>
                <w:bCs/>
                <w:color w:val="000000"/>
                <w:sz w:val="16"/>
                <w:szCs w:val="16"/>
                <w:lang w:eastAsia="en-GB"/>
              </w:rPr>
              <w:t xml:space="preserve">a. High consultation </w:t>
            </w:r>
            <w:r>
              <w:rPr>
                <w:rFonts w:ascii="Calibri" w:eastAsia="Times New Roman" w:hAnsi="Calibri" w:cs="Times New Roman"/>
                <w:bCs/>
                <w:color w:val="000000"/>
                <w:sz w:val="16"/>
                <w:szCs w:val="16"/>
                <w:lang w:eastAsia="en-GB"/>
              </w:rPr>
              <w:t>and health check rates</w:t>
            </w:r>
            <w:r w:rsidRPr="0086436F">
              <w:rPr>
                <w:rFonts w:ascii="Calibri" w:eastAsia="Times New Roman" w:hAnsi="Calibri" w:cs="Times New Roman"/>
                <w:bCs/>
                <w:color w:val="000000"/>
                <w:sz w:val="16"/>
                <w:szCs w:val="16"/>
                <w:lang w:eastAsia="en-GB"/>
              </w:rPr>
              <w:t xml:space="preserve"> reflected few consultations recorded over a short follow-up. </w:t>
            </w:r>
            <w:r>
              <w:rPr>
                <w:rFonts w:ascii="Calibri" w:eastAsia="Times New Roman" w:hAnsi="Calibri" w:cs="Times New Roman"/>
                <w:bCs/>
                <w:color w:val="000000"/>
                <w:sz w:val="16"/>
                <w:szCs w:val="16"/>
                <w:lang w:eastAsia="en-GB"/>
              </w:rPr>
              <w:t xml:space="preserve">b. ICD-10 codes used to classify admissions in parentheses. </w:t>
            </w:r>
          </w:p>
        </w:tc>
      </w:tr>
    </w:tbl>
    <w:p w14:paraId="4C2D0878" w14:textId="77777777" w:rsidR="008A474E" w:rsidRDefault="008A474E" w:rsidP="008A474E">
      <w:pPr>
        <w:jc w:val="both"/>
        <w:rPr>
          <w:rFonts w:ascii="Times New Roman" w:hAnsi="Times New Roman" w:cs="Times New Roman"/>
        </w:rPr>
        <w:sectPr w:rsidR="008A474E">
          <w:pgSz w:w="11906" w:h="16838"/>
          <w:pgMar w:top="1440" w:right="1440" w:bottom="1440" w:left="1440" w:header="708" w:footer="708" w:gutter="0"/>
          <w:cols w:space="708"/>
          <w:docGrid w:linePitch="360"/>
        </w:sectPr>
      </w:pPr>
    </w:p>
    <w:p w14:paraId="76AAB018" w14:textId="77777777" w:rsidR="008A474E" w:rsidRPr="00CE2060" w:rsidRDefault="008A474E" w:rsidP="008A474E">
      <w:pPr>
        <w:pStyle w:val="Caption"/>
        <w:keepNext/>
        <w:spacing w:after="120"/>
        <w:jc w:val="both"/>
        <w:rPr>
          <w:b/>
        </w:rPr>
      </w:pPr>
      <w:r w:rsidRPr="000D024A">
        <w:rPr>
          <w:b/>
        </w:rPr>
        <w:t xml:space="preserve">Figure </w:t>
      </w:r>
      <w:r w:rsidRPr="000D024A">
        <w:rPr>
          <w:b/>
        </w:rPr>
        <w:fldChar w:fldCharType="begin"/>
      </w:r>
      <w:r w:rsidRPr="000D024A">
        <w:rPr>
          <w:b/>
        </w:rPr>
        <w:instrText xml:space="preserve"> SEQ Figure \* ARABIC </w:instrText>
      </w:r>
      <w:r w:rsidRPr="000D024A">
        <w:rPr>
          <w:b/>
        </w:rPr>
        <w:fldChar w:fldCharType="separate"/>
      </w:r>
      <w:r>
        <w:rPr>
          <w:b/>
          <w:noProof/>
        </w:rPr>
        <w:t>1</w:t>
      </w:r>
      <w:r w:rsidRPr="000D024A">
        <w:rPr>
          <w:b/>
        </w:rPr>
        <w:fldChar w:fldCharType="end"/>
      </w:r>
      <w:r w:rsidRPr="000D024A">
        <w:rPr>
          <w:b/>
        </w:rPr>
        <w:t xml:space="preserve">. </w:t>
      </w:r>
      <w:r>
        <w:rPr>
          <w:b/>
        </w:rPr>
        <w:t>A</w:t>
      </w:r>
      <w:r w:rsidRPr="000D024A">
        <w:rPr>
          <w:b/>
        </w:rPr>
        <w:t xml:space="preserve">verage levels of </w:t>
      </w:r>
      <w:r>
        <w:rPr>
          <w:b/>
        </w:rPr>
        <w:t xml:space="preserve">serum total </w:t>
      </w:r>
      <w:r w:rsidRPr="000D024A">
        <w:rPr>
          <w:b/>
        </w:rPr>
        <w:t>cholesterol</w:t>
      </w:r>
      <w:r>
        <w:rPr>
          <w:b/>
        </w:rPr>
        <w:t xml:space="preserve">, </w:t>
      </w:r>
      <w:r w:rsidRPr="000D024A">
        <w:rPr>
          <w:b/>
        </w:rPr>
        <w:t>HbA</w:t>
      </w:r>
      <w:r w:rsidRPr="001C01FE">
        <w:rPr>
          <w:b/>
          <w:vertAlign w:val="subscript"/>
        </w:rPr>
        <w:t>1c</w:t>
      </w:r>
      <w:r>
        <w:rPr>
          <w:b/>
        </w:rPr>
        <w:t xml:space="preserve"> and blood pressure (health outcomes)</w:t>
      </w:r>
      <w:r w:rsidRPr="000D024A">
        <w:rPr>
          <w:b/>
        </w:rPr>
        <w:t>, 2000-2016</w:t>
      </w:r>
      <w:r>
        <w:rPr>
          <w:b/>
        </w:rPr>
        <w:t>.</w:t>
      </w:r>
    </w:p>
    <w:p w14:paraId="0D328268" w14:textId="77777777" w:rsidR="008A474E" w:rsidRDefault="008A474E" w:rsidP="008A474E">
      <w:pPr>
        <w:jc w:val="both"/>
        <w:rPr>
          <w:rFonts w:ascii="Times New Roman" w:hAnsi="Times New Roman" w:cs="Times New Roman"/>
        </w:rPr>
      </w:pPr>
      <w:r w:rsidRPr="00F21CBF">
        <w:rPr>
          <w:noProof/>
          <w:lang w:eastAsia="en-GB"/>
        </w:rPr>
        <w:drawing>
          <wp:inline distT="0" distB="0" distL="0" distR="0" wp14:anchorId="4BBE4DAF" wp14:editId="5EB70691">
            <wp:extent cx="5731510" cy="7456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7456343"/>
                    </a:xfrm>
                    <a:prstGeom prst="rect">
                      <a:avLst/>
                    </a:prstGeom>
                    <a:noFill/>
                    <a:ln>
                      <a:noFill/>
                    </a:ln>
                  </pic:spPr>
                </pic:pic>
              </a:graphicData>
            </a:graphic>
          </wp:inline>
        </w:drawing>
      </w:r>
    </w:p>
    <w:p w14:paraId="65C182A8" w14:textId="77777777" w:rsidR="008A474E" w:rsidRDefault="008A474E" w:rsidP="008A474E">
      <w:pPr>
        <w:jc w:val="both"/>
        <w:rPr>
          <w:rFonts w:ascii="Times New Roman" w:hAnsi="Times New Roman" w:cs="Times New Roman"/>
          <w:i/>
        </w:rPr>
        <w:sectPr w:rsidR="008A474E">
          <w:pgSz w:w="11906" w:h="16838"/>
          <w:pgMar w:top="1440" w:right="1440" w:bottom="1440" w:left="1440" w:header="708" w:footer="708" w:gutter="0"/>
          <w:cols w:space="708"/>
          <w:docGrid w:linePitch="360"/>
        </w:sectPr>
      </w:pPr>
    </w:p>
    <w:p w14:paraId="3D0E3CF0" w14:textId="77777777" w:rsidR="008A474E" w:rsidRPr="00D528EF" w:rsidRDefault="008A474E" w:rsidP="008A474E">
      <w:pPr>
        <w:pStyle w:val="Caption"/>
        <w:keepNext/>
        <w:jc w:val="both"/>
        <w:rPr>
          <w:b/>
        </w:rPr>
      </w:pPr>
      <w:r w:rsidRPr="00D528EF">
        <w:rPr>
          <w:b/>
        </w:rPr>
        <w:t xml:space="preserve">Table </w:t>
      </w:r>
      <w:r>
        <w:rPr>
          <w:b/>
        </w:rPr>
        <w:t>4</w:t>
      </w:r>
      <w:r w:rsidRPr="00D528EF">
        <w:rPr>
          <w:b/>
        </w:rPr>
        <w:t>. Adjusted impact of SMI on healthcare use and health outcomes.</w:t>
      </w:r>
    </w:p>
    <w:tbl>
      <w:tblPr>
        <w:tblW w:w="5000" w:type="pct"/>
        <w:tblLook w:val="04A0" w:firstRow="1" w:lastRow="0" w:firstColumn="1" w:lastColumn="0" w:noHBand="0" w:noVBand="1"/>
      </w:tblPr>
      <w:tblGrid>
        <w:gridCol w:w="4168"/>
        <w:gridCol w:w="1939"/>
        <w:gridCol w:w="2024"/>
        <w:gridCol w:w="1111"/>
      </w:tblGrid>
      <w:tr w:rsidR="008A474E" w:rsidRPr="00D528EF" w14:paraId="15193C96" w14:textId="77777777" w:rsidTr="008A474E">
        <w:trPr>
          <w:trHeight w:val="300"/>
        </w:trPr>
        <w:tc>
          <w:tcPr>
            <w:tcW w:w="2314" w:type="pct"/>
            <w:tcBorders>
              <w:top w:val="single" w:sz="8" w:space="0" w:color="auto"/>
              <w:left w:val="nil"/>
              <w:bottom w:val="nil"/>
              <w:right w:val="nil"/>
            </w:tcBorders>
            <w:shd w:val="clear" w:color="auto" w:fill="auto"/>
            <w:noWrap/>
            <w:vAlign w:val="bottom"/>
            <w:hideMark/>
          </w:tcPr>
          <w:p w14:paraId="66449349"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2686" w:type="pct"/>
            <w:gridSpan w:val="3"/>
            <w:tcBorders>
              <w:top w:val="single" w:sz="8" w:space="0" w:color="auto"/>
              <w:left w:val="nil"/>
              <w:bottom w:val="single" w:sz="4" w:space="0" w:color="auto"/>
              <w:right w:val="nil"/>
            </w:tcBorders>
            <w:shd w:val="clear" w:color="auto" w:fill="auto"/>
            <w:noWrap/>
            <w:vAlign w:val="bottom"/>
            <w:hideMark/>
          </w:tcPr>
          <w:p w14:paraId="6FD33806"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Diagnosis of SMI</w:t>
            </w:r>
          </w:p>
        </w:tc>
      </w:tr>
      <w:tr w:rsidR="008A474E" w:rsidRPr="00D528EF" w14:paraId="75313F58" w14:textId="77777777" w:rsidTr="008A474E">
        <w:trPr>
          <w:trHeight w:val="345"/>
        </w:trPr>
        <w:tc>
          <w:tcPr>
            <w:tcW w:w="2314" w:type="pct"/>
            <w:tcBorders>
              <w:top w:val="single" w:sz="4" w:space="0" w:color="auto"/>
              <w:left w:val="nil"/>
              <w:bottom w:val="nil"/>
              <w:right w:val="nil"/>
            </w:tcBorders>
            <w:shd w:val="clear" w:color="auto" w:fill="auto"/>
            <w:noWrap/>
            <w:vAlign w:val="bottom"/>
            <w:hideMark/>
          </w:tcPr>
          <w:p w14:paraId="04360A75"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1037" w:type="pct"/>
            <w:tcBorders>
              <w:top w:val="nil"/>
              <w:left w:val="nil"/>
              <w:bottom w:val="single" w:sz="4" w:space="0" w:color="auto"/>
              <w:right w:val="nil"/>
            </w:tcBorders>
            <w:shd w:val="clear" w:color="auto" w:fill="auto"/>
            <w:noWrap/>
            <w:vAlign w:val="bottom"/>
            <w:hideMark/>
          </w:tcPr>
          <w:p w14:paraId="283BD451"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Adjusted IRR</w:t>
            </w:r>
            <w:r w:rsidRPr="00D528EF">
              <w:rPr>
                <w:rFonts w:ascii="Calibri" w:eastAsia="Times New Roman" w:hAnsi="Calibri" w:cs="Times New Roman"/>
                <w:b/>
                <w:bCs/>
                <w:color w:val="000000"/>
                <w:sz w:val="16"/>
                <w:szCs w:val="16"/>
                <w:vertAlign w:val="superscript"/>
                <w:lang w:eastAsia="en-GB"/>
              </w:rPr>
              <w:t>a</w:t>
            </w:r>
          </w:p>
        </w:tc>
        <w:tc>
          <w:tcPr>
            <w:tcW w:w="1086" w:type="pct"/>
            <w:tcBorders>
              <w:top w:val="nil"/>
              <w:left w:val="nil"/>
              <w:bottom w:val="single" w:sz="4" w:space="0" w:color="auto"/>
              <w:right w:val="nil"/>
            </w:tcBorders>
            <w:shd w:val="clear" w:color="auto" w:fill="auto"/>
            <w:noWrap/>
            <w:vAlign w:val="bottom"/>
            <w:hideMark/>
          </w:tcPr>
          <w:p w14:paraId="1A4CE88B"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95% CI</w:t>
            </w:r>
          </w:p>
        </w:tc>
        <w:tc>
          <w:tcPr>
            <w:tcW w:w="563" w:type="pct"/>
            <w:tcBorders>
              <w:top w:val="nil"/>
              <w:left w:val="nil"/>
              <w:bottom w:val="single" w:sz="4" w:space="0" w:color="auto"/>
              <w:right w:val="nil"/>
            </w:tcBorders>
            <w:shd w:val="clear" w:color="auto" w:fill="auto"/>
            <w:noWrap/>
            <w:vAlign w:val="bottom"/>
            <w:hideMark/>
          </w:tcPr>
          <w:p w14:paraId="1381CA0E"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 </w:t>
            </w:r>
            <w:r w:rsidRPr="00D528EF">
              <w:rPr>
                <w:rFonts w:ascii="Calibri" w:eastAsia="Times New Roman" w:hAnsi="Calibri" w:cs="Times New Roman"/>
                <w:b/>
                <w:bCs/>
                <w:color w:val="000000"/>
                <w:sz w:val="16"/>
                <w:szCs w:val="16"/>
                <w:lang w:eastAsia="en-GB"/>
              </w:rPr>
              <w:t>value</w:t>
            </w:r>
          </w:p>
        </w:tc>
      </w:tr>
      <w:tr w:rsidR="008A474E" w:rsidRPr="00D528EF" w14:paraId="7E4F65A7" w14:textId="77777777" w:rsidTr="008A474E">
        <w:trPr>
          <w:trHeight w:val="300"/>
        </w:trPr>
        <w:tc>
          <w:tcPr>
            <w:tcW w:w="2314" w:type="pct"/>
            <w:tcBorders>
              <w:top w:val="nil"/>
              <w:left w:val="nil"/>
              <w:bottom w:val="nil"/>
              <w:right w:val="nil"/>
            </w:tcBorders>
            <w:shd w:val="clear" w:color="auto" w:fill="auto"/>
            <w:noWrap/>
            <w:vAlign w:val="bottom"/>
            <w:hideMark/>
          </w:tcPr>
          <w:p w14:paraId="7D57FF03"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Primary care consultations</w:t>
            </w:r>
          </w:p>
        </w:tc>
        <w:tc>
          <w:tcPr>
            <w:tcW w:w="1037" w:type="pct"/>
            <w:tcBorders>
              <w:top w:val="nil"/>
              <w:left w:val="nil"/>
              <w:bottom w:val="nil"/>
              <w:right w:val="nil"/>
            </w:tcBorders>
            <w:shd w:val="clear" w:color="auto" w:fill="auto"/>
            <w:noWrap/>
            <w:vAlign w:val="bottom"/>
            <w:hideMark/>
          </w:tcPr>
          <w:p w14:paraId="33DF1399"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p>
        </w:tc>
        <w:tc>
          <w:tcPr>
            <w:tcW w:w="1086" w:type="pct"/>
            <w:tcBorders>
              <w:top w:val="nil"/>
              <w:left w:val="nil"/>
              <w:bottom w:val="nil"/>
              <w:right w:val="nil"/>
            </w:tcBorders>
            <w:shd w:val="clear" w:color="auto" w:fill="auto"/>
            <w:noWrap/>
            <w:vAlign w:val="bottom"/>
            <w:hideMark/>
          </w:tcPr>
          <w:p w14:paraId="0FFF91A7"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5A836891"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D528EF" w14:paraId="7B396DCA" w14:textId="77777777" w:rsidTr="008A474E">
        <w:trPr>
          <w:trHeight w:val="300"/>
        </w:trPr>
        <w:tc>
          <w:tcPr>
            <w:tcW w:w="2314" w:type="pct"/>
            <w:tcBorders>
              <w:top w:val="nil"/>
              <w:left w:val="nil"/>
              <w:bottom w:val="nil"/>
              <w:right w:val="nil"/>
            </w:tcBorders>
            <w:shd w:val="clear" w:color="auto" w:fill="auto"/>
            <w:noWrap/>
            <w:vAlign w:val="bottom"/>
            <w:hideMark/>
          </w:tcPr>
          <w:p w14:paraId="46FBB5D9"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Overall</w:t>
            </w:r>
          </w:p>
        </w:tc>
        <w:tc>
          <w:tcPr>
            <w:tcW w:w="1037" w:type="pct"/>
            <w:tcBorders>
              <w:top w:val="nil"/>
              <w:left w:val="nil"/>
              <w:bottom w:val="nil"/>
              <w:right w:val="nil"/>
            </w:tcBorders>
            <w:shd w:val="clear" w:color="auto" w:fill="auto"/>
            <w:noWrap/>
            <w:vAlign w:val="bottom"/>
            <w:hideMark/>
          </w:tcPr>
          <w:p w14:paraId="417C1B2D"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1.101</w:t>
            </w:r>
          </w:p>
        </w:tc>
        <w:tc>
          <w:tcPr>
            <w:tcW w:w="1086" w:type="pct"/>
            <w:tcBorders>
              <w:top w:val="nil"/>
              <w:left w:val="nil"/>
              <w:bottom w:val="nil"/>
              <w:right w:val="nil"/>
            </w:tcBorders>
            <w:shd w:val="clear" w:color="auto" w:fill="auto"/>
            <w:noWrap/>
            <w:vAlign w:val="bottom"/>
            <w:hideMark/>
          </w:tcPr>
          <w:p w14:paraId="512B62EA"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[1.069 - 1.134]</w:t>
            </w:r>
          </w:p>
        </w:tc>
        <w:tc>
          <w:tcPr>
            <w:tcW w:w="563" w:type="pct"/>
            <w:tcBorders>
              <w:top w:val="nil"/>
              <w:left w:val="nil"/>
              <w:bottom w:val="nil"/>
              <w:right w:val="nil"/>
            </w:tcBorders>
            <w:shd w:val="clear" w:color="auto" w:fill="auto"/>
            <w:noWrap/>
            <w:vAlign w:val="bottom"/>
            <w:hideMark/>
          </w:tcPr>
          <w:p w14:paraId="087E957C"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&lt; 0.001</w:t>
            </w:r>
          </w:p>
        </w:tc>
      </w:tr>
      <w:tr w:rsidR="008A474E" w:rsidRPr="00D528EF" w14:paraId="7C2643ED" w14:textId="77777777" w:rsidTr="008A474E">
        <w:trPr>
          <w:trHeight w:val="300"/>
        </w:trPr>
        <w:tc>
          <w:tcPr>
            <w:tcW w:w="2314" w:type="pct"/>
            <w:tcBorders>
              <w:top w:val="nil"/>
              <w:left w:val="nil"/>
              <w:bottom w:val="nil"/>
              <w:right w:val="nil"/>
            </w:tcBorders>
            <w:shd w:val="clear" w:color="auto" w:fill="auto"/>
            <w:noWrap/>
            <w:vAlign w:val="bottom"/>
            <w:hideMark/>
          </w:tcPr>
          <w:p w14:paraId="6535E3FA"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Primary care physicians</w:t>
            </w:r>
          </w:p>
        </w:tc>
        <w:tc>
          <w:tcPr>
            <w:tcW w:w="1037" w:type="pct"/>
            <w:tcBorders>
              <w:top w:val="nil"/>
              <w:left w:val="nil"/>
              <w:bottom w:val="nil"/>
              <w:right w:val="nil"/>
            </w:tcBorders>
            <w:shd w:val="clear" w:color="auto" w:fill="auto"/>
            <w:noWrap/>
            <w:vAlign w:val="bottom"/>
            <w:hideMark/>
          </w:tcPr>
          <w:p w14:paraId="5F77E8ED"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1.149</w:t>
            </w:r>
          </w:p>
        </w:tc>
        <w:tc>
          <w:tcPr>
            <w:tcW w:w="1086" w:type="pct"/>
            <w:tcBorders>
              <w:top w:val="nil"/>
              <w:left w:val="nil"/>
              <w:bottom w:val="nil"/>
              <w:right w:val="nil"/>
            </w:tcBorders>
            <w:shd w:val="clear" w:color="auto" w:fill="auto"/>
            <w:noWrap/>
            <w:vAlign w:val="bottom"/>
            <w:hideMark/>
          </w:tcPr>
          <w:p w14:paraId="162FB6A6"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[1.111 - 1.188]</w:t>
            </w:r>
          </w:p>
        </w:tc>
        <w:tc>
          <w:tcPr>
            <w:tcW w:w="563" w:type="pct"/>
            <w:tcBorders>
              <w:top w:val="nil"/>
              <w:left w:val="nil"/>
              <w:bottom w:val="nil"/>
              <w:right w:val="nil"/>
            </w:tcBorders>
            <w:shd w:val="clear" w:color="auto" w:fill="auto"/>
            <w:noWrap/>
            <w:vAlign w:val="bottom"/>
            <w:hideMark/>
          </w:tcPr>
          <w:p w14:paraId="3F7EBD05"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&lt; 0.001</w:t>
            </w:r>
          </w:p>
        </w:tc>
      </w:tr>
      <w:tr w:rsidR="008A474E" w:rsidRPr="00D528EF" w14:paraId="2E01CC26" w14:textId="77777777" w:rsidTr="008A474E">
        <w:trPr>
          <w:trHeight w:val="300"/>
        </w:trPr>
        <w:tc>
          <w:tcPr>
            <w:tcW w:w="2314" w:type="pct"/>
            <w:tcBorders>
              <w:top w:val="nil"/>
              <w:left w:val="nil"/>
              <w:bottom w:val="nil"/>
              <w:right w:val="nil"/>
            </w:tcBorders>
            <w:shd w:val="clear" w:color="auto" w:fill="auto"/>
            <w:noWrap/>
            <w:vAlign w:val="bottom"/>
            <w:hideMark/>
          </w:tcPr>
          <w:p w14:paraId="6308D681"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Practice </w:t>
            </w:r>
            <w:r w:rsidRPr="00D528EF">
              <w:rPr>
                <w:rFonts w:ascii="Calibri" w:eastAsia="Times New Roman" w:hAnsi="Calibri" w:cs="Times New Roman"/>
                <w:color w:val="000000"/>
                <w:sz w:val="16"/>
                <w:szCs w:val="16"/>
                <w:lang w:eastAsia="en-GB"/>
              </w:rPr>
              <w:t>Nurses</w:t>
            </w:r>
          </w:p>
        </w:tc>
        <w:tc>
          <w:tcPr>
            <w:tcW w:w="1037" w:type="pct"/>
            <w:tcBorders>
              <w:top w:val="nil"/>
              <w:left w:val="nil"/>
              <w:bottom w:val="nil"/>
              <w:right w:val="nil"/>
            </w:tcBorders>
            <w:shd w:val="clear" w:color="auto" w:fill="auto"/>
            <w:noWrap/>
            <w:vAlign w:val="bottom"/>
            <w:hideMark/>
          </w:tcPr>
          <w:p w14:paraId="6519F2FF"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1.020</w:t>
            </w:r>
          </w:p>
        </w:tc>
        <w:tc>
          <w:tcPr>
            <w:tcW w:w="1086" w:type="pct"/>
            <w:tcBorders>
              <w:top w:val="nil"/>
              <w:left w:val="nil"/>
              <w:bottom w:val="nil"/>
              <w:right w:val="nil"/>
            </w:tcBorders>
            <w:shd w:val="clear" w:color="auto" w:fill="auto"/>
            <w:noWrap/>
            <w:vAlign w:val="bottom"/>
            <w:hideMark/>
          </w:tcPr>
          <w:p w14:paraId="2F8BFC33"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[0.982 - 1.060]</w:t>
            </w:r>
          </w:p>
        </w:tc>
        <w:tc>
          <w:tcPr>
            <w:tcW w:w="563" w:type="pct"/>
            <w:tcBorders>
              <w:top w:val="nil"/>
              <w:left w:val="nil"/>
              <w:bottom w:val="nil"/>
              <w:right w:val="nil"/>
            </w:tcBorders>
            <w:shd w:val="clear" w:color="auto" w:fill="auto"/>
            <w:noWrap/>
            <w:vAlign w:val="bottom"/>
            <w:hideMark/>
          </w:tcPr>
          <w:p w14:paraId="28570905" w14:textId="77777777" w:rsidR="008A474E" w:rsidRPr="008D1AED" w:rsidRDefault="008A474E" w:rsidP="008A474E">
            <w:pPr>
              <w:spacing w:after="0" w:line="240" w:lineRule="auto"/>
              <w:jc w:val="both"/>
              <w:rPr>
                <w:rFonts w:ascii="Calibri" w:eastAsia="Times New Roman" w:hAnsi="Calibri" w:cs="Times New Roman"/>
                <w:color w:val="000000"/>
                <w:sz w:val="16"/>
                <w:szCs w:val="16"/>
                <w:lang w:eastAsia="en-GB"/>
              </w:rPr>
            </w:pPr>
            <w:r w:rsidRPr="00593579">
              <w:rPr>
                <w:rFonts w:ascii="Calibri" w:hAnsi="Calibri" w:cs="Calibri"/>
                <w:color w:val="000000"/>
                <w:sz w:val="16"/>
                <w:szCs w:val="16"/>
              </w:rPr>
              <w:t>0.297</w:t>
            </w:r>
          </w:p>
        </w:tc>
      </w:tr>
      <w:tr w:rsidR="008A474E" w:rsidRPr="00D528EF" w14:paraId="781FE8A4" w14:textId="77777777" w:rsidTr="008A474E">
        <w:trPr>
          <w:trHeight w:val="345"/>
        </w:trPr>
        <w:tc>
          <w:tcPr>
            <w:tcW w:w="2314" w:type="pct"/>
            <w:tcBorders>
              <w:top w:val="single" w:sz="4" w:space="0" w:color="auto"/>
              <w:left w:val="nil"/>
              <w:bottom w:val="nil"/>
              <w:right w:val="nil"/>
            </w:tcBorders>
            <w:shd w:val="clear" w:color="auto" w:fill="auto"/>
            <w:noWrap/>
            <w:vAlign w:val="bottom"/>
            <w:hideMark/>
          </w:tcPr>
          <w:p w14:paraId="1601A4A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1037" w:type="pct"/>
            <w:tcBorders>
              <w:top w:val="single" w:sz="4" w:space="0" w:color="auto"/>
              <w:left w:val="nil"/>
              <w:bottom w:val="single" w:sz="4" w:space="0" w:color="auto"/>
              <w:right w:val="nil"/>
            </w:tcBorders>
            <w:shd w:val="clear" w:color="auto" w:fill="auto"/>
            <w:noWrap/>
            <w:vAlign w:val="bottom"/>
            <w:hideMark/>
          </w:tcPr>
          <w:p w14:paraId="58163BC9"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Adjusted IRR</w:t>
            </w:r>
            <w:r w:rsidRPr="00D528EF">
              <w:rPr>
                <w:rFonts w:ascii="Calibri" w:eastAsia="Times New Roman" w:hAnsi="Calibri" w:cs="Times New Roman"/>
                <w:b/>
                <w:bCs/>
                <w:color w:val="000000"/>
                <w:sz w:val="16"/>
                <w:szCs w:val="16"/>
                <w:vertAlign w:val="superscript"/>
                <w:lang w:eastAsia="en-GB"/>
              </w:rPr>
              <w:t>a</w:t>
            </w:r>
          </w:p>
        </w:tc>
        <w:tc>
          <w:tcPr>
            <w:tcW w:w="1086" w:type="pct"/>
            <w:tcBorders>
              <w:top w:val="single" w:sz="4" w:space="0" w:color="auto"/>
              <w:left w:val="nil"/>
              <w:bottom w:val="single" w:sz="4" w:space="0" w:color="auto"/>
              <w:right w:val="nil"/>
            </w:tcBorders>
            <w:shd w:val="clear" w:color="auto" w:fill="auto"/>
            <w:noWrap/>
            <w:vAlign w:val="bottom"/>
            <w:hideMark/>
          </w:tcPr>
          <w:p w14:paraId="680072CC"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95% CI</w:t>
            </w:r>
          </w:p>
        </w:tc>
        <w:tc>
          <w:tcPr>
            <w:tcW w:w="563" w:type="pct"/>
            <w:tcBorders>
              <w:top w:val="single" w:sz="4" w:space="0" w:color="auto"/>
              <w:left w:val="nil"/>
              <w:bottom w:val="single" w:sz="4" w:space="0" w:color="auto"/>
              <w:right w:val="nil"/>
            </w:tcBorders>
            <w:shd w:val="clear" w:color="auto" w:fill="auto"/>
            <w:noWrap/>
            <w:vAlign w:val="bottom"/>
            <w:hideMark/>
          </w:tcPr>
          <w:p w14:paraId="7440E1B6"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 </w:t>
            </w:r>
            <w:r w:rsidRPr="00D528EF">
              <w:rPr>
                <w:rFonts w:ascii="Calibri" w:eastAsia="Times New Roman" w:hAnsi="Calibri" w:cs="Times New Roman"/>
                <w:b/>
                <w:bCs/>
                <w:color w:val="000000"/>
                <w:sz w:val="16"/>
                <w:szCs w:val="16"/>
                <w:lang w:eastAsia="en-GB"/>
              </w:rPr>
              <w:t>value</w:t>
            </w:r>
          </w:p>
        </w:tc>
      </w:tr>
      <w:tr w:rsidR="008A474E" w:rsidRPr="00D528EF" w14:paraId="7329C6AF" w14:textId="77777777" w:rsidTr="008A474E">
        <w:trPr>
          <w:trHeight w:val="300"/>
        </w:trPr>
        <w:tc>
          <w:tcPr>
            <w:tcW w:w="2314" w:type="pct"/>
            <w:tcBorders>
              <w:top w:val="nil"/>
              <w:left w:val="nil"/>
              <w:bottom w:val="nil"/>
              <w:right w:val="nil"/>
            </w:tcBorders>
            <w:shd w:val="clear" w:color="auto" w:fill="auto"/>
            <w:noWrap/>
            <w:vAlign w:val="bottom"/>
            <w:hideMark/>
          </w:tcPr>
          <w:p w14:paraId="7B2CE093"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Physical health checks</w:t>
            </w:r>
          </w:p>
        </w:tc>
        <w:tc>
          <w:tcPr>
            <w:tcW w:w="1037" w:type="pct"/>
            <w:tcBorders>
              <w:top w:val="nil"/>
              <w:left w:val="nil"/>
              <w:bottom w:val="nil"/>
              <w:right w:val="nil"/>
            </w:tcBorders>
            <w:shd w:val="clear" w:color="auto" w:fill="auto"/>
            <w:noWrap/>
            <w:vAlign w:val="bottom"/>
            <w:hideMark/>
          </w:tcPr>
          <w:p w14:paraId="03B05121"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p>
        </w:tc>
        <w:tc>
          <w:tcPr>
            <w:tcW w:w="1086" w:type="pct"/>
            <w:tcBorders>
              <w:top w:val="nil"/>
              <w:left w:val="nil"/>
              <w:bottom w:val="nil"/>
              <w:right w:val="nil"/>
            </w:tcBorders>
            <w:shd w:val="clear" w:color="auto" w:fill="auto"/>
            <w:noWrap/>
            <w:vAlign w:val="bottom"/>
            <w:hideMark/>
          </w:tcPr>
          <w:p w14:paraId="1E251DDB"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10F71D3F"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D528EF" w14:paraId="1F7C167B" w14:textId="77777777" w:rsidTr="008A474E">
        <w:trPr>
          <w:trHeight w:val="300"/>
        </w:trPr>
        <w:tc>
          <w:tcPr>
            <w:tcW w:w="2314" w:type="pct"/>
            <w:tcBorders>
              <w:top w:val="nil"/>
              <w:left w:val="nil"/>
              <w:bottom w:val="nil"/>
              <w:right w:val="nil"/>
            </w:tcBorders>
            <w:shd w:val="clear" w:color="auto" w:fill="auto"/>
            <w:noWrap/>
            <w:vAlign w:val="bottom"/>
            <w:hideMark/>
          </w:tcPr>
          <w:p w14:paraId="24B82EBF"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Blood pressure</w:t>
            </w:r>
          </w:p>
        </w:tc>
        <w:tc>
          <w:tcPr>
            <w:tcW w:w="1037" w:type="pct"/>
            <w:tcBorders>
              <w:top w:val="nil"/>
              <w:left w:val="nil"/>
              <w:bottom w:val="nil"/>
              <w:right w:val="nil"/>
            </w:tcBorders>
            <w:shd w:val="clear" w:color="auto" w:fill="auto"/>
            <w:noWrap/>
            <w:vAlign w:val="bottom"/>
            <w:hideMark/>
          </w:tcPr>
          <w:p w14:paraId="48E622F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1.024</w:t>
            </w:r>
          </w:p>
        </w:tc>
        <w:tc>
          <w:tcPr>
            <w:tcW w:w="1086" w:type="pct"/>
            <w:tcBorders>
              <w:top w:val="nil"/>
              <w:left w:val="nil"/>
              <w:bottom w:val="nil"/>
              <w:right w:val="nil"/>
            </w:tcBorders>
            <w:shd w:val="clear" w:color="auto" w:fill="auto"/>
            <w:noWrap/>
            <w:vAlign w:val="bottom"/>
            <w:hideMark/>
          </w:tcPr>
          <w:p w14:paraId="3FD72AF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[1.003 - 1.046]</w:t>
            </w:r>
          </w:p>
        </w:tc>
        <w:tc>
          <w:tcPr>
            <w:tcW w:w="563" w:type="pct"/>
            <w:tcBorders>
              <w:top w:val="nil"/>
              <w:left w:val="nil"/>
              <w:bottom w:val="nil"/>
              <w:right w:val="nil"/>
            </w:tcBorders>
            <w:shd w:val="clear" w:color="auto" w:fill="auto"/>
            <w:noWrap/>
            <w:vAlign w:val="bottom"/>
            <w:hideMark/>
          </w:tcPr>
          <w:p w14:paraId="3C979D58"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0.028</w:t>
            </w:r>
          </w:p>
        </w:tc>
      </w:tr>
      <w:tr w:rsidR="008A474E" w:rsidRPr="00D528EF" w14:paraId="30DB04D7" w14:textId="77777777" w:rsidTr="008A474E">
        <w:trPr>
          <w:trHeight w:val="300"/>
        </w:trPr>
        <w:tc>
          <w:tcPr>
            <w:tcW w:w="2314" w:type="pct"/>
            <w:tcBorders>
              <w:top w:val="nil"/>
              <w:left w:val="nil"/>
              <w:bottom w:val="nil"/>
              <w:right w:val="nil"/>
            </w:tcBorders>
            <w:shd w:val="clear" w:color="auto" w:fill="auto"/>
            <w:noWrap/>
            <w:vAlign w:val="bottom"/>
            <w:hideMark/>
          </w:tcPr>
          <w:p w14:paraId="76773A88"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Cholesterol</w:t>
            </w:r>
          </w:p>
        </w:tc>
        <w:tc>
          <w:tcPr>
            <w:tcW w:w="1037" w:type="pct"/>
            <w:tcBorders>
              <w:top w:val="nil"/>
              <w:left w:val="nil"/>
              <w:bottom w:val="nil"/>
              <w:right w:val="nil"/>
            </w:tcBorders>
            <w:shd w:val="clear" w:color="auto" w:fill="auto"/>
            <w:noWrap/>
            <w:vAlign w:val="bottom"/>
            <w:hideMark/>
          </w:tcPr>
          <w:p w14:paraId="570D690B"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1.038</w:t>
            </w:r>
          </w:p>
        </w:tc>
        <w:tc>
          <w:tcPr>
            <w:tcW w:w="1086" w:type="pct"/>
            <w:tcBorders>
              <w:top w:val="nil"/>
              <w:left w:val="nil"/>
              <w:bottom w:val="nil"/>
              <w:right w:val="nil"/>
            </w:tcBorders>
            <w:shd w:val="clear" w:color="auto" w:fill="auto"/>
            <w:noWrap/>
            <w:vAlign w:val="bottom"/>
            <w:hideMark/>
          </w:tcPr>
          <w:p w14:paraId="3883ABBB"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[1.019 - 1.058]</w:t>
            </w:r>
          </w:p>
        </w:tc>
        <w:tc>
          <w:tcPr>
            <w:tcW w:w="563" w:type="pct"/>
            <w:tcBorders>
              <w:top w:val="nil"/>
              <w:left w:val="nil"/>
              <w:bottom w:val="nil"/>
              <w:right w:val="nil"/>
            </w:tcBorders>
            <w:shd w:val="clear" w:color="auto" w:fill="auto"/>
            <w:noWrap/>
            <w:vAlign w:val="bottom"/>
            <w:hideMark/>
          </w:tcPr>
          <w:p w14:paraId="2E5FEB8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&lt; 0.001</w:t>
            </w:r>
          </w:p>
        </w:tc>
      </w:tr>
      <w:tr w:rsidR="008A474E" w:rsidRPr="00D528EF" w14:paraId="473CE1E3" w14:textId="77777777" w:rsidTr="008A474E">
        <w:trPr>
          <w:trHeight w:val="300"/>
        </w:trPr>
        <w:tc>
          <w:tcPr>
            <w:tcW w:w="2314" w:type="pct"/>
            <w:tcBorders>
              <w:top w:val="nil"/>
              <w:left w:val="nil"/>
              <w:bottom w:val="nil"/>
              <w:right w:val="nil"/>
            </w:tcBorders>
            <w:shd w:val="clear" w:color="auto" w:fill="auto"/>
            <w:noWrap/>
            <w:vAlign w:val="bottom"/>
            <w:hideMark/>
          </w:tcPr>
          <w:p w14:paraId="5D55766F"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HbA</w:t>
            </w:r>
            <w:r w:rsidRPr="00BD4392">
              <w:rPr>
                <w:rFonts w:ascii="Calibri" w:eastAsia="Times New Roman" w:hAnsi="Calibri" w:cs="Times New Roman"/>
                <w:color w:val="000000"/>
                <w:sz w:val="16"/>
                <w:szCs w:val="16"/>
                <w:vertAlign w:val="subscript"/>
                <w:lang w:eastAsia="en-GB"/>
              </w:rPr>
              <w:t>1c</w:t>
            </w:r>
          </w:p>
        </w:tc>
        <w:tc>
          <w:tcPr>
            <w:tcW w:w="1037" w:type="pct"/>
            <w:tcBorders>
              <w:top w:val="nil"/>
              <w:left w:val="nil"/>
              <w:bottom w:val="nil"/>
              <w:right w:val="nil"/>
            </w:tcBorders>
            <w:shd w:val="clear" w:color="auto" w:fill="auto"/>
            <w:noWrap/>
            <w:vAlign w:val="bottom"/>
            <w:hideMark/>
          </w:tcPr>
          <w:p w14:paraId="32AD615C"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0.989</w:t>
            </w:r>
          </w:p>
        </w:tc>
        <w:tc>
          <w:tcPr>
            <w:tcW w:w="1086" w:type="pct"/>
            <w:tcBorders>
              <w:top w:val="nil"/>
              <w:left w:val="nil"/>
              <w:bottom w:val="nil"/>
              <w:right w:val="nil"/>
            </w:tcBorders>
            <w:shd w:val="clear" w:color="auto" w:fill="auto"/>
            <w:noWrap/>
            <w:vAlign w:val="bottom"/>
            <w:hideMark/>
          </w:tcPr>
          <w:p w14:paraId="407CC28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[0.970 - 1.009]</w:t>
            </w:r>
          </w:p>
        </w:tc>
        <w:tc>
          <w:tcPr>
            <w:tcW w:w="563" w:type="pct"/>
            <w:tcBorders>
              <w:top w:val="nil"/>
              <w:left w:val="nil"/>
              <w:bottom w:val="nil"/>
              <w:right w:val="nil"/>
            </w:tcBorders>
            <w:shd w:val="clear" w:color="auto" w:fill="auto"/>
            <w:noWrap/>
            <w:vAlign w:val="bottom"/>
            <w:hideMark/>
          </w:tcPr>
          <w:p w14:paraId="0D3F0F5C"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0.297</w:t>
            </w:r>
          </w:p>
        </w:tc>
      </w:tr>
      <w:tr w:rsidR="008A474E" w:rsidRPr="00D528EF" w14:paraId="2294156F" w14:textId="77777777" w:rsidTr="008A474E">
        <w:trPr>
          <w:trHeight w:val="300"/>
        </w:trPr>
        <w:tc>
          <w:tcPr>
            <w:tcW w:w="2314" w:type="pct"/>
            <w:tcBorders>
              <w:top w:val="nil"/>
              <w:left w:val="nil"/>
              <w:bottom w:val="nil"/>
              <w:right w:val="nil"/>
            </w:tcBorders>
            <w:shd w:val="clear" w:color="auto" w:fill="auto"/>
            <w:noWrap/>
            <w:vAlign w:val="bottom"/>
            <w:hideMark/>
          </w:tcPr>
          <w:p w14:paraId="05B2946A"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BMI</w:t>
            </w:r>
          </w:p>
        </w:tc>
        <w:tc>
          <w:tcPr>
            <w:tcW w:w="1037" w:type="pct"/>
            <w:tcBorders>
              <w:top w:val="nil"/>
              <w:left w:val="nil"/>
              <w:bottom w:val="nil"/>
              <w:right w:val="nil"/>
            </w:tcBorders>
            <w:shd w:val="clear" w:color="auto" w:fill="auto"/>
            <w:noWrap/>
            <w:vAlign w:val="bottom"/>
            <w:hideMark/>
          </w:tcPr>
          <w:p w14:paraId="2EF45CE8"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1.068</w:t>
            </w:r>
          </w:p>
        </w:tc>
        <w:tc>
          <w:tcPr>
            <w:tcW w:w="1086" w:type="pct"/>
            <w:tcBorders>
              <w:top w:val="nil"/>
              <w:left w:val="nil"/>
              <w:bottom w:val="nil"/>
              <w:right w:val="nil"/>
            </w:tcBorders>
            <w:shd w:val="clear" w:color="auto" w:fill="auto"/>
            <w:noWrap/>
            <w:vAlign w:val="bottom"/>
            <w:hideMark/>
          </w:tcPr>
          <w:p w14:paraId="6F9D052C"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[1.044 - 1.093]</w:t>
            </w:r>
          </w:p>
        </w:tc>
        <w:tc>
          <w:tcPr>
            <w:tcW w:w="563" w:type="pct"/>
            <w:tcBorders>
              <w:top w:val="nil"/>
              <w:left w:val="nil"/>
              <w:bottom w:val="nil"/>
              <w:right w:val="nil"/>
            </w:tcBorders>
            <w:shd w:val="clear" w:color="auto" w:fill="auto"/>
            <w:noWrap/>
            <w:vAlign w:val="bottom"/>
            <w:hideMark/>
          </w:tcPr>
          <w:p w14:paraId="75DC6177"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&lt; 0.001</w:t>
            </w:r>
          </w:p>
        </w:tc>
      </w:tr>
      <w:tr w:rsidR="008A474E" w:rsidRPr="00D528EF" w14:paraId="2B0AB544" w14:textId="77777777" w:rsidTr="008A474E">
        <w:trPr>
          <w:trHeight w:val="345"/>
        </w:trPr>
        <w:tc>
          <w:tcPr>
            <w:tcW w:w="2314" w:type="pct"/>
            <w:tcBorders>
              <w:top w:val="single" w:sz="4" w:space="0" w:color="auto"/>
              <w:left w:val="nil"/>
              <w:bottom w:val="nil"/>
              <w:right w:val="nil"/>
            </w:tcBorders>
            <w:shd w:val="clear" w:color="auto" w:fill="auto"/>
            <w:noWrap/>
            <w:vAlign w:val="bottom"/>
            <w:hideMark/>
          </w:tcPr>
          <w:p w14:paraId="2606F8E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1037" w:type="pct"/>
            <w:tcBorders>
              <w:top w:val="single" w:sz="4" w:space="0" w:color="auto"/>
              <w:left w:val="nil"/>
              <w:bottom w:val="single" w:sz="4" w:space="0" w:color="auto"/>
              <w:right w:val="nil"/>
            </w:tcBorders>
            <w:shd w:val="clear" w:color="auto" w:fill="auto"/>
            <w:noWrap/>
            <w:vAlign w:val="bottom"/>
            <w:hideMark/>
          </w:tcPr>
          <w:p w14:paraId="74876485"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Adjusted IRR</w:t>
            </w:r>
            <w:r w:rsidRPr="00D528EF">
              <w:rPr>
                <w:rFonts w:ascii="Calibri" w:eastAsia="Times New Roman" w:hAnsi="Calibri" w:cs="Times New Roman"/>
                <w:b/>
                <w:bCs/>
                <w:color w:val="000000"/>
                <w:sz w:val="16"/>
                <w:szCs w:val="16"/>
                <w:vertAlign w:val="superscript"/>
                <w:lang w:eastAsia="en-GB"/>
              </w:rPr>
              <w:t>a</w:t>
            </w:r>
          </w:p>
        </w:tc>
        <w:tc>
          <w:tcPr>
            <w:tcW w:w="1086" w:type="pct"/>
            <w:tcBorders>
              <w:top w:val="single" w:sz="4" w:space="0" w:color="auto"/>
              <w:left w:val="nil"/>
              <w:bottom w:val="single" w:sz="4" w:space="0" w:color="auto"/>
              <w:right w:val="nil"/>
            </w:tcBorders>
            <w:shd w:val="clear" w:color="auto" w:fill="auto"/>
            <w:noWrap/>
            <w:vAlign w:val="bottom"/>
            <w:hideMark/>
          </w:tcPr>
          <w:p w14:paraId="092841C6"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95% CI</w:t>
            </w:r>
          </w:p>
        </w:tc>
        <w:tc>
          <w:tcPr>
            <w:tcW w:w="563" w:type="pct"/>
            <w:tcBorders>
              <w:top w:val="single" w:sz="4" w:space="0" w:color="auto"/>
              <w:left w:val="nil"/>
              <w:bottom w:val="single" w:sz="4" w:space="0" w:color="auto"/>
              <w:right w:val="nil"/>
            </w:tcBorders>
            <w:shd w:val="clear" w:color="auto" w:fill="auto"/>
            <w:noWrap/>
            <w:vAlign w:val="bottom"/>
            <w:hideMark/>
          </w:tcPr>
          <w:p w14:paraId="686FFB5B"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 </w:t>
            </w:r>
            <w:r w:rsidRPr="00D528EF">
              <w:rPr>
                <w:rFonts w:ascii="Calibri" w:eastAsia="Times New Roman" w:hAnsi="Calibri" w:cs="Times New Roman"/>
                <w:b/>
                <w:bCs/>
                <w:color w:val="000000"/>
                <w:sz w:val="16"/>
                <w:szCs w:val="16"/>
                <w:lang w:eastAsia="en-GB"/>
              </w:rPr>
              <w:t>value</w:t>
            </w:r>
          </w:p>
        </w:tc>
      </w:tr>
      <w:tr w:rsidR="008A474E" w:rsidRPr="00D528EF" w14:paraId="22BCAC3E" w14:textId="77777777" w:rsidTr="008A474E">
        <w:trPr>
          <w:trHeight w:val="570"/>
        </w:trPr>
        <w:tc>
          <w:tcPr>
            <w:tcW w:w="2314" w:type="pct"/>
            <w:tcBorders>
              <w:top w:val="nil"/>
              <w:left w:val="nil"/>
              <w:bottom w:val="nil"/>
              <w:right w:val="nil"/>
            </w:tcBorders>
            <w:shd w:val="clear" w:color="auto" w:fill="auto"/>
            <w:vAlign w:val="bottom"/>
            <w:hideMark/>
          </w:tcPr>
          <w:p w14:paraId="54D8B80F"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Hospital admissions for cardiovascular disease (I20-25&amp;I60-69)</w:t>
            </w:r>
          </w:p>
        </w:tc>
        <w:tc>
          <w:tcPr>
            <w:tcW w:w="1037" w:type="pct"/>
            <w:tcBorders>
              <w:top w:val="nil"/>
              <w:left w:val="nil"/>
              <w:bottom w:val="nil"/>
              <w:right w:val="nil"/>
            </w:tcBorders>
            <w:shd w:val="clear" w:color="auto" w:fill="auto"/>
            <w:noWrap/>
            <w:vAlign w:val="bottom"/>
            <w:hideMark/>
          </w:tcPr>
          <w:p w14:paraId="191A06CC"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p>
        </w:tc>
        <w:tc>
          <w:tcPr>
            <w:tcW w:w="1086" w:type="pct"/>
            <w:tcBorders>
              <w:top w:val="nil"/>
              <w:left w:val="nil"/>
              <w:bottom w:val="nil"/>
              <w:right w:val="nil"/>
            </w:tcBorders>
            <w:shd w:val="clear" w:color="auto" w:fill="auto"/>
            <w:noWrap/>
            <w:vAlign w:val="bottom"/>
            <w:hideMark/>
          </w:tcPr>
          <w:p w14:paraId="16837071"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4B7D5898"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D528EF" w14:paraId="43D193F1" w14:textId="77777777" w:rsidTr="008A474E">
        <w:trPr>
          <w:trHeight w:val="300"/>
        </w:trPr>
        <w:tc>
          <w:tcPr>
            <w:tcW w:w="2314" w:type="pct"/>
            <w:tcBorders>
              <w:top w:val="nil"/>
              <w:left w:val="nil"/>
              <w:bottom w:val="nil"/>
              <w:right w:val="nil"/>
            </w:tcBorders>
            <w:shd w:val="clear" w:color="auto" w:fill="auto"/>
            <w:noWrap/>
            <w:vAlign w:val="bottom"/>
            <w:hideMark/>
          </w:tcPr>
          <w:p w14:paraId="3B288504" w14:textId="77777777" w:rsidR="008A474E" w:rsidRPr="00D528EF" w:rsidRDefault="008A474E" w:rsidP="0012487F">
            <w:pPr>
              <w:spacing w:after="0" w:line="240" w:lineRule="auto"/>
              <w:ind w:firstLineChars="200" w:firstLine="320"/>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Emergency</w:t>
            </w:r>
          </w:p>
        </w:tc>
        <w:tc>
          <w:tcPr>
            <w:tcW w:w="1037" w:type="pct"/>
            <w:tcBorders>
              <w:top w:val="nil"/>
              <w:left w:val="nil"/>
              <w:bottom w:val="nil"/>
              <w:right w:val="nil"/>
            </w:tcBorders>
            <w:shd w:val="clear" w:color="auto" w:fill="auto"/>
            <w:noWrap/>
            <w:vAlign w:val="bottom"/>
            <w:hideMark/>
          </w:tcPr>
          <w:p w14:paraId="1C83B0AA"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1.149</w:t>
            </w:r>
          </w:p>
        </w:tc>
        <w:tc>
          <w:tcPr>
            <w:tcW w:w="1086" w:type="pct"/>
            <w:tcBorders>
              <w:top w:val="nil"/>
              <w:left w:val="nil"/>
              <w:bottom w:val="nil"/>
              <w:right w:val="nil"/>
            </w:tcBorders>
            <w:shd w:val="clear" w:color="auto" w:fill="auto"/>
            <w:noWrap/>
            <w:vAlign w:val="bottom"/>
            <w:hideMark/>
          </w:tcPr>
          <w:p w14:paraId="031D24CE"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[0.959 - 1.378]</w:t>
            </w:r>
          </w:p>
        </w:tc>
        <w:tc>
          <w:tcPr>
            <w:tcW w:w="563" w:type="pct"/>
            <w:tcBorders>
              <w:top w:val="nil"/>
              <w:left w:val="nil"/>
              <w:bottom w:val="nil"/>
              <w:right w:val="nil"/>
            </w:tcBorders>
            <w:shd w:val="clear" w:color="auto" w:fill="auto"/>
            <w:noWrap/>
            <w:vAlign w:val="bottom"/>
            <w:hideMark/>
          </w:tcPr>
          <w:p w14:paraId="1019AB69"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0.132</w:t>
            </w:r>
          </w:p>
        </w:tc>
      </w:tr>
      <w:tr w:rsidR="008A474E" w:rsidRPr="00D528EF" w14:paraId="616A96D7" w14:textId="77777777" w:rsidTr="008A474E">
        <w:trPr>
          <w:trHeight w:val="300"/>
        </w:trPr>
        <w:tc>
          <w:tcPr>
            <w:tcW w:w="2314" w:type="pct"/>
            <w:tcBorders>
              <w:top w:val="nil"/>
              <w:left w:val="nil"/>
              <w:bottom w:val="nil"/>
              <w:right w:val="nil"/>
            </w:tcBorders>
            <w:shd w:val="clear" w:color="auto" w:fill="auto"/>
            <w:noWrap/>
            <w:vAlign w:val="bottom"/>
            <w:hideMark/>
          </w:tcPr>
          <w:p w14:paraId="5A256941"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Angina (I20)</w:t>
            </w:r>
          </w:p>
        </w:tc>
        <w:tc>
          <w:tcPr>
            <w:tcW w:w="1037" w:type="pct"/>
            <w:tcBorders>
              <w:top w:val="nil"/>
              <w:left w:val="nil"/>
              <w:bottom w:val="nil"/>
              <w:right w:val="nil"/>
            </w:tcBorders>
            <w:shd w:val="clear" w:color="auto" w:fill="auto"/>
            <w:noWrap/>
            <w:vAlign w:val="bottom"/>
            <w:hideMark/>
          </w:tcPr>
          <w:p w14:paraId="6843C13F"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1.532</w:t>
            </w:r>
          </w:p>
        </w:tc>
        <w:tc>
          <w:tcPr>
            <w:tcW w:w="1086" w:type="pct"/>
            <w:tcBorders>
              <w:top w:val="nil"/>
              <w:left w:val="nil"/>
              <w:bottom w:val="nil"/>
              <w:right w:val="nil"/>
            </w:tcBorders>
            <w:shd w:val="clear" w:color="auto" w:fill="auto"/>
            <w:noWrap/>
            <w:vAlign w:val="bottom"/>
            <w:hideMark/>
          </w:tcPr>
          <w:p w14:paraId="0A59778A"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[1.069 - 2.195]</w:t>
            </w:r>
          </w:p>
        </w:tc>
        <w:tc>
          <w:tcPr>
            <w:tcW w:w="563" w:type="pct"/>
            <w:tcBorders>
              <w:top w:val="nil"/>
              <w:left w:val="nil"/>
              <w:bottom w:val="nil"/>
              <w:right w:val="nil"/>
            </w:tcBorders>
            <w:shd w:val="clear" w:color="auto" w:fill="auto"/>
            <w:noWrap/>
            <w:vAlign w:val="bottom"/>
            <w:hideMark/>
          </w:tcPr>
          <w:p w14:paraId="254BA0F5"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0.020</w:t>
            </w:r>
          </w:p>
        </w:tc>
      </w:tr>
      <w:tr w:rsidR="008A474E" w:rsidRPr="00D528EF" w14:paraId="4F339C70" w14:textId="77777777" w:rsidTr="008A474E">
        <w:trPr>
          <w:trHeight w:val="300"/>
        </w:trPr>
        <w:tc>
          <w:tcPr>
            <w:tcW w:w="2314" w:type="pct"/>
            <w:tcBorders>
              <w:top w:val="nil"/>
              <w:left w:val="nil"/>
              <w:bottom w:val="nil"/>
              <w:right w:val="nil"/>
            </w:tcBorders>
            <w:shd w:val="clear" w:color="auto" w:fill="auto"/>
            <w:noWrap/>
            <w:vAlign w:val="bottom"/>
            <w:hideMark/>
          </w:tcPr>
          <w:p w14:paraId="5129AD04"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MI (I21&amp;I22)</w:t>
            </w:r>
          </w:p>
        </w:tc>
        <w:tc>
          <w:tcPr>
            <w:tcW w:w="1037" w:type="pct"/>
            <w:tcBorders>
              <w:top w:val="nil"/>
              <w:left w:val="nil"/>
              <w:bottom w:val="nil"/>
              <w:right w:val="nil"/>
            </w:tcBorders>
            <w:shd w:val="clear" w:color="auto" w:fill="auto"/>
            <w:noWrap/>
            <w:vAlign w:val="bottom"/>
            <w:hideMark/>
          </w:tcPr>
          <w:p w14:paraId="46DF5668"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0.683</w:t>
            </w:r>
          </w:p>
        </w:tc>
        <w:tc>
          <w:tcPr>
            <w:tcW w:w="1086" w:type="pct"/>
            <w:tcBorders>
              <w:top w:val="nil"/>
              <w:left w:val="nil"/>
              <w:bottom w:val="nil"/>
              <w:right w:val="nil"/>
            </w:tcBorders>
            <w:shd w:val="clear" w:color="auto" w:fill="auto"/>
            <w:noWrap/>
            <w:vAlign w:val="bottom"/>
            <w:hideMark/>
          </w:tcPr>
          <w:p w14:paraId="0102B977"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[0.482 - 0.967]</w:t>
            </w:r>
          </w:p>
        </w:tc>
        <w:tc>
          <w:tcPr>
            <w:tcW w:w="563" w:type="pct"/>
            <w:tcBorders>
              <w:top w:val="nil"/>
              <w:left w:val="nil"/>
              <w:bottom w:val="nil"/>
              <w:right w:val="nil"/>
            </w:tcBorders>
            <w:shd w:val="clear" w:color="auto" w:fill="auto"/>
            <w:noWrap/>
            <w:vAlign w:val="bottom"/>
            <w:hideMark/>
          </w:tcPr>
          <w:p w14:paraId="6091AA0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0.032</w:t>
            </w:r>
          </w:p>
        </w:tc>
      </w:tr>
      <w:tr w:rsidR="008A474E" w:rsidRPr="00D528EF" w14:paraId="5309EDC1" w14:textId="77777777" w:rsidTr="008A474E">
        <w:trPr>
          <w:trHeight w:val="300"/>
        </w:trPr>
        <w:tc>
          <w:tcPr>
            <w:tcW w:w="2314" w:type="pct"/>
            <w:tcBorders>
              <w:top w:val="nil"/>
              <w:left w:val="nil"/>
              <w:bottom w:val="nil"/>
              <w:right w:val="nil"/>
            </w:tcBorders>
            <w:shd w:val="clear" w:color="auto" w:fill="auto"/>
            <w:noWrap/>
            <w:vAlign w:val="bottom"/>
            <w:hideMark/>
          </w:tcPr>
          <w:p w14:paraId="0A056336"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Stroke (I60-I64)</w:t>
            </w:r>
          </w:p>
        </w:tc>
        <w:tc>
          <w:tcPr>
            <w:tcW w:w="1037" w:type="pct"/>
            <w:tcBorders>
              <w:top w:val="nil"/>
              <w:left w:val="nil"/>
              <w:bottom w:val="nil"/>
              <w:right w:val="nil"/>
            </w:tcBorders>
            <w:shd w:val="clear" w:color="auto" w:fill="auto"/>
            <w:noWrap/>
            <w:vAlign w:val="bottom"/>
            <w:hideMark/>
          </w:tcPr>
          <w:p w14:paraId="0BBBBF0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1.440</w:t>
            </w:r>
          </w:p>
        </w:tc>
        <w:tc>
          <w:tcPr>
            <w:tcW w:w="1086" w:type="pct"/>
            <w:tcBorders>
              <w:top w:val="nil"/>
              <w:left w:val="nil"/>
              <w:bottom w:val="nil"/>
              <w:right w:val="nil"/>
            </w:tcBorders>
            <w:shd w:val="clear" w:color="auto" w:fill="auto"/>
            <w:noWrap/>
            <w:vAlign w:val="bottom"/>
            <w:hideMark/>
          </w:tcPr>
          <w:p w14:paraId="3C9C09B2"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[1.055 - 1.965]</w:t>
            </w:r>
          </w:p>
        </w:tc>
        <w:tc>
          <w:tcPr>
            <w:tcW w:w="563" w:type="pct"/>
            <w:tcBorders>
              <w:top w:val="nil"/>
              <w:left w:val="nil"/>
              <w:bottom w:val="nil"/>
              <w:right w:val="nil"/>
            </w:tcBorders>
            <w:shd w:val="clear" w:color="auto" w:fill="auto"/>
            <w:noWrap/>
            <w:vAlign w:val="bottom"/>
            <w:hideMark/>
          </w:tcPr>
          <w:p w14:paraId="492CB433"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0.022</w:t>
            </w:r>
          </w:p>
        </w:tc>
      </w:tr>
      <w:tr w:rsidR="008A474E" w:rsidRPr="00D528EF" w14:paraId="365B47CF" w14:textId="77777777" w:rsidTr="008A474E">
        <w:trPr>
          <w:trHeight w:val="300"/>
        </w:trPr>
        <w:tc>
          <w:tcPr>
            <w:tcW w:w="2314" w:type="pct"/>
            <w:tcBorders>
              <w:top w:val="nil"/>
              <w:left w:val="nil"/>
              <w:bottom w:val="nil"/>
              <w:right w:val="nil"/>
            </w:tcBorders>
            <w:shd w:val="clear" w:color="auto" w:fill="auto"/>
            <w:noWrap/>
            <w:vAlign w:val="bottom"/>
            <w:hideMark/>
          </w:tcPr>
          <w:p w14:paraId="3EF2EE2A" w14:textId="77777777" w:rsidR="008A474E" w:rsidRPr="00D528EF" w:rsidRDefault="008A474E" w:rsidP="0012487F">
            <w:pPr>
              <w:spacing w:after="0" w:line="240" w:lineRule="auto"/>
              <w:ind w:firstLineChars="200" w:firstLine="320"/>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Elective</w:t>
            </w:r>
          </w:p>
        </w:tc>
        <w:tc>
          <w:tcPr>
            <w:tcW w:w="1037" w:type="pct"/>
            <w:tcBorders>
              <w:top w:val="nil"/>
              <w:left w:val="nil"/>
              <w:bottom w:val="nil"/>
              <w:right w:val="nil"/>
            </w:tcBorders>
            <w:shd w:val="clear" w:color="auto" w:fill="auto"/>
            <w:noWrap/>
            <w:vAlign w:val="bottom"/>
            <w:hideMark/>
          </w:tcPr>
          <w:p w14:paraId="08A78E1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0.644</w:t>
            </w:r>
          </w:p>
        </w:tc>
        <w:tc>
          <w:tcPr>
            <w:tcW w:w="1086" w:type="pct"/>
            <w:tcBorders>
              <w:top w:val="nil"/>
              <w:left w:val="nil"/>
              <w:bottom w:val="nil"/>
              <w:right w:val="nil"/>
            </w:tcBorders>
            <w:shd w:val="clear" w:color="auto" w:fill="auto"/>
            <w:noWrap/>
            <w:vAlign w:val="bottom"/>
            <w:hideMark/>
          </w:tcPr>
          <w:p w14:paraId="1F01B642"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[0.470 - 0.882]</w:t>
            </w:r>
          </w:p>
        </w:tc>
        <w:tc>
          <w:tcPr>
            <w:tcW w:w="563" w:type="pct"/>
            <w:tcBorders>
              <w:top w:val="nil"/>
              <w:left w:val="nil"/>
              <w:bottom w:val="nil"/>
              <w:right w:val="nil"/>
            </w:tcBorders>
            <w:shd w:val="clear" w:color="auto" w:fill="auto"/>
            <w:noWrap/>
            <w:vAlign w:val="bottom"/>
            <w:hideMark/>
          </w:tcPr>
          <w:p w14:paraId="1FB9CF88"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0.006</w:t>
            </w:r>
          </w:p>
        </w:tc>
      </w:tr>
      <w:tr w:rsidR="008A474E" w:rsidRPr="00D528EF" w14:paraId="2DDD3654" w14:textId="77777777" w:rsidTr="008A474E">
        <w:trPr>
          <w:trHeight w:val="300"/>
        </w:trPr>
        <w:tc>
          <w:tcPr>
            <w:tcW w:w="2314" w:type="pct"/>
            <w:tcBorders>
              <w:top w:val="nil"/>
              <w:left w:val="nil"/>
              <w:bottom w:val="nil"/>
              <w:right w:val="nil"/>
            </w:tcBorders>
            <w:shd w:val="clear" w:color="auto" w:fill="auto"/>
            <w:noWrap/>
            <w:vAlign w:val="bottom"/>
            <w:hideMark/>
          </w:tcPr>
          <w:p w14:paraId="66DE9AE7"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Chronic IHD (I25)</w:t>
            </w:r>
          </w:p>
        </w:tc>
        <w:tc>
          <w:tcPr>
            <w:tcW w:w="1037" w:type="pct"/>
            <w:tcBorders>
              <w:top w:val="nil"/>
              <w:left w:val="nil"/>
              <w:bottom w:val="nil"/>
              <w:right w:val="nil"/>
            </w:tcBorders>
            <w:shd w:val="clear" w:color="auto" w:fill="auto"/>
            <w:noWrap/>
            <w:vAlign w:val="bottom"/>
            <w:hideMark/>
          </w:tcPr>
          <w:p w14:paraId="04E96D6F"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0.682</w:t>
            </w:r>
          </w:p>
        </w:tc>
        <w:tc>
          <w:tcPr>
            <w:tcW w:w="1086" w:type="pct"/>
            <w:tcBorders>
              <w:top w:val="nil"/>
              <w:left w:val="nil"/>
              <w:bottom w:val="nil"/>
              <w:right w:val="nil"/>
            </w:tcBorders>
            <w:shd w:val="clear" w:color="auto" w:fill="auto"/>
            <w:noWrap/>
            <w:vAlign w:val="bottom"/>
            <w:hideMark/>
          </w:tcPr>
          <w:p w14:paraId="0A17E2D1"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[0.508 - 0.915]</w:t>
            </w:r>
          </w:p>
        </w:tc>
        <w:tc>
          <w:tcPr>
            <w:tcW w:w="563" w:type="pct"/>
            <w:tcBorders>
              <w:top w:val="nil"/>
              <w:left w:val="nil"/>
              <w:bottom w:val="nil"/>
              <w:right w:val="nil"/>
            </w:tcBorders>
            <w:shd w:val="clear" w:color="auto" w:fill="auto"/>
            <w:noWrap/>
            <w:vAlign w:val="bottom"/>
            <w:hideMark/>
          </w:tcPr>
          <w:p w14:paraId="516514D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0.011</w:t>
            </w:r>
          </w:p>
        </w:tc>
      </w:tr>
      <w:tr w:rsidR="008A474E" w:rsidRPr="00D528EF" w14:paraId="624BF386" w14:textId="77777777" w:rsidTr="008A474E">
        <w:trPr>
          <w:trHeight w:val="345"/>
        </w:trPr>
        <w:tc>
          <w:tcPr>
            <w:tcW w:w="2314" w:type="pct"/>
            <w:tcBorders>
              <w:top w:val="single" w:sz="4" w:space="0" w:color="auto"/>
              <w:left w:val="nil"/>
              <w:bottom w:val="nil"/>
              <w:right w:val="nil"/>
            </w:tcBorders>
            <w:shd w:val="clear" w:color="auto" w:fill="auto"/>
            <w:noWrap/>
            <w:vAlign w:val="bottom"/>
            <w:hideMark/>
          </w:tcPr>
          <w:p w14:paraId="1A79ED2A"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1037" w:type="pct"/>
            <w:tcBorders>
              <w:top w:val="single" w:sz="4" w:space="0" w:color="auto"/>
              <w:left w:val="nil"/>
              <w:bottom w:val="single" w:sz="4" w:space="0" w:color="auto"/>
              <w:right w:val="nil"/>
            </w:tcBorders>
            <w:shd w:val="clear" w:color="auto" w:fill="auto"/>
            <w:noWrap/>
            <w:vAlign w:val="bottom"/>
            <w:hideMark/>
          </w:tcPr>
          <w:p w14:paraId="528C2405"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Adjusted OR</w:t>
            </w:r>
            <w:r w:rsidRPr="00D528EF">
              <w:rPr>
                <w:rFonts w:ascii="Calibri" w:eastAsia="Times New Roman" w:hAnsi="Calibri" w:cs="Times New Roman"/>
                <w:b/>
                <w:bCs/>
                <w:color w:val="000000"/>
                <w:sz w:val="16"/>
                <w:szCs w:val="16"/>
                <w:vertAlign w:val="superscript"/>
                <w:lang w:eastAsia="en-GB"/>
              </w:rPr>
              <w:t>b</w:t>
            </w:r>
          </w:p>
        </w:tc>
        <w:tc>
          <w:tcPr>
            <w:tcW w:w="1086" w:type="pct"/>
            <w:tcBorders>
              <w:top w:val="single" w:sz="4" w:space="0" w:color="auto"/>
              <w:left w:val="nil"/>
              <w:bottom w:val="single" w:sz="4" w:space="0" w:color="auto"/>
              <w:right w:val="nil"/>
            </w:tcBorders>
            <w:shd w:val="clear" w:color="auto" w:fill="auto"/>
            <w:noWrap/>
            <w:vAlign w:val="bottom"/>
            <w:hideMark/>
          </w:tcPr>
          <w:p w14:paraId="654EC3C2"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95% CI</w:t>
            </w:r>
          </w:p>
        </w:tc>
        <w:tc>
          <w:tcPr>
            <w:tcW w:w="563" w:type="pct"/>
            <w:tcBorders>
              <w:top w:val="single" w:sz="4" w:space="0" w:color="auto"/>
              <w:left w:val="nil"/>
              <w:bottom w:val="single" w:sz="4" w:space="0" w:color="auto"/>
              <w:right w:val="nil"/>
            </w:tcBorders>
            <w:shd w:val="clear" w:color="auto" w:fill="auto"/>
            <w:noWrap/>
            <w:vAlign w:val="bottom"/>
            <w:hideMark/>
          </w:tcPr>
          <w:p w14:paraId="19B8D18E"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 </w:t>
            </w:r>
            <w:r w:rsidRPr="00D528EF">
              <w:rPr>
                <w:rFonts w:ascii="Calibri" w:eastAsia="Times New Roman" w:hAnsi="Calibri" w:cs="Times New Roman"/>
                <w:b/>
                <w:bCs/>
                <w:color w:val="000000"/>
                <w:sz w:val="16"/>
                <w:szCs w:val="16"/>
                <w:lang w:eastAsia="en-GB"/>
              </w:rPr>
              <w:t>value</w:t>
            </w:r>
          </w:p>
        </w:tc>
      </w:tr>
      <w:tr w:rsidR="008A474E" w:rsidRPr="00D528EF" w14:paraId="2C0B8881" w14:textId="77777777" w:rsidTr="008A474E">
        <w:trPr>
          <w:trHeight w:val="329"/>
        </w:trPr>
        <w:tc>
          <w:tcPr>
            <w:tcW w:w="2314" w:type="pct"/>
            <w:tcBorders>
              <w:top w:val="nil"/>
              <w:left w:val="nil"/>
              <w:bottom w:val="nil"/>
              <w:right w:val="nil"/>
            </w:tcBorders>
            <w:shd w:val="clear" w:color="auto" w:fill="auto"/>
            <w:vAlign w:val="bottom"/>
            <w:hideMark/>
          </w:tcPr>
          <w:p w14:paraId="16CA4BB3"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Primary care diagnosis </w:t>
            </w:r>
            <w:r>
              <w:rPr>
                <w:rFonts w:ascii="Calibri" w:eastAsia="Times New Roman" w:hAnsi="Calibri" w:cs="Times New Roman"/>
                <w:b/>
                <w:bCs/>
                <w:i/>
                <w:iCs/>
                <w:color w:val="000000"/>
                <w:sz w:val="16"/>
                <w:szCs w:val="16"/>
                <w:lang w:eastAsia="en-GB"/>
              </w:rPr>
              <w:t>of</w:t>
            </w:r>
            <w:r w:rsidRPr="00D528EF">
              <w:rPr>
                <w:rFonts w:ascii="Calibri" w:eastAsia="Times New Roman" w:hAnsi="Calibri" w:cs="Times New Roman"/>
                <w:b/>
                <w:bCs/>
                <w:i/>
                <w:iCs/>
                <w:color w:val="000000"/>
                <w:sz w:val="16"/>
                <w:szCs w:val="16"/>
                <w:lang w:eastAsia="en-GB"/>
              </w:rPr>
              <w:t xml:space="preserve"> cardiovascular disease</w:t>
            </w:r>
          </w:p>
        </w:tc>
        <w:tc>
          <w:tcPr>
            <w:tcW w:w="1037" w:type="pct"/>
            <w:tcBorders>
              <w:top w:val="nil"/>
              <w:left w:val="nil"/>
              <w:bottom w:val="nil"/>
              <w:right w:val="nil"/>
            </w:tcBorders>
            <w:shd w:val="clear" w:color="auto" w:fill="auto"/>
            <w:noWrap/>
            <w:vAlign w:val="bottom"/>
            <w:hideMark/>
          </w:tcPr>
          <w:p w14:paraId="69C6DAB5"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p>
        </w:tc>
        <w:tc>
          <w:tcPr>
            <w:tcW w:w="1086" w:type="pct"/>
            <w:tcBorders>
              <w:top w:val="nil"/>
              <w:left w:val="nil"/>
              <w:bottom w:val="nil"/>
              <w:right w:val="nil"/>
            </w:tcBorders>
            <w:shd w:val="clear" w:color="auto" w:fill="auto"/>
            <w:noWrap/>
            <w:vAlign w:val="bottom"/>
            <w:hideMark/>
          </w:tcPr>
          <w:p w14:paraId="0CC132F0"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6ACBEB37"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D528EF" w14:paraId="68DDB2B5" w14:textId="77777777" w:rsidTr="008A474E">
        <w:trPr>
          <w:trHeight w:val="287"/>
        </w:trPr>
        <w:tc>
          <w:tcPr>
            <w:tcW w:w="2314" w:type="pct"/>
            <w:tcBorders>
              <w:top w:val="nil"/>
              <w:left w:val="nil"/>
              <w:bottom w:val="nil"/>
              <w:right w:val="nil"/>
            </w:tcBorders>
            <w:shd w:val="clear" w:color="auto" w:fill="auto"/>
            <w:vAlign w:val="bottom"/>
            <w:hideMark/>
          </w:tcPr>
          <w:p w14:paraId="51808984"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Macrovascular complications (MI, stroke and PVD)</w:t>
            </w:r>
          </w:p>
        </w:tc>
        <w:tc>
          <w:tcPr>
            <w:tcW w:w="1037" w:type="pct"/>
            <w:tcBorders>
              <w:top w:val="nil"/>
              <w:left w:val="nil"/>
              <w:bottom w:val="nil"/>
              <w:right w:val="nil"/>
            </w:tcBorders>
            <w:shd w:val="clear" w:color="auto" w:fill="auto"/>
            <w:noWrap/>
            <w:vAlign w:val="bottom"/>
            <w:hideMark/>
          </w:tcPr>
          <w:p w14:paraId="4B285FD3"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0.970</w:t>
            </w:r>
          </w:p>
        </w:tc>
        <w:tc>
          <w:tcPr>
            <w:tcW w:w="1086" w:type="pct"/>
            <w:tcBorders>
              <w:top w:val="nil"/>
              <w:left w:val="nil"/>
              <w:bottom w:val="nil"/>
              <w:right w:val="nil"/>
            </w:tcBorders>
            <w:shd w:val="clear" w:color="auto" w:fill="auto"/>
            <w:noWrap/>
            <w:vAlign w:val="bottom"/>
            <w:hideMark/>
          </w:tcPr>
          <w:p w14:paraId="66F0F771"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[0.794 - 1.185]</w:t>
            </w:r>
          </w:p>
        </w:tc>
        <w:tc>
          <w:tcPr>
            <w:tcW w:w="563" w:type="pct"/>
            <w:tcBorders>
              <w:top w:val="nil"/>
              <w:left w:val="nil"/>
              <w:bottom w:val="nil"/>
              <w:right w:val="nil"/>
            </w:tcBorders>
            <w:shd w:val="clear" w:color="auto" w:fill="auto"/>
            <w:noWrap/>
            <w:vAlign w:val="bottom"/>
            <w:hideMark/>
          </w:tcPr>
          <w:p w14:paraId="4551A96E"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0.765</w:t>
            </w:r>
          </w:p>
        </w:tc>
      </w:tr>
      <w:tr w:rsidR="008A474E" w:rsidRPr="00D528EF" w14:paraId="410236E5" w14:textId="77777777" w:rsidTr="008A474E">
        <w:trPr>
          <w:trHeight w:val="285"/>
        </w:trPr>
        <w:tc>
          <w:tcPr>
            <w:tcW w:w="2314" w:type="pct"/>
            <w:tcBorders>
              <w:top w:val="nil"/>
              <w:left w:val="nil"/>
              <w:bottom w:val="nil"/>
              <w:right w:val="nil"/>
            </w:tcBorders>
            <w:shd w:val="clear" w:color="auto" w:fill="auto"/>
            <w:noWrap/>
            <w:vAlign w:val="bottom"/>
            <w:hideMark/>
          </w:tcPr>
          <w:p w14:paraId="1C1DAA1D"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Angina</w:t>
            </w:r>
          </w:p>
        </w:tc>
        <w:tc>
          <w:tcPr>
            <w:tcW w:w="1037" w:type="pct"/>
            <w:tcBorders>
              <w:top w:val="nil"/>
              <w:left w:val="nil"/>
              <w:bottom w:val="nil"/>
              <w:right w:val="nil"/>
            </w:tcBorders>
            <w:shd w:val="clear" w:color="auto" w:fill="auto"/>
            <w:noWrap/>
            <w:vAlign w:val="bottom"/>
            <w:hideMark/>
          </w:tcPr>
          <w:p w14:paraId="3913E4A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0.671</w:t>
            </w:r>
          </w:p>
        </w:tc>
        <w:tc>
          <w:tcPr>
            <w:tcW w:w="1086" w:type="pct"/>
            <w:tcBorders>
              <w:top w:val="nil"/>
              <w:left w:val="nil"/>
              <w:bottom w:val="nil"/>
              <w:right w:val="nil"/>
            </w:tcBorders>
            <w:shd w:val="clear" w:color="auto" w:fill="auto"/>
            <w:noWrap/>
            <w:vAlign w:val="bottom"/>
            <w:hideMark/>
          </w:tcPr>
          <w:p w14:paraId="4B3733B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[0.450 - 1.001]</w:t>
            </w:r>
          </w:p>
        </w:tc>
        <w:tc>
          <w:tcPr>
            <w:tcW w:w="563" w:type="pct"/>
            <w:tcBorders>
              <w:top w:val="nil"/>
              <w:left w:val="nil"/>
              <w:bottom w:val="nil"/>
              <w:right w:val="nil"/>
            </w:tcBorders>
            <w:shd w:val="clear" w:color="auto" w:fill="auto"/>
            <w:noWrap/>
            <w:vAlign w:val="bottom"/>
            <w:hideMark/>
          </w:tcPr>
          <w:p w14:paraId="1FC76F3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0.050</w:t>
            </w:r>
          </w:p>
        </w:tc>
      </w:tr>
      <w:tr w:rsidR="008A474E" w:rsidRPr="00D528EF" w14:paraId="42F6D333" w14:textId="77777777" w:rsidTr="008A474E">
        <w:trPr>
          <w:trHeight w:val="300"/>
        </w:trPr>
        <w:tc>
          <w:tcPr>
            <w:tcW w:w="2314" w:type="pct"/>
            <w:tcBorders>
              <w:top w:val="nil"/>
              <w:left w:val="nil"/>
              <w:bottom w:val="nil"/>
              <w:right w:val="nil"/>
            </w:tcBorders>
            <w:shd w:val="clear" w:color="auto" w:fill="auto"/>
            <w:noWrap/>
            <w:vAlign w:val="bottom"/>
            <w:hideMark/>
          </w:tcPr>
          <w:p w14:paraId="0D00C596"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MI</w:t>
            </w:r>
          </w:p>
        </w:tc>
        <w:tc>
          <w:tcPr>
            <w:tcW w:w="1037" w:type="pct"/>
            <w:tcBorders>
              <w:top w:val="nil"/>
              <w:left w:val="nil"/>
              <w:bottom w:val="nil"/>
              <w:right w:val="nil"/>
            </w:tcBorders>
            <w:shd w:val="clear" w:color="auto" w:fill="auto"/>
            <w:noWrap/>
            <w:vAlign w:val="bottom"/>
            <w:hideMark/>
          </w:tcPr>
          <w:p w14:paraId="71A8CF8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0.929</w:t>
            </w:r>
          </w:p>
        </w:tc>
        <w:tc>
          <w:tcPr>
            <w:tcW w:w="1086" w:type="pct"/>
            <w:tcBorders>
              <w:top w:val="nil"/>
              <w:left w:val="nil"/>
              <w:bottom w:val="nil"/>
              <w:right w:val="nil"/>
            </w:tcBorders>
            <w:shd w:val="clear" w:color="auto" w:fill="auto"/>
            <w:noWrap/>
            <w:vAlign w:val="bottom"/>
            <w:hideMark/>
          </w:tcPr>
          <w:p w14:paraId="742E452F"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[0.698 - 1.236]</w:t>
            </w:r>
          </w:p>
        </w:tc>
        <w:tc>
          <w:tcPr>
            <w:tcW w:w="563" w:type="pct"/>
            <w:tcBorders>
              <w:top w:val="nil"/>
              <w:left w:val="nil"/>
              <w:bottom w:val="nil"/>
              <w:right w:val="nil"/>
            </w:tcBorders>
            <w:shd w:val="clear" w:color="auto" w:fill="auto"/>
            <w:noWrap/>
            <w:vAlign w:val="bottom"/>
            <w:hideMark/>
          </w:tcPr>
          <w:p w14:paraId="2E20FF81"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0.613</w:t>
            </w:r>
          </w:p>
        </w:tc>
      </w:tr>
      <w:tr w:rsidR="008A474E" w:rsidRPr="00D528EF" w14:paraId="023182C8" w14:textId="77777777" w:rsidTr="008A474E">
        <w:trPr>
          <w:trHeight w:val="300"/>
        </w:trPr>
        <w:tc>
          <w:tcPr>
            <w:tcW w:w="2314" w:type="pct"/>
            <w:tcBorders>
              <w:top w:val="nil"/>
              <w:left w:val="nil"/>
              <w:bottom w:val="nil"/>
              <w:right w:val="nil"/>
            </w:tcBorders>
            <w:shd w:val="clear" w:color="auto" w:fill="auto"/>
            <w:noWrap/>
            <w:vAlign w:val="bottom"/>
            <w:hideMark/>
          </w:tcPr>
          <w:p w14:paraId="1211357B"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Stroke</w:t>
            </w:r>
          </w:p>
        </w:tc>
        <w:tc>
          <w:tcPr>
            <w:tcW w:w="1037" w:type="pct"/>
            <w:tcBorders>
              <w:top w:val="nil"/>
              <w:left w:val="nil"/>
              <w:bottom w:val="nil"/>
              <w:right w:val="nil"/>
            </w:tcBorders>
            <w:shd w:val="clear" w:color="auto" w:fill="auto"/>
            <w:noWrap/>
            <w:vAlign w:val="bottom"/>
            <w:hideMark/>
          </w:tcPr>
          <w:p w14:paraId="393D5D04"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1.381</w:t>
            </w:r>
          </w:p>
        </w:tc>
        <w:tc>
          <w:tcPr>
            <w:tcW w:w="1086" w:type="pct"/>
            <w:tcBorders>
              <w:top w:val="nil"/>
              <w:left w:val="nil"/>
              <w:bottom w:val="nil"/>
              <w:right w:val="nil"/>
            </w:tcBorders>
            <w:shd w:val="clear" w:color="auto" w:fill="auto"/>
            <w:noWrap/>
            <w:vAlign w:val="bottom"/>
            <w:hideMark/>
          </w:tcPr>
          <w:p w14:paraId="0226382D"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[1.036 - 1.841]</w:t>
            </w:r>
          </w:p>
        </w:tc>
        <w:tc>
          <w:tcPr>
            <w:tcW w:w="563" w:type="pct"/>
            <w:tcBorders>
              <w:top w:val="nil"/>
              <w:left w:val="nil"/>
              <w:bottom w:val="nil"/>
              <w:right w:val="nil"/>
            </w:tcBorders>
            <w:shd w:val="clear" w:color="auto" w:fill="auto"/>
            <w:noWrap/>
            <w:vAlign w:val="bottom"/>
            <w:hideMark/>
          </w:tcPr>
          <w:p w14:paraId="0F45C209"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0.028</w:t>
            </w:r>
          </w:p>
        </w:tc>
      </w:tr>
      <w:tr w:rsidR="008A474E" w:rsidRPr="00D528EF" w14:paraId="0D236082" w14:textId="77777777" w:rsidTr="008A474E">
        <w:trPr>
          <w:trHeight w:val="300"/>
        </w:trPr>
        <w:tc>
          <w:tcPr>
            <w:tcW w:w="2314" w:type="pct"/>
            <w:tcBorders>
              <w:top w:val="nil"/>
              <w:left w:val="nil"/>
              <w:bottom w:val="nil"/>
              <w:right w:val="nil"/>
            </w:tcBorders>
            <w:shd w:val="clear" w:color="auto" w:fill="auto"/>
            <w:noWrap/>
            <w:vAlign w:val="bottom"/>
            <w:hideMark/>
          </w:tcPr>
          <w:p w14:paraId="4072DCEB"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Chronic IHD</w:t>
            </w:r>
          </w:p>
        </w:tc>
        <w:tc>
          <w:tcPr>
            <w:tcW w:w="1037" w:type="pct"/>
            <w:tcBorders>
              <w:top w:val="nil"/>
              <w:left w:val="nil"/>
              <w:bottom w:val="nil"/>
              <w:right w:val="nil"/>
            </w:tcBorders>
            <w:shd w:val="clear" w:color="auto" w:fill="auto"/>
            <w:noWrap/>
            <w:vAlign w:val="bottom"/>
            <w:hideMark/>
          </w:tcPr>
          <w:p w14:paraId="1191E7F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0.742</w:t>
            </w:r>
          </w:p>
        </w:tc>
        <w:tc>
          <w:tcPr>
            <w:tcW w:w="1086" w:type="pct"/>
            <w:tcBorders>
              <w:top w:val="nil"/>
              <w:left w:val="nil"/>
              <w:bottom w:val="nil"/>
              <w:right w:val="nil"/>
            </w:tcBorders>
            <w:shd w:val="clear" w:color="auto" w:fill="auto"/>
            <w:noWrap/>
            <w:vAlign w:val="bottom"/>
            <w:hideMark/>
          </w:tcPr>
          <w:p w14:paraId="257B8E06"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[0.394 - 1.399]</w:t>
            </w:r>
          </w:p>
        </w:tc>
        <w:tc>
          <w:tcPr>
            <w:tcW w:w="563" w:type="pct"/>
            <w:tcBorders>
              <w:top w:val="nil"/>
              <w:left w:val="nil"/>
              <w:bottom w:val="nil"/>
              <w:right w:val="nil"/>
            </w:tcBorders>
            <w:shd w:val="clear" w:color="auto" w:fill="auto"/>
            <w:noWrap/>
            <w:vAlign w:val="bottom"/>
            <w:hideMark/>
          </w:tcPr>
          <w:p w14:paraId="100439A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0.356</w:t>
            </w:r>
          </w:p>
        </w:tc>
      </w:tr>
      <w:tr w:rsidR="008A474E" w:rsidRPr="00D528EF" w14:paraId="37040432" w14:textId="77777777" w:rsidTr="008A474E">
        <w:trPr>
          <w:trHeight w:val="345"/>
        </w:trPr>
        <w:tc>
          <w:tcPr>
            <w:tcW w:w="2314" w:type="pct"/>
            <w:tcBorders>
              <w:top w:val="single" w:sz="4" w:space="0" w:color="auto"/>
              <w:left w:val="nil"/>
              <w:bottom w:val="nil"/>
              <w:right w:val="nil"/>
            </w:tcBorders>
            <w:shd w:val="clear" w:color="auto" w:fill="auto"/>
            <w:noWrap/>
            <w:vAlign w:val="bottom"/>
            <w:hideMark/>
          </w:tcPr>
          <w:p w14:paraId="213A033E"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 </w:t>
            </w:r>
          </w:p>
        </w:tc>
        <w:tc>
          <w:tcPr>
            <w:tcW w:w="1037" w:type="pct"/>
            <w:tcBorders>
              <w:top w:val="single" w:sz="4" w:space="0" w:color="auto"/>
              <w:left w:val="nil"/>
              <w:bottom w:val="single" w:sz="4" w:space="0" w:color="auto"/>
              <w:right w:val="nil"/>
            </w:tcBorders>
            <w:shd w:val="clear" w:color="auto" w:fill="auto"/>
            <w:noWrap/>
            <w:vAlign w:val="bottom"/>
            <w:hideMark/>
          </w:tcPr>
          <w:p w14:paraId="499B14D9"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Adjusted HR</w:t>
            </w:r>
            <w:r w:rsidRPr="00D528EF">
              <w:rPr>
                <w:rFonts w:ascii="Calibri" w:eastAsia="Times New Roman" w:hAnsi="Calibri" w:cs="Times New Roman"/>
                <w:b/>
                <w:bCs/>
                <w:color w:val="000000"/>
                <w:sz w:val="16"/>
                <w:szCs w:val="16"/>
                <w:vertAlign w:val="superscript"/>
                <w:lang w:eastAsia="en-GB"/>
              </w:rPr>
              <w:t>c</w:t>
            </w:r>
          </w:p>
        </w:tc>
        <w:tc>
          <w:tcPr>
            <w:tcW w:w="1086" w:type="pct"/>
            <w:tcBorders>
              <w:top w:val="single" w:sz="4" w:space="0" w:color="auto"/>
              <w:left w:val="nil"/>
              <w:bottom w:val="single" w:sz="4" w:space="0" w:color="auto"/>
              <w:right w:val="nil"/>
            </w:tcBorders>
            <w:shd w:val="clear" w:color="auto" w:fill="auto"/>
            <w:noWrap/>
            <w:vAlign w:val="bottom"/>
            <w:hideMark/>
          </w:tcPr>
          <w:p w14:paraId="5D7BB2EE" w14:textId="77777777" w:rsidR="008A474E" w:rsidRPr="00D528EF" w:rsidRDefault="008A474E" w:rsidP="008A474E">
            <w:pPr>
              <w:spacing w:after="0" w:line="240" w:lineRule="auto"/>
              <w:jc w:val="both"/>
              <w:rPr>
                <w:rFonts w:ascii="Calibri" w:eastAsia="Times New Roman" w:hAnsi="Calibri" w:cs="Times New Roman"/>
                <w:b/>
                <w:bCs/>
                <w:color w:val="000000"/>
                <w:sz w:val="16"/>
                <w:szCs w:val="16"/>
                <w:lang w:eastAsia="en-GB"/>
              </w:rPr>
            </w:pPr>
            <w:r w:rsidRPr="00D528EF">
              <w:rPr>
                <w:rFonts w:ascii="Calibri" w:eastAsia="Times New Roman" w:hAnsi="Calibri" w:cs="Times New Roman"/>
                <w:b/>
                <w:bCs/>
                <w:color w:val="000000"/>
                <w:sz w:val="16"/>
                <w:szCs w:val="16"/>
                <w:lang w:eastAsia="en-GB"/>
              </w:rPr>
              <w:t>95% CI</w:t>
            </w:r>
          </w:p>
        </w:tc>
        <w:tc>
          <w:tcPr>
            <w:tcW w:w="563" w:type="pct"/>
            <w:tcBorders>
              <w:top w:val="single" w:sz="4" w:space="0" w:color="auto"/>
              <w:left w:val="nil"/>
              <w:bottom w:val="single" w:sz="4" w:space="0" w:color="auto"/>
              <w:right w:val="nil"/>
            </w:tcBorders>
            <w:shd w:val="clear" w:color="auto" w:fill="auto"/>
            <w:noWrap/>
            <w:vAlign w:val="bottom"/>
            <w:hideMark/>
          </w:tcPr>
          <w:p w14:paraId="6D8C3617"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 xml:space="preserve">p </w:t>
            </w:r>
            <w:r w:rsidRPr="00D528EF">
              <w:rPr>
                <w:rFonts w:ascii="Calibri" w:eastAsia="Times New Roman" w:hAnsi="Calibri" w:cs="Times New Roman"/>
                <w:b/>
                <w:bCs/>
                <w:color w:val="000000"/>
                <w:sz w:val="16"/>
                <w:szCs w:val="16"/>
                <w:lang w:eastAsia="en-GB"/>
              </w:rPr>
              <w:t>value</w:t>
            </w:r>
          </w:p>
        </w:tc>
      </w:tr>
      <w:tr w:rsidR="008A474E" w:rsidRPr="00D528EF" w14:paraId="3BD2DC91" w14:textId="77777777" w:rsidTr="008A474E">
        <w:trPr>
          <w:trHeight w:val="300"/>
        </w:trPr>
        <w:tc>
          <w:tcPr>
            <w:tcW w:w="2314" w:type="pct"/>
            <w:tcBorders>
              <w:top w:val="nil"/>
              <w:left w:val="nil"/>
              <w:bottom w:val="nil"/>
              <w:right w:val="nil"/>
            </w:tcBorders>
            <w:shd w:val="clear" w:color="auto" w:fill="auto"/>
            <w:noWrap/>
            <w:vAlign w:val="bottom"/>
            <w:hideMark/>
          </w:tcPr>
          <w:p w14:paraId="3021C51C"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r w:rsidRPr="00D528EF">
              <w:rPr>
                <w:rFonts w:ascii="Calibri" w:eastAsia="Times New Roman" w:hAnsi="Calibri" w:cs="Times New Roman"/>
                <w:b/>
                <w:bCs/>
                <w:i/>
                <w:iCs/>
                <w:color w:val="000000"/>
                <w:sz w:val="16"/>
                <w:szCs w:val="16"/>
                <w:lang w:eastAsia="en-GB"/>
              </w:rPr>
              <w:t>Mortality</w:t>
            </w:r>
          </w:p>
        </w:tc>
        <w:tc>
          <w:tcPr>
            <w:tcW w:w="1037" w:type="pct"/>
            <w:tcBorders>
              <w:top w:val="nil"/>
              <w:left w:val="nil"/>
              <w:bottom w:val="nil"/>
              <w:right w:val="nil"/>
            </w:tcBorders>
            <w:shd w:val="clear" w:color="auto" w:fill="auto"/>
            <w:noWrap/>
            <w:vAlign w:val="bottom"/>
            <w:hideMark/>
          </w:tcPr>
          <w:p w14:paraId="1A939FF0" w14:textId="77777777" w:rsidR="008A474E" w:rsidRPr="00D528EF" w:rsidRDefault="008A474E" w:rsidP="008A474E">
            <w:pPr>
              <w:spacing w:after="0" w:line="240" w:lineRule="auto"/>
              <w:jc w:val="both"/>
              <w:rPr>
                <w:rFonts w:ascii="Calibri" w:eastAsia="Times New Roman" w:hAnsi="Calibri" w:cs="Times New Roman"/>
                <w:b/>
                <w:bCs/>
                <w:i/>
                <w:iCs/>
                <w:color w:val="000000"/>
                <w:sz w:val="16"/>
                <w:szCs w:val="16"/>
                <w:lang w:eastAsia="en-GB"/>
              </w:rPr>
            </w:pPr>
          </w:p>
        </w:tc>
        <w:tc>
          <w:tcPr>
            <w:tcW w:w="1086" w:type="pct"/>
            <w:tcBorders>
              <w:top w:val="nil"/>
              <w:left w:val="nil"/>
              <w:bottom w:val="nil"/>
              <w:right w:val="nil"/>
            </w:tcBorders>
            <w:shd w:val="clear" w:color="auto" w:fill="auto"/>
            <w:noWrap/>
            <w:vAlign w:val="bottom"/>
            <w:hideMark/>
          </w:tcPr>
          <w:p w14:paraId="2C6B68B8"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2F9D2CF7"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r w:rsidR="008A474E" w:rsidRPr="00D528EF" w14:paraId="5A8D0D6D" w14:textId="77777777" w:rsidTr="008A474E">
        <w:trPr>
          <w:trHeight w:val="300"/>
        </w:trPr>
        <w:tc>
          <w:tcPr>
            <w:tcW w:w="2314" w:type="pct"/>
            <w:tcBorders>
              <w:top w:val="nil"/>
              <w:left w:val="nil"/>
              <w:bottom w:val="nil"/>
              <w:right w:val="nil"/>
            </w:tcBorders>
            <w:shd w:val="clear" w:color="auto" w:fill="auto"/>
            <w:noWrap/>
            <w:vAlign w:val="bottom"/>
            <w:hideMark/>
          </w:tcPr>
          <w:p w14:paraId="2364828A"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All-cause</w:t>
            </w:r>
          </w:p>
        </w:tc>
        <w:tc>
          <w:tcPr>
            <w:tcW w:w="1037" w:type="pct"/>
            <w:tcBorders>
              <w:top w:val="nil"/>
              <w:left w:val="nil"/>
              <w:bottom w:val="nil"/>
              <w:right w:val="nil"/>
            </w:tcBorders>
            <w:shd w:val="clear" w:color="auto" w:fill="auto"/>
            <w:noWrap/>
            <w:vAlign w:val="bottom"/>
            <w:hideMark/>
          </w:tcPr>
          <w:p w14:paraId="61F0B622"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1.919</w:t>
            </w:r>
          </w:p>
        </w:tc>
        <w:tc>
          <w:tcPr>
            <w:tcW w:w="1086" w:type="pct"/>
            <w:tcBorders>
              <w:top w:val="nil"/>
              <w:left w:val="nil"/>
              <w:bottom w:val="nil"/>
              <w:right w:val="nil"/>
            </w:tcBorders>
            <w:shd w:val="clear" w:color="auto" w:fill="auto"/>
            <w:noWrap/>
            <w:vAlign w:val="bottom"/>
            <w:hideMark/>
          </w:tcPr>
          <w:p w14:paraId="6A88138F"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[1.602 - 2.300]</w:t>
            </w:r>
          </w:p>
        </w:tc>
        <w:tc>
          <w:tcPr>
            <w:tcW w:w="563" w:type="pct"/>
            <w:tcBorders>
              <w:top w:val="nil"/>
              <w:left w:val="nil"/>
              <w:bottom w:val="nil"/>
              <w:right w:val="nil"/>
            </w:tcBorders>
            <w:shd w:val="clear" w:color="auto" w:fill="auto"/>
            <w:noWrap/>
            <w:vAlign w:val="bottom"/>
            <w:hideMark/>
          </w:tcPr>
          <w:p w14:paraId="016353A8"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&lt; 0.001</w:t>
            </w:r>
          </w:p>
        </w:tc>
      </w:tr>
      <w:tr w:rsidR="008A474E" w:rsidRPr="00D528EF" w14:paraId="1E3C5EE2" w14:textId="77777777" w:rsidTr="008A474E">
        <w:trPr>
          <w:trHeight w:val="315"/>
        </w:trPr>
        <w:tc>
          <w:tcPr>
            <w:tcW w:w="2314" w:type="pct"/>
            <w:tcBorders>
              <w:top w:val="nil"/>
              <w:left w:val="nil"/>
              <w:bottom w:val="single" w:sz="8" w:space="0" w:color="auto"/>
              <w:right w:val="nil"/>
            </w:tcBorders>
            <w:shd w:val="clear" w:color="auto" w:fill="auto"/>
            <w:noWrap/>
            <w:vAlign w:val="bottom"/>
            <w:hideMark/>
          </w:tcPr>
          <w:p w14:paraId="7048EDAE" w14:textId="77777777" w:rsidR="008A474E" w:rsidRPr="00D528EF" w:rsidRDefault="008A474E" w:rsidP="008A474E">
            <w:pPr>
              <w:spacing w:after="0" w:line="240" w:lineRule="auto"/>
              <w:ind w:firstLineChars="200" w:firstLine="320"/>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Cardiovascular disease</w:t>
            </w:r>
          </w:p>
        </w:tc>
        <w:tc>
          <w:tcPr>
            <w:tcW w:w="1037" w:type="pct"/>
            <w:tcBorders>
              <w:top w:val="nil"/>
              <w:left w:val="nil"/>
              <w:bottom w:val="single" w:sz="8" w:space="0" w:color="auto"/>
              <w:right w:val="nil"/>
            </w:tcBorders>
            <w:shd w:val="clear" w:color="auto" w:fill="auto"/>
            <w:noWrap/>
            <w:vAlign w:val="bottom"/>
            <w:hideMark/>
          </w:tcPr>
          <w:p w14:paraId="38D324C5"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2.242</w:t>
            </w:r>
          </w:p>
        </w:tc>
        <w:tc>
          <w:tcPr>
            <w:tcW w:w="1086" w:type="pct"/>
            <w:tcBorders>
              <w:top w:val="nil"/>
              <w:left w:val="nil"/>
              <w:bottom w:val="single" w:sz="8" w:space="0" w:color="auto"/>
              <w:right w:val="nil"/>
            </w:tcBorders>
            <w:shd w:val="clear" w:color="auto" w:fill="auto"/>
            <w:noWrap/>
            <w:vAlign w:val="bottom"/>
            <w:hideMark/>
          </w:tcPr>
          <w:p w14:paraId="17367D73"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[1.547 - 3.250]</w:t>
            </w:r>
          </w:p>
        </w:tc>
        <w:tc>
          <w:tcPr>
            <w:tcW w:w="563" w:type="pct"/>
            <w:tcBorders>
              <w:top w:val="nil"/>
              <w:left w:val="nil"/>
              <w:bottom w:val="single" w:sz="8" w:space="0" w:color="auto"/>
              <w:right w:val="nil"/>
            </w:tcBorders>
            <w:shd w:val="clear" w:color="auto" w:fill="auto"/>
            <w:noWrap/>
            <w:vAlign w:val="bottom"/>
            <w:hideMark/>
          </w:tcPr>
          <w:p w14:paraId="20775D2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&lt; 0.001</w:t>
            </w:r>
          </w:p>
        </w:tc>
      </w:tr>
      <w:tr w:rsidR="008A474E" w:rsidRPr="00D528EF" w14:paraId="55681A0C" w14:textId="77777777" w:rsidTr="008A474E">
        <w:trPr>
          <w:trHeight w:val="300"/>
        </w:trPr>
        <w:tc>
          <w:tcPr>
            <w:tcW w:w="5000" w:type="pct"/>
            <w:gridSpan w:val="4"/>
            <w:tcBorders>
              <w:top w:val="nil"/>
              <w:left w:val="nil"/>
              <w:bottom w:val="nil"/>
              <w:right w:val="nil"/>
            </w:tcBorders>
            <w:shd w:val="clear" w:color="auto" w:fill="auto"/>
            <w:noWrap/>
            <w:vAlign w:val="bottom"/>
            <w:hideMark/>
          </w:tcPr>
          <w:p w14:paraId="0D10B7CE"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r w:rsidRPr="00D528EF">
              <w:rPr>
                <w:rFonts w:ascii="Calibri" w:eastAsia="Times New Roman" w:hAnsi="Calibri" w:cs="Times New Roman"/>
                <w:color w:val="000000"/>
                <w:sz w:val="16"/>
                <w:szCs w:val="16"/>
                <w:lang w:eastAsia="en-GB"/>
              </w:rPr>
              <w:t>Robust 95% CI in brackets. a. Incidence rate ratio (IRR); b. Odds ratio (OR); c. Hazard ratio (HR).</w:t>
            </w:r>
            <w:r>
              <w:rPr>
                <w:rFonts w:ascii="Calibri" w:eastAsia="Times New Roman" w:hAnsi="Calibri" w:cs="Times New Roman"/>
                <w:color w:val="000000"/>
                <w:sz w:val="16"/>
                <w:szCs w:val="16"/>
                <w:lang w:eastAsia="en-GB"/>
              </w:rPr>
              <w:t xml:space="preserve"> Models were adjusted for age, ethnicity, deprivation, financial years and statistically significant confounders in comorbidities, medications use, duration and family history of T2DM, death in follow-up, smoking and biometric measures.</w:t>
            </w:r>
          </w:p>
        </w:tc>
      </w:tr>
      <w:tr w:rsidR="008A474E" w:rsidRPr="00D528EF" w14:paraId="48C535E7" w14:textId="77777777" w:rsidTr="008A474E">
        <w:trPr>
          <w:trHeight w:val="300"/>
        </w:trPr>
        <w:tc>
          <w:tcPr>
            <w:tcW w:w="2314" w:type="pct"/>
            <w:tcBorders>
              <w:top w:val="nil"/>
              <w:left w:val="nil"/>
              <w:bottom w:val="nil"/>
              <w:right w:val="nil"/>
            </w:tcBorders>
            <w:shd w:val="clear" w:color="auto" w:fill="auto"/>
            <w:noWrap/>
            <w:vAlign w:val="bottom"/>
            <w:hideMark/>
          </w:tcPr>
          <w:p w14:paraId="15BC31C0" w14:textId="77777777" w:rsidR="008A474E" w:rsidRPr="00D528EF" w:rsidRDefault="008A474E" w:rsidP="008A474E">
            <w:pPr>
              <w:spacing w:after="0" w:line="240" w:lineRule="auto"/>
              <w:jc w:val="both"/>
              <w:rPr>
                <w:rFonts w:ascii="Calibri" w:eastAsia="Times New Roman" w:hAnsi="Calibri" w:cs="Times New Roman"/>
                <w:color w:val="000000"/>
                <w:sz w:val="16"/>
                <w:szCs w:val="16"/>
                <w:lang w:eastAsia="en-GB"/>
              </w:rPr>
            </w:pPr>
          </w:p>
        </w:tc>
        <w:tc>
          <w:tcPr>
            <w:tcW w:w="1037" w:type="pct"/>
            <w:tcBorders>
              <w:top w:val="nil"/>
              <w:left w:val="nil"/>
              <w:bottom w:val="nil"/>
              <w:right w:val="nil"/>
            </w:tcBorders>
            <w:shd w:val="clear" w:color="auto" w:fill="auto"/>
            <w:noWrap/>
            <w:vAlign w:val="bottom"/>
            <w:hideMark/>
          </w:tcPr>
          <w:p w14:paraId="6FCD6219"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1086" w:type="pct"/>
            <w:tcBorders>
              <w:top w:val="nil"/>
              <w:left w:val="nil"/>
              <w:bottom w:val="nil"/>
              <w:right w:val="nil"/>
            </w:tcBorders>
            <w:shd w:val="clear" w:color="auto" w:fill="auto"/>
            <w:noWrap/>
            <w:vAlign w:val="bottom"/>
            <w:hideMark/>
          </w:tcPr>
          <w:p w14:paraId="353940A2"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c>
          <w:tcPr>
            <w:tcW w:w="563" w:type="pct"/>
            <w:tcBorders>
              <w:top w:val="nil"/>
              <w:left w:val="nil"/>
              <w:bottom w:val="nil"/>
              <w:right w:val="nil"/>
            </w:tcBorders>
            <w:shd w:val="clear" w:color="auto" w:fill="auto"/>
            <w:noWrap/>
            <w:vAlign w:val="bottom"/>
            <w:hideMark/>
          </w:tcPr>
          <w:p w14:paraId="707161E3" w14:textId="77777777" w:rsidR="008A474E" w:rsidRPr="00D528EF" w:rsidRDefault="008A474E" w:rsidP="008A474E">
            <w:pPr>
              <w:spacing w:after="0" w:line="240" w:lineRule="auto"/>
              <w:jc w:val="both"/>
              <w:rPr>
                <w:rFonts w:ascii="Times New Roman" w:eastAsia="Times New Roman" w:hAnsi="Times New Roman" w:cs="Times New Roman"/>
                <w:sz w:val="16"/>
                <w:szCs w:val="16"/>
                <w:lang w:eastAsia="en-GB"/>
              </w:rPr>
            </w:pPr>
          </w:p>
        </w:tc>
      </w:tr>
    </w:tbl>
    <w:p w14:paraId="34C877D3" w14:textId="77777777" w:rsidR="00DE37A9" w:rsidRPr="008A474E" w:rsidRDefault="00DE37A9" w:rsidP="005E3265">
      <w:pPr>
        <w:pStyle w:val="Caption"/>
        <w:keepNext/>
        <w:jc w:val="both"/>
        <w:rPr>
          <w:rFonts w:ascii="Times New Roman" w:hAnsi="Times New Roman" w:cs="Times New Roman"/>
          <w:i w:val="0"/>
          <w:iCs w:val="0"/>
          <w:sz w:val="16"/>
          <w:szCs w:val="16"/>
        </w:rPr>
      </w:pPr>
    </w:p>
    <w:sectPr w:rsidR="00DE37A9" w:rsidRPr="008A474E" w:rsidSect="005E32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0092" w14:textId="77777777" w:rsidR="00BA525E" w:rsidRDefault="00BA525E" w:rsidP="00482036">
      <w:pPr>
        <w:spacing w:after="0" w:line="240" w:lineRule="auto"/>
      </w:pPr>
      <w:r>
        <w:separator/>
      </w:r>
    </w:p>
  </w:endnote>
  <w:endnote w:type="continuationSeparator" w:id="0">
    <w:p w14:paraId="35FBB704" w14:textId="77777777" w:rsidR="00BA525E" w:rsidRDefault="00BA525E" w:rsidP="0048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C1D2" w14:textId="77777777" w:rsidR="001E13FA" w:rsidRDefault="001E13FA" w:rsidP="00482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AAFDF" w14:textId="77777777" w:rsidR="001E13FA" w:rsidRDefault="001E13FA" w:rsidP="009F6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A73E" w14:textId="669F3189" w:rsidR="001E13FA" w:rsidRDefault="001E13FA" w:rsidP="00482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13E4">
      <w:rPr>
        <w:rStyle w:val="PageNumber"/>
        <w:noProof/>
      </w:rPr>
      <w:t>1</w:t>
    </w:r>
    <w:r>
      <w:rPr>
        <w:rStyle w:val="PageNumber"/>
      </w:rPr>
      <w:fldChar w:fldCharType="end"/>
    </w:r>
  </w:p>
  <w:p w14:paraId="5EE35D2E" w14:textId="77777777" w:rsidR="001E13FA" w:rsidRDefault="001E13FA" w:rsidP="00CD7E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F213D" w14:textId="77777777" w:rsidR="00BA525E" w:rsidRDefault="00BA525E" w:rsidP="00482036">
      <w:pPr>
        <w:spacing w:after="0" w:line="240" w:lineRule="auto"/>
      </w:pPr>
      <w:r>
        <w:separator/>
      </w:r>
    </w:p>
  </w:footnote>
  <w:footnote w:type="continuationSeparator" w:id="0">
    <w:p w14:paraId="5E4F41F7" w14:textId="77777777" w:rsidR="00BA525E" w:rsidRDefault="00BA525E" w:rsidP="00482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C43"/>
    <w:multiLevelType w:val="hybridMultilevel"/>
    <w:tmpl w:val="732863E4"/>
    <w:lvl w:ilvl="0" w:tplc="BFD60C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E3571"/>
    <w:multiLevelType w:val="hybridMultilevel"/>
    <w:tmpl w:val="8ADA38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959CE"/>
    <w:multiLevelType w:val="hybridMultilevel"/>
    <w:tmpl w:val="10B8D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10428D"/>
    <w:multiLevelType w:val="hybridMultilevel"/>
    <w:tmpl w:val="BEC8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D2C35"/>
    <w:multiLevelType w:val="hybridMultilevel"/>
    <w:tmpl w:val="C56EC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497E17"/>
    <w:multiLevelType w:val="hybridMultilevel"/>
    <w:tmpl w:val="F476D950"/>
    <w:lvl w:ilvl="0" w:tplc="ED268F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8474FF"/>
    <w:multiLevelType w:val="hybridMultilevel"/>
    <w:tmpl w:val="67C0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BD4E60"/>
    <w:multiLevelType w:val="hybridMultilevel"/>
    <w:tmpl w:val="E43A4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D"/>
    <w:rsid w:val="0000170F"/>
    <w:rsid w:val="00002EBB"/>
    <w:rsid w:val="000033C4"/>
    <w:rsid w:val="000038F6"/>
    <w:rsid w:val="00003E8D"/>
    <w:rsid w:val="00006714"/>
    <w:rsid w:val="00011D34"/>
    <w:rsid w:val="00013084"/>
    <w:rsid w:val="00014B41"/>
    <w:rsid w:val="0001707D"/>
    <w:rsid w:val="00017CD7"/>
    <w:rsid w:val="000278ED"/>
    <w:rsid w:val="000322F0"/>
    <w:rsid w:val="0003370C"/>
    <w:rsid w:val="00033DA6"/>
    <w:rsid w:val="00037FBD"/>
    <w:rsid w:val="000410EC"/>
    <w:rsid w:val="0004173F"/>
    <w:rsid w:val="00041F54"/>
    <w:rsid w:val="00045074"/>
    <w:rsid w:val="00045E03"/>
    <w:rsid w:val="00056F9E"/>
    <w:rsid w:val="00066921"/>
    <w:rsid w:val="00067921"/>
    <w:rsid w:val="00070175"/>
    <w:rsid w:val="00074A61"/>
    <w:rsid w:val="000773F5"/>
    <w:rsid w:val="00083D1E"/>
    <w:rsid w:val="000864B2"/>
    <w:rsid w:val="00091D0A"/>
    <w:rsid w:val="000926DD"/>
    <w:rsid w:val="000A1795"/>
    <w:rsid w:val="000A224A"/>
    <w:rsid w:val="000A2765"/>
    <w:rsid w:val="000A6861"/>
    <w:rsid w:val="000B2CDD"/>
    <w:rsid w:val="000B46EC"/>
    <w:rsid w:val="000B6B4D"/>
    <w:rsid w:val="000C0F95"/>
    <w:rsid w:val="000C22F1"/>
    <w:rsid w:val="000D024A"/>
    <w:rsid w:val="000D2D38"/>
    <w:rsid w:val="000D4487"/>
    <w:rsid w:val="000D5AFD"/>
    <w:rsid w:val="000D5C9C"/>
    <w:rsid w:val="000E043E"/>
    <w:rsid w:val="000E194D"/>
    <w:rsid w:val="000E51F8"/>
    <w:rsid w:val="000E7BCD"/>
    <w:rsid w:val="000F0366"/>
    <w:rsid w:val="000F2DB2"/>
    <w:rsid w:val="000F3A44"/>
    <w:rsid w:val="000F3F08"/>
    <w:rsid w:val="000F7C59"/>
    <w:rsid w:val="00101D64"/>
    <w:rsid w:val="001046E8"/>
    <w:rsid w:val="001057A8"/>
    <w:rsid w:val="00105AA0"/>
    <w:rsid w:val="00107E6C"/>
    <w:rsid w:val="00111B74"/>
    <w:rsid w:val="0011358F"/>
    <w:rsid w:val="00123769"/>
    <w:rsid w:val="0012487F"/>
    <w:rsid w:val="00124C89"/>
    <w:rsid w:val="0013156E"/>
    <w:rsid w:val="00131AA7"/>
    <w:rsid w:val="001322F7"/>
    <w:rsid w:val="00132DF3"/>
    <w:rsid w:val="0013317F"/>
    <w:rsid w:val="001345F1"/>
    <w:rsid w:val="00135042"/>
    <w:rsid w:val="001370DE"/>
    <w:rsid w:val="001377AF"/>
    <w:rsid w:val="00137A63"/>
    <w:rsid w:val="001414EE"/>
    <w:rsid w:val="001420A6"/>
    <w:rsid w:val="00142CBC"/>
    <w:rsid w:val="00143FAE"/>
    <w:rsid w:val="00144B7C"/>
    <w:rsid w:val="001465EE"/>
    <w:rsid w:val="00152129"/>
    <w:rsid w:val="0015351B"/>
    <w:rsid w:val="0015518E"/>
    <w:rsid w:val="0015558F"/>
    <w:rsid w:val="00156593"/>
    <w:rsid w:val="0015679B"/>
    <w:rsid w:val="0015747D"/>
    <w:rsid w:val="00157804"/>
    <w:rsid w:val="00160F22"/>
    <w:rsid w:val="001617B3"/>
    <w:rsid w:val="00163743"/>
    <w:rsid w:val="00167B02"/>
    <w:rsid w:val="00171F1D"/>
    <w:rsid w:val="00174392"/>
    <w:rsid w:val="00177914"/>
    <w:rsid w:val="00181DDA"/>
    <w:rsid w:val="00182AB6"/>
    <w:rsid w:val="001838DE"/>
    <w:rsid w:val="0018395A"/>
    <w:rsid w:val="001849E1"/>
    <w:rsid w:val="0018746C"/>
    <w:rsid w:val="00191A64"/>
    <w:rsid w:val="001926B1"/>
    <w:rsid w:val="001931A3"/>
    <w:rsid w:val="00197069"/>
    <w:rsid w:val="0019758B"/>
    <w:rsid w:val="001A1B45"/>
    <w:rsid w:val="001A1EA6"/>
    <w:rsid w:val="001A1EC5"/>
    <w:rsid w:val="001A4488"/>
    <w:rsid w:val="001A4BC3"/>
    <w:rsid w:val="001B1975"/>
    <w:rsid w:val="001B294D"/>
    <w:rsid w:val="001B79CC"/>
    <w:rsid w:val="001C01FE"/>
    <w:rsid w:val="001C17BD"/>
    <w:rsid w:val="001C2D1A"/>
    <w:rsid w:val="001C2E8B"/>
    <w:rsid w:val="001C3C49"/>
    <w:rsid w:val="001C42CF"/>
    <w:rsid w:val="001C63CA"/>
    <w:rsid w:val="001C65B4"/>
    <w:rsid w:val="001D1510"/>
    <w:rsid w:val="001D44E6"/>
    <w:rsid w:val="001D61DB"/>
    <w:rsid w:val="001E044F"/>
    <w:rsid w:val="001E13FA"/>
    <w:rsid w:val="001E2F31"/>
    <w:rsid w:val="001E4A76"/>
    <w:rsid w:val="001E53EC"/>
    <w:rsid w:val="001E574C"/>
    <w:rsid w:val="001E596E"/>
    <w:rsid w:val="001E6301"/>
    <w:rsid w:val="001E6388"/>
    <w:rsid w:val="001E6CEA"/>
    <w:rsid w:val="001F3121"/>
    <w:rsid w:val="001F38C0"/>
    <w:rsid w:val="001F5492"/>
    <w:rsid w:val="002005A9"/>
    <w:rsid w:val="002014BD"/>
    <w:rsid w:val="00202690"/>
    <w:rsid w:val="00202731"/>
    <w:rsid w:val="00202BBC"/>
    <w:rsid w:val="002035BF"/>
    <w:rsid w:val="00205941"/>
    <w:rsid w:val="00205ACD"/>
    <w:rsid w:val="00210508"/>
    <w:rsid w:val="00210CBA"/>
    <w:rsid w:val="00212619"/>
    <w:rsid w:val="00212CB4"/>
    <w:rsid w:val="00212CFB"/>
    <w:rsid w:val="00215C39"/>
    <w:rsid w:val="002179E7"/>
    <w:rsid w:val="00217C8B"/>
    <w:rsid w:val="00220D52"/>
    <w:rsid w:val="002227D2"/>
    <w:rsid w:val="002258E1"/>
    <w:rsid w:val="00225E8D"/>
    <w:rsid w:val="00230592"/>
    <w:rsid w:val="00233DB1"/>
    <w:rsid w:val="00235A7D"/>
    <w:rsid w:val="00237C62"/>
    <w:rsid w:val="00240B04"/>
    <w:rsid w:val="002410FB"/>
    <w:rsid w:val="0024193B"/>
    <w:rsid w:val="002445F5"/>
    <w:rsid w:val="00244DC9"/>
    <w:rsid w:val="00247C59"/>
    <w:rsid w:val="0025160A"/>
    <w:rsid w:val="00254475"/>
    <w:rsid w:val="00255318"/>
    <w:rsid w:val="00255355"/>
    <w:rsid w:val="0025597E"/>
    <w:rsid w:val="00256C63"/>
    <w:rsid w:val="002579AB"/>
    <w:rsid w:val="00260BE9"/>
    <w:rsid w:val="00261305"/>
    <w:rsid w:val="002614C8"/>
    <w:rsid w:val="00262239"/>
    <w:rsid w:val="002624C2"/>
    <w:rsid w:val="00264910"/>
    <w:rsid w:val="00266DB4"/>
    <w:rsid w:val="0027087C"/>
    <w:rsid w:val="00271688"/>
    <w:rsid w:val="00272639"/>
    <w:rsid w:val="002729B1"/>
    <w:rsid w:val="00272D8D"/>
    <w:rsid w:val="002738E9"/>
    <w:rsid w:val="00276036"/>
    <w:rsid w:val="00280339"/>
    <w:rsid w:val="00283A60"/>
    <w:rsid w:val="002872ED"/>
    <w:rsid w:val="002876A9"/>
    <w:rsid w:val="00291CA3"/>
    <w:rsid w:val="0029510C"/>
    <w:rsid w:val="00295155"/>
    <w:rsid w:val="00295EC6"/>
    <w:rsid w:val="002967B0"/>
    <w:rsid w:val="00297CA3"/>
    <w:rsid w:val="002A003F"/>
    <w:rsid w:val="002A155B"/>
    <w:rsid w:val="002A1802"/>
    <w:rsid w:val="002A3AC2"/>
    <w:rsid w:val="002A4828"/>
    <w:rsid w:val="002A49A8"/>
    <w:rsid w:val="002A57E6"/>
    <w:rsid w:val="002A6BDD"/>
    <w:rsid w:val="002A7EDD"/>
    <w:rsid w:val="002B1581"/>
    <w:rsid w:val="002B31CA"/>
    <w:rsid w:val="002B3451"/>
    <w:rsid w:val="002B38C4"/>
    <w:rsid w:val="002C2AB3"/>
    <w:rsid w:val="002C4901"/>
    <w:rsid w:val="002C4A45"/>
    <w:rsid w:val="002D1777"/>
    <w:rsid w:val="002E1458"/>
    <w:rsid w:val="002E1D1F"/>
    <w:rsid w:val="002E27DF"/>
    <w:rsid w:val="002E2ECF"/>
    <w:rsid w:val="002E40AE"/>
    <w:rsid w:val="002E486F"/>
    <w:rsid w:val="002E715F"/>
    <w:rsid w:val="002F72C5"/>
    <w:rsid w:val="0030202D"/>
    <w:rsid w:val="00302CE1"/>
    <w:rsid w:val="00303791"/>
    <w:rsid w:val="00303F0A"/>
    <w:rsid w:val="003043C5"/>
    <w:rsid w:val="0030445A"/>
    <w:rsid w:val="00310708"/>
    <w:rsid w:val="00310EA4"/>
    <w:rsid w:val="0031109D"/>
    <w:rsid w:val="00313056"/>
    <w:rsid w:val="003137DA"/>
    <w:rsid w:val="003147C5"/>
    <w:rsid w:val="00315699"/>
    <w:rsid w:val="00320F58"/>
    <w:rsid w:val="00322806"/>
    <w:rsid w:val="0032355A"/>
    <w:rsid w:val="00334E90"/>
    <w:rsid w:val="00335171"/>
    <w:rsid w:val="0033592C"/>
    <w:rsid w:val="0033636E"/>
    <w:rsid w:val="0033705B"/>
    <w:rsid w:val="003418D2"/>
    <w:rsid w:val="00341B8F"/>
    <w:rsid w:val="00341E68"/>
    <w:rsid w:val="00343FC3"/>
    <w:rsid w:val="003500DD"/>
    <w:rsid w:val="0035053F"/>
    <w:rsid w:val="00351EB3"/>
    <w:rsid w:val="00356E53"/>
    <w:rsid w:val="00365CDF"/>
    <w:rsid w:val="00374667"/>
    <w:rsid w:val="00375C90"/>
    <w:rsid w:val="00380EE0"/>
    <w:rsid w:val="003810AF"/>
    <w:rsid w:val="003855B6"/>
    <w:rsid w:val="00385E73"/>
    <w:rsid w:val="003B0340"/>
    <w:rsid w:val="003B0A03"/>
    <w:rsid w:val="003B3A32"/>
    <w:rsid w:val="003B4107"/>
    <w:rsid w:val="003B4797"/>
    <w:rsid w:val="003C150D"/>
    <w:rsid w:val="003C2D7F"/>
    <w:rsid w:val="003C4403"/>
    <w:rsid w:val="003C5018"/>
    <w:rsid w:val="003C607E"/>
    <w:rsid w:val="003D0E59"/>
    <w:rsid w:val="003D212E"/>
    <w:rsid w:val="003D4199"/>
    <w:rsid w:val="003D4B81"/>
    <w:rsid w:val="003D4D50"/>
    <w:rsid w:val="003E0870"/>
    <w:rsid w:val="003E3B5D"/>
    <w:rsid w:val="003E52EF"/>
    <w:rsid w:val="003E6136"/>
    <w:rsid w:val="003E721E"/>
    <w:rsid w:val="003F2E41"/>
    <w:rsid w:val="003F5F24"/>
    <w:rsid w:val="003F6635"/>
    <w:rsid w:val="003F7B9D"/>
    <w:rsid w:val="004008F2"/>
    <w:rsid w:val="00404C53"/>
    <w:rsid w:val="00405050"/>
    <w:rsid w:val="004053F0"/>
    <w:rsid w:val="004146A9"/>
    <w:rsid w:val="004152A0"/>
    <w:rsid w:val="00415AF7"/>
    <w:rsid w:val="00420EA9"/>
    <w:rsid w:val="00426D7D"/>
    <w:rsid w:val="004311E3"/>
    <w:rsid w:val="004366FF"/>
    <w:rsid w:val="004408E8"/>
    <w:rsid w:val="00445FE9"/>
    <w:rsid w:val="004473D7"/>
    <w:rsid w:val="00450F34"/>
    <w:rsid w:val="00452026"/>
    <w:rsid w:val="00452AE6"/>
    <w:rsid w:val="004544B6"/>
    <w:rsid w:val="004544CD"/>
    <w:rsid w:val="0045674D"/>
    <w:rsid w:val="00460FF5"/>
    <w:rsid w:val="004625FF"/>
    <w:rsid w:val="0047028F"/>
    <w:rsid w:val="00470D6F"/>
    <w:rsid w:val="00482036"/>
    <w:rsid w:val="00483BCD"/>
    <w:rsid w:val="00486558"/>
    <w:rsid w:val="00490CBA"/>
    <w:rsid w:val="004916F9"/>
    <w:rsid w:val="0049298B"/>
    <w:rsid w:val="004A2534"/>
    <w:rsid w:val="004A3381"/>
    <w:rsid w:val="004A3F4D"/>
    <w:rsid w:val="004A679F"/>
    <w:rsid w:val="004B2A61"/>
    <w:rsid w:val="004B33BB"/>
    <w:rsid w:val="004B5FFF"/>
    <w:rsid w:val="004C3602"/>
    <w:rsid w:val="004C5451"/>
    <w:rsid w:val="004C6114"/>
    <w:rsid w:val="004D027C"/>
    <w:rsid w:val="004E0CF8"/>
    <w:rsid w:val="004E0F14"/>
    <w:rsid w:val="004E5B90"/>
    <w:rsid w:val="004E5F24"/>
    <w:rsid w:val="004E6075"/>
    <w:rsid w:val="004E6C7A"/>
    <w:rsid w:val="004F307E"/>
    <w:rsid w:val="004F3DBB"/>
    <w:rsid w:val="004F56B4"/>
    <w:rsid w:val="005023C4"/>
    <w:rsid w:val="00502557"/>
    <w:rsid w:val="00505231"/>
    <w:rsid w:val="00505A64"/>
    <w:rsid w:val="005061D5"/>
    <w:rsid w:val="00520DD1"/>
    <w:rsid w:val="00524DE4"/>
    <w:rsid w:val="00525E19"/>
    <w:rsid w:val="00530FAE"/>
    <w:rsid w:val="00531363"/>
    <w:rsid w:val="00531B3F"/>
    <w:rsid w:val="0053244B"/>
    <w:rsid w:val="00533544"/>
    <w:rsid w:val="0053490E"/>
    <w:rsid w:val="00535AA6"/>
    <w:rsid w:val="00540AB1"/>
    <w:rsid w:val="005432E4"/>
    <w:rsid w:val="00544AB6"/>
    <w:rsid w:val="00545584"/>
    <w:rsid w:val="00545C6A"/>
    <w:rsid w:val="00546640"/>
    <w:rsid w:val="00546BF0"/>
    <w:rsid w:val="00551536"/>
    <w:rsid w:val="00553668"/>
    <w:rsid w:val="005608BE"/>
    <w:rsid w:val="00561825"/>
    <w:rsid w:val="00567025"/>
    <w:rsid w:val="00570C24"/>
    <w:rsid w:val="005710F8"/>
    <w:rsid w:val="00574A17"/>
    <w:rsid w:val="00576911"/>
    <w:rsid w:val="00580A83"/>
    <w:rsid w:val="0058137D"/>
    <w:rsid w:val="005820E7"/>
    <w:rsid w:val="005865EB"/>
    <w:rsid w:val="00586940"/>
    <w:rsid w:val="005916E2"/>
    <w:rsid w:val="00593579"/>
    <w:rsid w:val="00594FCD"/>
    <w:rsid w:val="005A092D"/>
    <w:rsid w:val="005A16F6"/>
    <w:rsid w:val="005A272A"/>
    <w:rsid w:val="005A3507"/>
    <w:rsid w:val="005A3DE9"/>
    <w:rsid w:val="005A55B7"/>
    <w:rsid w:val="005A5F2F"/>
    <w:rsid w:val="005B1010"/>
    <w:rsid w:val="005B2144"/>
    <w:rsid w:val="005B36DA"/>
    <w:rsid w:val="005B4871"/>
    <w:rsid w:val="005B54AB"/>
    <w:rsid w:val="005B7A22"/>
    <w:rsid w:val="005C3D0B"/>
    <w:rsid w:val="005C6E87"/>
    <w:rsid w:val="005C71AB"/>
    <w:rsid w:val="005C7EA0"/>
    <w:rsid w:val="005D027C"/>
    <w:rsid w:val="005D43F0"/>
    <w:rsid w:val="005D5632"/>
    <w:rsid w:val="005D5DB9"/>
    <w:rsid w:val="005D7845"/>
    <w:rsid w:val="005E3265"/>
    <w:rsid w:val="005E36CA"/>
    <w:rsid w:val="005E66D6"/>
    <w:rsid w:val="005F4179"/>
    <w:rsid w:val="005F430D"/>
    <w:rsid w:val="006042EB"/>
    <w:rsid w:val="006061C7"/>
    <w:rsid w:val="006062DC"/>
    <w:rsid w:val="00607B98"/>
    <w:rsid w:val="006112C7"/>
    <w:rsid w:val="00615559"/>
    <w:rsid w:val="00617CAC"/>
    <w:rsid w:val="00617DAE"/>
    <w:rsid w:val="006200F6"/>
    <w:rsid w:val="00623AB6"/>
    <w:rsid w:val="006300E5"/>
    <w:rsid w:val="00630663"/>
    <w:rsid w:val="00630B89"/>
    <w:rsid w:val="00633636"/>
    <w:rsid w:val="00633F06"/>
    <w:rsid w:val="00633FD6"/>
    <w:rsid w:val="00634B45"/>
    <w:rsid w:val="0063555F"/>
    <w:rsid w:val="0064156F"/>
    <w:rsid w:val="00641B72"/>
    <w:rsid w:val="00642C9E"/>
    <w:rsid w:val="00642F65"/>
    <w:rsid w:val="00644D53"/>
    <w:rsid w:val="0064593D"/>
    <w:rsid w:val="00655450"/>
    <w:rsid w:val="00661113"/>
    <w:rsid w:val="00664A48"/>
    <w:rsid w:val="0066633B"/>
    <w:rsid w:val="006673A3"/>
    <w:rsid w:val="0066796B"/>
    <w:rsid w:val="006716BE"/>
    <w:rsid w:val="00674692"/>
    <w:rsid w:val="00676E4F"/>
    <w:rsid w:val="00681562"/>
    <w:rsid w:val="00682E74"/>
    <w:rsid w:val="0068304A"/>
    <w:rsid w:val="00686530"/>
    <w:rsid w:val="006908AE"/>
    <w:rsid w:val="006916A9"/>
    <w:rsid w:val="00695E92"/>
    <w:rsid w:val="00695F92"/>
    <w:rsid w:val="006977BE"/>
    <w:rsid w:val="006A702B"/>
    <w:rsid w:val="006B2FF6"/>
    <w:rsid w:val="006B7E31"/>
    <w:rsid w:val="006C2372"/>
    <w:rsid w:val="006C392D"/>
    <w:rsid w:val="006C43E9"/>
    <w:rsid w:val="006C4C29"/>
    <w:rsid w:val="006C64DE"/>
    <w:rsid w:val="006C7746"/>
    <w:rsid w:val="006D36AF"/>
    <w:rsid w:val="006D3A5F"/>
    <w:rsid w:val="006D4AB0"/>
    <w:rsid w:val="006D54DC"/>
    <w:rsid w:val="006D6ED4"/>
    <w:rsid w:val="006E040C"/>
    <w:rsid w:val="006E31DC"/>
    <w:rsid w:val="006E332C"/>
    <w:rsid w:val="006E502F"/>
    <w:rsid w:val="006E70A7"/>
    <w:rsid w:val="006E79D9"/>
    <w:rsid w:val="006F2BDC"/>
    <w:rsid w:val="006F5675"/>
    <w:rsid w:val="006F7A04"/>
    <w:rsid w:val="006F7DBC"/>
    <w:rsid w:val="007038F7"/>
    <w:rsid w:val="007039FA"/>
    <w:rsid w:val="007052E9"/>
    <w:rsid w:val="007112AE"/>
    <w:rsid w:val="00712BC6"/>
    <w:rsid w:val="00712C2B"/>
    <w:rsid w:val="00715C3E"/>
    <w:rsid w:val="00717AA2"/>
    <w:rsid w:val="0072033B"/>
    <w:rsid w:val="00722F7A"/>
    <w:rsid w:val="00723956"/>
    <w:rsid w:val="00725991"/>
    <w:rsid w:val="0072608B"/>
    <w:rsid w:val="00726127"/>
    <w:rsid w:val="00733282"/>
    <w:rsid w:val="00734028"/>
    <w:rsid w:val="007403BA"/>
    <w:rsid w:val="007411AE"/>
    <w:rsid w:val="00741A2A"/>
    <w:rsid w:val="00743087"/>
    <w:rsid w:val="00745F58"/>
    <w:rsid w:val="007474AF"/>
    <w:rsid w:val="007479BE"/>
    <w:rsid w:val="00747A9F"/>
    <w:rsid w:val="00750989"/>
    <w:rsid w:val="007512B5"/>
    <w:rsid w:val="00751FB1"/>
    <w:rsid w:val="007523A0"/>
    <w:rsid w:val="00752979"/>
    <w:rsid w:val="00755792"/>
    <w:rsid w:val="0075754D"/>
    <w:rsid w:val="00760D52"/>
    <w:rsid w:val="00761090"/>
    <w:rsid w:val="007639FB"/>
    <w:rsid w:val="00763A22"/>
    <w:rsid w:val="00765FA4"/>
    <w:rsid w:val="0076672A"/>
    <w:rsid w:val="007677FA"/>
    <w:rsid w:val="007709E4"/>
    <w:rsid w:val="007734E7"/>
    <w:rsid w:val="00777FC6"/>
    <w:rsid w:val="00781049"/>
    <w:rsid w:val="00781BB9"/>
    <w:rsid w:val="007825EE"/>
    <w:rsid w:val="007841B6"/>
    <w:rsid w:val="00785223"/>
    <w:rsid w:val="00795523"/>
    <w:rsid w:val="0079658E"/>
    <w:rsid w:val="0079773B"/>
    <w:rsid w:val="007A49E9"/>
    <w:rsid w:val="007A61FE"/>
    <w:rsid w:val="007A7907"/>
    <w:rsid w:val="007A7DD8"/>
    <w:rsid w:val="007B1978"/>
    <w:rsid w:val="007B4A97"/>
    <w:rsid w:val="007B5D9A"/>
    <w:rsid w:val="007B6ED6"/>
    <w:rsid w:val="007B6FEC"/>
    <w:rsid w:val="007C0BE5"/>
    <w:rsid w:val="007C31DA"/>
    <w:rsid w:val="007C5592"/>
    <w:rsid w:val="007C775E"/>
    <w:rsid w:val="007D2B03"/>
    <w:rsid w:val="007E326A"/>
    <w:rsid w:val="007E5D13"/>
    <w:rsid w:val="007E680F"/>
    <w:rsid w:val="007E697B"/>
    <w:rsid w:val="007E6E5D"/>
    <w:rsid w:val="007F014D"/>
    <w:rsid w:val="007F0317"/>
    <w:rsid w:val="007F0C4E"/>
    <w:rsid w:val="007F11D6"/>
    <w:rsid w:val="007F39FD"/>
    <w:rsid w:val="007F3B84"/>
    <w:rsid w:val="007F4D98"/>
    <w:rsid w:val="007F5B59"/>
    <w:rsid w:val="007F6D79"/>
    <w:rsid w:val="00801296"/>
    <w:rsid w:val="00803932"/>
    <w:rsid w:val="00803AD9"/>
    <w:rsid w:val="00807329"/>
    <w:rsid w:val="00807532"/>
    <w:rsid w:val="0081048A"/>
    <w:rsid w:val="00815DB4"/>
    <w:rsid w:val="0081674B"/>
    <w:rsid w:val="00820856"/>
    <w:rsid w:val="0082171F"/>
    <w:rsid w:val="00821A73"/>
    <w:rsid w:val="00822109"/>
    <w:rsid w:val="00823014"/>
    <w:rsid w:val="00825D08"/>
    <w:rsid w:val="00826CC3"/>
    <w:rsid w:val="0083146B"/>
    <w:rsid w:val="008318B2"/>
    <w:rsid w:val="00832FAA"/>
    <w:rsid w:val="0084029F"/>
    <w:rsid w:val="00840A52"/>
    <w:rsid w:val="0084297E"/>
    <w:rsid w:val="008458C3"/>
    <w:rsid w:val="00846F3B"/>
    <w:rsid w:val="00850C20"/>
    <w:rsid w:val="0085641D"/>
    <w:rsid w:val="00857F04"/>
    <w:rsid w:val="00860308"/>
    <w:rsid w:val="008632BF"/>
    <w:rsid w:val="0086436F"/>
    <w:rsid w:val="00866B6F"/>
    <w:rsid w:val="00867006"/>
    <w:rsid w:val="00871B92"/>
    <w:rsid w:val="008766D5"/>
    <w:rsid w:val="00880E59"/>
    <w:rsid w:val="00884A67"/>
    <w:rsid w:val="00891432"/>
    <w:rsid w:val="008943B5"/>
    <w:rsid w:val="0089498C"/>
    <w:rsid w:val="008974E2"/>
    <w:rsid w:val="008A0D5B"/>
    <w:rsid w:val="008A14BC"/>
    <w:rsid w:val="008A1A38"/>
    <w:rsid w:val="008A474E"/>
    <w:rsid w:val="008A4B29"/>
    <w:rsid w:val="008A4B38"/>
    <w:rsid w:val="008A4C96"/>
    <w:rsid w:val="008A663B"/>
    <w:rsid w:val="008B0EDD"/>
    <w:rsid w:val="008B1060"/>
    <w:rsid w:val="008B1B03"/>
    <w:rsid w:val="008B3080"/>
    <w:rsid w:val="008B5052"/>
    <w:rsid w:val="008B5F0D"/>
    <w:rsid w:val="008B7EF3"/>
    <w:rsid w:val="008C613B"/>
    <w:rsid w:val="008C680D"/>
    <w:rsid w:val="008C7B78"/>
    <w:rsid w:val="008D134C"/>
    <w:rsid w:val="008D1AED"/>
    <w:rsid w:val="008D2FD5"/>
    <w:rsid w:val="008E0D87"/>
    <w:rsid w:val="008E3E08"/>
    <w:rsid w:val="008E607C"/>
    <w:rsid w:val="008E7E4D"/>
    <w:rsid w:val="008F32DA"/>
    <w:rsid w:val="008F5486"/>
    <w:rsid w:val="008F5C8E"/>
    <w:rsid w:val="008F68E1"/>
    <w:rsid w:val="009000A0"/>
    <w:rsid w:val="009000A2"/>
    <w:rsid w:val="009069C6"/>
    <w:rsid w:val="009074AF"/>
    <w:rsid w:val="00907713"/>
    <w:rsid w:val="00911983"/>
    <w:rsid w:val="00932C2F"/>
    <w:rsid w:val="00933FE7"/>
    <w:rsid w:val="00934655"/>
    <w:rsid w:val="009355CF"/>
    <w:rsid w:val="00936D9A"/>
    <w:rsid w:val="009378E4"/>
    <w:rsid w:val="00944E38"/>
    <w:rsid w:val="009479B1"/>
    <w:rsid w:val="00951913"/>
    <w:rsid w:val="0095456E"/>
    <w:rsid w:val="00955CA6"/>
    <w:rsid w:val="0096047E"/>
    <w:rsid w:val="0096299F"/>
    <w:rsid w:val="00965766"/>
    <w:rsid w:val="00966152"/>
    <w:rsid w:val="009708EA"/>
    <w:rsid w:val="00972F31"/>
    <w:rsid w:val="009779C0"/>
    <w:rsid w:val="00980AB9"/>
    <w:rsid w:val="00981E66"/>
    <w:rsid w:val="009830D0"/>
    <w:rsid w:val="009833A1"/>
    <w:rsid w:val="00984520"/>
    <w:rsid w:val="00984623"/>
    <w:rsid w:val="00985754"/>
    <w:rsid w:val="00990186"/>
    <w:rsid w:val="00993CA3"/>
    <w:rsid w:val="009A33BF"/>
    <w:rsid w:val="009A4970"/>
    <w:rsid w:val="009A4D9A"/>
    <w:rsid w:val="009A5129"/>
    <w:rsid w:val="009A5800"/>
    <w:rsid w:val="009A626B"/>
    <w:rsid w:val="009B0986"/>
    <w:rsid w:val="009B5710"/>
    <w:rsid w:val="009C363F"/>
    <w:rsid w:val="009C5BE3"/>
    <w:rsid w:val="009C7850"/>
    <w:rsid w:val="009D09C2"/>
    <w:rsid w:val="009D52E3"/>
    <w:rsid w:val="009D624D"/>
    <w:rsid w:val="009E1BCE"/>
    <w:rsid w:val="009E277E"/>
    <w:rsid w:val="009E29FE"/>
    <w:rsid w:val="009E358C"/>
    <w:rsid w:val="009E3AC8"/>
    <w:rsid w:val="009E40D7"/>
    <w:rsid w:val="009E4B6A"/>
    <w:rsid w:val="009E507F"/>
    <w:rsid w:val="009E54D4"/>
    <w:rsid w:val="009F09CA"/>
    <w:rsid w:val="009F24A2"/>
    <w:rsid w:val="009F395E"/>
    <w:rsid w:val="009F3986"/>
    <w:rsid w:val="009F45A7"/>
    <w:rsid w:val="009F46B9"/>
    <w:rsid w:val="009F4843"/>
    <w:rsid w:val="009F651F"/>
    <w:rsid w:val="009F6D51"/>
    <w:rsid w:val="00A000D8"/>
    <w:rsid w:val="00A00C51"/>
    <w:rsid w:val="00A022B6"/>
    <w:rsid w:val="00A03E4A"/>
    <w:rsid w:val="00A050EF"/>
    <w:rsid w:val="00A103DC"/>
    <w:rsid w:val="00A1344F"/>
    <w:rsid w:val="00A13548"/>
    <w:rsid w:val="00A21974"/>
    <w:rsid w:val="00A22353"/>
    <w:rsid w:val="00A3044E"/>
    <w:rsid w:val="00A30690"/>
    <w:rsid w:val="00A32322"/>
    <w:rsid w:val="00A32464"/>
    <w:rsid w:val="00A331C8"/>
    <w:rsid w:val="00A34CD4"/>
    <w:rsid w:val="00A35EDD"/>
    <w:rsid w:val="00A362B3"/>
    <w:rsid w:val="00A4211C"/>
    <w:rsid w:val="00A4358F"/>
    <w:rsid w:val="00A439A3"/>
    <w:rsid w:val="00A51808"/>
    <w:rsid w:val="00A54A4C"/>
    <w:rsid w:val="00A54DCE"/>
    <w:rsid w:val="00A55EC3"/>
    <w:rsid w:val="00A5613F"/>
    <w:rsid w:val="00A56EA0"/>
    <w:rsid w:val="00A57688"/>
    <w:rsid w:val="00A62276"/>
    <w:rsid w:val="00A64119"/>
    <w:rsid w:val="00A647DF"/>
    <w:rsid w:val="00A71BAC"/>
    <w:rsid w:val="00A71BFC"/>
    <w:rsid w:val="00A72D6F"/>
    <w:rsid w:val="00A73A2B"/>
    <w:rsid w:val="00A73C12"/>
    <w:rsid w:val="00A73C3B"/>
    <w:rsid w:val="00A74F0A"/>
    <w:rsid w:val="00A80C0A"/>
    <w:rsid w:val="00A81CEB"/>
    <w:rsid w:val="00A85AFB"/>
    <w:rsid w:val="00A9059D"/>
    <w:rsid w:val="00A91AFB"/>
    <w:rsid w:val="00A9377A"/>
    <w:rsid w:val="00A9390A"/>
    <w:rsid w:val="00A94F5F"/>
    <w:rsid w:val="00A95053"/>
    <w:rsid w:val="00A956CC"/>
    <w:rsid w:val="00A96A4D"/>
    <w:rsid w:val="00A97C6E"/>
    <w:rsid w:val="00AA034A"/>
    <w:rsid w:val="00AA1580"/>
    <w:rsid w:val="00AA3060"/>
    <w:rsid w:val="00AA5331"/>
    <w:rsid w:val="00AA5AE3"/>
    <w:rsid w:val="00AA72A4"/>
    <w:rsid w:val="00AA7E89"/>
    <w:rsid w:val="00AB461B"/>
    <w:rsid w:val="00AB50C1"/>
    <w:rsid w:val="00AC00BC"/>
    <w:rsid w:val="00AC531F"/>
    <w:rsid w:val="00AC5C9B"/>
    <w:rsid w:val="00AD0A49"/>
    <w:rsid w:val="00AD1CE2"/>
    <w:rsid w:val="00AD5768"/>
    <w:rsid w:val="00AD614B"/>
    <w:rsid w:val="00AE39C7"/>
    <w:rsid w:val="00AF0C72"/>
    <w:rsid w:val="00AF0CC3"/>
    <w:rsid w:val="00AF2AEC"/>
    <w:rsid w:val="00AF560C"/>
    <w:rsid w:val="00B03A23"/>
    <w:rsid w:val="00B0563E"/>
    <w:rsid w:val="00B069FB"/>
    <w:rsid w:val="00B12DF9"/>
    <w:rsid w:val="00B12FC3"/>
    <w:rsid w:val="00B13CBC"/>
    <w:rsid w:val="00B2048E"/>
    <w:rsid w:val="00B2072A"/>
    <w:rsid w:val="00B218D8"/>
    <w:rsid w:val="00B253D9"/>
    <w:rsid w:val="00B31DFC"/>
    <w:rsid w:val="00B34267"/>
    <w:rsid w:val="00B34449"/>
    <w:rsid w:val="00B35A0D"/>
    <w:rsid w:val="00B40699"/>
    <w:rsid w:val="00B4087C"/>
    <w:rsid w:val="00B40FF2"/>
    <w:rsid w:val="00B472B4"/>
    <w:rsid w:val="00B536D3"/>
    <w:rsid w:val="00B56987"/>
    <w:rsid w:val="00B60704"/>
    <w:rsid w:val="00B61B2A"/>
    <w:rsid w:val="00B624D3"/>
    <w:rsid w:val="00B64EF1"/>
    <w:rsid w:val="00B6576E"/>
    <w:rsid w:val="00B71A1B"/>
    <w:rsid w:val="00B71BDA"/>
    <w:rsid w:val="00B76FC4"/>
    <w:rsid w:val="00B8094C"/>
    <w:rsid w:val="00B82868"/>
    <w:rsid w:val="00B82E41"/>
    <w:rsid w:val="00B82F22"/>
    <w:rsid w:val="00B85382"/>
    <w:rsid w:val="00B9202F"/>
    <w:rsid w:val="00B93B9C"/>
    <w:rsid w:val="00B94F4A"/>
    <w:rsid w:val="00BA099B"/>
    <w:rsid w:val="00BA1EE2"/>
    <w:rsid w:val="00BA31DE"/>
    <w:rsid w:val="00BA42C2"/>
    <w:rsid w:val="00BA4EE9"/>
    <w:rsid w:val="00BA525E"/>
    <w:rsid w:val="00BA6EE1"/>
    <w:rsid w:val="00BA7224"/>
    <w:rsid w:val="00BA739A"/>
    <w:rsid w:val="00BA7D6A"/>
    <w:rsid w:val="00BB6A0A"/>
    <w:rsid w:val="00BB72C9"/>
    <w:rsid w:val="00BB7F73"/>
    <w:rsid w:val="00BC1B16"/>
    <w:rsid w:val="00BC2017"/>
    <w:rsid w:val="00BC390B"/>
    <w:rsid w:val="00BC4529"/>
    <w:rsid w:val="00BD154A"/>
    <w:rsid w:val="00BD2836"/>
    <w:rsid w:val="00BD4392"/>
    <w:rsid w:val="00BD7C7A"/>
    <w:rsid w:val="00BE39CE"/>
    <w:rsid w:val="00BE3C80"/>
    <w:rsid w:val="00BF12E8"/>
    <w:rsid w:val="00BF16A7"/>
    <w:rsid w:val="00BF1DDD"/>
    <w:rsid w:val="00BF5C75"/>
    <w:rsid w:val="00C039AF"/>
    <w:rsid w:val="00C0450B"/>
    <w:rsid w:val="00C1252E"/>
    <w:rsid w:val="00C129FC"/>
    <w:rsid w:val="00C15AFF"/>
    <w:rsid w:val="00C1723C"/>
    <w:rsid w:val="00C17292"/>
    <w:rsid w:val="00C17C75"/>
    <w:rsid w:val="00C246B0"/>
    <w:rsid w:val="00C26FBA"/>
    <w:rsid w:val="00C277E1"/>
    <w:rsid w:val="00C3287F"/>
    <w:rsid w:val="00C32B50"/>
    <w:rsid w:val="00C332A4"/>
    <w:rsid w:val="00C33321"/>
    <w:rsid w:val="00C3443B"/>
    <w:rsid w:val="00C357AD"/>
    <w:rsid w:val="00C363D5"/>
    <w:rsid w:val="00C42886"/>
    <w:rsid w:val="00C44ED0"/>
    <w:rsid w:val="00C46B62"/>
    <w:rsid w:val="00C50697"/>
    <w:rsid w:val="00C52788"/>
    <w:rsid w:val="00C52852"/>
    <w:rsid w:val="00C535AE"/>
    <w:rsid w:val="00C535C4"/>
    <w:rsid w:val="00C5490B"/>
    <w:rsid w:val="00C61D58"/>
    <w:rsid w:val="00C625AC"/>
    <w:rsid w:val="00C64E8A"/>
    <w:rsid w:val="00C71906"/>
    <w:rsid w:val="00C72B21"/>
    <w:rsid w:val="00C732C8"/>
    <w:rsid w:val="00C754E5"/>
    <w:rsid w:val="00C7616D"/>
    <w:rsid w:val="00C82813"/>
    <w:rsid w:val="00C84184"/>
    <w:rsid w:val="00C8425A"/>
    <w:rsid w:val="00C85CE8"/>
    <w:rsid w:val="00C86DB5"/>
    <w:rsid w:val="00C909F2"/>
    <w:rsid w:val="00C91AE1"/>
    <w:rsid w:val="00C942B4"/>
    <w:rsid w:val="00C9475B"/>
    <w:rsid w:val="00C95753"/>
    <w:rsid w:val="00CA0A91"/>
    <w:rsid w:val="00CA1324"/>
    <w:rsid w:val="00CA13D5"/>
    <w:rsid w:val="00CA6524"/>
    <w:rsid w:val="00CB03BD"/>
    <w:rsid w:val="00CB0B74"/>
    <w:rsid w:val="00CB32D3"/>
    <w:rsid w:val="00CB5388"/>
    <w:rsid w:val="00CB725D"/>
    <w:rsid w:val="00CC08C1"/>
    <w:rsid w:val="00CC144D"/>
    <w:rsid w:val="00CC2348"/>
    <w:rsid w:val="00CC2812"/>
    <w:rsid w:val="00CC36F1"/>
    <w:rsid w:val="00CD3F5F"/>
    <w:rsid w:val="00CD7EF6"/>
    <w:rsid w:val="00CE2060"/>
    <w:rsid w:val="00CE2F8E"/>
    <w:rsid w:val="00CE336C"/>
    <w:rsid w:val="00CE4CA3"/>
    <w:rsid w:val="00CE5A2B"/>
    <w:rsid w:val="00CF4E10"/>
    <w:rsid w:val="00CF53C9"/>
    <w:rsid w:val="00D033C7"/>
    <w:rsid w:val="00D038B6"/>
    <w:rsid w:val="00D04340"/>
    <w:rsid w:val="00D059E2"/>
    <w:rsid w:val="00D07AAC"/>
    <w:rsid w:val="00D10F5F"/>
    <w:rsid w:val="00D16BC7"/>
    <w:rsid w:val="00D17291"/>
    <w:rsid w:val="00D202F7"/>
    <w:rsid w:val="00D22497"/>
    <w:rsid w:val="00D244E9"/>
    <w:rsid w:val="00D314AD"/>
    <w:rsid w:val="00D36969"/>
    <w:rsid w:val="00D40399"/>
    <w:rsid w:val="00D44851"/>
    <w:rsid w:val="00D45894"/>
    <w:rsid w:val="00D528EF"/>
    <w:rsid w:val="00D53A4C"/>
    <w:rsid w:val="00D53F0E"/>
    <w:rsid w:val="00D5495C"/>
    <w:rsid w:val="00D550C2"/>
    <w:rsid w:val="00D56E3B"/>
    <w:rsid w:val="00D5753E"/>
    <w:rsid w:val="00D578E3"/>
    <w:rsid w:val="00D60D3C"/>
    <w:rsid w:val="00D60EC8"/>
    <w:rsid w:val="00D634B9"/>
    <w:rsid w:val="00D655E4"/>
    <w:rsid w:val="00D659CA"/>
    <w:rsid w:val="00D67CE2"/>
    <w:rsid w:val="00D71330"/>
    <w:rsid w:val="00D734A0"/>
    <w:rsid w:val="00D74997"/>
    <w:rsid w:val="00D75926"/>
    <w:rsid w:val="00D76751"/>
    <w:rsid w:val="00D7721F"/>
    <w:rsid w:val="00D82C2E"/>
    <w:rsid w:val="00D84754"/>
    <w:rsid w:val="00D84931"/>
    <w:rsid w:val="00D87237"/>
    <w:rsid w:val="00D90715"/>
    <w:rsid w:val="00D91A89"/>
    <w:rsid w:val="00D95F60"/>
    <w:rsid w:val="00D963B5"/>
    <w:rsid w:val="00D96721"/>
    <w:rsid w:val="00D97B64"/>
    <w:rsid w:val="00DA5FA7"/>
    <w:rsid w:val="00DA7872"/>
    <w:rsid w:val="00DB0A9E"/>
    <w:rsid w:val="00DB4418"/>
    <w:rsid w:val="00DB550E"/>
    <w:rsid w:val="00DB580C"/>
    <w:rsid w:val="00DB6476"/>
    <w:rsid w:val="00DB6AC4"/>
    <w:rsid w:val="00DB7413"/>
    <w:rsid w:val="00DC1CE8"/>
    <w:rsid w:val="00DD1B49"/>
    <w:rsid w:val="00DD244E"/>
    <w:rsid w:val="00DD32A3"/>
    <w:rsid w:val="00DD58C2"/>
    <w:rsid w:val="00DD5D5C"/>
    <w:rsid w:val="00DE13DD"/>
    <w:rsid w:val="00DE2238"/>
    <w:rsid w:val="00DE37A9"/>
    <w:rsid w:val="00DF36C3"/>
    <w:rsid w:val="00DF3F69"/>
    <w:rsid w:val="00E0091E"/>
    <w:rsid w:val="00E00DAF"/>
    <w:rsid w:val="00E10997"/>
    <w:rsid w:val="00E15B19"/>
    <w:rsid w:val="00E16DD7"/>
    <w:rsid w:val="00E213E4"/>
    <w:rsid w:val="00E2180E"/>
    <w:rsid w:val="00E25418"/>
    <w:rsid w:val="00E301D4"/>
    <w:rsid w:val="00E30BDC"/>
    <w:rsid w:val="00E338BB"/>
    <w:rsid w:val="00E344CE"/>
    <w:rsid w:val="00E44E02"/>
    <w:rsid w:val="00E53C33"/>
    <w:rsid w:val="00E618F6"/>
    <w:rsid w:val="00E62E4C"/>
    <w:rsid w:val="00E63770"/>
    <w:rsid w:val="00E66422"/>
    <w:rsid w:val="00E66E00"/>
    <w:rsid w:val="00E723CA"/>
    <w:rsid w:val="00E73B65"/>
    <w:rsid w:val="00E73E77"/>
    <w:rsid w:val="00E74B94"/>
    <w:rsid w:val="00E7638A"/>
    <w:rsid w:val="00E80B16"/>
    <w:rsid w:val="00E82021"/>
    <w:rsid w:val="00E82BBE"/>
    <w:rsid w:val="00E83B2A"/>
    <w:rsid w:val="00E9650F"/>
    <w:rsid w:val="00E96B73"/>
    <w:rsid w:val="00E97E7F"/>
    <w:rsid w:val="00EA306B"/>
    <w:rsid w:val="00EA5C8F"/>
    <w:rsid w:val="00EA78F3"/>
    <w:rsid w:val="00EB09BA"/>
    <w:rsid w:val="00EB14ED"/>
    <w:rsid w:val="00EB1DED"/>
    <w:rsid w:val="00EB4AE7"/>
    <w:rsid w:val="00EB6C8B"/>
    <w:rsid w:val="00EB7B60"/>
    <w:rsid w:val="00EC0A9C"/>
    <w:rsid w:val="00EC366E"/>
    <w:rsid w:val="00EC6E31"/>
    <w:rsid w:val="00ED4E6B"/>
    <w:rsid w:val="00ED543B"/>
    <w:rsid w:val="00ED588F"/>
    <w:rsid w:val="00ED710D"/>
    <w:rsid w:val="00EE0213"/>
    <w:rsid w:val="00EE060B"/>
    <w:rsid w:val="00EE2D34"/>
    <w:rsid w:val="00EE4C0A"/>
    <w:rsid w:val="00EE5EC4"/>
    <w:rsid w:val="00EF0036"/>
    <w:rsid w:val="00EF6BBB"/>
    <w:rsid w:val="00EF70D4"/>
    <w:rsid w:val="00F03047"/>
    <w:rsid w:val="00F04443"/>
    <w:rsid w:val="00F058C0"/>
    <w:rsid w:val="00F07E2E"/>
    <w:rsid w:val="00F12DB4"/>
    <w:rsid w:val="00F138BB"/>
    <w:rsid w:val="00F15CC8"/>
    <w:rsid w:val="00F166C8"/>
    <w:rsid w:val="00F1792B"/>
    <w:rsid w:val="00F2177B"/>
    <w:rsid w:val="00F27994"/>
    <w:rsid w:val="00F303CB"/>
    <w:rsid w:val="00F333D8"/>
    <w:rsid w:val="00F367FC"/>
    <w:rsid w:val="00F37B9E"/>
    <w:rsid w:val="00F37BF9"/>
    <w:rsid w:val="00F37DB0"/>
    <w:rsid w:val="00F4110B"/>
    <w:rsid w:val="00F42B28"/>
    <w:rsid w:val="00F436AE"/>
    <w:rsid w:val="00F445F4"/>
    <w:rsid w:val="00F458EE"/>
    <w:rsid w:val="00F4597D"/>
    <w:rsid w:val="00F47E1C"/>
    <w:rsid w:val="00F52295"/>
    <w:rsid w:val="00F60191"/>
    <w:rsid w:val="00F61D38"/>
    <w:rsid w:val="00F6376F"/>
    <w:rsid w:val="00F6772B"/>
    <w:rsid w:val="00F736C5"/>
    <w:rsid w:val="00F74377"/>
    <w:rsid w:val="00F7681E"/>
    <w:rsid w:val="00F76F87"/>
    <w:rsid w:val="00F81E44"/>
    <w:rsid w:val="00F853E3"/>
    <w:rsid w:val="00F8685F"/>
    <w:rsid w:val="00F913E2"/>
    <w:rsid w:val="00F91A84"/>
    <w:rsid w:val="00FA03F8"/>
    <w:rsid w:val="00FB17A9"/>
    <w:rsid w:val="00FB26A0"/>
    <w:rsid w:val="00FB2C1D"/>
    <w:rsid w:val="00FB4099"/>
    <w:rsid w:val="00FB4EDC"/>
    <w:rsid w:val="00FB5BF4"/>
    <w:rsid w:val="00FB6C1E"/>
    <w:rsid w:val="00FC0258"/>
    <w:rsid w:val="00FC2E74"/>
    <w:rsid w:val="00FC4356"/>
    <w:rsid w:val="00FC4866"/>
    <w:rsid w:val="00FD04ED"/>
    <w:rsid w:val="00FD6539"/>
    <w:rsid w:val="00FD6A7E"/>
    <w:rsid w:val="00FE4F75"/>
    <w:rsid w:val="00FE592F"/>
    <w:rsid w:val="00FE7F23"/>
    <w:rsid w:val="00FF1C80"/>
    <w:rsid w:val="00FF2C87"/>
    <w:rsid w:val="00FF553D"/>
    <w:rsid w:val="0B4D85C8"/>
    <w:rsid w:val="11F5C4CF"/>
    <w:rsid w:val="1723CA35"/>
    <w:rsid w:val="1D4E2AF5"/>
    <w:rsid w:val="1EE1AA24"/>
    <w:rsid w:val="2331914B"/>
    <w:rsid w:val="2EDECB6C"/>
    <w:rsid w:val="34E5EE93"/>
    <w:rsid w:val="3F7810D0"/>
    <w:rsid w:val="4228E732"/>
    <w:rsid w:val="4A73AFD7"/>
    <w:rsid w:val="4B903207"/>
    <w:rsid w:val="52056C9A"/>
    <w:rsid w:val="57960AE5"/>
    <w:rsid w:val="584F7703"/>
    <w:rsid w:val="5E1A4C1E"/>
    <w:rsid w:val="638E5578"/>
    <w:rsid w:val="6553565C"/>
    <w:rsid w:val="6782E23E"/>
    <w:rsid w:val="7716C6AA"/>
    <w:rsid w:val="7F6C9A0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E33E8"/>
  <w15:docId w15:val="{38E154CA-3F14-4529-819C-49117946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331"/>
    <w:pPr>
      <w:ind w:left="720"/>
      <w:contextualSpacing/>
    </w:pPr>
  </w:style>
  <w:style w:type="character" w:styleId="Hyperlink">
    <w:name w:val="Hyperlink"/>
    <w:basedOn w:val="DefaultParagraphFont"/>
    <w:uiPriority w:val="99"/>
    <w:unhideWhenUsed/>
    <w:rsid w:val="00D87237"/>
    <w:rPr>
      <w:color w:val="0563C1" w:themeColor="hyperlink"/>
      <w:u w:val="single"/>
    </w:rPr>
  </w:style>
  <w:style w:type="paragraph" w:styleId="Caption">
    <w:name w:val="caption"/>
    <w:basedOn w:val="Normal"/>
    <w:next w:val="Normal"/>
    <w:uiPriority w:val="35"/>
    <w:unhideWhenUsed/>
    <w:qFormat/>
    <w:rsid w:val="00E9650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A4358F"/>
    <w:rPr>
      <w:sz w:val="16"/>
      <w:szCs w:val="16"/>
    </w:rPr>
  </w:style>
  <w:style w:type="paragraph" w:styleId="CommentText">
    <w:name w:val="annotation text"/>
    <w:basedOn w:val="Normal"/>
    <w:link w:val="CommentTextChar"/>
    <w:uiPriority w:val="99"/>
    <w:unhideWhenUsed/>
    <w:rsid w:val="00A4358F"/>
    <w:pPr>
      <w:spacing w:line="240" w:lineRule="auto"/>
    </w:pPr>
    <w:rPr>
      <w:sz w:val="20"/>
      <w:szCs w:val="20"/>
    </w:rPr>
  </w:style>
  <w:style w:type="character" w:customStyle="1" w:styleId="CommentTextChar">
    <w:name w:val="Comment Text Char"/>
    <w:basedOn w:val="DefaultParagraphFont"/>
    <w:link w:val="CommentText"/>
    <w:uiPriority w:val="99"/>
    <w:rsid w:val="00A4358F"/>
    <w:rPr>
      <w:sz w:val="20"/>
      <w:szCs w:val="20"/>
    </w:rPr>
  </w:style>
  <w:style w:type="paragraph" w:styleId="CommentSubject">
    <w:name w:val="annotation subject"/>
    <w:basedOn w:val="CommentText"/>
    <w:next w:val="CommentText"/>
    <w:link w:val="CommentSubjectChar"/>
    <w:uiPriority w:val="99"/>
    <w:semiHidden/>
    <w:unhideWhenUsed/>
    <w:rsid w:val="00A4358F"/>
    <w:rPr>
      <w:b/>
      <w:bCs/>
    </w:rPr>
  </w:style>
  <w:style w:type="character" w:customStyle="1" w:styleId="CommentSubjectChar">
    <w:name w:val="Comment Subject Char"/>
    <w:basedOn w:val="CommentTextChar"/>
    <w:link w:val="CommentSubject"/>
    <w:uiPriority w:val="99"/>
    <w:semiHidden/>
    <w:rsid w:val="00A4358F"/>
    <w:rPr>
      <w:b/>
      <w:bCs/>
      <w:sz w:val="20"/>
      <w:szCs w:val="20"/>
    </w:rPr>
  </w:style>
  <w:style w:type="paragraph" w:styleId="BalloonText">
    <w:name w:val="Balloon Text"/>
    <w:basedOn w:val="Normal"/>
    <w:link w:val="BalloonTextChar"/>
    <w:uiPriority w:val="99"/>
    <w:semiHidden/>
    <w:unhideWhenUsed/>
    <w:rsid w:val="00A435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358F"/>
    <w:rPr>
      <w:rFonts w:ascii="Times New Roman" w:hAnsi="Times New Roman" w:cs="Times New Roman"/>
      <w:sz w:val="18"/>
      <w:szCs w:val="18"/>
    </w:rPr>
  </w:style>
  <w:style w:type="character" w:customStyle="1" w:styleId="labs-docsum-authors">
    <w:name w:val="labs-docsum-authors"/>
    <w:basedOn w:val="DefaultParagraphFont"/>
    <w:rsid w:val="00144B7C"/>
  </w:style>
  <w:style w:type="character" w:customStyle="1" w:styleId="labs-docsum-journal-citation">
    <w:name w:val="labs-docsum-journal-citation"/>
    <w:basedOn w:val="DefaultParagraphFont"/>
    <w:rsid w:val="00144B7C"/>
  </w:style>
  <w:style w:type="character" w:customStyle="1" w:styleId="citation-part">
    <w:name w:val="citation-part"/>
    <w:basedOn w:val="DefaultParagraphFont"/>
    <w:rsid w:val="00144B7C"/>
  </w:style>
  <w:style w:type="character" w:customStyle="1" w:styleId="docsum-pmid">
    <w:name w:val="docsum-pmid"/>
    <w:basedOn w:val="DefaultParagraphFont"/>
    <w:rsid w:val="00144B7C"/>
  </w:style>
  <w:style w:type="character" w:customStyle="1" w:styleId="publication-type">
    <w:name w:val="publication-type"/>
    <w:basedOn w:val="DefaultParagraphFont"/>
    <w:rsid w:val="00144B7C"/>
  </w:style>
  <w:style w:type="paragraph" w:styleId="NormalWeb">
    <w:name w:val="Normal (Web)"/>
    <w:basedOn w:val="Normal"/>
    <w:uiPriority w:val="99"/>
    <w:semiHidden/>
    <w:unhideWhenUsed/>
    <w:rsid w:val="00CA13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15AFF"/>
    <w:pPr>
      <w:spacing w:after="0" w:line="240" w:lineRule="auto"/>
    </w:pPr>
  </w:style>
  <w:style w:type="character" w:styleId="FollowedHyperlink">
    <w:name w:val="FollowedHyperlink"/>
    <w:basedOn w:val="DefaultParagraphFont"/>
    <w:uiPriority w:val="99"/>
    <w:semiHidden/>
    <w:unhideWhenUsed/>
    <w:rsid w:val="002A4828"/>
    <w:rPr>
      <w:color w:val="954F72" w:themeColor="followedHyperlink"/>
      <w:u w:val="single"/>
    </w:rPr>
  </w:style>
  <w:style w:type="character" w:customStyle="1" w:styleId="Title1">
    <w:name w:val="Title1"/>
    <w:basedOn w:val="DefaultParagraphFont"/>
    <w:rsid w:val="00E62E4C"/>
  </w:style>
  <w:style w:type="character" w:customStyle="1" w:styleId="Subtitle1">
    <w:name w:val="Subtitle1"/>
    <w:basedOn w:val="DefaultParagraphFont"/>
    <w:rsid w:val="00E62E4C"/>
  </w:style>
  <w:style w:type="paragraph" w:styleId="Footer">
    <w:name w:val="footer"/>
    <w:basedOn w:val="Normal"/>
    <w:link w:val="FooterChar"/>
    <w:uiPriority w:val="99"/>
    <w:unhideWhenUsed/>
    <w:rsid w:val="004820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2036"/>
  </w:style>
  <w:style w:type="character" w:styleId="PageNumber">
    <w:name w:val="page number"/>
    <w:basedOn w:val="DefaultParagraphFont"/>
    <w:uiPriority w:val="99"/>
    <w:semiHidden/>
    <w:unhideWhenUsed/>
    <w:rsid w:val="00482036"/>
  </w:style>
  <w:style w:type="paragraph" w:styleId="Header">
    <w:name w:val="header"/>
    <w:basedOn w:val="Normal"/>
    <w:link w:val="HeaderChar"/>
    <w:uiPriority w:val="99"/>
    <w:unhideWhenUsed/>
    <w:rsid w:val="00CD7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EF6"/>
  </w:style>
  <w:style w:type="character" w:customStyle="1" w:styleId="UnresolvedMention1">
    <w:name w:val="Unresolved Mention1"/>
    <w:basedOn w:val="DefaultParagraphFont"/>
    <w:uiPriority w:val="99"/>
    <w:semiHidden/>
    <w:unhideWhenUsed/>
    <w:rsid w:val="007F4D98"/>
    <w:rPr>
      <w:color w:val="605E5C"/>
      <w:shd w:val="clear" w:color="auto" w:fill="E1DFDD"/>
    </w:rPr>
  </w:style>
  <w:style w:type="character" w:customStyle="1" w:styleId="UnresolvedMention2">
    <w:name w:val="Unresolved Mention2"/>
    <w:basedOn w:val="DefaultParagraphFont"/>
    <w:uiPriority w:val="99"/>
    <w:semiHidden/>
    <w:unhideWhenUsed/>
    <w:rsid w:val="00B8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6874">
      <w:bodyDiv w:val="1"/>
      <w:marLeft w:val="0"/>
      <w:marRight w:val="0"/>
      <w:marTop w:val="0"/>
      <w:marBottom w:val="0"/>
      <w:divBdr>
        <w:top w:val="none" w:sz="0" w:space="0" w:color="auto"/>
        <w:left w:val="none" w:sz="0" w:space="0" w:color="auto"/>
        <w:bottom w:val="none" w:sz="0" w:space="0" w:color="auto"/>
        <w:right w:val="none" w:sz="0" w:space="0" w:color="auto"/>
      </w:divBdr>
    </w:div>
    <w:div w:id="257913059">
      <w:bodyDiv w:val="1"/>
      <w:marLeft w:val="0"/>
      <w:marRight w:val="0"/>
      <w:marTop w:val="0"/>
      <w:marBottom w:val="0"/>
      <w:divBdr>
        <w:top w:val="none" w:sz="0" w:space="0" w:color="auto"/>
        <w:left w:val="none" w:sz="0" w:space="0" w:color="auto"/>
        <w:bottom w:val="none" w:sz="0" w:space="0" w:color="auto"/>
        <w:right w:val="none" w:sz="0" w:space="0" w:color="auto"/>
      </w:divBdr>
    </w:div>
    <w:div w:id="280112909">
      <w:bodyDiv w:val="1"/>
      <w:marLeft w:val="0"/>
      <w:marRight w:val="0"/>
      <w:marTop w:val="0"/>
      <w:marBottom w:val="0"/>
      <w:divBdr>
        <w:top w:val="none" w:sz="0" w:space="0" w:color="auto"/>
        <w:left w:val="none" w:sz="0" w:space="0" w:color="auto"/>
        <w:bottom w:val="none" w:sz="0" w:space="0" w:color="auto"/>
        <w:right w:val="none" w:sz="0" w:space="0" w:color="auto"/>
      </w:divBdr>
    </w:div>
    <w:div w:id="311446532">
      <w:bodyDiv w:val="1"/>
      <w:marLeft w:val="0"/>
      <w:marRight w:val="0"/>
      <w:marTop w:val="0"/>
      <w:marBottom w:val="0"/>
      <w:divBdr>
        <w:top w:val="none" w:sz="0" w:space="0" w:color="auto"/>
        <w:left w:val="none" w:sz="0" w:space="0" w:color="auto"/>
        <w:bottom w:val="none" w:sz="0" w:space="0" w:color="auto"/>
        <w:right w:val="none" w:sz="0" w:space="0" w:color="auto"/>
      </w:divBdr>
    </w:div>
    <w:div w:id="477723284">
      <w:bodyDiv w:val="1"/>
      <w:marLeft w:val="0"/>
      <w:marRight w:val="0"/>
      <w:marTop w:val="0"/>
      <w:marBottom w:val="0"/>
      <w:divBdr>
        <w:top w:val="none" w:sz="0" w:space="0" w:color="auto"/>
        <w:left w:val="none" w:sz="0" w:space="0" w:color="auto"/>
        <w:bottom w:val="none" w:sz="0" w:space="0" w:color="auto"/>
        <w:right w:val="none" w:sz="0" w:space="0" w:color="auto"/>
      </w:divBdr>
    </w:div>
    <w:div w:id="514804450">
      <w:bodyDiv w:val="1"/>
      <w:marLeft w:val="0"/>
      <w:marRight w:val="0"/>
      <w:marTop w:val="0"/>
      <w:marBottom w:val="0"/>
      <w:divBdr>
        <w:top w:val="none" w:sz="0" w:space="0" w:color="auto"/>
        <w:left w:val="none" w:sz="0" w:space="0" w:color="auto"/>
        <w:bottom w:val="none" w:sz="0" w:space="0" w:color="auto"/>
        <w:right w:val="none" w:sz="0" w:space="0" w:color="auto"/>
      </w:divBdr>
    </w:div>
    <w:div w:id="515192875">
      <w:bodyDiv w:val="1"/>
      <w:marLeft w:val="0"/>
      <w:marRight w:val="0"/>
      <w:marTop w:val="0"/>
      <w:marBottom w:val="0"/>
      <w:divBdr>
        <w:top w:val="none" w:sz="0" w:space="0" w:color="auto"/>
        <w:left w:val="none" w:sz="0" w:space="0" w:color="auto"/>
        <w:bottom w:val="none" w:sz="0" w:space="0" w:color="auto"/>
        <w:right w:val="none" w:sz="0" w:space="0" w:color="auto"/>
      </w:divBdr>
    </w:div>
    <w:div w:id="529998545">
      <w:bodyDiv w:val="1"/>
      <w:marLeft w:val="0"/>
      <w:marRight w:val="0"/>
      <w:marTop w:val="0"/>
      <w:marBottom w:val="0"/>
      <w:divBdr>
        <w:top w:val="none" w:sz="0" w:space="0" w:color="auto"/>
        <w:left w:val="none" w:sz="0" w:space="0" w:color="auto"/>
        <w:bottom w:val="none" w:sz="0" w:space="0" w:color="auto"/>
        <w:right w:val="none" w:sz="0" w:space="0" w:color="auto"/>
      </w:divBdr>
    </w:div>
    <w:div w:id="567570018">
      <w:bodyDiv w:val="1"/>
      <w:marLeft w:val="0"/>
      <w:marRight w:val="0"/>
      <w:marTop w:val="0"/>
      <w:marBottom w:val="0"/>
      <w:divBdr>
        <w:top w:val="none" w:sz="0" w:space="0" w:color="auto"/>
        <w:left w:val="none" w:sz="0" w:space="0" w:color="auto"/>
        <w:bottom w:val="none" w:sz="0" w:space="0" w:color="auto"/>
        <w:right w:val="none" w:sz="0" w:space="0" w:color="auto"/>
      </w:divBdr>
    </w:div>
    <w:div w:id="645551913">
      <w:bodyDiv w:val="1"/>
      <w:marLeft w:val="0"/>
      <w:marRight w:val="0"/>
      <w:marTop w:val="0"/>
      <w:marBottom w:val="0"/>
      <w:divBdr>
        <w:top w:val="none" w:sz="0" w:space="0" w:color="auto"/>
        <w:left w:val="none" w:sz="0" w:space="0" w:color="auto"/>
        <w:bottom w:val="none" w:sz="0" w:space="0" w:color="auto"/>
        <w:right w:val="none" w:sz="0" w:space="0" w:color="auto"/>
      </w:divBdr>
    </w:div>
    <w:div w:id="647781637">
      <w:bodyDiv w:val="1"/>
      <w:marLeft w:val="0"/>
      <w:marRight w:val="0"/>
      <w:marTop w:val="0"/>
      <w:marBottom w:val="0"/>
      <w:divBdr>
        <w:top w:val="none" w:sz="0" w:space="0" w:color="auto"/>
        <w:left w:val="none" w:sz="0" w:space="0" w:color="auto"/>
        <w:bottom w:val="none" w:sz="0" w:space="0" w:color="auto"/>
        <w:right w:val="none" w:sz="0" w:space="0" w:color="auto"/>
      </w:divBdr>
    </w:div>
    <w:div w:id="651568200">
      <w:bodyDiv w:val="1"/>
      <w:marLeft w:val="0"/>
      <w:marRight w:val="0"/>
      <w:marTop w:val="0"/>
      <w:marBottom w:val="0"/>
      <w:divBdr>
        <w:top w:val="none" w:sz="0" w:space="0" w:color="auto"/>
        <w:left w:val="none" w:sz="0" w:space="0" w:color="auto"/>
        <w:bottom w:val="none" w:sz="0" w:space="0" w:color="auto"/>
        <w:right w:val="none" w:sz="0" w:space="0" w:color="auto"/>
      </w:divBdr>
    </w:div>
    <w:div w:id="653223619">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
    <w:div w:id="795678195">
      <w:bodyDiv w:val="1"/>
      <w:marLeft w:val="0"/>
      <w:marRight w:val="0"/>
      <w:marTop w:val="0"/>
      <w:marBottom w:val="0"/>
      <w:divBdr>
        <w:top w:val="none" w:sz="0" w:space="0" w:color="auto"/>
        <w:left w:val="none" w:sz="0" w:space="0" w:color="auto"/>
        <w:bottom w:val="none" w:sz="0" w:space="0" w:color="auto"/>
        <w:right w:val="none" w:sz="0" w:space="0" w:color="auto"/>
      </w:divBdr>
    </w:div>
    <w:div w:id="857281995">
      <w:bodyDiv w:val="1"/>
      <w:marLeft w:val="0"/>
      <w:marRight w:val="0"/>
      <w:marTop w:val="0"/>
      <w:marBottom w:val="0"/>
      <w:divBdr>
        <w:top w:val="none" w:sz="0" w:space="0" w:color="auto"/>
        <w:left w:val="none" w:sz="0" w:space="0" w:color="auto"/>
        <w:bottom w:val="none" w:sz="0" w:space="0" w:color="auto"/>
        <w:right w:val="none" w:sz="0" w:space="0" w:color="auto"/>
      </w:divBdr>
      <w:divsChild>
        <w:div w:id="1584995041">
          <w:marLeft w:val="0"/>
          <w:marRight w:val="0"/>
          <w:marTop w:val="0"/>
          <w:marBottom w:val="0"/>
          <w:divBdr>
            <w:top w:val="none" w:sz="0" w:space="0" w:color="auto"/>
            <w:left w:val="none" w:sz="0" w:space="0" w:color="auto"/>
            <w:bottom w:val="none" w:sz="0" w:space="0" w:color="auto"/>
            <w:right w:val="none" w:sz="0" w:space="0" w:color="auto"/>
          </w:divBdr>
        </w:div>
      </w:divsChild>
    </w:div>
    <w:div w:id="865947710">
      <w:bodyDiv w:val="1"/>
      <w:marLeft w:val="0"/>
      <w:marRight w:val="0"/>
      <w:marTop w:val="0"/>
      <w:marBottom w:val="0"/>
      <w:divBdr>
        <w:top w:val="none" w:sz="0" w:space="0" w:color="auto"/>
        <w:left w:val="none" w:sz="0" w:space="0" w:color="auto"/>
        <w:bottom w:val="none" w:sz="0" w:space="0" w:color="auto"/>
        <w:right w:val="none" w:sz="0" w:space="0" w:color="auto"/>
      </w:divBdr>
    </w:div>
    <w:div w:id="915745991">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42568042">
      <w:bodyDiv w:val="1"/>
      <w:marLeft w:val="0"/>
      <w:marRight w:val="0"/>
      <w:marTop w:val="0"/>
      <w:marBottom w:val="0"/>
      <w:divBdr>
        <w:top w:val="none" w:sz="0" w:space="0" w:color="auto"/>
        <w:left w:val="none" w:sz="0" w:space="0" w:color="auto"/>
        <w:bottom w:val="none" w:sz="0" w:space="0" w:color="auto"/>
        <w:right w:val="none" w:sz="0" w:space="0" w:color="auto"/>
      </w:divBdr>
    </w:div>
    <w:div w:id="944386347">
      <w:bodyDiv w:val="1"/>
      <w:marLeft w:val="0"/>
      <w:marRight w:val="0"/>
      <w:marTop w:val="0"/>
      <w:marBottom w:val="0"/>
      <w:divBdr>
        <w:top w:val="none" w:sz="0" w:space="0" w:color="auto"/>
        <w:left w:val="none" w:sz="0" w:space="0" w:color="auto"/>
        <w:bottom w:val="none" w:sz="0" w:space="0" w:color="auto"/>
        <w:right w:val="none" w:sz="0" w:space="0" w:color="auto"/>
      </w:divBdr>
    </w:div>
    <w:div w:id="1112288799">
      <w:bodyDiv w:val="1"/>
      <w:marLeft w:val="0"/>
      <w:marRight w:val="0"/>
      <w:marTop w:val="0"/>
      <w:marBottom w:val="0"/>
      <w:divBdr>
        <w:top w:val="none" w:sz="0" w:space="0" w:color="auto"/>
        <w:left w:val="none" w:sz="0" w:space="0" w:color="auto"/>
        <w:bottom w:val="none" w:sz="0" w:space="0" w:color="auto"/>
        <w:right w:val="none" w:sz="0" w:space="0" w:color="auto"/>
      </w:divBdr>
    </w:div>
    <w:div w:id="1122384289">
      <w:bodyDiv w:val="1"/>
      <w:marLeft w:val="0"/>
      <w:marRight w:val="0"/>
      <w:marTop w:val="0"/>
      <w:marBottom w:val="0"/>
      <w:divBdr>
        <w:top w:val="none" w:sz="0" w:space="0" w:color="auto"/>
        <w:left w:val="none" w:sz="0" w:space="0" w:color="auto"/>
        <w:bottom w:val="none" w:sz="0" w:space="0" w:color="auto"/>
        <w:right w:val="none" w:sz="0" w:space="0" w:color="auto"/>
      </w:divBdr>
    </w:div>
    <w:div w:id="1167594518">
      <w:bodyDiv w:val="1"/>
      <w:marLeft w:val="0"/>
      <w:marRight w:val="0"/>
      <w:marTop w:val="0"/>
      <w:marBottom w:val="0"/>
      <w:divBdr>
        <w:top w:val="none" w:sz="0" w:space="0" w:color="auto"/>
        <w:left w:val="none" w:sz="0" w:space="0" w:color="auto"/>
        <w:bottom w:val="none" w:sz="0" w:space="0" w:color="auto"/>
        <w:right w:val="none" w:sz="0" w:space="0" w:color="auto"/>
      </w:divBdr>
    </w:div>
    <w:div w:id="1221283397">
      <w:bodyDiv w:val="1"/>
      <w:marLeft w:val="0"/>
      <w:marRight w:val="0"/>
      <w:marTop w:val="0"/>
      <w:marBottom w:val="0"/>
      <w:divBdr>
        <w:top w:val="none" w:sz="0" w:space="0" w:color="auto"/>
        <w:left w:val="none" w:sz="0" w:space="0" w:color="auto"/>
        <w:bottom w:val="none" w:sz="0" w:space="0" w:color="auto"/>
        <w:right w:val="none" w:sz="0" w:space="0" w:color="auto"/>
      </w:divBdr>
    </w:div>
    <w:div w:id="1276711656">
      <w:bodyDiv w:val="1"/>
      <w:marLeft w:val="0"/>
      <w:marRight w:val="0"/>
      <w:marTop w:val="0"/>
      <w:marBottom w:val="0"/>
      <w:divBdr>
        <w:top w:val="none" w:sz="0" w:space="0" w:color="auto"/>
        <w:left w:val="none" w:sz="0" w:space="0" w:color="auto"/>
        <w:bottom w:val="none" w:sz="0" w:space="0" w:color="auto"/>
        <w:right w:val="none" w:sz="0" w:space="0" w:color="auto"/>
      </w:divBdr>
    </w:div>
    <w:div w:id="1333680243">
      <w:bodyDiv w:val="1"/>
      <w:marLeft w:val="0"/>
      <w:marRight w:val="0"/>
      <w:marTop w:val="0"/>
      <w:marBottom w:val="0"/>
      <w:divBdr>
        <w:top w:val="none" w:sz="0" w:space="0" w:color="auto"/>
        <w:left w:val="none" w:sz="0" w:space="0" w:color="auto"/>
        <w:bottom w:val="none" w:sz="0" w:space="0" w:color="auto"/>
        <w:right w:val="none" w:sz="0" w:space="0" w:color="auto"/>
      </w:divBdr>
    </w:div>
    <w:div w:id="1386293682">
      <w:bodyDiv w:val="1"/>
      <w:marLeft w:val="0"/>
      <w:marRight w:val="0"/>
      <w:marTop w:val="0"/>
      <w:marBottom w:val="0"/>
      <w:divBdr>
        <w:top w:val="none" w:sz="0" w:space="0" w:color="auto"/>
        <w:left w:val="none" w:sz="0" w:space="0" w:color="auto"/>
        <w:bottom w:val="none" w:sz="0" w:space="0" w:color="auto"/>
        <w:right w:val="none" w:sz="0" w:space="0" w:color="auto"/>
      </w:divBdr>
    </w:div>
    <w:div w:id="1400833970">
      <w:bodyDiv w:val="1"/>
      <w:marLeft w:val="0"/>
      <w:marRight w:val="0"/>
      <w:marTop w:val="0"/>
      <w:marBottom w:val="0"/>
      <w:divBdr>
        <w:top w:val="none" w:sz="0" w:space="0" w:color="auto"/>
        <w:left w:val="none" w:sz="0" w:space="0" w:color="auto"/>
        <w:bottom w:val="none" w:sz="0" w:space="0" w:color="auto"/>
        <w:right w:val="none" w:sz="0" w:space="0" w:color="auto"/>
      </w:divBdr>
    </w:div>
    <w:div w:id="1410614318">
      <w:bodyDiv w:val="1"/>
      <w:marLeft w:val="0"/>
      <w:marRight w:val="0"/>
      <w:marTop w:val="0"/>
      <w:marBottom w:val="0"/>
      <w:divBdr>
        <w:top w:val="none" w:sz="0" w:space="0" w:color="auto"/>
        <w:left w:val="none" w:sz="0" w:space="0" w:color="auto"/>
        <w:bottom w:val="none" w:sz="0" w:space="0" w:color="auto"/>
        <w:right w:val="none" w:sz="0" w:space="0" w:color="auto"/>
      </w:divBdr>
    </w:div>
    <w:div w:id="1471708491">
      <w:bodyDiv w:val="1"/>
      <w:marLeft w:val="0"/>
      <w:marRight w:val="0"/>
      <w:marTop w:val="0"/>
      <w:marBottom w:val="0"/>
      <w:divBdr>
        <w:top w:val="none" w:sz="0" w:space="0" w:color="auto"/>
        <w:left w:val="none" w:sz="0" w:space="0" w:color="auto"/>
        <w:bottom w:val="none" w:sz="0" w:space="0" w:color="auto"/>
        <w:right w:val="none" w:sz="0" w:space="0" w:color="auto"/>
      </w:divBdr>
    </w:div>
    <w:div w:id="1475441958">
      <w:bodyDiv w:val="1"/>
      <w:marLeft w:val="0"/>
      <w:marRight w:val="0"/>
      <w:marTop w:val="0"/>
      <w:marBottom w:val="0"/>
      <w:divBdr>
        <w:top w:val="none" w:sz="0" w:space="0" w:color="auto"/>
        <w:left w:val="none" w:sz="0" w:space="0" w:color="auto"/>
        <w:bottom w:val="none" w:sz="0" w:space="0" w:color="auto"/>
        <w:right w:val="none" w:sz="0" w:space="0" w:color="auto"/>
      </w:divBdr>
    </w:div>
    <w:div w:id="1633173563">
      <w:bodyDiv w:val="1"/>
      <w:marLeft w:val="0"/>
      <w:marRight w:val="0"/>
      <w:marTop w:val="0"/>
      <w:marBottom w:val="0"/>
      <w:divBdr>
        <w:top w:val="none" w:sz="0" w:space="0" w:color="auto"/>
        <w:left w:val="none" w:sz="0" w:space="0" w:color="auto"/>
        <w:bottom w:val="none" w:sz="0" w:space="0" w:color="auto"/>
        <w:right w:val="none" w:sz="0" w:space="0" w:color="auto"/>
      </w:divBdr>
    </w:div>
    <w:div w:id="1633289380">
      <w:bodyDiv w:val="1"/>
      <w:marLeft w:val="0"/>
      <w:marRight w:val="0"/>
      <w:marTop w:val="0"/>
      <w:marBottom w:val="0"/>
      <w:divBdr>
        <w:top w:val="none" w:sz="0" w:space="0" w:color="auto"/>
        <w:left w:val="none" w:sz="0" w:space="0" w:color="auto"/>
        <w:bottom w:val="none" w:sz="0" w:space="0" w:color="auto"/>
        <w:right w:val="none" w:sz="0" w:space="0" w:color="auto"/>
      </w:divBdr>
    </w:div>
    <w:div w:id="1751199934">
      <w:bodyDiv w:val="1"/>
      <w:marLeft w:val="0"/>
      <w:marRight w:val="0"/>
      <w:marTop w:val="0"/>
      <w:marBottom w:val="0"/>
      <w:divBdr>
        <w:top w:val="none" w:sz="0" w:space="0" w:color="auto"/>
        <w:left w:val="none" w:sz="0" w:space="0" w:color="auto"/>
        <w:bottom w:val="none" w:sz="0" w:space="0" w:color="auto"/>
        <w:right w:val="none" w:sz="0" w:space="0" w:color="auto"/>
      </w:divBdr>
    </w:div>
    <w:div w:id="1784617085">
      <w:bodyDiv w:val="1"/>
      <w:marLeft w:val="0"/>
      <w:marRight w:val="0"/>
      <w:marTop w:val="0"/>
      <w:marBottom w:val="0"/>
      <w:divBdr>
        <w:top w:val="none" w:sz="0" w:space="0" w:color="auto"/>
        <w:left w:val="none" w:sz="0" w:space="0" w:color="auto"/>
        <w:bottom w:val="none" w:sz="0" w:space="0" w:color="auto"/>
        <w:right w:val="none" w:sz="0" w:space="0" w:color="auto"/>
      </w:divBdr>
    </w:div>
    <w:div w:id="1811940762">
      <w:bodyDiv w:val="1"/>
      <w:marLeft w:val="0"/>
      <w:marRight w:val="0"/>
      <w:marTop w:val="0"/>
      <w:marBottom w:val="0"/>
      <w:divBdr>
        <w:top w:val="none" w:sz="0" w:space="0" w:color="auto"/>
        <w:left w:val="none" w:sz="0" w:space="0" w:color="auto"/>
        <w:bottom w:val="none" w:sz="0" w:space="0" w:color="auto"/>
        <w:right w:val="none" w:sz="0" w:space="0" w:color="auto"/>
      </w:divBdr>
    </w:div>
    <w:div w:id="1989821732">
      <w:bodyDiv w:val="1"/>
      <w:marLeft w:val="0"/>
      <w:marRight w:val="0"/>
      <w:marTop w:val="0"/>
      <w:marBottom w:val="0"/>
      <w:divBdr>
        <w:top w:val="none" w:sz="0" w:space="0" w:color="auto"/>
        <w:left w:val="none" w:sz="0" w:space="0" w:color="auto"/>
        <w:bottom w:val="none" w:sz="0" w:space="0" w:color="auto"/>
        <w:right w:val="none" w:sz="0" w:space="0" w:color="auto"/>
      </w:divBdr>
    </w:div>
    <w:div w:id="2071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han@lshtm.ac.uk" TargetMode="External"/><Relationship Id="rId13" Type="http://schemas.openxmlformats.org/officeDocument/2006/relationships/hyperlink" Target="https://doi.org/10.1002/wps.20309" TargetMode="External"/><Relationship Id="rId18" Type="http://schemas.openxmlformats.org/officeDocument/2006/relationships/hyperlink" Target="https://doi.org/10.1192/bjp.bp.109.067082"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11/j.1447-0349.2011.00792.x" TargetMode="External"/><Relationship Id="rId2" Type="http://schemas.openxmlformats.org/officeDocument/2006/relationships/numbering" Target="numbering.xml"/><Relationship Id="rId16" Type="http://schemas.openxmlformats.org/officeDocument/2006/relationships/hyperlink" Target="https://doi.org/10.1093/ije/dyv098" TargetMode="External"/><Relationship Id="rId20" Type="http://schemas.openxmlformats.org/officeDocument/2006/relationships/hyperlink" Target="https://doi.org/10.5334/ijic.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36/bmjopen-2015-009010" TargetMode="External"/><Relationship Id="rId23" Type="http://schemas.openxmlformats.org/officeDocument/2006/relationships/theme" Target="theme/theme1.xml"/><Relationship Id="rId10" Type="http://schemas.openxmlformats.org/officeDocument/2006/relationships/hyperlink" Target="https://www.arc-yh.nihr.ac.uk/" TargetMode="External"/><Relationship Id="rId19" Type="http://schemas.openxmlformats.org/officeDocument/2006/relationships/hyperlink" Target="https://doi.org/10.1192/bjp.bp.115.163170" TargetMode="External"/><Relationship Id="rId4" Type="http://schemas.openxmlformats.org/officeDocument/2006/relationships/settings" Target="settings.xml"/><Relationship Id="rId9" Type="http://schemas.openxmlformats.org/officeDocument/2006/relationships/hyperlink" Target="https://www.arc-yh.nihr.ac.uk/" TargetMode="External"/><Relationship Id="rId14" Type="http://schemas.openxmlformats.org/officeDocument/2006/relationships/hyperlink" Target="https://doi.org/10.1136/bmjopen-2013-0028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ADE5-D7A9-4E59-B30F-EB7DEBBC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6428</Words>
  <Characters>36643</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L.</dc:creator>
  <cp:lastModifiedBy>Julie Hickman</cp:lastModifiedBy>
  <cp:revision>2</cp:revision>
  <dcterms:created xsi:type="dcterms:W3CDTF">2021-02-09T12:41:00Z</dcterms:created>
  <dcterms:modified xsi:type="dcterms:W3CDTF">2021-02-09T12:41:00Z</dcterms:modified>
</cp:coreProperties>
</file>