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63828" w14:textId="09DD9853" w:rsidR="001C1FF1" w:rsidRPr="004A2D77" w:rsidRDefault="004A2D77" w:rsidP="001C1FF1">
      <w:pPr>
        <w:spacing w:after="120"/>
        <w:jc w:val="center"/>
        <w:rPr>
          <w:rFonts w:ascii="Times New Roman" w:hAnsi="Times New Roman" w:cs="Times New Roman"/>
          <w:b/>
          <w:sz w:val="24"/>
          <w:szCs w:val="24"/>
          <w:lang w:val="en-US"/>
        </w:rPr>
      </w:pPr>
      <w:r w:rsidRPr="004A2D77">
        <w:rPr>
          <w:rFonts w:ascii="Times New Roman" w:hAnsi="Times New Roman" w:cs="Times New Roman"/>
          <w:b/>
          <w:sz w:val="24"/>
          <w:szCs w:val="24"/>
          <w:lang w:val="en-US"/>
        </w:rPr>
        <w:t>Optimization</w:t>
      </w:r>
      <w:r w:rsidR="001C1FF1" w:rsidRPr="004A2D77">
        <w:rPr>
          <w:rFonts w:ascii="Times New Roman" w:hAnsi="Times New Roman" w:cs="Times New Roman"/>
          <w:b/>
          <w:sz w:val="24"/>
          <w:szCs w:val="24"/>
          <w:lang w:val="en-US"/>
        </w:rPr>
        <w:t xml:space="preserve"> in Redox Flow Batteries</w:t>
      </w:r>
    </w:p>
    <w:p w14:paraId="6D454379" w14:textId="77777777" w:rsidR="001C1FF1" w:rsidRPr="004A2D77" w:rsidRDefault="001C1FF1" w:rsidP="001C1FF1">
      <w:pPr>
        <w:spacing w:after="120"/>
        <w:jc w:val="center"/>
        <w:rPr>
          <w:rFonts w:ascii="Times New Roman" w:hAnsi="Times New Roman" w:cs="Times New Roman"/>
          <w:sz w:val="24"/>
          <w:szCs w:val="24"/>
          <w:lang w:val="en-US"/>
        </w:rPr>
      </w:pPr>
      <w:r w:rsidRPr="004A2D77">
        <w:rPr>
          <w:rFonts w:ascii="Times New Roman" w:hAnsi="Times New Roman" w:cs="Times New Roman"/>
          <w:sz w:val="24"/>
          <w:szCs w:val="24"/>
          <w:lang w:val="en-US"/>
        </w:rPr>
        <w:t>Puiki Leung</w:t>
      </w:r>
      <w:r w:rsidRPr="004A2D77">
        <w:rPr>
          <w:rFonts w:ascii="Times New Roman" w:hAnsi="Times New Roman" w:cs="Times New Roman"/>
          <w:sz w:val="24"/>
          <w:szCs w:val="24"/>
          <w:vertAlign w:val="superscript"/>
          <w:lang w:val="en-US"/>
        </w:rPr>
        <w:t>1</w:t>
      </w:r>
      <w:r w:rsidRPr="004A2D77">
        <w:rPr>
          <w:rFonts w:ascii="Times New Roman" w:hAnsi="Times New Roman" w:cs="Times New Roman"/>
          <w:sz w:val="24"/>
          <w:szCs w:val="24"/>
          <w:lang w:val="en-US"/>
        </w:rPr>
        <w:t>, Joseph Johannes Henricus Pijpers</w:t>
      </w:r>
      <w:r w:rsidRPr="004A2D77">
        <w:rPr>
          <w:rFonts w:ascii="Times New Roman" w:hAnsi="Times New Roman" w:cs="Times New Roman"/>
          <w:sz w:val="24"/>
          <w:szCs w:val="24"/>
          <w:vertAlign w:val="superscript"/>
          <w:lang w:val="en-US"/>
        </w:rPr>
        <w:t>2</w:t>
      </w:r>
      <w:r w:rsidRPr="004A2D77">
        <w:rPr>
          <w:rFonts w:ascii="Times New Roman" w:hAnsi="Times New Roman" w:cs="Times New Roman"/>
          <w:sz w:val="24"/>
          <w:szCs w:val="24"/>
          <w:lang w:val="en-US"/>
        </w:rPr>
        <w:t>, Carlos Ponce de León</w:t>
      </w:r>
      <w:r w:rsidRPr="004A2D77">
        <w:rPr>
          <w:rFonts w:ascii="Times New Roman" w:hAnsi="Times New Roman" w:cs="Times New Roman"/>
          <w:sz w:val="24"/>
          <w:szCs w:val="24"/>
          <w:vertAlign w:val="superscript"/>
          <w:lang w:val="en-US"/>
        </w:rPr>
        <w:t>1</w:t>
      </w:r>
    </w:p>
    <w:p w14:paraId="153A7D5C" w14:textId="77777777" w:rsidR="001C1FF1" w:rsidRPr="004A2D77" w:rsidRDefault="001C1FF1" w:rsidP="001C1FF1">
      <w:pPr>
        <w:spacing w:after="120"/>
        <w:rPr>
          <w:rFonts w:ascii="Times New Roman" w:hAnsi="Times New Roman" w:cs="Times New Roman"/>
          <w:sz w:val="24"/>
          <w:szCs w:val="24"/>
          <w:lang w:val="en-US"/>
        </w:rPr>
      </w:pPr>
    </w:p>
    <w:p w14:paraId="7FE7E465" w14:textId="77777777" w:rsidR="001C1FF1" w:rsidRPr="004A2D77" w:rsidRDefault="001C1FF1" w:rsidP="001C1FF1">
      <w:pPr>
        <w:spacing w:after="120"/>
        <w:jc w:val="center"/>
        <w:rPr>
          <w:rFonts w:ascii="Times New Roman" w:hAnsi="Times New Roman" w:cs="Times New Roman"/>
          <w:sz w:val="24"/>
          <w:szCs w:val="24"/>
          <w:lang w:val="en-US"/>
        </w:rPr>
      </w:pPr>
      <w:r w:rsidRPr="004A2D77">
        <w:rPr>
          <w:rFonts w:ascii="Times New Roman" w:hAnsi="Times New Roman" w:cs="Times New Roman"/>
          <w:sz w:val="24"/>
          <w:szCs w:val="24"/>
          <w:vertAlign w:val="superscript"/>
          <w:lang w:val="en-US"/>
        </w:rPr>
        <w:t>1</w:t>
      </w:r>
      <w:r w:rsidRPr="004A2D77">
        <w:rPr>
          <w:rFonts w:ascii="Times New Roman" w:hAnsi="Times New Roman" w:cs="Times New Roman"/>
          <w:sz w:val="24"/>
          <w:szCs w:val="24"/>
          <w:lang w:val="en-US"/>
        </w:rPr>
        <w:t>Faculty of Engineering and Physical Sciences, University of Southampton, Highfield, Southampton, SO17 1BJ, United Kingdom</w:t>
      </w:r>
    </w:p>
    <w:p w14:paraId="7E31FCCF" w14:textId="77777777" w:rsidR="001C1FF1" w:rsidRPr="008A0BBF" w:rsidRDefault="001C1FF1" w:rsidP="001C1FF1">
      <w:pPr>
        <w:spacing w:after="120"/>
        <w:jc w:val="center"/>
        <w:rPr>
          <w:rFonts w:ascii="Times New Roman" w:hAnsi="Times New Roman" w:cs="Times New Roman"/>
          <w:sz w:val="24"/>
          <w:szCs w:val="24"/>
          <w:lang w:val="pt-BR"/>
        </w:rPr>
      </w:pPr>
      <w:r w:rsidRPr="008A0BBF">
        <w:rPr>
          <w:rFonts w:ascii="Times New Roman" w:hAnsi="Times New Roman" w:cs="Times New Roman"/>
          <w:sz w:val="24"/>
          <w:szCs w:val="24"/>
          <w:vertAlign w:val="superscript"/>
          <w:lang w:val="es-ES"/>
        </w:rPr>
        <w:t>2</w:t>
      </w:r>
      <w:r w:rsidRPr="008A0BBF">
        <w:rPr>
          <w:rFonts w:ascii="Times New Roman" w:hAnsi="Times New Roman" w:cs="Times New Roman"/>
          <w:sz w:val="24"/>
          <w:szCs w:val="24"/>
          <w:lang w:val="es-ES"/>
        </w:rPr>
        <w:t xml:space="preserve">Instituto Nacional de Electricidad y Energías Limpias. </w:t>
      </w:r>
      <w:r w:rsidRPr="008A0BBF">
        <w:rPr>
          <w:rFonts w:ascii="Times New Roman" w:hAnsi="Times New Roman" w:cs="Times New Roman"/>
          <w:sz w:val="24"/>
          <w:szCs w:val="24"/>
          <w:lang w:val="pt-BR"/>
        </w:rPr>
        <w:t>Reforma 113, Colonia Palmira, Cuernavaca, Morelos, C.P. 62490 Mexico</w:t>
      </w:r>
    </w:p>
    <w:p w14:paraId="5EBC96CB" w14:textId="77777777" w:rsidR="001C1FF1" w:rsidRPr="008A0BBF" w:rsidRDefault="001C1FF1" w:rsidP="001C1FF1">
      <w:pPr>
        <w:spacing w:after="120"/>
        <w:rPr>
          <w:rFonts w:ascii="Times New Roman" w:hAnsi="Times New Roman" w:cs="Times New Roman"/>
          <w:sz w:val="24"/>
          <w:szCs w:val="24"/>
          <w:lang w:val="pt-BR"/>
        </w:rPr>
      </w:pPr>
    </w:p>
    <w:p w14:paraId="03F1E4DB" w14:textId="77777777" w:rsidR="001C1FF1" w:rsidRPr="008A0BBF" w:rsidRDefault="001C1FF1" w:rsidP="001C1FF1">
      <w:pPr>
        <w:spacing w:after="120"/>
        <w:rPr>
          <w:rFonts w:ascii="Times New Roman" w:hAnsi="Times New Roman" w:cs="Times New Roman"/>
          <w:sz w:val="24"/>
          <w:szCs w:val="24"/>
          <w:lang w:val="pt-BR"/>
        </w:rPr>
      </w:pPr>
      <w:r w:rsidRPr="008A0BBF">
        <w:rPr>
          <w:rFonts w:ascii="Times New Roman" w:hAnsi="Times New Roman" w:cs="Times New Roman"/>
          <w:sz w:val="24"/>
          <w:szCs w:val="24"/>
          <w:lang w:val="pt-BR"/>
        </w:rPr>
        <w:t xml:space="preserve">Puiki Leung, e-mail: </w:t>
      </w:r>
      <w:hyperlink r:id="rId6" w:history="1">
        <w:r w:rsidRPr="008A0BBF">
          <w:rPr>
            <w:rStyle w:val="Hyperlink"/>
            <w:rFonts w:ascii="Times New Roman" w:hAnsi="Times New Roman" w:cs="Times New Roman"/>
            <w:sz w:val="24"/>
            <w:szCs w:val="24"/>
            <w:lang w:val="pt-BR"/>
          </w:rPr>
          <w:t>P.K.Leung@soton.ac.uk</w:t>
        </w:r>
      </w:hyperlink>
      <w:r w:rsidRPr="008A0BBF">
        <w:rPr>
          <w:rFonts w:ascii="Times New Roman" w:hAnsi="Times New Roman" w:cs="Times New Roman"/>
          <w:sz w:val="24"/>
          <w:szCs w:val="24"/>
          <w:lang w:val="pt-BR"/>
        </w:rPr>
        <w:t xml:space="preserve">  </w:t>
      </w:r>
    </w:p>
    <w:p w14:paraId="71E569BE" w14:textId="77777777" w:rsidR="001C1FF1" w:rsidRPr="008A0BBF" w:rsidRDefault="001C1FF1" w:rsidP="001C1FF1">
      <w:pPr>
        <w:spacing w:after="120"/>
        <w:rPr>
          <w:rFonts w:ascii="Times New Roman" w:hAnsi="Times New Roman" w:cs="Times New Roman"/>
          <w:sz w:val="24"/>
          <w:szCs w:val="24"/>
          <w:lang w:val="pt-BR"/>
        </w:rPr>
      </w:pPr>
      <w:r w:rsidRPr="008A0BBF">
        <w:rPr>
          <w:rFonts w:ascii="Times New Roman" w:hAnsi="Times New Roman" w:cs="Times New Roman"/>
          <w:sz w:val="24"/>
          <w:szCs w:val="24"/>
          <w:lang w:val="pt-BR"/>
        </w:rPr>
        <w:t xml:space="preserve">Joseph Johannes Henricus Pijpers, e-mail: </w:t>
      </w:r>
      <w:hyperlink r:id="rId7" w:history="1">
        <w:r w:rsidRPr="008A0BBF">
          <w:rPr>
            <w:rStyle w:val="Hyperlink"/>
            <w:rFonts w:ascii="Times New Roman" w:hAnsi="Times New Roman" w:cs="Times New Roman"/>
            <w:sz w:val="24"/>
            <w:szCs w:val="24"/>
            <w:lang w:val="pt-BR"/>
          </w:rPr>
          <w:t>jpijpers@ineel.mx</w:t>
        </w:r>
      </w:hyperlink>
      <w:r w:rsidRPr="008A0BBF">
        <w:rPr>
          <w:rFonts w:ascii="Times New Roman" w:hAnsi="Times New Roman" w:cs="Times New Roman"/>
          <w:sz w:val="24"/>
          <w:szCs w:val="24"/>
          <w:lang w:val="pt-BR"/>
        </w:rPr>
        <w:t xml:space="preserve">  </w:t>
      </w:r>
    </w:p>
    <w:p w14:paraId="0916831B" w14:textId="77777777" w:rsidR="001C1FF1" w:rsidRPr="002051C7" w:rsidRDefault="001C1FF1" w:rsidP="001C1FF1">
      <w:pPr>
        <w:spacing w:after="120"/>
        <w:rPr>
          <w:rFonts w:ascii="Times New Roman" w:hAnsi="Times New Roman" w:cs="Times New Roman"/>
          <w:sz w:val="24"/>
          <w:szCs w:val="24"/>
          <w:lang w:val="es-MX"/>
        </w:rPr>
      </w:pPr>
      <w:r w:rsidRPr="002051C7">
        <w:rPr>
          <w:rFonts w:ascii="Times New Roman" w:hAnsi="Times New Roman" w:cs="Times New Roman"/>
          <w:sz w:val="24"/>
          <w:szCs w:val="24"/>
          <w:lang w:val="es-MX"/>
        </w:rPr>
        <w:t xml:space="preserve">Carlos Ponce de León, e-mail: </w:t>
      </w:r>
      <w:hyperlink r:id="rId8" w:history="1">
        <w:r w:rsidRPr="002051C7">
          <w:rPr>
            <w:rStyle w:val="Hyperlink"/>
            <w:rFonts w:ascii="Times New Roman" w:hAnsi="Times New Roman" w:cs="Times New Roman"/>
            <w:sz w:val="24"/>
            <w:szCs w:val="24"/>
            <w:lang w:val="es-MX"/>
          </w:rPr>
          <w:t>capla@soton.ac.uk</w:t>
        </w:r>
      </w:hyperlink>
      <w:r w:rsidRPr="002051C7">
        <w:rPr>
          <w:rFonts w:ascii="Times New Roman" w:hAnsi="Times New Roman" w:cs="Times New Roman"/>
          <w:sz w:val="24"/>
          <w:szCs w:val="24"/>
          <w:lang w:val="es-MX"/>
        </w:rPr>
        <w:t xml:space="preserve">  </w:t>
      </w:r>
    </w:p>
    <w:p w14:paraId="3FB057A2" w14:textId="77777777" w:rsidR="001C1FF1" w:rsidRPr="002051C7" w:rsidRDefault="001C1FF1" w:rsidP="001C1FF1">
      <w:pPr>
        <w:spacing w:after="120"/>
        <w:rPr>
          <w:rFonts w:ascii="Times New Roman" w:hAnsi="Times New Roman" w:cs="Times New Roman"/>
          <w:sz w:val="24"/>
          <w:szCs w:val="24"/>
          <w:lang w:val="es-MX"/>
        </w:rPr>
      </w:pPr>
    </w:p>
    <w:p w14:paraId="6B1EBDDC" w14:textId="77777777" w:rsidR="00490B67" w:rsidRPr="00060970" w:rsidRDefault="00490B67" w:rsidP="00490B67">
      <w:pPr>
        <w:spacing w:after="120"/>
        <w:rPr>
          <w:rFonts w:ascii="Times New Roman" w:hAnsi="Times New Roman" w:cs="Times New Roman"/>
          <w:bCs/>
          <w:sz w:val="24"/>
          <w:szCs w:val="24"/>
          <w:lang w:val="en-US"/>
        </w:rPr>
      </w:pPr>
      <w:r w:rsidRPr="00060970">
        <w:rPr>
          <w:rFonts w:ascii="Times New Roman" w:hAnsi="Times New Roman" w:cs="Times New Roman"/>
          <w:bCs/>
          <w:sz w:val="24"/>
          <w:szCs w:val="24"/>
          <w:lang w:val="en-US"/>
        </w:rPr>
        <w:t>Abstract</w:t>
      </w:r>
    </w:p>
    <w:p w14:paraId="1566A33A" w14:textId="258C4155" w:rsidR="00490B67" w:rsidRPr="004A2D77" w:rsidRDefault="00490B67" w:rsidP="001C69C8">
      <w:pPr>
        <w:spacing w:after="120"/>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 xml:space="preserve">This paper </w:t>
      </w:r>
      <w:r w:rsidR="004E3E34" w:rsidRPr="004A2D77">
        <w:rPr>
          <w:rFonts w:ascii="Times New Roman" w:hAnsi="Times New Roman" w:cs="Times New Roman"/>
          <w:sz w:val="24"/>
          <w:szCs w:val="24"/>
          <w:lang w:val="en-US"/>
        </w:rPr>
        <w:t xml:space="preserve">presents some optimization approaches for </w:t>
      </w:r>
      <w:r w:rsidR="007D7F0D" w:rsidRPr="004A2D77">
        <w:rPr>
          <w:rFonts w:ascii="Times New Roman" w:hAnsi="Times New Roman" w:cs="Times New Roman"/>
          <w:sz w:val="24"/>
          <w:szCs w:val="24"/>
          <w:lang w:val="en-US"/>
        </w:rPr>
        <w:t>r</w:t>
      </w:r>
      <w:r w:rsidRPr="004A2D77">
        <w:rPr>
          <w:rFonts w:ascii="Times New Roman" w:hAnsi="Times New Roman" w:cs="Times New Roman"/>
          <w:sz w:val="24"/>
          <w:szCs w:val="24"/>
          <w:lang w:val="en-US"/>
        </w:rPr>
        <w:t>edox flow batter</w:t>
      </w:r>
      <w:r w:rsidR="004E3E34" w:rsidRPr="004A2D77">
        <w:rPr>
          <w:rFonts w:ascii="Times New Roman" w:hAnsi="Times New Roman" w:cs="Times New Roman"/>
          <w:sz w:val="24"/>
          <w:szCs w:val="24"/>
          <w:lang w:val="en-US"/>
        </w:rPr>
        <w:t xml:space="preserve">ies, which </w:t>
      </w:r>
      <w:r w:rsidRPr="004A2D77">
        <w:rPr>
          <w:rFonts w:ascii="Times New Roman" w:hAnsi="Times New Roman" w:cs="Times New Roman"/>
          <w:sz w:val="24"/>
          <w:szCs w:val="24"/>
          <w:lang w:val="en-US"/>
        </w:rPr>
        <w:t xml:space="preserve">are promising energy storage devices due to their </w:t>
      </w:r>
      <w:r w:rsidR="004E3E34" w:rsidRPr="004A2D77">
        <w:rPr>
          <w:rFonts w:ascii="Times New Roman" w:hAnsi="Times New Roman" w:cs="Times New Roman"/>
          <w:sz w:val="24"/>
          <w:szCs w:val="24"/>
          <w:lang w:val="en-US"/>
        </w:rPr>
        <w:t>potential</w:t>
      </w:r>
      <w:r w:rsidR="005A27AA" w:rsidRPr="004A2D77">
        <w:rPr>
          <w:rFonts w:ascii="Times New Roman" w:hAnsi="Times New Roman" w:cs="Times New Roman"/>
          <w:sz w:val="24"/>
          <w:szCs w:val="24"/>
          <w:lang w:val="en-US"/>
        </w:rPr>
        <w:t xml:space="preserve"> of</w:t>
      </w:r>
      <w:r w:rsidR="004E3E34" w:rsidRPr="004A2D77">
        <w:rPr>
          <w:rFonts w:ascii="Times New Roman" w:hAnsi="Times New Roman" w:cs="Times New Roman"/>
          <w:sz w:val="24"/>
          <w:szCs w:val="24"/>
          <w:lang w:val="en-US"/>
        </w:rPr>
        <w:t xml:space="preserve"> </w:t>
      </w:r>
      <w:r w:rsidR="005A27AA" w:rsidRPr="004A2D77">
        <w:rPr>
          <w:rFonts w:ascii="Times New Roman" w:hAnsi="Times New Roman" w:cs="Times New Roman"/>
          <w:sz w:val="24"/>
          <w:szCs w:val="24"/>
          <w:lang w:val="en-US"/>
        </w:rPr>
        <w:t>providing long-duration storage at low c</w:t>
      </w:r>
      <w:r w:rsidRPr="004A2D77">
        <w:rPr>
          <w:rFonts w:ascii="Times New Roman" w:hAnsi="Times New Roman" w:cs="Times New Roman"/>
          <w:sz w:val="24"/>
          <w:szCs w:val="24"/>
          <w:lang w:val="en-US"/>
        </w:rPr>
        <w:t>ost</w:t>
      </w:r>
      <w:r w:rsidR="005A27AA" w:rsidRPr="004A2D77">
        <w:rPr>
          <w:rFonts w:ascii="Times New Roman" w:hAnsi="Times New Roman" w:cs="Times New Roman"/>
          <w:sz w:val="24"/>
          <w:szCs w:val="24"/>
          <w:lang w:val="en-US"/>
        </w:rPr>
        <w:t>. In order to compete with alternative energy storage technologies (e.g. lithium-ion batteries), flow battery optimization will need to focus on increased round-trip efficiency and ensuring outstanding flow battery durability, while utilizing low-cost material for critical electrolyte and stack components.</w:t>
      </w:r>
    </w:p>
    <w:p w14:paraId="1D9096C1" w14:textId="77777777" w:rsidR="00490B67" w:rsidRPr="004A2D77" w:rsidRDefault="00490B67" w:rsidP="00490B67">
      <w:pPr>
        <w:spacing w:after="120"/>
        <w:rPr>
          <w:rFonts w:ascii="Times New Roman" w:hAnsi="Times New Roman" w:cs="Times New Roman"/>
          <w:sz w:val="24"/>
          <w:szCs w:val="24"/>
          <w:lang w:val="en-US"/>
        </w:rPr>
      </w:pPr>
    </w:p>
    <w:p w14:paraId="4EF423CF" w14:textId="696C6155" w:rsidR="00490B67" w:rsidRPr="004A2D77" w:rsidRDefault="00490B67" w:rsidP="00490B67">
      <w:pPr>
        <w:spacing w:after="120"/>
        <w:rPr>
          <w:rFonts w:ascii="Times New Roman" w:hAnsi="Times New Roman" w:cs="Times New Roman"/>
          <w:sz w:val="24"/>
          <w:szCs w:val="24"/>
          <w:lang w:val="en-US"/>
        </w:rPr>
      </w:pPr>
      <w:r w:rsidRPr="004A2D77">
        <w:rPr>
          <w:rFonts w:ascii="Times New Roman" w:hAnsi="Times New Roman" w:cs="Times New Roman"/>
          <w:sz w:val="24"/>
          <w:szCs w:val="24"/>
          <w:lang w:val="en-US"/>
        </w:rPr>
        <w:t xml:space="preserve">Keywords: </w:t>
      </w:r>
      <w:r w:rsidR="00F84B7F">
        <w:rPr>
          <w:rFonts w:ascii="Times New Roman" w:hAnsi="Times New Roman" w:cs="Times New Roman"/>
          <w:sz w:val="24"/>
          <w:szCs w:val="24"/>
          <w:lang w:val="en-US"/>
        </w:rPr>
        <w:t xml:space="preserve">current density; </w:t>
      </w:r>
      <w:r w:rsidR="00DD3156">
        <w:rPr>
          <w:rFonts w:ascii="Times New Roman" w:hAnsi="Times New Roman" w:cs="Times New Roman"/>
          <w:sz w:val="24"/>
          <w:szCs w:val="24"/>
          <w:lang w:val="en-US"/>
        </w:rPr>
        <w:t>electrode materials and treatment; e</w:t>
      </w:r>
      <w:r w:rsidRPr="004A2D77">
        <w:rPr>
          <w:rFonts w:ascii="Times New Roman" w:hAnsi="Times New Roman" w:cs="Times New Roman"/>
          <w:sz w:val="24"/>
          <w:szCs w:val="24"/>
          <w:lang w:val="en-US"/>
        </w:rPr>
        <w:t>nergy density; energ</w:t>
      </w:r>
      <w:r w:rsidR="007D7F0D" w:rsidRPr="004A2D77">
        <w:rPr>
          <w:rFonts w:ascii="Times New Roman" w:hAnsi="Times New Roman" w:cs="Times New Roman"/>
          <w:sz w:val="24"/>
          <w:szCs w:val="24"/>
          <w:lang w:val="en-US"/>
        </w:rPr>
        <w:t xml:space="preserve">y storage; </w:t>
      </w:r>
      <w:r w:rsidR="002051C7">
        <w:rPr>
          <w:rFonts w:ascii="Times New Roman" w:hAnsi="Times New Roman" w:cs="Times New Roman"/>
          <w:sz w:val="24"/>
          <w:szCs w:val="24"/>
          <w:lang w:val="en-US"/>
        </w:rPr>
        <w:t xml:space="preserve">figures of merit; </w:t>
      </w:r>
      <w:r w:rsidR="00F27F53">
        <w:rPr>
          <w:rFonts w:ascii="Times New Roman" w:hAnsi="Times New Roman" w:cs="Times New Roman"/>
          <w:sz w:val="24"/>
          <w:szCs w:val="24"/>
          <w:lang w:val="en-US"/>
        </w:rPr>
        <w:t xml:space="preserve">flow </w:t>
      </w:r>
      <w:r w:rsidR="002E125F">
        <w:rPr>
          <w:rFonts w:ascii="Times New Roman" w:hAnsi="Times New Roman" w:cs="Times New Roman"/>
          <w:sz w:val="24"/>
          <w:szCs w:val="24"/>
          <w:lang w:val="en-US"/>
        </w:rPr>
        <w:t xml:space="preserve">rate management; </w:t>
      </w:r>
      <w:r w:rsidR="003E7833">
        <w:rPr>
          <w:rFonts w:ascii="Times New Roman" w:hAnsi="Times New Roman" w:cs="Times New Roman"/>
          <w:sz w:val="24"/>
          <w:szCs w:val="24"/>
          <w:lang w:val="en-US"/>
        </w:rPr>
        <w:t xml:space="preserve">porous electrodes; </w:t>
      </w:r>
      <w:r w:rsidR="005658A2">
        <w:rPr>
          <w:rFonts w:ascii="Times New Roman" w:hAnsi="Times New Roman" w:cs="Times New Roman"/>
          <w:sz w:val="24"/>
          <w:szCs w:val="24"/>
          <w:lang w:val="en-US"/>
        </w:rPr>
        <w:t xml:space="preserve">power density; </w:t>
      </w:r>
      <w:r w:rsidR="00DD3156">
        <w:rPr>
          <w:rFonts w:ascii="Times New Roman" w:hAnsi="Times New Roman" w:cs="Times New Roman"/>
          <w:sz w:val="24"/>
          <w:szCs w:val="24"/>
          <w:lang w:val="en-US"/>
        </w:rPr>
        <w:t xml:space="preserve">pressure drop; </w:t>
      </w:r>
      <w:r w:rsidR="007D7F0D" w:rsidRPr="004A2D77">
        <w:rPr>
          <w:rFonts w:ascii="Times New Roman" w:hAnsi="Times New Roman" w:cs="Times New Roman"/>
          <w:sz w:val="24"/>
          <w:szCs w:val="24"/>
          <w:lang w:val="en-US"/>
        </w:rPr>
        <w:t>redox flow batteries.</w:t>
      </w:r>
    </w:p>
    <w:p w14:paraId="070E90CC" w14:textId="77777777" w:rsidR="00490B67" w:rsidRPr="004A2D77" w:rsidRDefault="00490B67" w:rsidP="00490B67">
      <w:pPr>
        <w:spacing w:after="120"/>
        <w:rPr>
          <w:rFonts w:ascii="Times New Roman" w:hAnsi="Times New Roman" w:cs="Times New Roman"/>
          <w:sz w:val="24"/>
          <w:szCs w:val="24"/>
          <w:lang w:val="en-US"/>
        </w:rPr>
      </w:pPr>
    </w:p>
    <w:p w14:paraId="54D5985B" w14:textId="77777777" w:rsidR="00490B67" w:rsidRPr="00060970" w:rsidRDefault="00490B67" w:rsidP="00490B67">
      <w:pPr>
        <w:spacing w:after="120" w:line="480" w:lineRule="auto"/>
        <w:rPr>
          <w:rFonts w:ascii="Times New Roman" w:hAnsi="Times New Roman" w:cs="Times New Roman"/>
          <w:bCs/>
          <w:sz w:val="24"/>
          <w:szCs w:val="24"/>
          <w:lang w:val="en-US"/>
        </w:rPr>
      </w:pPr>
      <w:r w:rsidRPr="00060970">
        <w:rPr>
          <w:rFonts w:ascii="Times New Roman" w:hAnsi="Times New Roman" w:cs="Times New Roman"/>
          <w:bCs/>
          <w:sz w:val="24"/>
          <w:szCs w:val="24"/>
          <w:lang w:val="en-US"/>
        </w:rPr>
        <w:t>1. Introduction</w:t>
      </w:r>
    </w:p>
    <w:p w14:paraId="2142C862" w14:textId="0EE17651" w:rsidR="0042628C" w:rsidRPr="004A2D77" w:rsidRDefault="00490B67" w:rsidP="00334468">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 xml:space="preserve">This paper analyses some operational parameters that are fundamental </w:t>
      </w:r>
      <w:r w:rsidR="000D4033">
        <w:rPr>
          <w:rFonts w:ascii="Times New Roman" w:hAnsi="Times New Roman" w:cs="Times New Roman"/>
          <w:sz w:val="24"/>
          <w:szCs w:val="24"/>
          <w:lang w:val="en-US"/>
        </w:rPr>
        <w:t>to improve</w:t>
      </w:r>
      <w:r w:rsidRPr="004A2D77">
        <w:rPr>
          <w:rFonts w:ascii="Times New Roman" w:hAnsi="Times New Roman" w:cs="Times New Roman"/>
          <w:sz w:val="24"/>
          <w:szCs w:val="24"/>
          <w:lang w:val="en-US"/>
        </w:rPr>
        <w:t xml:space="preserve"> the performance of Redox Flow Batteries (RFBs)</w:t>
      </w:r>
      <w:r w:rsidR="00334468" w:rsidRPr="004A2D77">
        <w:rPr>
          <w:rFonts w:ascii="Times New Roman" w:hAnsi="Times New Roman" w:cs="Times New Roman"/>
          <w:sz w:val="24"/>
          <w:szCs w:val="24"/>
          <w:lang w:val="en-US"/>
        </w:rPr>
        <w:t xml:space="preserve">. These batteries </w:t>
      </w:r>
      <w:r w:rsidRPr="004A2D77">
        <w:rPr>
          <w:rFonts w:ascii="Times New Roman" w:hAnsi="Times New Roman" w:cs="Times New Roman"/>
          <w:sz w:val="24"/>
          <w:szCs w:val="24"/>
          <w:lang w:val="en-US"/>
        </w:rPr>
        <w:t>are designed to support electricity generation plants by providing a reversible energy storage capability and manage and facilitate the electricity load in the grid. A typical RFB module consists on an arrangement of a large number</w:t>
      </w:r>
      <w:r w:rsidR="007D7F0D" w:rsidRPr="004A2D77">
        <w:rPr>
          <w:rFonts w:ascii="Times New Roman" w:hAnsi="Times New Roman" w:cs="Times New Roman"/>
          <w:sz w:val="24"/>
          <w:szCs w:val="24"/>
          <w:lang w:val="en-US"/>
        </w:rPr>
        <w:t>,</w:t>
      </w:r>
      <w:r w:rsidRPr="004A2D77">
        <w:rPr>
          <w:rFonts w:ascii="Times New Roman" w:hAnsi="Times New Roman" w:cs="Times New Roman"/>
          <w:sz w:val="24"/>
          <w:szCs w:val="24"/>
          <w:lang w:val="en-US"/>
        </w:rPr>
        <w:t xml:space="preserve"> of up to 200 bipolar cells. Each single cell contains two compartments divided by a separator that keeps apart two redox couples dissolved in an electrolyte. The electrolyte is distributed through the cells from two reservoirs </w:t>
      </w:r>
      <w:r w:rsidR="007D7F0D" w:rsidRPr="004A2D77">
        <w:rPr>
          <w:rFonts w:ascii="Times New Roman" w:hAnsi="Times New Roman" w:cs="Times New Roman"/>
          <w:sz w:val="24"/>
          <w:szCs w:val="24"/>
          <w:lang w:val="en-US"/>
        </w:rPr>
        <w:t xml:space="preserve">using centrifugal magnetic </w:t>
      </w:r>
      <w:r w:rsidR="007D7F0D" w:rsidRPr="004A2D77">
        <w:rPr>
          <w:rFonts w:ascii="Times New Roman" w:hAnsi="Times New Roman" w:cs="Times New Roman"/>
          <w:sz w:val="24"/>
          <w:szCs w:val="24"/>
          <w:lang w:val="en-US"/>
        </w:rPr>
        <w:lastRenderedPageBreak/>
        <w:t xml:space="preserve">driven or peristaltic </w:t>
      </w:r>
      <w:r w:rsidRPr="004A2D77">
        <w:rPr>
          <w:rFonts w:ascii="Times New Roman" w:hAnsi="Times New Roman" w:cs="Times New Roman"/>
          <w:sz w:val="24"/>
          <w:szCs w:val="24"/>
          <w:lang w:val="en-US"/>
        </w:rPr>
        <w:t>pumps. A schematic diagram of a single cell is presented in Figure 1 showing the electrodes, separator, pumps, reservoirs and simplified electrical component</w:t>
      </w:r>
      <w:r w:rsidR="000F7E67" w:rsidRPr="004A2D77">
        <w:rPr>
          <w:rFonts w:ascii="Times New Roman" w:hAnsi="Times New Roman" w:cs="Times New Roman"/>
          <w:sz w:val="24"/>
          <w:szCs w:val="24"/>
          <w:lang w:val="en-US"/>
        </w:rPr>
        <w:t>s</w:t>
      </w:r>
      <w:r w:rsidRPr="004A2D77">
        <w:rPr>
          <w:rFonts w:ascii="Times New Roman" w:hAnsi="Times New Roman" w:cs="Times New Roman"/>
          <w:sz w:val="24"/>
          <w:szCs w:val="24"/>
          <w:lang w:val="en-US"/>
        </w:rPr>
        <w:t>.</w:t>
      </w:r>
    </w:p>
    <w:p w14:paraId="1A0E0B9B" w14:textId="77777777" w:rsidR="00490B67" w:rsidRPr="004A2D77" w:rsidRDefault="00490B67" w:rsidP="00490B67">
      <w:pPr>
        <w:spacing w:after="120" w:line="480" w:lineRule="auto"/>
        <w:rPr>
          <w:rFonts w:ascii="Times New Roman" w:hAnsi="Times New Roman" w:cs="Times New Roman"/>
          <w:sz w:val="24"/>
          <w:szCs w:val="24"/>
          <w:lang w:val="en-US"/>
        </w:rPr>
      </w:pPr>
    </w:p>
    <w:p w14:paraId="27DFEF09" w14:textId="77777777" w:rsidR="00490B67" w:rsidRPr="004A2D77" w:rsidRDefault="00490B67" w:rsidP="00490B67">
      <w:pPr>
        <w:spacing w:after="120" w:line="480" w:lineRule="auto"/>
        <w:jc w:val="center"/>
        <w:rPr>
          <w:rFonts w:ascii="Times New Roman" w:hAnsi="Times New Roman" w:cs="Times New Roman"/>
          <w:sz w:val="24"/>
          <w:szCs w:val="24"/>
          <w:lang w:val="en-US"/>
        </w:rPr>
      </w:pPr>
      <w:r w:rsidRPr="004A2D77">
        <w:rPr>
          <w:rFonts w:ascii="Times New Roman" w:hAnsi="Times New Roman"/>
          <w:noProof/>
          <w:szCs w:val="24"/>
          <w:lang w:eastAsia="en-GB"/>
        </w:rPr>
        <w:drawing>
          <wp:inline distT="0" distB="0" distL="0" distR="0" wp14:anchorId="03B07A08" wp14:editId="24462773">
            <wp:extent cx="4266590" cy="352958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66590" cy="3529584"/>
                    </a:xfrm>
                    <a:prstGeom prst="rect">
                      <a:avLst/>
                    </a:prstGeom>
                  </pic:spPr>
                </pic:pic>
              </a:graphicData>
            </a:graphic>
          </wp:inline>
        </w:drawing>
      </w:r>
    </w:p>
    <w:p w14:paraId="54E1E8D0" w14:textId="77777777" w:rsidR="00490B67" w:rsidRPr="004A2D77" w:rsidRDefault="00490B67" w:rsidP="00490B67">
      <w:pPr>
        <w:spacing w:after="120" w:line="480" w:lineRule="auto"/>
        <w:jc w:val="center"/>
        <w:rPr>
          <w:rFonts w:ascii="Times New Roman" w:hAnsi="Times New Roman" w:cs="Times New Roman"/>
          <w:sz w:val="24"/>
          <w:szCs w:val="24"/>
          <w:lang w:val="en-US"/>
        </w:rPr>
      </w:pPr>
    </w:p>
    <w:p w14:paraId="79AD4468" w14:textId="77777777" w:rsidR="00490B67" w:rsidRPr="004A2D77" w:rsidRDefault="00490B67" w:rsidP="00365786">
      <w:pPr>
        <w:spacing w:after="120" w:line="240" w:lineRule="auto"/>
        <w:jc w:val="both"/>
        <w:rPr>
          <w:rFonts w:ascii="Times New Roman" w:hAnsi="Times New Roman" w:cs="Times New Roman"/>
          <w:sz w:val="24"/>
          <w:szCs w:val="24"/>
          <w:lang w:val="en-US"/>
        </w:rPr>
      </w:pPr>
      <w:r w:rsidRPr="00400C02">
        <w:rPr>
          <w:rFonts w:ascii="Times New Roman" w:hAnsi="Times New Roman" w:cs="Times New Roman"/>
          <w:bCs/>
          <w:sz w:val="24"/>
          <w:szCs w:val="24"/>
          <w:lang w:val="en-US"/>
        </w:rPr>
        <w:t>Figure 1. Schematic</w:t>
      </w:r>
      <w:r w:rsidRPr="004A2D77">
        <w:rPr>
          <w:rFonts w:ascii="Times New Roman" w:hAnsi="Times New Roman" w:cs="Times New Roman"/>
          <w:sz w:val="24"/>
          <w:szCs w:val="24"/>
          <w:lang w:val="en-US"/>
        </w:rPr>
        <w:t xml:space="preserve"> diagram of a unitary redox flow battery with all the components of a divided single cell electrolyte reservoirs and pumps. With permission from Elsevier.</w:t>
      </w:r>
    </w:p>
    <w:p w14:paraId="0726499D" w14:textId="77777777" w:rsidR="00490B67" w:rsidRPr="004A2D77" w:rsidRDefault="00490B67" w:rsidP="00490B67">
      <w:pPr>
        <w:spacing w:after="120" w:line="480" w:lineRule="auto"/>
        <w:jc w:val="both"/>
        <w:rPr>
          <w:rFonts w:ascii="Times New Roman" w:hAnsi="Times New Roman" w:cs="Times New Roman"/>
          <w:sz w:val="24"/>
          <w:szCs w:val="24"/>
          <w:lang w:val="en-US"/>
        </w:rPr>
      </w:pPr>
    </w:p>
    <w:p w14:paraId="62E2BB03" w14:textId="57D4CD4E" w:rsidR="00490B67" w:rsidRPr="004A2D77" w:rsidRDefault="00BF3B51" w:rsidP="00490B67">
      <w:pPr>
        <w:spacing w:after="12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the </w:t>
      </w:r>
      <w:r w:rsidR="00490B67" w:rsidRPr="004A2D77">
        <w:rPr>
          <w:rFonts w:ascii="Times New Roman" w:hAnsi="Times New Roman" w:cs="Times New Roman"/>
          <w:sz w:val="24"/>
          <w:szCs w:val="24"/>
          <w:lang w:val="en-US"/>
        </w:rPr>
        <w:t>number of single cells increase</w:t>
      </w:r>
      <w:r>
        <w:rPr>
          <w:rFonts w:ascii="Times New Roman" w:hAnsi="Times New Roman" w:cs="Times New Roman"/>
          <w:sz w:val="24"/>
          <w:szCs w:val="24"/>
          <w:lang w:val="en-US"/>
        </w:rPr>
        <w:t>s</w:t>
      </w:r>
      <w:r w:rsidR="00490B67" w:rsidRPr="004A2D77">
        <w:rPr>
          <w:rFonts w:ascii="Times New Roman" w:hAnsi="Times New Roman" w:cs="Times New Roman"/>
          <w:sz w:val="24"/>
          <w:szCs w:val="24"/>
          <w:lang w:val="en-US"/>
        </w:rPr>
        <w:t xml:space="preserve">, the electrolyte is distributed to all the cells that are arranged parallel to each other </w:t>
      </w:r>
      <w:r w:rsidR="00755964" w:rsidRPr="004A2D77">
        <w:rPr>
          <w:rFonts w:ascii="Times New Roman" w:hAnsi="Times New Roman" w:cs="Times New Roman"/>
          <w:sz w:val="24"/>
          <w:szCs w:val="24"/>
          <w:lang w:val="en-US"/>
        </w:rPr>
        <w:t xml:space="preserve">and </w:t>
      </w:r>
      <w:r w:rsidR="00490B67" w:rsidRPr="004A2D77">
        <w:rPr>
          <w:rFonts w:ascii="Times New Roman" w:hAnsi="Times New Roman" w:cs="Times New Roman"/>
          <w:sz w:val="24"/>
          <w:szCs w:val="24"/>
          <w:lang w:val="en-US"/>
        </w:rPr>
        <w:t xml:space="preserve">connected in bipolar </w:t>
      </w:r>
      <w:r w:rsidR="00755964" w:rsidRPr="004A2D77">
        <w:rPr>
          <w:rFonts w:ascii="Times New Roman" w:hAnsi="Times New Roman" w:cs="Times New Roman"/>
          <w:sz w:val="24"/>
          <w:szCs w:val="24"/>
          <w:lang w:val="en-US"/>
        </w:rPr>
        <w:t xml:space="preserve">mode </w:t>
      </w:r>
      <w:r w:rsidR="00490B67" w:rsidRPr="004A2D77">
        <w:rPr>
          <w:rFonts w:ascii="Times New Roman" w:hAnsi="Times New Roman" w:cs="Times New Roman"/>
          <w:sz w:val="24"/>
          <w:szCs w:val="24"/>
          <w:lang w:val="en-US"/>
        </w:rPr>
        <w:t>configuration.</w:t>
      </w:r>
      <w:r w:rsidR="00755964" w:rsidRPr="004A2D77">
        <w:rPr>
          <w:rFonts w:ascii="Times New Roman" w:hAnsi="Times New Roman" w:cs="Times New Roman"/>
          <w:sz w:val="24"/>
          <w:szCs w:val="24"/>
          <w:lang w:val="en-US"/>
        </w:rPr>
        <w:t xml:space="preserve"> </w:t>
      </w:r>
      <w:r w:rsidR="00490B67" w:rsidRPr="004A2D77">
        <w:rPr>
          <w:rFonts w:ascii="Times New Roman" w:hAnsi="Times New Roman" w:cs="Times New Roman"/>
          <w:sz w:val="24"/>
          <w:szCs w:val="24"/>
          <w:lang w:val="en-US"/>
        </w:rPr>
        <w:t xml:space="preserve">By </w:t>
      </w:r>
      <w:r w:rsidR="004A2D77" w:rsidRPr="004A2D77">
        <w:rPr>
          <w:rFonts w:ascii="Times New Roman" w:hAnsi="Times New Roman" w:cs="Times New Roman"/>
          <w:sz w:val="24"/>
          <w:szCs w:val="24"/>
          <w:lang w:val="en-US"/>
        </w:rPr>
        <w:t>optimizing</w:t>
      </w:r>
      <w:r w:rsidR="00490B67" w:rsidRPr="004A2D77">
        <w:rPr>
          <w:rFonts w:ascii="Times New Roman" w:hAnsi="Times New Roman" w:cs="Times New Roman"/>
          <w:sz w:val="24"/>
          <w:szCs w:val="24"/>
          <w:lang w:val="en-US"/>
        </w:rPr>
        <w:t xml:space="preserve"> the performance parameters such as current density, flow rate and distribution, pressure drop</w:t>
      </w:r>
      <w:r w:rsidR="00334468" w:rsidRPr="004A2D77">
        <w:rPr>
          <w:rFonts w:ascii="Times New Roman" w:hAnsi="Times New Roman" w:cs="Times New Roman"/>
          <w:sz w:val="24"/>
          <w:szCs w:val="24"/>
          <w:lang w:val="en-US"/>
        </w:rPr>
        <w:t xml:space="preserve"> and</w:t>
      </w:r>
      <w:r w:rsidR="00490B67" w:rsidRPr="004A2D77">
        <w:rPr>
          <w:rFonts w:ascii="Times New Roman" w:hAnsi="Times New Roman" w:cs="Times New Roman"/>
          <w:sz w:val="24"/>
          <w:szCs w:val="24"/>
          <w:lang w:val="en-US"/>
        </w:rPr>
        <w:t xml:space="preserve"> mass transport among other properties, the energy storage and delivery rate can be more effective</w:t>
      </w:r>
      <w:r w:rsidR="00755964" w:rsidRPr="004A2D77">
        <w:rPr>
          <w:rFonts w:ascii="Times New Roman" w:hAnsi="Times New Roman" w:cs="Times New Roman"/>
          <w:sz w:val="24"/>
          <w:szCs w:val="24"/>
          <w:lang w:val="en-US"/>
        </w:rPr>
        <w:t xml:space="preserve"> leading to a more competitive energy storage device</w:t>
      </w:r>
      <w:r w:rsidR="00490B67" w:rsidRPr="004A2D77">
        <w:rPr>
          <w:rFonts w:ascii="Times New Roman" w:hAnsi="Times New Roman" w:cs="Times New Roman"/>
          <w:sz w:val="24"/>
          <w:szCs w:val="24"/>
          <w:lang w:val="en-US"/>
        </w:rPr>
        <w:t>.</w:t>
      </w:r>
    </w:p>
    <w:p w14:paraId="2F2D5E06" w14:textId="601FCA67" w:rsidR="00490B67" w:rsidRPr="004A2D77" w:rsidRDefault="00755964" w:rsidP="00E02443">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The continuous increase of w</w:t>
      </w:r>
      <w:r w:rsidR="00490B67" w:rsidRPr="004A2D77">
        <w:rPr>
          <w:rFonts w:ascii="Times New Roman" w:hAnsi="Times New Roman" w:cs="Times New Roman"/>
          <w:sz w:val="24"/>
          <w:szCs w:val="24"/>
          <w:lang w:val="en-US"/>
        </w:rPr>
        <w:t>ind and solar electricity sources integrate</w:t>
      </w:r>
      <w:r w:rsidRPr="004A2D77">
        <w:rPr>
          <w:rFonts w:ascii="Times New Roman" w:hAnsi="Times New Roman" w:cs="Times New Roman"/>
          <w:sz w:val="24"/>
          <w:szCs w:val="24"/>
          <w:lang w:val="en-US"/>
        </w:rPr>
        <w:t>d into the utility grid</w:t>
      </w:r>
      <w:r w:rsidR="00490B67" w:rsidRPr="004A2D77">
        <w:rPr>
          <w:rFonts w:ascii="Times New Roman" w:hAnsi="Times New Roman" w:cs="Times New Roman"/>
          <w:sz w:val="24"/>
          <w:szCs w:val="24"/>
          <w:lang w:val="en-US"/>
        </w:rPr>
        <w:t xml:space="preserve"> in many countries </w:t>
      </w:r>
      <w:r w:rsidRPr="004A2D77">
        <w:rPr>
          <w:rFonts w:ascii="Times New Roman" w:hAnsi="Times New Roman" w:cs="Times New Roman"/>
          <w:sz w:val="24"/>
          <w:szCs w:val="24"/>
          <w:lang w:val="en-US"/>
        </w:rPr>
        <w:t xml:space="preserve">presents an ideal opportunity to establish the redox flow batteries as one of the </w:t>
      </w:r>
      <w:r w:rsidRPr="004A2D77">
        <w:rPr>
          <w:rFonts w:ascii="Times New Roman" w:hAnsi="Times New Roman" w:cs="Times New Roman"/>
          <w:sz w:val="24"/>
          <w:szCs w:val="24"/>
          <w:lang w:val="en-US"/>
        </w:rPr>
        <w:lastRenderedPageBreak/>
        <w:t>main competitive technologies for energy storage.</w:t>
      </w:r>
      <w:r w:rsidR="00490B67" w:rsidRPr="004A2D77">
        <w:rPr>
          <w:rFonts w:ascii="Times New Roman" w:hAnsi="Times New Roman" w:cs="Times New Roman"/>
          <w:sz w:val="24"/>
          <w:szCs w:val="24"/>
          <w:lang w:val="en-US"/>
        </w:rPr>
        <w:t xml:space="preserve"> </w:t>
      </w:r>
      <w:r w:rsidR="009D6C3E" w:rsidRPr="004A2D77">
        <w:rPr>
          <w:rFonts w:ascii="Times New Roman" w:hAnsi="Times New Roman" w:cs="Times New Roman"/>
          <w:sz w:val="24"/>
          <w:szCs w:val="24"/>
          <w:lang w:val="en-US"/>
        </w:rPr>
        <w:t>The</w:t>
      </w:r>
      <w:r w:rsidR="00490B67" w:rsidRPr="004A2D77">
        <w:rPr>
          <w:rFonts w:ascii="Times New Roman" w:hAnsi="Times New Roman" w:cs="Times New Roman"/>
          <w:sz w:val="24"/>
          <w:szCs w:val="24"/>
          <w:lang w:val="en-US"/>
        </w:rPr>
        <w:t xml:space="preserve"> </w:t>
      </w:r>
      <w:r w:rsidR="009D6C3E" w:rsidRPr="004A2D77">
        <w:rPr>
          <w:rFonts w:ascii="Times New Roman" w:hAnsi="Times New Roman" w:cs="Times New Roman"/>
          <w:sz w:val="24"/>
          <w:szCs w:val="24"/>
          <w:lang w:val="en-US"/>
        </w:rPr>
        <w:t>need</w:t>
      </w:r>
      <w:r w:rsidR="00334468" w:rsidRPr="004A2D77">
        <w:rPr>
          <w:rFonts w:ascii="Times New Roman" w:hAnsi="Times New Roman" w:cs="Times New Roman"/>
          <w:sz w:val="24"/>
          <w:szCs w:val="24"/>
          <w:lang w:val="en-US"/>
        </w:rPr>
        <w:t xml:space="preserve"> for energy storage devices </w:t>
      </w:r>
      <w:r w:rsidR="009D6C3E" w:rsidRPr="004A2D77">
        <w:rPr>
          <w:rFonts w:ascii="Times New Roman" w:hAnsi="Times New Roman" w:cs="Times New Roman"/>
          <w:sz w:val="24"/>
          <w:szCs w:val="24"/>
          <w:lang w:val="en-US"/>
        </w:rPr>
        <w:t xml:space="preserve">responds to the rising demand of clean energy which has exponentially </w:t>
      </w:r>
      <w:r w:rsidR="00334468" w:rsidRPr="004A2D77">
        <w:rPr>
          <w:rFonts w:ascii="Times New Roman" w:hAnsi="Times New Roman" w:cs="Times New Roman"/>
          <w:sz w:val="24"/>
          <w:szCs w:val="24"/>
          <w:lang w:val="en-US"/>
        </w:rPr>
        <w:t>increas</w:t>
      </w:r>
      <w:r w:rsidR="009D6C3E" w:rsidRPr="004A2D77">
        <w:rPr>
          <w:rFonts w:ascii="Times New Roman" w:hAnsi="Times New Roman" w:cs="Times New Roman"/>
          <w:sz w:val="24"/>
          <w:szCs w:val="24"/>
          <w:lang w:val="en-US"/>
        </w:rPr>
        <w:t xml:space="preserve">ed the </w:t>
      </w:r>
      <w:r w:rsidR="00334468" w:rsidRPr="004A2D77">
        <w:rPr>
          <w:rFonts w:ascii="Times New Roman" w:hAnsi="Times New Roman" w:cs="Times New Roman"/>
          <w:sz w:val="24"/>
          <w:szCs w:val="24"/>
          <w:lang w:val="en-US"/>
        </w:rPr>
        <w:t xml:space="preserve">installed worldwide capacity </w:t>
      </w:r>
      <w:r w:rsidR="00490B67" w:rsidRPr="004A2D77">
        <w:rPr>
          <w:rFonts w:ascii="Times New Roman" w:hAnsi="Times New Roman" w:cs="Times New Roman"/>
          <w:sz w:val="24"/>
          <w:szCs w:val="24"/>
          <w:lang w:val="en-US"/>
        </w:rPr>
        <w:t xml:space="preserve">of solar </w:t>
      </w:r>
      <w:r w:rsidR="00334468" w:rsidRPr="004A2D77">
        <w:rPr>
          <w:rFonts w:ascii="Times New Roman" w:hAnsi="Times New Roman" w:cs="Times New Roman"/>
          <w:sz w:val="24"/>
          <w:szCs w:val="24"/>
          <w:lang w:val="en-US"/>
        </w:rPr>
        <w:t xml:space="preserve">and wind </w:t>
      </w:r>
      <w:r w:rsidR="00490B67" w:rsidRPr="004A2D77">
        <w:rPr>
          <w:rFonts w:ascii="Times New Roman" w:hAnsi="Times New Roman" w:cs="Times New Roman"/>
          <w:sz w:val="24"/>
          <w:szCs w:val="24"/>
          <w:lang w:val="en-US"/>
        </w:rPr>
        <w:t>electricity</w:t>
      </w:r>
      <w:r w:rsidR="009D6C3E" w:rsidRPr="004A2D77">
        <w:rPr>
          <w:rFonts w:ascii="Times New Roman" w:hAnsi="Times New Roman" w:cs="Times New Roman"/>
          <w:sz w:val="24"/>
          <w:szCs w:val="24"/>
          <w:lang w:val="en-US"/>
        </w:rPr>
        <w:t xml:space="preserve"> over the past decade</w:t>
      </w:r>
      <w:r w:rsidR="00334468" w:rsidRPr="004A2D77">
        <w:rPr>
          <w:rFonts w:ascii="Times New Roman" w:hAnsi="Times New Roman" w:cs="Times New Roman"/>
          <w:sz w:val="24"/>
          <w:szCs w:val="24"/>
          <w:lang w:val="en-US"/>
        </w:rPr>
        <w:t xml:space="preserve">, for example </w:t>
      </w:r>
      <w:r w:rsidR="00490B67" w:rsidRPr="004A2D77">
        <w:rPr>
          <w:rFonts w:ascii="Times New Roman" w:hAnsi="Times New Roman" w:cs="Times New Roman"/>
          <w:sz w:val="24"/>
          <w:szCs w:val="24"/>
          <w:lang w:val="en-US"/>
        </w:rPr>
        <w:t xml:space="preserve">in 2017 </w:t>
      </w:r>
      <w:r w:rsidR="00CC0AB8">
        <w:rPr>
          <w:rFonts w:ascii="Times New Roman" w:hAnsi="Times New Roman" w:cs="Times New Roman"/>
          <w:sz w:val="24"/>
          <w:szCs w:val="24"/>
          <w:lang w:val="en-US"/>
        </w:rPr>
        <w:t xml:space="preserve">and 2018 </w:t>
      </w:r>
      <w:r w:rsidR="00334468" w:rsidRPr="004A2D77">
        <w:rPr>
          <w:rFonts w:ascii="Times New Roman" w:hAnsi="Times New Roman" w:cs="Times New Roman"/>
          <w:sz w:val="24"/>
          <w:szCs w:val="24"/>
          <w:lang w:val="en-US"/>
        </w:rPr>
        <w:t xml:space="preserve">the installed capacity of solar was </w:t>
      </w:r>
      <w:r w:rsidR="00490B67" w:rsidRPr="004A2D77">
        <w:rPr>
          <w:rFonts w:ascii="Times New Roman" w:hAnsi="Times New Roman" w:cs="Times New Roman"/>
          <w:sz w:val="24"/>
          <w:szCs w:val="24"/>
          <w:lang w:val="en-US"/>
        </w:rPr>
        <w:t xml:space="preserve">around 98 GW </w:t>
      </w:r>
      <w:r w:rsidR="00CC0AB8">
        <w:rPr>
          <w:rFonts w:ascii="Times New Roman" w:hAnsi="Times New Roman" w:cs="Times New Roman"/>
          <w:sz w:val="24"/>
          <w:szCs w:val="24"/>
          <w:lang w:val="en-US"/>
        </w:rPr>
        <w:t>and 107 GW, respectively</w:t>
      </w:r>
      <w:r w:rsidR="00D26EC9">
        <w:rPr>
          <w:rFonts w:ascii="Times New Roman" w:hAnsi="Times New Roman" w:cs="Times New Roman"/>
          <w:sz w:val="24"/>
          <w:szCs w:val="24"/>
          <w:lang w:val="en-US"/>
        </w:rPr>
        <w:t xml:space="preserve"> </w:t>
      </w:r>
      <w:r w:rsidR="00490B67" w:rsidRPr="004A2D77">
        <w:rPr>
          <w:rFonts w:ascii="Times New Roman" w:hAnsi="Times New Roman" w:cs="Times New Roman"/>
          <w:sz w:val="24"/>
          <w:szCs w:val="24"/>
          <w:lang w:val="en-US"/>
        </w:rPr>
        <w:t>and provided approximately 1.8% of the worldwide electricity</w:t>
      </w:r>
      <w:r w:rsidR="003B7F9F" w:rsidRPr="004A2D77">
        <w:rPr>
          <w:rFonts w:ascii="Times New Roman" w:hAnsi="Times New Roman" w:cs="Times New Roman"/>
          <w:sz w:val="24"/>
          <w:szCs w:val="24"/>
          <w:lang w:val="en-US"/>
        </w:rPr>
        <w:t xml:space="preserve">, this was an increase of </w:t>
      </w:r>
      <w:r w:rsidR="00D26EC9">
        <w:rPr>
          <w:rFonts w:ascii="Times New Roman" w:hAnsi="Times New Roman" w:cs="Times New Roman"/>
          <w:sz w:val="24"/>
          <w:szCs w:val="24"/>
          <w:lang w:val="en-US"/>
        </w:rPr>
        <w:t xml:space="preserve">over </w:t>
      </w:r>
      <w:r w:rsidR="000F7E67" w:rsidRPr="004A2D77">
        <w:rPr>
          <w:rFonts w:ascii="Times New Roman" w:hAnsi="Times New Roman" w:cs="Times New Roman"/>
          <w:sz w:val="24"/>
          <w:szCs w:val="24"/>
          <w:lang w:val="en-US"/>
        </w:rPr>
        <w:t xml:space="preserve">29% more </w:t>
      </w:r>
      <w:r w:rsidR="003B7F9F" w:rsidRPr="004A2D77">
        <w:rPr>
          <w:rFonts w:ascii="Times New Roman" w:hAnsi="Times New Roman" w:cs="Times New Roman"/>
          <w:sz w:val="24"/>
          <w:szCs w:val="24"/>
          <w:lang w:val="en-US"/>
        </w:rPr>
        <w:t xml:space="preserve">compared to </w:t>
      </w:r>
      <w:r w:rsidR="009D6C3E" w:rsidRPr="004A2D77">
        <w:rPr>
          <w:rFonts w:ascii="Times New Roman" w:hAnsi="Times New Roman" w:cs="Times New Roman"/>
          <w:sz w:val="24"/>
          <w:szCs w:val="24"/>
          <w:lang w:val="en-US"/>
        </w:rPr>
        <w:t xml:space="preserve">the installed capacity in </w:t>
      </w:r>
      <w:r w:rsidR="000F7E67" w:rsidRPr="004A2D77">
        <w:rPr>
          <w:rFonts w:ascii="Times New Roman" w:hAnsi="Times New Roman" w:cs="Times New Roman"/>
          <w:sz w:val="24"/>
          <w:szCs w:val="24"/>
          <w:lang w:val="en-US"/>
        </w:rPr>
        <w:t>2016</w:t>
      </w:r>
      <w:r w:rsidR="00D26EC9">
        <w:rPr>
          <w:rFonts w:ascii="Times New Roman" w:hAnsi="Times New Roman" w:cs="Times New Roman"/>
          <w:sz w:val="24"/>
          <w:szCs w:val="24"/>
          <w:lang w:val="en-US"/>
        </w:rPr>
        <w:t xml:space="preserve"> </w:t>
      </w:r>
      <w:r w:rsidR="006108F0">
        <w:rPr>
          <w:rFonts w:ascii="Times New Roman" w:hAnsi="Times New Roman" w:cs="Times New Roman"/>
          <w:sz w:val="24"/>
          <w:szCs w:val="24"/>
          <w:lang w:val="en-US"/>
        </w:rPr>
        <w:t xml:space="preserve">making </w:t>
      </w:r>
      <w:r w:rsidR="003001BD">
        <w:rPr>
          <w:rFonts w:ascii="Times New Roman" w:hAnsi="Times New Roman" w:cs="Times New Roman"/>
          <w:sz w:val="24"/>
          <w:szCs w:val="24"/>
          <w:lang w:val="en-US"/>
        </w:rPr>
        <w:t xml:space="preserve">photovoltaic </w:t>
      </w:r>
      <w:r w:rsidR="002F7469">
        <w:rPr>
          <w:rFonts w:ascii="Times New Roman" w:hAnsi="Times New Roman" w:cs="Times New Roman"/>
          <w:sz w:val="24"/>
          <w:szCs w:val="24"/>
          <w:lang w:val="en-US"/>
        </w:rPr>
        <w:t xml:space="preserve">one of the </w:t>
      </w:r>
      <w:r w:rsidR="00D26EC9">
        <w:rPr>
          <w:rFonts w:ascii="Times New Roman" w:hAnsi="Times New Roman" w:cs="Times New Roman"/>
          <w:sz w:val="24"/>
          <w:szCs w:val="24"/>
          <w:lang w:val="en-US"/>
        </w:rPr>
        <w:t>fastest</w:t>
      </w:r>
      <w:r w:rsidR="002F7469">
        <w:rPr>
          <w:rFonts w:ascii="Times New Roman" w:hAnsi="Times New Roman" w:cs="Times New Roman"/>
          <w:sz w:val="24"/>
          <w:szCs w:val="24"/>
          <w:lang w:val="en-US"/>
        </w:rPr>
        <w:t xml:space="preserve"> grow</w:t>
      </w:r>
      <w:r w:rsidR="00D26EC9">
        <w:rPr>
          <w:rFonts w:ascii="Times New Roman" w:hAnsi="Times New Roman" w:cs="Times New Roman"/>
          <w:sz w:val="24"/>
          <w:szCs w:val="24"/>
          <w:lang w:val="en-US"/>
        </w:rPr>
        <w:t>ing</w:t>
      </w:r>
      <w:r w:rsidR="002F7469">
        <w:rPr>
          <w:rFonts w:ascii="Times New Roman" w:hAnsi="Times New Roman" w:cs="Times New Roman"/>
          <w:sz w:val="24"/>
          <w:szCs w:val="24"/>
          <w:lang w:val="en-US"/>
        </w:rPr>
        <w:t xml:space="preserve"> industries in the world</w:t>
      </w:r>
      <w:r w:rsidR="00614E69">
        <w:rPr>
          <w:rFonts w:ascii="Times New Roman" w:hAnsi="Times New Roman" w:cs="Times New Roman"/>
          <w:sz w:val="24"/>
          <w:szCs w:val="24"/>
          <w:lang w:val="en-US"/>
        </w:rPr>
        <w:t xml:space="preserve"> </w:t>
      </w:r>
      <w:r w:rsidR="00614E69" w:rsidRPr="004F0DCA">
        <w:rPr>
          <w:rFonts w:ascii="Times New Roman" w:hAnsi="Times New Roman" w:cs="Times New Roman"/>
          <w:sz w:val="24"/>
          <w:szCs w:val="24"/>
          <w:lang w:val="en-US"/>
        </w:rPr>
        <w:t>(</w:t>
      </w:r>
      <w:bookmarkStart w:id="0" w:name="_Hlk63010666"/>
      <w:r w:rsidR="00614E69" w:rsidRPr="004F0DCA">
        <w:rPr>
          <w:rFonts w:ascii="Times New Roman" w:hAnsi="Times New Roman" w:cs="Times New Roman"/>
          <w:sz w:val="24"/>
          <w:szCs w:val="24"/>
          <w:lang w:val="en-US"/>
        </w:rPr>
        <w:t>Kozak-</w:t>
      </w:r>
      <w:proofErr w:type="spellStart"/>
      <w:r w:rsidR="00614E69" w:rsidRPr="004F0DCA">
        <w:rPr>
          <w:rFonts w:ascii="Times New Roman" w:hAnsi="Times New Roman" w:cs="Times New Roman"/>
          <w:sz w:val="24"/>
          <w:szCs w:val="24"/>
          <w:lang w:val="en-US"/>
        </w:rPr>
        <w:t>Jagiea</w:t>
      </w:r>
      <w:proofErr w:type="spellEnd"/>
      <w:r w:rsidR="007832E9">
        <w:rPr>
          <w:rFonts w:ascii="Times New Roman" w:hAnsi="Times New Roman" w:cs="Times New Roman"/>
          <w:sz w:val="24"/>
          <w:szCs w:val="24"/>
          <w:lang w:val="en-US"/>
        </w:rPr>
        <w:t xml:space="preserve"> et al.</w:t>
      </w:r>
      <w:r w:rsidR="003A2055" w:rsidRPr="004F0DCA">
        <w:rPr>
          <w:rFonts w:ascii="Times New Roman" w:hAnsi="Times New Roman" w:cs="Times New Roman"/>
          <w:sz w:val="24"/>
          <w:szCs w:val="24"/>
          <w:lang w:val="en-US"/>
        </w:rPr>
        <w:t xml:space="preserve"> </w:t>
      </w:r>
      <w:r w:rsidR="00062A73" w:rsidRPr="004F0DCA">
        <w:rPr>
          <w:rFonts w:ascii="Times New Roman" w:hAnsi="Times New Roman" w:cs="Times New Roman"/>
          <w:sz w:val="24"/>
          <w:szCs w:val="24"/>
          <w:lang w:val="en-US"/>
        </w:rPr>
        <w:t>2020</w:t>
      </w:r>
      <w:bookmarkEnd w:id="0"/>
      <w:r w:rsidR="004F0DCA" w:rsidRPr="004F0DCA">
        <w:rPr>
          <w:rFonts w:ascii="Times New Roman" w:hAnsi="Times New Roman" w:cs="Times New Roman"/>
          <w:sz w:val="24"/>
          <w:szCs w:val="24"/>
          <w:lang w:val="en-US"/>
        </w:rPr>
        <w:t>)</w:t>
      </w:r>
      <w:r w:rsidR="00F0267E" w:rsidRPr="004F0DCA">
        <w:rPr>
          <w:rFonts w:ascii="Times New Roman" w:hAnsi="Times New Roman" w:cs="Times New Roman"/>
          <w:sz w:val="24"/>
          <w:szCs w:val="24"/>
          <w:lang w:val="en-US"/>
        </w:rPr>
        <w:t>.</w:t>
      </w:r>
      <w:r w:rsidR="00F0267E">
        <w:rPr>
          <w:rFonts w:ascii="Times New Roman" w:hAnsi="Times New Roman" w:cs="Times New Roman"/>
          <w:sz w:val="24"/>
          <w:szCs w:val="24"/>
          <w:lang w:val="en-US"/>
        </w:rPr>
        <w:t xml:space="preserve"> </w:t>
      </w:r>
      <w:r w:rsidR="009D6C3E" w:rsidRPr="004A2D77">
        <w:rPr>
          <w:rFonts w:ascii="Times New Roman" w:hAnsi="Times New Roman" w:cs="Times New Roman"/>
          <w:sz w:val="24"/>
          <w:szCs w:val="24"/>
          <w:lang w:val="en-US"/>
        </w:rPr>
        <w:t>Similarly</w:t>
      </w:r>
      <w:r w:rsidR="00DC0719">
        <w:rPr>
          <w:rFonts w:ascii="Times New Roman" w:hAnsi="Times New Roman" w:cs="Times New Roman"/>
          <w:sz w:val="24"/>
          <w:szCs w:val="24"/>
          <w:lang w:val="en-US"/>
        </w:rPr>
        <w:t>,</w:t>
      </w:r>
      <w:r w:rsidR="009D6C3E" w:rsidRPr="004A2D77">
        <w:rPr>
          <w:rFonts w:ascii="Times New Roman" w:hAnsi="Times New Roman" w:cs="Times New Roman"/>
          <w:sz w:val="24"/>
          <w:szCs w:val="24"/>
          <w:lang w:val="en-US"/>
        </w:rPr>
        <w:t xml:space="preserve"> </w:t>
      </w:r>
      <w:r w:rsidR="00490B67" w:rsidRPr="004A2D77">
        <w:rPr>
          <w:rFonts w:ascii="Times New Roman" w:hAnsi="Times New Roman" w:cs="Times New Roman"/>
          <w:sz w:val="24"/>
          <w:szCs w:val="24"/>
          <w:lang w:val="en-US"/>
        </w:rPr>
        <w:t xml:space="preserve">the global </w:t>
      </w:r>
      <w:r w:rsidR="00890F52" w:rsidRPr="004A2D77">
        <w:rPr>
          <w:rFonts w:ascii="Times New Roman" w:hAnsi="Times New Roman" w:cs="Times New Roman"/>
          <w:sz w:val="24"/>
          <w:szCs w:val="24"/>
          <w:lang w:val="en-US"/>
        </w:rPr>
        <w:t>cumulative installed capacity</w:t>
      </w:r>
      <w:r w:rsidR="00490B67" w:rsidRPr="004A2D77">
        <w:rPr>
          <w:rFonts w:ascii="Times New Roman" w:hAnsi="Times New Roman" w:cs="Times New Roman"/>
          <w:sz w:val="24"/>
          <w:szCs w:val="24"/>
          <w:lang w:val="en-US"/>
        </w:rPr>
        <w:t xml:space="preserve"> for wind energy </w:t>
      </w:r>
      <w:r w:rsidR="008911BF">
        <w:rPr>
          <w:rFonts w:ascii="Times New Roman" w:hAnsi="Times New Roman" w:cs="Times New Roman"/>
          <w:sz w:val="24"/>
          <w:szCs w:val="24"/>
          <w:lang w:val="en-US"/>
        </w:rPr>
        <w:t xml:space="preserve">has increased approximately 22% per year </w:t>
      </w:r>
      <w:r w:rsidR="004926C8">
        <w:rPr>
          <w:rFonts w:ascii="Times New Roman" w:hAnsi="Times New Roman" w:cs="Times New Roman"/>
          <w:sz w:val="24"/>
          <w:szCs w:val="24"/>
          <w:lang w:val="en-US"/>
        </w:rPr>
        <w:t xml:space="preserve">since 2006 reaching </w:t>
      </w:r>
      <w:r w:rsidR="00490B67" w:rsidRPr="004A2D77">
        <w:rPr>
          <w:rFonts w:ascii="Times New Roman" w:hAnsi="Times New Roman" w:cs="Times New Roman"/>
          <w:sz w:val="24"/>
          <w:szCs w:val="24"/>
          <w:lang w:val="en-US"/>
        </w:rPr>
        <w:t>over 651 GW</w:t>
      </w:r>
      <w:r w:rsidR="00E02443">
        <w:rPr>
          <w:rFonts w:ascii="Times New Roman" w:hAnsi="Times New Roman" w:cs="Times New Roman"/>
          <w:sz w:val="24"/>
          <w:szCs w:val="24"/>
          <w:lang w:val="en-US"/>
        </w:rPr>
        <w:t xml:space="preserve"> </w:t>
      </w:r>
      <w:r w:rsidR="00AB0231">
        <w:rPr>
          <w:rFonts w:ascii="Times New Roman" w:hAnsi="Times New Roman" w:cs="Times New Roman"/>
          <w:sz w:val="24"/>
          <w:szCs w:val="24"/>
          <w:lang w:val="en-US"/>
        </w:rPr>
        <w:t xml:space="preserve">in 2019 </w:t>
      </w:r>
      <w:r w:rsidR="00E02443">
        <w:rPr>
          <w:rFonts w:ascii="Times New Roman" w:hAnsi="Times New Roman" w:cs="Times New Roman"/>
          <w:sz w:val="24"/>
          <w:szCs w:val="24"/>
          <w:lang w:val="en-US"/>
        </w:rPr>
        <w:t>(</w:t>
      </w:r>
      <w:proofErr w:type="spellStart"/>
      <w:r w:rsidR="00360D00" w:rsidRPr="006A2F84">
        <w:rPr>
          <w:rFonts w:ascii="Times New Roman" w:hAnsi="Times New Roman" w:cs="Times New Roman"/>
          <w:sz w:val="24"/>
          <w:szCs w:val="24"/>
          <w:lang w:val="en-US"/>
        </w:rPr>
        <w:t>Karnauskas</w:t>
      </w:r>
      <w:proofErr w:type="spellEnd"/>
      <w:r w:rsidR="00D03CF0">
        <w:rPr>
          <w:rFonts w:ascii="Times New Roman" w:hAnsi="Times New Roman" w:cs="Times New Roman"/>
          <w:sz w:val="24"/>
          <w:szCs w:val="24"/>
          <w:lang w:val="en-US"/>
        </w:rPr>
        <w:t xml:space="preserve"> et a</w:t>
      </w:r>
      <w:r w:rsidR="007832E9">
        <w:rPr>
          <w:rFonts w:ascii="Times New Roman" w:hAnsi="Times New Roman" w:cs="Times New Roman"/>
          <w:sz w:val="24"/>
          <w:szCs w:val="24"/>
          <w:lang w:val="en-US"/>
        </w:rPr>
        <w:t>l.</w:t>
      </w:r>
      <w:r w:rsidR="00360D00" w:rsidRPr="006A2F84">
        <w:rPr>
          <w:rFonts w:ascii="Times New Roman" w:hAnsi="Times New Roman" w:cs="Times New Roman"/>
          <w:sz w:val="24"/>
          <w:szCs w:val="24"/>
          <w:lang w:val="en-US"/>
        </w:rPr>
        <w:t xml:space="preserve"> </w:t>
      </w:r>
      <w:r w:rsidR="00CB4DB4" w:rsidRPr="006A2F84">
        <w:rPr>
          <w:rFonts w:ascii="Times New Roman" w:hAnsi="Times New Roman" w:cs="Times New Roman"/>
          <w:sz w:val="24"/>
          <w:szCs w:val="24"/>
          <w:lang w:val="en-US"/>
        </w:rPr>
        <w:t>2018</w:t>
      </w:r>
      <w:r w:rsidR="00AB0231">
        <w:rPr>
          <w:rFonts w:ascii="Times New Roman" w:hAnsi="Times New Roman" w:cs="Times New Roman"/>
          <w:sz w:val="24"/>
          <w:szCs w:val="24"/>
          <w:lang w:val="en-US"/>
        </w:rPr>
        <w:t xml:space="preserve">, </w:t>
      </w:r>
      <w:r w:rsidR="00AB0231" w:rsidRPr="00AB0231">
        <w:rPr>
          <w:rFonts w:ascii="Times New Roman" w:hAnsi="Times New Roman" w:cs="Times New Roman"/>
          <w:sz w:val="24"/>
          <w:szCs w:val="24"/>
          <w:lang w:val="en-US"/>
        </w:rPr>
        <w:t>Lee</w:t>
      </w:r>
      <w:r w:rsidR="00AB0231">
        <w:rPr>
          <w:rFonts w:ascii="Times New Roman" w:hAnsi="Times New Roman" w:cs="Times New Roman"/>
          <w:sz w:val="24"/>
          <w:szCs w:val="24"/>
          <w:lang w:val="en-US"/>
        </w:rPr>
        <w:t xml:space="preserve"> et al. </w:t>
      </w:r>
      <w:r w:rsidR="00AB0231" w:rsidRPr="00AB0231">
        <w:rPr>
          <w:rFonts w:ascii="Times New Roman" w:hAnsi="Times New Roman" w:cs="Times New Roman"/>
          <w:sz w:val="24"/>
          <w:szCs w:val="24"/>
          <w:lang w:val="en-US"/>
        </w:rPr>
        <w:t>2019</w:t>
      </w:r>
      <w:r w:rsidR="00E02443">
        <w:rPr>
          <w:rFonts w:ascii="Times New Roman" w:hAnsi="Times New Roman" w:cs="Times New Roman"/>
          <w:sz w:val="24"/>
          <w:szCs w:val="24"/>
          <w:lang w:val="en-US"/>
        </w:rPr>
        <w:t>)</w:t>
      </w:r>
      <w:r w:rsidR="00490B67" w:rsidRPr="004A2D77">
        <w:rPr>
          <w:rFonts w:ascii="Times New Roman" w:hAnsi="Times New Roman" w:cs="Times New Roman"/>
          <w:sz w:val="24"/>
          <w:szCs w:val="24"/>
          <w:lang w:val="en-US"/>
        </w:rPr>
        <w:t xml:space="preserve">.  </w:t>
      </w:r>
    </w:p>
    <w:p w14:paraId="7A7CD049" w14:textId="77777777" w:rsidR="00490B67" w:rsidRPr="004A2D77" w:rsidRDefault="00490B67" w:rsidP="00490B67">
      <w:pPr>
        <w:spacing w:after="120" w:line="480" w:lineRule="auto"/>
        <w:jc w:val="both"/>
        <w:rPr>
          <w:rFonts w:ascii="Times New Roman" w:hAnsi="Times New Roman" w:cs="Times New Roman"/>
          <w:sz w:val="24"/>
          <w:szCs w:val="24"/>
          <w:lang w:val="en-US"/>
        </w:rPr>
      </w:pPr>
    </w:p>
    <w:p w14:paraId="214F84FF" w14:textId="74B5CC74" w:rsidR="00523227" w:rsidRPr="00060970" w:rsidRDefault="00836841" w:rsidP="00490B67">
      <w:pPr>
        <w:spacing w:after="120" w:line="480" w:lineRule="auto"/>
        <w:jc w:val="both"/>
        <w:rPr>
          <w:rFonts w:ascii="Times New Roman" w:hAnsi="Times New Roman" w:cs="Times New Roman"/>
          <w:bCs/>
          <w:sz w:val="24"/>
          <w:szCs w:val="24"/>
          <w:lang w:val="en-US"/>
        </w:rPr>
      </w:pPr>
      <w:r w:rsidRPr="00060970">
        <w:rPr>
          <w:rFonts w:ascii="Times New Roman" w:hAnsi="Times New Roman" w:cs="Times New Roman"/>
          <w:bCs/>
          <w:sz w:val="24"/>
          <w:szCs w:val="24"/>
          <w:lang w:val="en-US"/>
        </w:rPr>
        <w:t xml:space="preserve">2. </w:t>
      </w:r>
      <w:r w:rsidR="00220E38" w:rsidRPr="00060970">
        <w:rPr>
          <w:rFonts w:ascii="Times New Roman" w:hAnsi="Times New Roman" w:cs="Times New Roman"/>
          <w:bCs/>
          <w:sz w:val="24"/>
          <w:szCs w:val="24"/>
          <w:lang w:val="en-US"/>
        </w:rPr>
        <w:t xml:space="preserve">Main characteristics of </w:t>
      </w:r>
      <w:r w:rsidR="00523227" w:rsidRPr="00060970">
        <w:rPr>
          <w:rFonts w:ascii="Times New Roman" w:hAnsi="Times New Roman" w:cs="Times New Roman"/>
          <w:bCs/>
          <w:sz w:val="24"/>
          <w:szCs w:val="24"/>
          <w:lang w:val="en-US"/>
        </w:rPr>
        <w:t>redox flow batteries</w:t>
      </w:r>
    </w:p>
    <w:p w14:paraId="02ADE383" w14:textId="7D05C827" w:rsidR="00863BDD" w:rsidRPr="004A2D77" w:rsidRDefault="00220E38" w:rsidP="005A6833">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 xml:space="preserve">RFBs </w:t>
      </w:r>
      <w:r w:rsidR="009603B4" w:rsidRPr="004A2D77">
        <w:rPr>
          <w:rFonts w:ascii="Times New Roman" w:hAnsi="Times New Roman" w:cs="Times New Roman"/>
          <w:sz w:val="24"/>
          <w:szCs w:val="24"/>
          <w:lang w:val="en-US"/>
        </w:rPr>
        <w:t>can</w:t>
      </w:r>
      <w:r w:rsidRPr="004A2D77">
        <w:rPr>
          <w:rFonts w:ascii="Times New Roman" w:hAnsi="Times New Roman" w:cs="Times New Roman"/>
          <w:sz w:val="24"/>
          <w:szCs w:val="24"/>
          <w:lang w:val="en-US"/>
        </w:rPr>
        <w:t xml:space="preserve"> provide electricity and independence from the grid when combined with solar photovoltaic arrays or wind turbines storing energy during peak energy generation and deliver</w:t>
      </w:r>
      <w:r w:rsidR="005A6833" w:rsidRPr="004A2D77">
        <w:rPr>
          <w:rFonts w:ascii="Times New Roman" w:hAnsi="Times New Roman" w:cs="Times New Roman"/>
          <w:sz w:val="24"/>
          <w:szCs w:val="24"/>
          <w:lang w:val="en-US"/>
        </w:rPr>
        <w:t>ing</w:t>
      </w:r>
      <w:r w:rsidRPr="004A2D77">
        <w:rPr>
          <w:rFonts w:ascii="Times New Roman" w:hAnsi="Times New Roman" w:cs="Times New Roman"/>
          <w:sz w:val="24"/>
          <w:szCs w:val="24"/>
          <w:lang w:val="en-US"/>
        </w:rPr>
        <w:t xml:space="preserve"> it when the generation is low. </w:t>
      </w:r>
      <w:r w:rsidR="00863BDD" w:rsidRPr="004A2D77">
        <w:rPr>
          <w:rFonts w:ascii="Times New Roman" w:hAnsi="Times New Roman" w:cs="Times New Roman"/>
          <w:sz w:val="24"/>
          <w:szCs w:val="24"/>
          <w:lang w:val="en-US"/>
        </w:rPr>
        <w:t xml:space="preserve">For </w:t>
      </w:r>
      <w:r w:rsidRPr="004A2D77">
        <w:rPr>
          <w:rFonts w:ascii="Times New Roman" w:hAnsi="Times New Roman" w:cs="Times New Roman"/>
          <w:sz w:val="24"/>
          <w:szCs w:val="24"/>
          <w:lang w:val="en-US"/>
        </w:rPr>
        <w:t>fossil fuel power generation plant</w:t>
      </w:r>
      <w:r w:rsidR="00863BDD" w:rsidRPr="004A2D77">
        <w:rPr>
          <w:rFonts w:ascii="Times New Roman" w:hAnsi="Times New Roman" w:cs="Times New Roman"/>
          <w:sz w:val="24"/>
          <w:szCs w:val="24"/>
          <w:lang w:val="en-US"/>
        </w:rPr>
        <w:t>s</w:t>
      </w:r>
      <w:r w:rsidRPr="004A2D77">
        <w:rPr>
          <w:rFonts w:ascii="Times New Roman" w:hAnsi="Times New Roman" w:cs="Times New Roman"/>
          <w:sz w:val="24"/>
          <w:szCs w:val="24"/>
          <w:lang w:val="en-US"/>
        </w:rPr>
        <w:t>, RFBs can provide load levelling</w:t>
      </w:r>
      <w:r w:rsidR="005A6833" w:rsidRPr="004A2D77">
        <w:rPr>
          <w:rFonts w:ascii="Times New Roman" w:hAnsi="Times New Roman" w:cs="Times New Roman"/>
          <w:sz w:val="24"/>
          <w:szCs w:val="24"/>
          <w:lang w:val="en-US"/>
        </w:rPr>
        <w:t xml:space="preserve"> capacity</w:t>
      </w:r>
      <w:r w:rsidR="00863BDD" w:rsidRPr="004A2D77">
        <w:rPr>
          <w:rFonts w:ascii="Times New Roman" w:hAnsi="Times New Roman" w:cs="Times New Roman"/>
          <w:sz w:val="24"/>
          <w:szCs w:val="24"/>
          <w:lang w:val="en-US"/>
        </w:rPr>
        <w:t>,</w:t>
      </w:r>
      <w:r w:rsidR="005A6833" w:rsidRPr="004A2D77">
        <w:rPr>
          <w:rFonts w:ascii="Times New Roman" w:hAnsi="Times New Roman" w:cs="Times New Roman"/>
          <w:sz w:val="24"/>
          <w:szCs w:val="24"/>
          <w:lang w:val="en-US"/>
        </w:rPr>
        <w:t xml:space="preserve"> increasing the life </w:t>
      </w:r>
      <w:r w:rsidR="00863BDD" w:rsidRPr="004A2D77">
        <w:rPr>
          <w:rFonts w:ascii="Times New Roman" w:hAnsi="Times New Roman" w:cs="Times New Roman"/>
          <w:sz w:val="24"/>
          <w:szCs w:val="24"/>
          <w:lang w:val="en-US"/>
        </w:rPr>
        <w:t xml:space="preserve">span </w:t>
      </w:r>
      <w:r w:rsidR="005A6833" w:rsidRPr="004A2D77">
        <w:rPr>
          <w:rFonts w:ascii="Times New Roman" w:hAnsi="Times New Roman" w:cs="Times New Roman"/>
          <w:sz w:val="24"/>
          <w:szCs w:val="24"/>
          <w:lang w:val="en-US"/>
        </w:rPr>
        <w:t>of the power plant</w:t>
      </w:r>
      <w:r w:rsidR="00863BDD" w:rsidRPr="004A2D77">
        <w:rPr>
          <w:rFonts w:ascii="Times New Roman" w:hAnsi="Times New Roman" w:cs="Times New Roman"/>
          <w:sz w:val="24"/>
          <w:szCs w:val="24"/>
          <w:lang w:val="en-US"/>
        </w:rPr>
        <w:t xml:space="preserve"> which can operate at constant power</w:t>
      </w:r>
      <w:r w:rsidRPr="004A2D77">
        <w:rPr>
          <w:rFonts w:ascii="Times New Roman" w:hAnsi="Times New Roman" w:cs="Times New Roman"/>
          <w:sz w:val="24"/>
          <w:szCs w:val="24"/>
          <w:lang w:val="en-US"/>
        </w:rPr>
        <w:t>.</w:t>
      </w:r>
    </w:p>
    <w:p w14:paraId="19C422C7" w14:textId="4595CBE9" w:rsidR="00523227" w:rsidRPr="004A2D77" w:rsidRDefault="00220E38" w:rsidP="00680018">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 xml:space="preserve">The main </w:t>
      </w:r>
      <w:r w:rsidR="00863BDD" w:rsidRPr="004A2D77">
        <w:rPr>
          <w:rFonts w:ascii="Times New Roman" w:hAnsi="Times New Roman" w:cs="Times New Roman"/>
          <w:sz w:val="24"/>
          <w:szCs w:val="24"/>
          <w:lang w:val="en-US"/>
        </w:rPr>
        <w:t>characteristics</w:t>
      </w:r>
      <w:r w:rsidRPr="004A2D77">
        <w:rPr>
          <w:rFonts w:ascii="Times New Roman" w:hAnsi="Times New Roman" w:cs="Times New Roman"/>
          <w:sz w:val="24"/>
          <w:szCs w:val="24"/>
          <w:lang w:val="en-US"/>
        </w:rPr>
        <w:t xml:space="preserve"> of RFB</w:t>
      </w:r>
      <w:r w:rsidR="006A2C06" w:rsidRPr="004A2D77">
        <w:rPr>
          <w:rFonts w:ascii="Times New Roman" w:hAnsi="Times New Roman" w:cs="Times New Roman"/>
          <w:sz w:val="24"/>
          <w:szCs w:val="24"/>
          <w:lang w:val="en-US"/>
        </w:rPr>
        <w:t>s</w:t>
      </w:r>
      <w:r w:rsidRPr="004A2D77">
        <w:rPr>
          <w:rFonts w:ascii="Times New Roman" w:hAnsi="Times New Roman" w:cs="Times New Roman"/>
          <w:sz w:val="24"/>
          <w:szCs w:val="24"/>
          <w:lang w:val="en-US"/>
        </w:rPr>
        <w:t xml:space="preserve"> include simple operation and flexibility to scale up</w:t>
      </w:r>
      <w:r w:rsidR="006A2C06" w:rsidRPr="004A2D77">
        <w:rPr>
          <w:rFonts w:ascii="Times New Roman" w:hAnsi="Times New Roman" w:cs="Times New Roman"/>
          <w:sz w:val="24"/>
          <w:szCs w:val="24"/>
          <w:lang w:val="en-US"/>
        </w:rPr>
        <w:t>,</w:t>
      </w:r>
      <w:r w:rsidRPr="004A2D77">
        <w:rPr>
          <w:rFonts w:ascii="Times New Roman" w:hAnsi="Times New Roman" w:cs="Times New Roman"/>
          <w:sz w:val="24"/>
          <w:szCs w:val="24"/>
          <w:lang w:val="en-US"/>
        </w:rPr>
        <w:t xml:space="preserve"> </w:t>
      </w:r>
      <w:r w:rsidR="009907F7" w:rsidRPr="004A2D77">
        <w:rPr>
          <w:rFonts w:ascii="Times New Roman" w:hAnsi="Times New Roman" w:cs="Times New Roman"/>
          <w:sz w:val="24"/>
          <w:szCs w:val="24"/>
          <w:lang w:val="en-US"/>
        </w:rPr>
        <w:t>long life and reliability at moderate operation</w:t>
      </w:r>
      <w:r w:rsidR="006A2C06" w:rsidRPr="004A2D77">
        <w:rPr>
          <w:rFonts w:ascii="Times New Roman" w:hAnsi="Times New Roman" w:cs="Times New Roman"/>
          <w:sz w:val="24"/>
          <w:szCs w:val="24"/>
          <w:lang w:val="en-US"/>
        </w:rPr>
        <w:t>al</w:t>
      </w:r>
      <w:r w:rsidR="009907F7" w:rsidRPr="004A2D77">
        <w:rPr>
          <w:rFonts w:ascii="Times New Roman" w:hAnsi="Times New Roman" w:cs="Times New Roman"/>
          <w:sz w:val="24"/>
          <w:szCs w:val="24"/>
          <w:lang w:val="en-US"/>
        </w:rPr>
        <w:t xml:space="preserve"> and maintenance</w:t>
      </w:r>
      <w:r w:rsidR="006A2C06" w:rsidRPr="004A2D77">
        <w:rPr>
          <w:rFonts w:ascii="Times New Roman" w:hAnsi="Times New Roman" w:cs="Times New Roman"/>
          <w:sz w:val="24"/>
          <w:szCs w:val="24"/>
          <w:lang w:val="en-US"/>
        </w:rPr>
        <w:t xml:space="preserve"> costs</w:t>
      </w:r>
      <w:r w:rsidRPr="004A2D77">
        <w:rPr>
          <w:rFonts w:ascii="Times New Roman" w:hAnsi="Times New Roman" w:cs="Times New Roman"/>
          <w:sz w:val="24"/>
          <w:szCs w:val="24"/>
          <w:lang w:val="en-US"/>
        </w:rPr>
        <w:t>.</w:t>
      </w:r>
      <w:r w:rsidR="009907F7" w:rsidRPr="004A2D77">
        <w:rPr>
          <w:rFonts w:ascii="Times New Roman" w:hAnsi="Times New Roman" w:cs="Times New Roman"/>
          <w:sz w:val="24"/>
          <w:szCs w:val="24"/>
          <w:lang w:val="en-US"/>
        </w:rPr>
        <w:t xml:space="preserve"> The two redox electroactive </w:t>
      </w:r>
      <w:r w:rsidRPr="004A2D77">
        <w:rPr>
          <w:rFonts w:ascii="Times New Roman" w:hAnsi="Times New Roman" w:cs="Times New Roman"/>
          <w:sz w:val="24"/>
          <w:szCs w:val="24"/>
          <w:lang w:val="en-US"/>
        </w:rPr>
        <w:t xml:space="preserve">species that store </w:t>
      </w:r>
      <w:r w:rsidR="009907F7" w:rsidRPr="004A2D77">
        <w:rPr>
          <w:rFonts w:ascii="Times New Roman" w:hAnsi="Times New Roman" w:cs="Times New Roman"/>
          <w:sz w:val="24"/>
          <w:szCs w:val="24"/>
          <w:lang w:val="en-US"/>
        </w:rPr>
        <w:t xml:space="preserve">the energy need to be abundant and low cost </w:t>
      </w:r>
      <w:r w:rsidR="00863BDD" w:rsidRPr="004A2D77">
        <w:rPr>
          <w:rFonts w:ascii="Times New Roman" w:hAnsi="Times New Roman" w:cs="Times New Roman"/>
          <w:sz w:val="24"/>
          <w:szCs w:val="24"/>
          <w:lang w:val="en-US"/>
        </w:rPr>
        <w:t xml:space="preserve">in order </w:t>
      </w:r>
      <w:r w:rsidR="009907F7" w:rsidRPr="004A2D77">
        <w:rPr>
          <w:rFonts w:ascii="Times New Roman" w:hAnsi="Times New Roman" w:cs="Times New Roman"/>
          <w:sz w:val="24"/>
          <w:szCs w:val="24"/>
          <w:lang w:val="en-US"/>
        </w:rPr>
        <w:t>to offer a competitive advantage o</w:t>
      </w:r>
      <w:r w:rsidR="006A2C06" w:rsidRPr="004A2D77">
        <w:rPr>
          <w:rFonts w:ascii="Times New Roman" w:hAnsi="Times New Roman" w:cs="Times New Roman"/>
          <w:sz w:val="24"/>
          <w:szCs w:val="24"/>
          <w:lang w:val="en-US"/>
        </w:rPr>
        <w:t>ver other energy storage systems</w:t>
      </w:r>
      <w:r w:rsidR="009907F7" w:rsidRPr="004A2D77">
        <w:rPr>
          <w:rFonts w:ascii="Times New Roman" w:hAnsi="Times New Roman" w:cs="Times New Roman"/>
          <w:sz w:val="24"/>
          <w:szCs w:val="24"/>
          <w:lang w:val="en-US"/>
        </w:rPr>
        <w:t>. In practice, high concentration of the electroactive species</w:t>
      </w:r>
      <w:r w:rsidR="002A1160" w:rsidRPr="004A2D77">
        <w:rPr>
          <w:rFonts w:ascii="Times New Roman" w:hAnsi="Times New Roman" w:cs="Times New Roman"/>
          <w:sz w:val="24"/>
          <w:szCs w:val="24"/>
          <w:lang w:val="en-US"/>
        </w:rPr>
        <w:t xml:space="preserve"> and large volume of the electrolyte results in high energy storage capacity whereas by increasing the </w:t>
      </w:r>
      <w:r w:rsidR="009907F7" w:rsidRPr="004A2D77">
        <w:rPr>
          <w:rFonts w:ascii="Times New Roman" w:hAnsi="Times New Roman" w:cs="Times New Roman"/>
          <w:sz w:val="24"/>
          <w:szCs w:val="24"/>
          <w:lang w:val="en-US"/>
        </w:rPr>
        <w:t xml:space="preserve">number of </w:t>
      </w:r>
      <w:r w:rsidR="002A1160" w:rsidRPr="004A2D77">
        <w:rPr>
          <w:rFonts w:ascii="Times New Roman" w:hAnsi="Times New Roman" w:cs="Times New Roman"/>
          <w:sz w:val="24"/>
          <w:szCs w:val="24"/>
          <w:lang w:val="en-US"/>
        </w:rPr>
        <w:t>bipolar cells and/or the size of the electrodes (electrode area) will increase the power</w:t>
      </w:r>
      <w:r w:rsidR="006A2C06" w:rsidRPr="004A2D77">
        <w:rPr>
          <w:rFonts w:ascii="Times New Roman" w:hAnsi="Times New Roman" w:cs="Times New Roman"/>
          <w:sz w:val="24"/>
          <w:szCs w:val="24"/>
          <w:lang w:val="en-US"/>
        </w:rPr>
        <w:t xml:space="preserve"> capability</w:t>
      </w:r>
      <w:r w:rsidR="002A1160" w:rsidRPr="004A2D77">
        <w:rPr>
          <w:rFonts w:ascii="Times New Roman" w:hAnsi="Times New Roman" w:cs="Times New Roman"/>
          <w:sz w:val="24"/>
          <w:szCs w:val="24"/>
          <w:lang w:val="en-US"/>
        </w:rPr>
        <w:t>. Ideally</w:t>
      </w:r>
      <w:r w:rsidR="006A2C06" w:rsidRPr="004A2D77">
        <w:rPr>
          <w:rFonts w:ascii="Times New Roman" w:hAnsi="Times New Roman" w:cs="Times New Roman"/>
          <w:sz w:val="24"/>
          <w:szCs w:val="24"/>
          <w:lang w:val="en-US"/>
        </w:rPr>
        <w:t>,</w:t>
      </w:r>
      <w:r w:rsidR="002A1160" w:rsidRPr="004A2D77">
        <w:rPr>
          <w:rFonts w:ascii="Times New Roman" w:hAnsi="Times New Roman" w:cs="Times New Roman"/>
          <w:sz w:val="24"/>
          <w:szCs w:val="24"/>
          <w:lang w:val="en-US"/>
        </w:rPr>
        <w:t xml:space="preserve"> the oxidant and the reduced electroactive species should be highly soluble in the electrolyte</w:t>
      </w:r>
      <w:r w:rsidR="005A6833" w:rsidRPr="004A2D77">
        <w:rPr>
          <w:rFonts w:ascii="Times New Roman" w:hAnsi="Times New Roman" w:cs="Times New Roman"/>
          <w:sz w:val="24"/>
          <w:szCs w:val="24"/>
          <w:lang w:val="en-US"/>
        </w:rPr>
        <w:t xml:space="preserve">, i.e. </w:t>
      </w:r>
      <w:r w:rsidR="006A2C06" w:rsidRPr="004A2D77">
        <w:rPr>
          <w:rFonts w:ascii="Times New Roman" w:hAnsi="Times New Roman" w:cs="Times New Roman"/>
          <w:sz w:val="24"/>
          <w:szCs w:val="24"/>
          <w:lang w:val="en-US"/>
        </w:rPr>
        <w:t xml:space="preserve">with </w:t>
      </w:r>
      <w:r w:rsidR="005A6833" w:rsidRPr="004A2D77">
        <w:rPr>
          <w:rFonts w:ascii="Times New Roman" w:hAnsi="Times New Roman" w:cs="Times New Roman"/>
          <w:sz w:val="24"/>
          <w:szCs w:val="24"/>
          <w:lang w:val="en-US"/>
        </w:rPr>
        <w:t>no phase change</w:t>
      </w:r>
      <w:r w:rsidR="006A2C06" w:rsidRPr="004A2D77">
        <w:rPr>
          <w:rFonts w:ascii="Times New Roman" w:hAnsi="Times New Roman" w:cs="Times New Roman"/>
          <w:sz w:val="24"/>
          <w:szCs w:val="24"/>
          <w:lang w:val="en-US"/>
        </w:rPr>
        <w:t>s</w:t>
      </w:r>
      <w:r w:rsidR="005A6833" w:rsidRPr="004A2D77">
        <w:rPr>
          <w:rFonts w:ascii="Times New Roman" w:hAnsi="Times New Roman" w:cs="Times New Roman"/>
          <w:sz w:val="24"/>
          <w:szCs w:val="24"/>
          <w:lang w:val="en-US"/>
        </w:rPr>
        <w:t xml:space="preserve"> of the </w:t>
      </w:r>
      <w:r w:rsidR="005A6833" w:rsidRPr="004A2D77">
        <w:rPr>
          <w:rFonts w:ascii="Times New Roman" w:hAnsi="Times New Roman" w:cs="Times New Roman"/>
          <w:sz w:val="24"/>
          <w:szCs w:val="24"/>
          <w:lang w:val="en-US"/>
        </w:rPr>
        <w:lastRenderedPageBreak/>
        <w:t xml:space="preserve">electroactive species </w:t>
      </w:r>
      <w:r w:rsidR="006A2C06" w:rsidRPr="004A2D77">
        <w:rPr>
          <w:rFonts w:ascii="Times New Roman" w:hAnsi="Times New Roman" w:cs="Times New Roman"/>
          <w:sz w:val="24"/>
          <w:szCs w:val="24"/>
          <w:lang w:val="en-US"/>
        </w:rPr>
        <w:t xml:space="preserve">during charge/discharge cycles, </w:t>
      </w:r>
      <w:r w:rsidR="005A6833" w:rsidRPr="004A2D77">
        <w:rPr>
          <w:rFonts w:ascii="Times New Roman" w:hAnsi="Times New Roman" w:cs="Times New Roman"/>
          <w:sz w:val="24"/>
          <w:szCs w:val="24"/>
          <w:lang w:val="en-US"/>
        </w:rPr>
        <w:t>this is the case of the all vanadium RFB</w:t>
      </w:r>
      <w:r w:rsidR="00863BDD" w:rsidRPr="004A2D77">
        <w:rPr>
          <w:rFonts w:ascii="Times New Roman" w:hAnsi="Times New Roman" w:cs="Times New Roman"/>
          <w:sz w:val="24"/>
          <w:szCs w:val="24"/>
          <w:lang w:val="en-US"/>
        </w:rPr>
        <w:t>s</w:t>
      </w:r>
      <w:r w:rsidR="005A6833" w:rsidRPr="004A2D77">
        <w:rPr>
          <w:rFonts w:ascii="Times New Roman" w:hAnsi="Times New Roman" w:cs="Times New Roman"/>
          <w:sz w:val="24"/>
          <w:szCs w:val="24"/>
          <w:lang w:val="en-US"/>
        </w:rPr>
        <w:t xml:space="preserve">. Other types </w:t>
      </w:r>
      <w:r w:rsidR="002A1160" w:rsidRPr="004A2D77">
        <w:rPr>
          <w:rFonts w:ascii="Times New Roman" w:hAnsi="Times New Roman" w:cs="Times New Roman"/>
          <w:sz w:val="24"/>
          <w:szCs w:val="24"/>
          <w:lang w:val="en-US"/>
        </w:rPr>
        <w:t xml:space="preserve">RFBs operate in hybrid mode, i.e. when one </w:t>
      </w:r>
      <w:r w:rsidR="005A6833" w:rsidRPr="004A2D77">
        <w:rPr>
          <w:rFonts w:ascii="Times New Roman" w:hAnsi="Times New Roman" w:cs="Times New Roman"/>
          <w:sz w:val="24"/>
          <w:szCs w:val="24"/>
          <w:lang w:val="en-US"/>
        </w:rPr>
        <w:t xml:space="preserve">or both </w:t>
      </w:r>
      <w:r w:rsidR="002A1160" w:rsidRPr="004A2D77">
        <w:rPr>
          <w:rFonts w:ascii="Times New Roman" w:hAnsi="Times New Roman" w:cs="Times New Roman"/>
          <w:sz w:val="24"/>
          <w:szCs w:val="24"/>
          <w:lang w:val="en-US"/>
        </w:rPr>
        <w:t xml:space="preserve">of the reduced or </w:t>
      </w:r>
      <w:r w:rsidR="004A2D77" w:rsidRPr="004A2D77">
        <w:rPr>
          <w:rFonts w:ascii="Times New Roman" w:hAnsi="Times New Roman" w:cs="Times New Roman"/>
          <w:sz w:val="24"/>
          <w:szCs w:val="24"/>
          <w:lang w:val="en-US"/>
        </w:rPr>
        <w:t>oxidized</w:t>
      </w:r>
      <w:r w:rsidR="002A1160" w:rsidRPr="004A2D77">
        <w:rPr>
          <w:rFonts w:ascii="Times New Roman" w:hAnsi="Times New Roman" w:cs="Times New Roman"/>
          <w:sz w:val="24"/>
          <w:szCs w:val="24"/>
          <w:lang w:val="en-US"/>
        </w:rPr>
        <w:t xml:space="preserve"> species </w:t>
      </w:r>
      <w:r w:rsidR="006A2C06" w:rsidRPr="004A2D77">
        <w:rPr>
          <w:rFonts w:ascii="Times New Roman" w:hAnsi="Times New Roman" w:cs="Times New Roman"/>
          <w:sz w:val="24"/>
          <w:szCs w:val="24"/>
          <w:lang w:val="en-US"/>
        </w:rPr>
        <w:t xml:space="preserve">are </w:t>
      </w:r>
      <w:r w:rsidR="002A1160" w:rsidRPr="004A2D77">
        <w:rPr>
          <w:rFonts w:ascii="Times New Roman" w:hAnsi="Times New Roman" w:cs="Times New Roman"/>
          <w:sz w:val="24"/>
          <w:szCs w:val="24"/>
          <w:lang w:val="en-US"/>
        </w:rPr>
        <w:t>solid and deposit on the electrode surface</w:t>
      </w:r>
      <w:r w:rsidR="005A6833" w:rsidRPr="004A2D77">
        <w:rPr>
          <w:rFonts w:ascii="Times New Roman" w:hAnsi="Times New Roman" w:cs="Times New Roman"/>
          <w:sz w:val="24"/>
          <w:szCs w:val="24"/>
          <w:lang w:val="en-US"/>
        </w:rPr>
        <w:t xml:space="preserve"> like th</w:t>
      </w:r>
      <w:r w:rsidR="002A1160" w:rsidRPr="004A2D77">
        <w:rPr>
          <w:rFonts w:ascii="Times New Roman" w:hAnsi="Times New Roman" w:cs="Times New Roman"/>
          <w:sz w:val="24"/>
          <w:szCs w:val="24"/>
          <w:lang w:val="en-US"/>
        </w:rPr>
        <w:t xml:space="preserve">e zinc – cerium </w:t>
      </w:r>
      <w:r w:rsidR="005A6833" w:rsidRPr="004A2D77">
        <w:rPr>
          <w:rFonts w:ascii="Times New Roman" w:hAnsi="Times New Roman" w:cs="Times New Roman"/>
          <w:sz w:val="24"/>
          <w:szCs w:val="24"/>
          <w:lang w:val="en-US"/>
        </w:rPr>
        <w:t xml:space="preserve">or the soluble lead acid </w:t>
      </w:r>
      <w:r w:rsidR="002A1160" w:rsidRPr="004A2D77">
        <w:rPr>
          <w:rFonts w:ascii="Times New Roman" w:hAnsi="Times New Roman" w:cs="Times New Roman"/>
          <w:sz w:val="24"/>
          <w:szCs w:val="24"/>
          <w:lang w:val="en-US"/>
        </w:rPr>
        <w:t>redox flow batter</w:t>
      </w:r>
      <w:r w:rsidR="005A6833" w:rsidRPr="004A2D77">
        <w:rPr>
          <w:rFonts w:ascii="Times New Roman" w:hAnsi="Times New Roman" w:cs="Times New Roman"/>
          <w:sz w:val="24"/>
          <w:szCs w:val="24"/>
          <w:lang w:val="en-US"/>
        </w:rPr>
        <w:t>ies, respectively. The formation of a solid phase impose</w:t>
      </w:r>
      <w:r w:rsidR="00314F58" w:rsidRPr="004A2D77">
        <w:rPr>
          <w:rFonts w:ascii="Times New Roman" w:hAnsi="Times New Roman" w:cs="Times New Roman"/>
          <w:sz w:val="24"/>
          <w:szCs w:val="24"/>
          <w:lang w:val="en-US"/>
        </w:rPr>
        <w:t>s</w:t>
      </w:r>
      <w:r w:rsidR="005A6833" w:rsidRPr="004A2D77">
        <w:rPr>
          <w:rFonts w:ascii="Times New Roman" w:hAnsi="Times New Roman" w:cs="Times New Roman"/>
          <w:sz w:val="24"/>
          <w:szCs w:val="24"/>
          <w:lang w:val="en-US"/>
        </w:rPr>
        <w:t xml:space="preserve"> some restrictions on the reactor design because there is a need to account for the thickness of the deposited layer and the possibility of the formation of dendrites that could cause a short circuit if the</w:t>
      </w:r>
      <w:r w:rsidR="006A2C06" w:rsidRPr="004A2D77">
        <w:rPr>
          <w:rFonts w:ascii="Times New Roman" w:hAnsi="Times New Roman" w:cs="Times New Roman"/>
          <w:sz w:val="24"/>
          <w:szCs w:val="24"/>
          <w:lang w:val="en-US"/>
        </w:rPr>
        <w:t>y</w:t>
      </w:r>
      <w:r w:rsidR="005A6833" w:rsidRPr="004A2D77">
        <w:rPr>
          <w:rFonts w:ascii="Times New Roman" w:hAnsi="Times New Roman" w:cs="Times New Roman"/>
          <w:sz w:val="24"/>
          <w:szCs w:val="24"/>
          <w:lang w:val="en-US"/>
        </w:rPr>
        <w:t xml:space="preserve"> </w:t>
      </w:r>
      <w:r w:rsidR="00863BDD" w:rsidRPr="004A2D77">
        <w:rPr>
          <w:rFonts w:ascii="Times New Roman" w:hAnsi="Times New Roman" w:cs="Times New Roman"/>
          <w:sz w:val="24"/>
          <w:szCs w:val="24"/>
          <w:lang w:val="en-US"/>
        </w:rPr>
        <w:t xml:space="preserve">grow sufficiently long to </w:t>
      </w:r>
      <w:r w:rsidR="005A6833" w:rsidRPr="004A2D77">
        <w:rPr>
          <w:rFonts w:ascii="Times New Roman" w:hAnsi="Times New Roman" w:cs="Times New Roman"/>
          <w:sz w:val="24"/>
          <w:szCs w:val="24"/>
          <w:lang w:val="en-US"/>
        </w:rPr>
        <w:t xml:space="preserve">perforate the membrane. </w:t>
      </w:r>
      <w:r w:rsidR="00863BDD" w:rsidRPr="004A2D77">
        <w:rPr>
          <w:rFonts w:ascii="Times New Roman" w:hAnsi="Times New Roman" w:cs="Times New Roman"/>
          <w:sz w:val="24"/>
          <w:szCs w:val="24"/>
          <w:lang w:val="en-US"/>
        </w:rPr>
        <w:t xml:space="preserve">The membrane should be able to restrict the diffusion of the electroactive </w:t>
      </w:r>
      <w:r w:rsidR="00680018" w:rsidRPr="004A2D77">
        <w:rPr>
          <w:rFonts w:ascii="Times New Roman" w:hAnsi="Times New Roman" w:cs="Times New Roman"/>
          <w:sz w:val="24"/>
          <w:szCs w:val="24"/>
          <w:lang w:val="en-US"/>
        </w:rPr>
        <w:t xml:space="preserve">species </w:t>
      </w:r>
      <w:r w:rsidR="00E2592D" w:rsidRPr="004A2D77">
        <w:rPr>
          <w:rFonts w:ascii="Times New Roman" w:hAnsi="Times New Roman" w:cs="Times New Roman"/>
          <w:sz w:val="24"/>
          <w:szCs w:val="24"/>
          <w:lang w:val="en-US"/>
        </w:rPr>
        <w:t xml:space="preserve">to and from the </w:t>
      </w:r>
      <w:r w:rsidR="00680018" w:rsidRPr="004A2D77">
        <w:rPr>
          <w:rFonts w:ascii="Times New Roman" w:hAnsi="Times New Roman" w:cs="Times New Roman"/>
          <w:sz w:val="24"/>
          <w:szCs w:val="24"/>
          <w:lang w:val="en-US"/>
        </w:rPr>
        <w:t xml:space="preserve">cathode and anode compartments </w:t>
      </w:r>
      <w:r w:rsidR="00E2592D" w:rsidRPr="004A2D77">
        <w:rPr>
          <w:rFonts w:ascii="Times New Roman" w:hAnsi="Times New Roman" w:cs="Times New Roman"/>
          <w:sz w:val="24"/>
          <w:szCs w:val="24"/>
          <w:lang w:val="en-US"/>
        </w:rPr>
        <w:t>and</w:t>
      </w:r>
      <w:r w:rsidR="00680018" w:rsidRPr="004A2D77">
        <w:rPr>
          <w:rFonts w:ascii="Times New Roman" w:hAnsi="Times New Roman" w:cs="Times New Roman"/>
          <w:sz w:val="24"/>
          <w:szCs w:val="24"/>
          <w:lang w:val="en-US"/>
        </w:rPr>
        <w:t xml:space="preserve"> should be able to </w:t>
      </w:r>
      <w:r w:rsidR="00E2592D" w:rsidRPr="004A2D77">
        <w:rPr>
          <w:rFonts w:ascii="Times New Roman" w:hAnsi="Times New Roman" w:cs="Times New Roman"/>
          <w:sz w:val="24"/>
          <w:szCs w:val="24"/>
          <w:lang w:val="en-US"/>
        </w:rPr>
        <w:t xml:space="preserve">allow the </w:t>
      </w:r>
      <w:r w:rsidR="00680018" w:rsidRPr="004A2D77">
        <w:rPr>
          <w:rFonts w:ascii="Times New Roman" w:hAnsi="Times New Roman" w:cs="Times New Roman"/>
          <w:sz w:val="24"/>
          <w:szCs w:val="24"/>
          <w:lang w:val="en-US"/>
        </w:rPr>
        <w:t xml:space="preserve">transport </w:t>
      </w:r>
      <w:r w:rsidR="00E2592D" w:rsidRPr="004A2D77">
        <w:rPr>
          <w:rFonts w:ascii="Times New Roman" w:hAnsi="Times New Roman" w:cs="Times New Roman"/>
          <w:sz w:val="24"/>
          <w:szCs w:val="24"/>
          <w:lang w:val="en-US"/>
        </w:rPr>
        <w:t>of n</w:t>
      </w:r>
      <w:r w:rsidR="00680018" w:rsidRPr="004A2D77">
        <w:rPr>
          <w:rFonts w:ascii="Times New Roman" w:hAnsi="Times New Roman" w:cs="Times New Roman"/>
          <w:sz w:val="24"/>
          <w:szCs w:val="24"/>
          <w:lang w:val="en-US"/>
        </w:rPr>
        <w:t xml:space="preserve">on-electroactive species with </w:t>
      </w:r>
      <w:r w:rsidR="00E2592D" w:rsidRPr="004A2D77">
        <w:rPr>
          <w:rFonts w:ascii="Times New Roman" w:hAnsi="Times New Roman" w:cs="Times New Roman"/>
          <w:sz w:val="24"/>
          <w:szCs w:val="24"/>
          <w:lang w:val="en-US"/>
        </w:rPr>
        <w:t xml:space="preserve">their </w:t>
      </w:r>
      <w:r w:rsidR="00680018" w:rsidRPr="004A2D77">
        <w:rPr>
          <w:rFonts w:ascii="Times New Roman" w:hAnsi="Times New Roman" w:cs="Times New Roman"/>
          <w:sz w:val="24"/>
          <w:szCs w:val="24"/>
          <w:lang w:val="en-US"/>
        </w:rPr>
        <w:t xml:space="preserve">associated water </w:t>
      </w:r>
      <w:r w:rsidR="00E2592D" w:rsidRPr="004A2D77">
        <w:rPr>
          <w:rFonts w:ascii="Times New Roman" w:hAnsi="Times New Roman" w:cs="Times New Roman"/>
          <w:sz w:val="24"/>
          <w:szCs w:val="24"/>
          <w:lang w:val="en-US"/>
        </w:rPr>
        <w:t xml:space="preserve">molecules </w:t>
      </w:r>
      <w:r w:rsidR="00680018" w:rsidRPr="004A2D77">
        <w:rPr>
          <w:rFonts w:ascii="Times New Roman" w:hAnsi="Times New Roman" w:cs="Times New Roman"/>
          <w:sz w:val="24"/>
          <w:szCs w:val="24"/>
          <w:lang w:val="en-US"/>
        </w:rPr>
        <w:t>in order to keep the electro neutrality in both sides. The membrane either anionic or cationic should be appropriately selected to maintain the</w:t>
      </w:r>
      <w:r w:rsidR="00E2592D" w:rsidRPr="004A2D77">
        <w:rPr>
          <w:rFonts w:ascii="Times New Roman" w:hAnsi="Times New Roman" w:cs="Times New Roman"/>
          <w:sz w:val="24"/>
          <w:szCs w:val="24"/>
          <w:lang w:val="en-US"/>
        </w:rPr>
        <w:t xml:space="preserve"> pH constant </w:t>
      </w:r>
      <w:r w:rsidR="00863BDD" w:rsidRPr="004A2D77">
        <w:rPr>
          <w:rFonts w:ascii="Times New Roman" w:hAnsi="Times New Roman" w:cs="Times New Roman"/>
          <w:sz w:val="24"/>
          <w:szCs w:val="24"/>
          <w:lang w:val="en-US"/>
        </w:rPr>
        <w:t>in both sides.</w:t>
      </w:r>
      <w:r w:rsidR="00680018" w:rsidRPr="004A2D77">
        <w:rPr>
          <w:rFonts w:ascii="Times New Roman" w:hAnsi="Times New Roman" w:cs="Times New Roman"/>
          <w:sz w:val="24"/>
          <w:szCs w:val="24"/>
          <w:lang w:val="en-US"/>
        </w:rPr>
        <w:t xml:space="preserve"> </w:t>
      </w:r>
      <w:r w:rsidR="003B4B9D" w:rsidRPr="004A2D77">
        <w:rPr>
          <w:rFonts w:ascii="Times New Roman" w:hAnsi="Times New Roman" w:cs="Times New Roman"/>
          <w:sz w:val="24"/>
          <w:szCs w:val="24"/>
          <w:lang w:val="en-US"/>
        </w:rPr>
        <w:t>In spite of being rather expensive, t</w:t>
      </w:r>
      <w:r w:rsidR="00863BDD" w:rsidRPr="004A2D77">
        <w:rPr>
          <w:rFonts w:ascii="Times New Roman" w:hAnsi="Times New Roman" w:cs="Times New Roman"/>
          <w:sz w:val="24"/>
          <w:szCs w:val="24"/>
          <w:lang w:val="en-US"/>
        </w:rPr>
        <w:t>he most common</w:t>
      </w:r>
      <w:r w:rsidR="003B4B9D" w:rsidRPr="004A2D77">
        <w:rPr>
          <w:rFonts w:ascii="Times New Roman" w:hAnsi="Times New Roman" w:cs="Times New Roman"/>
          <w:sz w:val="24"/>
          <w:szCs w:val="24"/>
          <w:lang w:val="en-US"/>
        </w:rPr>
        <w:t>ly-used</w:t>
      </w:r>
      <w:r w:rsidR="00863BDD" w:rsidRPr="004A2D77">
        <w:rPr>
          <w:rFonts w:ascii="Times New Roman" w:hAnsi="Times New Roman" w:cs="Times New Roman"/>
          <w:sz w:val="24"/>
          <w:szCs w:val="24"/>
          <w:lang w:val="en-US"/>
        </w:rPr>
        <w:t xml:space="preserve"> membrane is </w:t>
      </w:r>
      <w:proofErr w:type="spellStart"/>
      <w:r w:rsidR="00863BDD" w:rsidRPr="004A2D77">
        <w:rPr>
          <w:rFonts w:ascii="Times New Roman" w:hAnsi="Times New Roman" w:cs="Times New Roman"/>
          <w:sz w:val="24"/>
          <w:szCs w:val="24"/>
          <w:lang w:val="en-US"/>
        </w:rPr>
        <w:t>Nafion</w:t>
      </w:r>
      <w:proofErr w:type="spellEnd"/>
      <w:r w:rsidR="00743E0D" w:rsidRPr="004A2D77">
        <w:rPr>
          <w:rFonts w:ascii="Times New Roman" w:hAnsi="Times New Roman" w:cs="Times New Roman"/>
          <w:sz w:val="24"/>
          <w:szCs w:val="24"/>
          <w:lang w:val="en-US"/>
        </w:rPr>
        <w:t>®</w:t>
      </w:r>
      <w:r w:rsidR="00E2592D" w:rsidRPr="004A2D77">
        <w:rPr>
          <w:rFonts w:ascii="Times New Roman" w:hAnsi="Times New Roman" w:cs="Times New Roman"/>
          <w:sz w:val="24"/>
          <w:szCs w:val="24"/>
          <w:lang w:val="en-US"/>
        </w:rPr>
        <w:t xml:space="preserve"> as it </w:t>
      </w:r>
      <w:r w:rsidR="00863BDD" w:rsidRPr="004A2D77">
        <w:rPr>
          <w:rFonts w:ascii="Times New Roman" w:hAnsi="Times New Roman" w:cs="Times New Roman"/>
          <w:sz w:val="24"/>
          <w:szCs w:val="24"/>
          <w:lang w:val="en-US"/>
        </w:rPr>
        <w:t xml:space="preserve">offers </w:t>
      </w:r>
      <w:r w:rsidR="00680018" w:rsidRPr="004A2D77">
        <w:rPr>
          <w:rFonts w:ascii="Times New Roman" w:hAnsi="Times New Roman" w:cs="Times New Roman"/>
          <w:sz w:val="24"/>
          <w:szCs w:val="24"/>
          <w:lang w:val="en-US"/>
        </w:rPr>
        <w:t>low electric resistivity</w:t>
      </w:r>
      <w:r w:rsidR="00863BDD" w:rsidRPr="004A2D77">
        <w:rPr>
          <w:rFonts w:ascii="Times New Roman" w:hAnsi="Times New Roman" w:cs="Times New Roman"/>
          <w:sz w:val="24"/>
          <w:szCs w:val="24"/>
          <w:lang w:val="en-US"/>
        </w:rPr>
        <w:t xml:space="preserve"> and </w:t>
      </w:r>
      <w:r w:rsidR="003B4B9D" w:rsidRPr="004A2D77">
        <w:rPr>
          <w:rFonts w:ascii="Times New Roman" w:hAnsi="Times New Roman" w:cs="Times New Roman"/>
          <w:sz w:val="24"/>
          <w:szCs w:val="24"/>
          <w:lang w:val="en-US"/>
        </w:rPr>
        <w:t xml:space="preserve">exhibits </w:t>
      </w:r>
      <w:r w:rsidR="00863BDD" w:rsidRPr="004A2D77">
        <w:rPr>
          <w:rFonts w:ascii="Times New Roman" w:hAnsi="Times New Roman" w:cs="Times New Roman"/>
          <w:sz w:val="24"/>
          <w:szCs w:val="24"/>
          <w:lang w:val="en-US"/>
        </w:rPr>
        <w:t xml:space="preserve">a </w:t>
      </w:r>
      <w:r w:rsidR="00680018" w:rsidRPr="004A2D77">
        <w:rPr>
          <w:rFonts w:ascii="Times New Roman" w:hAnsi="Times New Roman" w:cs="Times New Roman"/>
          <w:sz w:val="24"/>
          <w:szCs w:val="24"/>
          <w:lang w:val="en-US"/>
        </w:rPr>
        <w:t>long</w:t>
      </w:r>
      <w:r w:rsidR="00863BDD" w:rsidRPr="004A2D77">
        <w:rPr>
          <w:rFonts w:ascii="Times New Roman" w:hAnsi="Times New Roman" w:cs="Times New Roman"/>
          <w:sz w:val="24"/>
          <w:szCs w:val="24"/>
          <w:lang w:val="en-US"/>
        </w:rPr>
        <w:t xml:space="preserve"> </w:t>
      </w:r>
      <w:r w:rsidR="00680018" w:rsidRPr="004A2D77">
        <w:rPr>
          <w:rFonts w:ascii="Times New Roman" w:hAnsi="Times New Roman" w:cs="Times New Roman"/>
          <w:sz w:val="24"/>
          <w:szCs w:val="24"/>
          <w:lang w:val="en-US"/>
        </w:rPr>
        <w:t>life</w:t>
      </w:r>
      <w:r w:rsidR="003B4B9D" w:rsidRPr="004A2D77">
        <w:rPr>
          <w:rFonts w:ascii="Times New Roman" w:hAnsi="Times New Roman" w:cs="Times New Roman"/>
          <w:sz w:val="24"/>
          <w:szCs w:val="24"/>
          <w:lang w:val="en-US"/>
        </w:rPr>
        <w:t xml:space="preserve"> span due to its excellent chemical stability</w:t>
      </w:r>
      <w:r w:rsidR="00E2592D" w:rsidRPr="004A2D77">
        <w:rPr>
          <w:rFonts w:ascii="Times New Roman" w:hAnsi="Times New Roman" w:cs="Times New Roman"/>
          <w:sz w:val="24"/>
          <w:szCs w:val="24"/>
          <w:lang w:val="en-US"/>
        </w:rPr>
        <w:t>.</w:t>
      </w:r>
      <w:r w:rsidR="003B4B9D" w:rsidRPr="004A2D77">
        <w:rPr>
          <w:rFonts w:ascii="Times New Roman" w:hAnsi="Times New Roman" w:cs="Times New Roman"/>
          <w:sz w:val="24"/>
          <w:szCs w:val="24"/>
          <w:lang w:val="en-US"/>
        </w:rPr>
        <w:t xml:space="preserve"> Lower-cost alternatives in the form of non-fluorinated membranes have been reported recently</w:t>
      </w:r>
      <w:r w:rsidR="00BA18B9" w:rsidRPr="004A2D77">
        <w:rPr>
          <w:rFonts w:ascii="Times New Roman" w:hAnsi="Times New Roman" w:cs="Times New Roman"/>
          <w:sz w:val="24"/>
          <w:szCs w:val="24"/>
          <w:lang w:val="en-US"/>
        </w:rPr>
        <w:t xml:space="preserve"> (Wu et al. 2020) </w:t>
      </w:r>
      <w:r w:rsidR="003B4B9D" w:rsidRPr="004A2D77">
        <w:rPr>
          <w:rFonts w:ascii="Times New Roman" w:hAnsi="Times New Roman" w:cs="Times New Roman"/>
          <w:sz w:val="24"/>
          <w:szCs w:val="24"/>
          <w:lang w:val="en-US"/>
        </w:rPr>
        <w:t xml:space="preserve"> for inst</w:t>
      </w:r>
      <w:r w:rsidR="00BA18B9" w:rsidRPr="004A2D77">
        <w:rPr>
          <w:rFonts w:ascii="Times New Roman" w:hAnsi="Times New Roman" w:cs="Times New Roman"/>
          <w:sz w:val="24"/>
          <w:szCs w:val="24"/>
          <w:lang w:val="en-US"/>
        </w:rPr>
        <w:t>ance, sulfonated PEEK membranes</w:t>
      </w:r>
      <w:r w:rsidR="003B4B9D" w:rsidRPr="004A2D77">
        <w:rPr>
          <w:rFonts w:ascii="Times New Roman" w:hAnsi="Times New Roman" w:cs="Times New Roman"/>
          <w:sz w:val="24"/>
          <w:szCs w:val="24"/>
          <w:lang w:val="en-US"/>
        </w:rPr>
        <w:t>, though it will be important to validate that these hydrocarbon membranes are stable strongly oxidizing or reducing chemical environments during prolonged battery cycling. Alternatively, redox-active compounds have been attached to soluble polymer chains, enabling the use of low-cost porous cellulose membranes</w:t>
      </w:r>
      <w:r w:rsidR="00104D73" w:rsidRPr="004A2D77">
        <w:rPr>
          <w:rFonts w:ascii="Times New Roman" w:hAnsi="Times New Roman" w:cs="Times New Roman"/>
          <w:sz w:val="24"/>
          <w:szCs w:val="24"/>
          <w:lang w:val="en-US"/>
        </w:rPr>
        <w:t xml:space="preserve"> (Janoschka et al. 2015)</w:t>
      </w:r>
      <w:r w:rsidR="003B4B9D" w:rsidRPr="004A2D77">
        <w:rPr>
          <w:rFonts w:ascii="Times New Roman" w:hAnsi="Times New Roman" w:cs="Times New Roman"/>
          <w:sz w:val="24"/>
          <w:szCs w:val="24"/>
          <w:lang w:val="en-US"/>
        </w:rPr>
        <w:t>.</w:t>
      </w:r>
    </w:p>
    <w:p w14:paraId="1476DFC6" w14:textId="34F6974A" w:rsidR="00314F58" w:rsidRPr="004A2D77" w:rsidRDefault="00314F58" w:rsidP="00680018">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In this article, we will review some optimization strategies that are commonly pursued to improve the functioning of some critical stack and electrolyte components. Typically, flow battery optimization should result in more eff</w:t>
      </w:r>
      <w:r w:rsidR="001A261D" w:rsidRPr="004A2D77">
        <w:rPr>
          <w:rFonts w:ascii="Times New Roman" w:hAnsi="Times New Roman" w:cs="Times New Roman"/>
          <w:sz w:val="24"/>
          <w:szCs w:val="24"/>
          <w:lang w:val="en-US"/>
        </w:rPr>
        <w:t>icient, more durable, and lower-</w:t>
      </w:r>
      <w:r w:rsidRPr="004A2D77">
        <w:rPr>
          <w:rFonts w:ascii="Times New Roman" w:hAnsi="Times New Roman" w:cs="Times New Roman"/>
          <w:sz w:val="24"/>
          <w:szCs w:val="24"/>
          <w:lang w:val="en-US"/>
        </w:rPr>
        <w:t xml:space="preserve">cost flow battery systems. </w:t>
      </w:r>
      <w:r w:rsidR="004D735F" w:rsidRPr="004A2D77">
        <w:rPr>
          <w:rFonts w:ascii="Times New Roman" w:hAnsi="Times New Roman" w:cs="Times New Roman"/>
          <w:sz w:val="24"/>
          <w:szCs w:val="24"/>
          <w:lang w:val="en-US"/>
        </w:rPr>
        <w:t xml:space="preserve">More efficient flow battery can be achieved by optimizing the flow field design (optimizing mass transfer and minimizing pressure drop) and minimizing all the Ohmic resistance within the electrochemical cells (in particular, minimization of the ion-exchange </w:t>
      </w:r>
      <w:r w:rsidR="004D735F" w:rsidRPr="004A2D77">
        <w:rPr>
          <w:rFonts w:ascii="Times New Roman" w:hAnsi="Times New Roman" w:cs="Times New Roman"/>
          <w:sz w:val="24"/>
          <w:szCs w:val="24"/>
          <w:lang w:val="en-US"/>
        </w:rPr>
        <w:lastRenderedPageBreak/>
        <w:t xml:space="preserve">membrane resistance). Flow battery durability can be optimized by </w:t>
      </w:r>
      <w:r w:rsidR="0005329D" w:rsidRPr="004A2D77">
        <w:rPr>
          <w:rFonts w:ascii="Times New Roman" w:hAnsi="Times New Roman" w:cs="Times New Roman"/>
          <w:sz w:val="24"/>
          <w:szCs w:val="24"/>
          <w:lang w:val="en-US"/>
        </w:rPr>
        <w:t xml:space="preserve">improving </w:t>
      </w:r>
      <w:r w:rsidR="004D735F" w:rsidRPr="004A2D77">
        <w:rPr>
          <w:rFonts w:ascii="Times New Roman" w:hAnsi="Times New Roman" w:cs="Times New Roman"/>
          <w:sz w:val="24"/>
          <w:szCs w:val="24"/>
          <w:lang w:val="en-US"/>
        </w:rPr>
        <w:t xml:space="preserve">the electrolyte chemistry (and understanding how operating conditions affect </w:t>
      </w:r>
      <w:r w:rsidR="0005329D" w:rsidRPr="004A2D77">
        <w:rPr>
          <w:rFonts w:ascii="Times New Roman" w:hAnsi="Times New Roman" w:cs="Times New Roman"/>
          <w:sz w:val="24"/>
          <w:szCs w:val="24"/>
          <w:lang w:val="en-US"/>
        </w:rPr>
        <w:t xml:space="preserve">the </w:t>
      </w:r>
      <w:r w:rsidR="004D735F" w:rsidRPr="004A2D77">
        <w:rPr>
          <w:rFonts w:ascii="Times New Roman" w:hAnsi="Times New Roman" w:cs="Times New Roman"/>
          <w:sz w:val="24"/>
          <w:szCs w:val="24"/>
          <w:lang w:val="en-US"/>
        </w:rPr>
        <w:t xml:space="preserve">electrolyte durability) and by ensuring long lifetimes of critical stack components (e.g. seals, and membrane separators). Reductions </w:t>
      </w:r>
      <w:r w:rsidR="004A2D77" w:rsidRPr="004A2D77">
        <w:rPr>
          <w:rFonts w:ascii="Times New Roman" w:hAnsi="Times New Roman" w:cs="Times New Roman"/>
          <w:sz w:val="24"/>
          <w:szCs w:val="24"/>
          <w:lang w:val="en-US"/>
        </w:rPr>
        <w:t>in flow</w:t>
      </w:r>
      <w:r w:rsidR="004D735F" w:rsidRPr="004A2D77">
        <w:rPr>
          <w:rFonts w:ascii="Times New Roman" w:hAnsi="Times New Roman" w:cs="Times New Roman"/>
          <w:sz w:val="24"/>
          <w:szCs w:val="24"/>
          <w:lang w:val="en-US"/>
        </w:rPr>
        <w:t xml:space="preserve"> battery cost can be achieved by improving battery efficiency and durability, as well as by </w:t>
      </w:r>
      <w:r w:rsidR="001A261D" w:rsidRPr="004A2D77">
        <w:rPr>
          <w:rFonts w:ascii="Times New Roman" w:hAnsi="Times New Roman" w:cs="Times New Roman"/>
          <w:sz w:val="24"/>
          <w:szCs w:val="24"/>
          <w:lang w:val="en-US"/>
        </w:rPr>
        <w:t>developing</w:t>
      </w:r>
      <w:r w:rsidR="004D735F" w:rsidRPr="004A2D77">
        <w:rPr>
          <w:rFonts w:ascii="Times New Roman" w:hAnsi="Times New Roman" w:cs="Times New Roman"/>
          <w:sz w:val="24"/>
          <w:szCs w:val="24"/>
          <w:lang w:val="en-US"/>
        </w:rPr>
        <w:t xml:space="preserve"> low-cost materials </w:t>
      </w:r>
      <w:r w:rsidR="001A261D" w:rsidRPr="004A2D77">
        <w:rPr>
          <w:rFonts w:ascii="Times New Roman" w:hAnsi="Times New Roman" w:cs="Times New Roman"/>
          <w:sz w:val="24"/>
          <w:szCs w:val="24"/>
          <w:lang w:val="en-US"/>
        </w:rPr>
        <w:t>for redox-</w:t>
      </w:r>
      <w:r w:rsidR="004D735F" w:rsidRPr="004A2D77">
        <w:rPr>
          <w:rFonts w:ascii="Times New Roman" w:hAnsi="Times New Roman" w:cs="Times New Roman"/>
          <w:sz w:val="24"/>
          <w:szCs w:val="24"/>
          <w:lang w:val="en-US"/>
        </w:rPr>
        <w:t xml:space="preserve">active </w:t>
      </w:r>
      <w:r w:rsidR="001A261D" w:rsidRPr="004A2D77">
        <w:rPr>
          <w:rFonts w:ascii="Times New Roman" w:hAnsi="Times New Roman" w:cs="Times New Roman"/>
          <w:sz w:val="24"/>
          <w:szCs w:val="24"/>
          <w:lang w:val="en-US"/>
        </w:rPr>
        <w:t>compounds</w:t>
      </w:r>
      <w:r w:rsidR="004D735F" w:rsidRPr="004A2D77">
        <w:rPr>
          <w:rFonts w:ascii="Times New Roman" w:hAnsi="Times New Roman" w:cs="Times New Roman"/>
          <w:sz w:val="24"/>
          <w:szCs w:val="24"/>
          <w:lang w:val="en-US"/>
        </w:rPr>
        <w:t xml:space="preserve"> and critical stacks components</w:t>
      </w:r>
      <w:r w:rsidR="0005329D" w:rsidRPr="004A2D77">
        <w:rPr>
          <w:rFonts w:ascii="Times New Roman" w:hAnsi="Times New Roman" w:cs="Times New Roman"/>
          <w:sz w:val="24"/>
          <w:szCs w:val="24"/>
          <w:lang w:val="en-US"/>
        </w:rPr>
        <w:t xml:space="preserve">, </w:t>
      </w:r>
      <w:r w:rsidR="004D735F" w:rsidRPr="004A2D77">
        <w:rPr>
          <w:rFonts w:ascii="Times New Roman" w:hAnsi="Times New Roman" w:cs="Times New Roman"/>
          <w:sz w:val="24"/>
          <w:szCs w:val="24"/>
          <w:lang w:val="en-US"/>
        </w:rPr>
        <w:t>in particular, bipolar plates and membranes</w:t>
      </w:r>
      <w:r w:rsidR="0005329D" w:rsidRPr="004A2D77">
        <w:rPr>
          <w:rFonts w:ascii="Times New Roman" w:hAnsi="Times New Roman" w:cs="Times New Roman"/>
          <w:sz w:val="24"/>
          <w:szCs w:val="24"/>
          <w:lang w:val="en-US"/>
        </w:rPr>
        <w:t xml:space="preserve"> (Noack, et al. 2016</w:t>
      </w:r>
      <w:r w:rsidR="004D735F" w:rsidRPr="004A2D77">
        <w:rPr>
          <w:rFonts w:ascii="Times New Roman" w:hAnsi="Times New Roman" w:cs="Times New Roman"/>
          <w:sz w:val="24"/>
          <w:szCs w:val="24"/>
          <w:lang w:val="en-US"/>
        </w:rPr>
        <w:t xml:space="preserve">). </w:t>
      </w:r>
    </w:p>
    <w:p w14:paraId="2F735A3D" w14:textId="77777777" w:rsidR="00863BDD" w:rsidRPr="004A2D77" w:rsidRDefault="00863BDD" w:rsidP="00680018">
      <w:pPr>
        <w:spacing w:after="120" w:line="480" w:lineRule="auto"/>
        <w:jc w:val="both"/>
        <w:rPr>
          <w:rFonts w:ascii="Times New Roman" w:hAnsi="Times New Roman" w:cs="Times New Roman"/>
          <w:sz w:val="24"/>
          <w:szCs w:val="24"/>
          <w:lang w:val="en-US"/>
        </w:rPr>
      </w:pPr>
    </w:p>
    <w:p w14:paraId="7759AF8C" w14:textId="4D25964E" w:rsidR="00E2592D" w:rsidRPr="00060970" w:rsidRDefault="00836841" w:rsidP="00680018">
      <w:pPr>
        <w:spacing w:after="120" w:line="480" w:lineRule="auto"/>
        <w:jc w:val="both"/>
        <w:rPr>
          <w:rFonts w:ascii="Times New Roman" w:hAnsi="Times New Roman" w:cs="Times New Roman"/>
          <w:bCs/>
          <w:sz w:val="24"/>
          <w:szCs w:val="24"/>
          <w:lang w:val="en-US"/>
        </w:rPr>
      </w:pPr>
      <w:r w:rsidRPr="00060970">
        <w:rPr>
          <w:rFonts w:ascii="Times New Roman" w:hAnsi="Times New Roman" w:cs="Times New Roman"/>
          <w:bCs/>
          <w:sz w:val="24"/>
          <w:szCs w:val="24"/>
          <w:lang w:val="en-US"/>
        </w:rPr>
        <w:t xml:space="preserve">3. </w:t>
      </w:r>
      <w:r w:rsidR="00E2592D" w:rsidRPr="00060970">
        <w:rPr>
          <w:rFonts w:ascii="Times New Roman" w:hAnsi="Times New Roman" w:cs="Times New Roman"/>
          <w:bCs/>
          <w:sz w:val="24"/>
          <w:szCs w:val="24"/>
          <w:lang w:val="en-US"/>
        </w:rPr>
        <w:t>Electrode and stack</w:t>
      </w:r>
    </w:p>
    <w:p w14:paraId="46B08273" w14:textId="3642555A" w:rsidR="005960C2" w:rsidRPr="004A2D77" w:rsidRDefault="00743E0D" w:rsidP="005960C2">
      <w:pPr>
        <w:spacing w:after="120" w:line="480" w:lineRule="auto"/>
        <w:jc w:val="both"/>
        <w:rPr>
          <w:rFonts w:ascii="Times New Roman" w:hAnsi="Times New Roman" w:cs="Times New Roman"/>
          <w:sz w:val="24"/>
          <w:szCs w:val="24"/>
          <w:lang w:val="en-US"/>
        </w:rPr>
      </w:pPr>
      <w:r w:rsidRPr="00046EC7">
        <w:rPr>
          <w:rFonts w:ascii="Times New Roman" w:hAnsi="Times New Roman" w:cs="Times New Roman"/>
          <w:bCs/>
          <w:sz w:val="24"/>
          <w:szCs w:val="24"/>
          <w:lang w:val="en-US"/>
        </w:rPr>
        <w:t>Figure 2a shows an example of a RFB reactor of 5 bipolar cells used for the polysul</w:t>
      </w:r>
      <w:r w:rsidR="004A2D77" w:rsidRPr="00046EC7">
        <w:rPr>
          <w:rFonts w:ascii="Times New Roman" w:hAnsi="Times New Roman" w:cs="Times New Roman"/>
          <w:bCs/>
          <w:sz w:val="24"/>
          <w:szCs w:val="24"/>
          <w:lang w:val="en-US"/>
        </w:rPr>
        <w:t>fide</w:t>
      </w:r>
      <w:r w:rsidRPr="00046EC7">
        <w:rPr>
          <w:rFonts w:ascii="Times New Roman" w:hAnsi="Times New Roman" w:cs="Times New Roman"/>
          <w:bCs/>
          <w:sz w:val="24"/>
          <w:szCs w:val="24"/>
          <w:lang w:val="en-US"/>
        </w:rPr>
        <w:t xml:space="preserve">/bromide energy storage system. The schematic image shows the manifolds for the electrolyte inlet and outlet as well as the current collectors. In this system the cells are over 1.5 m height and the length </w:t>
      </w:r>
      <w:r w:rsidR="00046EC7" w:rsidRPr="00046EC7">
        <w:rPr>
          <w:rFonts w:ascii="Times New Roman" w:hAnsi="Times New Roman" w:cs="Times New Roman"/>
          <w:bCs/>
          <w:sz w:val="24"/>
          <w:szCs w:val="24"/>
          <w:lang w:val="en-US"/>
        </w:rPr>
        <w:t>depend</w:t>
      </w:r>
      <w:r w:rsidRPr="00046EC7">
        <w:rPr>
          <w:rFonts w:ascii="Times New Roman" w:hAnsi="Times New Roman" w:cs="Times New Roman"/>
          <w:bCs/>
          <w:sz w:val="24"/>
          <w:szCs w:val="24"/>
          <w:lang w:val="en-US"/>
        </w:rPr>
        <w:t xml:space="preserve"> on the number of bipolar cells assembled in the module, which could be up to 200 bipolar cells. </w:t>
      </w:r>
      <w:r w:rsidR="003B4B9D" w:rsidRPr="00046EC7">
        <w:rPr>
          <w:rFonts w:ascii="Times New Roman" w:hAnsi="Times New Roman" w:cs="Times New Roman"/>
          <w:bCs/>
          <w:sz w:val="24"/>
          <w:szCs w:val="24"/>
          <w:lang w:val="en-US"/>
        </w:rPr>
        <w:t>In the example of Figure 2a, th</w:t>
      </w:r>
      <w:r w:rsidRPr="00046EC7">
        <w:rPr>
          <w:rFonts w:ascii="Times New Roman" w:hAnsi="Times New Roman" w:cs="Times New Roman"/>
          <w:bCs/>
          <w:sz w:val="24"/>
          <w:szCs w:val="24"/>
          <w:lang w:val="en-US"/>
        </w:rPr>
        <w:t>e bipolar electrodes measure approximately 66.8 cm × 108.0 cm which resulted in a projected area of 0.72 m</w:t>
      </w:r>
      <w:r w:rsidRPr="00046EC7">
        <w:rPr>
          <w:rFonts w:ascii="Times New Roman" w:hAnsi="Times New Roman" w:cs="Times New Roman"/>
          <w:bCs/>
          <w:sz w:val="24"/>
          <w:szCs w:val="24"/>
          <w:vertAlign w:val="superscript"/>
          <w:lang w:val="en-US"/>
        </w:rPr>
        <w:t>2</w:t>
      </w:r>
      <w:r w:rsidRPr="00046EC7">
        <w:rPr>
          <w:rFonts w:ascii="Times New Roman" w:hAnsi="Times New Roman" w:cs="Times New Roman"/>
          <w:bCs/>
          <w:sz w:val="24"/>
          <w:szCs w:val="24"/>
          <w:lang w:val="en-US"/>
        </w:rPr>
        <w:t xml:space="preserve">. One of the most distinctive characteristic of this system is the 0.2 cm inter-electrode </w:t>
      </w:r>
      <w:r w:rsidR="005960C2" w:rsidRPr="00046EC7">
        <w:rPr>
          <w:rFonts w:ascii="Times New Roman" w:hAnsi="Times New Roman" w:cs="Times New Roman"/>
          <w:bCs/>
          <w:sz w:val="24"/>
          <w:szCs w:val="24"/>
          <w:lang w:val="en-US"/>
        </w:rPr>
        <w:t>gap that</w:t>
      </w:r>
      <w:r w:rsidRPr="00046EC7">
        <w:rPr>
          <w:rFonts w:ascii="Times New Roman" w:hAnsi="Times New Roman" w:cs="Times New Roman"/>
          <w:bCs/>
          <w:sz w:val="24"/>
          <w:szCs w:val="24"/>
          <w:lang w:val="en-US"/>
        </w:rPr>
        <w:t xml:space="preserve"> allowed to accommodate a </w:t>
      </w:r>
      <w:proofErr w:type="spellStart"/>
      <w:r w:rsidRPr="00046EC7">
        <w:rPr>
          <w:rFonts w:ascii="Times New Roman" w:hAnsi="Times New Roman" w:cs="Times New Roman"/>
          <w:bCs/>
          <w:sz w:val="24"/>
          <w:szCs w:val="24"/>
          <w:lang w:val="en-US"/>
        </w:rPr>
        <w:t>Nafion</w:t>
      </w:r>
      <w:proofErr w:type="spellEnd"/>
      <w:r w:rsidRPr="00046EC7">
        <w:rPr>
          <w:rFonts w:ascii="Times New Roman" w:hAnsi="Times New Roman" w:cs="Times New Roman"/>
          <w:bCs/>
          <w:sz w:val="24"/>
          <w:szCs w:val="24"/>
          <w:lang w:val="en-US"/>
        </w:rPr>
        <w:t>® 115 cation exchange membrane and two high-density polyolefin</w:t>
      </w:r>
      <w:r w:rsidRPr="004A2D77">
        <w:rPr>
          <w:rFonts w:ascii="Times New Roman" w:hAnsi="Times New Roman" w:cs="Times New Roman"/>
          <w:sz w:val="24"/>
          <w:szCs w:val="24"/>
          <w:lang w:val="en-US"/>
        </w:rPr>
        <w:t xml:space="preserve"> (HDPE, </w:t>
      </w:r>
      <w:proofErr w:type="spellStart"/>
      <w:r w:rsidRPr="004A2D77">
        <w:rPr>
          <w:rFonts w:ascii="Times New Roman" w:hAnsi="Times New Roman" w:cs="Times New Roman"/>
          <w:sz w:val="24"/>
          <w:szCs w:val="24"/>
          <w:lang w:val="en-US"/>
        </w:rPr>
        <w:t>Netlon</w:t>
      </w:r>
      <w:proofErr w:type="spellEnd"/>
      <w:r w:rsidRPr="004A2D77">
        <w:rPr>
          <w:rFonts w:ascii="Times New Roman" w:hAnsi="Times New Roman" w:cs="Times New Roman"/>
          <w:sz w:val="24"/>
          <w:szCs w:val="24"/>
          <w:lang w:val="en-US"/>
        </w:rPr>
        <w:t>™) turbulence promoter</w:t>
      </w:r>
      <w:r w:rsidR="005960C2" w:rsidRPr="004A2D77">
        <w:rPr>
          <w:rFonts w:ascii="Times New Roman" w:hAnsi="Times New Roman" w:cs="Times New Roman"/>
          <w:sz w:val="24"/>
          <w:szCs w:val="24"/>
          <w:lang w:val="en-US"/>
        </w:rPr>
        <w:t>,</w:t>
      </w:r>
      <w:r w:rsidRPr="004A2D77">
        <w:rPr>
          <w:rFonts w:ascii="Times New Roman" w:hAnsi="Times New Roman" w:cs="Times New Roman"/>
          <w:sz w:val="24"/>
          <w:szCs w:val="24"/>
          <w:lang w:val="en-US"/>
        </w:rPr>
        <w:t xml:space="preserve"> one in each side of the membrane as shown </w:t>
      </w:r>
      <w:r w:rsidRPr="00FC137B">
        <w:rPr>
          <w:rFonts w:ascii="Times New Roman" w:hAnsi="Times New Roman" w:cs="Times New Roman"/>
          <w:sz w:val="24"/>
          <w:szCs w:val="24"/>
          <w:lang w:val="en-US"/>
        </w:rPr>
        <w:t xml:space="preserve">in </w:t>
      </w:r>
      <w:r w:rsidR="005960C2" w:rsidRPr="00FC137B">
        <w:rPr>
          <w:rFonts w:ascii="Times New Roman" w:hAnsi="Times New Roman" w:cs="Times New Roman"/>
          <w:sz w:val="24"/>
          <w:szCs w:val="24"/>
          <w:lang w:val="en-US"/>
        </w:rPr>
        <w:t>Figure 2b</w:t>
      </w:r>
      <w:r w:rsidRPr="00FC137B">
        <w:rPr>
          <w:rFonts w:ascii="Times New Roman" w:hAnsi="Times New Roman" w:cs="Times New Roman"/>
          <w:sz w:val="24"/>
          <w:szCs w:val="24"/>
          <w:lang w:val="en-US"/>
        </w:rPr>
        <w:t>.</w:t>
      </w:r>
      <w:r w:rsidR="005960C2" w:rsidRPr="00FC137B">
        <w:rPr>
          <w:rFonts w:ascii="Times New Roman" w:hAnsi="Times New Roman" w:cs="Times New Roman"/>
          <w:sz w:val="24"/>
          <w:szCs w:val="24"/>
          <w:lang w:val="en-US"/>
        </w:rPr>
        <w:t xml:space="preserve"> An individual electrode frame in Figure 2c shows electrolyte</w:t>
      </w:r>
      <w:r w:rsidR="005960C2" w:rsidRPr="004A2D77">
        <w:rPr>
          <w:rFonts w:ascii="Times New Roman" w:hAnsi="Times New Roman" w:cs="Times New Roman"/>
          <w:sz w:val="24"/>
          <w:szCs w:val="24"/>
          <w:lang w:val="en-US"/>
        </w:rPr>
        <w:t xml:space="preserve"> inlets and outlets of 6.3 cm internal diameter that the manifolds to transport the electrolyte to each compartment when </w:t>
      </w:r>
      <w:r w:rsidR="00FC137B" w:rsidRPr="004A2D77">
        <w:rPr>
          <w:rFonts w:ascii="Times New Roman" w:hAnsi="Times New Roman" w:cs="Times New Roman"/>
          <w:sz w:val="24"/>
          <w:szCs w:val="24"/>
          <w:lang w:val="en-US"/>
        </w:rPr>
        <w:t>several</w:t>
      </w:r>
      <w:r w:rsidR="005960C2" w:rsidRPr="004A2D77">
        <w:rPr>
          <w:rFonts w:ascii="Times New Roman" w:hAnsi="Times New Roman" w:cs="Times New Roman"/>
          <w:sz w:val="24"/>
          <w:szCs w:val="24"/>
          <w:lang w:val="en-US"/>
        </w:rPr>
        <w:t xml:space="preserve"> frames stack together to form the module. The spiral in the manifold were designed to reduce the bypass current and make the system more efficient by avoiding loss of current between the electrolyte circuit and the electrode compartments.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25D5D" w:rsidRPr="004A2D77" w14:paraId="38A3CA62" w14:textId="77777777" w:rsidTr="00A25D5D">
        <w:tc>
          <w:tcPr>
            <w:tcW w:w="9016" w:type="dxa"/>
          </w:tcPr>
          <w:p w14:paraId="7C894187" w14:textId="77777777" w:rsidR="00A25D5D" w:rsidRPr="004A2D77" w:rsidRDefault="00A25D5D" w:rsidP="00A25D5D">
            <w:pPr>
              <w:spacing w:after="120" w:line="480" w:lineRule="auto"/>
              <w:jc w:val="center"/>
              <w:rPr>
                <w:rFonts w:ascii="Times New Roman" w:hAnsi="Times New Roman" w:cs="Times New Roman"/>
                <w:sz w:val="24"/>
                <w:szCs w:val="24"/>
                <w:lang w:val="en-US"/>
              </w:rPr>
            </w:pPr>
            <w:r w:rsidRPr="004A2D77">
              <w:rPr>
                <w:rFonts w:ascii="Times New Roman" w:hAnsi="Times New Roman" w:cs="Times New Roman"/>
                <w:noProof/>
                <w:sz w:val="24"/>
                <w:szCs w:val="24"/>
                <w:lang w:eastAsia="en-GB"/>
              </w:rPr>
              <w:lastRenderedPageBreak/>
              <w:drawing>
                <wp:inline distT="0" distB="0" distL="0" distR="0" wp14:anchorId="32643681" wp14:editId="498BB087">
                  <wp:extent cx="5616000" cy="44964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6000" cy="4496448"/>
                          </a:xfrm>
                          <a:prstGeom prst="rect">
                            <a:avLst/>
                          </a:prstGeom>
                          <a:noFill/>
                        </pic:spPr>
                      </pic:pic>
                    </a:graphicData>
                  </a:graphic>
                </wp:inline>
              </w:drawing>
            </w:r>
          </w:p>
        </w:tc>
      </w:tr>
      <w:tr w:rsidR="00A25D5D" w:rsidRPr="004A2D77" w14:paraId="2644134F" w14:textId="77777777" w:rsidTr="00A25D5D">
        <w:tc>
          <w:tcPr>
            <w:tcW w:w="9016" w:type="dxa"/>
          </w:tcPr>
          <w:p w14:paraId="7E97F2A1" w14:textId="377B3945" w:rsidR="00A25D5D" w:rsidRPr="00400C02" w:rsidRDefault="00A25D5D" w:rsidP="001A1237">
            <w:pPr>
              <w:spacing w:after="120"/>
              <w:jc w:val="center"/>
              <w:rPr>
                <w:rFonts w:ascii="Times New Roman" w:hAnsi="Times New Roman" w:cs="Times New Roman"/>
                <w:bCs/>
                <w:sz w:val="24"/>
                <w:szCs w:val="24"/>
                <w:lang w:val="en-US"/>
              </w:rPr>
            </w:pPr>
            <w:r w:rsidRPr="00400C02">
              <w:rPr>
                <w:rFonts w:ascii="Times New Roman" w:hAnsi="Times New Roman" w:cs="Times New Roman"/>
                <w:bCs/>
                <w:sz w:val="24"/>
                <w:szCs w:val="24"/>
                <w:lang w:val="en-US"/>
              </w:rPr>
              <w:t>a</w:t>
            </w:r>
            <w:r w:rsidR="00945AF8" w:rsidRPr="00400C02">
              <w:rPr>
                <w:rFonts w:ascii="Times New Roman" w:hAnsi="Times New Roman" w:cs="Times New Roman"/>
                <w:bCs/>
                <w:sz w:val="24"/>
                <w:szCs w:val="24"/>
                <w:lang w:val="en-US"/>
              </w:rPr>
              <w:t>)</w:t>
            </w:r>
          </w:p>
        </w:tc>
      </w:tr>
    </w:tbl>
    <w:p w14:paraId="1CA58B41" w14:textId="77777777" w:rsidR="005960C2" w:rsidRPr="004A2D77" w:rsidRDefault="005960C2" w:rsidP="00A25D5D">
      <w:pPr>
        <w:spacing w:after="120" w:line="480" w:lineRule="auto"/>
        <w:jc w:val="center"/>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65786" w:rsidRPr="004A2D77" w14:paraId="31939428" w14:textId="77777777" w:rsidTr="00365786">
        <w:tc>
          <w:tcPr>
            <w:tcW w:w="8957" w:type="dxa"/>
          </w:tcPr>
          <w:p w14:paraId="15DBF004" w14:textId="77777777" w:rsidR="00365786" w:rsidRPr="004A2D77" w:rsidRDefault="00365786" w:rsidP="00A25D5D">
            <w:pPr>
              <w:spacing w:after="120" w:line="480" w:lineRule="auto"/>
              <w:jc w:val="center"/>
              <w:rPr>
                <w:rFonts w:ascii="Times New Roman" w:hAnsi="Times New Roman" w:cs="Times New Roman"/>
                <w:sz w:val="24"/>
                <w:szCs w:val="24"/>
                <w:lang w:val="en-US"/>
              </w:rPr>
            </w:pPr>
            <w:r w:rsidRPr="004A2D77">
              <w:rPr>
                <w:rFonts w:ascii="Times New Roman" w:hAnsi="Times New Roman" w:cs="Times New Roman"/>
                <w:noProof/>
                <w:sz w:val="24"/>
                <w:szCs w:val="24"/>
                <w:lang w:eastAsia="en-GB"/>
              </w:rPr>
              <w:lastRenderedPageBreak/>
              <w:drawing>
                <wp:inline distT="0" distB="0" distL="0" distR="0" wp14:anchorId="0F0017B1" wp14:editId="1199A351">
                  <wp:extent cx="5500462" cy="525600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0462" cy="5256000"/>
                          </a:xfrm>
                          <a:prstGeom prst="rect">
                            <a:avLst/>
                          </a:prstGeom>
                          <a:noFill/>
                        </pic:spPr>
                      </pic:pic>
                    </a:graphicData>
                  </a:graphic>
                </wp:inline>
              </w:drawing>
            </w:r>
          </w:p>
        </w:tc>
      </w:tr>
      <w:tr w:rsidR="00365786" w:rsidRPr="004A2D77" w14:paraId="0AB393DA" w14:textId="77777777" w:rsidTr="00365786">
        <w:tc>
          <w:tcPr>
            <w:tcW w:w="9016" w:type="dxa"/>
          </w:tcPr>
          <w:p w14:paraId="05A7A00C" w14:textId="7D01FAAB" w:rsidR="00365786" w:rsidRPr="00400C02" w:rsidRDefault="00365786" w:rsidP="009C5376">
            <w:pPr>
              <w:spacing w:after="120"/>
              <w:jc w:val="center"/>
              <w:rPr>
                <w:rFonts w:ascii="Times New Roman" w:hAnsi="Times New Roman" w:cs="Times New Roman"/>
                <w:bCs/>
                <w:sz w:val="24"/>
                <w:szCs w:val="24"/>
                <w:lang w:val="en-US"/>
              </w:rPr>
            </w:pPr>
            <w:r w:rsidRPr="00400C02">
              <w:rPr>
                <w:rFonts w:ascii="Times New Roman" w:hAnsi="Times New Roman" w:cs="Times New Roman"/>
                <w:bCs/>
                <w:sz w:val="24"/>
                <w:szCs w:val="24"/>
                <w:lang w:val="en-US"/>
              </w:rPr>
              <w:t>b</w:t>
            </w:r>
            <w:r w:rsidR="009C5376" w:rsidRPr="00400C02">
              <w:rPr>
                <w:rFonts w:ascii="Times New Roman" w:hAnsi="Times New Roman" w:cs="Times New Roman"/>
                <w:bCs/>
                <w:sz w:val="24"/>
                <w:szCs w:val="24"/>
                <w:lang w:val="en-US"/>
              </w:rPr>
              <w:t>)</w:t>
            </w:r>
          </w:p>
        </w:tc>
      </w:tr>
    </w:tbl>
    <w:p w14:paraId="263BBB1C" w14:textId="77777777" w:rsidR="00365786" w:rsidRPr="004A2D77" w:rsidRDefault="00365786" w:rsidP="00A25D5D">
      <w:pPr>
        <w:spacing w:after="120" w:line="480" w:lineRule="auto"/>
        <w:jc w:val="center"/>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65786" w:rsidRPr="004A2D77" w14:paraId="163E6A57" w14:textId="77777777" w:rsidTr="00355CAD">
        <w:tc>
          <w:tcPr>
            <w:tcW w:w="9016" w:type="dxa"/>
          </w:tcPr>
          <w:p w14:paraId="5C85DB64" w14:textId="77777777" w:rsidR="00365786" w:rsidRPr="004A2D77" w:rsidRDefault="00365786" w:rsidP="00365786">
            <w:pPr>
              <w:spacing w:after="120"/>
              <w:jc w:val="center"/>
              <w:rPr>
                <w:rFonts w:ascii="Times New Roman" w:hAnsi="Times New Roman" w:cs="Times New Roman"/>
                <w:sz w:val="24"/>
                <w:szCs w:val="24"/>
                <w:lang w:val="en-US"/>
              </w:rPr>
            </w:pPr>
            <w:r w:rsidRPr="004A2D77">
              <w:rPr>
                <w:rFonts w:ascii="Times New Roman" w:hAnsi="Times New Roman" w:cs="Times New Roman"/>
                <w:noProof/>
                <w:sz w:val="24"/>
                <w:szCs w:val="24"/>
                <w:lang w:eastAsia="en-GB"/>
              </w:rPr>
              <w:lastRenderedPageBreak/>
              <w:drawing>
                <wp:inline distT="0" distB="0" distL="0" distR="0" wp14:anchorId="4E1B0EE0" wp14:editId="7F1686E8">
                  <wp:extent cx="4852800" cy="745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2800" cy="7459200"/>
                          </a:xfrm>
                          <a:prstGeom prst="rect">
                            <a:avLst/>
                          </a:prstGeom>
                          <a:noFill/>
                        </pic:spPr>
                      </pic:pic>
                    </a:graphicData>
                  </a:graphic>
                </wp:inline>
              </w:drawing>
            </w:r>
          </w:p>
        </w:tc>
      </w:tr>
      <w:tr w:rsidR="00D84EDD" w:rsidRPr="00400C02" w14:paraId="1C9402CA" w14:textId="77777777" w:rsidTr="00355CAD">
        <w:tc>
          <w:tcPr>
            <w:tcW w:w="9016" w:type="dxa"/>
          </w:tcPr>
          <w:p w14:paraId="7F5936B0" w14:textId="3C1B2833" w:rsidR="001A1237" w:rsidRPr="00400C02" w:rsidRDefault="00D84EDD" w:rsidP="00BE676D">
            <w:pPr>
              <w:spacing w:after="120"/>
              <w:jc w:val="both"/>
              <w:rPr>
                <w:rFonts w:ascii="Times New Roman" w:hAnsi="Times New Roman" w:cs="Times New Roman"/>
                <w:bCs/>
                <w:noProof/>
                <w:sz w:val="24"/>
                <w:szCs w:val="24"/>
                <w:lang w:eastAsia="en-GB"/>
              </w:rPr>
            </w:pPr>
            <w:r w:rsidRPr="00400C02">
              <w:rPr>
                <w:rFonts w:ascii="Times New Roman" w:hAnsi="Times New Roman" w:cs="Times New Roman"/>
                <w:bCs/>
                <w:sz w:val="24"/>
                <w:szCs w:val="24"/>
                <w:lang w:val="en-US"/>
              </w:rPr>
              <w:t>Figure 2</w:t>
            </w:r>
            <w:r w:rsidR="00945AF8" w:rsidRPr="00400C02">
              <w:rPr>
                <w:rFonts w:ascii="Times New Roman" w:hAnsi="Times New Roman" w:cs="Times New Roman"/>
                <w:bCs/>
                <w:sz w:val="24"/>
                <w:szCs w:val="24"/>
                <w:lang w:val="en-US"/>
              </w:rPr>
              <w:t xml:space="preserve">. </w:t>
            </w:r>
            <w:r w:rsidRPr="00400C02">
              <w:rPr>
                <w:rFonts w:ascii="Times New Roman" w:hAnsi="Times New Roman" w:cs="Times New Roman"/>
                <w:bCs/>
                <w:sz w:val="24"/>
                <w:szCs w:val="24"/>
                <w:lang w:val="en-US"/>
              </w:rPr>
              <w:t>a</w:t>
            </w:r>
            <w:r w:rsidR="008167E0" w:rsidRPr="00400C02">
              <w:rPr>
                <w:rFonts w:ascii="Times New Roman" w:hAnsi="Times New Roman" w:cs="Times New Roman"/>
                <w:bCs/>
                <w:sz w:val="24"/>
                <w:szCs w:val="24"/>
                <w:lang w:val="en-US"/>
              </w:rPr>
              <w:t>)</w:t>
            </w:r>
            <w:r w:rsidRPr="00400C02">
              <w:rPr>
                <w:rFonts w:ascii="Times New Roman" w:hAnsi="Times New Roman" w:cs="Times New Roman"/>
                <w:bCs/>
                <w:sz w:val="24"/>
                <w:szCs w:val="24"/>
                <w:lang w:val="en-US"/>
              </w:rPr>
              <w:t xml:space="preserve"> Lateral view of the reactor showing the inlet and outlet manifolds and the location of the current collectors. Not to scale. </w:t>
            </w:r>
            <w:r w:rsidR="001A1237" w:rsidRPr="00400C02">
              <w:rPr>
                <w:rFonts w:ascii="Times New Roman" w:hAnsi="Times New Roman" w:cs="Times New Roman"/>
                <w:bCs/>
                <w:sz w:val="24"/>
                <w:szCs w:val="24"/>
                <w:lang w:val="en-US"/>
              </w:rPr>
              <w:t>b</w:t>
            </w:r>
            <w:r w:rsidR="008167E0" w:rsidRPr="00400C02">
              <w:rPr>
                <w:rFonts w:ascii="Times New Roman" w:hAnsi="Times New Roman" w:cs="Times New Roman"/>
                <w:bCs/>
                <w:sz w:val="24"/>
                <w:szCs w:val="24"/>
                <w:lang w:val="en-US"/>
              </w:rPr>
              <w:t>)</w:t>
            </w:r>
            <w:r w:rsidR="001A1237" w:rsidRPr="00400C02">
              <w:rPr>
                <w:rFonts w:ascii="Times New Roman" w:hAnsi="Times New Roman" w:cs="Times New Roman"/>
                <w:bCs/>
                <w:sz w:val="24"/>
                <w:szCs w:val="24"/>
                <w:lang w:val="en-US"/>
              </w:rPr>
              <w:t xml:space="preserve"> Details of a bipolar cell showing the main components. Not to scale. The dimensions are nominal. </w:t>
            </w:r>
            <w:r w:rsidR="002F047D" w:rsidRPr="00400C02">
              <w:rPr>
                <w:rFonts w:ascii="Times New Roman" w:hAnsi="Times New Roman" w:cs="Times New Roman"/>
                <w:bCs/>
                <w:sz w:val="24"/>
                <w:szCs w:val="24"/>
                <w:lang w:val="en-US"/>
              </w:rPr>
              <w:t>c</w:t>
            </w:r>
            <w:r w:rsidR="00BE676D" w:rsidRPr="00400C02">
              <w:rPr>
                <w:rFonts w:ascii="Times New Roman" w:hAnsi="Times New Roman" w:cs="Times New Roman"/>
                <w:bCs/>
                <w:sz w:val="24"/>
                <w:szCs w:val="24"/>
                <w:lang w:val="en-US"/>
              </w:rPr>
              <w:t>)</w:t>
            </w:r>
            <w:r w:rsidR="002F047D" w:rsidRPr="00400C02">
              <w:rPr>
                <w:rFonts w:ascii="Times New Roman" w:hAnsi="Times New Roman" w:cs="Times New Roman"/>
                <w:bCs/>
                <w:sz w:val="24"/>
                <w:szCs w:val="24"/>
                <w:lang w:val="en-US"/>
              </w:rPr>
              <w:t xml:space="preserve"> Electrode configuration showing the location of the spirals and the projected electrode area. With permission from Elsevier.</w:t>
            </w:r>
          </w:p>
        </w:tc>
      </w:tr>
    </w:tbl>
    <w:p w14:paraId="4E716B95" w14:textId="77777777" w:rsidR="00C14B2D" w:rsidRPr="004A2D77" w:rsidRDefault="00C14B2D" w:rsidP="00EE7EBF">
      <w:pPr>
        <w:spacing w:after="120" w:line="480" w:lineRule="auto"/>
        <w:jc w:val="both"/>
        <w:rPr>
          <w:rFonts w:ascii="Times New Roman" w:hAnsi="Times New Roman" w:cs="Times New Roman"/>
          <w:b/>
          <w:sz w:val="24"/>
          <w:szCs w:val="24"/>
          <w:lang w:val="en-US"/>
        </w:rPr>
      </w:pPr>
    </w:p>
    <w:p w14:paraId="55C20E23" w14:textId="3F2ED026" w:rsidR="005D03E6" w:rsidRPr="00060970" w:rsidRDefault="00780B94" w:rsidP="00EE7EBF">
      <w:pPr>
        <w:spacing w:after="120" w:line="480" w:lineRule="auto"/>
        <w:jc w:val="both"/>
        <w:rPr>
          <w:rFonts w:ascii="Times New Roman" w:hAnsi="Times New Roman" w:cs="Times New Roman"/>
          <w:bCs/>
          <w:sz w:val="24"/>
          <w:szCs w:val="24"/>
          <w:lang w:val="en-US"/>
        </w:rPr>
      </w:pPr>
      <w:r w:rsidRPr="00060970">
        <w:rPr>
          <w:rFonts w:ascii="Times New Roman" w:hAnsi="Times New Roman" w:cs="Times New Roman"/>
          <w:bCs/>
          <w:sz w:val="24"/>
          <w:szCs w:val="24"/>
          <w:lang w:val="en-US"/>
        </w:rPr>
        <w:lastRenderedPageBreak/>
        <w:t xml:space="preserve">4. </w:t>
      </w:r>
      <w:r w:rsidR="005D03E6" w:rsidRPr="00060970">
        <w:rPr>
          <w:rFonts w:ascii="Times New Roman" w:hAnsi="Times New Roman" w:cs="Times New Roman"/>
          <w:bCs/>
          <w:sz w:val="24"/>
          <w:szCs w:val="24"/>
          <w:lang w:val="en-US"/>
        </w:rPr>
        <w:t>Figures of merit</w:t>
      </w:r>
    </w:p>
    <w:p w14:paraId="10A54496" w14:textId="15CCE55D" w:rsidR="00F32194" w:rsidRPr="004A2D77" w:rsidRDefault="00F32194" w:rsidP="00EE7EBF">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 xml:space="preserve">The performance of the RFB is strongly influenced by several parameters that need to be </w:t>
      </w:r>
      <w:r w:rsidR="004A2D77" w:rsidRPr="004A2D77">
        <w:rPr>
          <w:rFonts w:ascii="Times New Roman" w:hAnsi="Times New Roman" w:cs="Times New Roman"/>
          <w:sz w:val="24"/>
          <w:szCs w:val="24"/>
          <w:lang w:val="en-US"/>
        </w:rPr>
        <w:t>minimized</w:t>
      </w:r>
      <w:r w:rsidRPr="004A2D77">
        <w:rPr>
          <w:rFonts w:ascii="Times New Roman" w:hAnsi="Times New Roman" w:cs="Times New Roman"/>
          <w:sz w:val="24"/>
          <w:szCs w:val="24"/>
          <w:lang w:val="en-US"/>
        </w:rPr>
        <w:t>: shunt (bypass or leakage) currents, uneven flow distribution, reactant back mixing and loss or decreased ionic conductivity due to water transfer through the membrane. The main parameters used to evaluate the performance are the figures of merit</w:t>
      </w:r>
      <w:r w:rsidR="00EE7EBF" w:rsidRPr="004A2D77">
        <w:rPr>
          <w:rFonts w:ascii="Times New Roman" w:hAnsi="Times New Roman" w:cs="Times New Roman"/>
          <w:sz w:val="24"/>
          <w:szCs w:val="24"/>
          <w:lang w:val="en-US"/>
        </w:rPr>
        <w:t xml:space="preserve"> that refer to the electrolyte volume, reactant conversion and state of charge</w:t>
      </w:r>
      <w:r w:rsidRPr="004A2D77">
        <w:rPr>
          <w:rFonts w:ascii="Times New Roman" w:hAnsi="Times New Roman" w:cs="Times New Roman"/>
          <w:sz w:val="24"/>
          <w:szCs w:val="24"/>
          <w:lang w:val="en-US"/>
        </w:rPr>
        <w:t>, some of the most common are:</w:t>
      </w:r>
    </w:p>
    <w:p w14:paraId="2F44E93D" w14:textId="77777777" w:rsidR="00EE7EBF" w:rsidRPr="004A2D77" w:rsidRDefault="008B7C80" w:rsidP="00EE7EBF">
      <w:pPr>
        <w:spacing w:after="120" w:line="480" w:lineRule="auto"/>
        <w:jc w:val="right"/>
        <w:rPr>
          <w:rFonts w:ascii="Times New Roman" w:eastAsia="Calibri" w:hAnsi="Times New Roman" w:cs="Times New Roman"/>
          <w:sz w:val="24"/>
          <w:szCs w:val="24"/>
          <w:lang w:val="en-US"/>
        </w:rPr>
      </w:pPr>
      <m:oMath>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V</m:t>
            </m:r>
          </m:sub>
        </m:sSub>
        <m:r>
          <m:rPr>
            <m:sty m:val="p"/>
          </m:rPr>
          <w:rPr>
            <w:rFonts w:ascii="Cambria Math" w:hAnsi="Cambria Math" w:cs="Cambria Math"/>
            <w:lang w:val="en-US"/>
          </w:rPr>
          <m:t>=</m:t>
        </m:r>
        <m:f>
          <m:fPr>
            <m:ctrlPr>
              <w:rPr>
                <w:rFonts w:ascii="Cambria Math" w:hAnsi="Cambria Math" w:cs="Cambria Math"/>
                <w:lang w:val="en-US"/>
              </w:rPr>
            </m:ctrlPr>
          </m:fPr>
          <m:num>
            <m:sSub>
              <m:sSubPr>
                <m:ctrlPr>
                  <w:rPr>
                    <w:rFonts w:ascii="Cambria Math" w:hAnsi="Cambria Math" w:cs="Cambria Math"/>
                    <w:i/>
                    <w:lang w:val="en-US"/>
                  </w:rPr>
                </m:ctrlPr>
              </m:sSubPr>
              <m:e>
                <m:r>
                  <w:rPr>
                    <w:rFonts w:ascii="Cambria Math" w:hAnsi="Cambria Math" w:cs="Cambria Math"/>
                    <w:lang w:val="en-US"/>
                  </w:rPr>
                  <m:t>V</m:t>
                </m:r>
              </m:e>
              <m:sub>
                <m:r>
                  <w:rPr>
                    <w:rFonts w:ascii="Cambria Math" w:hAnsi="Cambria Math" w:cs="Cambria Math"/>
                    <w:lang w:val="en-US"/>
                  </w:rPr>
                  <m:t>cc</m:t>
                </m:r>
              </m:sub>
            </m:sSub>
            <m:d>
              <m:dPr>
                <m:ctrlPr>
                  <w:rPr>
                    <w:rFonts w:ascii="Cambria Math" w:hAnsi="Cambria Math" w:cs="Cambria Math"/>
                    <w:i/>
                    <w:lang w:val="en-US"/>
                  </w:rPr>
                </m:ctrlPr>
              </m:dPr>
              <m:e>
                <m:r>
                  <w:rPr>
                    <w:rFonts w:ascii="Cambria Math" w:hAnsi="Cambria Math" w:cs="Cambria Math"/>
                    <w:lang w:val="en-US"/>
                  </w:rPr>
                  <m:t>discharge</m:t>
                </m:r>
              </m:e>
            </m:d>
          </m:num>
          <m:den>
            <m:sSub>
              <m:sSubPr>
                <m:ctrlPr>
                  <w:rPr>
                    <w:rFonts w:ascii="Cambria Math" w:hAnsi="Cambria Math" w:cs="Cambria Math"/>
                    <w:i/>
                    <w:lang w:val="en-US"/>
                  </w:rPr>
                </m:ctrlPr>
              </m:sSubPr>
              <m:e>
                <m:r>
                  <w:rPr>
                    <w:rFonts w:ascii="Cambria Math" w:hAnsi="Cambria Math" w:cs="Cambria Math"/>
                    <w:lang w:val="en-US"/>
                  </w:rPr>
                  <m:t>V</m:t>
                </m:r>
              </m:e>
              <m:sub>
                <m:r>
                  <w:rPr>
                    <w:rFonts w:ascii="Cambria Math" w:hAnsi="Cambria Math" w:cs="Cambria Math"/>
                    <w:lang w:val="en-US"/>
                  </w:rPr>
                  <m:t>cc</m:t>
                </m:r>
              </m:sub>
            </m:sSub>
            <m:d>
              <m:dPr>
                <m:ctrlPr>
                  <w:rPr>
                    <w:rFonts w:ascii="Cambria Math" w:hAnsi="Cambria Math" w:cs="Cambria Math"/>
                    <w:i/>
                    <w:lang w:val="en-US"/>
                  </w:rPr>
                </m:ctrlPr>
              </m:dPr>
              <m:e>
                <m:r>
                  <w:rPr>
                    <w:rFonts w:ascii="Cambria Math" w:hAnsi="Cambria Math" w:cs="Cambria Math"/>
                    <w:lang w:val="en-US"/>
                  </w:rPr>
                  <m:t>charge</m:t>
                </m:r>
              </m:e>
            </m:d>
          </m:den>
        </m:f>
      </m:oMath>
      <w:r w:rsidR="00EE7EBF" w:rsidRPr="004A2D77">
        <w:rPr>
          <w:rFonts w:eastAsia="Calibri"/>
          <w:lang w:val="en-US"/>
        </w:rPr>
        <w:tab/>
      </w:r>
      <w:r w:rsidR="00EE7EBF" w:rsidRPr="004A2D77">
        <w:rPr>
          <w:rFonts w:eastAsia="Calibri"/>
          <w:lang w:val="en-US"/>
        </w:rPr>
        <w:tab/>
      </w:r>
      <w:r w:rsidR="00EE7EBF" w:rsidRPr="004A2D77">
        <w:rPr>
          <w:rFonts w:eastAsia="Calibri"/>
          <w:lang w:val="en-US"/>
        </w:rPr>
        <w:tab/>
      </w:r>
      <w:r w:rsidR="00EE7EBF" w:rsidRPr="004A2D77">
        <w:rPr>
          <w:rFonts w:eastAsia="Calibri"/>
          <w:lang w:val="en-US"/>
        </w:rPr>
        <w:tab/>
      </w:r>
      <w:r w:rsidR="00EE7EBF" w:rsidRPr="004A2D77">
        <w:rPr>
          <w:rFonts w:eastAsia="Calibri"/>
          <w:lang w:val="en-US"/>
        </w:rPr>
        <w:tab/>
      </w:r>
      <w:r w:rsidR="00EE7EBF" w:rsidRPr="004A2D77">
        <w:rPr>
          <w:rFonts w:ascii="Times New Roman" w:eastAsia="Calibri" w:hAnsi="Times New Roman" w:cs="Times New Roman"/>
          <w:sz w:val="24"/>
          <w:szCs w:val="24"/>
          <w:lang w:val="en-US"/>
        </w:rPr>
        <w:t>(1)</w:t>
      </w:r>
    </w:p>
    <w:p w14:paraId="01B48C3A" w14:textId="77777777" w:rsidR="00EE7EBF" w:rsidRPr="004A2D77" w:rsidRDefault="00F32194" w:rsidP="00EE7EBF">
      <w:pPr>
        <w:spacing w:after="120" w:line="480" w:lineRule="auto"/>
        <w:jc w:val="right"/>
        <w:rPr>
          <w:rFonts w:ascii="Times New Roman" w:eastAsia="Calibri" w:hAnsi="Times New Roman" w:cs="Times New Roman"/>
          <w:sz w:val="24"/>
          <w:szCs w:val="24"/>
          <w:lang w:val="en-US"/>
        </w:rPr>
      </w:pPr>
      <w:r w:rsidRPr="004A2D77">
        <w:rPr>
          <w:rFonts w:ascii="Times New Roman" w:hAnsi="Times New Roman" w:cs="Times New Roman"/>
          <w:lang w:val="en-US"/>
        </w:rPr>
        <w:t xml:space="preserve"> </w:t>
      </w:r>
      <m:oMath>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C</m:t>
            </m:r>
          </m:sub>
        </m:sSub>
        <m:r>
          <m:rPr>
            <m:sty m:val="p"/>
          </m:rPr>
          <w:rPr>
            <w:rFonts w:ascii="Cambria Math" w:hAnsi="Cambria Math" w:cs="Cambria Math"/>
            <w:lang w:val="en-US"/>
          </w:rPr>
          <m:t>=</m:t>
        </m:r>
        <m:f>
          <m:fPr>
            <m:ctrlPr>
              <w:rPr>
                <w:rFonts w:ascii="Cambria Math" w:hAnsi="Cambria Math" w:cs="Cambria Math"/>
                <w:lang w:val="en-US"/>
              </w:rPr>
            </m:ctrlPr>
          </m:fPr>
          <m:num>
            <m:sSub>
              <m:sSubPr>
                <m:ctrlPr>
                  <w:rPr>
                    <w:rFonts w:ascii="Cambria Math" w:hAnsi="Cambria Math" w:cs="Cambria Math"/>
                    <w:i/>
                    <w:lang w:val="en-US"/>
                  </w:rPr>
                </m:ctrlPr>
              </m:sSubPr>
              <m:e>
                <m:r>
                  <w:rPr>
                    <w:rFonts w:ascii="Cambria Math" w:hAnsi="Cambria Math" w:cs="Cambria Math"/>
                    <w:lang w:val="en-US"/>
                  </w:rPr>
                  <m:t>Q</m:t>
                </m:r>
              </m:e>
              <m:sub/>
            </m:sSub>
            <m:d>
              <m:dPr>
                <m:ctrlPr>
                  <w:rPr>
                    <w:rFonts w:ascii="Cambria Math" w:hAnsi="Cambria Math" w:cs="Cambria Math"/>
                    <w:i/>
                    <w:lang w:val="en-US"/>
                  </w:rPr>
                </m:ctrlPr>
              </m:dPr>
              <m:e>
                <m:r>
                  <w:rPr>
                    <w:rFonts w:ascii="Cambria Math" w:hAnsi="Cambria Math" w:cs="Cambria Math"/>
                    <w:lang w:val="en-US"/>
                  </w:rPr>
                  <m:t>discharge</m:t>
                </m:r>
              </m:e>
            </m:d>
          </m:num>
          <m:den>
            <m:sSub>
              <m:sSubPr>
                <m:ctrlPr>
                  <w:rPr>
                    <w:rFonts w:ascii="Cambria Math" w:hAnsi="Cambria Math" w:cs="Cambria Math"/>
                    <w:i/>
                    <w:lang w:val="en-US"/>
                  </w:rPr>
                </m:ctrlPr>
              </m:sSubPr>
              <m:e>
                <m:r>
                  <w:rPr>
                    <w:rFonts w:ascii="Cambria Math" w:hAnsi="Cambria Math" w:cs="Cambria Math"/>
                    <w:lang w:val="en-US"/>
                  </w:rPr>
                  <m:t>Q</m:t>
                </m:r>
              </m:e>
              <m:sub/>
            </m:sSub>
            <m:d>
              <m:dPr>
                <m:ctrlPr>
                  <w:rPr>
                    <w:rFonts w:ascii="Cambria Math" w:hAnsi="Cambria Math" w:cs="Cambria Math"/>
                    <w:i/>
                    <w:lang w:val="en-US"/>
                  </w:rPr>
                </m:ctrlPr>
              </m:dPr>
              <m:e>
                <m:r>
                  <w:rPr>
                    <w:rFonts w:ascii="Cambria Math" w:hAnsi="Cambria Math" w:cs="Cambria Math"/>
                    <w:lang w:val="en-US"/>
                  </w:rPr>
                  <m:t>charge</m:t>
                </m:r>
              </m:e>
            </m:d>
          </m:den>
        </m:f>
      </m:oMath>
      <w:r w:rsidR="00EE7EBF" w:rsidRPr="004A2D77">
        <w:rPr>
          <w:rFonts w:ascii="Times New Roman" w:eastAsiaTheme="minorEastAsia" w:hAnsi="Times New Roman" w:cs="Times New Roman"/>
          <w:lang w:val="en-US"/>
        </w:rPr>
        <w:tab/>
      </w:r>
      <w:r w:rsidR="00EE7EBF" w:rsidRPr="004A2D77">
        <w:rPr>
          <w:rFonts w:ascii="Times New Roman" w:eastAsiaTheme="minorEastAsia" w:hAnsi="Times New Roman" w:cs="Times New Roman"/>
          <w:lang w:val="en-US"/>
        </w:rPr>
        <w:tab/>
      </w:r>
      <w:r w:rsidR="00EE7EBF" w:rsidRPr="004A2D77">
        <w:rPr>
          <w:rFonts w:ascii="Times New Roman" w:eastAsiaTheme="minorEastAsia" w:hAnsi="Times New Roman" w:cs="Times New Roman"/>
          <w:lang w:val="en-US"/>
        </w:rPr>
        <w:tab/>
      </w:r>
      <w:r w:rsidR="00EE7EBF" w:rsidRPr="004A2D77">
        <w:rPr>
          <w:rFonts w:ascii="Times New Roman" w:eastAsiaTheme="minorEastAsia" w:hAnsi="Times New Roman" w:cs="Times New Roman"/>
          <w:lang w:val="en-US"/>
        </w:rPr>
        <w:tab/>
      </w:r>
      <w:r w:rsidR="00EE7EBF" w:rsidRPr="004A2D77">
        <w:rPr>
          <w:rFonts w:ascii="Times New Roman" w:eastAsiaTheme="minorEastAsia" w:hAnsi="Times New Roman" w:cs="Times New Roman"/>
          <w:lang w:val="en-US"/>
        </w:rPr>
        <w:tab/>
      </w:r>
      <w:r w:rsidR="00EE7EBF" w:rsidRPr="004A2D77">
        <w:rPr>
          <w:rFonts w:ascii="Times New Roman" w:eastAsiaTheme="minorEastAsia" w:hAnsi="Times New Roman" w:cs="Times New Roman"/>
          <w:sz w:val="24"/>
          <w:szCs w:val="24"/>
          <w:lang w:val="en-US"/>
        </w:rPr>
        <w:t>(2)</w:t>
      </w:r>
    </w:p>
    <w:p w14:paraId="06742FFE" w14:textId="77777777" w:rsidR="00EE7EBF" w:rsidRPr="004A2D77" w:rsidRDefault="008B7C80" w:rsidP="00EE7EBF">
      <w:pPr>
        <w:spacing w:after="120" w:line="480" w:lineRule="auto"/>
        <w:jc w:val="right"/>
        <w:rPr>
          <w:rFonts w:ascii="Times New Roman" w:eastAsia="Calibri" w:hAnsi="Times New Roman" w:cs="Times New Roman"/>
          <w:sz w:val="24"/>
          <w:szCs w:val="24"/>
          <w:lang w:val="en-US"/>
        </w:rPr>
      </w:pPr>
      <m:oMath>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e</m:t>
            </m:r>
          </m:sub>
        </m:sSub>
        <m:r>
          <m:rPr>
            <m:sty m:val="p"/>
          </m:rPr>
          <w:rPr>
            <w:rFonts w:ascii="Cambria Math" w:hAnsi="Cambria Math" w:cs="Cambria Math"/>
            <w:lang w:val="en-US"/>
          </w:rPr>
          <m:t>=</m:t>
        </m:r>
        <m:f>
          <m:fPr>
            <m:ctrlPr>
              <w:rPr>
                <w:rFonts w:ascii="Cambria Math" w:hAnsi="Cambria Math" w:cs="Cambria Math"/>
                <w:lang w:val="en-US"/>
              </w:rPr>
            </m:ctrlPr>
          </m:fPr>
          <m:num>
            <m:r>
              <w:rPr>
                <w:rFonts w:ascii="Cambria Math" w:hAnsi="Cambria Math" w:cs="Cambria Math"/>
                <w:lang w:val="en-US"/>
              </w:rPr>
              <m:t>E</m:t>
            </m:r>
            <m:d>
              <m:dPr>
                <m:ctrlPr>
                  <w:rPr>
                    <w:rFonts w:ascii="Cambria Math" w:hAnsi="Cambria Math" w:cs="Cambria Math"/>
                    <w:i/>
                    <w:lang w:val="en-US"/>
                  </w:rPr>
                </m:ctrlPr>
              </m:dPr>
              <m:e>
                <m:r>
                  <w:rPr>
                    <w:rFonts w:ascii="Cambria Math" w:hAnsi="Cambria Math" w:cs="Cambria Math"/>
                    <w:lang w:val="en-US"/>
                  </w:rPr>
                  <m:t>discharge</m:t>
                </m:r>
              </m:e>
            </m:d>
          </m:num>
          <m:den>
            <m:r>
              <w:rPr>
                <w:rFonts w:ascii="Cambria Math" w:hAnsi="Cambria Math" w:cs="Cambria Math"/>
                <w:lang w:val="en-US"/>
              </w:rPr>
              <m:t>E</m:t>
            </m:r>
            <m:d>
              <m:dPr>
                <m:ctrlPr>
                  <w:rPr>
                    <w:rFonts w:ascii="Cambria Math" w:hAnsi="Cambria Math" w:cs="Cambria Math"/>
                    <w:i/>
                    <w:lang w:val="en-US"/>
                  </w:rPr>
                </m:ctrlPr>
              </m:dPr>
              <m:e>
                <m:r>
                  <w:rPr>
                    <w:rFonts w:ascii="Cambria Math" w:hAnsi="Cambria Math" w:cs="Cambria Math"/>
                    <w:lang w:val="en-US"/>
                  </w:rPr>
                  <m:t>charge</m:t>
                </m:r>
              </m:e>
            </m:d>
          </m:den>
        </m:f>
      </m:oMath>
      <w:r w:rsidR="00EE7EBF" w:rsidRPr="004A2D77">
        <w:rPr>
          <w:rFonts w:eastAsia="Calibri"/>
          <w:lang w:val="en-US"/>
        </w:rPr>
        <w:tab/>
      </w:r>
      <w:r w:rsidR="00EE7EBF" w:rsidRPr="004A2D77">
        <w:rPr>
          <w:rFonts w:eastAsia="Calibri"/>
          <w:lang w:val="en-US"/>
        </w:rPr>
        <w:tab/>
      </w:r>
      <w:r w:rsidR="00EE7EBF" w:rsidRPr="004A2D77">
        <w:rPr>
          <w:rFonts w:eastAsia="Calibri"/>
          <w:lang w:val="en-US"/>
        </w:rPr>
        <w:tab/>
      </w:r>
      <w:r w:rsidR="00EE7EBF" w:rsidRPr="004A2D77">
        <w:rPr>
          <w:rFonts w:eastAsia="Calibri"/>
          <w:lang w:val="en-US"/>
        </w:rPr>
        <w:tab/>
      </w:r>
      <w:r w:rsidR="00EE7EBF" w:rsidRPr="004A2D77">
        <w:rPr>
          <w:rFonts w:eastAsia="Calibri"/>
          <w:lang w:val="en-US"/>
        </w:rPr>
        <w:tab/>
      </w:r>
      <w:r w:rsidR="00EE7EBF" w:rsidRPr="004A2D77">
        <w:rPr>
          <w:rFonts w:ascii="Times New Roman" w:eastAsia="Calibri" w:hAnsi="Times New Roman" w:cs="Times New Roman"/>
          <w:sz w:val="24"/>
          <w:szCs w:val="24"/>
          <w:lang w:val="en-US"/>
        </w:rPr>
        <w:t>(3)</w:t>
      </w:r>
    </w:p>
    <w:p w14:paraId="3261C91E" w14:textId="77777777" w:rsidR="00EE7EBF" w:rsidRPr="004A2D77" w:rsidRDefault="008B7C80" w:rsidP="00EE7EBF">
      <w:pPr>
        <w:spacing w:after="120" w:line="480" w:lineRule="auto"/>
        <w:jc w:val="right"/>
        <w:rPr>
          <w:rFonts w:ascii="Times New Roman" w:eastAsia="Calibri" w:hAnsi="Times New Roman" w:cs="Times New Roman"/>
          <w:sz w:val="24"/>
          <w:szCs w:val="24"/>
          <w:lang w:val="en-US"/>
        </w:rPr>
      </w:pPr>
      <m:oMath>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P</m:t>
            </m:r>
          </m:sub>
        </m:sSub>
        <m:r>
          <m:rPr>
            <m:sty m:val="p"/>
          </m:rPr>
          <w:rPr>
            <w:rFonts w:ascii="Cambria Math" w:hAnsi="Cambria Math" w:cs="Cambria Math"/>
            <w:lang w:val="en-US"/>
          </w:rPr>
          <m:t>=</m:t>
        </m:r>
        <m:f>
          <m:fPr>
            <m:ctrlPr>
              <w:rPr>
                <w:rFonts w:ascii="Cambria Math" w:hAnsi="Cambria Math" w:cs="Cambria Math"/>
                <w:lang w:val="en-US"/>
              </w:rPr>
            </m:ctrlPr>
          </m:fPr>
          <m:num>
            <m:sSub>
              <m:sSubPr>
                <m:ctrlPr>
                  <w:rPr>
                    <w:rFonts w:ascii="Cambria Math" w:hAnsi="Cambria Math" w:cs="Cambria Math"/>
                    <w:i/>
                    <w:lang w:val="en-US"/>
                  </w:rPr>
                </m:ctrlPr>
              </m:sSubPr>
              <m:e>
                <m:r>
                  <w:rPr>
                    <w:rFonts w:ascii="Cambria Math" w:hAnsi="Cambria Math" w:cs="Cambria Math"/>
                    <w:lang w:val="en-US"/>
                  </w:rPr>
                  <m:t>IV</m:t>
                </m:r>
              </m:e>
              <m:sub>
                <m:r>
                  <w:rPr>
                    <w:rFonts w:ascii="Cambria Math" w:hAnsi="Cambria Math" w:cs="Cambria Math"/>
                    <w:lang w:val="en-US"/>
                  </w:rPr>
                  <m:t>cc</m:t>
                </m:r>
              </m:sub>
            </m:sSub>
            <m:d>
              <m:dPr>
                <m:ctrlPr>
                  <w:rPr>
                    <w:rFonts w:ascii="Cambria Math" w:hAnsi="Cambria Math" w:cs="Cambria Math"/>
                    <w:i/>
                    <w:lang w:val="en-US"/>
                  </w:rPr>
                </m:ctrlPr>
              </m:dPr>
              <m:e>
                <m:r>
                  <w:rPr>
                    <w:rFonts w:ascii="Cambria Math" w:hAnsi="Cambria Math" w:cs="Cambria Math"/>
                    <w:lang w:val="en-US"/>
                  </w:rPr>
                  <m:t>discharge</m:t>
                </m:r>
              </m:e>
            </m:d>
          </m:num>
          <m:den>
            <m:sSub>
              <m:sSubPr>
                <m:ctrlPr>
                  <w:rPr>
                    <w:rFonts w:ascii="Cambria Math" w:hAnsi="Cambria Math" w:cs="Cambria Math"/>
                    <w:i/>
                    <w:lang w:val="en-US"/>
                  </w:rPr>
                </m:ctrlPr>
              </m:sSubPr>
              <m:e>
                <m:r>
                  <w:rPr>
                    <w:rFonts w:ascii="Cambria Math" w:hAnsi="Cambria Math" w:cs="Cambria Math"/>
                    <w:lang w:val="en-US"/>
                  </w:rPr>
                  <m:t>IV</m:t>
                </m:r>
              </m:e>
              <m:sub>
                <m:r>
                  <w:rPr>
                    <w:rFonts w:ascii="Cambria Math" w:hAnsi="Cambria Math" w:cs="Cambria Math"/>
                    <w:lang w:val="en-US"/>
                  </w:rPr>
                  <m:t>cc</m:t>
                </m:r>
              </m:sub>
            </m:sSub>
            <m:d>
              <m:dPr>
                <m:ctrlPr>
                  <w:rPr>
                    <w:rFonts w:ascii="Cambria Math" w:hAnsi="Cambria Math" w:cs="Cambria Math"/>
                    <w:i/>
                    <w:lang w:val="en-US"/>
                  </w:rPr>
                </m:ctrlPr>
              </m:dPr>
              <m:e>
                <m:r>
                  <w:rPr>
                    <w:rFonts w:ascii="Cambria Math" w:hAnsi="Cambria Math" w:cs="Cambria Math"/>
                    <w:lang w:val="en-US"/>
                  </w:rPr>
                  <m:t>charge</m:t>
                </m:r>
              </m:e>
            </m:d>
          </m:den>
        </m:f>
      </m:oMath>
      <w:r w:rsidR="00EE7EBF" w:rsidRPr="004A2D77">
        <w:rPr>
          <w:rFonts w:eastAsia="Calibri"/>
          <w:lang w:val="en-US"/>
        </w:rPr>
        <w:tab/>
      </w:r>
      <w:r w:rsidR="00EE7EBF" w:rsidRPr="004A2D77">
        <w:rPr>
          <w:rFonts w:eastAsia="Calibri"/>
          <w:lang w:val="en-US"/>
        </w:rPr>
        <w:tab/>
      </w:r>
      <w:r w:rsidR="00EE7EBF" w:rsidRPr="004A2D77">
        <w:rPr>
          <w:rFonts w:eastAsia="Calibri"/>
          <w:lang w:val="en-US"/>
        </w:rPr>
        <w:tab/>
      </w:r>
      <w:r w:rsidR="00EE7EBF" w:rsidRPr="004A2D77">
        <w:rPr>
          <w:rFonts w:eastAsia="Calibri"/>
          <w:lang w:val="en-US"/>
        </w:rPr>
        <w:tab/>
      </w:r>
      <w:r w:rsidR="00EE7EBF" w:rsidRPr="004A2D77">
        <w:rPr>
          <w:rFonts w:eastAsia="Calibri"/>
          <w:lang w:val="en-US"/>
        </w:rPr>
        <w:tab/>
      </w:r>
      <w:r w:rsidR="00EE7EBF" w:rsidRPr="004A2D77">
        <w:rPr>
          <w:rFonts w:ascii="Times New Roman" w:eastAsia="Calibri" w:hAnsi="Times New Roman" w:cs="Times New Roman"/>
          <w:sz w:val="24"/>
          <w:szCs w:val="24"/>
          <w:lang w:val="en-US"/>
        </w:rPr>
        <w:t>(4)</w:t>
      </w:r>
    </w:p>
    <w:p w14:paraId="3899402C" w14:textId="49FB518F" w:rsidR="00811A07" w:rsidRDefault="005D03E6" w:rsidP="005D03E6">
      <w:pPr>
        <w:spacing w:after="120" w:line="480" w:lineRule="auto"/>
        <w:jc w:val="both"/>
        <w:rPr>
          <w:rFonts w:ascii="Times New Roman" w:hAnsi="Times New Roman" w:cs="Times New Roman"/>
          <w:sz w:val="24"/>
          <w:szCs w:val="24"/>
          <w:vertAlign w:val="subscript"/>
          <w:lang w:val="en-US"/>
        </w:rPr>
      </w:pPr>
      <w:r w:rsidRPr="004A2D77">
        <w:rPr>
          <w:rFonts w:ascii="Times New Roman" w:hAnsi="Times New Roman" w:cs="Times New Roman"/>
          <w:sz w:val="24"/>
          <w:szCs w:val="24"/>
          <w:lang w:val="en-US"/>
        </w:rPr>
        <w:t xml:space="preserve">Where </w:t>
      </w:r>
      <w:r w:rsidRPr="004A2D77">
        <w:rPr>
          <w:rFonts w:ascii="Times New Roman" w:hAnsi="Times New Roman" w:cs="Times New Roman"/>
          <w:i/>
          <w:sz w:val="24"/>
          <w:szCs w:val="24"/>
          <w:lang w:val="en-US"/>
        </w:rPr>
        <w:t>V</w:t>
      </w:r>
      <w:r w:rsidRPr="004A2D77">
        <w:rPr>
          <w:rFonts w:ascii="Times New Roman" w:hAnsi="Times New Roman" w:cs="Times New Roman"/>
          <w:sz w:val="24"/>
          <w:szCs w:val="24"/>
          <w:vertAlign w:val="subscript"/>
          <w:lang w:val="en-US"/>
        </w:rPr>
        <w:t>CC</w:t>
      </w:r>
      <w:r w:rsidRPr="004A2D77">
        <w:rPr>
          <w:rFonts w:ascii="Times New Roman" w:hAnsi="Times New Roman" w:cs="Times New Roman"/>
          <w:sz w:val="24"/>
          <w:szCs w:val="24"/>
          <w:lang w:val="en-US"/>
        </w:rPr>
        <w:t xml:space="preserve">(discharge) and </w:t>
      </w:r>
      <w:r w:rsidRPr="004A2D77">
        <w:rPr>
          <w:rFonts w:ascii="Times New Roman" w:hAnsi="Times New Roman" w:cs="Times New Roman"/>
          <w:i/>
          <w:sz w:val="24"/>
          <w:szCs w:val="24"/>
          <w:lang w:val="en-US"/>
        </w:rPr>
        <w:t>V</w:t>
      </w:r>
      <w:r w:rsidRPr="004A2D77">
        <w:rPr>
          <w:rFonts w:ascii="Times New Roman" w:hAnsi="Times New Roman" w:cs="Times New Roman"/>
          <w:sz w:val="24"/>
          <w:szCs w:val="24"/>
          <w:vertAlign w:val="subscript"/>
          <w:lang w:val="en-US"/>
        </w:rPr>
        <w:t>CC</w:t>
      </w:r>
      <w:r w:rsidRPr="004A2D77">
        <w:rPr>
          <w:rFonts w:ascii="Times New Roman" w:hAnsi="Times New Roman" w:cs="Times New Roman"/>
          <w:sz w:val="24"/>
          <w:szCs w:val="24"/>
          <w:lang w:val="en-US"/>
        </w:rPr>
        <w:t xml:space="preserve">(charge are the cell voltages during discharge and charge respectively and </w:t>
      </w:r>
      <w:r w:rsidRPr="004A2D77">
        <w:rPr>
          <w:rFonts w:ascii="Times New Roman" w:hAnsi="Times New Roman" w:cs="Times New Roman"/>
          <w:i/>
          <w:sz w:val="24"/>
          <w:szCs w:val="24"/>
          <w:lang w:val="en-US"/>
        </w:rPr>
        <w:sym w:font="Symbol" w:char="F068"/>
      </w:r>
      <w:r w:rsidRPr="004A2D77">
        <w:rPr>
          <w:rFonts w:ascii="Times New Roman" w:hAnsi="Times New Roman" w:cs="Times New Roman"/>
          <w:sz w:val="24"/>
          <w:szCs w:val="24"/>
          <w:vertAlign w:val="subscript"/>
          <w:lang w:val="en-US"/>
        </w:rPr>
        <w:t>V</w:t>
      </w:r>
      <w:r w:rsidRPr="004A2D77">
        <w:rPr>
          <w:rFonts w:ascii="Times New Roman" w:hAnsi="Times New Roman" w:cs="Times New Roman"/>
          <w:sz w:val="24"/>
          <w:szCs w:val="24"/>
          <w:lang w:val="en-US"/>
        </w:rPr>
        <w:t xml:space="preserve">, </w:t>
      </w:r>
      <w:r w:rsidRPr="004A2D77">
        <w:rPr>
          <w:rFonts w:ascii="Times New Roman" w:hAnsi="Times New Roman" w:cs="Times New Roman"/>
          <w:i/>
          <w:sz w:val="24"/>
          <w:szCs w:val="24"/>
          <w:lang w:val="en-US"/>
        </w:rPr>
        <w:sym w:font="Symbol" w:char="F068"/>
      </w:r>
      <w:r w:rsidRPr="004A2D77">
        <w:rPr>
          <w:rFonts w:ascii="Times New Roman" w:hAnsi="Times New Roman" w:cs="Times New Roman"/>
          <w:sz w:val="24"/>
          <w:szCs w:val="24"/>
          <w:vertAlign w:val="subscript"/>
          <w:lang w:val="en-US"/>
        </w:rPr>
        <w:t>C</w:t>
      </w:r>
      <w:r w:rsidRPr="004A2D77">
        <w:rPr>
          <w:rFonts w:ascii="Times New Roman" w:hAnsi="Times New Roman" w:cs="Times New Roman"/>
          <w:sz w:val="24"/>
          <w:szCs w:val="24"/>
          <w:lang w:val="en-US"/>
        </w:rPr>
        <w:t xml:space="preserve">, </w:t>
      </w:r>
      <w:r w:rsidRPr="004A2D77">
        <w:rPr>
          <w:rFonts w:ascii="Times New Roman" w:hAnsi="Times New Roman" w:cs="Times New Roman"/>
          <w:i/>
          <w:sz w:val="24"/>
          <w:szCs w:val="24"/>
          <w:lang w:val="en-US"/>
        </w:rPr>
        <w:sym w:font="Symbol" w:char="F068"/>
      </w:r>
      <w:r w:rsidRPr="004A2D77">
        <w:rPr>
          <w:rFonts w:ascii="Times New Roman" w:hAnsi="Times New Roman" w:cs="Times New Roman"/>
          <w:sz w:val="24"/>
          <w:szCs w:val="24"/>
          <w:vertAlign w:val="subscript"/>
          <w:lang w:val="en-US"/>
        </w:rPr>
        <w:t>e</w:t>
      </w:r>
      <w:r w:rsidRPr="004A2D77">
        <w:rPr>
          <w:rFonts w:ascii="Times New Roman" w:hAnsi="Times New Roman" w:cs="Times New Roman"/>
          <w:sz w:val="24"/>
          <w:szCs w:val="24"/>
          <w:lang w:val="en-US"/>
        </w:rPr>
        <w:t xml:space="preserve"> and </w:t>
      </w:r>
      <w:r w:rsidRPr="004A2D77">
        <w:rPr>
          <w:rFonts w:ascii="Times New Roman" w:hAnsi="Times New Roman" w:cs="Times New Roman"/>
          <w:i/>
          <w:sz w:val="24"/>
          <w:szCs w:val="24"/>
          <w:lang w:val="en-US"/>
        </w:rPr>
        <w:sym w:font="Symbol" w:char="F068"/>
      </w:r>
      <w:r w:rsidRPr="004A2D77">
        <w:rPr>
          <w:rFonts w:ascii="Times New Roman" w:hAnsi="Times New Roman" w:cs="Times New Roman"/>
          <w:sz w:val="24"/>
          <w:szCs w:val="24"/>
          <w:vertAlign w:val="subscript"/>
          <w:lang w:val="en-US"/>
        </w:rPr>
        <w:t>P</w:t>
      </w:r>
      <w:r w:rsidRPr="004A2D77">
        <w:rPr>
          <w:rFonts w:ascii="Times New Roman" w:hAnsi="Times New Roman" w:cs="Times New Roman"/>
          <w:sz w:val="24"/>
          <w:szCs w:val="24"/>
          <w:lang w:val="en-US"/>
        </w:rPr>
        <w:t xml:space="preserve">, are the voltage, coulombic, energy and power efficiencies while </w:t>
      </w:r>
      <w:r w:rsidRPr="004A2D77">
        <w:rPr>
          <w:rFonts w:ascii="Times New Roman" w:hAnsi="Times New Roman" w:cs="Times New Roman"/>
          <w:i/>
          <w:sz w:val="24"/>
          <w:szCs w:val="24"/>
          <w:lang w:val="en-US"/>
        </w:rPr>
        <w:t>E</w:t>
      </w:r>
      <w:r w:rsidRPr="004A2D77">
        <w:rPr>
          <w:rFonts w:ascii="Times New Roman" w:hAnsi="Times New Roman" w:cs="Times New Roman"/>
          <w:sz w:val="24"/>
          <w:szCs w:val="24"/>
          <w:lang w:val="en-US"/>
        </w:rPr>
        <w:t xml:space="preserve">, </w:t>
      </w:r>
      <w:r w:rsidRPr="004A2D77">
        <w:rPr>
          <w:rFonts w:ascii="Times New Roman" w:hAnsi="Times New Roman" w:cs="Times New Roman"/>
          <w:i/>
          <w:sz w:val="24"/>
          <w:szCs w:val="24"/>
          <w:lang w:val="en-US"/>
        </w:rPr>
        <w:t>I</w:t>
      </w:r>
      <w:r w:rsidRPr="004A2D77">
        <w:rPr>
          <w:rFonts w:ascii="Times New Roman" w:hAnsi="Times New Roman" w:cs="Times New Roman"/>
          <w:sz w:val="24"/>
          <w:szCs w:val="24"/>
          <w:lang w:val="en-US"/>
        </w:rPr>
        <w:t xml:space="preserve"> and </w:t>
      </w:r>
      <w:r w:rsidRPr="004A2D77">
        <w:rPr>
          <w:rFonts w:ascii="Times New Roman" w:hAnsi="Times New Roman" w:cs="Times New Roman"/>
          <w:i/>
          <w:sz w:val="24"/>
          <w:szCs w:val="24"/>
          <w:lang w:val="en-US"/>
        </w:rPr>
        <w:t>P</w:t>
      </w:r>
      <w:r w:rsidRPr="004A2D77">
        <w:rPr>
          <w:rFonts w:ascii="Times New Roman" w:hAnsi="Times New Roman" w:cs="Times New Roman"/>
          <w:sz w:val="24"/>
          <w:szCs w:val="24"/>
          <w:lang w:val="en-US"/>
        </w:rPr>
        <w:t xml:space="preserve"> are the energy, current and power. </w:t>
      </w:r>
      <w:r w:rsidR="00616B7F">
        <w:rPr>
          <w:rFonts w:ascii="Times New Roman" w:hAnsi="Times New Roman" w:cs="Times New Roman"/>
          <w:sz w:val="24"/>
          <w:szCs w:val="24"/>
          <w:lang w:val="en-US"/>
        </w:rPr>
        <w:t xml:space="preserve">The </w:t>
      </w:r>
      <w:r w:rsidR="00780647">
        <w:rPr>
          <w:rFonts w:ascii="Times New Roman" w:hAnsi="Times New Roman" w:cs="Times New Roman"/>
          <w:sz w:val="24"/>
          <w:szCs w:val="24"/>
          <w:lang w:val="en-US"/>
        </w:rPr>
        <w:t>energy efficiency</w:t>
      </w:r>
      <w:r w:rsidR="00AE0F6E">
        <w:rPr>
          <w:rFonts w:ascii="Times New Roman" w:hAnsi="Times New Roman" w:cs="Times New Roman"/>
          <w:sz w:val="24"/>
          <w:szCs w:val="24"/>
          <w:lang w:val="en-US"/>
        </w:rPr>
        <w:t xml:space="preserve"> </w:t>
      </w:r>
      <w:r w:rsidR="00AE0F6E" w:rsidRPr="004A2D77">
        <w:rPr>
          <w:rFonts w:ascii="Times New Roman" w:hAnsi="Times New Roman" w:cs="Times New Roman"/>
          <w:i/>
          <w:sz w:val="24"/>
          <w:szCs w:val="24"/>
          <w:lang w:val="en-US"/>
        </w:rPr>
        <w:sym w:font="Symbol" w:char="F068"/>
      </w:r>
      <w:r w:rsidR="00AE0F6E" w:rsidRPr="004A2D77">
        <w:rPr>
          <w:rFonts w:ascii="Times New Roman" w:hAnsi="Times New Roman" w:cs="Times New Roman"/>
          <w:sz w:val="24"/>
          <w:szCs w:val="24"/>
          <w:vertAlign w:val="subscript"/>
          <w:lang w:val="en-US"/>
        </w:rPr>
        <w:t>e</w:t>
      </w:r>
      <w:r w:rsidR="00F53D3C">
        <w:rPr>
          <w:rFonts w:ascii="Times New Roman" w:hAnsi="Times New Roman" w:cs="Times New Roman"/>
          <w:sz w:val="24"/>
          <w:szCs w:val="24"/>
          <w:lang w:val="en-US"/>
        </w:rPr>
        <w:t>, also known as the round-trip efficiency</w:t>
      </w:r>
      <w:r w:rsidR="00383D3B">
        <w:rPr>
          <w:rFonts w:ascii="Times New Roman" w:hAnsi="Times New Roman" w:cs="Times New Roman"/>
          <w:sz w:val="24"/>
          <w:szCs w:val="24"/>
          <w:lang w:val="en-US"/>
        </w:rPr>
        <w:t xml:space="preserve"> (RTE)</w:t>
      </w:r>
      <w:r w:rsidR="00AE0F6E">
        <w:rPr>
          <w:rFonts w:ascii="Times New Roman" w:hAnsi="Times New Roman" w:cs="Times New Roman"/>
          <w:sz w:val="24"/>
          <w:szCs w:val="24"/>
          <w:lang w:val="en-US"/>
        </w:rPr>
        <w:t>,</w:t>
      </w:r>
      <w:r w:rsidR="00F53D3C">
        <w:rPr>
          <w:rFonts w:ascii="Times New Roman" w:hAnsi="Times New Roman" w:cs="Times New Roman"/>
          <w:sz w:val="24"/>
          <w:szCs w:val="24"/>
          <w:lang w:val="en-US"/>
        </w:rPr>
        <w:t xml:space="preserve"> i</w:t>
      </w:r>
      <w:r w:rsidR="00AE0F6E">
        <w:rPr>
          <w:rFonts w:ascii="Times New Roman" w:hAnsi="Times New Roman" w:cs="Times New Roman"/>
          <w:sz w:val="24"/>
          <w:szCs w:val="24"/>
          <w:lang w:val="en-US"/>
        </w:rPr>
        <w:t>s</w:t>
      </w:r>
      <w:r w:rsidR="00F53D3C">
        <w:rPr>
          <w:rFonts w:ascii="Times New Roman" w:hAnsi="Times New Roman" w:cs="Times New Roman"/>
          <w:sz w:val="24"/>
          <w:szCs w:val="24"/>
          <w:lang w:val="en-US"/>
        </w:rPr>
        <w:t xml:space="preserve"> the product of </w:t>
      </w:r>
      <w:r w:rsidR="00AE0F6E">
        <w:rPr>
          <w:rFonts w:ascii="Times New Roman" w:hAnsi="Times New Roman" w:cs="Times New Roman"/>
          <w:sz w:val="24"/>
          <w:szCs w:val="24"/>
          <w:lang w:val="en-US"/>
        </w:rPr>
        <w:t>the coulombic and voltage efficiencies</w:t>
      </w:r>
      <w:r w:rsidR="0012784E">
        <w:rPr>
          <w:rFonts w:ascii="Times New Roman" w:hAnsi="Times New Roman" w:cs="Times New Roman"/>
          <w:sz w:val="24"/>
          <w:szCs w:val="24"/>
          <w:lang w:val="en-US"/>
        </w:rPr>
        <w:t xml:space="preserve"> </w:t>
      </w:r>
      <w:r w:rsidR="0012784E" w:rsidRPr="004A2D77">
        <w:rPr>
          <w:rFonts w:ascii="Times New Roman" w:hAnsi="Times New Roman" w:cs="Times New Roman"/>
          <w:i/>
          <w:sz w:val="24"/>
          <w:szCs w:val="24"/>
          <w:lang w:val="en-US"/>
        </w:rPr>
        <w:sym w:font="Symbol" w:char="F068"/>
      </w:r>
      <w:r w:rsidR="0012784E" w:rsidRPr="004A2D77">
        <w:rPr>
          <w:rFonts w:ascii="Times New Roman" w:hAnsi="Times New Roman" w:cs="Times New Roman"/>
          <w:sz w:val="24"/>
          <w:szCs w:val="24"/>
          <w:vertAlign w:val="subscript"/>
          <w:lang w:val="en-US"/>
        </w:rPr>
        <w:t>C</w:t>
      </w:r>
      <w:r w:rsidR="00383D3B">
        <w:rPr>
          <w:rFonts w:ascii="Times New Roman" w:hAnsi="Times New Roman" w:cs="Times New Roman"/>
          <w:sz w:val="24"/>
          <w:szCs w:val="24"/>
          <w:vertAlign w:val="subscript"/>
          <w:lang w:val="en-US"/>
        </w:rPr>
        <w:t xml:space="preserve"> </w:t>
      </w:r>
      <w:r w:rsidR="0012784E" w:rsidRPr="004A2D77">
        <w:rPr>
          <w:rFonts w:ascii="Times New Roman" w:hAnsi="Times New Roman" w:cs="Times New Roman"/>
          <w:i/>
          <w:sz w:val="24"/>
          <w:szCs w:val="24"/>
          <w:lang w:val="en-US"/>
        </w:rPr>
        <w:sym w:font="Symbol" w:char="F068"/>
      </w:r>
      <w:r w:rsidR="0012784E" w:rsidRPr="004A2D77">
        <w:rPr>
          <w:rFonts w:ascii="Times New Roman" w:hAnsi="Times New Roman" w:cs="Times New Roman"/>
          <w:sz w:val="24"/>
          <w:szCs w:val="24"/>
          <w:vertAlign w:val="subscript"/>
          <w:lang w:val="en-US"/>
        </w:rPr>
        <w:t>V</w:t>
      </w:r>
      <w:r w:rsidR="001F4037">
        <w:rPr>
          <w:rFonts w:ascii="Times New Roman" w:hAnsi="Times New Roman" w:cs="Times New Roman"/>
          <w:sz w:val="24"/>
          <w:szCs w:val="24"/>
          <w:vertAlign w:val="subscript"/>
          <w:lang w:val="en-US"/>
        </w:rPr>
        <w:t xml:space="preserve"> </w:t>
      </w:r>
      <w:r w:rsidR="00597D97" w:rsidRPr="00597D97">
        <w:rPr>
          <w:rFonts w:ascii="Times New Roman" w:hAnsi="Times New Roman" w:cs="Times New Roman"/>
          <w:sz w:val="24"/>
          <w:szCs w:val="24"/>
          <w:lang w:val="en-US"/>
        </w:rPr>
        <w:t xml:space="preserve">and </w:t>
      </w:r>
      <w:r w:rsidR="001F4037">
        <w:rPr>
          <w:rFonts w:ascii="Times New Roman" w:hAnsi="Times New Roman" w:cs="Times New Roman"/>
          <w:sz w:val="24"/>
          <w:szCs w:val="24"/>
          <w:lang w:val="en-US"/>
        </w:rPr>
        <w:t xml:space="preserve">it represent the </w:t>
      </w:r>
      <w:r w:rsidR="0001377B">
        <w:rPr>
          <w:rFonts w:ascii="Times New Roman" w:hAnsi="Times New Roman" w:cs="Times New Roman"/>
          <w:sz w:val="24"/>
          <w:szCs w:val="24"/>
          <w:lang w:val="en-US"/>
        </w:rPr>
        <w:t xml:space="preserve">ratio of </w:t>
      </w:r>
      <w:r w:rsidR="00F312C3">
        <w:rPr>
          <w:rFonts w:ascii="Times New Roman" w:hAnsi="Times New Roman" w:cs="Times New Roman"/>
          <w:sz w:val="24"/>
          <w:szCs w:val="24"/>
          <w:lang w:val="en-US"/>
        </w:rPr>
        <w:t>the energy out and the energy input</w:t>
      </w:r>
      <w:r w:rsidR="00C30261">
        <w:rPr>
          <w:rFonts w:ascii="Times New Roman" w:hAnsi="Times New Roman" w:cs="Times New Roman"/>
          <w:sz w:val="24"/>
          <w:szCs w:val="24"/>
          <w:lang w:val="en-US"/>
        </w:rPr>
        <w:t xml:space="preserve"> in the system</w:t>
      </w:r>
      <w:r w:rsidR="00811A07">
        <w:rPr>
          <w:rFonts w:ascii="Times New Roman" w:hAnsi="Times New Roman" w:cs="Times New Roman"/>
          <w:sz w:val="24"/>
          <w:szCs w:val="24"/>
          <w:vertAlign w:val="subscript"/>
          <w:lang w:val="en-US"/>
        </w:rPr>
        <w:t xml:space="preserve">: </w:t>
      </w:r>
    </w:p>
    <w:p w14:paraId="4C3DB1F5" w14:textId="1ED61A43" w:rsidR="00811A07" w:rsidRPr="009B1A3D" w:rsidRDefault="009B1A3D" w:rsidP="00811A07">
      <w:pPr>
        <w:spacing w:after="120" w:line="480" w:lineRule="auto"/>
        <w:jc w:val="right"/>
        <w:rPr>
          <w:rFonts w:ascii="Times New Roman" w:eastAsia="Calibri" w:hAnsi="Times New Roman" w:cs="Times New Roman"/>
          <w:sz w:val="24"/>
          <w:szCs w:val="24"/>
          <w:lang w:val="es-MX"/>
        </w:rPr>
      </w:pPr>
      <w:r w:rsidRPr="00975297">
        <w:rPr>
          <w:rFonts w:ascii="Times New Roman" w:eastAsiaTheme="minorEastAsia" w:hAnsi="Times New Roman" w:cs="Times New Roman"/>
          <w:i/>
          <w:iCs/>
          <w:lang w:val="es-MX"/>
        </w:rPr>
        <w:t>RTE</w:t>
      </w:r>
      <w:r>
        <w:rPr>
          <w:rFonts w:ascii="Times New Roman" w:eastAsiaTheme="minorEastAsia" w:hAnsi="Times New Roman" w:cs="Times New Roman"/>
          <w:lang w:val="es-MX"/>
        </w:rPr>
        <w:t xml:space="preserve"> = </w:t>
      </w:r>
      <m:oMath>
        <m:f>
          <m:fPr>
            <m:ctrlPr>
              <w:rPr>
                <w:rFonts w:ascii="Cambria Math" w:hAnsi="Cambria Math" w:cs="Cambria Math"/>
                <w:lang w:val="en-US"/>
              </w:rPr>
            </m:ctrlPr>
          </m:fPr>
          <m:num>
            <m:r>
              <w:rPr>
                <w:rFonts w:ascii="Cambria Math" w:hAnsi="Cambria Math" w:cs="Cambria Math"/>
                <w:lang w:val="en-US"/>
              </w:rPr>
              <m:t>energy</m:t>
            </m:r>
            <m:r>
              <w:rPr>
                <w:rFonts w:ascii="Cambria Math" w:hAnsi="Cambria Math" w:cs="Cambria Math"/>
                <w:lang w:val="es-MX"/>
              </w:rPr>
              <m:t xml:space="preserve"> </m:t>
            </m:r>
            <m:r>
              <w:rPr>
                <w:rFonts w:ascii="Cambria Math" w:hAnsi="Cambria Math" w:cs="Cambria Math"/>
                <w:lang w:val="en-US"/>
              </w:rPr>
              <m:t>out</m:t>
            </m:r>
          </m:num>
          <m:den>
            <m:r>
              <w:rPr>
                <w:rFonts w:ascii="Cambria Math" w:hAnsi="Cambria Math" w:cs="Cambria Math"/>
                <w:lang w:val="en-US"/>
              </w:rPr>
              <m:t>energy</m:t>
            </m:r>
            <m:r>
              <w:rPr>
                <w:rFonts w:ascii="Cambria Math" w:hAnsi="Cambria Math" w:cs="Cambria Math"/>
                <w:lang w:val="es-MX"/>
              </w:rPr>
              <m:t xml:space="preserve"> </m:t>
            </m:r>
            <m:r>
              <w:rPr>
                <w:rFonts w:ascii="Cambria Math" w:hAnsi="Cambria Math" w:cs="Cambria Math"/>
                <w:lang w:val="en-US"/>
              </w:rPr>
              <m:t>in</m:t>
            </m:r>
          </m:den>
        </m:f>
        <m:r>
          <w:rPr>
            <w:rFonts w:ascii="Cambria Math" w:eastAsiaTheme="minorEastAsia" w:hAnsi="Cambria Math" w:cs="Times New Roman"/>
            <w:lang w:val="es-MX"/>
          </w:rPr>
          <m:t>×100%</m:t>
        </m:r>
      </m:oMath>
      <w:r w:rsidR="00811A07" w:rsidRPr="009B1A3D">
        <w:rPr>
          <w:rFonts w:eastAsia="Calibri"/>
          <w:lang w:val="es-MX"/>
        </w:rPr>
        <w:tab/>
      </w:r>
      <w:r w:rsidR="00811A07" w:rsidRPr="009B1A3D">
        <w:rPr>
          <w:rFonts w:eastAsia="Calibri"/>
          <w:lang w:val="es-MX"/>
        </w:rPr>
        <w:tab/>
      </w:r>
      <w:r w:rsidR="00811A07" w:rsidRPr="009B1A3D">
        <w:rPr>
          <w:rFonts w:eastAsia="Calibri"/>
          <w:lang w:val="es-MX"/>
        </w:rPr>
        <w:tab/>
      </w:r>
      <w:r w:rsidR="00811A07" w:rsidRPr="009B1A3D">
        <w:rPr>
          <w:rFonts w:eastAsia="Calibri"/>
          <w:lang w:val="es-MX"/>
        </w:rPr>
        <w:tab/>
      </w:r>
      <w:r w:rsidR="00811A07" w:rsidRPr="009B1A3D">
        <w:rPr>
          <w:rFonts w:eastAsia="Calibri"/>
          <w:lang w:val="es-MX"/>
        </w:rPr>
        <w:tab/>
      </w:r>
      <w:r w:rsidR="00811A07" w:rsidRPr="009B1A3D">
        <w:rPr>
          <w:rFonts w:ascii="Times New Roman" w:eastAsia="Calibri" w:hAnsi="Times New Roman" w:cs="Times New Roman"/>
          <w:sz w:val="24"/>
          <w:szCs w:val="24"/>
          <w:lang w:val="es-MX"/>
        </w:rPr>
        <w:t>(</w:t>
      </w:r>
      <w:r w:rsidR="00975297">
        <w:rPr>
          <w:rFonts w:ascii="Times New Roman" w:eastAsia="Calibri" w:hAnsi="Times New Roman" w:cs="Times New Roman"/>
          <w:sz w:val="24"/>
          <w:szCs w:val="24"/>
          <w:lang w:val="es-MX"/>
        </w:rPr>
        <w:t>5</w:t>
      </w:r>
      <w:r w:rsidR="00811A07" w:rsidRPr="009B1A3D">
        <w:rPr>
          <w:rFonts w:ascii="Times New Roman" w:eastAsia="Calibri" w:hAnsi="Times New Roman" w:cs="Times New Roman"/>
          <w:sz w:val="24"/>
          <w:szCs w:val="24"/>
          <w:lang w:val="es-MX"/>
        </w:rPr>
        <w:t>)</w:t>
      </w:r>
    </w:p>
    <w:p w14:paraId="6C6D43F3" w14:textId="3E2502CF" w:rsidR="00EE7EBF" w:rsidRPr="004A2D77" w:rsidRDefault="005D03E6" w:rsidP="005D03E6">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More specific figures of merit for energy storage system</w:t>
      </w:r>
      <w:r w:rsidR="00B3596C" w:rsidRPr="004A2D77">
        <w:rPr>
          <w:rFonts w:ascii="Times New Roman" w:hAnsi="Times New Roman" w:cs="Times New Roman"/>
          <w:sz w:val="24"/>
          <w:szCs w:val="24"/>
          <w:lang w:val="en-US"/>
        </w:rPr>
        <w:t>s</w:t>
      </w:r>
      <w:r w:rsidRPr="004A2D77">
        <w:rPr>
          <w:rFonts w:ascii="Times New Roman" w:hAnsi="Times New Roman" w:cs="Times New Roman"/>
          <w:sz w:val="24"/>
          <w:szCs w:val="24"/>
          <w:lang w:val="en-US"/>
        </w:rPr>
        <w:t xml:space="preserve"> </w:t>
      </w:r>
      <w:r w:rsidR="007C2AD6">
        <w:rPr>
          <w:rFonts w:ascii="Times New Roman" w:hAnsi="Times New Roman" w:cs="Times New Roman"/>
          <w:sz w:val="24"/>
          <w:szCs w:val="24"/>
          <w:lang w:val="en-US"/>
        </w:rPr>
        <w:t xml:space="preserve">have proposed by </w:t>
      </w:r>
      <w:r w:rsidR="007C2AD6">
        <w:rPr>
          <w:rFonts w:ascii="Times New Roman" w:hAnsi="Times New Roman" w:cs="Times New Roman"/>
          <w:sz w:val="24"/>
          <w:szCs w:val="24"/>
          <w:lang w:val="en-US"/>
        </w:rPr>
        <w:t>(</w:t>
      </w:r>
      <w:r w:rsidR="007C2AD6" w:rsidRPr="009A1E50">
        <w:rPr>
          <w:rFonts w:ascii="Times New Roman" w:hAnsi="Times New Roman" w:cs="Times New Roman"/>
          <w:sz w:val="24"/>
          <w:szCs w:val="24"/>
        </w:rPr>
        <w:t>Rodrigues, et al., 2017</w:t>
      </w:r>
      <w:r w:rsidR="007C2AD6">
        <w:rPr>
          <w:rFonts w:ascii="Times New Roman" w:hAnsi="Times New Roman" w:cs="Times New Roman"/>
          <w:sz w:val="24"/>
          <w:szCs w:val="24"/>
          <w:lang w:val="en-US"/>
        </w:rPr>
        <w:t>)</w:t>
      </w:r>
      <w:r w:rsidR="007C2AD6">
        <w:rPr>
          <w:rFonts w:ascii="Times New Roman" w:hAnsi="Times New Roman" w:cs="Times New Roman"/>
          <w:sz w:val="24"/>
          <w:szCs w:val="24"/>
          <w:lang w:val="en-US"/>
        </w:rPr>
        <w:t xml:space="preserve"> </w:t>
      </w:r>
      <w:r w:rsidR="006959C4">
        <w:rPr>
          <w:rFonts w:ascii="Times New Roman" w:hAnsi="Times New Roman" w:cs="Times New Roman"/>
          <w:sz w:val="24"/>
          <w:szCs w:val="24"/>
          <w:lang w:val="en-US"/>
        </w:rPr>
        <w:t xml:space="preserve">and </w:t>
      </w:r>
      <w:r w:rsidRPr="004A2D77">
        <w:rPr>
          <w:rFonts w:ascii="Times New Roman" w:hAnsi="Times New Roman" w:cs="Times New Roman"/>
          <w:sz w:val="24"/>
          <w:szCs w:val="24"/>
          <w:lang w:val="en-US"/>
        </w:rPr>
        <w:t xml:space="preserve">can be defined as </w:t>
      </w:r>
      <w:r w:rsidR="006959C4">
        <w:rPr>
          <w:rFonts w:ascii="Times New Roman" w:hAnsi="Times New Roman" w:cs="Times New Roman"/>
          <w:sz w:val="24"/>
          <w:szCs w:val="24"/>
          <w:lang w:val="en-US"/>
        </w:rPr>
        <w:t xml:space="preserve">the </w:t>
      </w:r>
      <w:r w:rsidR="00EE7EBF" w:rsidRPr="004A2D77">
        <w:rPr>
          <w:rFonts w:ascii="Times New Roman" w:hAnsi="Times New Roman" w:cs="Times New Roman"/>
          <w:sz w:val="24"/>
          <w:szCs w:val="24"/>
          <w:lang w:val="en-US"/>
        </w:rPr>
        <w:t>storage efficiency index (</w:t>
      </w:r>
      <w:r w:rsidR="00EE7EBF" w:rsidRPr="004A2D77">
        <w:rPr>
          <w:rFonts w:ascii="Times New Roman" w:hAnsi="Times New Roman" w:cs="Times New Roman"/>
          <w:i/>
          <w:sz w:val="24"/>
          <w:szCs w:val="24"/>
          <w:lang w:val="en-US"/>
        </w:rPr>
        <w:t>SEI</w:t>
      </w:r>
      <w:r w:rsidR="00EE7EBF" w:rsidRPr="004A2D77">
        <w:rPr>
          <w:rFonts w:ascii="Times New Roman" w:hAnsi="Times New Roman" w:cs="Times New Roman"/>
          <w:sz w:val="24"/>
          <w:szCs w:val="24"/>
          <w:lang w:val="en-US"/>
        </w:rPr>
        <w:t>)</w:t>
      </w:r>
      <w:r w:rsidR="006959C4">
        <w:rPr>
          <w:rFonts w:ascii="Times New Roman" w:hAnsi="Times New Roman" w:cs="Times New Roman"/>
          <w:sz w:val="24"/>
          <w:szCs w:val="24"/>
          <w:lang w:val="en-US"/>
        </w:rPr>
        <w:t>,</w:t>
      </w:r>
      <w:r w:rsidR="00EE7EBF" w:rsidRPr="004A2D77">
        <w:rPr>
          <w:rFonts w:ascii="Times New Roman" w:hAnsi="Times New Roman" w:cs="Times New Roman"/>
          <w:sz w:val="24"/>
          <w:szCs w:val="24"/>
          <w:lang w:val="en-US"/>
        </w:rPr>
        <w:t xml:space="preserve"> that measures the ability to store energy when a renewable energy source is available</w:t>
      </w:r>
      <w:r w:rsidR="006959C4">
        <w:rPr>
          <w:rFonts w:ascii="Times New Roman" w:hAnsi="Times New Roman" w:cs="Times New Roman"/>
          <w:sz w:val="24"/>
          <w:szCs w:val="24"/>
          <w:lang w:val="en-US"/>
        </w:rPr>
        <w:t>,</w:t>
      </w:r>
      <w:r w:rsidRPr="004A2D77">
        <w:rPr>
          <w:rFonts w:ascii="Times New Roman" w:hAnsi="Times New Roman" w:cs="Times New Roman"/>
          <w:sz w:val="24"/>
          <w:szCs w:val="24"/>
          <w:lang w:val="en-US"/>
        </w:rPr>
        <w:t xml:space="preserve"> and the </w:t>
      </w:r>
      <w:r w:rsidR="00EE7EBF" w:rsidRPr="004A2D77">
        <w:rPr>
          <w:rFonts w:ascii="Times New Roman" w:hAnsi="Times New Roman" w:cs="Times New Roman"/>
          <w:sz w:val="24"/>
          <w:szCs w:val="24"/>
          <w:lang w:val="en-US"/>
        </w:rPr>
        <w:t>demand response index (</w:t>
      </w:r>
      <w:r w:rsidR="00EE7EBF" w:rsidRPr="004A2D77">
        <w:rPr>
          <w:rFonts w:ascii="Times New Roman" w:hAnsi="Times New Roman" w:cs="Times New Roman"/>
          <w:i/>
          <w:sz w:val="24"/>
          <w:szCs w:val="24"/>
          <w:lang w:val="en-US"/>
        </w:rPr>
        <w:t>DRI</w:t>
      </w:r>
      <w:r w:rsidR="00EE7EBF" w:rsidRPr="004A2D77">
        <w:rPr>
          <w:rFonts w:ascii="Times New Roman" w:hAnsi="Times New Roman" w:cs="Times New Roman"/>
          <w:sz w:val="24"/>
          <w:szCs w:val="24"/>
          <w:lang w:val="en-US"/>
        </w:rPr>
        <w:t>)</w:t>
      </w:r>
      <w:r w:rsidR="006959C4">
        <w:rPr>
          <w:rFonts w:ascii="Times New Roman" w:hAnsi="Times New Roman" w:cs="Times New Roman"/>
          <w:sz w:val="24"/>
          <w:szCs w:val="24"/>
          <w:lang w:val="en-US"/>
        </w:rPr>
        <w:t>,</w:t>
      </w:r>
      <w:r w:rsidR="00EE7EBF" w:rsidRPr="004A2D77">
        <w:rPr>
          <w:rFonts w:ascii="Times New Roman" w:hAnsi="Times New Roman" w:cs="Times New Roman"/>
          <w:sz w:val="24"/>
          <w:szCs w:val="24"/>
          <w:lang w:val="en-US"/>
        </w:rPr>
        <w:t xml:space="preserve"> that evaluates the response capacity of the battery on energy demand:</w:t>
      </w:r>
    </w:p>
    <w:p w14:paraId="36D4BDD9" w14:textId="77FF9C83" w:rsidR="00EE7EBF" w:rsidRPr="004A2D77" w:rsidRDefault="00EE7EBF" w:rsidP="005D03E6">
      <w:pPr>
        <w:spacing w:after="120" w:line="480" w:lineRule="auto"/>
        <w:jc w:val="right"/>
        <w:rPr>
          <w:rFonts w:ascii="Times New Roman" w:hAnsi="Times New Roman" w:cs="Times New Roman"/>
          <w:sz w:val="24"/>
          <w:szCs w:val="24"/>
          <w:lang w:val="en-US"/>
        </w:rPr>
      </w:pPr>
      <m:oMath>
        <m:r>
          <w:rPr>
            <w:rFonts w:ascii="Cambria Math" w:hAnsi="Cambria Math" w:cs="Cambria Math"/>
            <w:lang w:val="en-US"/>
          </w:rPr>
          <m:t>SEI</m:t>
        </m:r>
        <m:r>
          <m:rPr>
            <m:sty m:val="p"/>
          </m:rPr>
          <w:rPr>
            <w:rFonts w:ascii="Cambria Math" w:hAnsi="Cambria Math" w:cs="Cambria Math"/>
            <w:lang w:val="en-US"/>
          </w:rPr>
          <m:t>=</m:t>
        </m:r>
        <m:f>
          <m:fPr>
            <m:ctrlPr>
              <w:rPr>
                <w:rFonts w:ascii="Cambria Math" w:hAnsi="Cambria Math"/>
                <w:lang w:val="en-US"/>
              </w:rPr>
            </m:ctrlPr>
          </m:fPr>
          <m:num>
            <m:nary>
              <m:naryPr>
                <m:chr m:val="∑"/>
                <m:limLoc m:val="undOvr"/>
                <m:subHide m:val="1"/>
                <m:supHide m:val="1"/>
                <m:ctrlPr>
                  <w:rPr>
                    <w:rFonts w:ascii="Cambria Math" w:hAnsi="Cambria Math" w:cs="Cambria Math"/>
                    <w:lang w:val="en-US"/>
                  </w:rPr>
                </m:ctrlPr>
              </m:naryPr>
              <m:sub/>
              <m:sup/>
              <m:e>
                <m:sSubSup>
                  <m:sSubSupPr>
                    <m:ctrlPr>
                      <w:rPr>
                        <w:rFonts w:ascii="Cambria Math" w:hAnsi="Cambria Math" w:cs="Cambria Math"/>
                        <w:i/>
                        <w:lang w:val="en-US"/>
                      </w:rPr>
                    </m:ctrlPr>
                  </m:sSubSupPr>
                  <m:e>
                    <m:r>
                      <w:rPr>
                        <w:rFonts w:ascii="Cambria Math" w:hAnsi="Cambria Math" w:cs="Cambria Math"/>
                        <w:lang w:val="en-US"/>
                      </w:rPr>
                      <m:t>E</m:t>
                    </m:r>
                  </m:e>
                  <m:sub>
                    <m:sSub>
                      <m:sSubPr>
                        <m:ctrlPr>
                          <w:rPr>
                            <w:rFonts w:ascii="Cambria Math" w:hAnsi="Cambria Math" w:cs="Cambria Math"/>
                            <w:i/>
                            <w:lang w:val="en-US"/>
                          </w:rPr>
                        </m:ctrlPr>
                      </m:sSubPr>
                      <m:e>
                        <m:r>
                          <w:rPr>
                            <w:rFonts w:ascii="Cambria Math" w:hAnsi="Cambria Math" w:cs="Cambria Math"/>
                            <w:lang w:val="en-US"/>
                          </w:rPr>
                          <m:t>Bat</m:t>
                        </m:r>
                      </m:e>
                      <m:sub>
                        <m:r>
                          <w:rPr>
                            <w:rFonts w:ascii="Cambria Math" w:hAnsi="Cambria Math" w:cs="Cambria Math"/>
                            <w:lang w:val="en-US"/>
                          </w:rPr>
                          <m:t>IN</m:t>
                        </m:r>
                      </m:sub>
                    </m:sSub>
                  </m:sub>
                  <m:sup>
                    <m:r>
                      <w:rPr>
                        <w:rFonts w:ascii="Cambria Math" w:hAnsi="Cambria Math" w:cs="Cambria Math"/>
                        <w:lang w:val="en-US"/>
                      </w:rPr>
                      <m:t>k</m:t>
                    </m:r>
                  </m:sup>
                </m:sSubSup>
              </m:e>
            </m:nary>
          </m:num>
          <m:den>
            <m:nary>
              <m:naryPr>
                <m:chr m:val="∑"/>
                <m:limLoc m:val="undOvr"/>
                <m:subHide m:val="1"/>
                <m:supHide m:val="1"/>
                <m:ctrlPr>
                  <w:rPr>
                    <w:rFonts w:ascii="Cambria Math" w:hAnsi="Cambria Math" w:cs="Cambria Math"/>
                    <w:lang w:val="en-US"/>
                  </w:rPr>
                </m:ctrlPr>
              </m:naryPr>
              <m:sub/>
              <m:sup/>
              <m:e>
                <m:sSubSup>
                  <m:sSubSupPr>
                    <m:ctrlPr>
                      <w:rPr>
                        <w:rFonts w:ascii="Cambria Math" w:hAnsi="Cambria Math" w:cs="Cambria Math"/>
                        <w:i/>
                        <w:lang w:val="en-US"/>
                      </w:rPr>
                    </m:ctrlPr>
                  </m:sSubSupPr>
                  <m:e>
                    <m:r>
                      <w:rPr>
                        <w:rFonts w:ascii="Cambria Math" w:hAnsi="Cambria Math" w:cs="Cambria Math"/>
                        <w:lang w:val="en-US"/>
                      </w:rPr>
                      <m:t>E</m:t>
                    </m:r>
                  </m:e>
                  <m:sub>
                    <m:sSub>
                      <m:sSubPr>
                        <m:ctrlPr>
                          <w:rPr>
                            <w:rFonts w:ascii="Cambria Math" w:hAnsi="Cambria Math" w:cs="Cambria Math"/>
                            <w:i/>
                            <w:lang w:val="en-US"/>
                          </w:rPr>
                        </m:ctrlPr>
                      </m:sSubPr>
                      <m:e>
                        <m:r>
                          <w:rPr>
                            <w:rFonts w:ascii="Cambria Math" w:hAnsi="Cambria Math" w:cs="Cambria Math"/>
                            <w:lang w:val="en-US"/>
                          </w:rPr>
                          <m:t>WP</m:t>
                        </m:r>
                      </m:e>
                      <m:sub>
                        <m:r>
                          <w:rPr>
                            <w:rFonts w:ascii="Cambria Math" w:hAnsi="Cambria Math" w:cs="Cambria Math"/>
                            <w:lang w:val="en-US"/>
                          </w:rPr>
                          <m:t>Gen</m:t>
                        </m:r>
                      </m:sub>
                    </m:sSub>
                  </m:sub>
                  <m:sup>
                    <m:r>
                      <w:rPr>
                        <w:rFonts w:ascii="Cambria Math" w:hAnsi="Cambria Math" w:cs="Cambria Math"/>
                        <w:lang w:val="en-US"/>
                      </w:rPr>
                      <m:t>k</m:t>
                    </m:r>
                  </m:sup>
                </m:sSubSup>
                <m:r>
                  <w:rPr>
                    <w:rFonts w:ascii="Cambria Math" w:hAnsi="Cambria Math" w:cs="Cambria Math"/>
                    <w:lang w:val="en-US"/>
                  </w:rPr>
                  <m:t>-</m:t>
                </m:r>
                <m:nary>
                  <m:naryPr>
                    <m:chr m:val="∑"/>
                    <m:limLoc m:val="undOvr"/>
                    <m:subHide m:val="1"/>
                    <m:supHide m:val="1"/>
                    <m:ctrlPr>
                      <w:rPr>
                        <w:rFonts w:ascii="Cambria Math" w:hAnsi="Cambria Math" w:cs="Cambria Math"/>
                        <w:lang w:val="en-US"/>
                      </w:rPr>
                    </m:ctrlPr>
                  </m:naryPr>
                  <m:sub/>
                  <m:sup/>
                  <m:e>
                    <m:sSubSup>
                      <m:sSubSupPr>
                        <m:ctrlPr>
                          <w:rPr>
                            <w:rFonts w:ascii="Cambria Math" w:hAnsi="Cambria Math" w:cs="Cambria Math"/>
                            <w:i/>
                            <w:lang w:val="en-US"/>
                          </w:rPr>
                        </m:ctrlPr>
                      </m:sSubSupPr>
                      <m:e>
                        <m:r>
                          <w:rPr>
                            <w:rFonts w:ascii="Cambria Math" w:hAnsi="Cambria Math" w:cs="Cambria Math"/>
                            <w:lang w:val="en-US"/>
                          </w:rPr>
                          <m:t>E</m:t>
                        </m:r>
                      </m:e>
                      <m:sub>
                        <m:sSub>
                          <m:sSubPr>
                            <m:ctrlPr>
                              <w:rPr>
                                <w:rFonts w:ascii="Cambria Math" w:hAnsi="Cambria Math" w:cs="Cambria Math"/>
                                <w:i/>
                                <w:lang w:val="en-US"/>
                              </w:rPr>
                            </m:ctrlPr>
                          </m:sSubPr>
                          <m:e>
                            <m:r>
                              <w:rPr>
                                <w:rFonts w:ascii="Cambria Math" w:hAnsi="Cambria Math" w:cs="Cambria Math"/>
                                <w:lang w:val="en-US"/>
                              </w:rPr>
                              <m:t>WP</m:t>
                            </m:r>
                          </m:e>
                          <m:sub>
                            <m:r>
                              <w:rPr>
                                <w:rFonts w:ascii="Cambria Math" w:hAnsi="Cambria Math" w:cs="Cambria Math"/>
                                <w:lang w:val="en-US"/>
                              </w:rPr>
                              <m:t>Grid</m:t>
                            </m:r>
                          </m:sub>
                        </m:sSub>
                      </m:sub>
                      <m:sup>
                        <m:r>
                          <w:rPr>
                            <w:rFonts w:ascii="Cambria Math" w:hAnsi="Cambria Math" w:cs="Cambria Math"/>
                            <w:lang w:val="en-US"/>
                          </w:rPr>
                          <m:t>k</m:t>
                        </m:r>
                      </m:sup>
                    </m:sSubSup>
                  </m:e>
                </m:nary>
              </m:e>
            </m:nary>
          </m:den>
        </m:f>
      </m:oMath>
      <w:r w:rsidRPr="004A2D77">
        <w:rPr>
          <w:rFonts w:eastAsiaTheme="minorEastAsia"/>
          <w:lang w:val="en-US"/>
        </w:rPr>
        <w:t xml:space="preserve"> </w:t>
      </w:r>
      <w:r w:rsidRPr="004A2D77">
        <w:rPr>
          <w:rFonts w:eastAsiaTheme="minorEastAsia"/>
          <w:lang w:val="en-US"/>
        </w:rPr>
        <w:tab/>
      </w:r>
      <w:r w:rsidRPr="004A2D77">
        <w:rPr>
          <w:rFonts w:eastAsiaTheme="minorEastAsia"/>
          <w:lang w:val="en-US"/>
        </w:rPr>
        <w:tab/>
      </w:r>
      <w:r w:rsidRPr="004A2D77">
        <w:rPr>
          <w:rFonts w:eastAsiaTheme="minorEastAsia"/>
          <w:lang w:val="en-US"/>
        </w:rPr>
        <w:tab/>
      </w:r>
      <w:r w:rsidRPr="004A2D77">
        <w:rPr>
          <w:rFonts w:eastAsiaTheme="minorEastAsia"/>
          <w:lang w:val="en-US"/>
        </w:rPr>
        <w:tab/>
      </w:r>
      <w:r w:rsidRPr="004A2D77">
        <w:rPr>
          <w:rFonts w:eastAsiaTheme="minorEastAsia"/>
          <w:lang w:val="en-US"/>
        </w:rPr>
        <w:tab/>
      </w:r>
      <w:r w:rsidRPr="004A2D77">
        <w:rPr>
          <w:rFonts w:ascii="Times New Roman" w:hAnsi="Times New Roman" w:cs="Times New Roman"/>
          <w:sz w:val="24"/>
          <w:szCs w:val="24"/>
          <w:lang w:val="en-US"/>
        </w:rPr>
        <w:t>(</w:t>
      </w:r>
      <w:r w:rsidR="00D01669">
        <w:rPr>
          <w:rFonts w:ascii="Times New Roman" w:hAnsi="Times New Roman" w:cs="Times New Roman"/>
          <w:sz w:val="24"/>
          <w:szCs w:val="24"/>
          <w:lang w:val="en-US"/>
        </w:rPr>
        <w:t>6</w:t>
      </w:r>
      <w:r w:rsidRPr="004A2D77">
        <w:rPr>
          <w:rFonts w:ascii="Times New Roman" w:hAnsi="Times New Roman" w:cs="Times New Roman"/>
          <w:sz w:val="24"/>
          <w:szCs w:val="24"/>
          <w:lang w:val="en-US"/>
        </w:rPr>
        <w:t>)</w:t>
      </w:r>
    </w:p>
    <w:p w14:paraId="1A83F3BE" w14:textId="21644414" w:rsidR="00EE7EBF" w:rsidRPr="004A2D77" w:rsidRDefault="00EE7EBF" w:rsidP="005D03E6">
      <w:pPr>
        <w:spacing w:after="120" w:line="480" w:lineRule="auto"/>
        <w:jc w:val="right"/>
        <w:rPr>
          <w:rFonts w:ascii="Times New Roman" w:hAnsi="Times New Roman" w:cs="Times New Roman"/>
          <w:sz w:val="24"/>
          <w:szCs w:val="24"/>
          <w:lang w:val="en-US"/>
        </w:rPr>
      </w:pPr>
      <m:oMath>
        <m:r>
          <w:rPr>
            <w:rFonts w:ascii="Cambria Math" w:hAnsi="Cambria Math" w:cs="Cambria Math"/>
            <w:lang w:val="en-US"/>
          </w:rPr>
          <w:lastRenderedPageBreak/>
          <m:t>DRI</m:t>
        </m:r>
        <m:r>
          <m:rPr>
            <m:sty m:val="p"/>
          </m:rPr>
          <w:rPr>
            <w:rFonts w:ascii="Cambria Math" w:hAnsi="Cambria Math" w:cs="Cambria Math"/>
            <w:lang w:val="en-US"/>
          </w:rPr>
          <m:t>=</m:t>
        </m:r>
        <m:f>
          <m:fPr>
            <m:ctrlPr>
              <w:rPr>
                <w:rFonts w:ascii="Cambria Math" w:hAnsi="Cambria Math"/>
                <w:lang w:val="en-US"/>
              </w:rPr>
            </m:ctrlPr>
          </m:fPr>
          <m:num>
            <m:nary>
              <m:naryPr>
                <m:chr m:val="∑"/>
                <m:limLoc m:val="undOvr"/>
                <m:subHide m:val="1"/>
                <m:supHide m:val="1"/>
                <m:ctrlPr>
                  <w:rPr>
                    <w:rFonts w:ascii="Cambria Math" w:hAnsi="Cambria Math" w:cs="Cambria Math"/>
                    <w:lang w:val="en-US"/>
                  </w:rPr>
                </m:ctrlPr>
              </m:naryPr>
              <m:sub/>
              <m:sup/>
              <m:e>
                <m:sSubSup>
                  <m:sSubSupPr>
                    <m:ctrlPr>
                      <w:rPr>
                        <w:rFonts w:ascii="Cambria Math" w:hAnsi="Cambria Math" w:cs="Cambria Math"/>
                        <w:i/>
                        <w:lang w:val="en-US"/>
                      </w:rPr>
                    </m:ctrlPr>
                  </m:sSubSupPr>
                  <m:e>
                    <m:r>
                      <w:rPr>
                        <w:rFonts w:ascii="Cambria Math" w:hAnsi="Cambria Math" w:cs="Cambria Math"/>
                        <w:lang w:val="en-US"/>
                      </w:rPr>
                      <m:t>E</m:t>
                    </m:r>
                  </m:e>
                  <m:sub>
                    <m:r>
                      <w:rPr>
                        <w:rFonts w:ascii="Cambria Math" w:hAnsi="Cambria Math" w:cs="Cambria Math"/>
                        <w:lang w:val="en-US"/>
                      </w:rPr>
                      <m:t>out</m:t>
                    </m:r>
                  </m:sub>
                  <m:sup>
                    <m:r>
                      <w:rPr>
                        <w:rFonts w:ascii="Cambria Math" w:hAnsi="Cambria Math" w:cs="Cambria Math"/>
                        <w:lang w:val="en-US"/>
                      </w:rPr>
                      <m:t>k</m:t>
                    </m:r>
                  </m:sup>
                </m:sSubSup>
              </m:e>
            </m:nary>
          </m:num>
          <m:den>
            <m:nary>
              <m:naryPr>
                <m:chr m:val="∑"/>
                <m:limLoc m:val="undOvr"/>
                <m:subHide m:val="1"/>
                <m:supHide m:val="1"/>
                <m:ctrlPr>
                  <w:rPr>
                    <w:rFonts w:ascii="Cambria Math" w:hAnsi="Cambria Math" w:cs="Cambria Math"/>
                    <w:lang w:val="en-US"/>
                  </w:rPr>
                </m:ctrlPr>
              </m:naryPr>
              <m:sub/>
              <m:sup/>
              <m:e>
                <m:sSubSup>
                  <m:sSubSupPr>
                    <m:ctrlPr>
                      <w:rPr>
                        <w:rFonts w:ascii="Cambria Math" w:hAnsi="Cambria Math" w:cs="Cambria Math"/>
                        <w:i/>
                        <w:lang w:val="en-US"/>
                      </w:rPr>
                    </m:ctrlPr>
                  </m:sSubSupPr>
                  <m:e>
                    <m:r>
                      <w:rPr>
                        <w:rFonts w:ascii="Cambria Math" w:hAnsi="Cambria Math" w:cs="Cambria Math"/>
                        <w:lang w:val="en-US"/>
                      </w:rPr>
                      <m:t>E</m:t>
                    </m:r>
                  </m:e>
                  <m:sub>
                    <m:r>
                      <w:rPr>
                        <w:rFonts w:ascii="Cambria Math" w:hAnsi="Cambria Math" w:cs="Cambria Math"/>
                        <w:lang w:val="en-US"/>
                      </w:rPr>
                      <m:t>Dem</m:t>
                    </m:r>
                  </m:sub>
                  <m:sup>
                    <m:r>
                      <w:rPr>
                        <w:rFonts w:ascii="Cambria Math" w:hAnsi="Cambria Math" w:cs="Cambria Math"/>
                        <w:lang w:val="en-US"/>
                      </w:rPr>
                      <m:t>k</m:t>
                    </m:r>
                  </m:sup>
                </m:sSubSup>
                <m:r>
                  <w:rPr>
                    <w:rFonts w:ascii="Cambria Math" w:hAnsi="Cambria Math" w:cs="Cambria Math"/>
                    <w:lang w:val="en-US"/>
                  </w:rPr>
                  <m:t>-</m:t>
                </m:r>
                <m:nary>
                  <m:naryPr>
                    <m:chr m:val="∑"/>
                    <m:limLoc m:val="undOvr"/>
                    <m:subHide m:val="1"/>
                    <m:supHide m:val="1"/>
                    <m:ctrlPr>
                      <w:rPr>
                        <w:rFonts w:ascii="Cambria Math" w:hAnsi="Cambria Math" w:cs="Cambria Math"/>
                        <w:lang w:val="en-US"/>
                      </w:rPr>
                    </m:ctrlPr>
                  </m:naryPr>
                  <m:sub/>
                  <m:sup/>
                  <m:e>
                    <m:sSubSup>
                      <m:sSubSupPr>
                        <m:ctrlPr>
                          <w:rPr>
                            <w:rFonts w:ascii="Cambria Math" w:hAnsi="Cambria Math" w:cs="Cambria Math"/>
                            <w:i/>
                            <w:lang w:val="en-US"/>
                          </w:rPr>
                        </m:ctrlPr>
                      </m:sSubSupPr>
                      <m:e>
                        <m:r>
                          <w:rPr>
                            <w:rFonts w:ascii="Cambria Math" w:hAnsi="Cambria Math" w:cs="Cambria Math"/>
                            <w:lang w:val="en-US"/>
                          </w:rPr>
                          <m:t>E</m:t>
                        </m:r>
                      </m:e>
                      <m:sub>
                        <m:sSub>
                          <m:sSubPr>
                            <m:ctrlPr>
                              <w:rPr>
                                <w:rFonts w:ascii="Cambria Math" w:hAnsi="Cambria Math" w:cs="Cambria Math"/>
                                <w:i/>
                                <w:lang w:val="en-US"/>
                              </w:rPr>
                            </m:ctrlPr>
                          </m:sSubPr>
                          <m:e>
                            <m:r>
                              <w:rPr>
                                <w:rFonts w:ascii="Cambria Math" w:hAnsi="Cambria Math" w:cs="Cambria Math"/>
                                <w:lang w:val="en-US"/>
                              </w:rPr>
                              <m:t>WP</m:t>
                            </m:r>
                          </m:e>
                          <m:sub>
                            <m:r>
                              <w:rPr>
                                <w:rFonts w:ascii="Cambria Math" w:hAnsi="Cambria Math" w:cs="Cambria Math"/>
                                <w:lang w:val="en-US"/>
                              </w:rPr>
                              <m:t>Grid</m:t>
                            </m:r>
                          </m:sub>
                        </m:sSub>
                      </m:sub>
                      <m:sup>
                        <m:r>
                          <w:rPr>
                            <w:rFonts w:ascii="Cambria Math" w:hAnsi="Cambria Math" w:cs="Cambria Math"/>
                            <w:lang w:val="en-US"/>
                          </w:rPr>
                          <m:t>k</m:t>
                        </m:r>
                      </m:sup>
                    </m:sSubSup>
                  </m:e>
                </m:nary>
              </m:e>
            </m:nary>
          </m:den>
        </m:f>
      </m:oMath>
      <w:r w:rsidRPr="004A2D77">
        <w:rPr>
          <w:rFonts w:eastAsiaTheme="minorEastAsia"/>
          <w:lang w:val="en-US"/>
        </w:rPr>
        <w:tab/>
      </w:r>
      <w:r w:rsidRPr="004A2D77">
        <w:rPr>
          <w:rFonts w:eastAsiaTheme="minorEastAsia"/>
          <w:lang w:val="en-US"/>
        </w:rPr>
        <w:tab/>
      </w:r>
      <w:r w:rsidR="005D03E6" w:rsidRPr="004A2D77">
        <w:rPr>
          <w:rFonts w:eastAsiaTheme="minorEastAsia"/>
          <w:lang w:val="en-US"/>
        </w:rPr>
        <w:tab/>
      </w:r>
      <w:r w:rsidRPr="004A2D77">
        <w:rPr>
          <w:rFonts w:eastAsiaTheme="minorEastAsia"/>
          <w:lang w:val="en-US"/>
        </w:rPr>
        <w:tab/>
      </w:r>
      <w:r w:rsidRPr="004A2D77">
        <w:rPr>
          <w:rFonts w:eastAsiaTheme="minorEastAsia"/>
          <w:lang w:val="en-US"/>
        </w:rPr>
        <w:tab/>
      </w:r>
      <w:r w:rsidRPr="004A2D77">
        <w:rPr>
          <w:rFonts w:ascii="Times New Roman" w:eastAsiaTheme="minorEastAsia" w:hAnsi="Times New Roman" w:cs="Times New Roman"/>
          <w:sz w:val="24"/>
          <w:szCs w:val="24"/>
          <w:lang w:val="en-US"/>
        </w:rPr>
        <w:tab/>
      </w:r>
      <w:r w:rsidRPr="004A2D77">
        <w:rPr>
          <w:rFonts w:ascii="Times New Roman" w:hAnsi="Times New Roman" w:cs="Times New Roman"/>
          <w:sz w:val="24"/>
          <w:szCs w:val="24"/>
          <w:lang w:val="en-US"/>
        </w:rPr>
        <w:t>(</w:t>
      </w:r>
      <w:r w:rsidR="00D01669">
        <w:rPr>
          <w:rFonts w:ascii="Times New Roman" w:hAnsi="Times New Roman" w:cs="Times New Roman"/>
          <w:sz w:val="24"/>
          <w:szCs w:val="24"/>
          <w:lang w:val="en-US"/>
        </w:rPr>
        <w:t>7</w:t>
      </w:r>
      <w:r w:rsidRPr="004A2D77">
        <w:rPr>
          <w:rFonts w:ascii="Times New Roman" w:hAnsi="Times New Roman" w:cs="Times New Roman"/>
          <w:sz w:val="24"/>
          <w:szCs w:val="24"/>
          <w:lang w:val="en-US"/>
        </w:rPr>
        <w:t>)</w:t>
      </w:r>
    </w:p>
    <w:p w14:paraId="532A858E" w14:textId="369E417F" w:rsidR="00F32194" w:rsidRPr="008329BD" w:rsidRDefault="00EE7EBF" w:rsidP="00E33D4B">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 xml:space="preserve"> Where </w:t>
      </w:r>
      <m:oMath>
        <m:nary>
          <m:naryPr>
            <m:chr m:val="∑"/>
            <m:limLoc m:val="undOvr"/>
            <m:subHide m:val="1"/>
            <m:supHide m:val="1"/>
            <m:ctrlPr>
              <w:rPr>
                <w:rFonts w:ascii="Cambria Math" w:hAnsi="Cambria Math" w:cs="Cambria Math"/>
                <w:lang w:val="en-US"/>
              </w:rPr>
            </m:ctrlPr>
          </m:naryPr>
          <m:sub/>
          <m:sup/>
          <m:e>
            <m:sSubSup>
              <m:sSubSupPr>
                <m:ctrlPr>
                  <w:rPr>
                    <w:rFonts w:ascii="Cambria Math" w:hAnsi="Cambria Math" w:cs="Cambria Math"/>
                    <w:i/>
                    <w:lang w:val="en-US"/>
                  </w:rPr>
                </m:ctrlPr>
              </m:sSubSupPr>
              <m:e>
                <m:r>
                  <w:rPr>
                    <w:rFonts w:ascii="Cambria Math" w:hAnsi="Cambria Math" w:cs="Cambria Math"/>
                    <w:lang w:val="en-US"/>
                  </w:rPr>
                  <m:t>E</m:t>
                </m:r>
              </m:e>
              <m:sub>
                <m:sSub>
                  <m:sSubPr>
                    <m:ctrlPr>
                      <w:rPr>
                        <w:rFonts w:ascii="Cambria Math" w:hAnsi="Cambria Math" w:cs="Cambria Math"/>
                        <w:i/>
                        <w:lang w:val="en-US"/>
                      </w:rPr>
                    </m:ctrlPr>
                  </m:sSubPr>
                  <m:e>
                    <m:r>
                      <w:rPr>
                        <w:rFonts w:ascii="Cambria Math" w:hAnsi="Cambria Math" w:cs="Cambria Math"/>
                        <w:lang w:val="en-US"/>
                      </w:rPr>
                      <m:t>Bat</m:t>
                    </m:r>
                  </m:e>
                  <m:sub>
                    <m:r>
                      <w:rPr>
                        <w:rFonts w:ascii="Cambria Math" w:hAnsi="Cambria Math" w:cs="Cambria Math"/>
                        <w:lang w:val="en-US"/>
                      </w:rPr>
                      <m:t>IN</m:t>
                    </m:r>
                  </m:sub>
                </m:sSub>
              </m:sub>
              <m:sup>
                <m:r>
                  <w:rPr>
                    <w:rFonts w:ascii="Cambria Math" w:hAnsi="Cambria Math" w:cs="Cambria Math"/>
                    <w:lang w:val="en-US"/>
                  </w:rPr>
                  <m:t>k</m:t>
                </m:r>
              </m:sup>
            </m:sSubSup>
          </m:e>
        </m:nary>
      </m:oMath>
      <w:r w:rsidRPr="004A2D77">
        <w:rPr>
          <w:rFonts w:ascii="Times New Roman" w:eastAsiaTheme="minorEastAsia" w:hAnsi="Times New Roman" w:cs="Times New Roman"/>
          <w:sz w:val="24"/>
          <w:szCs w:val="24"/>
          <w:lang w:val="en-US"/>
        </w:rPr>
        <w:t xml:space="preserve"> is the energy input in the battery, </w:t>
      </w:r>
      <m:oMath>
        <m:nary>
          <m:naryPr>
            <m:chr m:val="∑"/>
            <m:limLoc m:val="undOvr"/>
            <m:subHide m:val="1"/>
            <m:supHide m:val="1"/>
            <m:ctrlPr>
              <w:rPr>
                <w:rFonts w:ascii="Cambria Math" w:hAnsi="Cambria Math" w:cs="Cambria Math"/>
                <w:lang w:val="en-US"/>
              </w:rPr>
            </m:ctrlPr>
          </m:naryPr>
          <m:sub/>
          <m:sup/>
          <m:e>
            <m:sSubSup>
              <m:sSubSupPr>
                <m:ctrlPr>
                  <w:rPr>
                    <w:rFonts w:ascii="Cambria Math" w:hAnsi="Cambria Math" w:cs="Cambria Math"/>
                    <w:i/>
                    <w:lang w:val="en-US"/>
                  </w:rPr>
                </m:ctrlPr>
              </m:sSubSupPr>
              <m:e>
                <m:r>
                  <w:rPr>
                    <w:rFonts w:ascii="Cambria Math" w:hAnsi="Cambria Math" w:cs="Cambria Math"/>
                    <w:lang w:val="en-US"/>
                  </w:rPr>
                  <m:t>E</m:t>
                </m:r>
              </m:e>
              <m:sub>
                <m:r>
                  <w:rPr>
                    <w:rFonts w:ascii="Cambria Math" w:hAnsi="Cambria Math" w:cs="Cambria Math"/>
                    <w:lang w:val="en-US"/>
                  </w:rPr>
                  <m:t>out</m:t>
                </m:r>
              </m:sub>
              <m:sup>
                <m:r>
                  <w:rPr>
                    <w:rFonts w:ascii="Cambria Math" w:hAnsi="Cambria Math" w:cs="Cambria Math"/>
                    <w:lang w:val="en-US"/>
                  </w:rPr>
                  <m:t>k</m:t>
                </m:r>
              </m:sup>
            </m:sSubSup>
          </m:e>
        </m:nary>
      </m:oMath>
      <w:r w:rsidRPr="004A2D77">
        <w:rPr>
          <w:rFonts w:ascii="Times New Roman" w:eastAsiaTheme="minorEastAsia" w:hAnsi="Times New Roman" w:cs="Times New Roman"/>
          <w:sz w:val="24"/>
          <w:szCs w:val="24"/>
          <w:lang w:val="en-US"/>
        </w:rPr>
        <w:t xml:space="preserve"> is the energy output from the battery, </w:t>
      </w:r>
      <m:oMath>
        <m:nary>
          <m:naryPr>
            <m:chr m:val="∑"/>
            <m:limLoc m:val="undOvr"/>
            <m:subHide m:val="1"/>
            <m:supHide m:val="1"/>
            <m:ctrlPr>
              <w:rPr>
                <w:rFonts w:ascii="Cambria Math" w:hAnsi="Cambria Math" w:cs="Cambria Math"/>
                <w:lang w:val="en-US"/>
              </w:rPr>
            </m:ctrlPr>
          </m:naryPr>
          <m:sub/>
          <m:sup/>
          <m:e>
            <m:sSubSup>
              <m:sSubSupPr>
                <m:ctrlPr>
                  <w:rPr>
                    <w:rFonts w:ascii="Cambria Math" w:hAnsi="Cambria Math" w:cs="Cambria Math"/>
                    <w:i/>
                    <w:lang w:val="en-US"/>
                  </w:rPr>
                </m:ctrlPr>
              </m:sSubSupPr>
              <m:e>
                <m:r>
                  <w:rPr>
                    <w:rFonts w:ascii="Cambria Math" w:hAnsi="Cambria Math" w:cs="Cambria Math"/>
                    <w:lang w:val="en-US"/>
                  </w:rPr>
                  <m:t>E</m:t>
                </m:r>
              </m:e>
              <m:sub>
                <m:sSub>
                  <m:sSubPr>
                    <m:ctrlPr>
                      <w:rPr>
                        <w:rFonts w:ascii="Cambria Math" w:hAnsi="Cambria Math" w:cs="Cambria Math"/>
                        <w:i/>
                        <w:lang w:val="en-US"/>
                      </w:rPr>
                    </m:ctrlPr>
                  </m:sSubPr>
                  <m:e>
                    <m:r>
                      <w:rPr>
                        <w:rFonts w:ascii="Cambria Math" w:hAnsi="Cambria Math" w:cs="Cambria Math"/>
                        <w:lang w:val="en-US"/>
                      </w:rPr>
                      <m:t>WP</m:t>
                    </m:r>
                  </m:e>
                  <m:sub>
                    <m:r>
                      <w:rPr>
                        <w:rFonts w:ascii="Cambria Math" w:hAnsi="Cambria Math" w:cs="Cambria Math"/>
                        <w:lang w:val="en-US"/>
                      </w:rPr>
                      <m:t>Gen</m:t>
                    </m:r>
                  </m:sub>
                </m:sSub>
              </m:sub>
              <m:sup>
                <m:r>
                  <w:rPr>
                    <w:rFonts w:ascii="Cambria Math" w:hAnsi="Cambria Math" w:cs="Cambria Math"/>
                    <w:lang w:val="en-US"/>
                  </w:rPr>
                  <m:t>k</m:t>
                </m:r>
              </m:sup>
            </m:sSubSup>
          </m:e>
        </m:nary>
      </m:oMath>
      <w:r w:rsidRPr="004A2D77">
        <w:rPr>
          <w:rFonts w:ascii="Times New Roman" w:hAnsi="Times New Roman" w:cs="Times New Roman"/>
          <w:sz w:val="24"/>
          <w:szCs w:val="24"/>
          <w:lang w:val="en-US"/>
        </w:rPr>
        <w:t xml:space="preserve"> is the wind </w:t>
      </w:r>
      <w:r w:rsidR="005D03E6" w:rsidRPr="004A2D77">
        <w:rPr>
          <w:rFonts w:ascii="Times New Roman" w:hAnsi="Times New Roman" w:cs="Times New Roman"/>
          <w:sz w:val="24"/>
          <w:szCs w:val="24"/>
          <w:lang w:val="en-US"/>
        </w:rPr>
        <w:t xml:space="preserve">or solar </w:t>
      </w:r>
      <w:r w:rsidRPr="004A2D77">
        <w:rPr>
          <w:rFonts w:ascii="Times New Roman" w:hAnsi="Times New Roman" w:cs="Times New Roman"/>
          <w:sz w:val="24"/>
          <w:szCs w:val="24"/>
          <w:lang w:val="en-US"/>
        </w:rPr>
        <w:t>power generation</w:t>
      </w:r>
      <w:r w:rsidR="004240D3">
        <w:rPr>
          <w:rFonts w:ascii="Times New Roman" w:hAnsi="Times New Roman" w:cs="Times New Roman"/>
          <w:sz w:val="24"/>
          <w:szCs w:val="24"/>
          <w:lang w:val="en-US"/>
        </w:rPr>
        <w:t xml:space="preserve">, </w:t>
      </w:r>
      <m:oMath>
        <m:nary>
          <m:naryPr>
            <m:chr m:val="∑"/>
            <m:limLoc m:val="undOvr"/>
            <m:subHide m:val="1"/>
            <m:supHide m:val="1"/>
            <m:ctrlPr>
              <w:rPr>
                <w:rFonts w:ascii="Cambria Math" w:hAnsi="Cambria Math" w:cs="Cambria Math"/>
                <w:lang w:val="en-US"/>
              </w:rPr>
            </m:ctrlPr>
          </m:naryPr>
          <m:sub/>
          <m:sup/>
          <m:e>
            <m:sSubSup>
              <m:sSubSupPr>
                <m:ctrlPr>
                  <w:rPr>
                    <w:rFonts w:ascii="Cambria Math" w:hAnsi="Cambria Math" w:cs="Cambria Math"/>
                    <w:i/>
                    <w:lang w:val="en-US"/>
                  </w:rPr>
                </m:ctrlPr>
              </m:sSubSupPr>
              <m:e>
                <m:r>
                  <w:rPr>
                    <w:rFonts w:ascii="Cambria Math" w:hAnsi="Cambria Math" w:cs="Cambria Math"/>
                    <w:lang w:val="en-US"/>
                  </w:rPr>
                  <m:t>E</m:t>
                </m:r>
              </m:e>
              <m:sub>
                <m:r>
                  <w:rPr>
                    <w:rFonts w:ascii="Cambria Math" w:hAnsi="Cambria Math" w:cs="Cambria Math"/>
                    <w:lang w:val="en-US"/>
                  </w:rPr>
                  <m:t>Dem</m:t>
                </m:r>
              </m:sub>
              <m:sup>
                <m:r>
                  <w:rPr>
                    <w:rFonts w:ascii="Cambria Math" w:hAnsi="Cambria Math" w:cs="Cambria Math"/>
                    <w:lang w:val="en-US"/>
                  </w:rPr>
                  <m:t>k</m:t>
                </m:r>
              </m:sup>
            </m:sSubSup>
          </m:e>
        </m:nary>
      </m:oMath>
      <w:r w:rsidRPr="004A2D77">
        <w:rPr>
          <w:rFonts w:ascii="Times New Roman" w:hAnsi="Times New Roman" w:cs="Times New Roman"/>
          <w:sz w:val="24"/>
          <w:szCs w:val="24"/>
          <w:lang w:val="en-US"/>
        </w:rPr>
        <w:t xml:space="preserve"> </w:t>
      </w:r>
      <w:r w:rsidR="007656BD">
        <w:rPr>
          <w:rFonts w:ascii="Times New Roman" w:hAnsi="Times New Roman" w:cs="Times New Roman"/>
          <w:sz w:val="24"/>
          <w:szCs w:val="24"/>
          <w:lang w:val="en-US"/>
        </w:rPr>
        <w:t>is the energy consum</w:t>
      </w:r>
      <w:r w:rsidR="000E24AA">
        <w:rPr>
          <w:rFonts w:ascii="Times New Roman" w:hAnsi="Times New Roman" w:cs="Times New Roman"/>
          <w:sz w:val="24"/>
          <w:szCs w:val="24"/>
          <w:lang w:val="en-US"/>
        </w:rPr>
        <w:t xml:space="preserve">ption referring to the </w:t>
      </w:r>
      <w:r w:rsidR="00AA4DF8">
        <w:rPr>
          <w:rFonts w:ascii="Times New Roman" w:hAnsi="Times New Roman" w:cs="Times New Roman"/>
          <w:sz w:val="24"/>
          <w:szCs w:val="24"/>
          <w:lang w:val="en-US"/>
        </w:rPr>
        <w:t xml:space="preserve">final consumers </w:t>
      </w:r>
      <w:r w:rsidRPr="004A2D77">
        <w:rPr>
          <w:rFonts w:ascii="Times New Roman" w:hAnsi="Times New Roman" w:cs="Times New Roman"/>
          <w:sz w:val="24"/>
          <w:szCs w:val="24"/>
          <w:lang w:val="en-US"/>
        </w:rPr>
        <w:t xml:space="preserve">and </w:t>
      </w:r>
      <m:oMath>
        <m:nary>
          <m:naryPr>
            <m:chr m:val="∑"/>
            <m:limLoc m:val="undOvr"/>
            <m:subHide m:val="1"/>
            <m:supHide m:val="1"/>
            <m:ctrlPr>
              <w:rPr>
                <w:rFonts w:ascii="Cambria Math" w:hAnsi="Cambria Math" w:cs="Cambria Math"/>
                <w:lang w:val="en-US"/>
              </w:rPr>
            </m:ctrlPr>
          </m:naryPr>
          <m:sub/>
          <m:sup/>
          <m:e>
            <m:sSubSup>
              <m:sSubSupPr>
                <m:ctrlPr>
                  <w:rPr>
                    <w:rFonts w:ascii="Cambria Math" w:hAnsi="Cambria Math" w:cs="Cambria Math"/>
                    <w:i/>
                    <w:lang w:val="en-US"/>
                  </w:rPr>
                </m:ctrlPr>
              </m:sSubSupPr>
              <m:e>
                <m:r>
                  <w:rPr>
                    <w:rFonts w:ascii="Cambria Math" w:hAnsi="Cambria Math" w:cs="Cambria Math"/>
                    <w:lang w:val="en-US"/>
                  </w:rPr>
                  <m:t>E</m:t>
                </m:r>
              </m:e>
              <m:sub>
                <m:sSub>
                  <m:sSubPr>
                    <m:ctrlPr>
                      <w:rPr>
                        <w:rFonts w:ascii="Cambria Math" w:hAnsi="Cambria Math" w:cs="Cambria Math"/>
                        <w:i/>
                        <w:lang w:val="en-US"/>
                      </w:rPr>
                    </m:ctrlPr>
                  </m:sSubPr>
                  <m:e>
                    <m:r>
                      <w:rPr>
                        <w:rFonts w:ascii="Cambria Math" w:hAnsi="Cambria Math" w:cs="Cambria Math"/>
                        <w:lang w:val="en-US"/>
                      </w:rPr>
                      <m:t>WP</m:t>
                    </m:r>
                  </m:e>
                  <m:sub>
                    <m:r>
                      <w:rPr>
                        <w:rFonts w:ascii="Cambria Math" w:hAnsi="Cambria Math" w:cs="Cambria Math"/>
                        <w:lang w:val="en-US"/>
                      </w:rPr>
                      <m:t>Grid</m:t>
                    </m:r>
                  </m:sub>
                </m:sSub>
              </m:sub>
              <m:sup>
                <m:r>
                  <w:rPr>
                    <w:rFonts w:ascii="Cambria Math" w:hAnsi="Cambria Math" w:cs="Cambria Math"/>
                    <w:lang w:val="en-US"/>
                  </w:rPr>
                  <m:t>k</m:t>
                </m:r>
              </m:sup>
            </m:sSubSup>
          </m:e>
        </m:nary>
      </m:oMath>
      <w:r w:rsidRPr="004A2D77">
        <w:rPr>
          <w:rFonts w:ascii="Times New Roman" w:hAnsi="Times New Roman" w:cs="Times New Roman"/>
          <w:sz w:val="24"/>
          <w:szCs w:val="24"/>
          <w:lang w:val="en-US"/>
        </w:rPr>
        <w:t xml:space="preserve"> the wind </w:t>
      </w:r>
      <w:r w:rsidR="005D03E6" w:rsidRPr="004A2D77">
        <w:rPr>
          <w:rFonts w:ascii="Times New Roman" w:hAnsi="Times New Roman" w:cs="Times New Roman"/>
          <w:sz w:val="24"/>
          <w:szCs w:val="24"/>
          <w:lang w:val="en-US"/>
        </w:rPr>
        <w:t xml:space="preserve">or solar </w:t>
      </w:r>
      <w:r w:rsidRPr="004A2D77">
        <w:rPr>
          <w:rFonts w:ascii="Times New Roman" w:hAnsi="Times New Roman" w:cs="Times New Roman"/>
          <w:sz w:val="24"/>
          <w:szCs w:val="24"/>
          <w:lang w:val="en-US"/>
        </w:rPr>
        <w:t>power consumed</w:t>
      </w:r>
      <w:r w:rsidR="00885ABE">
        <w:rPr>
          <w:rFonts w:ascii="Times New Roman" w:hAnsi="Times New Roman" w:cs="Times New Roman"/>
          <w:sz w:val="24"/>
          <w:szCs w:val="24"/>
          <w:lang w:val="en-US"/>
        </w:rPr>
        <w:t>.</w:t>
      </w:r>
    </w:p>
    <w:p w14:paraId="0DE20E9D" w14:textId="77777777" w:rsidR="0055419D" w:rsidRPr="00F417E9" w:rsidRDefault="0055419D" w:rsidP="005D03E6">
      <w:pPr>
        <w:spacing w:after="120" w:line="480" w:lineRule="auto"/>
        <w:jc w:val="both"/>
        <w:rPr>
          <w:rFonts w:ascii="Times New Roman" w:hAnsi="Times New Roman" w:cs="Times New Roman"/>
          <w:sz w:val="24"/>
          <w:szCs w:val="24"/>
        </w:rPr>
      </w:pPr>
    </w:p>
    <w:p w14:paraId="21528802" w14:textId="0C0D451C" w:rsidR="00490B67" w:rsidRPr="00060970" w:rsidRDefault="005C3FDB" w:rsidP="005960C2">
      <w:pPr>
        <w:spacing w:after="120" w:line="480" w:lineRule="auto"/>
        <w:jc w:val="both"/>
        <w:rPr>
          <w:rFonts w:ascii="Times New Roman" w:hAnsi="Times New Roman" w:cs="Times New Roman"/>
          <w:bCs/>
          <w:sz w:val="24"/>
          <w:szCs w:val="24"/>
          <w:lang w:val="en-US"/>
        </w:rPr>
      </w:pPr>
      <w:r w:rsidRPr="00060970">
        <w:rPr>
          <w:rFonts w:ascii="Times New Roman" w:hAnsi="Times New Roman" w:cs="Times New Roman"/>
          <w:bCs/>
          <w:sz w:val="24"/>
          <w:szCs w:val="24"/>
          <w:lang w:val="en-US"/>
        </w:rPr>
        <w:t xml:space="preserve">5. </w:t>
      </w:r>
      <w:r w:rsidR="00490B67" w:rsidRPr="00060970">
        <w:rPr>
          <w:rFonts w:ascii="Times New Roman" w:hAnsi="Times New Roman" w:cs="Times New Roman"/>
          <w:bCs/>
          <w:sz w:val="24"/>
          <w:szCs w:val="24"/>
          <w:lang w:val="en-US"/>
        </w:rPr>
        <w:t>Flow velocity</w:t>
      </w:r>
    </w:p>
    <w:p w14:paraId="76386C05" w14:textId="77777777" w:rsidR="00490B67" w:rsidRPr="004A2D77" w:rsidRDefault="00490B67" w:rsidP="00490B67">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The flow velocity is associated with the concentration overpotential per unit area. Increased flow velocity enhances the mass transport of active species, resulting in higher limiting current densities. The electrolyte flow velocity and the corresponding power densities varies with the electrode/cell architectures. For instance, carbon paper tends to yield higher power densities (often &gt; 0.5 W cm</w:t>
      </w:r>
      <w:r w:rsidRPr="004A2D77">
        <w:rPr>
          <w:rFonts w:ascii="Times New Roman" w:hAnsi="Times New Roman" w:cs="Times New Roman"/>
          <w:sz w:val="24"/>
          <w:szCs w:val="24"/>
          <w:vertAlign w:val="superscript"/>
          <w:lang w:val="en-US"/>
        </w:rPr>
        <w:t>-2</w:t>
      </w:r>
      <w:r w:rsidRPr="004A2D77">
        <w:rPr>
          <w:rFonts w:ascii="Times New Roman" w:hAnsi="Times New Roman" w:cs="Times New Roman"/>
          <w:sz w:val="24"/>
          <w:szCs w:val="24"/>
          <w:lang w:val="en-US"/>
        </w:rPr>
        <w:t>) than with carbon felt (mostly &lt; 0.55 W cm</w:t>
      </w:r>
      <w:r w:rsidRPr="004A2D77">
        <w:rPr>
          <w:rFonts w:ascii="Times New Roman" w:hAnsi="Times New Roman" w:cs="Times New Roman"/>
          <w:sz w:val="24"/>
          <w:szCs w:val="24"/>
          <w:vertAlign w:val="superscript"/>
          <w:lang w:val="en-US"/>
        </w:rPr>
        <w:t>-2</w:t>
      </w:r>
      <w:r w:rsidRPr="004A2D77">
        <w:rPr>
          <w:rFonts w:ascii="Times New Roman" w:hAnsi="Times New Roman" w:cs="Times New Roman"/>
          <w:sz w:val="24"/>
          <w:szCs w:val="24"/>
          <w:lang w:val="en-US"/>
        </w:rPr>
        <w:t>) but at higher electrolyte flow velocities (i.e. &gt; 4 cm s</w:t>
      </w:r>
      <w:r w:rsidRPr="004A2D77">
        <w:rPr>
          <w:rFonts w:ascii="Times New Roman" w:hAnsi="Times New Roman" w:cs="Times New Roman"/>
          <w:sz w:val="24"/>
          <w:szCs w:val="24"/>
          <w:vertAlign w:val="superscript"/>
          <w:lang w:val="en-US"/>
        </w:rPr>
        <w:t>-1</w:t>
      </w:r>
      <w:r w:rsidRPr="004A2D77">
        <w:rPr>
          <w:rFonts w:ascii="Times New Roman" w:hAnsi="Times New Roman" w:cs="Times New Roman"/>
          <w:sz w:val="24"/>
          <w:szCs w:val="24"/>
          <w:lang w:val="en-US"/>
        </w:rPr>
        <w:t xml:space="preserve">). </w:t>
      </w:r>
    </w:p>
    <w:p w14:paraId="6D94FDF7" w14:textId="77777777" w:rsidR="007B2F6E" w:rsidRPr="004A2D77" w:rsidRDefault="007B2F6E" w:rsidP="007B2F6E">
      <w:pPr>
        <w:spacing w:after="120" w:line="480" w:lineRule="auto"/>
        <w:jc w:val="center"/>
        <w:rPr>
          <w:rFonts w:ascii="Times New Roman" w:hAnsi="Times New Roman" w:cs="Times New Roman"/>
          <w:sz w:val="24"/>
          <w:szCs w:val="24"/>
          <w:lang w:val="en-US"/>
        </w:rPr>
      </w:pPr>
      <w:r w:rsidRPr="004A2D77">
        <w:rPr>
          <w:rFonts w:ascii="Times New Roman" w:hAnsi="Times New Roman" w:cs="Times New Roman"/>
          <w:noProof/>
          <w:sz w:val="24"/>
          <w:szCs w:val="24"/>
          <w:lang w:eastAsia="en-GB"/>
        </w:rPr>
        <w:drawing>
          <wp:inline distT="0" distB="0" distL="0" distR="0" wp14:anchorId="1E4262D3" wp14:editId="73D60BE5">
            <wp:extent cx="5054803" cy="1900123"/>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7 JPS 404 2018 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4803" cy="1900123"/>
                    </a:xfrm>
                    <a:prstGeom prst="rect">
                      <a:avLst/>
                    </a:prstGeom>
                  </pic:spPr>
                </pic:pic>
              </a:graphicData>
            </a:graphic>
          </wp:inline>
        </w:drawing>
      </w:r>
    </w:p>
    <w:p w14:paraId="07DFDA34" w14:textId="739F1FFF" w:rsidR="00BC6A11" w:rsidRPr="004A2D77" w:rsidRDefault="00BC6A11" w:rsidP="00BC3991">
      <w:pPr>
        <w:pStyle w:val="NormalWeb"/>
        <w:spacing w:before="0" w:beforeAutospacing="0" w:after="120" w:afterAutospacing="0"/>
        <w:jc w:val="both"/>
        <w:rPr>
          <w:lang w:val="en-US"/>
        </w:rPr>
      </w:pPr>
      <w:r w:rsidRPr="00202404">
        <w:rPr>
          <w:bCs/>
          <w:lang w:val="en-US"/>
        </w:rPr>
        <w:t>Figure</w:t>
      </w:r>
      <w:r w:rsidR="00BC3991" w:rsidRPr="00202404">
        <w:rPr>
          <w:bCs/>
          <w:lang w:val="en-US"/>
        </w:rPr>
        <w:t xml:space="preserve"> 3</w:t>
      </w:r>
      <w:r w:rsidR="00202404">
        <w:rPr>
          <w:bCs/>
          <w:lang w:val="en-US"/>
        </w:rPr>
        <w:t>.</w:t>
      </w:r>
      <w:r w:rsidRPr="00202404">
        <w:rPr>
          <w:bCs/>
          <w:lang w:val="en-US"/>
        </w:rPr>
        <w:t xml:space="preserve"> </w:t>
      </w:r>
      <w:r w:rsidR="007B2F6E" w:rsidRPr="00202404">
        <w:rPr>
          <w:bCs/>
          <w:lang w:val="en-US"/>
        </w:rPr>
        <w:t>Polarization</w:t>
      </w:r>
      <w:r w:rsidR="007B2F6E" w:rsidRPr="004A2D77">
        <w:rPr>
          <w:lang w:val="en-US"/>
        </w:rPr>
        <w:t xml:space="preserve"> curves</w:t>
      </w:r>
      <w:r w:rsidR="000461DB" w:rsidRPr="004A2D77">
        <w:rPr>
          <w:lang w:val="en-US"/>
        </w:rPr>
        <w:t xml:space="preserve"> at different flow velocities; </w:t>
      </w:r>
      <w:r w:rsidR="007B2F6E" w:rsidRPr="004A2D77">
        <w:rPr>
          <w:lang w:val="en-US"/>
        </w:rPr>
        <w:t xml:space="preserve">a) </w:t>
      </w:r>
      <w:r w:rsidR="000D1386" w:rsidRPr="004A2D77">
        <w:rPr>
          <w:lang w:val="en-US"/>
        </w:rPr>
        <w:t>three-channel serpentine (</w:t>
      </w:r>
      <w:r w:rsidR="007B2F6E" w:rsidRPr="004A2D77">
        <w:rPr>
          <w:lang w:val="en-US"/>
        </w:rPr>
        <w:t>SFF</w:t>
      </w:r>
      <w:r w:rsidR="000D1386" w:rsidRPr="004A2D77">
        <w:rPr>
          <w:lang w:val="en-US"/>
        </w:rPr>
        <w:t>)</w:t>
      </w:r>
      <w:r w:rsidR="007B2F6E" w:rsidRPr="004A2D77">
        <w:rPr>
          <w:lang w:val="en-US"/>
        </w:rPr>
        <w:t>-Graphite felt, and</w:t>
      </w:r>
      <w:r w:rsidR="000461DB" w:rsidRPr="004A2D77">
        <w:rPr>
          <w:lang w:val="en-US"/>
        </w:rPr>
        <w:t xml:space="preserve"> </w:t>
      </w:r>
      <w:r w:rsidR="007B2F6E" w:rsidRPr="004A2D77">
        <w:rPr>
          <w:lang w:val="en-US"/>
        </w:rPr>
        <w:t xml:space="preserve">b) SFF-Carbon paper (3- layers of SGL 10 AA </w:t>
      </w:r>
      <w:r w:rsidR="000D1386" w:rsidRPr="004A2D77">
        <w:rPr>
          <w:lang w:val="en-US"/>
        </w:rPr>
        <w:t>360 </w:t>
      </w:r>
      <w:proofErr w:type="spellStart"/>
      <w:r w:rsidR="000D1386" w:rsidRPr="004A2D77">
        <w:rPr>
          <w:lang w:val="en-US"/>
        </w:rPr>
        <w:t>μm</w:t>
      </w:r>
      <w:proofErr w:type="spellEnd"/>
      <w:r w:rsidR="000D1386" w:rsidRPr="004A2D77">
        <w:rPr>
          <w:lang w:val="en-US"/>
        </w:rPr>
        <w:t xml:space="preserve"> thick, </w:t>
      </w:r>
      <w:r w:rsidR="007B2F6E" w:rsidRPr="004A2D77">
        <w:rPr>
          <w:lang w:val="en-US"/>
        </w:rPr>
        <w:t>used at cathode and anode). With permission from Elsevier</w:t>
      </w:r>
      <w:r w:rsidR="00BC3991" w:rsidRPr="004A2D77">
        <w:rPr>
          <w:lang w:val="en-US"/>
        </w:rPr>
        <w:t>.</w:t>
      </w:r>
    </w:p>
    <w:p w14:paraId="31C2BEE7" w14:textId="77777777" w:rsidR="00BC6A11" w:rsidRPr="004A2D77" w:rsidRDefault="00BC6A11" w:rsidP="00490B67">
      <w:pPr>
        <w:pStyle w:val="NormalWeb"/>
        <w:spacing w:before="0" w:beforeAutospacing="0" w:after="120" w:afterAutospacing="0" w:line="480" w:lineRule="auto"/>
        <w:jc w:val="both"/>
        <w:rPr>
          <w:lang w:val="en-US"/>
        </w:rPr>
      </w:pPr>
    </w:p>
    <w:p w14:paraId="17227EBC" w14:textId="77777777" w:rsidR="00490B67" w:rsidRPr="004A2D77" w:rsidRDefault="00490B67" w:rsidP="00490B67">
      <w:pPr>
        <w:pStyle w:val="NormalWeb"/>
        <w:spacing w:before="0" w:beforeAutospacing="0" w:after="120" w:afterAutospacing="0" w:line="480" w:lineRule="auto"/>
        <w:jc w:val="both"/>
        <w:rPr>
          <w:lang w:val="en-US"/>
        </w:rPr>
      </w:pPr>
      <w:r w:rsidRPr="004A2D77">
        <w:rPr>
          <w:lang w:val="en-US"/>
        </w:rPr>
        <w:t xml:space="preserve">The comparison (polarization curves) of electrochemical performances of graphite felt and carbon felts with serpentine flow fields is shown </w:t>
      </w:r>
      <w:r w:rsidRPr="00202404">
        <w:rPr>
          <w:lang w:val="en-US"/>
        </w:rPr>
        <w:t xml:space="preserve">in </w:t>
      </w:r>
      <w:r w:rsidRPr="00202404">
        <w:rPr>
          <w:bCs/>
          <w:lang w:val="en-US"/>
        </w:rPr>
        <w:t xml:space="preserve">Figure </w:t>
      </w:r>
      <w:r w:rsidR="00BC3991" w:rsidRPr="00202404">
        <w:rPr>
          <w:bCs/>
          <w:lang w:val="en-US"/>
        </w:rPr>
        <w:t>3</w:t>
      </w:r>
      <w:r w:rsidRPr="00202404">
        <w:rPr>
          <w:bCs/>
          <w:lang w:val="en-US"/>
        </w:rPr>
        <w:t>.</w:t>
      </w:r>
      <w:r w:rsidRPr="00202404">
        <w:rPr>
          <w:lang w:val="en-US"/>
        </w:rPr>
        <w:t xml:space="preserve"> At</w:t>
      </w:r>
      <w:r w:rsidRPr="004A2D77">
        <w:rPr>
          <w:lang w:val="en-US"/>
        </w:rPr>
        <w:t xml:space="preserve"> slower electrolyte velocity (&lt; </w:t>
      </w:r>
      <w:r w:rsidRPr="004A2D77">
        <w:rPr>
          <w:lang w:val="en-US"/>
        </w:rPr>
        <w:lastRenderedPageBreak/>
        <w:t>3 cm s</w:t>
      </w:r>
      <w:r w:rsidRPr="004A2D77">
        <w:rPr>
          <w:vertAlign w:val="superscript"/>
          <w:lang w:val="en-US"/>
        </w:rPr>
        <w:t>-1</w:t>
      </w:r>
      <w:r w:rsidRPr="004A2D77">
        <w:rPr>
          <w:lang w:val="en-US"/>
        </w:rPr>
        <w:t>), the output power density of carbon paper was observed to be similar to that with felt electrodes. Thinner and denser carbon paper tends to reduce the internal resistance, also allows higher electrolyte flow velocities while avoiding excessive pressure build up. In most cases, carbon papers had less activation and ohmic losses. However, rapid drop in discharge voltages at increased current densities indicated that improved mass transport of active species/ higher electrolyte flow velocities (&gt; 3 cm s</w:t>
      </w:r>
      <w:r w:rsidRPr="004A2D77">
        <w:rPr>
          <w:vertAlign w:val="superscript"/>
          <w:lang w:val="en-US"/>
        </w:rPr>
        <w:t>-1</w:t>
      </w:r>
      <w:r w:rsidRPr="004A2D77">
        <w:rPr>
          <w:lang w:val="en-US"/>
        </w:rPr>
        <w:t>) are required. Taking account of internal resistance issues, the power output (i.e. 0.65 W cm</w:t>
      </w:r>
      <w:r w:rsidRPr="004A2D77">
        <w:rPr>
          <w:vertAlign w:val="superscript"/>
          <w:lang w:val="en-US"/>
        </w:rPr>
        <w:t>-2</w:t>
      </w:r>
      <w:r w:rsidRPr="004A2D77">
        <w:rPr>
          <w:lang w:val="en-US"/>
        </w:rPr>
        <w:t>) is still superior with carbon papers at higher electrolyte flow velocities (i.e. &gt; 4 cm s</w:t>
      </w:r>
      <w:r w:rsidRPr="004A2D77">
        <w:rPr>
          <w:vertAlign w:val="superscript"/>
          <w:lang w:val="en-US"/>
        </w:rPr>
        <w:t>-1</w:t>
      </w:r>
      <w:r w:rsidRPr="004A2D77">
        <w:rPr>
          <w:lang w:val="en-US"/>
        </w:rPr>
        <w:t xml:space="preserve">). </w:t>
      </w:r>
    </w:p>
    <w:p w14:paraId="2E12E4C6" w14:textId="77777777" w:rsidR="00490B67" w:rsidRPr="004A2D77" w:rsidRDefault="00490B67" w:rsidP="00490B67">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For porous electrodes with flow field architectures, larger pump powers are required to overcome the pressure drop across the flow, together at the point of porosity at increased tortuosity. Electrolyte flows at the inlets/outlets or across the porous electrodes with non-uniform porosity tend to give disorder flow and enable a higher reactant flux than with diffusion process only. This may hinder the flow velocity or enhance the mass transport of the active species or improve the electrolyte contact with the electrode surface.</w:t>
      </w:r>
    </w:p>
    <w:p w14:paraId="0380F7E2" w14:textId="77777777" w:rsidR="00490B67" w:rsidRPr="004A2D77" w:rsidRDefault="00490B67" w:rsidP="00490B67">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Within these porous structures, convective flows tend to extend over a wider area at increased flow rate, which reduce the concentration overpotential and enhances the electrochemical performance, while pump power and pressure drop were increased within the cells. In a scaled up system, higher flow velocity also implies the requirements of more powerful and hence more expensive pumps. Meanwhile, when larger pumps are used, the efficiencies were usually lower for obtaining lower flow velocity during low current operations.</w:t>
      </w:r>
    </w:p>
    <w:p w14:paraId="2236B233" w14:textId="79DB6665" w:rsidR="00490B67" w:rsidRPr="004A2D77" w:rsidRDefault="00490B67" w:rsidP="00490B67">
      <w:pPr>
        <w:pStyle w:val="NormalWeb"/>
        <w:spacing w:before="0" w:beforeAutospacing="0" w:after="120" w:afterAutospacing="0" w:line="480" w:lineRule="auto"/>
        <w:jc w:val="both"/>
        <w:rPr>
          <w:lang w:val="en-US"/>
        </w:rPr>
      </w:pPr>
      <w:r w:rsidRPr="004A2D77">
        <w:rPr>
          <w:lang w:val="en-US"/>
        </w:rPr>
        <w:t xml:space="preserve">Since the electrochemical performances are highly associated with the mass transport of active species towards the electrode surfaces, flow velocity has impact on </w:t>
      </w:r>
      <w:r w:rsidR="000D1386" w:rsidRPr="004A2D77">
        <w:rPr>
          <w:lang w:val="en-US"/>
        </w:rPr>
        <w:t xml:space="preserve">the </w:t>
      </w:r>
      <w:r w:rsidRPr="004A2D77">
        <w:rPr>
          <w:lang w:val="en-US"/>
        </w:rPr>
        <w:t xml:space="preserve">battery capacities and charge/discharge cell voltages, especially at high currents. Taking account that cycling of most batteries are controlled by voltage limits, insufficient flow velocity often resulted in premature voltage cut-off at the end of each charge/discharge cycle, hence the maximum capacity cannot </w:t>
      </w:r>
      <w:r w:rsidRPr="004A2D77">
        <w:rPr>
          <w:lang w:val="en-US"/>
        </w:rPr>
        <w:lastRenderedPageBreak/>
        <w:t>be exploited effectively. In this regard, control/step-up strategies for the electrolyte flow velocities have been proposed to improve the system efficiencies and maintain high capacities at the same time. For instance, lower flow velocity was mainly used in the charge-discharge processes but ‘stepped up’ towards the end of the charge/discharge processes. With this strategy, the system efficiency can be improved by as much as 8 %.</w:t>
      </w:r>
    </w:p>
    <w:p w14:paraId="275F2452" w14:textId="77777777" w:rsidR="008F6176" w:rsidRPr="004A2D77" w:rsidRDefault="008F6176" w:rsidP="00490B67">
      <w:pPr>
        <w:pStyle w:val="NormalWeb"/>
        <w:spacing w:before="0" w:beforeAutospacing="0" w:after="120" w:afterAutospacing="0" w:line="480" w:lineRule="auto"/>
        <w:jc w:val="both"/>
        <w:rPr>
          <w:lang w:val="en-US"/>
        </w:rPr>
      </w:pPr>
    </w:p>
    <w:p w14:paraId="080136CF" w14:textId="77777777" w:rsidR="00490B67" w:rsidRPr="004A2D77" w:rsidRDefault="00490B67" w:rsidP="00BC6A11">
      <w:pPr>
        <w:pStyle w:val="NormalWeb"/>
        <w:spacing w:before="0" w:beforeAutospacing="0" w:after="120" w:afterAutospacing="0" w:line="480" w:lineRule="auto"/>
        <w:jc w:val="center"/>
        <w:rPr>
          <w:lang w:val="en-US"/>
        </w:rPr>
      </w:pPr>
      <w:r w:rsidRPr="004A2D77">
        <w:rPr>
          <w:rFonts w:ascii="Georgia" w:hAnsi="Georgia"/>
          <w:noProof/>
          <w:color w:val="FF0000"/>
          <w:sz w:val="16"/>
          <w:szCs w:val="16"/>
          <w:highlight w:val="yellow"/>
        </w:rPr>
        <w:drawing>
          <wp:inline distT="0" distB="0" distL="0" distR="0" wp14:anchorId="759348D3" wp14:editId="2E5DB194">
            <wp:extent cx="4705200" cy="3214800"/>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5200" cy="3214800"/>
                    </a:xfrm>
                    <a:prstGeom prst="rect">
                      <a:avLst/>
                    </a:prstGeom>
                    <a:noFill/>
                    <a:ln>
                      <a:noFill/>
                    </a:ln>
                  </pic:spPr>
                </pic:pic>
              </a:graphicData>
            </a:graphic>
          </wp:inline>
        </w:drawing>
      </w:r>
    </w:p>
    <w:p w14:paraId="31A04E95" w14:textId="70F43C94" w:rsidR="00490B67" w:rsidRPr="004A2D77" w:rsidRDefault="00BC6A11" w:rsidP="00114C2A">
      <w:pPr>
        <w:pStyle w:val="NormalWeb"/>
        <w:spacing w:before="0" w:beforeAutospacing="0" w:after="120" w:afterAutospacing="0"/>
        <w:jc w:val="both"/>
        <w:rPr>
          <w:lang w:val="en-US"/>
        </w:rPr>
      </w:pPr>
      <w:r w:rsidRPr="00202404">
        <w:rPr>
          <w:bCs/>
          <w:lang w:val="en-US"/>
        </w:rPr>
        <w:t>Figure</w:t>
      </w:r>
      <w:r w:rsidR="000D1386" w:rsidRPr="00202404">
        <w:rPr>
          <w:bCs/>
          <w:lang w:val="en-US"/>
        </w:rPr>
        <w:t xml:space="preserve"> </w:t>
      </w:r>
      <w:r w:rsidR="00114C2A" w:rsidRPr="00202404">
        <w:rPr>
          <w:bCs/>
          <w:lang w:val="en-US"/>
        </w:rPr>
        <w:t>4</w:t>
      </w:r>
      <w:r w:rsidR="00202404">
        <w:rPr>
          <w:bCs/>
          <w:lang w:val="en-US"/>
        </w:rPr>
        <w:t>.</w:t>
      </w:r>
      <w:r w:rsidR="00114C2A" w:rsidRPr="004A2D77">
        <w:rPr>
          <w:lang w:val="en-US"/>
        </w:rPr>
        <w:t xml:space="preserve"> (a) Digital picture of a single flow battery (b) Schematic diagram of the components of a flow battery (c) Flow channels on the bi-polar plate (d) Digital picture of the flow field in a flow-through type flow battery.</w:t>
      </w:r>
      <w:r w:rsidR="008F6176" w:rsidRPr="004A2D77">
        <w:rPr>
          <w:lang w:val="en-US"/>
        </w:rPr>
        <w:t xml:space="preserve"> </w:t>
      </w:r>
      <w:r w:rsidR="00521BA4" w:rsidRPr="004A2D77">
        <w:rPr>
          <w:lang w:val="en-US"/>
        </w:rPr>
        <w:t xml:space="preserve"> With permission from Elsevier.</w:t>
      </w:r>
    </w:p>
    <w:p w14:paraId="6DF38A7C" w14:textId="77777777" w:rsidR="008F6176" w:rsidRPr="004A2D77" w:rsidRDefault="008F6176" w:rsidP="00BC6A11">
      <w:pPr>
        <w:pStyle w:val="NormalWeb"/>
        <w:spacing w:before="0" w:beforeAutospacing="0" w:after="120" w:afterAutospacing="0" w:line="480" w:lineRule="auto"/>
        <w:jc w:val="both"/>
        <w:rPr>
          <w:lang w:val="en-US"/>
        </w:rPr>
      </w:pPr>
    </w:p>
    <w:p w14:paraId="3314A784" w14:textId="7DE41760" w:rsidR="00BC6A11" w:rsidRPr="004A2D77" w:rsidRDefault="00BC6A11" w:rsidP="00BC6A11">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Uniform distributions of electrolytes can be optimized by introducing suitable ‘flow-fields’ (i.e. parallel, serpentine, and interdigitated</w:t>
      </w:r>
      <w:r w:rsidR="00114C2A" w:rsidRPr="004A2D77">
        <w:rPr>
          <w:rFonts w:ascii="Times New Roman" w:hAnsi="Times New Roman" w:cs="Times New Roman"/>
          <w:sz w:val="24"/>
          <w:szCs w:val="24"/>
          <w:lang w:val="en-US"/>
        </w:rPr>
        <w:t xml:space="preserve">, </w:t>
      </w:r>
      <w:r w:rsidR="00114C2A" w:rsidRPr="00802C77">
        <w:rPr>
          <w:rFonts w:ascii="Times New Roman" w:hAnsi="Times New Roman" w:cs="Times New Roman"/>
          <w:sz w:val="24"/>
          <w:szCs w:val="24"/>
          <w:lang w:val="en-US"/>
        </w:rPr>
        <w:t>see Figure 4</w:t>
      </w:r>
      <w:r w:rsidRPr="00802C77">
        <w:rPr>
          <w:rFonts w:ascii="Times New Roman" w:hAnsi="Times New Roman" w:cs="Times New Roman"/>
          <w:sz w:val="24"/>
          <w:szCs w:val="24"/>
          <w:lang w:val="en-US"/>
        </w:rPr>
        <w:t>)</w:t>
      </w:r>
      <w:r w:rsidRPr="004A2D77">
        <w:rPr>
          <w:rFonts w:ascii="Times New Roman" w:hAnsi="Times New Roman" w:cs="Times New Roman"/>
          <w:sz w:val="24"/>
          <w:szCs w:val="24"/>
          <w:lang w:val="en-US"/>
        </w:rPr>
        <w:t xml:space="preserve"> in end-/bipolar plates, that can be facilitated by computational fluid dynamics (CFD) and other multi-physics software. These flow fields could improve the cell performances, particularly power outputs, by reducing their inter-electrode gaps (zero-gap architecture) and the overall cell resistances. These flow channels may lead to a poor mechanical performance of the cell stacks at scaled-up sizes. </w:t>
      </w:r>
      <w:r w:rsidRPr="004A2D77">
        <w:rPr>
          <w:rFonts w:ascii="Times New Roman" w:hAnsi="Times New Roman" w:cs="Times New Roman"/>
          <w:sz w:val="24"/>
          <w:szCs w:val="24"/>
          <w:lang w:val="en-US"/>
        </w:rPr>
        <w:lastRenderedPageBreak/>
        <w:t xml:space="preserve">Conventional architecture enables electrolyte to be forced to flow through the porous electrodes. At higher flow velocity, the hydraulic resistance could cause a high pressure </w:t>
      </w:r>
      <w:proofErr w:type="gramStart"/>
      <w:r w:rsidRPr="004A2D77">
        <w:rPr>
          <w:rFonts w:ascii="Times New Roman" w:hAnsi="Times New Roman" w:cs="Times New Roman"/>
          <w:sz w:val="24"/>
          <w:szCs w:val="24"/>
          <w:lang w:val="en-US"/>
        </w:rPr>
        <w:t>drop</w:t>
      </w:r>
      <w:proofErr w:type="gramEnd"/>
      <w:r w:rsidRPr="004A2D77">
        <w:rPr>
          <w:rFonts w:ascii="Times New Roman" w:hAnsi="Times New Roman" w:cs="Times New Roman"/>
          <w:sz w:val="24"/>
          <w:szCs w:val="24"/>
          <w:lang w:val="en-US"/>
        </w:rPr>
        <w:t xml:space="preserve">, although </w:t>
      </w:r>
      <w:r w:rsidR="00CB56B2">
        <w:rPr>
          <w:rFonts w:ascii="Times New Roman" w:hAnsi="Times New Roman" w:cs="Times New Roman"/>
          <w:sz w:val="24"/>
          <w:szCs w:val="24"/>
          <w:lang w:val="en-US"/>
        </w:rPr>
        <w:t>(</w:t>
      </w:r>
      <w:r w:rsidRPr="004A2D77">
        <w:rPr>
          <w:rFonts w:ascii="Times New Roman" w:hAnsi="Times New Roman" w:cs="Times New Roman"/>
          <w:sz w:val="24"/>
          <w:szCs w:val="24"/>
          <w:lang w:val="en-US"/>
        </w:rPr>
        <w:t xml:space="preserve">Reed </w:t>
      </w:r>
      <w:r w:rsidRPr="00CB56B2">
        <w:rPr>
          <w:rFonts w:ascii="Times New Roman" w:hAnsi="Times New Roman" w:cs="Times New Roman"/>
          <w:iCs/>
          <w:sz w:val="24"/>
          <w:szCs w:val="24"/>
          <w:lang w:val="en-US"/>
        </w:rPr>
        <w:t>et al.</w:t>
      </w:r>
      <w:r w:rsidR="00CB56B2">
        <w:rPr>
          <w:rFonts w:ascii="Times New Roman" w:hAnsi="Times New Roman" w:cs="Times New Roman"/>
          <w:sz w:val="24"/>
          <w:szCs w:val="24"/>
          <w:lang w:val="en-US"/>
        </w:rPr>
        <w:t xml:space="preserve"> 2016),</w:t>
      </w:r>
      <w:r w:rsidRPr="004A2D77">
        <w:rPr>
          <w:rFonts w:ascii="Times New Roman" w:hAnsi="Times New Roman" w:cs="Times New Roman"/>
          <w:sz w:val="24"/>
          <w:szCs w:val="24"/>
          <w:lang w:val="en-US"/>
        </w:rPr>
        <w:t xml:space="preserve"> reported that lower flow rates still enable reasonable performances. Parallel flow field involves multiple parallel channels that connect to the inlet and outlet through header channels. Serpentine flow field consists of a single channel that passes along the length of the cell and split into multiple adjacent serpentine channels. Interdigitated flow fields have parallel channels that are blocked and do not lead to both inlet and outlet of the electrode compartments. This design forces hydraulic convection across the porous electrodes, and the barrier separating adjacent channels. </w:t>
      </w:r>
      <w:r w:rsidRPr="00ED6448">
        <w:rPr>
          <w:rFonts w:ascii="Times New Roman" w:hAnsi="Times New Roman" w:cs="Times New Roman"/>
          <w:sz w:val="24"/>
          <w:szCs w:val="24"/>
          <w:lang w:val="en-US"/>
        </w:rPr>
        <w:t>At low electrolyte velocity, interdigitated flow fields with a thin carbon paper electrode were reported to have the best performance, outperform</w:t>
      </w:r>
      <w:r w:rsidR="00E17E19" w:rsidRPr="00ED6448">
        <w:rPr>
          <w:rFonts w:ascii="Times New Roman" w:hAnsi="Times New Roman" w:cs="Times New Roman"/>
          <w:sz w:val="24"/>
          <w:szCs w:val="24"/>
          <w:lang w:val="en-US"/>
        </w:rPr>
        <w:t xml:space="preserve">ing </w:t>
      </w:r>
      <w:r w:rsidRPr="00ED6448">
        <w:rPr>
          <w:rFonts w:ascii="Times New Roman" w:hAnsi="Times New Roman" w:cs="Times New Roman"/>
          <w:sz w:val="24"/>
          <w:szCs w:val="24"/>
          <w:lang w:val="en-US"/>
        </w:rPr>
        <w:t>that with serpentine flow field with a thicker electrode</w:t>
      </w:r>
      <w:r w:rsidR="00ED6448" w:rsidRPr="00ED6448">
        <w:rPr>
          <w:rFonts w:ascii="Times New Roman" w:hAnsi="Times New Roman" w:cs="Times New Roman"/>
          <w:sz w:val="24"/>
          <w:szCs w:val="24"/>
          <w:lang w:val="en-US"/>
        </w:rPr>
        <w:t xml:space="preserve"> </w:t>
      </w:r>
      <w:r w:rsidR="00ED6448" w:rsidRPr="002B0302">
        <w:rPr>
          <w:rFonts w:ascii="Times New Roman" w:hAnsi="Times New Roman" w:cs="Times New Roman"/>
          <w:sz w:val="24"/>
          <w:szCs w:val="24"/>
          <w:lang w:val="en-US"/>
        </w:rPr>
        <w:t>(</w:t>
      </w:r>
      <w:bookmarkStart w:id="1" w:name="_Hlk63011812"/>
      <w:r w:rsidR="00AE058E" w:rsidRPr="002B0302">
        <w:rPr>
          <w:rFonts w:ascii="Times New Roman" w:hAnsi="Times New Roman" w:cs="Times New Roman"/>
          <w:sz w:val="24"/>
          <w:szCs w:val="24"/>
          <w:lang w:val="en-US"/>
        </w:rPr>
        <w:t xml:space="preserve">Houser, </w:t>
      </w:r>
      <w:r w:rsidR="002B0302" w:rsidRPr="002B0302">
        <w:rPr>
          <w:rFonts w:ascii="Times New Roman" w:hAnsi="Times New Roman" w:cs="Times New Roman"/>
          <w:sz w:val="24"/>
          <w:szCs w:val="24"/>
          <w:lang w:val="en-US"/>
        </w:rPr>
        <w:t xml:space="preserve">et al. </w:t>
      </w:r>
      <w:r w:rsidR="00E625B9" w:rsidRPr="002B0302">
        <w:rPr>
          <w:rFonts w:ascii="Times New Roman" w:hAnsi="Times New Roman" w:cs="Times New Roman"/>
          <w:sz w:val="24"/>
          <w:szCs w:val="24"/>
          <w:lang w:val="en-US"/>
        </w:rPr>
        <w:t>2016</w:t>
      </w:r>
      <w:bookmarkEnd w:id="1"/>
      <w:r w:rsidR="00ED6448" w:rsidRPr="002B0302">
        <w:rPr>
          <w:rFonts w:ascii="Times New Roman" w:hAnsi="Times New Roman" w:cs="Times New Roman"/>
          <w:sz w:val="24"/>
          <w:szCs w:val="24"/>
          <w:lang w:val="en-US"/>
        </w:rPr>
        <w:t>)</w:t>
      </w:r>
      <w:r w:rsidR="002B0302" w:rsidRPr="002B0302">
        <w:rPr>
          <w:rFonts w:ascii="Times New Roman" w:hAnsi="Times New Roman" w:cs="Times New Roman"/>
          <w:sz w:val="24"/>
          <w:szCs w:val="24"/>
          <w:lang w:val="en-US"/>
        </w:rPr>
        <w:t>.</w:t>
      </w:r>
    </w:p>
    <w:p w14:paraId="3A6B3F28" w14:textId="77777777" w:rsidR="00BC6A11" w:rsidRPr="004A2D77" w:rsidRDefault="00BC6A11" w:rsidP="00BC6A11">
      <w:pPr>
        <w:pStyle w:val="NormalWeb"/>
        <w:spacing w:before="0" w:beforeAutospacing="0" w:after="120" w:afterAutospacing="0" w:line="480" w:lineRule="auto"/>
        <w:jc w:val="both"/>
        <w:rPr>
          <w:lang w:val="en-US"/>
        </w:rPr>
      </w:pPr>
    </w:p>
    <w:p w14:paraId="3F62B0F5" w14:textId="4ECF3680" w:rsidR="00BC6A11" w:rsidRPr="00060970" w:rsidRDefault="007D0C2C" w:rsidP="00BC6A11">
      <w:pPr>
        <w:spacing w:after="120" w:line="480" w:lineRule="auto"/>
        <w:rPr>
          <w:rFonts w:ascii="Times New Roman" w:hAnsi="Times New Roman" w:cs="Times New Roman"/>
          <w:bCs/>
          <w:sz w:val="24"/>
          <w:szCs w:val="24"/>
          <w:lang w:val="en-US"/>
        </w:rPr>
      </w:pPr>
      <w:r w:rsidRPr="00060970">
        <w:rPr>
          <w:rFonts w:ascii="Times New Roman" w:hAnsi="Times New Roman" w:cs="Times New Roman"/>
          <w:bCs/>
          <w:sz w:val="24"/>
          <w:szCs w:val="24"/>
          <w:lang w:val="en-US"/>
        </w:rPr>
        <w:t xml:space="preserve">6. </w:t>
      </w:r>
      <w:r w:rsidR="00BC6A11" w:rsidRPr="00060970">
        <w:rPr>
          <w:rFonts w:ascii="Times New Roman" w:hAnsi="Times New Roman" w:cs="Times New Roman"/>
          <w:bCs/>
          <w:sz w:val="24"/>
          <w:szCs w:val="24"/>
          <w:lang w:val="en-US"/>
        </w:rPr>
        <w:t xml:space="preserve">Porous electrodes (carbon felt </w:t>
      </w:r>
      <w:r w:rsidR="00BC6A11" w:rsidRPr="00060970">
        <w:rPr>
          <w:rFonts w:ascii="Times New Roman" w:hAnsi="Times New Roman" w:cs="Times New Roman"/>
          <w:bCs/>
          <w:i/>
          <w:sz w:val="24"/>
          <w:szCs w:val="24"/>
          <w:lang w:val="en-US"/>
        </w:rPr>
        <w:t>vs</w:t>
      </w:r>
      <w:r w:rsidR="00BC6A11" w:rsidRPr="00060970">
        <w:rPr>
          <w:rFonts w:ascii="Times New Roman" w:hAnsi="Times New Roman" w:cs="Times New Roman"/>
          <w:bCs/>
          <w:sz w:val="24"/>
          <w:szCs w:val="24"/>
          <w:lang w:val="en-US"/>
        </w:rPr>
        <w:t>. carbon paper)</w:t>
      </w:r>
    </w:p>
    <w:p w14:paraId="4CF39E66" w14:textId="4782F6C1" w:rsidR="00BA4CBC" w:rsidRPr="004A2D77" w:rsidRDefault="00BC6A11" w:rsidP="006F45E3">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Porous electrodes are three-dimensional materials, providing high surface areas to facilitate more efficient chemical conversion per electrolyte pass and reduce the polarizations in the reaction processes. Carbon/graphite felts and papers are common electrode materials for different RFB chemistries due to its chemical inertness with various electrolytes (i.e. concentrated acid/alkaline), although the untreated samples often have poor wettability and undergo degradation in oxidizing reactions under medium- and long term operations. It has been demonstrated that current densities</w:t>
      </w:r>
      <w:r w:rsidR="00DE70BC" w:rsidRPr="004A2D77">
        <w:rPr>
          <w:rFonts w:ascii="Times New Roman" w:hAnsi="Times New Roman" w:cs="Times New Roman"/>
          <w:sz w:val="24"/>
          <w:szCs w:val="24"/>
          <w:lang w:val="en-US"/>
        </w:rPr>
        <w:t xml:space="preserve"> can be much higher when using porous electrodes</w:t>
      </w:r>
      <w:r w:rsidRPr="004A2D77">
        <w:rPr>
          <w:rFonts w:ascii="Times New Roman" w:hAnsi="Times New Roman" w:cs="Times New Roman"/>
          <w:sz w:val="24"/>
          <w:szCs w:val="24"/>
          <w:lang w:val="en-US"/>
        </w:rPr>
        <w:t xml:space="preserve"> (&gt; 50 mA cm</w:t>
      </w:r>
      <w:r w:rsidRPr="004A2D77">
        <w:rPr>
          <w:rFonts w:ascii="Times New Roman" w:hAnsi="Times New Roman" w:cs="Times New Roman"/>
          <w:sz w:val="24"/>
          <w:szCs w:val="24"/>
          <w:vertAlign w:val="superscript"/>
          <w:lang w:val="en-US"/>
        </w:rPr>
        <w:t>-2</w:t>
      </w:r>
      <w:r w:rsidRPr="004A2D77">
        <w:rPr>
          <w:rFonts w:ascii="Times New Roman" w:hAnsi="Times New Roman" w:cs="Times New Roman"/>
          <w:sz w:val="24"/>
          <w:szCs w:val="24"/>
          <w:lang w:val="en-US"/>
        </w:rPr>
        <w:t xml:space="preserve">) </w:t>
      </w:r>
      <w:r w:rsidR="00DC52B7">
        <w:rPr>
          <w:rFonts w:ascii="Times New Roman" w:hAnsi="Times New Roman" w:cs="Times New Roman"/>
          <w:sz w:val="24"/>
          <w:szCs w:val="24"/>
          <w:lang w:val="en-US"/>
        </w:rPr>
        <w:t xml:space="preserve">respect to </w:t>
      </w:r>
      <w:r w:rsidRPr="004A2D77">
        <w:rPr>
          <w:rFonts w:ascii="Times New Roman" w:hAnsi="Times New Roman" w:cs="Times New Roman"/>
          <w:sz w:val="24"/>
          <w:szCs w:val="24"/>
          <w:lang w:val="en-US"/>
        </w:rPr>
        <w:t xml:space="preserve">planar </w:t>
      </w:r>
      <w:r w:rsidR="00BA4CBC" w:rsidRPr="004A2D77">
        <w:rPr>
          <w:rFonts w:ascii="Times New Roman" w:hAnsi="Times New Roman" w:cs="Times New Roman"/>
          <w:sz w:val="24"/>
          <w:szCs w:val="24"/>
          <w:lang w:val="en-US"/>
        </w:rPr>
        <w:t>electrodes</w:t>
      </w:r>
      <w:r w:rsidR="00DE70BC" w:rsidRPr="004A2D77">
        <w:rPr>
          <w:rFonts w:ascii="Times New Roman" w:hAnsi="Times New Roman" w:cs="Times New Roman"/>
          <w:sz w:val="24"/>
          <w:szCs w:val="24"/>
          <w:lang w:val="en-US"/>
        </w:rPr>
        <w:t xml:space="preserve"> </w:t>
      </w:r>
      <w:r w:rsidRPr="004A2D77">
        <w:rPr>
          <w:rFonts w:ascii="Times New Roman" w:hAnsi="Times New Roman" w:cs="Times New Roman"/>
          <w:sz w:val="24"/>
          <w:szCs w:val="24"/>
          <w:lang w:val="en-US"/>
        </w:rPr>
        <w:t>(&lt; 50 mA cm</w:t>
      </w:r>
      <w:r w:rsidRPr="004A2D77">
        <w:rPr>
          <w:rFonts w:ascii="Times New Roman" w:hAnsi="Times New Roman" w:cs="Times New Roman"/>
          <w:sz w:val="24"/>
          <w:szCs w:val="24"/>
          <w:vertAlign w:val="superscript"/>
          <w:lang w:val="en-US"/>
        </w:rPr>
        <w:t>-2</w:t>
      </w:r>
      <w:r w:rsidRPr="004A2D77">
        <w:rPr>
          <w:rFonts w:ascii="Times New Roman" w:hAnsi="Times New Roman" w:cs="Times New Roman"/>
          <w:sz w:val="24"/>
          <w:szCs w:val="24"/>
          <w:lang w:val="en-US"/>
        </w:rPr>
        <w:t xml:space="preserve">), leading to higher power densities and therefore </w:t>
      </w:r>
      <w:r w:rsidR="00DE70BC" w:rsidRPr="004A2D77">
        <w:rPr>
          <w:rFonts w:ascii="Times New Roman" w:hAnsi="Times New Roman" w:cs="Times New Roman"/>
          <w:sz w:val="24"/>
          <w:szCs w:val="24"/>
          <w:lang w:val="en-US"/>
        </w:rPr>
        <w:t>reduced stack dimension</w:t>
      </w:r>
      <w:r w:rsidRPr="004A2D77">
        <w:rPr>
          <w:rFonts w:ascii="Times New Roman" w:hAnsi="Times New Roman" w:cs="Times New Roman"/>
          <w:sz w:val="24"/>
          <w:szCs w:val="24"/>
          <w:lang w:val="en-US"/>
        </w:rPr>
        <w:t xml:space="preserve"> for the same power output</w:t>
      </w:r>
      <w:r w:rsidR="00DE70BC" w:rsidRPr="004A2D77">
        <w:rPr>
          <w:rFonts w:ascii="Times New Roman" w:hAnsi="Times New Roman" w:cs="Times New Roman"/>
          <w:sz w:val="24"/>
          <w:szCs w:val="24"/>
          <w:lang w:val="en-US"/>
        </w:rPr>
        <w:t>, which in turn results in lower stack cost</w:t>
      </w:r>
      <w:r w:rsidR="006F45E3">
        <w:rPr>
          <w:rFonts w:ascii="Times New Roman" w:hAnsi="Times New Roman" w:cs="Times New Roman"/>
          <w:sz w:val="24"/>
          <w:szCs w:val="24"/>
          <w:lang w:val="en-US"/>
        </w:rPr>
        <w:t xml:space="preserve"> </w:t>
      </w:r>
      <w:r w:rsidR="00381069" w:rsidRPr="008E0742">
        <w:rPr>
          <w:rFonts w:ascii="Times New Roman" w:hAnsi="Times New Roman" w:cs="Times New Roman"/>
          <w:sz w:val="24"/>
          <w:szCs w:val="24"/>
          <w:lang w:val="en-US"/>
        </w:rPr>
        <w:t>(</w:t>
      </w:r>
      <w:bookmarkStart w:id="2" w:name="_Hlk63011947"/>
      <w:r w:rsidR="00FD6664" w:rsidRPr="008E0742">
        <w:rPr>
          <w:rFonts w:ascii="Times New Roman" w:hAnsi="Times New Roman" w:cs="Times New Roman"/>
          <w:sz w:val="24"/>
          <w:szCs w:val="24"/>
        </w:rPr>
        <w:t>Gautam</w:t>
      </w:r>
      <w:r w:rsidR="008E0742" w:rsidRPr="008E0742">
        <w:rPr>
          <w:rFonts w:ascii="Times New Roman" w:hAnsi="Times New Roman" w:cs="Times New Roman"/>
          <w:sz w:val="24"/>
          <w:szCs w:val="24"/>
        </w:rPr>
        <w:t xml:space="preserve"> et al. </w:t>
      </w:r>
      <w:r w:rsidR="004306AB" w:rsidRPr="008E0742">
        <w:rPr>
          <w:rFonts w:ascii="Times New Roman" w:hAnsi="Times New Roman" w:cs="Times New Roman"/>
          <w:sz w:val="24"/>
          <w:szCs w:val="24"/>
        </w:rPr>
        <w:t>2020</w:t>
      </w:r>
      <w:bookmarkEnd w:id="2"/>
      <w:r w:rsidR="00AD3559" w:rsidRPr="008E0742">
        <w:rPr>
          <w:rFonts w:ascii="Times New Roman" w:hAnsi="Times New Roman" w:cs="Times New Roman"/>
          <w:sz w:val="24"/>
          <w:szCs w:val="24"/>
          <w:lang w:val="en-US"/>
        </w:rPr>
        <w:t>).</w:t>
      </w:r>
    </w:p>
    <w:p w14:paraId="45544EA9" w14:textId="70A3320D" w:rsidR="00BC6A11" w:rsidRPr="004A2D77" w:rsidRDefault="00BC6A11" w:rsidP="00BC6A11">
      <w:pPr>
        <w:spacing w:after="120" w:line="480" w:lineRule="auto"/>
        <w:jc w:val="both"/>
        <w:rPr>
          <w:rFonts w:ascii="Times New Roman" w:hAnsi="Times New Roman" w:cs="Times New Roman"/>
          <w:sz w:val="24"/>
          <w:szCs w:val="24"/>
          <w:lang w:val="en-US"/>
        </w:rPr>
      </w:pPr>
    </w:p>
    <w:p w14:paraId="75694A8A" w14:textId="27D2EFB7" w:rsidR="00C91B1F" w:rsidRPr="00C91B1F" w:rsidRDefault="00BC6A11" w:rsidP="003E5FF9">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lastRenderedPageBreak/>
        <w:t xml:space="preserve">For all-vanadium RFBs, the conventional </w:t>
      </w:r>
      <w:r w:rsidR="00BA4CBC" w:rsidRPr="004A2D77">
        <w:rPr>
          <w:rFonts w:ascii="Times New Roman" w:hAnsi="Times New Roman" w:cs="Times New Roman"/>
          <w:sz w:val="24"/>
          <w:szCs w:val="24"/>
          <w:lang w:val="en-US"/>
        </w:rPr>
        <w:t xml:space="preserve">stack design </w:t>
      </w:r>
      <w:r w:rsidRPr="004A2D77">
        <w:rPr>
          <w:rFonts w:ascii="Times New Roman" w:hAnsi="Times New Roman" w:cs="Times New Roman"/>
          <w:sz w:val="24"/>
          <w:szCs w:val="24"/>
          <w:lang w:val="en-US"/>
        </w:rPr>
        <w:t>with</w:t>
      </w:r>
      <w:r w:rsidR="00BA4CBC" w:rsidRPr="004A2D77">
        <w:rPr>
          <w:rFonts w:ascii="Times New Roman" w:hAnsi="Times New Roman" w:cs="Times New Roman"/>
          <w:sz w:val="24"/>
          <w:szCs w:val="24"/>
          <w:lang w:val="en-US"/>
        </w:rPr>
        <w:t xml:space="preserve"> an “open flow field” configuration (i.e. a</w:t>
      </w:r>
      <w:r w:rsidRPr="004A2D77">
        <w:rPr>
          <w:rFonts w:ascii="Times New Roman" w:hAnsi="Times New Roman" w:cs="Times New Roman"/>
          <w:sz w:val="24"/>
          <w:szCs w:val="24"/>
          <w:lang w:val="en-US"/>
        </w:rPr>
        <w:t xml:space="preserve"> thick carbon felt</w:t>
      </w:r>
      <w:r w:rsidR="00BA4CBC" w:rsidRPr="004A2D77">
        <w:rPr>
          <w:rFonts w:ascii="Times New Roman" w:hAnsi="Times New Roman" w:cs="Times New Roman"/>
          <w:sz w:val="24"/>
          <w:szCs w:val="24"/>
          <w:lang w:val="en-US"/>
        </w:rPr>
        <w:t xml:space="preserve"> in contact with planar bipolar plates with no flow fields)</w:t>
      </w:r>
      <w:r w:rsidRPr="004A2D77">
        <w:rPr>
          <w:rFonts w:ascii="Times New Roman" w:hAnsi="Times New Roman" w:cs="Times New Roman"/>
          <w:sz w:val="24"/>
          <w:szCs w:val="24"/>
          <w:lang w:val="en-US"/>
        </w:rPr>
        <w:t xml:space="preserve"> typically</w:t>
      </w:r>
      <w:r w:rsidR="00BA4CBC" w:rsidRPr="004A2D77">
        <w:rPr>
          <w:rFonts w:ascii="Times New Roman" w:hAnsi="Times New Roman" w:cs="Times New Roman"/>
          <w:sz w:val="24"/>
          <w:szCs w:val="24"/>
          <w:lang w:val="en-US"/>
        </w:rPr>
        <w:t xml:space="preserve"> results in power densities</w:t>
      </w:r>
      <w:r w:rsidRPr="004A2D77">
        <w:rPr>
          <w:rFonts w:ascii="Times New Roman" w:hAnsi="Times New Roman" w:cs="Times New Roman"/>
          <w:sz w:val="24"/>
          <w:szCs w:val="24"/>
          <w:lang w:val="en-US"/>
        </w:rPr>
        <w:t xml:space="preserve"> &lt; 0.2 W cm</w:t>
      </w:r>
      <w:r w:rsidRPr="004A2D77">
        <w:rPr>
          <w:rFonts w:ascii="Times New Roman" w:hAnsi="Times New Roman" w:cs="Times New Roman"/>
          <w:sz w:val="24"/>
          <w:szCs w:val="24"/>
          <w:vertAlign w:val="superscript"/>
          <w:lang w:val="en-US"/>
        </w:rPr>
        <w:t>-2</w:t>
      </w:r>
      <w:r w:rsidRPr="004A2D77">
        <w:rPr>
          <w:rFonts w:ascii="Times New Roman" w:hAnsi="Times New Roman" w:cs="Times New Roman"/>
          <w:sz w:val="24"/>
          <w:szCs w:val="24"/>
          <w:lang w:val="en-US"/>
        </w:rPr>
        <w:t xml:space="preserve"> </w:t>
      </w:r>
      <w:r w:rsidR="00A161E9" w:rsidRPr="00743C1F">
        <w:rPr>
          <w:rFonts w:ascii="Times New Roman" w:hAnsi="Times New Roman" w:cs="Times New Roman"/>
          <w:sz w:val="24"/>
          <w:szCs w:val="24"/>
          <w:lang w:val="en-US"/>
        </w:rPr>
        <w:t>(</w:t>
      </w:r>
      <w:bookmarkStart w:id="3" w:name="_Hlk63012215"/>
      <w:r w:rsidR="00A161E9" w:rsidRPr="00743C1F">
        <w:rPr>
          <w:rFonts w:ascii="Times New Roman" w:hAnsi="Times New Roman" w:cs="Times New Roman"/>
          <w:sz w:val="24"/>
          <w:szCs w:val="24"/>
          <w:lang w:val="en-US"/>
        </w:rPr>
        <w:t>Kumar</w:t>
      </w:r>
      <w:r w:rsidR="00652D81" w:rsidRPr="00743C1F">
        <w:rPr>
          <w:rFonts w:ascii="Times New Roman" w:hAnsi="Times New Roman" w:cs="Times New Roman"/>
          <w:sz w:val="24"/>
          <w:szCs w:val="24"/>
          <w:lang w:val="en-US"/>
        </w:rPr>
        <w:t xml:space="preserve"> et al</w:t>
      </w:r>
      <w:r w:rsidR="00743C1F" w:rsidRPr="00743C1F">
        <w:rPr>
          <w:rFonts w:ascii="Times New Roman" w:hAnsi="Times New Roman" w:cs="Times New Roman"/>
          <w:sz w:val="24"/>
          <w:szCs w:val="24"/>
          <w:lang w:val="en-US"/>
        </w:rPr>
        <w:t xml:space="preserve">. </w:t>
      </w:r>
      <w:r w:rsidR="008E0742" w:rsidRPr="00743C1F">
        <w:rPr>
          <w:rFonts w:ascii="Times New Roman" w:hAnsi="Times New Roman" w:cs="Times New Roman"/>
          <w:sz w:val="24"/>
          <w:szCs w:val="24"/>
          <w:lang w:val="en-US"/>
        </w:rPr>
        <w:t>2016</w:t>
      </w:r>
      <w:bookmarkEnd w:id="3"/>
      <w:r w:rsidR="00A161E9" w:rsidRPr="00743C1F">
        <w:rPr>
          <w:rFonts w:ascii="Times New Roman" w:hAnsi="Times New Roman" w:cs="Times New Roman"/>
          <w:sz w:val="24"/>
          <w:szCs w:val="24"/>
          <w:lang w:val="en-US"/>
        </w:rPr>
        <w:t>).</w:t>
      </w:r>
      <w:r w:rsidR="007E7624">
        <w:rPr>
          <w:rFonts w:ascii="Times New Roman" w:hAnsi="Times New Roman" w:cs="Times New Roman"/>
          <w:sz w:val="24"/>
          <w:szCs w:val="24"/>
          <w:lang w:val="en-US"/>
        </w:rPr>
        <w:t xml:space="preserve"> </w:t>
      </w:r>
      <w:r w:rsidR="00BA4CBC" w:rsidRPr="004A2D77">
        <w:rPr>
          <w:rFonts w:ascii="Times New Roman" w:hAnsi="Times New Roman" w:cs="Times New Roman"/>
          <w:sz w:val="24"/>
          <w:szCs w:val="24"/>
          <w:lang w:val="en-US"/>
        </w:rPr>
        <w:t>When using</w:t>
      </w:r>
      <w:r w:rsidRPr="004A2D77">
        <w:rPr>
          <w:rFonts w:ascii="Times New Roman" w:hAnsi="Times New Roman" w:cs="Times New Roman"/>
          <w:sz w:val="24"/>
          <w:szCs w:val="24"/>
          <w:lang w:val="en-US"/>
        </w:rPr>
        <w:t xml:space="preserve"> flow fields</w:t>
      </w:r>
      <w:r w:rsidR="00BA4CBC" w:rsidRPr="004A2D77">
        <w:rPr>
          <w:rFonts w:ascii="Times New Roman" w:hAnsi="Times New Roman" w:cs="Times New Roman"/>
          <w:sz w:val="24"/>
          <w:szCs w:val="24"/>
          <w:lang w:val="en-US"/>
        </w:rPr>
        <w:t xml:space="preserve"> in combination with thin</w:t>
      </w:r>
      <w:r w:rsidRPr="004A2D77">
        <w:rPr>
          <w:rFonts w:ascii="Times New Roman" w:hAnsi="Times New Roman" w:cs="Times New Roman"/>
          <w:sz w:val="24"/>
          <w:szCs w:val="24"/>
          <w:lang w:val="en-US"/>
        </w:rPr>
        <w:t xml:space="preserve"> carbon paper </w:t>
      </w:r>
      <w:r w:rsidR="00BA4CBC" w:rsidRPr="004A2D77">
        <w:rPr>
          <w:rFonts w:ascii="Times New Roman" w:hAnsi="Times New Roman" w:cs="Times New Roman"/>
          <w:sz w:val="24"/>
          <w:szCs w:val="24"/>
          <w:lang w:val="en-US"/>
        </w:rPr>
        <w:t xml:space="preserve">or cloth </w:t>
      </w:r>
      <w:r w:rsidRPr="004A2D77">
        <w:rPr>
          <w:rFonts w:ascii="Times New Roman" w:hAnsi="Times New Roman" w:cs="Times New Roman"/>
          <w:sz w:val="24"/>
          <w:szCs w:val="24"/>
          <w:lang w:val="en-US"/>
        </w:rPr>
        <w:t>electrodes, the power density could be increased up to 0.55 W cm</w:t>
      </w:r>
      <w:r w:rsidRPr="004A2D77">
        <w:rPr>
          <w:rFonts w:ascii="Times New Roman" w:hAnsi="Times New Roman" w:cs="Times New Roman"/>
          <w:sz w:val="24"/>
          <w:szCs w:val="24"/>
          <w:vertAlign w:val="superscript"/>
          <w:lang w:val="en-US"/>
        </w:rPr>
        <w:t>-2</w:t>
      </w:r>
      <w:r w:rsidRPr="004A2D77">
        <w:rPr>
          <w:rFonts w:ascii="Times New Roman" w:hAnsi="Times New Roman" w:cs="Times New Roman"/>
          <w:sz w:val="24"/>
          <w:szCs w:val="24"/>
          <w:lang w:val="en-US"/>
        </w:rPr>
        <w:t xml:space="preserve"> by minimizing internal resistance, better electrolyte distribution and less parasitic pump losses. Compared to carbon paper, the improvement in energy density was less pronounced with carbon felt electrodes, even in conjunction with flow fields. </w:t>
      </w:r>
      <w:r w:rsidR="00994EEA">
        <w:rPr>
          <w:rFonts w:ascii="Times New Roman" w:hAnsi="Times New Roman" w:cs="Times New Roman"/>
          <w:sz w:val="24"/>
          <w:szCs w:val="24"/>
          <w:lang w:val="en-US"/>
        </w:rPr>
        <w:t xml:space="preserve">For </w:t>
      </w:r>
      <w:r w:rsidRPr="004A2D77">
        <w:rPr>
          <w:rFonts w:ascii="Times New Roman" w:hAnsi="Times New Roman" w:cs="Times New Roman"/>
          <w:sz w:val="24"/>
          <w:szCs w:val="24"/>
          <w:lang w:val="en-US"/>
        </w:rPr>
        <w:t>VRFBs, improved performance was obtained by minimizing the internal ohmic resistance when the thicknesses of carbon felt electrodes were compressed by 20 –80 %</w:t>
      </w:r>
      <w:r w:rsidR="001234E8">
        <w:rPr>
          <w:rFonts w:ascii="Times New Roman" w:hAnsi="Times New Roman" w:cs="Times New Roman"/>
          <w:sz w:val="24"/>
          <w:szCs w:val="24"/>
          <w:lang w:val="en-US"/>
        </w:rPr>
        <w:t xml:space="preserve"> </w:t>
      </w:r>
      <w:r w:rsidR="001234E8" w:rsidRPr="00C0188D">
        <w:rPr>
          <w:rFonts w:ascii="Times New Roman" w:hAnsi="Times New Roman" w:cs="Times New Roman"/>
          <w:sz w:val="24"/>
          <w:szCs w:val="24"/>
          <w:lang w:val="en-US"/>
        </w:rPr>
        <w:t>(</w:t>
      </w:r>
      <w:r w:rsidR="00B679B9" w:rsidRPr="00C0188D">
        <w:rPr>
          <w:rFonts w:ascii="Times New Roman" w:hAnsi="Times New Roman" w:cs="Times New Roman"/>
          <w:sz w:val="24"/>
          <w:szCs w:val="24"/>
          <w:lang w:val="en-US"/>
        </w:rPr>
        <w:t xml:space="preserve">Zheng </w:t>
      </w:r>
      <w:r w:rsidR="00A30A45" w:rsidRPr="00C0188D">
        <w:rPr>
          <w:rFonts w:ascii="Times New Roman" w:hAnsi="Times New Roman" w:cs="Times New Roman"/>
          <w:sz w:val="24"/>
          <w:szCs w:val="24"/>
          <w:lang w:val="en-US"/>
        </w:rPr>
        <w:t xml:space="preserve">et al. </w:t>
      </w:r>
      <w:r w:rsidR="00B679B9" w:rsidRPr="00C0188D">
        <w:rPr>
          <w:rFonts w:ascii="Times New Roman" w:hAnsi="Times New Roman" w:cs="Times New Roman"/>
          <w:sz w:val="24"/>
          <w:szCs w:val="24"/>
          <w:lang w:val="en-US"/>
        </w:rPr>
        <w:t>2014, Chang</w:t>
      </w:r>
      <w:r w:rsidR="004526C6" w:rsidRPr="00C0188D">
        <w:rPr>
          <w:rFonts w:ascii="Times New Roman" w:hAnsi="Times New Roman" w:cs="Times New Roman"/>
          <w:sz w:val="24"/>
          <w:szCs w:val="24"/>
          <w:lang w:val="en-US"/>
        </w:rPr>
        <w:t xml:space="preserve"> et al.</w:t>
      </w:r>
      <w:r w:rsidR="00B679B9" w:rsidRPr="00C0188D">
        <w:rPr>
          <w:rFonts w:ascii="Times New Roman" w:hAnsi="Times New Roman" w:cs="Times New Roman"/>
          <w:sz w:val="24"/>
          <w:szCs w:val="24"/>
          <w:lang w:val="en-US"/>
        </w:rPr>
        <w:t xml:space="preserve"> 2014</w:t>
      </w:r>
      <w:r w:rsidR="009C33E8" w:rsidRPr="00C0188D">
        <w:rPr>
          <w:rFonts w:ascii="Times New Roman" w:hAnsi="Times New Roman" w:cs="Times New Roman"/>
          <w:sz w:val="24"/>
          <w:szCs w:val="24"/>
          <w:lang w:val="en-US"/>
        </w:rPr>
        <w:t xml:space="preserve">, </w:t>
      </w:r>
      <w:r w:rsidR="007B0D69" w:rsidRPr="00C0188D">
        <w:rPr>
          <w:rFonts w:ascii="Times New Roman" w:hAnsi="Times New Roman" w:cs="Times New Roman"/>
          <w:sz w:val="24"/>
          <w:szCs w:val="24"/>
          <w:lang w:val="en-US"/>
        </w:rPr>
        <w:t>Brown</w:t>
      </w:r>
      <w:r w:rsidR="0080534B" w:rsidRPr="00C0188D">
        <w:rPr>
          <w:rFonts w:ascii="Times New Roman" w:hAnsi="Times New Roman" w:cs="Times New Roman"/>
          <w:sz w:val="24"/>
          <w:szCs w:val="24"/>
          <w:lang w:val="en-US"/>
        </w:rPr>
        <w:t xml:space="preserve"> et al.</w:t>
      </w:r>
      <w:r w:rsidR="007B0D69" w:rsidRPr="00C0188D">
        <w:rPr>
          <w:rFonts w:ascii="Times New Roman" w:hAnsi="Times New Roman" w:cs="Times New Roman"/>
          <w:sz w:val="24"/>
          <w:szCs w:val="24"/>
          <w:lang w:val="en-US"/>
        </w:rPr>
        <w:t xml:space="preserve"> 2016, Park </w:t>
      </w:r>
      <w:r w:rsidR="002A68D7" w:rsidRPr="00C0188D">
        <w:rPr>
          <w:rFonts w:ascii="Times New Roman" w:hAnsi="Times New Roman" w:cs="Times New Roman"/>
          <w:sz w:val="24"/>
          <w:szCs w:val="24"/>
          <w:lang w:val="en-US"/>
        </w:rPr>
        <w:t xml:space="preserve">et al. </w:t>
      </w:r>
      <w:r w:rsidR="00C25618" w:rsidRPr="00C0188D">
        <w:rPr>
          <w:rFonts w:ascii="Times New Roman" w:hAnsi="Times New Roman" w:cs="Times New Roman"/>
          <w:sz w:val="24"/>
          <w:szCs w:val="24"/>
          <w:lang w:val="en-US"/>
        </w:rPr>
        <w:t>2014 and Oh</w:t>
      </w:r>
      <w:r w:rsidR="00D929B8" w:rsidRPr="00C0188D">
        <w:rPr>
          <w:rFonts w:ascii="Times New Roman" w:hAnsi="Times New Roman" w:cs="Times New Roman"/>
          <w:sz w:val="24"/>
          <w:szCs w:val="24"/>
          <w:lang w:val="en-US"/>
        </w:rPr>
        <w:t xml:space="preserve"> et al.</w:t>
      </w:r>
      <w:r w:rsidR="00C25618" w:rsidRPr="00C0188D">
        <w:rPr>
          <w:rFonts w:ascii="Times New Roman" w:hAnsi="Times New Roman" w:cs="Times New Roman"/>
          <w:sz w:val="24"/>
          <w:szCs w:val="24"/>
          <w:lang w:val="en-US"/>
        </w:rPr>
        <w:t xml:space="preserve"> 2015</w:t>
      </w:r>
      <w:r w:rsidR="00D929B8" w:rsidRPr="00C0188D">
        <w:rPr>
          <w:rFonts w:ascii="Times New Roman" w:hAnsi="Times New Roman" w:cs="Times New Roman"/>
          <w:sz w:val="24"/>
          <w:szCs w:val="24"/>
          <w:lang w:val="en-US"/>
        </w:rPr>
        <w:t>a</w:t>
      </w:r>
      <w:r w:rsidR="00C25618" w:rsidRPr="00C0188D">
        <w:rPr>
          <w:rFonts w:ascii="Times New Roman" w:hAnsi="Times New Roman" w:cs="Times New Roman"/>
          <w:sz w:val="24"/>
          <w:szCs w:val="24"/>
          <w:lang w:val="en-US"/>
        </w:rPr>
        <w:t>)</w:t>
      </w:r>
      <w:r w:rsidRPr="00C0188D">
        <w:rPr>
          <w:rFonts w:ascii="Times New Roman" w:hAnsi="Times New Roman" w:cs="Times New Roman"/>
          <w:sz w:val="24"/>
          <w:szCs w:val="24"/>
          <w:shd w:val="clear" w:color="auto" w:fill="FFFFFF"/>
          <w:lang w:val="en-US"/>
        </w:rPr>
        <w:t xml:space="preserve">. </w:t>
      </w:r>
      <w:r w:rsidRPr="00C0188D">
        <w:rPr>
          <w:rFonts w:ascii="Times New Roman" w:hAnsi="Times New Roman" w:cs="Times New Roman"/>
          <w:sz w:val="24"/>
          <w:szCs w:val="24"/>
          <w:lang w:val="en-US"/>
        </w:rPr>
        <w:t>For carbon felt electrodes, one of the highest peak power densities were obtained (</w:t>
      </w:r>
      <w:r w:rsidRPr="00C0188D">
        <w:rPr>
          <w:rFonts w:ascii="Times New Roman" w:hAnsi="Times New Roman" w:cs="Times New Roman"/>
          <w:i/>
          <w:sz w:val="24"/>
          <w:szCs w:val="24"/>
          <w:lang w:val="en-US"/>
        </w:rPr>
        <w:t>ca</w:t>
      </w:r>
      <w:r w:rsidRPr="00C0188D">
        <w:rPr>
          <w:rFonts w:ascii="Times New Roman" w:hAnsi="Times New Roman" w:cs="Times New Roman"/>
          <w:sz w:val="24"/>
          <w:szCs w:val="24"/>
          <w:lang w:val="en-US"/>
        </w:rPr>
        <w:t xml:space="preserve">. 0.3 </w:t>
      </w:r>
      <w:proofErr w:type="spellStart"/>
      <w:r w:rsidRPr="00C0188D">
        <w:rPr>
          <w:rFonts w:ascii="Times New Roman" w:hAnsi="Times New Roman" w:cs="Times New Roman"/>
          <w:sz w:val="24"/>
          <w:szCs w:val="24"/>
          <w:lang w:val="en-US"/>
        </w:rPr>
        <w:t>mW</w:t>
      </w:r>
      <w:proofErr w:type="spellEnd"/>
      <w:r w:rsidRPr="00C0188D">
        <w:rPr>
          <w:rFonts w:ascii="Times New Roman" w:hAnsi="Times New Roman" w:cs="Times New Roman"/>
          <w:sz w:val="24"/>
          <w:szCs w:val="24"/>
          <w:lang w:val="en-US"/>
        </w:rPr>
        <w:t xml:space="preserve"> </w:t>
      </w:r>
      <w:proofErr w:type="gramStart"/>
      <w:r w:rsidRPr="00C0188D">
        <w:rPr>
          <w:rFonts w:ascii="Times New Roman" w:hAnsi="Times New Roman" w:cs="Times New Roman"/>
          <w:sz w:val="24"/>
          <w:szCs w:val="24"/>
          <w:lang w:val="en-US"/>
        </w:rPr>
        <w:t>cm</w:t>
      </w:r>
      <w:r w:rsidRPr="00C0188D">
        <w:rPr>
          <w:rFonts w:ascii="Times New Roman" w:hAnsi="Times New Roman" w:cs="Times New Roman"/>
          <w:sz w:val="24"/>
          <w:szCs w:val="24"/>
          <w:vertAlign w:val="superscript"/>
          <w:lang w:val="en-US"/>
        </w:rPr>
        <w:t>-2</w:t>
      </w:r>
      <w:proofErr w:type="gramEnd"/>
      <w:r w:rsidRPr="00C0188D">
        <w:rPr>
          <w:rFonts w:ascii="Times New Roman" w:hAnsi="Times New Roman" w:cs="Times New Roman"/>
          <w:sz w:val="24"/>
          <w:szCs w:val="24"/>
          <w:lang w:val="en-US"/>
        </w:rPr>
        <w:t xml:space="preserve">) with a felt compression of </w:t>
      </w:r>
      <w:r w:rsidRPr="00C0188D">
        <w:rPr>
          <w:rFonts w:ascii="Times New Roman" w:hAnsi="Times New Roman" w:cs="Times New Roman"/>
          <w:i/>
          <w:sz w:val="24"/>
          <w:szCs w:val="24"/>
          <w:lang w:val="en-US"/>
        </w:rPr>
        <w:t>ca</w:t>
      </w:r>
      <w:r w:rsidRPr="00C0188D">
        <w:rPr>
          <w:rFonts w:ascii="Times New Roman" w:hAnsi="Times New Roman" w:cs="Times New Roman"/>
          <w:sz w:val="24"/>
          <w:szCs w:val="24"/>
          <w:lang w:val="en-US"/>
        </w:rPr>
        <w:t>. 30 %</w:t>
      </w:r>
      <w:r w:rsidR="009C33E8" w:rsidRPr="00C0188D">
        <w:rPr>
          <w:rFonts w:ascii="Times New Roman" w:hAnsi="Times New Roman" w:cs="Times New Roman"/>
          <w:sz w:val="24"/>
          <w:szCs w:val="24"/>
          <w:lang w:val="en-US"/>
        </w:rPr>
        <w:t xml:space="preserve"> (Chen</w:t>
      </w:r>
      <w:r w:rsidR="004526C6" w:rsidRPr="00C0188D">
        <w:rPr>
          <w:rFonts w:ascii="Times New Roman" w:hAnsi="Times New Roman" w:cs="Times New Roman"/>
          <w:sz w:val="24"/>
          <w:szCs w:val="24"/>
          <w:lang w:val="en-US"/>
        </w:rPr>
        <w:t xml:space="preserve"> et al.</w:t>
      </w:r>
      <w:r w:rsidR="009C33E8" w:rsidRPr="00C0188D">
        <w:rPr>
          <w:rFonts w:ascii="Times New Roman" w:hAnsi="Times New Roman" w:cs="Times New Roman"/>
          <w:sz w:val="24"/>
          <w:szCs w:val="24"/>
          <w:lang w:val="en-US"/>
        </w:rPr>
        <w:t xml:space="preserve"> 2013)</w:t>
      </w:r>
      <w:r w:rsidRPr="00C0188D">
        <w:rPr>
          <w:rFonts w:ascii="Times New Roman" w:hAnsi="Times New Roman" w:cs="Times New Roman"/>
          <w:sz w:val="24"/>
          <w:szCs w:val="24"/>
          <w:lang w:val="en-US"/>
        </w:rPr>
        <w:t>.</w:t>
      </w:r>
      <w:r w:rsidR="00DC076E">
        <w:rPr>
          <w:rFonts w:ascii="Times New Roman" w:hAnsi="Times New Roman" w:cs="Times New Roman"/>
          <w:sz w:val="24"/>
          <w:szCs w:val="24"/>
          <w:lang w:val="en-US"/>
        </w:rPr>
        <w:t xml:space="preserve"> </w:t>
      </w:r>
      <w:r w:rsidR="00A8202F">
        <w:rPr>
          <w:rFonts w:ascii="Times New Roman" w:hAnsi="Times New Roman" w:cs="Times New Roman"/>
          <w:sz w:val="24"/>
          <w:szCs w:val="24"/>
          <w:lang w:val="en-US"/>
        </w:rPr>
        <w:t xml:space="preserve">Other vanadium systems have reported </w:t>
      </w:r>
      <w:r w:rsidR="009C2360">
        <w:rPr>
          <w:rFonts w:ascii="Times New Roman" w:hAnsi="Times New Roman" w:cs="Times New Roman"/>
          <w:sz w:val="24"/>
          <w:szCs w:val="24"/>
          <w:lang w:val="en-US"/>
        </w:rPr>
        <w:t xml:space="preserve">higher </w:t>
      </w:r>
      <w:r w:rsidR="002379CD">
        <w:rPr>
          <w:rFonts w:ascii="Times New Roman" w:hAnsi="Times New Roman" w:cs="Times New Roman"/>
          <w:sz w:val="24"/>
          <w:szCs w:val="24"/>
          <w:lang w:val="en-US"/>
        </w:rPr>
        <w:t>power</w:t>
      </w:r>
      <w:r w:rsidR="00BC43CF">
        <w:rPr>
          <w:rFonts w:ascii="Times New Roman" w:hAnsi="Times New Roman" w:cs="Times New Roman"/>
          <w:sz w:val="24"/>
          <w:szCs w:val="24"/>
          <w:lang w:val="en-US"/>
        </w:rPr>
        <w:t xml:space="preserve"> densit</w:t>
      </w:r>
      <w:r w:rsidR="003C3D28">
        <w:rPr>
          <w:rFonts w:ascii="Times New Roman" w:hAnsi="Times New Roman" w:cs="Times New Roman"/>
          <w:sz w:val="24"/>
          <w:szCs w:val="24"/>
          <w:lang w:val="en-US"/>
        </w:rPr>
        <w:t>ies</w:t>
      </w:r>
      <w:r w:rsidR="00BC43CF">
        <w:rPr>
          <w:rFonts w:ascii="Times New Roman" w:hAnsi="Times New Roman" w:cs="Times New Roman"/>
          <w:sz w:val="24"/>
          <w:szCs w:val="24"/>
          <w:lang w:val="en-US"/>
        </w:rPr>
        <w:t xml:space="preserve"> of 360 </w:t>
      </w:r>
      <w:proofErr w:type="spellStart"/>
      <w:r w:rsidR="002379CD">
        <w:rPr>
          <w:rFonts w:ascii="Times New Roman" w:hAnsi="Times New Roman" w:cs="Times New Roman"/>
          <w:sz w:val="24"/>
          <w:szCs w:val="24"/>
          <w:lang w:val="en-US"/>
        </w:rPr>
        <w:t>mW</w:t>
      </w:r>
      <w:proofErr w:type="spellEnd"/>
      <w:r w:rsidR="002379CD">
        <w:rPr>
          <w:rFonts w:ascii="Times New Roman" w:hAnsi="Times New Roman" w:cs="Times New Roman"/>
          <w:sz w:val="24"/>
          <w:szCs w:val="24"/>
          <w:lang w:val="en-US"/>
        </w:rPr>
        <w:t xml:space="preserve"> cm</w:t>
      </w:r>
      <w:r w:rsidR="002379CD" w:rsidRPr="002379CD">
        <w:rPr>
          <w:rFonts w:ascii="Times New Roman" w:hAnsi="Times New Roman" w:cs="Times New Roman"/>
          <w:sz w:val="24"/>
          <w:szCs w:val="24"/>
          <w:vertAlign w:val="superscript"/>
          <w:lang w:val="en-US"/>
        </w:rPr>
        <w:t>-2</w:t>
      </w:r>
      <w:r w:rsidR="002379CD">
        <w:rPr>
          <w:rFonts w:ascii="Times New Roman" w:hAnsi="Times New Roman" w:cs="Times New Roman"/>
          <w:sz w:val="24"/>
          <w:szCs w:val="24"/>
          <w:lang w:val="en-US"/>
        </w:rPr>
        <w:t xml:space="preserve"> in a 40-cell stack</w:t>
      </w:r>
      <w:r w:rsidR="008A6E75">
        <w:rPr>
          <w:rFonts w:ascii="Times New Roman" w:hAnsi="Times New Roman" w:cs="Times New Roman"/>
          <w:sz w:val="24"/>
          <w:szCs w:val="24"/>
          <w:lang w:val="en-US"/>
        </w:rPr>
        <w:t>, however no details of compression</w:t>
      </w:r>
      <w:r w:rsidR="00E751F2">
        <w:rPr>
          <w:rFonts w:ascii="Times New Roman" w:hAnsi="Times New Roman" w:cs="Times New Roman"/>
          <w:sz w:val="24"/>
          <w:szCs w:val="24"/>
          <w:lang w:val="en-US"/>
        </w:rPr>
        <w:t xml:space="preserve"> or </w:t>
      </w:r>
      <w:r w:rsidR="00442B69">
        <w:rPr>
          <w:rFonts w:ascii="Times New Roman" w:hAnsi="Times New Roman" w:cs="Times New Roman"/>
          <w:sz w:val="24"/>
          <w:szCs w:val="24"/>
          <w:lang w:val="en-US"/>
        </w:rPr>
        <w:t xml:space="preserve">type of </w:t>
      </w:r>
      <w:r w:rsidR="00E751F2">
        <w:rPr>
          <w:rFonts w:ascii="Times New Roman" w:hAnsi="Times New Roman" w:cs="Times New Roman"/>
          <w:sz w:val="24"/>
          <w:szCs w:val="24"/>
          <w:lang w:val="en-US"/>
        </w:rPr>
        <w:t xml:space="preserve">flow fields </w:t>
      </w:r>
      <w:r w:rsidR="00E70DF6">
        <w:rPr>
          <w:rFonts w:ascii="Times New Roman" w:hAnsi="Times New Roman" w:cs="Times New Roman"/>
          <w:sz w:val="24"/>
          <w:szCs w:val="24"/>
          <w:lang w:val="en-US"/>
        </w:rPr>
        <w:t>was provided</w:t>
      </w:r>
      <w:r w:rsidR="008A6E75">
        <w:rPr>
          <w:rFonts w:ascii="Times New Roman" w:hAnsi="Times New Roman" w:cs="Times New Roman"/>
          <w:sz w:val="24"/>
          <w:szCs w:val="24"/>
          <w:lang w:val="en-US"/>
        </w:rPr>
        <w:t xml:space="preserve"> </w:t>
      </w:r>
      <w:r w:rsidR="00C91B1F" w:rsidRPr="00035923">
        <w:rPr>
          <w:rFonts w:ascii="Times New Roman" w:hAnsi="Times New Roman" w:cs="Times New Roman"/>
          <w:sz w:val="24"/>
          <w:szCs w:val="24"/>
          <w:lang w:val="en-US"/>
        </w:rPr>
        <w:t>(</w:t>
      </w:r>
      <w:bookmarkStart w:id="4" w:name="_Hlk63021160"/>
      <w:r w:rsidR="00EA3FF3" w:rsidRPr="00035923">
        <w:rPr>
          <w:rFonts w:ascii="Times New Roman" w:hAnsi="Times New Roman" w:cs="Times New Roman"/>
          <w:sz w:val="24"/>
          <w:szCs w:val="24"/>
          <w:lang w:val="en-US"/>
        </w:rPr>
        <w:t>Guarnieri</w:t>
      </w:r>
      <w:r w:rsidR="00060F26" w:rsidRPr="00035923">
        <w:rPr>
          <w:rFonts w:ascii="Times New Roman" w:hAnsi="Times New Roman" w:cs="Times New Roman"/>
          <w:sz w:val="24"/>
          <w:szCs w:val="24"/>
          <w:lang w:val="en-US"/>
        </w:rPr>
        <w:t xml:space="preserve"> et al. </w:t>
      </w:r>
      <w:r w:rsidR="00C0188D" w:rsidRPr="00035923">
        <w:rPr>
          <w:rFonts w:ascii="Times New Roman" w:hAnsi="Times New Roman" w:cs="Times New Roman"/>
          <w:sz w:val="24"/>
          <w:szCs w:val="24"/>
          <w:lang w:val="en-US"/>
        </w:rPr>
        <w:t>2019</w:t>
      </w:r>
      <w:bookmarkEnd w:id="4"/>
      <w:r w:rsidR="00DB2A55" w:rsidRPr="00035923">
        <w:rPr>
          <w:rFonts w:ascii="Times New Roman" w:hAnsi="Times New Roman" w:cs="Times New Roman"/>
          <w:sz w:val="24"/>
          <w:szCs w:val="24"/>
          <w:lang w:val="en-US"/>
        </w:rPr>
        <w:t>).</w:t>
      </w:r>
    </w:p>
    <w:p w14:paraId="3768DBF6" w14:textId="162DF6A0" w:rsidR="00BC6A11" w:rsidRPr="004A2D77" w:rsidRDefault="00BC6A11" w:rsidP="00BC6A11">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 xml:space="preserve">In comparison, the obtained power density can be several times higher for porous carbon electrodes with zero-gap flow field architectures than carbon felt electrodes that have not been compressed heavily in similar conditions. Even in the early work of </w:t>
      </w:r>
      <w:r w:rsidR="003C3D28">
        <w:rPr>
          <w:rFonts w:ascii="Times New Roman" w:hAnsi="Times New Roman" w:cs="Times New Roman"/>
          <w:sz w:val="24"/>
          <w:szCs w:val="24"/>
          <w:lang w:val="en-US"/>
        </w:rPr>
        <w:t>(</w:t>
      </w:r>
      <w:r w:rsidRPr="004A2D77">
        <w:rPr>
          <w:rFonts w:ascii="Times New Roman" w:hAnsi="Times New Roman" w:cs="Times New Roman"/>
          <w:sz w:val="24"/>
          <w:szCs w:val="24"/>
          <w:lang w:val="en-US"/>
        </w:rPr>
        <w:t xml:space="preserve">Aaron </w:t>
      </w:r>
      <w:r w:rsidRPr="003C3D28">
        <w:rPr>
          <w:rFonts w:ascii="Times New Roman" w:hAnsi="Times New Roman" w:cs="Times New Roman"/>
          <w:iCs/>
          <w:sz w:val="24"/>
          <w:szCs w:val="24"/>
          <w:lang w:val="en-US"/>
        </w:rPr>
        <w:t>et al.</w:t>
      </w:r>
      <w:r w:rsidR="003C3D28">
        <w:rPr>
          <w:rFonts w:ascii="Times New Roman" w:hAnsi="Times New Roman" w:cs="Times New Roman"/>
          <w:iCs/>
          <w:sz w:val="24"/>
          <w:szCs w:val="24"/>
          <w:lang w:val="en-US"/>
        </w:rPr>
        <w:t xml:space="preserve"> 2012)</w:t>
      </w:r>
      <w:r w:rsidRPr="003C3D28">
        <w:rPr>
          <w:rFonts w:ascii="Times New Roman" w:hAnsi="Times New Roman" w:cs="Times New Roman"/>
          <w:iCs/>
          <w:sz w:val="24"/>
          <w:szCs w:val="24"/>
          <w:lang w:val="en-US"/>
        </w:rPr>
        <w:t>,</w:t>
      </w:r>
      <w:r w:rsidRPr="004A2D77">
        <w:rPr>
          <w:rFonts w:ascii="Times New Roman" w:hAnsi="Times New Roman" w:cs="Times New Roman"/>
          <w:sz w:val="24"/>
          <w:szCs w:val="24"/>
          <w:lang w:val="en-US"/>
        </w:rPr>
        <w:t xml:space="preserve"> 3 layers of pre-treated carbon papers were used in a serpentine flow field architecture, the power density was up to 0.56 – 0.77 W cm</w:t>
      </w:r>
      <w:r w:rsidRPr="004A2D77">
        <w:rPr>
          <w:rFonts w:ascii="Times New Roman" w:hAnsi="Times New Roman" w:cs="Times New Roman"/>
          <w:sz w:val="24"/>
          <w:szCs w:val="24"/>
          <w:vertAlign w:val="superscript"/>
          <w:lang w:val="en-US"/>
        </w:rPr>
        <w:t xml:space="preserve">-2 </w:t>
      </w:r>
      <w:r w:rsidRPr="004A2D77">
        <w:rPr>
          <w:rFonts w:ascii="Times New Roman" w:hAnsi="Times New Roman" w:cs="Times New Roman"/>
          <w:sz w:val="24"/>
          <w:szCs w:val="24"/>
          <w:lang w:val="en-US"/>
        </w:rPr>
        <w:t>at electrolyte flow velocity of 4 cm s</w:t>
      </w:r>
      <w:r w:rsidRPr="004A2D77">
        <w:rPr>
          <w:rFonts w:ascii="Times New Roman" w:hAnsi="Times New Roman" w:cs="Times New Roman"/>
          <w:sz w:val="24"/>
          <w:szCs w:val="24"/>
          <w:vertAlign w:val="superscript"/>
          <w:lang w:val="en-US"/>
        </w:rPr>
        <w:t>-1</w:t>
      </w:r>
      <w:r w:rsidRPr="004A2D77">
        <w:rPr>
          <w:rFonts w:ascii="Times New Roman" w:hAnsi="Times New Roman" w:cs="Times New Roman"/>
          <w:sz w:val="24"/>
          <w:szCs w:val="24"/>
          <w:lang w:val="en-US"/>
        </w:rPr>
        <w:t xml:space="preserve">. The same research group further achieved a peak power density of up to </w:t>
      </w:r>
      <w:r w:rsidRPr="004A2D77">
        <w:rPr>
          <w:rFonts w:ascii="Times New Roman" w:hAnsi="Times New Roman" w:cs="Times New Roman"/>
          <w:i/>
          <w:sz w:val="24"/>
          <w:szCs w:val="24"/>
          <w:lang w:val="en-US"/>
        </w:rPr>
        <w:t>ca</w:t>
      </w:r>
      <w:r w:rsidRPr="004A2D77">
        <w:rPr>
          <w:rFonts w:ascii="Times New Roman" w:hAnsi="Times New Roman" w:cs="Times New Roman"/>
          <w:sz w:val="24"/>
          <w:szCs w:val="24"/>
          <w:lang w:val="en-US"/>
        </w:rPr>
        <w:t>. 1.3 W cm</w:t>
      </w:r>
      <w:r w:rsidRPr="004A2D77">
        <w:rPr>
          <w:rFonts w:ascii="Times New Roman" w:hAnsi="Times New Roman" w:cs="Times New Roman"/>
          <w:sz w:val="24"/>
          <w:szCs w:val="24"/>
          <w:vertAlign w:val="superscript"/>
          <w:lang w:val="en-US"/>
        </w:rPr>
        <w:t>-2</w:t>
      </w:r>
      <w:r w:rsidRPr="004A2D77">
        <w:rPr>
          <w:rFonts w:ascii="Times New Roman" w:hAnsi="Times New Roman" w:cs="Times New Roman"/>
          <w:sz w:val="24"/>
          <w:szCs w:val="24"/>
          <w:lang w:val="en-US"/>
        </w:rPr>
        <w:t xml:space="preserve"> at 1,000 mA cm</w:t>
      </w:r>
      <w:r w:rsidRPr="004A2D77">
        <w:rPr>
          <w:rFonts w:ascii="Times New Roman" w:hAnsi="Times New Roman" w:cs="Times New Roman"/>
          <w:sz w:val="24"/>
          <w:szCs w:val="24"/>
          <w:vertAlign w:val="superscript"/>
          <w:lang w:val="en-US"/>
        </w:rPr>
        <w:t>-2</w:t>
      </w:r>
      <w:r w:rsidRPr="004A2D77">
        <w:rPr>
          <w:rFonts w:ascii="Times New Roman" w:hAnsi="Times New Roman" w:cs="Times New Roman"/>
          <w:sz w:val="24"/>
          <w:szCs w:val="24"/>
          <w:shd w:val="clear" w:color="auto" w:fill="FFFFFF"/>
          <w:lang w:val="en-US"/>
        </w:rPr>
        <w:t>.</w:t>
      </w:r>
      <w:r w:rsidRPr="004A2D77">
        <w:rPr>
          <w:rFonts w:ascii="Times New Roman" w:hAnsi="Times New Roman" w:cs="Times New Roman"/>
          <w:sz w:val="24"/>
          <w:szCs w:val="24"/>
          <w:lang w:val="en-US"/>
        </w:rPr>
        <w:t xml:space="preserve"> The highest peak power density of 1.350 W cm</w:t>
      </w:r>
      <w:r w:rsidRPr="004A2D77">
        <w:rPr>
          <w:rFonts w:ascii="Times New Roman" w:hAnsi="Times New Roman" w:cs="Times New Roman"/>
          <w:sz w:val="24"/>
          <w:szCs w:val="24"/>
          <w:vertAlign w:val="superscript"/>
          <w:lang w:val="en-US"/>
        </w:rPr>
        <w:t>-2</w:t>
      </w:r>
      <w:r w:rsidRPr="004A2D77">
        <w:rPr>
          <w:rFonts w:ascii="Times New Roman" w:hAnsi="Times New Roman" w:cs="Times New Roman"/>
          <w:sz w:val="24"/>
          <w:szCs w:val="24"/>
          <w:lang w:val="en-US"/>
        </w:rPr>
        <w:t xml:space="preserve"> was obtained at 1,600 mA cm</w:t>
      </w:r>
      <w:r w:rsidRPr="004A2D77">
        <w:rPr>
          <w:rFonts w:ascii="Times New Roman" w:hAnsi="Times New Roman" w:cs="Times New Roman"/>
          <w:sz w:val="24"/>
          <w:szCs w:val="24"/>
          <w:vertAlign w:val="superscript"/>
          <w:lang w:val="en-US"/>
        </w:rPr>
        <w:t>-2</w:t>
      </w:r>
      <w:r w:rsidRPr="004A2D77">
        <w:rPr>
          <w:rFonts w:ascii="Times New Roman" w:hAnsi="Times New Roman" w:cs="Times New Roman"/>
          <w:sz w:val="24"/>
          <w:szCs w:val="24"/>
          <w:lang w:val="en-US"/>
        </w:rPr>
        <w:t xml:space="preserve"> without exact cell details disclosed</w:t>
      </w:r>
      <w:r w:rsidRPr="004A2D77">
        <w:rPr>
          <w:rFonts w:ascii="Times New Roman" w:hAnsi="Times New Roman" w:cs="Times New Roman"/>
          <w:sz w:val="24"/>
          <w:szCs w:val="24"/>
          <w:shd w:val="clear" w:color="auto" w:fill="FFFFFF"/>
          <w:lang w:val="en-US"/>
        </w:rPr>
        <w:t>.</w:t>
      </w:r>
      <w:r w:rsidRPr="004A2D77">
        <w:rPr>
          <w:rFonts w:ascii="Times New Roman" w:hAnsi="Times New Roman" w:cs="Times New Roman"/>
          <w:sz w:val="24"/>
          <w:szCs w:val="24"/>
          <w:lang w:val="en-US"/>
        </w:rPr>
        <w:t xml:space="preserve"> Following these, several research groups evaluated the kinetics or/and mass transport properties of carbon paper electrodes in different electrode architectures</w:t>
      </w:r>
      <w:r w:rsidR="003D6D46">
        <w:rPr>
          <w:rFonts w:ascii="Times New Roman" w:hAnsi="Times New Roman" w:cs="Times New Roman"/>
          <w:sz w:val="24"/>
          <w:szCs w:val="24"/>
          <w:lang w:val="en-US"/>
        </w:rPr>
        <w:t xml:space="preserve"> </w:t>
      </w:r>
      <w:r w:rsidR="00D135EA" w:rsidRPr="00C768BE">
        <w:rPr>
          <w:rFonts w:ascii="Times New Roman" w:hAnsi="Times New Roman" w:cs="Times New Roman"/>
          <w:sz w:val="24"/>
          <w:szCs w:val="24"/>
          <w:lang w:val="en-US"/>
        </w:rPr>
        <w:t>(</w:t>
      </w:r>
      <w:bookmarkStart w:id="5" w:name="_Hlk63021397"/>
      <w:r w:rsidR="00D135EA" w:rsidRPr="00C768BE">
        <w:rPr>
          <w:rFonts w:ascii="Times New Roman" w:hAnsi="Times New Roman" w:cs="Times New Roman"/>
          <w:sz w:val="24"/>
          <w:szCs w:val="24"/>
          <w:lang w:val="en-US"/>
        </w:rPr>
        <w:t>Houser,</w:t>
      </w:r>
      <w:r w:rsidR="00C768BE" w:rsidRPr="00C768BE">
        <w:rPr>
          <w:rFonts w:ascii="Times New Roman" w:hAnsi="Times New Roman" w:cs="Times New Roman"/>
          <w:sz w:val="24"/>
          <w:szCs w:val="24"/>
          <w:lang w:val="en-US"/>
        </w:rPr>
        <w:t xml:space="preserve"> et al. </w:t>
      </w:r>
      <w:r w:rsidR="00F025CA" w:rsidRPr="00C768BE">
        <w:rPr>
          <w:rFonts w:ascii="Times New Roman" w:hAnsi="Times New Roman" w:cs="Times New Roman"/>
          <w:sz w:val="24"/>
          <w:szCs w:val="24"/>
          <w:lang w:val="en-US"/>
        </w:rPr>
        <w:t>2017</w:t>
      </w:r>
      <w:bookmarkEnd w:id="5"/>
      <w:r w:rsidR="00D135EA" w:rsidRPr="00C768BE">
        <w:rPr>
          <w:rFonts w:ascii="Times New Roman" w:hAnsi="Times New Roman" w:cs="Times New Roman"/>
          <w:sz w:val="24"/>
          <w:szCs w:val="24"/>
          <w:lang w:val="en-US"/>
        </w:rPr>
        <w:t>)</w:t>
      </w:r>
      <w:r w:rsidRPr="00C768BE">
        <w:rPr>
          <w:rFonts w:ascii="Times New Roman" w:hAnsi="Times New Roman" w:cs="Times New Roman"/>
          <w:sz w:val="24"/>
          <w:szCs w:val="24"/>
          <w:lang w:val="en-US"/>
        </w:rPr>
        <w:t>.</w:t>
      </w:r>
    </w:p>
    <w:p w14:paraId="29D8F8E4" w14:textId="7C57B197" w:rsidR="00BC6A11" w:rsidRPr="004A2D77" w:rsidRDefault="00BC6A11" w:rsidP="00BC6A11">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lastRenderedPageBreak/>
        <w:t xml:space="preserve">It is worth noting that the active areas </w:t>
      </w:r>
      <w:r w:rsidR="00BA4CBC" w:rsidRPr="004A2D77">
        <w:rPr>
          <w:rFonts w:ascii="Times New Roman" w:hAnsi="Times New Roman" w:cs="Times New Roman"/>
          <w:sz w:val="24"/>
          <w:szCs w:val="24"/>
          <w:lang w:val="en-US"/>
        </w:rPr>
        <w:t>used in these academic publications</w:t>
      </w:r>
      <w:r w:rsidRPr="004A2D77">
        <w:rPr>
          <w:rFonts w:ascii="Times New Roman" w:hAnsi="Times New Roman" w:cs="Times New Roman"/>
          <w:sz w:val="24"/>
          <w:szCs w:val="24"/>
          <w:lang w:val="en-US"/>
        </w:rPr>
        <w:t xml:space="preserve"> were relatively small (&lt;25 cm</w:t>
      </w:r>
      <w:r w:rsidRPr="004A2D77">
        <w:rPr>
          <w:rFonts w:ascii="Times New Roman" w:hAnsi="Times New Roman" w:cs="Times New Roman"/>
          <w:sz w:val="24"/>
          <w:szCs w:val="24"/>
          <w:vertAlign w:val="superscript"/>
          <w:lang w:val="en-US"/>
        </w:rPr>
        <w:t>2</w:t>
      </w:r>
      <w:r w:rsidRPr="004A2D77">
        <w:rPr>
          <w:rFonts w:ascii="Times New Roman" w:hAnsi="Times New Roman" w:cs="Times New Roman"/>
          <w:sz w:val="24"/>
          <w:szCs w:val="24"/>
          <w:lang w:val="en-US"/>
        </w:rPr>
        <w:t xml:space="preserve">) </w:t>
      </w:r>
      <w:r w:rsidR="00BA4CBC" w:rsidRPr="004A2D77">
        <w:rPr>
          <w:rFonts w:ascii="Times New Roman" w:hAnsi="Times New Roman" w:cs="Times New Roman"/>
          <w:sz w:val="24"/>
          <w:szCs w:val="24"/>
          <w:lang w:val="en-US"/>
        </w:rPr>
        <w:t>compared to commercial flow battery stack</w:t>
      </w:r>
      <w:r w:rsidRPr="004A2D77">
        <w:rPr>
          <w:rFonts w:ascii="Times New Roman" w:hAnsi="Times New Roman" w:cs="Times New Roman"/>
          <w:sz w:val="24"/>
          <w:szCs w:val="24"/>
          <w:lang w:val="en-US"/>
        </w:rPr>
        <w:t xml:space="preserve"> (i.e. MW scale:</w:t>
      </w:r>
      <w:r w:rsidR="00BA4CBC" w:rsidRPr="004A2D77">
        <w:rPr>
          <w:rFonts w:ascii="Times New Roman" w:hAnsi="Times New Roman" w:cs="Times New Roman"/>
          <w:sz w:val="24"/>
          <w:szCs w:val="24"/>
          <w:lang w:val="en-US"/>
        </w:rPr>
        <w:t xml:space="preserve"> active area in the range of 0.1 – 2.0</w:t>
      </w:r>
      <w:r w:rsidRPr="004A2D77">
        <w:rPr>
          <w:rFonts w:ascii="Times New Roman" w:hAnsi="Times New Roman" w:cs="Times New Roman"/>
          <w:sz w:val="24"/>
          <w:szCs w:val="24"/>
          <w:lang w:val="en-US"/>
        </w:rPr>
        <w:t xml:space="preserve"> m</w:t>
      </w:r>
      <w:r w:rsidRPr="004A2D77">
        <w:rPr>
          <w:rFonts w:ascii="Times New Roman" w:hAnsi="Times New Roman" w:cs="Times New Roman"/>
          <w:sz w:val="24"/>
          <w:szCs w:val="24"/>
          <w:vertAlign w:val="superscript"/>
          <w:lang w:val="en-US"/>
        </w:rPr>
        <w:t>2</w:t>
      </w:r>
      <w:r w:rsidRPr="004A2D77">
        <w:rPr>
          <w:rFonts w:ascii="Times New Roman" w:hAnsi="Times New Roman" w:cs="Times New Roman"/>
          <w:sz w:val="24"/>
          <w:szCs w:val="24"/>
          <w:lang w:val="en-US"/>
        </w:rPr>
        <w:t>). It is known that smaller-sized cells tend</w:t>
      </w:r>
      <w:r w:rsidR="00FC44A2" w:rsidRPr="004A2D77">
        <w:rPr>
          <w:rFonts w:ascii="Times New Roman" w:hAnsi="Times New Roman" w:cs="Times New Roman"/>
          <w:sz w:val="24"/>
          <w:szCs w:val="24"/>
          <w:lang w:val="en-US"/>
        </w:rPr>
        <w:t>s</w:t>
      </w:r>
      <w:r w:rsidRPr="004A2D77">
        <w:rPr>
          <w:rFonts w:ascii="Times New Roman" w:hAnsi="Times New Roman" w:cs="Times New Roman"/>
          <w:sz w:val="24"/>
          <w:szCs w:val="24"/>
          <w:lang w:val="en-US"/>
        </w:rPr>
        <w:t xml:space="preserve"> to have improved mass transport of active species. Less uniform distributions of electrolyte were often observed in larger cells or/and at lower flow velocity. In such cases, electrolytes were likely to take a diagonal path from the inlet to the outlet, leaving significant parts of the electrode areas poorly irrigated.</w:t>
      </w:r>
    </w:p>
    <w:p w14:paraId="039133FC" w14:textId="77777777" w:rsidR="00834A22" w:rsidRPr="004A2D77" w:rsidRDefault="00834A22" w:rsidP="00834A22">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The polarization curves (</w:t>
      </w:r>
      <w:r w:rsidRPr="002C0C50">
        <w:rPr>
          <w:rFonts w:ascii="Times New Roman" w:hAnsi="Times New Roman" w:cs="Times New Roman"/>
          <w:iCs/>
          <w:sz w:val="24"/>
          <w:szCs w:val="24"/>
          <w:lang w:val="en-US"/>
        </w:rPr>
        <w:t>E vs. j</w:t>
      </w:r>
      <w:r w:rsidRPr="004A2D77">
        <w:rPr>
          <w:rFonts w:ascii="Times New Roman" w:hAnsi="Times New Roman" w:cs="Times New Roman"/>
          <w:sz w:val="24"/>
          <w:szCs w:val="24"/>
          <w:lang w:val="en-US"/>
        </w:rPr>
        <w:t>) reported in these works were obtained under different operating conditions, i.e. cell sizes and electrolyte conditions. Many of these curves were obtained with quick scans of potential or current, which minimized the depletion of charged/discharged species locally within the electrode compartments. Although these polarization curves may provide an insight into the potential losses, information regarding system efficiencies and capacity stability were still not accessible. Hence, the polarization curves were incapable of evaluating the charge-discharge performances, which were mainly suitable for rough performance evaluations, especially for small-sized /laboratory scaled batteries.</w:t>
      </w:r>
    </w:p>
    <w:p w14:paraId="7483FDF2" w14:textId="77777777" w:rsidR="00834A22" w:rsidRPr="004A2D77" w:rsidRDefault="00834A22" w:rsidP="00834A22">
      <w:pPr>
        <w:spacing w:after="120" w:line="480" w:lineRule="auto"/>
        <w:jc w:val="both"/>
        <w:rPr>
          <w:rFonts w:ascii="Times New Roman" w:hAnsi="Times New Roman" w:cs="Times New Roman"/>
          <w:sz w:val="24"/>
          <w:szCs w:val="24"/>
          <w:lang w:val="en-US"/>
        </w:rPr>
      </w:pPr>
    </w:p>
    <w:p w14:paraId="06B21DFC" w14:textId="6A73F6C3" w:rsidR="00834A22" w:rsidRPr="00060970" w:rsidRDefault="00E02BC0" w:rsidP="00834A22">
      <w:pPr>
        <w:spacing w:after="120" w:line="480" w:lineRule="auto"/>
        <w:jc w:val="both"/>
        <w:rPr>
          <w:rFonts w:ascii="Times New Roman" w:hAnsi="Times New Roman" w:cs="Times New Roman"/>
          <w:bCs/>
          <w:sz w:val="24"/>
          <w:szCs w:val="24"/>
          <w:lang w:val="en-US"/>
        </w:rPr>
      </w:pPr>
      <w:r w:rsidRPr="00060970">
        <w:rPr>
          <w:rFonts w:ascii="Times New Roman" w:hAnsi="Times New Roman" w:cs="Times New Roman"/>
          <w:bCs/>
          <w:sz w:val="24"/>
          <w:szCs w:val="24"/>
          <w:lang w:val="en-US"/>
        </w:rPr>
        <w:t xml:space="preserve">7. </w:t>
      </w:r>
      <w:r w:rsidR="00834A22" w:rsidRPr="00060970">
        <w:rPr>
          <w:rFonts w:ascii="Times New Roman" w:hAnsi="Times New Roman" w:cs="Times New Roman"/>
          <w:bCs/>
          <w:sz w:val="24"/>
          <w:szCs w:val="24"/>
          <w:lang w:val="en-US"/>
        </w:rPr>
        <w:t>Compression of porous electrodes</w:t>
      </w:r>
    </w:p>
    <w:p w14:paraId="7A3503C4" w14:textId="77777777" w:rsidR="00834A22" w:rsidRPr="004A2D77" w:rsidRDefault="00834A22" w:rsidP="00834A22">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 xml:space="preserve">The correlation between battery resistance and performances at different compression ratios has also been identified, even with non-uniformly compressed electrodes. In general, increased clamping/compressive pressure on the electrode layers improves the electrical conductivity of the battery, and hence reduce the overall polarization. </w:t>
      </w:r>
      <w:r w:rsidRPr="00C768BE">
        <w:rPr>
          <w:rFonts w:ascii="Times New Roman" w:hAnsi="Times New Roman" w:cs="Times New Roman"/>
          <w:bCs/>
          <w:sz w:val="24"/>
          <w:szCs w:val="24"/>
          <w:lang w:val="en-US"/>
        </w:rPr>
        <w:t xml:space="preserve">Figure </w:t>
      </w:r>
      <w:r w:rsidR="00521BA4" w:rsidRPr="00C768BE">
        <w:rPr>
          <w:rFonts w:ascii="Times New Roman" w:hAnsi="Times New Roman" w:cs="Times New Roman"/>
          <w:bCs/>
          <w:sz w:val="24"/>
          <w:szCs w:val="24"/>
          <w:lang w:val="en-US"/>
        </w:rPr>
        <w:t>5</w:t>
      </w:r>
      <w:r w:rsidRPr="004A2D77">
        <w:rPr>
          <w:rFonts w:ascii="Times New Roman" w:hAnsi="Times New Roman" w:cs="Times New Roman"/>
          <w:sz w:val="24"/>
          <w:szCs w:val="24"/>
          <w:lang w:val="en-US"/>
        </w:rPr>
        <w:t xml:space="preserve"> shows the X-ray computed tomography of carbon felt electrodes at increased compression. These compressive pressures were also effective in diminishing the contact resistances, resulting in higher voltage and energy efficiencies. Excessive compressions may result in non-uniform flow distributions and </w:t>
      </w:r>
      <w:r w:rsidRPr="004A2D77">
        <w:rPr>
          <w:rFonts w:ascii="Times New Roman" w:hAnsi="Times New Roman" w:cs="Times New Roman"/>
          <w:sz w:val="24"/>
          <w:szCs w:val="24"/>
          <w:lang w:val="en-US"/>
        </w:rPr>
        <w:lastRenderedPageBreak/>
        <w:t>occurrences of regions with the retarded flow of electrolyte. A segmented cell can be used to visualize the real-time flow distributions across the electrode at different compression ratio through spatially resolved measurements.</w:t>
      </w:r>
    </w:p>
    <w:p w14:paraId="5EDE7162" w14:textId="77777777" w:rsidR="00834A22" w:rsidRPr="004A2D77" w:rsidRDefault="00241339" w:rsidP="00834A22">
      <w:pPr>
        <w:spacing w:after="120" w:line="480" w:lineRule="auto"/>
        <w:jc w:val="center"/>
        <w:rPr>
          <w:rFonts w:ascii="Times New Roman" w:hAnsi="Times New Roman" w:cs="Times New Roman"/>
          <w:sz w:val="24"/>
          <w:szCs w:val="24"/>
          <w:lang w:val="en-US"/>
        </w:rPr>
      </w:pPr>
      <w:r w:rsidRPr="004A2D77">
        <w:rPr>
          <w:rFonts w:ascii="Times New Roman" w:hAnsi="Times New Roman" w:cs="Times New Roman"/>
          <w:noProof/>
          <w:sz w:val="24"/>
          <w:szCs w:val="24"/>
          <w:lang w:eastAsia="en-GB"/>
        </w:rPr>
        <w:drawing>
          <wp:inline distT="0" distB="0" distL="0" distR="0" wp14:anchorId="5B723608" wp14:editId="478FC4BF">
            <wp:extent cx="5334610" cy="2156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1 JES 26 (2019) 10099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4610" cy="2156155"/>
                    </a:xfrm>
                    <a:prstGeom prst="rect">
                      <a:avLst/>
                    </a:prstGeom>
                  </pic:spPr>
                </pic:pic>
              </a:graphicData>
            </a:graphic>
          </wp:inline>
        </w:drawing>
      </w:r>
    </w:p>
    <w:p w14:paraId="16B0AE1F" w14:textId="77777777" w:rsidR="00834A22" w:rsidRPr="004A2D77" w:rsidRDefault="00241339" w:rsidP="00241339">
      <w:pPr>
        <w:spacing w:after="120" w:line="240" w:lineRule="auto"/>
        <w:jc w:val="both"/>
        <w:rPr>
          <w:rFonts w:ascii="Times New Roman" w:hAnsi="Times New Roman" w:cs="Times New Roman"/>
          <w:sz w:val="24"/>
          <w:szCs w:val="24"/>
          <w:lang w:val="en-US"/>
        </w:rPr>
      </w:pPr>
      <w:r w:rsidRPr="00C768BE">
        <w:rPr>
          <w:rFonts w:ascii="Times New Roman" w:hAnsi="Times New Roman" w:cs="Times New Roman"/>
          <w:bCs/>
          <w:sz w:val="24"/>
          <w:szCs w:val="24"/>
          <w:lang w:val="en-US"/>
        </w:rPr>
        <w:t>Figure 5.</w:t>
      </w:r>
      <w:r w:rsidRPr="004A2D77">
        <w:rPr>
          <w:rFonts w:ascii="Times New Roman" w:hAnsi="Times New Roman" w:cs="Times New Roman"/>
          <w:sz w:val="24"/>
          <w:szCs w:val="24"/>
          <w:lang w:val="en-US"/>
        </w:rPr>
        <w:t xml:space="preserve"> Reconstructed tomograms of the compressed felt showing the change in thickness as the sample is compressed. The sample shown in the images has a side length of 2 mm, shown at compressions of (from left to right) 0%, 8%, 16%, 25%, 33%, 50%, and 67%. With permission from Elsevier. </w:t>
      </w:r>
    </w:p>
    <w:p w14:paraId="131495DC" w14:textId="77777777" w:rsidR="00241339" w:rsidRPr="004A2D77" w:rsidRDefault="00241339" w:rsidP="00834A22">
      <w:pPr>
        <w:spacing w:after="120" w:line="480" w:lineRule="auto"/>
        <w:jc w:val="both"/>
        <w:rPr>
          <w:rFonts w:ascii="Times New Roman" w:hAnsi="Times New Roman" w:cs="Times New Roman"/>
          <w:sz w:val="24"/>
          <w:szCs w:val="24"/>
          <w:lang w:val="en-US"/>
        </w:rPr>
      </w:pPr>
    </w:p>
    <w:p w14:paraId="17C5CE0C" w14:textId="20FC5CBC" w:rsidR="00834A22" w:rsidRPr="004A2D77" w:rsidRDefault="00834A22" w:rsidP="00834A22">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 xml:space="preserve">Limited by the experimental approaches, the influences of compressive forces on the activation, ohmic and mass transport polarizations are often difficult to be validated experimentally, especially the stability and performances of key functional materials are still unclear in medium- and long-term. Most existing studies evaluated electrode porosity, strain-stress evolution, area specific resistance, hydrodynamic and electrochemical performance at different compression ratios. The transport processes at different compression ratios can be mainly evaluated in detail by numerical modelling. Early models of </w:t>
      </w:r>
      <w:r w:rsidR="00891DA7">
        <w:rPr>
          <w:rFonts w:ascii="Times New Roman" w:hAnsi="Times New Roman" w:cs="Times New Roman"/>
          <w:sz w:val="24"/>
          <w:szCs w:val="24"/>
          <w:lang w:val="en-US"/>
        </w:rPr>
        <w:t>(</w:t>
      </w:r>
      <w:r w:rsidRPr="004A2D77">
        <w:rPr>
          <w:rFonts w:ascii="Times New Roman" w:hAnsi="Times New Roman" w:cs="Times New Roman"/>
          <w:sz w:val="24"/>
          <w:szCs w:val="24"/>
          <w:lang w:val="en-US"/>
        </w:rPr>
        <w:t xml:space="preserve">Shah </w:t>
      </w:r>
      <w:r w:rsidRPr="00844871">
        <w:rPr>
          <w:rFonts w:ascii="Times New Roman" w:hAnsi="Times New Roman" w:cs="Times New Roman"/>
          <w:iCs/>
          <w:sz w:val="24"/>
          <w:szCs w:val="24"/>
          <w:lang w:val="en-US"/>
        </w:rPr>
        <w:t>et al.</w:t>
      </w:r>
      <w:r w:rsidRPr="004A2D77">
        <w:rPr>
          <w:rFonts w:ascii="Times New Roman" w:hAnsi="Times New Roman" w:cs="Times New Roman"/>
          <w:sz w:val="24"/>
          <w:szCs w:val="24"/>
          <w:lang w:val="en-US"/>
        </w:rPr>
        <w:t> </w:t>
      </w:r>
      <w:r w:rsidR="00891DA7">
        <w:rPr>
          <w:rFonts w:ascii="Times New Roman" w:hAnsi="Times New Roman" w:cs="Times New Roman"/>
          <w:sz w:val="24"/>
          <w:szCs w:val="24"/>
          <w:lang w:val="en-US"/>
        </w:rPr>
        <w:t xml:space="preserve">2008) </w:t>
      </w:r>
      <w:r w:rsidRPr="004A2D77">
        <w:rPr>
          <w:rFonts w:ascii="Times New Roman" w:hAnsi="Times New Roman" w:cs="Times New Roman"/>
          <w:sz w:val="24"/>
          <w:szCs w:val="24"/>
          <w:lang w:val="en-US"/>
        </w:rPr>
        <w:t xml:space="preserve">and </w:t>
      </w:r>
      <w:r w:rsidR="00891DA7">
        <w:rPr>
          <w:rFonts w:ascii="Times New Roman" w:hAnsi="Times New Roman" w:cs="Times New Roman"/>
          <w:sz w:val="24"/>
          <w:szCs w:val="24"/>
          <w:lang w:val="en-US"/>
        </w:rPr>
        <w:t>(</w:t>
      </w:r>
      <w:r w:rsidRPr="004A2D77">
        <w:rPr>
          <w:rFonts w:ascii="Times New Roman" w:hAnsi="Times New Roman" w:cs="Times New Roman"/>
          <w:sz w:val="24"/>
          <w:szCs w:val="24"/>
          <w:lang w:val="en-US"/>
        </w:rPr>
        <w:t xml:space="preserve">You </w:t>
      </w:r>
      <w:r w:rsidRPr="00B818A9">
        <w:rPr>
          <w:rFonts w:ascii="Times New Roman" w:hAnsi="Times New Roman" w:cs="Times New Roman"/>
          <w:iCs/>
          <w:sz w:val="24"/>
          <w:szCs w:val="24"/>
          <w:lang w:val="en-US"/>
        </w:rPr>
        <w:t>et al. </w:t>
      </w:r>
      <w:r w:rsidR="00891DA7">
        <w:rPr>
          <w:rFonts w:ascii="Times New Roman" w:hAnsi="Times New Roman" w:cs="Times New Roman"/>
          <w:iCs/>
          <w:sz w:val="24"/>
          <w:szCs w:val="24"/>
          <w:lang w:val="en-US"/>
        </w:rPr>
        <w:t>20</w:t>
      </w:r>
      <w:r w:rsidR="00661943">
        <w:rPr>
          <w:rFonts w:ascii="Times New Roman" w:hAnsi="Times New Roman" w:cs="Times New Roman"/>
          <w:iCs/>
          <w:sz w:val="24"/>
          <w:szCs w:val="24"/>
          <w:lang w:val="en-US"/>
        </w:rPr>
        <w:t xml:space="preserve">19) </w:t>
      </w:r>
      <w:r w:rsidRPr="004A2D77">
        <w:rPr>
          <w:rFonts w:ascii="Times New Roman" w:hAnsi="Times New Roman" w:cs="Times New Roman"/>
          <w:sz w:val="24"/>
          <w:szCs w:val="24"/>
          <w:lang w:val="en-US"/>
        </w:rPr>
        <w:t xml:space="preserve">demonstrated that high porosity could lead to more significant side reactions (i.e. gases evolutions), while smaller porosity tends to result in more uniform distributions of polarizations. The influence of electrode compression on the voltage losses and hydraulics have also been conducted in a 2D model by </w:t>
      </w:r>
      <w:r w:rsidR="00E85F35">
        <w:rPr>
          <w:rFonts w:ascii="Times New Roman" w:hAnsi="Times New Roman" w:cs="Times New Roman"/>
          <w:sz w:val="24"/>
          <w:szCs w:val="24"/>
          <w:lang w:val="en-US"/>
        </w:rPr>
        <w:t>(</w:t>
      </w:r>
      <w:proofErr w:type="spellStart"/>
      <w:r w:rsidRPr="004A2D77">
        <w:rPr>
          <w:rFonts w:ascii="Times New Roman" w:hAnsi="Times New Roman" w:cs="Times New Roman"/>
          <w:sz w:val="24"/>
          <w:szCs w:val="24"/>
          <w:lang w:val="en-US"/>
        </w:rPr>
        <w:t>Bromberger</w:t>
      </w:r>
      <w:proofErr w:type="spellEnd"/>
      <w:r w:rsidRPr="004A2D77">
        <w:rPr>
          <w:rFonts w:ascii="Times New Roman" w:hAnsi="Times New Roman" w:cs="Times New Roman"/>
          <w:sz w:val="24"/>
          <w:szCs w:val="24"/>
          <w:lang w:val="en-US"/>
        </w:rPr>
        <w:t xml:space="preserve"> </w:t>
      </w:r>
      <w:r w:rsidRPr="00E85F35">
        <w:rPr>
          <w:rFonts w:ascii="Times New Roman" w:hAnsi="Times New Roman" w:cs="Times New Roman"/>
          <w:iCs/>
          <w:sz w:val="24"/>
          <w:szCs w:val="24"/>
          <w:lang w:val="en-US"/>
        </w:rPr>
        <w:t>et al.</w:t>
      </w:r>
      <w:r w:rsidR="00E15238">
        <w:rPr>
          <w:rFonts w:ascii="Times New Roman" w:hAnsi="Times New Roman" w:cs="Times New Roman"/>
          <w:sz w:val="24"/>
          <w:szCs w:val="24"/>
          <w:lang w:val="en-US"/>
        </w:rPr>
        <w:t xml:space="preserve"> </w:t>
      </w:r>
      <w:r w:rsidR="00FA4C7E">
        <w:rPr>
          <w:rFonts w:ascii="Times New Roman" w:hAnsi="Times New Roman" w:cs="Times New Roman"/>
          <w:sz w:val="24"/>
          <w:szCs w:val="24"/>
          <w:lang w:val="en-US"/>
        </w:rPr>
        <w:t>2014)</w:t>
      </w:r>
      <w:r w:rsidRPr="004A2D77">
        <w:rPr>
          <w:rFonts w:ascii="Times New Roman" w:hAnsi="Times New Roman" w:cs="Times New Roman"/>
          <w:sz w:val="24"/>
          <w:szCs w:val="24"/>
          <w:lang w:val="en-US"/>
        </w:rPr>
        <w:t xml:space="preserve">, showing that higher electrode compressions tended to reduce the ohmic losses but increase the pressure drop, therefore an </w:t>
      </w:r>
      <w:r w:rsidRPr="004A2D77">
        <w:rPr>
          <w:rFonts w:ascii="Times New Roman" w:hAnsi="Times New Roman" w:cs="Times New Roman"/>
          <w:sz w:val="24"/>
          <w:szCs w:val="24"/>
          <w:lang w:val="en-US"/>
        </w:rPr>
        <w:lastRenderedPageBreak/>
        <w:t xml:space="preserve">optimal compression ratio is required by balancing its electrical, electrochemical and hydraulic performances. </w:t>
      </w:r>
      <w:r w:rsidR="005036FD">
        <w:rPr>
          <w:rFonts w:ascii="Times New Roman" w:hAnsi="Times New Roman" w:cs="Times New Roman"/>
          <w:sz w:val="24"/>
          <w:szCs w:val="24"/>
          <w:lang w:val="en-US"/>
        </w:rPr>
        <w:t>T</w:t>
      </w:r>
      <w:r w:rsidR="005036FD" w:rsidRPr="004A2D77">
        <w:rPr>
          <w:rFonts w:ascii="Times New Roman" w:hAnsi="Times New Roman" w:cs="Times New Roman"/>
          <w:sz w:val="24"/>
          <w:szCs w:val="24"/>
          <w:lang w:val="en-US"/>
        </w:rPr>
        <w:t xml:space="preserve">he compression ratios </w:t>
      </w:r>
      <w:r w:rsidR="005036FD">
        <w:rPr>
          <w:rFonts w:ascii="Times New Roman" w:hAnsi="Times New Roman" w:cs="Times New Roman"/>
          <w:sz w:val="24"/>
          <w:szCs w:val="24"/>
          <w:lang w:val="en-US"/>
        </w:rPr>
        <w:t>evaluated by (</w:t>
      </w:r>
      <w:r w:rsidRPr="004A2D77">
        <w:rPr>
          <w:rFonts w:ascii="Times New Roman" w:hAnsi="Times New Roman" w:cs="Times New Roman"/>
          <w:sz w:val="24"/>
          <w:szCs w:val="24"/>
          <w:lang w:val="en-US"/>
        </w:rPr>
        <w:t xml:space="preserve">Oh </w:t>
      </w:r>
      <w:r w:rsidRPr="00FA4C7E">
        <w:rPr>
          <w:rFonts w:ascii="Times New Roman" w:hAnsi="Times New Roman" w:cs="Times New Roman"/>
          <w:iCs/>
          <w:sz w:val="24"/>
          <w:szCs w:val="24"/>
          <w:lang w:val="en-US"/>
        </w:rPr>
        <w:t>et al. </w:t>
      </w:r>
      <w:r w:rsidR="00F51484">
        <w:rPr>
          <w:rFonts w:ascii="Times New Roman" w:hAnsi="Times New Roman" w:cs="Times New Roman"/>
          <w:iCs/>
          <w:sz w:val="24"/>
          <w:szCs w:val="24"/>
          <w:lang w:val="en-US"/>
        </w:rPr>
        <w:t>2015a and 20</w:t>
      </w:r>
      <w:r w:rsidR="00FB64AA">
        <w:rPr>
          <w:rFonts w:ascii="Times New Roman" w:hAnsi="Times New Roman" w:cs="Times New Roman"/>
          <w:iCs/>
          <w:sz w:val="24"/>
          <w:szCs w:val="24"/>
          <w:lang w:val="en-US"/>
        </w:rPr>
        <w:t xml:space="preserve">5b) </w:t>
      </w:r>
      <w:r w:rsidRPr="004A2D77">
        <w:rPr>
          <w:rFonts w:ascii="Times New Roman" w:hAnsi="Times New Roman" w:cs="Times New Roman"/>
          <w:sz w:val="24"/>
          <w:szCs w:val="24"/>
          <w:lang w:val="en-US"/>
        </w:rPr>
        <w:t>using a three-dimensional, transient model</w:t>
      </w:r>
      <w:r w:rsidR="00071F22">
        <w:rPr>
          <w:rFonts w:ascii="Times New Roman" w:hAnsi="Times New Roman" w:cs="Times New Roman"/>
          <w:sz w:val="24"/>
          <w:szCs w:val="24"/>
          <w:lang w:val="en-US"/>
        </w:rPr>
        <w:t xml:space="preserve">, </w:t>
      </w:r>
      <w:r w:rsidRPr="004A2D77">
        <w:rPr>
          <w:rFonts w:ascii="Times New Roman" w:hAnsi="Times New Roman" w:cs="Times New Roman"/>
          <w:sz w:val="24"/>
          <w:szCs w:val="24"/>
          <w:lang w:val="en-US"/>
        </w:rPr>
        <w:t xml:space="preserve">showed that </w:t>
      </w:r>
      <w:r w:rsidR="00071F22">
        <w:rPr>
          <w:rFonts w:ascii="Times New Roman" w:hAnsi="Times New Roman" w:cs="Times New Roman"/>
          <w:sz w:val="24"/>
          <w:szCs w:val="24"/>
          <w:lang w:val="en-US"/>
        </w:rPr>
        <w:t xml:space="preserve">the </w:t>
      </w:r>
      <w:r w:rsidRPr="004A2D77">
        <w:rPr>
          <w:rFonts w:ascii="Times New Roman" w:hAnsi="Times New Roman" w:cs="Times New Roman"/>
          <w:sz w:val="24"/>
          <w:szCs w:val="24"/>
          <w:lang w:val="en-US"/>
        </w:rPr>
        <w:t>electrode compression can reduce the ohmic resistance effectively, but has little influences on the mass transport and the kinetics of the electrode reactions.</w:t>
      </w:r>
    </w:p>
    <w:p w14:paraId="1A7E73E2" w14:textId="77777777" w:rsidR="00834A22" w:rsidRPr="004A2D77" w:rsidRDefault="00834A22" w:rsidP="00834A22">
      <w:pPr>
        <w:spacing w:after="120" w:line="480" w:lineRule="auto"/>
        <w:jc w:val="both"/>
        <w:rPr>
          <w:rFonts w:ascii="Times New Roman" w:hAnsi="Times New Roman" w:cs="Times New Roman"/>
          <w:sz w:val="24"/>
          <w:szCs w:val="24"/>
          <w:lang w:val="en-US"/>
        </w:rPr>
      </w:pPr>
    </w:p>
    <w:p w14:paraId="0030708F" w14:textId="0C7E5059" w:rsidR="00834A22" w:rsidRPr="00060970" w:rsidRDefault="00E02BC0" w:rsidP="00834A22">
      <w:pPr>
        <w:spacing w:after="120" w:line="480" w:lineRule="auto"/>
        <w:rPr>
          <w:rFonts w:ascii="Times New Roman" w:hAnsi="Times New Roman" w:cs="Times New Roman"/>
          <w:bCs/>
          <w:sz w:val="24"/>
          <w:szCs w:val="24"/>
          <w:lang w:val="en-US"/>
        </w:rPr>
      </w:pPr>
      <w:r w:rsidRPr="00060970">
        <w:rPr>
          <w:rFonts w:ascii="Times New Roman" w:hAnsi="Times New Roman" w:cs="Times New Roman"/>
          <w:bCs/>
          <w:sz w:val="24"/>
          <w:szCs w:val="24"/>
          <w:lang w:val="en-US"/>
        </w:rPr>
        <w:t xml:space="preserve">8. </w:t>
      </w:r>
      <w:r w:rsidR="00834A22" w:rsidRPr="00060970">
        <w:rPr>
          <w:rFonts w:ascii="Times New Roman" w:hAnsi="Times New Roman" w:cs="Times New Roman"/>
          <w:bCs/>
          <w:sz w:val="24"/>
          <w:szCs w:val="24"/>
          <w:lang w:val="en-US"/>
        </w:rPr>
        <w:t>Pressure drop</w:t>
      </w:r>
    </w:p>
    <w:p w14:paraId="7EFE3653" w14:textId="7EBF241D" w:rsidR="0039141F" w:rsidRDefault="00834A22" w:rsidP="00834A22">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 xml:space="preserve">RFBs with electrolyte flowing </w:t>
      </w:r>
      <w:r w:rsidR="004333F7" w:rsidRPr="004A2D77">
        <w:rPr>
          <w:rFonts w:ascii="Times New Roman" w:hAnsi="Times New Roman" w:cs="Times New Roman"/>
          <w:sz w:val="24"/>
          <w:szCs w:val="24"/>
          <w:lang w:val="en-US"/>
        </w:rPr>
        <w:t xml:space="preserve">in an “open flow field configuration” </w:t>
      </w:r>
      <w:r w:rsidRPr="004A2D77">
        <w:rPr>
          <w:rFonts w:ascii="Times New Roman" w:hAnsi="Times New Roman" w:cs="Times New Roman"/>
          <w:sz w:val="24"/>
          <w:szCs w:val="24"/>
          <w:lang w:val="en-US"/>
        </w:rPr>
        <w:t xml:space="preserve">may experience large pressure drop across the cells/stacks. In practice, increased flow velocities are required for higher current density operations or physically larger cell dimensions, which increase the flow resistance and associated pumping losses. </w:t>
      </w:r>
      <w:r w:rsidR="004333F7" w:rsidRPr="004A2D77">
        <w:rPr>
          <w:rFonts w:ascii="Times New Roman" w:hAnsi="Times New Roman" w:cs="Times New Roman"/>
          <w:sz w:val="24"/>
          <w:szCs w:val="24"/>
          <w:lang w:val="en-US"/>
        </w:rPr>
        <w:t>When using thin</w:t>
      </w:r>
      <w:r w:rsidRPr="004A2D77">
        <w:rPr>
          <w:rFonts w:ascii="Times New Roman" w:hAnsi="Times New Roman" w:cs="Times New Roman"/>
          <w:sz w:val="24"/>
          <w:szCs w:val="24"/>
          <w:lang w:val="en-US"/>
        </w:rPr>
        <w:t xml:space="preserve"> porous electrodes</w:t>
      </w:r>
      <w:r w:rsidR="004333F7" w:rsidRPr="004A2D77">
        <w:rPr>
          <w:rFonts w:ascii="Times New Roman" w:hAnsi="Times New Roman" w:cs="Times New Roman"/>
          <w:sz w:val="24"/>
          <w:szCs w:val="24"/>
          <w:lang w:val="en-US"/>
        </w:rPr>
        <w:t xml:space="preserve"> in combination with flow fields in the bipolar plates</w:t>
      </w:r>
      <w:r w:rsidRPr="004A2D77">
        <w:rPr>
          <w:rFonts w:ascii="Times New Roman" w:hAnsi="Times New Roman" w:cs="Times New Roman"/>
          <w:sz w:val="24"/>
          <w:szCs w:val="24"/>
          <w:lang w:val="en-US"/>
        </w:rPr>
        <w:t xml:space="preserve">, the pressure drop is often smaller and more linear with uniform porosity, than those with lower porosity at the inlets or the outlets </w:t>
      </w:r>
      <w:r w:rsidRPr="00FB64AA">
        <w:rPr>
          <w:rFonts w:ascii="Times New Roman" w:hAnsi="Times New Roman" w:cs="Times New Roman"/>
          <w:bCs/>
          <w:sz w:val="24"/>
          <w:szCs w:val="24"/>
          <w:lang w:val="en-US"/>
        </w:rPr>
        <w:t xml:space="preserve">Figure </w:t>
      </w:r>
      <w:r w:rsidR="001364EB" w:rsidRPr="00FB64AA">
        <w:rPr>
          <w:rFonts w:ascii="Times New Roman" w:hAnsi="Times New Roman" w:cs="Times New Roman"/>
          <w:bCs/>
          <w:sz w:val="24"/>
          <w:szCs w:val="24"/>
          <w:lang w:val="en-US"/>
        </w:rPr>
        <w:t>6</w:t>
      </w:r>
      <w:r w:rsidRPr="00FB64AA">
        <w:rPr>
          <w:rFonts w:ascii="Times New Roman" w:hAnsi="Times New Roman" w:cs="Times New Roman"/>
          <w:bCs/>
          <w:sz w:val="24"/>
          <w:szCs w:val="24"/>
          <w:lang w:val="en-US"/>
        </w:rPr>
        <w:t>.</w:t>
      </w:r>
      <w:r w:rsidRPr="004A2D77">
        <w:rPr>
          <w:rFonts w:ascii="Times New Roman" w:hAnsi="Times New Roman" w:cs="Times New Roman"/>
          <w:sz w:val="24"/>
          <w:szCs w:val="24"/>
          <w:lang w:val="en-US"/>
        </w:rPr>
        <w:t xml:space="preserve"> High pressure drop is usually associated with the permeability of the porous electrodes. The permeability varies with different electrode materials. For the case of carbon felts, the permeability of those from SGL and Alfa </w:t>
      </w:r>
      <w:proofErr w:type="spellStart"/>
      <w:r w:rsidRPr="004A2D77">
        <w:rPr>
          <w:rFonts w:ascii="Times New Roman" w:hAnsi="Times New Roman" w:cs="Times New Roman"/>
          <w:sz w:val="24"/>
          <w:szCs w:val="24"/>
          <w:lang w:val="en-US"/>
        </w:rPr>
        <w:t>Aesar</w:t>
      </w:r>
      <w:proofErr w:type="spellEnd"/>
      <w:r w:rsidRPr="004A2D77">
        <w:rPr>
          <w:rFonts w:ascii="Times New Roman" w:hAnsi="Times New Roman" w:cs="Times New Roman"/>
          <w:sz w:val="24"/>
          <w:szCs w:val="24"/>
          <w:lang w:val="en-US"/>
        </w:rPr>
        <w:t xml:space="preserve"> was in the range of 2–4 and 4–7.5 × 10</w:t>
      </w:r>
      <w:r w:rsidRPr="004A2D77">
        <w:rPr>
          <w:rFonts w:ascii="Times New Roman" w:hAnsi="Times New Roman" w:cs="Times New Roman"/>
          <w:sz w:val="24"/>
          <w:szCs w:val="24"/>
          <w:vertAlign w:val="superscript"/>
          <w:lang w:val="en-US"/>
        </w:rPr>
        <w:t>−11</w:t>
      </w:r>
      <w:r w:rsidRPr="004A2D77">
        <w:rPr>
          <w:rFonts w:ascii="Times New Roman" w:hAnsi="Times New Roman" w:cs="Times New Roman"/>
          <w:sz w:val="24"/>
          <w:szCs w:val="24"/>
          <w:lang w:val="en-US"/>
        </w:rPr>
        <w:t> m</w:t>
      </w:r>
      <w:r w:rsidRPr="004A2D77">
        <w:rPr>
          <w:rFonts w:ascii="Times New Roman" w:hAnsi="Times New Roman" w:cs="Times New Roman"/>
          <w:sz w:val="24"/>
          <w:szCs w:val="24"/>
          <w:vertAlign w:val="superscript"/>
          <w:lang w:val="en-US"/>
        </w:rPr>
        <w:t>2</w:t>
      </w:r>
      <w:r w:rsidRPr="004A2D77">
        <w:rPr>
          <w:rFonts w:ascii="Times New Roman" w:hAnsi="Times New Roman" w:cs="Times New Roman"/>
          <w:sz w:val="24"/>
          <w:szCs w:val="24"/>
          <w:lang w:val="en-US"/>
        </w:rPr>
        <w:t>, respectively.</w:t>
      </w:r>
      <w:r w:rsidR="001364EB" w:rsidRPr="004A2D77">
        <w:rPr>
          <w:rFonts w:ascii="Times New Roman" w:hAnsi="Times New Roman" w:cs="Times New Roman"/>
          <w:sz w:val="24"/>
          <w:szCs w:val="24"/>
          <w:lang w:val="en-US"/>
        </w:rPr>
        <w:t xml:space="preserve"> </w:t>
      </w:r>
      <w:r w:rsidRPr="004A2D77">
        <w:rPr>
          <w:rFonts w:ascii="Times New Roman" w:hAnsi="Times New Roman" w:cs="Times New Roman"/>
          <w:sz w:val="24"/>
          <w:szCs w:val="24"/>
          <w:lang w:val="en-US"/>
        </w:rPr>
        <w:t xml:space="preserve">The permeability of porous electrodes depends strongly on the compression ratios, which is by compressing different number of electrodes into certain thicknesses. By increasing the compression ratios, the permeability tended to decrease with the aggravation of flow resistances. </w:t>
      </w:r>
      <w:r w:rsidR="00983B9F" w:rsidRPr="005B3841">
        <w:rPr>
          <w:rFonts w:ascii="Times New Roman" w:hAnsi="Times New Roman" w:cs="Times New Roman"/>
          <w:sz w:val="24"/>
          <w:szCs w:val="24"/>
          <w:lang w:val="en-US"/>
        </w:rPr>
        <w:t>Yue (Yue</w:t>
      </w:r>
      <w:r w:rsidR="00D159BE" w:rsidRPr="005B3841">
        <w:rPr>
          <w:rFonts w:ascii="Times New Roman" w:hAnsi="Times New Roman" w:cs="Times New Roman"/>
          <w:sz w:val="24"/>
          <w:szCs w:val="24"/>
          <w:lang w:val="en-US"/>
        </w:rPr>
        <w:t xml:space="preserve"> et al.</w:t>
      </w:r>
      <w:r w:rsidR="00983B9F" w:rsidRPr="005B3841">
        <w:rPr>
          <w:rFonts w:ascii="Times New Roman" w:hAnsi="Times New Roman" w:cs="Times New Roman"/>
          <w:sz w:val="24"/>
          <w:szCs w:val="24"/>
          <w:lang w:val="en-US"/>
        </w:rPr>
        <w:t xml:space="preserve"> 20</w:t>
      </w:r>
      <w:r w:rsidR="00904A0A" w:rsidRPr="005B3841">
        <w:rPr>
          <w:rFonts w:ascii="Times New Roman" w:hAnsi="Times New Roman" w:cs="Times New Roman"/>
          <w:sz w:val="24"/>
          <w:szCs w:val="24"/>
          <w:lang w:val="en-US"/>
        </w:rPr>
        <w:t xml:space="preserve">19) have </w:t>
      </w:r>
      <w:r w:rsidR="00AB0AC8" w:rsidRPr="005B3841">
        <w:rPr>
          <w:rFonts w:ascii="Times New Roman" w:hAnsi="Times New Roman" w:cs="Times New Roman"/>
          <w:sz w:val="24"/>
          <w:szCs w:val="24"/>
          <w:lang w:val="en-US"/>
        </w:rPr>
        <w:t>suggested</w:t>
      </w:r>
      <w:r w:rsidR="00904A0A" w:rsidRPr="005B3841">
        <w:rPr>
          <w:rFonts w:ascii="Times New Roman" w:hAnsi="Times New Roman" w:cs="Times New Roman"/>
          <w:sz w:val="24"/>
          <w:szCs w:val="24"/>
          <w:lang w:val="en-US"/>
        </w:rPr>
        <w:t xml:space="preserve"> that </w:t>
      </w:r>
      <w:r w:rsidR="00496905" w:rsidRPr="005B3841">
        <w:rPr>
          <w:rFonts w:ascii="Times New Roman" w:hAnsi="Times New Roman" w:cs="Times New Roman"/>
          <w:sz w:val="24"/>
          <w:szCs w:val="24"/>
          <w:lang w:val="en-US"/>
        </w:rPr>
        <w:t xml:space="preserve">the porosity </w:t>
      </w:r>
      <w:r w:rsidR="00061028" w:rsidRPr="005B3841">
        <w:rPr>
          <w:rFonts w:ascii="Times New Roman" w:hAnsi="Times New Roman" w:cs="Times New Roman"/>
          <w:sz w:val="24"/>
          <w:szCs w:val="24"/>
          <w:lang w:val="en-US"/>
        </w:rPr>
        <w:t xml:space="preserve">has a linear correlation with the </w:t>
      </w:r>
      <w:r w:rsidR="00F62FDF" w:rsidRPr="005B3841">
        <w:rPr>
          <w:rFonts w:ascii="Times New Roman" w:hAnsi="Times New Roman" w:cs="Times New Roman"/>
          <w:sz w:val="24"/>
          <w:szCs w:val="24"/>
          <w:lang w:val="en-US"/>
        </w:rPr>
        <w:t xml:space="preserve">compression ratio which </w:t>
      </w:r>
      <w:r w:rsidR="00AB0AC8" w:rsidRPr="005B3841">
        <w:rPr>
          <w:rFonts w:ascii="Times New Roman" w:hAnsi="Times New Roman" w:cs="Times New Roman"/>
          <w:sz w:val="24"/>
          <w:szCs w:val="24"/>
          <w:lang w:val="en-US"/>
        </w:rPr>
        <w:t xml:space="preserve">in turns </w:t>
      </w:r>
      <w:r w:rsidR="00F62FDF" w:rsidRPr="005B3841">
        <w:rPr>
          <w:rFonts w:ascii="Times New Roman" w:hAnsi="Times New Roman" w:cs="Times New Roman"/>
          <w:sz w:val="24"/>
          <w:szCs w:val="24"/>
          <w:lang w:val="en-US"/>
        </w:rPr>
        <w:t>affect</w:t>
      </w:r>
      <w:r w:rsidR="00A64374" w:rsidRPr="005B3841">
        <w:rPr>
          <w:rFonts w:ascii="Times New Roman" w:hAnsi="Times New Roman" w:cs="Times New Roman"/>
          <w:sz w:val="24"/>
          <w:szCs w:val="24"/>
          <w:lang w:val="en-US"/>
        </w:rPr>
        <w:t>s</w:t>
      </w:r>
      <w:r w:rsidR="00F62FDF" w:rsidRPr="005B3841">
        <w:rPr>
          <w:rFonts w:ascii="Times New Roman" w:hAnsi="Times New Roman" w:cs="Times New Roman"/>
          <w:sz w:val="24"/>
          <w:szCs w:val="24"/>
          <w:lang w:val="en-US"/>
        </w:rPr>
        <w:t xml:space="preserve"> the momentum, </w:t>
      </w:r>
      <w:r w:rsidR="00496905" w:rsidRPr="005B3841">
        <w:rPr>
          <w:rFonts w:ascii="Times New Roman" w:hAnsi="Times New Roman" w:cs="Times New Roman"/>
          <w:sz w:val="24"/>
          <w:szCs w:val="24"/>
          <w:lang w:val="en-US"/>
        </w:rPr>
        <w:t xml:space="preserve">mass </w:t>
      </w:r>
      <w:r w:rsidR="00F62FDF" w:rsidRPr="005B3841">
        <w:rPr>
          <w:rFonts w:ascii="Times New Roman" w:hAnsi="Times New Roman" w:cs="Times New Roman"/>
          <w:sz w:val="24"/>
          <w:szCs w:val="24"/>
          <w:lang w:val="en-US"/>
        </w:rPr>
        <w:t xml:space="preserve">and </w:t>
      </w:r>
      <w:r w:rsidR="006405AA" w:rsidRPr="005B3841">
        <w:rPr>
          <w:rFonts w:ascii="Times New Roman" w:hAnsi="Times New Roman" w:cs="Times New Roman"/>
          <w:sz w:val="24"/>
          <w:szCs w:val="24"/>
          <w:lang w:val="en-US"/>
        </w:rPr>
        <w:t>charge transport</w:t>
      </w:r>
      <w:r w:rsidR="00334A23" w:rsidRPr="005B3841">
        <w:rPr>
          <w:rFonts w:ascii="Times New Roman" w:hAnsi="Times New Roman" w:cs="Times New Roman"/>
          <w:sz w:val="24"/>
          <w:szCs w:val="24"/>
          <w:lang w:val="en-US"/>
        </w:rPr>
        <w:t xml:space="preserve"> and the electrochemical reaction</w:t>
      </w:r>
      <w:r w:rsidR="00AB0AC8" w:rsidRPr="005B3841">
        <w:rPr>
          <w:rFonts w:ascii="Times New Roman" w:hAnsi="Times New Roman" w:cs="Times New Roman"/>
          <w:sz w:val="24"/>
          <w:szCs w:val="24"/>
          <w:lang w:val="en-US"/>
        </w:rPr>
        <w:t xml:space="preserve"> </w:t>
      </w:r>
      <w:r w:rsidR="0039141F" w:rsidRPr="005B3841">
        <w:rPr>
          <w:rFonts w:ascii="Times New Roman" w:hAnsi="Times New Roman" w:cs="Times New Roman"/>
          <w:sz w:val="24"/>
          <w:szCs w:val="24"/>
          <w:lang w:val="en-US"/>
        </w:rPr>
        <w:t>and can be described by the Carman-</w:t>
      </w:r>
      <w:proofErr w:type="spellStart"/>
      <w:r w:rsidR="0039141F" w:rsidRPr="005B3841">
        <w:rPr>
          <w:rFonts w:ascii="Times New Roman" w:hAnsi="Times New Roman" w:cs="Times New Roman"/>
          <w:sz w:val="24"/>
          <w:szCs w:val="24"/>
          <w:lang w:val="en-US"/>
        </w:rPr>
        <w:t>Kozeny</w:t>
      </w:r>
      <w:proofErr w:type="spellEnd"/>
      <w:r w:rsidR="0039141F" w:rsidRPr="005B3841">
        <w:rPr>
          <w:rFonts w:ascii="Times New Roman" w:hAnsi="Times New Roman" w:cs="Times New Roman"/>
          <w:sz w:val="24"/>
          <w:szCs w:val="24"/>
          <w:lang w:val="en-US"/>
        </w:rPr>
        <w:t xml:space="preserve"> equation</w:t>
      </w:r>
      <w:r w:rsidR="009F7CD4" w:rsidRPr="005B3841">
        <w:rPr>
          <w:rFonts w:ascii="Times New Roman" w:hAnsi="Times New Roman" w:cs="Times New Roman"/>
          <w:sz w:val="24"/>
          <w:szCs w:val="24"/>
          <w:lang w:val="en-US"/>
        </w:rPr>
        <w:t xml:space="preserve"> which correlates the carbon electrode fiber </w:t>
      </w:r>
      <w:r w:rsidR="009F7CD4" w:rsidRPr="005B3841">
        <w:rPr>
          <w:rFonts w:ascii="Times New Roman" w:hAnsi="Times New Roman" w:cs="Times New Roman"/>
          <w:i/>
          <w:iCs/>
          <w:sz w:val="24"/>
          <w:szCs w:val="24"/>
          <w:lang w:val="en-US"/>
        </w:rPr>
        <w:t>d</w:t>
      </w:r>
      <w:r w:rsidR="009F7CD4" w:rsidRPr="005B3841">
        <w:rPr>
          <w:rFonts w:ascii="Times New Roman" w:hAnsi="Times New Roman" w:cs="Times New Roman"/>
          <w:sz w:val="24"/>
          <w:szCs w:val="24"/>
          <w:vertAlign w:val="subscript"/>
          <w:lang w:val="en-US"/>
        </w:rPr>
        <w:t>f</w:t>
      </w:r>
      <w:r w:rsidR="009F7CD4" w:rsidRPr="005B3841">
        <w:rPr>
          <w:rFonts w:ascii="Times New Roman" w:hAnsi="Times New Roman" w:cs="Times New Roman"/>
          <w:sz w:val="24"/>
          <w:szCs w:val="24"/>
          <w:lang w:val="en-US"/>
        </w:rPr>
        <w:t xml:space="preserve">, the dimensionless </w:t>
      </w:r>
      <w:proofErr w:type="spellStart"/>
      <w:r w:rsidR="009F7CD4" w:rsidRPr="005B3841">
        <w:rPr>
          <w:rFonts w:ascii="Times New Roman" w:hAnsi="Times New Roman" w:cs="Times New Roman"/>
          <w:sz w:val="24"/>
          <w:szCs w:val="24"/>
          <w:lang w:val="en-US"/>
        </w:rPr>
        <w:t>Kozeny</w:t>
      </w:r>
      <w:proofErr w:type="spellEnd"/>
      <w:r w:rsidR="009F7CD4" w:rsidRPr="005B3841">
        <w:rPr>
          <w:rFonts w:ascii="Times New Roman" w:hAnsi="Times New Roman" w:cs="Times New Roman"/>
          <w:sz w:val="24"/>
          <w:szCs w:val="24"/>
          <w:lang w:val="en-US"/>
        </w:rPr>
        <w:t xml:space="preserve">-Carman constant, </w:t>
      </w:r>
      <w:proofErr w:type="spellStart"/>
      <w:r w:rsidR="009F7CD4" w:rsidRPr="005B3841">
        <w:rPr>
          <w:rFonts w:ascii="Times New Roman" w:hAnsi="Times New Roman" w:cs="Times New Roman"/>
          <w:i/>
          <w:iCs/>
          <w:sz w:val="24"/>
          <w:szCs w:val="24"/>
          <w:lang w:val="en-US"/>
        </w:rPr>
        <w:t>k</w:t>
      </w:r>
      <w:r w:rsidR="009F7CD4" w:rsidRPr="005B3841">
        <w:rPr>
          <w:rFonts w:ascii="Times New Roman" w:hAnsi="Times New Roman" w:cs="Times New Roman"/>
          <w:sz w:val="24"/>
          <w:szCs w:val="24"/>
          <w:vertAlign w:val="subscript"/>
          <w:lang w:val="en-US"/>
        </w:rPr>
        <w:t>CK</w:t>
      </w:r>
      <w:proofErr w:type="spellEnd"/>
      <w:r w:rsidR="009F7CD4" w:rsidRPr="005B3841">
        <w:rPr>
          <w:rFonts w:ascii="Times New Roman" w:hAnsi="Times New Roman" w:cs="Times New Roman"/>
          <w:sz w:val="24"/>
          <w:szCs w:val="24"/>
          <w:lang w:val="en-US"/>
        </w:rPr>
        <w:t xml:space="preserve">, the velocity of the electrolyte </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v</m:t>
            </m:r>
          </m:e>
        </m:acc>
      </m:oMath>
      <w:r w:rsidR="009F7CD4" w:rsidRPr="005B3841">
        <w:rPr>
          <w:rFonts w:ascii="Times New Roman" w:eastAsiaTheme="minorEastAsia" w:hAnsi="Times New Roman" w:cs="Times New Roman"/>
          <w:sz w:val="24"/>
          <w:szCs w:val="24"/>
          <w:lang w:val="en-US"/>
        </w:rPr>
        <w:t xml:space="preserve">, the temperature </w:t>
      </w:r>
      <w:r w:rsidR="009F7CD4" w:rsidRPr="005B3841">
        <w:rPr>
          <w:rFonts w:ascii="Times New Roman" w:eastAsiaTheme="minorEastAsia" w:hAnsi="Times New Roman" w:cs="Times New Roman"/>
          <w:i/>
          <w:iCs/>
          <w:sz w:val="24"/>
          <w:szCs w:val="24"/>
          <w:lang w:val="en-US"/>
        </w:rPr>
        <w:t>T</w:t>
      </w:r>
      <w:r w:rsidR="009F7CD4" w:rsidRPr="005B3841">
        <w:rPr>
          <w:rFonts w:ascii="Times New Roman" w:eastAsiaTheme="minorEastAsia" w:hAnsi="Times New Roman" w:cs="Times New Roman"/>
          <w:sz w:val="24"/>
          <w:szCs w:val="24"/>
          <w:lang w:val="en-US"/>
        </w:rPr>
        <w:t>, the dimensionless porosity of the carbon electrode</w:t>
      </w:r>
      <w:r w:rsidR="00C34C49" w:rsidRPr="005B3841">
        <w:rPr>
          <w:rFonts w:ascii="Times New Roman" w:eastAsiaTheme="minorEastAsia" w:hAnsi="Times New Roman" w:cs="Times New Roman"/>
          <w:sz w:val="24"/>
          <w:szCs w:val="24"/>
          <w:lang w:val="en-US"/>
        </w:rPr>
        <w:t xml:space="preserve">, </w:t>
      </w:r>
      <w:r w:rsidR="009F7CD4" w:rsidRPr="005B3841">
        <w:rPr>
          <w:rFonts w:ascii="Times New Roman" w:eastAsiaTheme="minorEastAsia" w:hAnsi="Times New Roman" w:cs="Times New Roman"/>
          <w:sz w:val="24"/>
          <w:szCs w:val="24"/>
          <w:lang w:val="en-US"/>
        </w:rPr>
        <w:t xml:space="preserve">the dynamic viscosity </w:t>
      </w:r>
      <m:oMath>
        <m:r>
          <w:rPr>
            <w:rFonts w:ascii="Cambria Math" w:eastAsiaTheme="minorEastAsia" w:hAnsi="Cambria Math" w:cs="Times New Roman"/>
            <w:sz w:val="24"/>
            <w:szCs w:val="24"/>
            <w:lang w:val="en-US"/>
          </w:rPr>
          <m:t>μ</m:t>
        </m:r>
      </m:oMath>
      <w:r w:rsidR="00C34C49" w:rsidRPr="005B3841">
        <w:rPr>
          <w:rFonts w:ascii="Times New Roman" w:eastAsiaTheme="minorEastAsia" w:hAnsi="Times New Roman" w:cs="Times New Roman"/>
          <w:sz w:val="24"/>
          <w:szCs w:val="24"/>
          <w:lang w:val="en-US"/>
        </w:rPr>
        <w:t xml:space="preserve"> and the </w:t>
      </w:r>
      <w:r w:rsidR="00EA6EDE" w:rsidRPr="005B3841">
        <w:rPr>
          <w:rFonts w:ascii="Times New Roman" w:eastAsiaTheme="minorEastAsia" w:hAnsi="Times New Roman" w:cs="Times New Roman"/>
          <w:sz w:val="24"/>
          <w:szCs w:val="24"/>
          <w:lang w:val="en-US"/>
        </w:rPr>
        <w:t xml:space="preserve">liquid pressure, </w:t>
      </w:r>
      <w:r w:rsidR="00EA6EDE" w:rsidRPr="005B3841">
        <w:rPr>
          <w:rFonts w:ascii="Times New Roman" w:eastAsiaTheme="minorEastAsia" w:hAnsi="Times New Roman" w:cs="Times New Roman"/>
          <w:i/>
          <w:iCs/>
          <w:sz w:val="24"/>
          <w:szCs w:val="24"/>
          <w:lang w:val="en-US"/>
        </w:rPr>
        <w:t>P</w:t>
      </w:r>
      <w:r w:rsidR="0039141F" w:rsidRPr="005B3841">
        <w:rPr>
          <w:rFonts w:ascii="Times New Roman" w:hAnsi="Times New Roman" w:cs="Times New Roman"/>
          <w:sz w:val="24"/>
          <w:szCs w:val="24"/>
          <w:lang w:val="en-US"/>
        </w:rPr>
        <w:t>:</w:t>
      </w:r>
      <w:r w:rsidR="00F62FDF">
        <w:rPr>
          <w:rFonts w:ascii="Times New Roman" w:hAnsi="Times New Roman" w:cs="Times New Roman"/>
          <w:sz w:val="24"/>
          <w:szCs w:val="24"/>
          <w:lang w:val="en-US"/>
        </w:rPr>
        <w:t xml:space="preserve"> </w:t>
      </w:r>
    </w:p>
    <w:p w14:paraId="5D5ACE0D" w14:textId="6B2E8022" w:rsidR="00834A22" w:rsidRPr="00D15A11" w:rsidRDefault="008B7C80" w:rsidP="008E0947">
      <w:pPr>
        <w:spacing w:after="120" w:line="480" w:lineRule="auto"/>
        <w:jc w:val="right"/>
        <w:rPr>
          <w:rFonts w:ascii="Times New Roman" w:hAnsi="Times New Roman" w:cs="Times New Roman"/>
          <w:sz w:val="24"/>
          <w:szCs w:val="24"/>
          <w:lang w:val="en-US"/>
        </w:rPr>
      </w:pPr>
      <m:oMath>
        <m:f>
          <m:fPr>
            <m:ctrlPr>
              <w:rPr>
                <w:rFonts w:ascii="Cambria Math" w:hAnsi="Cambria Math" w:cs="Times New Roman"/>
                <w:sz w:val="24"/>
                <w:szCs w:val="24"/>
                <w:lang w:val="en-US"/>
              </w:rPr>
            </m:ctrlPr>
          </m:fPr>
          <m:num>
            <m:r>
              <m:rPr>
                <m:sty m:val="p"/>
              </m:rPr>
              <w:rPr>
                <w:rFonts w:ascii="Cambria Math" w:hAnsi="Cambria Math" w:cs="Cambria Math"/>
                <w:sz w:val="24"/>
                <w:szCs w:val="24"/>
                <w:lang w:val="en-US"/>
              </w:rPr>
              <m:t>16μ</m:t>
            </m:r>
            <m:sSub>
              <m:sSubPr>
                <m:ctrlPr>
                  <w:rPr>
                    <w:rFonts w:ascii="Cambria Math" w:hAnsi="Cambria Math" w:cs="Cambria Math"/>
                    <w:sz w:val="24"/>
                    <w:szCs w:val="24"/>
                    <w:lang w:val="en-US"/>
                  </w:rPr>
                </m:ctrlPr>
              </m:sSubPr>
              <m:e>
                <m:r>
                  <w:rPr>
                    <w:rFonts w:ascii="Cambria Math" w:hAnsi="Cambria Math" w:cs="Cambria Math"/>
                    <w:sz w:val="24"/>
                    <w:szCs w:val="24"/>
                    <w:lang w:val="en-US"/>
                  </w:rPr>
                  <m:t>k</m:t>
                </m:r>
              </m:e>
              <m:sub>
                <m:r>
                  <w:rPr>
                    <w:rFonts w:ascii="Cambria Math" w:hAnsi="Cambria Math" w:cs="Cambria Math"/>
                    <w:sz w:val="24"/>
                    <w:szCs w:val="24"/>
                    <w:lang w:val="en-US"/>
                  </w:rPr>
                  <m:t>CK</m:t>
                </m:r>
                <m:sSup>
                  <m:sSupPr>
                    <m:ctrlPr>
                      <w:rPr>
                        <w:rFonts w:ascii="Cambria Math" w:hAnsi="Cambria Math" w:cs="Cambria Math"/>
                        <w:i/>
                        <w:sz w:val="24"/>
                        <w:szCs w:val="24"/>
                        <w:lang w:val="en-US"/>
                      </w:rPr>
                    </m:ctrlPr>
                  </m:sSupPr>
                  <m:e>
                    <m:d>
                      <m:dPr>
                        <m:ctrlPr>
                          <w:rPr>
                            <w:rFonts w:ascii="Cambria Math" w:hAnsi="Cambria Math" w:cs="Cambria Math"/>
                            <w:i/>
                            <w:sz w:val="24"/>
                            <w:szCs w:val="24"/>
                            <w:lang w:val="en-US"/>
                          </w:rPr>
                        </m:ctrlPr>
                      </m:dPr>
                      <m:e>
                        <m:r>
                          <w:rPr>
                            <w:rFonts w:ascii="Cambria Math" w:hAnsi="Cambria Math" w:cs="Cambria Math"/>
                            <w:sz w:val="24"/>
                            <w:szCs w:val="24"/>
                            <w:lang w:val="en-US"/>
                          </w:rPr>
                          <m:t>1-ε</m:t>
                        </m:r>
                      </m:e>
                    </m:d>
                  </m:e>
                  <m:sup>
                    <m:r>
                      <w:rPr>
                        <w:rFonts w:ascii="Cambria Math" w:hAnsi="Cambria Math" w:cs="Cambria Math"/>
                        <w:sz w:val="24"/>
                        <w:szCs w:val="24"/>
                        <w:lang w:val="en-US"/>
                      </w:rPr>
                      <m:t>2</m:t>
                    </m:r>
                  </m:sup>
                </m:sSup>
              </m:sub>
            </m:sSub>
          </m:num>
          <m:den>
            <m:sSubSup>
              <m:sSubSupPr>
                <m:ctrlPr>
                  <w:rPr>
                    <w:rFonts w:ascii="Cambria Math" w:hAnsi="Cambria Math" w:cs="Cambria Math"/>
                    <w:sz w:val="24"/>
                    <w:szCs w:val="24"/>
                    <w:lang w:val="en-US"/>
                  </w:rPr>
                </m:ctrlPr>
              </m:sSubSupPr>
              <m:e>
                <m:r>
                  <w:rPr>
                    <w:rFonts w:ascii="Cambria Math" w:hAnsi="Cambria Math" w:cs="Cambria Math"/>
                    <w:sz w:val="24"/>
                    <w:szCs w:val="24"/>
                    <w:lang w:val="en-US"/>
                  </w:rPr>
                  <m:t>d</m:t>
                </m:r>
              </m:e>
              <m:sub>
                <m:r>
                  <w:rPr>
                    <w:rFonts w:ascii="Cambria Math" w:hAnsi="Cambria Math" w:cs="Cambria Math"/>
                    <w:sz w:val="24"/>
                    <w:szCs w:val="24"/>
                    <w:lang w:val="en-US"/>
                  </w:rPr>
                  <m:t>f</m:t>
                </m:r>
              </m:sub>
              <m:sup>
                <m:r>
                  <w:rPr>
                    <w:rFonts w:ascii="Cambria Math" w:hAnsi="Cambria Math" w:cs="Cambria Math"/>
                    <w:sz w:val="24"/>
                    <w:szCs w:val="24"/>
                    <w:lang w:val="en-US"/>
                  </w:rPr>
                  <m:t>2</m:t>
                </m:r>
              </m:sup>
            </m:sSubSup>
            <m:sSup>
              <m:sSupPr>
                <m:ctrlPr>
                  <w:rPr>
                    <w:rFonts w:ascii="Cambria Math" w:hAnsi="Cambria Math" w:cs="Cambria Math"/>
                    <w:i/>
                    <w:sz w:val="24"/>
                    <w:szCs w:val="24"/>
                    <w:lang w:val="en-US"/>
                  </w:rPr>
                </m:ctrlPr>
              </m:sSupPr>
              <m:e>
                <m:r>
                  <w:rPr>
                    <w:rFonts w:ascii="Cambria Math" w:hAnsi="Cambria Math" w:cs="Cambria Math"/>
                    <w:sz w:val="24"/>
                    <w:szCs w:val="24"/>
                    <w:lang w:val="en-US"/>
                  </w:rPr>
                  <m:t>ε</m:t>
                </m:r>
              </m:e>
              <m:sup>
                <m:r>
                  <w:rPr>
                    <w:rFonts w:ascii="Cambria Math" w:hAnsi="Cambria Math" w:cs="Cambria Math"/>
                    <w:sz w:val="24"/>
                    <w:szCs w:val="24"/>
                    <w:lang w:val="en-US"/>
                  </w:rPr>
                  <m:t>3</m:t>
                </m:r>
              </m:sup>
            </m:sSup>
          </m:den>
        </m:f>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v</m:t>
            </m:r>
          </m:e>
        </m:acc>
        <m:r>
          <w:rPr>
            <w:rFonts w:ascii="Cambria Math" w:eastAsiaTheme="minorEastAsia" w:hAnsi="Cambria Math" w:cs="Times New Roman"/>
            <w:sz w:val="24"/>
            <w:szCs w:val="24"/>
            <w:lang w:val="en-US"/>
          </w:rPr>
          <m:t>=-P+</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μ</m:t>
            </m:r>
          </m:e>
          <m:sup>
            <m:r>
              <w:rPr>
                <w:rFonts w:ascii="Cambria Math" w:eastAsiaTheme="minorEastAsia" w:hAnsi="Cambria Math" w:cs="Times New Roman"/>
                <w:sz w:val="24"/>
                <w:szCs w:val="24"/>
                <w:lang w:val="en-US"/>
              </w:rPr>
              <m:t>*</m:t>
            </m:r>
          </m:sup>
        </m:sSup>
        <m:d>
          <m:dPr>
            <m:begChr m:val="["/>
            <m:endChr m:val="]"/>
            <m:ctrlPr>
              <w:rPr>
                <w:rFonts w:ascii="Cambria Math" w:eastAsiaTheme="minorEastAsia" w:hAnsi="Cambria Math" w:cs="Times New Roman"/>
                <w:i/>
                <w:sz w:val="24"/>
                <w:szCs w:val="24"/>
                <w:lang w:val="en-US"/>
              </w:rPr>
            </m:ctrlPr>
          </m:dPr>
          <m:e>
            <m:r>
              <m:rPr>
                <m:sty m:val="p"/>
              </m:rPr>
              <w:rPr>
                <w:rFonts w:ascii="Cambria Math" w:eastAsiaTheme="minorEastAsia" w:hAnsi="Cambria Math" w:cs="Times New Roman"/>
                <w:sz w:val="24"/>
                <w:szCs w:val="24"/>
                <w:lang w:val="en-US"/>
              </w:rPr>
              <m:t>∇</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v</m:t>
                </m:r>
              </m:e>
            </m:acc>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r>
                      <m:rPr>
                        <m:sty m:val="p"/>
                      </m:rPr>
                      <w:rPr>
                        <w:rFonts w:ascii="Cambria Math" w:eastAsiaTheme="minorEastAsia" w:hAnsi="Cambria Math" w:cs="Times New Roman"/>
                        <w:sz w:val="24"/>
                        <w:szCs w:val="24"/>
                        <w:lang w:val="en-US"/>
                      </w:rPr>
                      <m:t>∇</m:t>
                    </m:r>
                    <m:acc>
                      <m:accPr>
                        <m:chr m:val="⃗"/>
                        <m:ctrlPr>
                          <w:rPr>
                            <w:rFonts w:ascii="Cambria Math" w:eastAsiaTheme="minorEastAsia" w:hAnsi="Cambria Math" w:cs="Times New Roman"/>
                            <w:sz w:val="24"/>
                            <w:szCs w:val="24"/>
                            <w:lang w:val="en-US"/>
                          </w:rPr>
                        </m:ctrlPr>
                      </m:accPr>
                      <m:e>
                        <m:r>
                          <w:rPr>
                            <w:rFonts w:ascii="Cambria Math" w:eastAsiaTheme="minorEastAsia" w:hAnsi="Cambria Math" w:cs="Times New Roman"/>
                            <w:sz w:val="24"/>
                            <w:szCs w:val="24"/>
                            <w:lang w:val="en-US"/>
                          </w:rPr>
                          <m:t>v</m:t>
                        </m:r>
                      </m:e>
                    </m:acc>
                  </m:e>
                </m:d>
              </m:e>
              <m:sup>
                <m:r>
                  <w:rPr>
                    <w:rFonts w:ascii="Cambria Math" w:eastAsiaTheme="minorEastAsia" w:hAnsi="Cambria Math" w:cs="Times New Roman"/>
                    <w:sz w:val="24"/>
                    <w:szCs w:val="24"/>
                    <w:lang w:val="en-US"/>
                  </w:rPr>
                  <m:t>T</m:t>
                </m:r>
              </m:sup>
            </m:sSup>
          </m:e>
        </m:d>
      </m:oMath>
      <w:r w:rsidR="008E0947">
        <w:rPr>
          <w:rFonts w:ascii="Times New Roman" w:eastAsiaTheme="minorEastAsia" w:hAnsi="Times New Roman" w:cs="Times New Roman"/>
          <w:sz w:val="24"/>
          <w:szCs w:val="24"/>
          <w:lang w:val="en-US"/>
        </w:rPr>
        <w:tab/>
      </w:r>
      <w:r w:rsidR="008E0947">
        <w:rPr>
          <w:rFonts w:ascii="Times New Roman" w:eastAsiaTheme="minorEastAsia" w:hAnsi="Times New Roman" w:cs="Times New Roman"/>
          <w:sz w:val="24"/>
          <w:szCs w:val="24"/>
          <w:lang w:val="en-US"/>
        </w:rPr>
        <w:tab/>
      </w:r>
      <w:r w:rsidR="008E0947">
        <w:rPr>
          <w:rFonts w:ascii="Times New Roman" w:eastAsiaTheme="minorEastAsia" w:hAnsi="Times New Roman" w:cs="Times New Roman"/>
          <w:sz w:val="24"/>
          <w:szCs w:val="24"/>
          <w:lang w:val="en-US"/>
        </w:rPr>
        <w:tab/>
      </w:r>
      <w:r w:rsidR="008E0947">
        <w:rPr>
          <w:rFonts w:ascii="Times New Roman" w:eastAsiaTheme="minorEastAsia" w:hAnsi="Times New Roman" w:cs="Times New Roman"/>
          <w:sz w:val="24"/>
          <w:szCs w:val="24"/>
          <w:lang w:val="en-US"/>
        </w:rPr>
        <w:tab/>
        <w:t>(</w:t>
      </w:r>
      <w:r w:rsidR="00AE1204">
        <w:rPr>
          <w:rFonts w:ascii="Times New Roman" w:eastAsiaTheme="minorEastAsia" w:hAnsi="Times New Roman" w:cs="Times New Roman"/>
          <w:sz w:val="24"/>
          <w:szCs w:val="24"/>
          <w:lang w:val="en-US"/>
        </w:rPr>
        <w:t>8</w:t>
      </w:r>
      <w:r w:rsidR="008E0947">
        <w:rPr>
          <w:rFonts w:ascii="Times New Roman" w:eastAsiaTheme="minorEastAsia" w:hAnsi="Times New Roman" w:cs="Times New Roman"/>
          <w:sz w:val="24"/>
          <w:szCs w:val="24"/>
          <w:lang w:val="en-US"/>
        </w:rPr>
        <w:t>)</w:t>
      </w:r>
    </w:p>
    <w:p w14:paraId="2DB2E5C4" w14:textId="77777777" w:rsidR="00834A22" w:rsidRPr="004A2D77" w:rsidRDefault="00834A22" w:rsidP="00834A22">
      <w:pPr>
        <w:tabs>
          <w:tab w:val="left" w:pos="2140"/>
        </w:tabs>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 xml:space="preserve">The pressure drop tends to increase with the electrolyte flow rate, which may increase the risk of electrolyte leakages. In various cell designs, headers at the inlet and outlet were used to improve the distributions of the electrolytes. However, some longer and narrower channels/ electrolyte paths, particularly those for shunt current minimization, may also increase the pressure drop.  In general, the higher pressure drop in a conventional cell architecture could be due to the scenario that the entire fluid needs to traverse the entire length of the cell through the porous electrodes. </w:t>
      </w:r>
    </w:p>
    <w:p w14:paraId="432548C6" w14:textId="77777777" w:rsidR="00834A22" w:rsidRPr="004A2D77" w:rsidRDefault="00834A22" w:rsidP="00834A22">
      <w:pPr>
        <w:tabs>
          <w:tab w:val="left" w:pos="2140"/>
        </w:tabs>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Incorporation of flow field can minimize these pressure drops and improve the distribution of the active species. Under-the-rib cross-flow tends to take place caused by the pressure difference between the parallel channels. When serpentine flow field is used, the electrolyte flow velocity is reduced, together with the pressure drop facilitated by the serpentine channels. Compared to interdigitated flow field, the pressure drop increased significantly with electrolyte flow velocity. To minimize the pressure drop, the flow resistance of electrolyte can be reduced with advanced designs of porous electrodes, i.e. introducing flow channels in the porous electrodes, and the power densities can be enhanced with optimized local porosities (higher/lower porosities at the inlets/outlets). It is essential to maximize the mass transport with reasonable energy consumption of the pumps, therefore optimizing these relationships is advisable for variable operating conditions in practical applications.</w:t>
      </w:r>
    </w:p>
    <w:p w14:paraId="4094470E" w14:textId="77777777" w:rsidR="001364EB" w:rsidRPr="004A2D77" w:rsidRDefault="001364EB" w:rsidP="001364EB">
      <w:pPr>
        <w:tabs>
          <w:tab w:val="left" w:pos="2140"/>
        </w:tabs>
        <w:spacing w:after="120" w:line="480" w:lineRule="auto"/>
        <w:jc w:val="center"/>
        <w:rPr>
          <w:rFonts w:ascii="Times New Roman" w:hAnsi="Times New Roman" w:cs="Times New Roman"/>
          <w:sz w:val="24"/>
          <w:szCs w:val="24"/>
          <w:lang w:val="en-US"/>
        </w:rPr>
      </w:pPr>
      <w:r w:rsidRPr="004A2D77">
        <w:rPr>
          <w:rFonts w:ascii="Times New Roman" w:hAnsi="Times New Roman" w:cs="Times New Roman"/>
          <w:noProof/>
          <w:sz w:val="24"/>
          <w:szCs w:val="24"/>
          <w:lang w:eastAsia="en-GB"/>
        </w:rPr>
        <w:lastRenderedPageBreak/>
        <w:drawing>
          <wp:inline distT="0" distB="0" distL="0" distR="0" wp14:anchorId="717BA62E" wp14:editId="2FA327E6">
            <wp:extent cx="3147365" cy="338510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4 Energy 172 2019 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7365" cy="3385109"/>
                    </a:xfrm>
                    <a:prstGeom prst="rect">
                      <a:avLst/>
                    </a:prstGeom>
                  </pic:spPr>
                </pic:pic>
              </a:graphicData>
            </a:graphic>
          </wp:inline>
        </w:drawing>
      </w:r>
    </w:p>
    <w:p w14:paraId="1376CBCA" w14:textId="77777777" w:rsidR="001364EB" w:rsidRPr="004A2D77" w:rsidRDefault="001364EB" w:rsidP="001364EB">
      <w:pPr>
        <w:spacing w:after="120" w:line="240" w:lineRule="auto"/>
        <w:jc w:val="both"/>
        <w:rPr>
          <w:rFonts w:ascii="Times New Roman" w:hAnsi="Times New Roman" w:cs="Times New Roman"/>
          <w:sz w:val="24"/>
          <w:szCs w:val="24"/>
          <w:lang w:val="en-US"/>
        </w:rPr>
      </w:pPr>
      <w:r w:rsidRPr="00AE58BD">
        <w:rPr>
          <w:rFonts w:ascii="Times New Roman" w:hAnsi="Times New Roman" w:cs="Times New Roman"/>
          <w:bCs/>
          <w:sz w:val="24"/>
          <w:szCs w:val="24"/>
          <w:lang w:val="en-US"/>
        </w:rPr>
        <w:t>Figure 6.</w:t>
      </w:r>
      <w:r w:rsidRPr="004A2D77">
        <w:rPr>
          <w:rFonts w:ascii="Times New Roman" w:hAnsi="Times New Roman" w:cs="Times New Roman"/>
          <w:sz w:val="24"/>
          <w:szCs w:val="24"/>
          <w:lang w:val="en-US"/>
        </w:rPr>
        <w:t xml:space="preserve"> Pressure and velocity vectors of electrolyte in the different electrode designs. With permission from Elsevier. </w:t>
      </w:r>
    </w:p>
    <w:p w14:paraId="4F74C6D8" w14:textId="77777777" w:rsidR="00834A22" w:rsidRPr="004A2D77" w:rsidRDefault="00834A22" w:rsidP="00834A22">
      <w:pPr>
        <w:jc w:val="center"/>
        <w:rPr>
          <w:lang w:val="en-US"/>
        </w:rPr>
      </w:pPr>
    </w:p>
    <w:p w14:paraId="4DFD2ABA" w14:textId="7A2AC9A1" w:rsidR="00834A22" w:rsidRPr="00060970" w:rsidRDefault="00E02BC0" w:rsidP="00834A22">
      <w:pPr>
        <w:spacing w:after="120" w:line="480" w:lineRule="auto"/>
        <w:jc w:val="both"/>
        <w:rPr>
          <w:rFonts w:ascii="Times New Roman" w:hAnsi="Times New Roman" w:cs="Times New Roman"/>
          <w:bCs/>
          <w:sz w:val="24"/>
          <w:szCs w:val="24"/>
          <w:lang w:val="en-US"/>
        </w:rPr>
      </w:pPr>
      <w:r w:rsidRPr="00060970">
        <w:rPr>
          <w:rFonts w:ascii="Times New Roman" w:hAnsi="Times New Roman" w:cs="Times New Roman"/>
          <w:bCs/>
          <w:sz w:val="24"/>
          <w:szCs w:val="24"/>
          <w:lang w:val="en-US"/>
        </w:rPr>
        <w:t xml:space="preserve">9. </w:t>
      </w:r>
      <w:r w:rsidR="00834A22" w:rsidRPr="00060970">
        <w:rPr>
          <w:rFonts w:ascii="Times New Roman" w:hAnsi="Times New Roman" w:cs="Times New Roman"/>
          <w:bCs/>
          <w:sz w:val="24"/>
          <w:szCs w:val="24"/>
          <w:lang w:val="en-US"/>
        </w:rPr>
        <w:t>Electrode materials</w:t>
      </w:r>
    </w:p>
    <w:p w14:paraId="045D0EBF" w14:textId="36E3BB1D" w:rsidR="00834A22" w:rsidRPr="004A2D77" w:rsidRDefault="00834A22" w:rsidP="00834A22">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 xml:space="preserve">Electrode materials should provide a high electrical conductivity, good mechanical </w:t>
      </w:r>
      <w:proofErr w:type="gramStart"/>
      <w:r w:rsidRPr="004A2D77">
        <w:rPr>
          <w:rFonts w:ascii="Times New Roman" w:hAnsi="Times New Roman" w:cs="Times New Roman"/>
          <w:sz w:val="24"/>
          <w:szCs w:val="24"/>
          <w:lang w:val="en-US"/>
        </w:rPr>
        <w:t>properties</w:t>
      </w:r>
      <w:proofErr w:type="gramEnd"/>
      <w:r w:rsidRPr="004A2D77">
        <w:rPr>
          <w:rFonts w:ascii="Times New Roman" w:hAnsi="Times New Roman" w:cs="Times New Roman"/>
          <w:sz w:val="24"/>
          <w:szCs w:val="24"/>
          <w:lang w:val="en-US"/>
        </w:rPr>
        <w:t xml:space="preserve"> and strong chemical resistances at low-cost for scaled up applications. Carbon-based electrodes are more common than noble metal (or conductive metal oxide) coated electrodes, as they do not </w:t>
      </w:r>
      <w:r w:rsidR="005B3841" w:rsidRPr="004A2D77">
        <w:rPr>
          <w:rFonts w:ascii="Times New Roman" w:hAnsi="Times New Roman" w:cs="Times New Roman"/>
          <w:sz w:val="24"/>
          <w:szCs w:val="24"/>
          <w:lang w:val="en-US"/>
        </w:rPr>
        <w:t>dissolve,</w:t>
      </w:r>
      <w:r w:rsidRPr="004A2D77">
        <w:rPr>
          <w:rFonts w:ascii="Times New Roman" w:hAnsi="Times New Roman" w:cs="Times New Roman"/>
          <w:sz w:val="24"/>
          <w:szCs w:val="24"/>
          <w:lang w:val="en-US"/>
        </w:rPr>
        <w:t xml:space="preserve"> or form insulated oxide in typical oxidation processes (up to +1.0 V </w:t>
      </w:r>
      <w:r w:rsidRPr="004A2D77">
        <w:rPr>
          <w:rFonts w:ascii="Times New Roman" w:hAnsi="Times New Roman" w:cs="Times New Roman"/>
          <w:i/>
          <w:sz w:val="24"/>
          <w:szCs w:val="24"/>
          <w:lang w:val="en-US"/>
        </w:rPr>
        <w:t>vs</w:t>
      </w:r>
      <w:r w:rsidRPr="004A2D77">
        <w:rPr>
          <w:rFonts w:ascii="Times New Roman" w:hAnsi="Times New Roman" w:cs="Times New Roman"/>
          <w:sz w:val="24"/>
          <w:szCs w:val="24"/>
          <w:lang w:val="en-US"/>
        </w:rPr>
        <w:t xml:space="preserve">. SHE). For highly oxidizing reactions (i.e. </w:t>
      </w:r>
      <w:proofErr w:type="gramStart"/>
      <w:r w:rsidRPr="004A2D77">
        <w:rPr>
          <w:rFonts w:ascii="Times New Roman" w:hAnsi="Times New Roman" w:cs="Times New Roman"/>
          <w:sz w:val="24"/>
          <w:szCs w:val="24"/>
          <w:lang w:val="en-US"/>
        </w:rPr>
        <w:t>Ce</w:t>
      </w:r>
      <w:r w:rsidR="00A0321C">
        <w:rPr>
          <w:rFonts w:ascii="Times New Roman" w:hAnsi="Times New Roman" w:cs="Times New Roman"/>
          <w:sz w:val="24"/>
          <w:szCs w:val="24"/>
          <w:lang w:val="en-US"/>
        </w:rPr>
        <w:t>(</w:t>
      </w:r>
      <w:proofErr w:type="gramEnd"/>
      <w:r w:rsidR="00A0321C">
        <w:rPr>
          <w:rFonts w:ascii="Times New Roman" w:hAnsi="Times New Roman" w:cs="Times New Roman"/>
          <w:sz w:val="24"/>
          <w:szCs w:val="24"/>
          <w:lang w:val="en-US"/>
        </w:rPr>
        <w:t>III)</w:t>
      </w:r>
      <w:r w:rsidRPr="004A2D77">
        <w:rPr>
          <w:rFonts w:ascii="Times New Roman" w:hAnsi="Times New Roman" w:cs="Times New Roman"/>
          <w:sz w:val="24"/>
          <w:szCs w:val="24"/>
          <w:lang w:val="en-US"/>
        </w:rPr>
        <w:t>/Ce</w:t>
      </w:r>
      <w:r w:rsidR="00A0321C">
        <w:rPr>
          <w:rFonts w:ascii="Times New Roman" w:hAnsi="Times New Roman" w:cs="Times New Roman"/>
          <w:sz w:val="24"/>
          <w:szCs w:val="24"/>
          <w:lang w:val="en-US"/>
        </w:rPr>
        <w:t>(IV)</w:t>
      </w:r>
      <w:r w:rsidRPr="004A2D77">
        <w:rPr>
          <w:rFonts w:ascii="Times New Roman" w:hAnsi="Times New Roman" w:cs="Times New Roman"/>
          <w:sz w:val="24"/>
          <w:szCs w:val="24"/>
          <w:lang w:val="en-US"/>
        </w:rPr>
        <w:t xml:space="preserve">, &gt; 1.0 V </w:t>
      </w:r>
      <w:r w:rsidRPr="004A2D77">
        <w:rPr>
          <w:rFonts w:ascii="Times New Roman" w:hAnsi="Times New Roman" w:cs="Times New Roman"/>
          <w:i/>
          <w:sz w:val="24"/>
          <w:szCs w:val="24"/>
          <w:lang w:val="en-US"/>
        </w:rPr>
        <w:t>vs</w:t>
      </w:r>
      <w:r w:rsidRPr="004A2D77">
        <w:rPr>
          <w:rFonts w:ascii="Times New Roman" w:hAnsi="Times New Roman" w:cs="Times New Roman"/>
          <w:sz w:val="24"/>
          <w:szCs w:val="24"/>
          <w:lang w:val="en-US"/>
        </w:rPr>
        <w:t>. SHE), noble metal or conductive metal oxide coatings have good electrochemical stability or catalytic property and appear to be one of the few practical options for practical applications.</w:t>
      </w:r>
    </w:p>
    <w:p w14:paraId="2BC02F1C" w14:textId="2E6DCB64" w:rsidR="00834A22" w:rsidRPr="004A2D77" w:rsidRDefault="00834A22" w:rsidP="00834A22">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 xml:space="preserve">When carbon-based materials are used as end-/bipolar plates, they are typically carbon polymer composites consisted of polymer binders and carbon particles. This offers advantages in mechanical properties over pure carbon materials for scale-up applications, in which large compressive forces are often applied over large areas. The polymer and carbon content can be </w:t>
      </w:r>
      <w:r w:rsidRPr="004A2D77">
        <w:rPr>
          <w:rFonts w:ascii="Times New Roman" w:hAnsi="Times New Roman" w:cs="Times New Roman"/>
          <w:sz w:val="24"/>
          <w:szCs w:val="24"/>
          <w:lang w:val="en-US"/>
        </w:rPr>
        <w:lastRenderedPageBreak/>
        <w:t xml:space="preserve">structurally modified/optimized to obtain reasonable electrical conductivity and mechanical properties, which have high design flexibility and allow various complicated shapes. In some studies, carbon polymer electrodes with sinusoidal corrugations were reported to decrease the pumping and ohmic losses by 21 % and 5 %, respectively. Since some porous materials are soft and flexible, their shapes and thicknesses can be controlled and optimized by the shape of the end-/bipolar plate, the thickness of the flow frame and the applied compressive forces. </w:t>
      </w:r>
      <w:r w:rsidR="00706E85" w:rsidRPr="005B3841">
        <w:rPr>
          <w:rFonts w:ascii="Times New Roman" w:hAnsi="Times New Roman" w:cs="Times New Roman"/>
          <w:sz w:val="24"/>
          <w:szCs w:val="24"/>
          <w:lang w:val="en-US"/>
        </w:rPr>
        <w:t xml:space="preserve">For instances, the porosity of carbon felts is highly influenced by the force at which it is compressed in the electrode compartment and this will have an effect in the electrical, </w:t>
      </w:r>
      <w:r w:rsidR="005B3841" w:rsidRPr="005B3841">
        <w:rPr>
          <w:rFonts w:ascii="Times New Roman" w:hAnsi="Times New Roman" w:cs="Times New Roman"/>
          <w:sz w:val="24"/>
          <w:szCs w:val="24"/>
          <w:lang w:val="en-US"/>
        </w:rPr>
        <w:t>electrochemical,</w:t>
      </w:r>
      <w:r w:rsidR="00706E85" w:rsidRPr="005B3841">
        <w:rPr>
          <w:rFonts w:ascii="Times New Roman" w:hAnsi="Times New Roman" w:cs="Times New Roman"/>
          <w:sz w:val="24"/>
          <w:szCs w:val="24"/>
          <w:lang w:val="en-US"/>
        </w:rPr>
        <w:t xml:space="preserve"> and hydraulic properties of the electrode</w:t>
      </w:r>
      <w:r w:rsidR="00945148" w:rsidRPr="005B3841">
        <w:rPr>
          <w:rFonts w:ascii="Times New Roman" w:hAnsi="Times New Roman" w:cs="Times New Roman"/>
          <w:sz w:val="24"/>
          <w:szCs w:val="24"/>
          <w:lang w:val="en-US"/>
        </w:rPr>
        <w:t>.</w:t>
      </w:r>
      <w:r w:rsidRPr="004A2D77">
        <w:rPr>
          <w:rFonts w:ascii="Times New Roman" w:hAnsi="Times New Roman" w:cs="Times New Roman"/>
          <w:sz w:val="24"/>
          <w:szCs w:val="24"/>
          <w:lang w:val="en-US"/>
        </w:rPr>
        <w:t xml:space="preserve"> Carbon felt electrodes can be potentially deformed by the end-/bipolar plates, leading to non-uniform porosity that may hinder flow velocity or enable higher reactant flux. The permeability and electrical resistance of the carbon felt could be modified and tailored easily with the fiber volume fraction. The high carbon content tends to enhance the electrical conductivity but may result in poor mechanical properties. Some studies reported that carbon content may lead to undesirable reactions/situations, such as gas evolutions and carbon disintegration, especially in the overcharged processes. The oxidation of these carbon and polymer also increased the electrical resistances after prolonged cycling.</w:t>
      </w:r>
    </w:p>
    <w:p w14:paraId="06DC00F8" w14:textId="77777777" w:rsidR="00834A22" w:rsidRPr="004A2D77" w:rsidRDefault="00834A22" w:rsidP="00834A22">
      <w:pPr>
        <w:spacing w:after="120" w:line="480" w:lineRule="auto"/>
        <w:jc w:val="both"/>
        <w:rPr>
          <w:rFonts w:ascii="Times New Roman" w:hAnsi="Times New Roman" w:cs="Times New Roman"/>
          <w:sz w:val="24"/>
          <w:szCs w:val="24"/>
          <w:lang w:val="en-US"/>
        </w:rPr>
      </w:pPr>
    </w:p>
    <w:p w14:paraId="411DE720" w14:textId="356FBEFE" w:rsidR="00834A22" w:rsidRPr="00060970" w:rsidRDefault="00E02BC0" w:rsidP="00834A22">
      <w:pPr>
        <w:tabs>
          <w:tab w:val="left" w:pos="5020"/>
        </w:tabs>
        <w:spacing w:after="120" w:line="480" w:lineRule="auto"/>
        <w:rPr>
          <w:rFonts w:ascii="Times New Roman" w:hAnsi="Times New Roman" w:cs="Times New Roman"/>
          <w:bCs/>
          <w:color w:val="2E2E2E"/>
          <w:sz w:val="24"/>
          <w:szCs w:val="24"/>
          <w:lang w:val="en-US"/>
        </w:rPr>
      </w:pPr>
      <w:r w:rsidRPr="00060970">
        <w:rPr>
          <w:rFonts w:ascii="Times New Roman" w:hAnsi="Times New Roman" w:cs="Times New Roman"/>
          <w:bCs/>
          <w:color w:val="2E2E2E"/>
          <w:sz w:val="24"/>
          <w:szCs w:val="24"/>
          <w:lang w:val="en-US"/>
        </w:rPr>
        <w:t xml:space="preserve">10. </w:t>
      </w:r>
      <w:r w:rsidR="00834A22" w:rsidRPr="00060970">
        <w:rPr>
          <w:rFonts w:ascii="Times New Roman" w:hAnsi="Times New Roman" w:cs="Times New Roman"/>
          <w:bCs/>
          <w:color w:val="2E2E2E"/>
          <w:sz w:val="24"/>
          <w:szCs w:val="24"/>
          <w:lang w:val="en-US"/>
        </w:rPr>
        <w:t>Electrode treatments</w:t>
      </w:r>
      <w:r w:rsidR="00834A22" w:rsidRPr="00060970">
        <w:rPr>
          <w:rFonts w:ascii="Times New Roman" w:hAnsi="Times New Roman" w:cs="Times New Roman"/>
          <w:bCs/>
          <w:color w:val="2E2E2E"/>
          <w:sz w:val="24"/>
          <w:szCs w:val="24"/>
          <w:lang w:val="en-US"/>
        </w:rPr>
        <w:tab/>
      </w:r>
    </w:p>
    <w:p w14:paraId="33387B39" w14:textId="2615A264" w:rsidR="00834A22" w:rsidRPr="004A2D77" w:rsidRDefault="00834A22" w:rsidP="00834A22">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Carbon-based materials are typical electrodes for flow batteries. Electrode treatments can further optimize their specific surface area, surface activity and sometimes wettability for electrolyte transport and electrochemical reactions. These can be achieved by various existing electrode modification/ pre-treatment methods, i.e. thermal, acid and plasma treatments and electrochemical oxidations. These approaches incorporate oxygen functional groups and increase the corresponding active areas to improve the electrode performances</w:t>
      </w:r>
      <w:r w:rsidR="001364EB" w:rsidRPr="004A2D77">
        <w:rPr>
          <w:rFonts w:ascii="Times New Roman" w:hAnsi="Times New Roman" w:cs="Times New Roman"/>
          <w:sz w:val="24"/>
          <w:szCs w:val="24"/>
          <w:lang w:val="en-US"/>
        </w:rPr>
        <w:t xml:space="preserve">. </w:t>
      </w:r>
      <w:r w:rsidRPr="004A2D77">
        <w:rPr>
          <w:rFonts w:ascii="Times New Roman" w:hAnsi="Times New Roman" w:cs="Times New Roman"/>
          <w:sz w:val="24"/>
          <w:szCs w:val="24"/>
          <w:lang w:val="en-US"/>
        </w:rPr>
        <w:t xml:space="preserve">Other researches improved the catalytic properties by depositing catalytic metals on the electrode </w:t>
      </w:r>
      <w:r w:rsidRPr="004A2D77">
        <w:rPr>
          <w:rFonts w:ascii="Times New Roman" w:hAnsi="Times New Roman" w:cs="Times New Roman"/>
          <w:sz w:val="24"/>
          <w:szCs w:val="24"/>
          <w:lang w:val="en-US"/>
        </w:rPr>
        <w:lastRenderedPageBreak/>
        <w:t xml:space="preserve">surfaces. In early studies, porous carbon felt electrodes were modified through impregnation or by ion-exchange with solutions of </w:t>
      </w:r>
      <w:r w:rsidRPr="004A2D77">
        <w:rPr>
          <w:rFonts w:ascii="Times New Roman" w:hAnsi="Times New Roman" w:cs="Times New Roman"/>
          <w:sz w:val="24"/>
          <w:szCs w:val="24"/>
          <w:shd w:val="clear" w:color="auto" w:fill="FFFFFF"/>
          <w:lang w:val="en-US"/>
        </w:rPr>
        <w:t>Pt</w:t>
      </w:r>
      <w:r w:rsidR="00FB1E2B">
        <w:rPr>
          <w:rFonts w:ascii="Times New Roman" w:hAnsi="Times New Roman" w:cs="Times New Roman"/>
          <w:sz w:val="24"/>
          <w:szCs w:val="24"/>
          <w:shd w:val="clear" w:color="auto" w:fill="FFFFFF"/>
          <w:lang w:val="en-US"/>
        </w:rPr>
        <w:t>(IV)</w:t>
      </w:r>
      <w:r w:rsidRPr="004A2D77">
        <w:rPr>
          <w:rFonts w:ascii="Times New Roman" w:hAnsi="Times New Roman" w:cs="Times New Roman"/>
          <w:sz w:val="24"/>
          <w:szCs w:val="24"/>
          <w:shd w:val="clear" w:color="auto" w:fill="FFFFFF"/>
          <w:lang w:val="en-US"/>
        </w:rPr>
        <w:t>, Pd</w:t>
      </w:r>
      <w:r w:rsidR="001A0E26">
        <w:rPr>
          <w:rFonts w:ascii="Times New Roman" w:hAnsi="Times New Roman" w:cs="Times New Roman"/>
          <w:sz w:val="24"/>
          <w:szCs w:val="24"/>
          <w:shd w:val="clear" w:color="auto" w:fill="FFFFFF"/>
          <w:lang w:val="en-US"/>
        </w:rPr>
        <w:t>(II)</w:t>
      </w:r>
      <w:r w:rsidRPr="004A2D77">
        <w:rPr>
          <w:rFonts w:ascii="Times New Roman" w:hAnsi="Times New Roman" w:cs="Times New Roman"/>
          <w:sz w:val="24"/>
          <w:szCs w:val="24"/>
          <w:shd w:val="clear" w:color="auto" w:fill="FFFFFF"/>
          <w:lang w:val="en-US"/>
        </w:rPr>
        <w:t xml:space="preserve">, </w:t>
      </w:r>
      <w:proofErr w:type="spellStart"/>
      <w:r w:rsidRPr="004A2D77">
        <w:rPr>
          <w:rFonts w:ascii="Times New Roman" w:hAnsi="Times New Roman" w:cs="Times New Roman"/>
          <w:sz w:val="24"/>
          <w:szCs w:val="24"/>
          <w:shd w:val="clear" w:color="auto" w:fill="FFFFFF"/>
          <w:lang w:val="en-US"/>
        </w:rPr>
        <w:t>Te</w:t>
      </w:r>
      <w:proofErr w:type="spellEnd"/>
      <w:r w:rsidR="001A0E26">
        <w:rPr>
          <w:rFonts w:ascii="Times New Roman" w:hAnsi="Times New Roman" w:cs="Times New Roman"/>
          <w:sz w:val="24"/>
          <w:szCs w:val="24"/>
          <w:shd w:val="clear" w:color="auto" w:fill="FFFFFF"/>
          <w:lang w:val="en-US"/>
        </w:rPr>
        <w:t>(IV)</w:t>
      </w:r>
      <w:r w:rsidRPr="004A2D77">
        <w:rPr>
          <w:rFonts w:ascii="Times New Roman" w:hAnsi="Times New Roman" w:cs="Times New Roman"/>
          <w:sz w:val="24"/>
          <w:szCs w:val="24"/>
          <w:shd w:val="clear" w:color="auto" w:fill="FFFFFF"/>
          <w:lang w:val="en-US"/>
        </w:rPr>
        <w:t>, Mn</w:t>
      </w:r>
      <w:r w:rsidR="001A0E26">
        <w:rPr>
          <w:rFonts w:ascii="Times New Roman" w:hAnsi="Times New Roman" w:cs="Times New Roman"/>
          <w:sz w:val="24"/>
          <w:szCs w:val="24"/>
          <w:shd w:val="clear" w:color="auto" w:fill="FFFFFF"/>
          <w:lang w:val="en-US"/>
        </w:rPr>
        <w:t>(II)</w:t>
      </w:r>
      <w:r w:rsidRPr="004A2D77">
        <w:rPr>
          <w:rFonts w:ascii="Times New Roman" w:hAnsi="Times New Roman" w:cs="Times New Roman"/>
          <w:sz w:val="24"/>
          <w:szCs w:val="24"/>
          <w:shd w:val="clear" w:color="auto" w:fill="FFFFFF"/>
          <w:lang w:val="en-US"/>
        </w:rPr>
        <w:t>, In</w:t>
      </w:r>
      <w:r w:rsidR="001A0E26">
        <w:rPr>
          <w:rFonts w:ascii="Times New Roman" w:hAnsi="Times New Roman" w:cs="Times New Roman"/>
          <w:sz w:val="24"/>
          <w:szCs w:val="24"/>
          <w:shd w:val="clear" w:color="auto" w:fill="FFFFFF"/>
          <w:lang w:val="en-US"/>
        </w:rPr>
        <w:t>(III)</w:t>
      </w:r>
      <w:r w:rsidRPr="004A2D77">
        <w:rPr>
          <w:rFonts w:ascii="Times New Roman" w:hAnsi="Times New Roman" w:cs="Times New Roman"/>
          <w:sz w:val="24"/>
          <w:szCs w:val="24"/>
          <w:shd w:val="clear" w:color="auto" w:fill="FFFFFF"/>
          <w:lang w:val="en-US"/>
        </w:rPr>
        <w:t>, Au</w:t>
      </w:r>
      <w:r w:rsidR="001A0E26">
        <w:rPr>
          <w:rFonts w:ascii="Times New Roman" w:hAnsi="Times New Roman" w:cs="Times New Roman"/>
          <w:sz w:val="24"/>
          <w:szCs w:val="24"/>
          <w:shd w:val="clear" w:color="auto" w:fill="FFFFFF"/>
          <w:lang w:val="en-US"/>
        </w:rPr>
        <w:t>(IV)</w:t>
      </w:r>
      <w:r w:rsidRPr="004A2D77">
        <w:rPr>
          <w:rFonts w:ascii="Times New Roman" w:hAnsi="Times New Roman" w:cs="Times New Roman"/>
          <w:sz w:val="24"/>
          <w:szCs w:val="24"/>
          <w:shd w:val="clear" w:color="auto" w:fill="FFFFFF"/>
          <w:lang w:val="en-US"/>
        </w:rPr>
        <w:t xml:space="preserve"> and </w:t>
      </w:r>
      <w:proofErr w:type="spellStart"/>
      <w:r w:rsidRPr="004A2D77">
        <w:rPr>
          <w:rFonts w:ascii="Times New Roman" w:hAnsi="Times New Roman" w:cs="Times New Roman"/>
          <w:sz w:val="24"/>
          <w:szCs w:val="24"/>
          <w:shd w:val="clear" w:color="auto" w:fill="FFFFFF"/>
          <w:lang w:val="en-US"/>
        </w:rPr>
        <w:t>Ir</w:t>
      </w:r>
      <w:proofErr w:type="spellEnd"/>
      <w:r w:rsidR="001A0E26">
        <w:rPr>
          <w:rFonts w:ascii="Times New Roman" w:hAnsi="Times New Roman" w:cs="Times New Roman"/>
          <w:sz w:val="24"/>
          <w:szCs w:val="24"/>
          <w:shd w:val="clear" w:color="auto" w:fill="FFFFFF"/>
          <w:lang w:val="en-US"/>
        </w:rPr>
        <w:t xml:space="preserve">(III) </w:t>
      </w:r>
      <w:r w:rsidRPr="004A2D77">
        <w:rPr>
          <w:rFonts w:ascii="Times New Roman" w:hAnsi="Times New Roman" w:cs="Times New Roman"/>
          <w:sz w:val="24"/>
          <w:szCs w:val="24"/>
          <w:shd w:val="clear" w:color="auto" w:fill="FFFFFF"/>
          <w:lang w:val="en-US"/>
        </w:rPr>
        <w:t>ions</w:t>
      </w:r>
      <w:r w:rsidR="00090B3B">
        <w:rPr>
          <w:rFonts w:ascii="Times New Roman" w:hAnsi="Times New Roman" w:cs="Times New Roman"/>
          <w:sz w:val="24"/>
          <w:szCs w:val="24"/>
          <w:shd w:val="clear" w:color="auto" w:fill="FFFFFF"/>
          <w:lang w:val="en-US"/>
        </w:rPr>
        <w:t xml:space="preserve"> (</w:t>
      </w:r>
      <w:r w:rsidR="00090B3B" w:rsidRPr="00297088">
        <w:rPr>
          <w:rFonts w:ascii="Times New Roman" w:hAnsi="Times New Roman" w:cs="Times New Roman"/>
          <w:sz w:val="24"/>
          <w:szCs w:val="24"/>
          <w:shd w:val="clear" w:color="auto" w:fill="FFFFFF"/>
          <w:lang w:val="en-US"/>
        </w:rPr>
        <w:t>Leung</w:t>
      </w:r>
      <w:r w:rsidR="00297088" w:rsidRPr="00297088">
        <w:rPr>
          <w:rFonts w:ascii="Times New Roman" w:hAnsi="Times New Roman" w:cs="Times New Roman"/>
          <w:sz w:val="24"/>
          <w:szCs w:val="24"/>
          <w:shd w:val="clear" w:color="auto" w:fill="FFFFFF"/>
          <w:lang w:val="en-US"/>
        </w:rPr>
        <w:t xml:space="preserve"> et al.</w:t>
      </w:r>
      <w:r w:rsidR="00090B3B" w:rsidRPr="00297088">
        <w:rPr>
          <w:rFonts w:ascii="Times New Roman" w:hAnsi="Times New Roman" w:cs="Times New Roman"/>
          <w:sz w:val="24"/>
          <w:szCs w:val="24"/>
          <w:shd w:val="clear" w:color="auto" w:fill="FFFFFF"/>
          <w:lang w:val="en-US"/>
        </w:rPr>
        <w:t xml:space="preserve"> 2012</w:t>
      </w:r>
      <w:r w:rsidR="00090B3B">
        <w:rPr>
          <w:rFonts w:ascii="Times New Roman" w:hAnsi="Times New Roman" w:cs="Times New Roman"/>
          <w:sz w:val="24"/>
          <w:szCs w:val="24"/>
          <w:shd w:val="clear" w:color="auto" w:fill="FFFFFF"/>
          <w:lang w:val="en-US"/>
        </w:rPr>
        <w:t>)</w:t>
      </w:r>
      <w:r w:rsidRPr="004A2D77">
        <w:rPr>
          <w:rFonts w:ascii="Times New Roman" w:hAnsi="Times New Roman" w:cs="Times New Roman"/>
          <w:sz w:val="24"/>
          <w:szCs w:val="24"/>
          <w:shd w:val="clear" w:color="auto" w:fill="FFFFFF"/>
          <w:lang w:val="en-US"/>
        </w:rPr>
        <w:t xml:space="preserve">. </w:t>
      </w:r>
      <w:proofErr w:type="spellStart"/>
      <w:r w:rsidRPr="004A2D77">
        <w:rPr>
          <w:rFonts w:ascii="Times New Roman" w:hAnsi="Times New Roman" w:cs="Times New Roman"/>
          <w:sz w:val="24"/>
          <w:szCs w:val="24"/>
          <w:shd w:val="clear" w:color="auto" w:fill="FFFFFF"/>
          <w:lang w:val="en-US"/>
        </w:rPr>
        <w:t>Ir</w:t>
      </w:r>
      <w:proofErr w:type="spellEnd"/>
      <w:r w:rsidRPr="004A2D77">
        <w:rPr>
          <w:rFonts w:ascii="Times New Roman" w:hAnsi="Times New Roman" w:cs="Times New Roman"/>
          <w:sz w:val="24"/>
          <w:szCs w:val="24"/>
          <w:shd w:val="clear" w:color="auto" w:fill="FFFFFF"/>
          <w:lang w:val="en-US"/>
        </w:rPr>
        <w:t xml:space="preserve"> impregnated electrodes have the best performances of catalytic activity and stability. On the other hand, most noble metal modified/decorated electrodes (i.e. Pt, Pd and Au</w:t>
      </w:r>
      <w:r w:rsidRPr="004A2D77">
        <w:rPr>
          <w:rFonts w:ascii="Times New Roman" w:hAnsi="Times New Roman" w:cs="Times New Roman"/>
          <w:sz w:val="24"/>
          <w:szCs w:val="24"/>
          <w:lang w:val="en-US"/>
        </w:rPr>
        <w:t>) tend to evolve excessive hydrogen when used as negative electrode reactions. Non-precious metal oxides (bismuth, manganese and titanium oxides) were also introduced to improve the catalytic activity, while optimizing with their semi-conductive properties. Nanoparticles, such as Mn</w:t>
      </w:r>
      <w:r w:rsidRPr="004A2D77">
        <w:rPr>
          <w:rFonts w:ascii="Times New Roman" w:hAnsi="Times New Roman" w:cs="Times New Roman"/>
          <w:sz w:val="24"/>
          <w:szCs w:val="24"/>
          <w:vertAlign w:val="subscript"/>
          <w:lang w:val="en-US"/>
        </w:rPr>
        <w:t>3</w:t>
      </w:r>
      <w:r w:rsidRPr="004A2D77">
        <w:rPr>
          <w:rFonts w:ascii="Times New Roman" w:hAnsi="Times New Roman" w:cs="Times New Roman"/>
          <w:sz w:val="24"/>
          <w:szCs w:val="24"/>
          <w:lang w:val="en-US"/>
        </w:rPr>
        <w:t>O</w:t>
      </w:r>
      <w:r w:rsidRPr="004A2D77">
        <w:rPr>
          <w:rFonts w:ascii="Times New Roman" w:hAnsi="Times New Roman" w:cs="Times New Roman"/>
          <w:sz w:val="24"/>
          <w:szCs w:val="24"/>
          <w:vertAlign w:val="subscript"/>
          <w:lang w:val="en-US"/>
        </w:rPr>
        <w:t>4</w:t>
      </w:r>
      <w:r w:rsidRPr="004A2D77">
        <w:rPr>
          <w:rFonts w:ascii="Times New Roman" w:hAnsi="Times New Roman" w:cs="Times New Roman"/>
          <w:sz w:val="24"/>
          <w:szCs w:val="24"/>
          <w:lang w:val="en-US"/>
        </w:rPr>
        <w:t>, Nb</w:t>
      </w:r>
      <w:r w:rsidRPr="004A2D77">
        <w:rPr>
          <w:rFonts w:ascii="Times New Roman" w:hAnsi="Times New Roman" w:cs="Times New Roman"/>
          <w:sz w:val="24"/>
          <w:szCs w:val="24"/>
          <w:vertAlign w:val="subscript"/>
          <w:lang w:val="en-US"/>
        </w:rPr>
        <w:t>2</w:t>
      </w:r>
      <w:r w:rsidRPr="004A2D77">
        <w:rPr>
          <w:rFonts w:ascii="Times New Roman" w:hAnsi="Times New Roman" w:cs="Times New Roman"/>
          <w:sz w:val="24"/>
          <w:szCs w:val="24"/>
          <w:lang w:val="en-US"/>
        </w:rPr>
        <w:t>O</w:t>
      </w:r>
      <w:r w:rsidRPr="004A2D77">
        <w:rPr>
          <w:rFonts w:ascii="Times New Roman" w:hAnsi="Times New Roman" w:cs="Times New Roman"/>
          <w:sz w:val="24"/>
          <w:szCs w:val="24"/>
          <w:vertAlign w:val="subscript"/>
          <w:lang w:val="en-US"/>
        </w:rPr>
        <w:t>5</w:t>
      </w:r>
      <w:r w:rsidRPr="004A2D77">
        <w:rPr>
          <w:rFonts w:ascii="Times New Roman" w:hAnsi="Times New Roman" w:cs="Times New Roman"/>
          <w:sz w:val="24"/>
          <w:szCs w:val="24"/>
          <w:lang w:val="en-US"/>
        </w:rPr>
        <w:t xml:space="preserve"> and </w:t>
      </w:r>
      <w:proofErr w:type="spellStart"/>
      <w:r w:rsidRPr="004A2D77">
        <w:rPr>
          <w:rFonts w:ascii="Times New Roman" w:hAnsi="Times New Roman" w:cs="Times New Roman"/>
          <w:sz w:val="24"/>
          <w:szCs w:val="24"/>
          <w:lang w:val="en-US"/>
        </w:rPr>
        <w:t>TiC</w:t>
      </w:r>
      <w:proofErr w:type="spellEnd"/>
      <w:r w:rsidRPr="004A2D77">
        <w:rPr>
          <w:rFonts w:ascii="Times New Roman" w:hAnsi="Times New Roman" w:cs="Times New Roman"/>
          <w:sz w:val="24"/>
          <w:szCs w:val="24"/>
          <w:lang w:val="en-US"/>
        </w:rPr>
        <w:t xml:space="preserve">, have been used to decorate carbon felt electrodes by providing a synergistic effect of nanostructure and active surfaces. </w:t>
      </w:r>
      <w:proofErr w:type="spellStart"/>
      <w:r w:rsidRPr="004A2D77">
        <w:rPr>
          <w:rFonts w:ascii="Times New Roman" w:hAnsi="Times New Roman" w:cs="Times New Roman"/>
          <w:sz w:val="24"/>
          <w:szCs w:val="24"/>
          <w:lang w:val="en-US"/>
        </w:rPr>
        <w:t>TiN</w:t>
      </w:r>
      <w:proofErr w:type="spellEnd"/>
      <w:r w:rsidRPr="004A2D77">
        <w:rPr>
          <w:rFonts w:ascii="Times New Roman" w:hAnsi="Times New Roman" w:cs="Times New Roman"/>
          <w:sz w:val="24"/>
          <w:szCs w:val="24"/>
          <w:lang w:val="en-US"/>
        </w:rPr>
        <w:t xml:space="preserve">, </w:t>
      </w:r>
      <w:proofErr w:type="spellStart"/>
      <w:r w:rsidRPr="004A2D77">
        <w:rPr>
          <w:rFonts w:ascii="Times New Roman" w:hAnsi="Times New Roman" w:cs="Times New Roman"/>
          <w:sz w:val="24"/>
          <w:szCs w:val="24"/>
          <w:lang w:val="en-US"/>
        </w:rPr>
        <w:t>TiC</w:t>
      </w:r>
      <w:proofErr w:type="spellEnd"/>
      <w:r w:rsidRPr="004A2D77">
        <w:rPr>
          <w:rFonts w:ascii="Times New Roman" w:hAnsi="Times New Roman" w:cs="Times New Roman"/>
          <w:sz w:val="24"/>
          <w:szCs w:val="24"/>
          <w:lang w:val="en-US"/>
        </w:rPr>
        <w:t xml:space="preserve"> catalysts were also reported to have high activity towards vanadium reactions in the negative half-cells. Despite the relatively high efficiencies (i.e. energy efficiencies&gt; 90 %), most catalysts cannot provide catalytic properties on both sides of vanadium reactions, i.e. durability in the positive electrode reactions. To address this issue, a number of bifunctional electrodes (i.e.WO</w:t>
      </w:r>
      <w:r w:rsidRPr="004A2D77">
        <w:rPr>
          <w:rFonts w:ascii="Times New Roman" w:hAnsi="Times New Roman" w:cs="Times New Roman"/>
          <w:sz w:val="24"/>
          <w:szCs w:val="24"/>
          <w:vertAlign w:val="subscript"/>
          <w:lang w:val="en-US"/>
        </w:rPr>
        <w:t>3</w:t>
      </w:r>
      <w:r w:rsidRPr="004A2D77">
        <w:rPr>
          <w:rFonts w:ascii="Times New Roman" w:hAnsi="Times New Roman" w:cs="Times New Roman"/>
          <w:sz w:val="24"/>
          <w:szCs w:val="24"/>
          <w:lang w:val="en-US"/>
        </w:rPr>
        <w:t>) have been proposed.</w:t>
      </w:r>
    </w:p>
    <w:p w14:paraId="4CB3215E" w14:textId="2A317E49" w:rsidR="008A12CD" w:rsidRPr="004A2D77" w:rsidRDefault="00834A22" w:rsidP="008A12CD">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Introducing oxygen function</w:t>
      </w:r>
      <w:r w:rsidR="008A12CD" w:rsidRPr="004A2D77">
        <w:rPr>
          <w:rFonts w:ascii="Times New Roman" w:hAnsi="Times New Roman" w:cs="Times New Roman"/>
          <w:sz w:val="24"/>
          <w:szCs w:val="24"/>
          <w:lang w:val="en-US"/>
        </w:rPr>
        <w:t>al</w:t>
      </w:r>
      <w:r w:rsidRPr="004A2D77">
        <w:rPr>
          <w:rFonts w:ascii="Times New Roman" w:hAnsi="Times New Roman" w:cs="Times New Roman"/>
          <w:sz w:val="24"/>
          <w:szCs w:val="24"/>
          <w:lang w:val="en-US"/>
        </w:rPr>
        <w:t xml:space="preserve"> groups, especially hydroxyl groups are the commonest approach through acid, </w:t>
      </w:r>
      <w:r w:rsidR="0019222B" w:rsidRPr="004A2D77">
        <w:rPr>
          <w:rFonts w:ascii="Times New Roman" w:hAnsi="Times New Roman" w:cs="Times New Roman"/>
          <w:sz w:val="24"/>
          <w:szCs w:val="24"/>
          <w:lang w:val="en-US"/>
        </w:rPr>
        <w:t>microwave,</w:t>
      </w:r>
      <w:r w:rsidRPr="004A2D77">
        <w:rPr>
          <w:rFonts w:ascii="Times New Roman" w:hAnsi="Times New Roman" w:cs="Times New Roman"/>
          <w:sz w:val="24"/>
          <w:szCs w:val="24"/>
          <w:lang w:val="en-US"/>
        </w:rPr>
        <w:t xml:space="preserve"> and other treatments to create active sites and improve the electrode activity. Carboxyl group was also reported to have similar function of its hydroxyl counterpart to </w:t>
      </w:r>
      <w:r w:rsidR="004A2D77" w:rsidRPr="004A2D77">
        <w:rPr>
          <w:rFonts w:ascii="Times New Roman" w:hAnsi="Times New Roman" w:cs="Times New Roman"/>
          <w:sz w:val="24"/>
          <w:szCs w:val="24"/>
          <w:lang w:val="en-US"/>
        </w:rPr>
        <w:t>catalyze</w:t>
      </w:r>
      <w:r w:rsidRPr="004A2D77">
        <w:rPr>
          <w:rFonts w:ascii="Times New Roman" w:hAnsi="Times New Roman" w:cs="Times New Roman"/>
          <w:sz w:val="24"/>
          <w:szCs w:val="24"/>
          <w:lang w:val="en-US"/>
        </w:rPr>
        <w:t xml:space="preserve"> the vanadium reactions. Nitrogen-doped carbon has also been used in various work to improve the activity by changing the charge distribution between the nitrogen and carbon atom. That may increase the vacancy and defect on the carbon matrix that enhance the electron transport. For instance, the vanadium ions (VO</w:t>
      </w:r>
      <w:r w:rsidRPr="004A2D77">
        <w:rPr>
          <w:rFonts w:ascii="Times New Roman" w:hAnsi="Times New Roman" w:cs="Times New Roman"/>
          <w:sz w:val="24"/>
          <w:szCs w:val="24"/>
          <w:vertAlign w:val="superscript"/>
          <w:lang w:val="en-US"/>
        </w:rPr>
        <w:t>2+</w:t>
      </w:r>
      <w:r w:rsidRPr="004A2D77">
        <w:rPr>
          <w:rFonts w:ascii="Times New Roman" w:hAnsi="Times New Roman" w:cs="Times New Roman"/>
          <w:sz w:val="24"/>
          <w:szCs w:val="24"/>
          <w:lang w:val="en-US"/>
        </w:rPr>
        <w:t>/V</w:t>
      </w:r>
      <w:r w:rsidRPr="004A2D77">
        <w:rPr>
          <w:rFonts w:ascii="Times New Roman" w:hAnsi="Times New Roman" w:cs="Times New Roman"/>
          <w:sz w:val="24"/>
          <w:szCs w:val="24"/>
          <w:vertAlign w:val="superscript"/>
          <w:lang w:val="en-US"/>
        </w:rPr>
        <w:t>3+</w:t>
      </w:r>
      <w:r w:rsidRPr="004A2D77">
        <w:rPr>
          <w:rFonts w:ascii="Times New Roman" w:hAnsi="Times New Roman" w:cs="Times New Roman"/>
          <w:sz w:val="24"/>
          <w:szCs w:val="24"/>
          <w:lang w:val="en-US"/>
        </w:rPr>
        <w:t>) are absorbed by the nitrogen atoms in the charging process to form the N-V bond for further electron-transfer on the nitrogen active site in the redox reactions. In addition to nitrogen, boron, phosphorus, sul</w:t>
      </w:r>
      <w:r w:rsidR="004A2D77">
        <w:rPr>
          <w:rFonts w:ascii="Times New Roman" w:hAnsi="Times New Roman" w:cs="Times New Roman"/>
          <w:sz w:val="24"/>
          <w:szCs w:val="24"/>
          <w:lang w:val="en-US"/>
        </w:rPr>
        <w:t>f</w:t>
      </w:r>
      <w:r w:rsidRPr="004A2D77">
        <w:rPr>
          <w:rFonts w:ascii="Times New Roman" w:hAnsi="Times New Roman" w:cs="Times New Roman"/>
          <w:sz w:val="24"/>
          <w:szCs w:val="24"/>
          <w:lang w:val="en-US"/>
        </w:rPr>
        <w:t xml:space="preserve">ur and halogen, have also been doped on carbon. Similar to their oxygen and nitrogen doped counterparts, these </w:t>
      </w:r>
      <w:r w:rsidRPr="004A2D77">
        <w:rPr>
          <w:rFonts w:ascii="Times New Roman" w:hAnsi="Times New Roman" w:cs="Times New Roman"/>
          <w:sz w:val="24"/>
          <w:szCs w:val="24"/>
          <w:lang w:val="en-US"/>
        </w:rPr>
        <w:lastRenderedPageBreak/>
        <w:t>electrodes tend to enhance the ion exchange by either providing hydroxyl groups on the carbon surface or changing the charge distribution between heteroatom and carbon in the network.</w:t>
      </w:r>
      <w:r w:rsidR="008A12CD" w:rsidRPr="004A2D77">
        <w:rPr>
          <w:rFonts w:ascii="Times New Roman" w:hAnsi="Times New Roman" w:cs="Times New Roman"/>
          <w:sz w:val="24"/>
          <w:szCs w:val="24"/>
          <w:lang w:val="en-US"/>
        </w:rPr>
        <w:t xml:space="preserve"> </w:t>
      </w:r>
    </w:p>
    <w:p w14:paraId="0D3D77A4" w14:textId="5A0A4927" w:rsidR="008A12CD" w:rsidRPr="004A2D77" w:rsidRDefault="008A12CD" w:rsidP="008A12CD">
      <w:pPr>
        <w:spacing w:after="120" w:line="480" w:lineRule="auto"/>
        <w:jc w:val="both"/>
        <w:rPr>
          <w:rFonts w:ascii="Times New Roman" w:hAnsi="Times New Roman" w:cs="Times New Roman"/>
          <w:sz w:val="24"/>
          <w:szCs w:val="24"/>
          <w:lang w:val="en-US"/>
        </w:rPr>
      </w:pPr>
      <w:r w:rsidRPr="004A2D77">
        <w:rPr>
          <w:rFonts w:ascii="Times New Roman" w:hAnsi="Times New Roman" w:cs="Times New Roman"/>
          <w:sz w:val="24"/>
          <w:szCs w:val="24"/>
          <w:lang w:val="en-US"/>
        </w:rPr>
        <w:t xml:space="preserve">Other approaches include pore etching method to create rich pores on the surface of carbon </w:t>
      </w:r>
      <w:r w:rsidR="0019222B" w:rsidRPr="004A2D77">
        <w:rPr>
          <w:rFonts w:ascii="Times New Roman" w:hAnsi="Times New Roman" w:cs="Times New Roman"/>
          <w:sz w:val="24"/>
          <w:szCs w:val="24"/>
          <w:lang w:val="en-US"/>
        </w:rPr>
        <w:t>fibers</w:t>
      </w:r>
      <w:r w:rsidRPr="004A2D77">
        <w:rPr>
          <w:rFonts w:ascii="Times New Roman" w:hAnsi="Times New Roman" w:cs="Times New Roman"/>
          <w:sz w:val="24"/>
          <w:szCs w:val="24"/>
          <w:lang w:val="en-US"/>
        </w:rPr>
        <w:t>. Various etching methods have been reported for the use of redox flow batteries, including water, CO</w:t>
      </w:r>
      <w:r w:rsidRPr="004A2D77">
        <w:rPr>
          <w:rFonts w:ascii="Times New Roman" w:hAnsi="Times New Roman" w:cs="Times New Roman"/>
          <w:sz w:val="24"/>
          <w:szCs w:val="24"/>
          <w:vertAlign w:val="subscript"/>
          <w:lang w:val="en-US"/>
        </w:rPr>
        <w:t>2</w:t>
      </w:r>
      <w:r w:rsidRPr="004A2D77">
        <w:rPr>
          <w:rFonts w:ascii="Times New Roman" w:hAnsi="Times New Roman" w:cs="Times New Roman"/>
          <w:sz w:val="24"/>
          <w:szCs w:val="24"/>
          <w:lang w:val="en-US"/>
        </w:rPr>
        <w:t xml:space="preserve">, </w:t>
      </w:r>
      <w:proofErr w:type="spellStart"/>
      <w:r w:rsidRPr="004A2D77">
        <w:rPr>
          <w:rFonts w:ascii="Times New Roman" w:hAnsi="Times New Roman" w:cs="Times New Roman"/>
          <w:sz w:val="24"/>
          <w:szCs w:val="24"/>
          <w:lang w:val="en-US"/>
        </w:rPr>
        <w:t>FeOOH</w:t>
      </w:r>
      <w:proofErr w:type="spellEnd"/>
      <w:r w:rsidRPr="004A2D77">
        <w:rPr>
          <w:rFonts w:ascii="Times New Roman" w:hAnsi="Times New Roman" w:cs="Times New Roman"/>
          <w:sz w:val="24"/>
          <w:szCs w:val="24"/>
          <w:lang w:val="en-US"/>
        </w:rPr>
        <w:t>, KOH, FeCl</w:t>
      </w:r>
      <w:r w:rsidRPr="004A2D77">
        <w:rPr>
          <w:rFonts w:ascii="Times New Roman" w:hAnsi="Times New Roman" w:cs="Times New Roman"/>
          <w:sz w:val="24"/>
          <w:szCs w:val="24"/>
          <w:vertAlign w:val="subscript"/>
          <w:lang w:val="en-US"/>
        </w:rPr>
        <w:t>3</w:t>
      </w:r>
      <w:r w:rsidRPr="004A2D77">
        <w:rPr>
          <w:rFonts w:ascii="Times New Roman" w:hAnsi="Times New Roman" w:cs="Times New Roman"/>
          <w:sz w:val="24"/>
          <w:szCs w:val="24"/>
          <w:lang w:val="en-US"/>
        </w:rPr>
        <w:t xml:space="preserve">, </w:t>
      </w:r>
      <w:proofErr w:type="spellStart"/>
      <w:r w:rsidRPr="004A2D77">
        <w:rPr>
          <w:rFonts w:ascii="Times New Roman" w:hAnsi="Times New Roman" w:cs="Times New Roman"/>
          <w:sz w:val="24"/>
          <w:szCs w:val="24"/>
          <w:lang w:val="en-US"/>
        </w:rPr>
        <w:t>ZnO</w:t>
      </w:r>
      <w:proofErr w:type="spellEnd"/>
      <w:r w:rsidRPr="004A2D77">
        <w:rPr>
          <w:rFonts w:ascii="Times New Roman" w:hAnsi="Times New Roman" w:cs="Times New Roman"/>
          <w:sz w:val="24"/>
          <w:szCs w:val="24"/>
          <w:lang w:val="en-US"/>
        </w:rPr>
        <w:t xml:space="preserve">, </w:t>
      </w:r>
      <w:proofErr w:type="spellStart"/>
      <w:r w:rsidRPr="004A2D77">
        <w:rPr>
          <w:rFonts w:ascii="Times New Roman" w:hAnsi="Times New Roman" w:cs="Times New Roman"/>
          <w:sz w:val="24"/>
          <w:szCs w:val="24"/>
          <w:lang w:val="en-US"/>
        </w:rPr>
        <w:t>CuO</w:t>
      </w:r>
      <w:proofErr w:type="spellEnd"/>
      <w:r w:rsidRPr="004A2D77">
        <w:rPr>
          <w:rFonts w:ascii="Times New Roman" w:hAnsi="Times New Roman" w:cs="Times New Roman"/>
          <w:sz w:val="24"/>
          <w:szCs w:val="24"/>
          <w:lang w:val="en-US"/>
        </w:rPr>
        <w:t>, CH</w:t>
      </w:r>
      <w:r w:rsidRPr="004A2D77">
        <w:rPr>
          <w:rFonts w:ascii="Times New Roman" w:hAnsi="Times New Roman" w:cs="Times New Roman"/>
          <w:sz w:val="24"/>
          <w:szCs w:val="24"/>
          <w:vertAlign w:val="subscript"/>
          <w:lang w:val="en-US"/>
        </w:rPr>
        <w:t>3</w:t>
      </w:r>
      <w:r w:rsidRPr="004A2D77">
        <w:rPr>
          <w:rFonts w:ascii="Times New Roman" w:hAnsi="Times New Roman" w:cs="Times New Roman"/>
          <w:sz w:val="24"/>
          <w:szCs w:val="24"/>
          <w:lang w:val="en-US"/>
        </w:rPr>
        <w:t>COOCo. Among these, KOH etching is the most common approach, and has been effective in generating active sites (i.e. nanopores) for high current operation (up to 250 mA cm</w:t>
      </w:r>
      <w:r w:rsidRPr="004A2D77">
        <w:rPr>
          <w:rFonts w:ascii="Times New Roman" w:hAnsi="Times New Roman" w:cs="Times New Roman"/>
          <w:sz w:val="24"/>
          <w:szCs w:val="24"/>
          <w:vertAlign w:val="superscript"/>
          <w:lang w:val="en-US"/>
        </w:rPr>
        <w:t>-2</w:t>
      </w:r>
      <w:r w:rsidRPr="004A2D77">
        <w:rPr>
          <w:rFonts w:ascii="Times New Roman" w:hAnsi="Times New Roman" w:cs="Times New Roman"/>
          <w:sz w:val="24"/>
          <w:szCs w:val="24"/>
          <w:lang w:val="en-US"/>
        </w:rPr>
        <w:t xml:space="preserve">. Gradient-pore-oriented carbon felt electrode was developed by exhibiting three types of porous structures, from micro- to nano- scale, on the carbon </w:t>
      </w:r>
      <w:r w:rsidR="00E60F63" w:rsidRPr="004A2D77">
        <w:rPr>
          <w:rFonts w:ascii="Times New Roman" w:hAnsi="Times New Roman" w:cs="Times New Roman"/>
          <w:sz w:val="24"/>
          <w:szCs w:val="24"/>
          <w:lang w:val="en-US"/>
        </w:rPr>
        <w:t>fiber</w:t>
      </w:r>
      <w:r w:rsidRPr="004A2D77">
        <w:rPr>
          <w:rFonts w:ascii="Times New Roman" w:hAnsi="Times New Roman" w:cs="Times New Roman"/>
          <w:sz w:val="24"/>
          <w:szCs w:val="24"/>
          <w:lang w:val="en-US"/>
        </w:rPr>
        <w:t xml:space="preserve"> surface </w:t>
      </w:r>
      <w:r w:rsidR="00054291">
        <w:rPr>
          <w:rFonts w:ascii="Times New Roman" w:hAnsi="Times New Roman" w:cs="Times New Roman"/>
          <w:sz w:val="24"/>
          <w:szCs w:val="24"/>
          <w:lang w:val="en-US"/>
        </w:rPr>
        <w:t xml:space="preserve">(Wang et al. </w:t>
      </w:r>
      <w:r w:rsidR="00616239">
        <w:rPr>
          <w:rFonts w:ascii="Times New Roman" w:hAnsi="Times New Roman" w:cs="Times New Roman"/>
          <w:sz w:val="24"/>
          <w:szCs w:val="24"/>
          <w:lang w:val="en-US"/>
        </w:rPr>
        <w:t>2019)</w:t>
      </w:r>
      <w:r w:rsidRPr="004A2D77">
        <w:rPr>
          <w:rFonts w:ascii="Times New Roman" w:hAnsi="Times New Roman" w:cs="Times New Roman"/>
          <w:sz w:val="24"/>
          <w:szCs w:val="24"/>
          <w:lang w:val="en-US"/>
        </w:rPr>
        <w:t>.</w:t>
      </w:r>
      <w:r w:rsidR="00E30711" w:rsidRPr="004A2D77">
        <w:rPr>
          <w:rFonts w:ascii="Times New Roman" w:hAnsi="Times New Roman" w:cs="Times New Roman"/>
          <w:sz w:val="24"/>
          <w:szCs w:val="24"/>
          <w:lang w:val="en-US"/>
        </w:rPr>
        <w:t xml:space="preserve"> </w:t>
      </w:r>
      <w:r w:rsidR="00E30711" w:rsidRPr="00E60F63">
        <w:rPr>
          <w:rFonts w:ascii="Times New Roman" w:hAnsi="Times New Roman" w:cs="Times New Roman"/>
          <w:bCs/>
          <w:sz w:val="24"/>
          <w:szCs w:val="24"/>
          <w:lang w:val="en-US"/>
        </w:rPr>
        <w:t xml:space="preserve">Figure </w:t>
      </w:r>
      <w:r w:rsidR="008A0BBF" w:rsidRPr="00E60F63">
        <w:rPr>
          <w:rFonts w:ascii="Times New Roman" w:hAnsi="Times New Roman" w:cs="Times New Roman"/>
          <w:bCs/>
          <w:sz w:val="24"/>
          <w:szCs w:val="24"/>
          <w:lang w:val="en-US"/>
        </w:rPr>
        <w:t>7</w:t>
      </w:r>
      <w:r w:rsidRPr="004A2D77">
        <w:rPr>
          <w:rFonts w:ascii="Times New Roman" w:hAnsi="Times New Roman" w:cs="Times New Roman"/>
          <w:sz w:val="24"/>
          <w:szCs w:val="24"/>
          <w:lang w:val="en-US"/>
        </w:rPr>
        <w:t xml:space="preserve"> shows that the micropores (~20 </w:t>
      </w:r>
      <w:proofErr w:type="spellStart"/>
      <w:r w:rsidRPr="004A2D77">
        <w:rPr>
          <w:rFonts w:ascii="Times New Roman" w:hAnsi="Times New Roman" w:cs="Times New Roman"/>
          <w:sz w:val="24"/>
          <w:szCs w:val="24"/>
          <w:lang w:val="en-US"/>
        </w:rPr>
        <w:t>μm</w:t>
      </w:r>
      <w:proofErr w:type="spellEnd"/>
      <w:r w:rsidRPr="004A2D77">
        <w:rPr>
          <w:rFonts w:ascii="Times New Roman" w:hAnsi="Times New Roman" w:cs="Times New Roman"/>
          <w:sz w:val="24"/>
          <w:szCs w:val="24"/>
          <w:lang w:val="en-US"/>
        </w:rPr>
        <w:t xml:space="preserve">) provides larger surface area for electrolyte contacts, while the nanopores (~20 nm) enable the active sites for redox reactions. The mesoscale pores (~0.5 </w:t>
      </w:r>
      <w:proofErr w:type="spellStart"/>
      <w:r w:rsidRPr="004A2D77">
        <w:rPr>
          <w:rFonts w:ascii="Times New Roman" w:hAnsi="Times New Roman" w:cs="Times New Roman"/>
          <w:sz w:val="24"/>
          <w:szCs w:val="24"/>
          <w:lang w:val="en-US"/>
        </w:rPr>
        <w:t>μm</w:t>
      </w:r>
      <w:proofErr w:type="spellEnd"/>
      <w:r w:rsidRPr="004A2D77">
        <w:rPr>
          <w:rFonts w:ascii="Times New Roman" w:hAnsi="Times New Roman" w:cs="Times New Roman"/>
          <w:sz w:val="24"/>
          <w:szCs w:val="24"/>
          <w:lang w:val="en-US"/>
        </w:rPr>
        <w:t xml:space="preserve">) had a tendency to connect these micropores and nanopores together with optimized distribution. With this configuration, </w:t>
      </w:r>
      <w:r w:rsidR="001F4A25">
        <w:rPr>
          <w:rFonts w:ascii="Times New Roman" w:hAnsi="Times New Roman" w:cs="Times New Roman"/>
          <w:sz w:val="24"/>
          <w:szCs w:val="24"/>
          <w:lang w:val="en-US"/>
        </w:rPr>
        <w:t>63%</w:t>
      </w:r>
      <w:r w:rsidRPr="004A2D77">
        <w:rPr>
          <w:rFonts w:ascii="Times New Roman" w:hAnsi="Times New Roman" w:cs="Times New Roman"/>
          <w:sz w:val="24"/>
          <w:szCs w:val="24"/>
          <w:lang w:val="en-US"/>
        </w:rPr>
        <w:t xml:space="preserve"> energy efficiency was achieved for VRFB at current density of up to 500 mA </w:t>
      </w:r>
      <w:proofErr w:type="gramStart"/>
      <w:r w:rsidRPr="004A2D77">
        <w:rPr>
          <w:rFonts w:ascii="Times New Roman" w:hAnsi="Times New Roman" w:cs="Times New Roman"/>
          <w:sz w:val="24"/>
          <w:szCs w:val="24"/>
          <w:lang w:val="en-US"/>
        </w:rPr>
        <w:t>cm</w:t>
      </w:r>
      <w:r w:rsidRPr="004A2D77">
        <w:rPr>
          <w:rFonts w:ascii="Times New Roman" w:hAnsi="Times New Roman" w:cs="Times New Roman"/>
          <w:sz w:val="24"/>
          <w:szCs w:val="24"/>
          <w:vertAlign w:val="superscript"/>
          <w:lang w:val="en-US"/>
        </w:rPr>
        <w:t>-2</w:t>
      </w:r>
      <w:proofErr w:type="gramEnd"/>
      <w:r w:rsidRPr="004A2D77">
        <w:rPr>
          <w:rFonts w:ascii="Times New Roman" w:hAnsi="Times New Roman" w:cs="Times New Roman"/>
          <w:sz w:val="24"/>
          <w:szCs w:val="24"/>
          <w:lang w:val="en-US"/>
        </w:rPr>
        <w:t>.</w:t>
      </w:r>
    </w:p>
    <w:p w14:paraId="0A239384" w14:textId="3374ECDA" w:rsidR="00834A22" w:rsidRPr="004A2D77" w:rsidRDefault="00834A22" w:rsidP="00834A22">
      <w:pPr>
        <w:spacing w:after="120" w:line="480" w:lineRule="auto"/>
        <w:jc w:val="both"/>
        <w:rPr>
          <w:rFonts w:ascii="Times New Roman" w:hAnsi="Times New Roman" w:cs="Times New Roman"/>
          <w:sz w:val="24"/>
          <w:szCs w:val="24"/>
          <w:lang w:val="en-US"/>
        </w:rPr>
      </w:pPr>
    </w:p>
    <w:p w14:paraId="11DEE6A1" w14:textId="51CB6045" w:rsidR="00834A22" w:rsidRPr="004A2D77" w:rsidRDefault="00D63A10" w:rsidP="00834A22">
      <w:pPr>
        <w:spacing w:after="120"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0239291D" wp14:editId="49E5320F">
            <wp:extent cx="5731510" cy="5191760"/>
            <wp:effectExtent l="0" t="0" r="2540" b="889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7 H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5191760"/>
                    </a:xfrm>
                    <a:prstGeom prst="rect">
                      <a:avLst/>
                    </a:prstGeom>
                  </pic:spPr>
                </pic:pic>
              </a:graphicData>
            </a:graphic>
          </wp:inline>
        </w:drawing>
      </w:r>
    </w:p>
    <w:p w14:paraId="2F426064" w14:textId="4200FEF3" w:rsidR="008A12CD" w:rsidRPr="004A2D77" w:rsidRDefault="008A12CD" w:rsidP="008A12CD">
      <w:pPr>
        <w:spacing w:after="120" w:line="240" w:lineRule="auto"/>
        <w:jc w:val="both"/>
        <w:rPr>
          <w:rFonts w:ascii="Times New Roman" w:hAnsi="Times New Roman" w:cs="Times New Roman"/>
          <w:sz w:val="24"/>
          <w:szCs w:val="24"/>
          <w:lang w:val="en-US"/>
        </w:rPr>
      </w:pPr>
      <w:r w:rsidRPr="00E42163">
        <w:rPr>
          <w:rFonts w:ascii="Times New Roman" w:hAnsi="Times New Roman" w:cs="Times New Roman"/>
          <w:bCs/>
          <w:sz w:val="24"/>
          <w:szCs w:val="24"/>
          <w:lang w:val="en-US"/>
        </w:rPr>
        <w:t xml:space="preserve">Figure </w:t>
      </w:r>
      <w:r w:rsidR="008A0BBF" w:rsidRPr="00E42163">
        <w:rPr>
          <w:rFonts w:ascii="Times New Roman" w:hAnsi="Times New Roman" w:cs="Times New Roman"/>
          <w:bCs/>
          <w:sz w:val="24"/>
          <w:szCs w:val="24"/>
          <w:lang w:val="en-US"/>
        </w:rPr>
        <w:t>7</w:t>
      </w:r>
      <w:r w:rsidRPr="00E42163">
        <w:rPr>
          <w:rFonts w:ascii="Times New Roman" w:hAnsi="Times New Roman" w:cs="Times New Roman"/>
          <w:bCs/>
          <w:sz w:val="24"/>
          <w:szCs w:val="24"/>
          <w:lang w:val="en-US"/>
        </w:rPr>
        <w:t>.</w:t>
      </w:r>
      <w:r w:rsidRPr="004A2D77">
        <w:rPr>
          <w:rFonts w:ascii="Times New Roman" w:hAnsi="Times New Roman" w:cs="Times New Roman"/>
          <w:sz w:val="24"/>
          <w:szCs w:val="24"/>
          <w:lang w:val="en-US"/>
        </w:rPr>
        <w:t xml:space="preserve"> Schematic of the gradient-pore graphite felt electrode (a). SEM images of thermally treated gradient-pore graphite felt (b)-(d) and CV curves of pristine, thermally treated and gradient-pore graphite felts in the potential windows of (e) 0.6 to 1.2 V and (f) −0.7 to −0.2 V at the scan rate of 5 mV s</w:t>
      </w:r>
      <w:r w:rsidRPr="004A2D77">
        <w:rPr>
          <w:rFonts w:ascii="Times New Roman" w:hAnsi="Times New Roman" w:cs="Times New Roman"/>
          <w:sz w:val="24"/>
          <w:szCs w:val="24"/>
          <w:vertAlign w:val="superscript"/>
          <w:lang w:val="en-US"/>
        </w:rPr>
        <w:t>−1</w:t>
      </w:r>
      <w:r w:rsidRPr="004A2D77">
        <w:rPr>
          <w:rFonts w:ascii="Times New Roman" w:hAnsi="Times New Roman" w:cs="Times New Roman"/>
          <w:sz w:val="24"/>
          <w:szCs w:val="24"/>
          <w:lang w:val="en-US"/>
        </w:rPr>
        <w:t>. CV curves of gradient-pore graphite felt for (</w:t>
      </w:r>
      <w:r w:rsidR="00E30711" w:rsidRPr="004A2D77">
        <w:rPr>
          <w:rFonts w:ascii="Times New Roman" w:hAnsi="Times New Roman" w:cs="Times New Roman"/>
          <w:sz w:val="24"/>
          <w:szCs w:val="24"/>
          <w:lang w:val="en-US"/>
        </w:rPr>
        <w:t>g</w:t>
      </w:r>
      <w:r w:rsidRPr="004A2D77">
        <w:rPr>
          <w:rFonts w:ascii="Times New Roman" w:hAnsi="Times New Roman" w:cs="Times New Roman"/>
          <w:sz w:val="24"/>
          <w:szCs w:val="24"/>
          <w:lang w:val="en-US"/>
        </w:rPr>
        <w:t>) VO</w:t>
      </w:r>
      <w:r w:rsidRPr="004A2D77">
        <w:rPr>
          <w:rFonts w:ascii="Times New Roman" w:hAnsi="Times New Roman" w:cs="Times New Roman"/>
          <w:sz w:val="24"/>
          <w:szCs w:val="24"/>
          <w:vertAlign w:val="superscript"/>
          <w:lang w:val="en-US"/>
        </w:rPr>
        <w:t>2+</w:t>
      </w:r>
      <w:r w:rsidRPr="004A2D77">
        <w:rPr>
          <w:rFonts w:ascii="Times New Roman" w:hAnsi="Times New Roman" w:cs="Times New Roman"/>
          <w:sz w:val="24"/>
          <w:szCs w:val="24"/>
          <w:lang w:val="en-US"/>
        </w:rPr>
        <w:t>/VO</w:t>
      </w:r>
      <w:r w:rsidRPr="004A2D77">
        <w:rPr>
          <w:rFonts w:ascii="Times New Roman" w:hAnsi="Times New Roman" w:cs="Times New Roman"/>
          <w:sz w:val="24"/>
          <w:szCs w:val="24"/>
          <w:vertAlign w:val="subscript"/>
          <w:lang w:val="en-US"/>
        </w:rPr>
        <w:t>2</w:t>
      </w:r>
      <w:r w:rsidRPr="004A2D77">
        <w:rPr>
          <w:rFonts w:ascii="Times New Roman" w:hAnsi="Times New Roman" w:cs="Times New Roman"/>
          <w:sz w:val="24"/>
          <w:szCs w:val="24"/>
          <w:vertAlign w:val="superscript"/>
          <w:lang w:val="en-US"/>
        </w:rPr>
        <w:t>+</w:t>
      </w:r>
      <w:r w:rsidR="00E30711" w:rsidRPr="004A2D77">
        <w:rPr>
          <w:rFonts w:ascii="Times New Roman" w:hAnsi="Times New Roman" w:cs="Times New Roman"/>
          <w:sz w:val="24"/>
          <w:szCs w:val="24"/>
          <w:lang w:val="en-US"/>
        </w:rPr>
        <w:t>.</w:t>
      </w:r>
      <w:r w:rsidRPr="004A2D77">
        <w:rPr>
          <w:rFonts w:ascii="Times New Roman" w:hAnsi="Times New Roman" w:cs="Times New Roman"/>
          <w:sz w:val="24"/>
          <w:szCs w:val="24"/>
          <w:lang w:val="en-US"/>
        </w:rPr>
        <w:t xml:space="preserve"> With permission from </w:t>
      </w:r>
      <w:r w:rsidR="00D27DC8" w:rsidRPr="004A2D77">
        <w:rPr>
          <w:rFonts w:ascii="Times New Roman" w:hAnsi="Times New Roman" w:cs="Times New Roman"/>
          <w:sz w:val="24"/>
          <w:szCs w:val="24"/>
          <w:lang w:val="en-US"/>
        </w:rPr>
        <w:t>The Royal Society</w:t>
      </w:r>
      <w:r w:rsidR="00DA1A43" w:rsidRPr="004A2D77">
        <w:rPr>
          <w:rFonts w:ascii="Times New Roman" w:hAnsi="Times New Roman" w:cs="Times New Roman"/>
          <w:sz w:val="24"/>
          <w:szCs w:val="24"/>
          <w:lang w:val="en-US"/>
        </w:rPr>
        <w:t xml:space="preserve"> of Chemistry</w:t>
      </w:r>
      <w:r w:rsidRPr="004A2D77">
        <w:rPr>
          <w:rFonts w:ascii="Times New Roman" w:hAnsi="Times New Roman" w:cs="Times New Roman"/>
          <w:sz w:val="24"/>
          <w:szCs w:val="24"/>
          <w:lang w:val="en-US"/>
        </w:rPr>
        <w:t xml:space="preserve">. </w:t>
      </w:r>
    </w:p>
    <w:p w14:paraId="2078B51F" w14:textId="77777777" w:rsidR="00834A22" w:rsidRPr="004A2D77" w:rsidRDefault="00834A22" w:rsidP="00FC2A37">
      <w:pPr>
        <w:spacing w:after="120" w:line="480" w:lineRule="auto"/>
        <w:jc w:val="both"/>
        <w:rPr>
          <w:rFonts w:ascii="Times New Roman" w:hAnsi="Times New Roman" w:cs="Times New Roman"/>
          <w:sz w:val="24"/>
          <w:szCs w:val="24"/>
          <w:lang w:val="en-US"/>
        </w:rPr>
      </w:pPr>
    </w:p>
    <w:p w14:paraId="2C54892B" w14:textId="14F3417E" w:rsidR="00FC2A37" w:rsidRPr="00060970" w:rsidRDefault="00D465F2" w:rsidP="00FC2A37">
      <w:pPr>
        <w:pStyle w:val="NormalWeb"/>
        <w:pBdr>
          <w:bottom w:val="single" w:sz="6" w:space="1" w:color="auto"/>
        </w:pBdr>
        <w:spacing w:before="0" w:beforeAutospacing="0" w:after="120" w:afterAutospacing="0" w:line="480" w:lineRule="auto"/>
        <w:rPr>
          <w:bCs/>
          <w:lang w:val="en-US"/>
        </w:rPr>
      </w:pPr>
      <w:r w:rsidRPr="00060970">
        <w:rPr>
          <w:bCs/>
          <w:lang w:val="en-US"/>
        </w:rPr>
        <w:t xml:space="preserve">11. </w:t>
      </w:r>
      <w:r w:rsidR="00FC2A37" w:rsidRPr="00060970">
        <w:rPr>
          <w:bCs/>
          <w:lang w:val="en-US"/>
        </w:rPr>
        <w:t>Electrolyte compositions/conditions</w:t>
      </w:r>
    </w:p>
    <w:p w14:paraId="421EFF9A" w14:textId="674784CD" w:rsidR="00FC2A37" w:rsidRPr="004A2D77" w:rsidRDefault="00FC2A37" w:rsidP="00FC2A37">
      <w:pPr>
        <w:pStyle w:val="NormalWeb"/>
        <w:pBdr>
          <w:bottom w:val="single" w:sz="6" w:space="1" w:color="auto"/>
        </w:pBdr>
        <w:spacing w:before="0" w:beforeAutospacing="0" w:after="120" w:afterAutospacing="0" w:line="480" w:lineRule="auto"/>
        <w:jc w:val="both"/>
        <w:rPr>
          <w:lang w:val="en-US"/>
        </w:rPr>
      </w:pPr>
      <w:r w:rsidRPr="004A2D77">
        <w:rPr>
          <w:lang w:val="en-US"/>
        </w:rPr>
        <w:t xml:space="preserve">Electrolyte compositions are crucial for battery performances, in regards of specific energy, chemical stability and electrochemical performances. The higher vanadium concentration is beneficial in reducing the rate of oxidation of </w:t>
      </w:r>
      <w:r w:rsidR="00CB617B">
        <w:rPr>
          <w:lang w:val="en-US"/>
        </w:rPr>
        <w:t>V(II)</w:t>
      </w:r>
      <w:r w:rsidRPr="004A2D77">
        <w:rPr>
          <w:lang w:val="en-US"/>
        </w:rPr>
        <w:t xml:space="preserve"> by the atmospheric air in the negative half-cell, while increased acid concentration tends to reduce the rate of capacity degradation. The </w:t>
      </w:r>
      <w:r w:rsidRPr="004A2D77">
        <w:rPr>
          <w:lang w:val="en-US"/>
        </w:rPr>
        <w:lastRenderedPageBreak/>
        <w:t>free ions from sul</w:t>
      </w:r>
      <w:r w:rsidR="00AC000E">
        <w:rPr>
          <w:lang w:val="en-US"/>
        </w:rPr>
        <w:t>f</w:t>
      </w:r>
      <w:r w:rsidRPr="004A2D77">
        <w:rPr>
          <w:lang w:val="en-US"/>
        </w:rPr>
        <w:t>uric acid (HSO</w:t>
      </w:r>
      <w:r w:rsidRPr="004A2D77">
        <w:rPr>
          <w:vertAlign w:val="subscript"/>
          <w:lang w:val="en-US"/>
        </w:rPr>
        <w:t>4</w:t>
      </w:r>
      <w:r w:rsidRPr="004A2D77">
        <w:rPr>
          <w:vertAlign w:val="superscript"/>
          <w:lang w:val="en-US"/>
        </w:rPr>
        <w:t>-</w:t>
      </w:r>
      <w:r w:rsidRPr="004A2D77">
        <w:rPr>
          <w:lang w:val="en-US"/>
        </w:rPr>
        <w:t>, SO</w:t>
      </w:r>
      <w:r w:rsidRPr="004A2D77">
        <w:rPr>
          <w:vertAlign w:val="subscript"/>
          <w:lang w:val="en-US"/>
        </w:rPr>
        <w:t>4</w:t>
      </w:r>
      <w:r w:rsidRPr="004A2D77">
        <w:rPr>
          <w:vertAlign w:val="superscript"/>
          <w:lang w:val="en-US"/>
        </w:rPr>
        <w:t>2-</w:t>
      </w:r>
      <w:r w:rsidRPr="004A2D77">
        <w:rPr>
          <w:lang w:val="en-US"/>
        </w:rPr>
        <w:t xml:space="preserve"> and H</w:t>
      </w:r>
      <w:r w:rsidRPr="004A2D77">
        <w:rPr>
          <w:vertAlign w:val="superscript"/>
          <w:lang w:val="en-US"/>
        </w:rPr>
        <w:t>+</w:t>
      </w:r>
      <w:r w:rsidRPr="004A2D77">
        <w:rPr>
          <w:lang w:val="en-US"/>
        </w:rPr>
        <w:t xml:space="preserve">) could act as hindrance ions at the interface and may bond with </w:t>
      </w:r>
      <w:r w:rsidR="00CB617B">
        <w:rPr>
          <w:lang w:val="en-US"/>
        </w:rPr>
        <w:t>V(II)</w:t>
      </w:r>
      <w:r w:rsidRPr="004A2D77">
        <w:rPr>
          <w:lang w:val="en-US"/>
        </w:rPr>
        <w:t xml:space="preserve"> ions and form VSO</w:t>
      </w:r>
      <w:r w:rsidRPr="004A2D77">
        <w:rPr>
          <w:vertAlign w:val="subscript"/>
          <w:lang w:val="en-US"/>
        </w:rPr>
        <w:t>4</w:t>
      </w:r>
      <w:r w:rsidRPr="004A2D77">
        <w:rPr>
          <w:lang w:val="en-US"/>
        </w:rPr>
        <w:t xml:space="preserve"> or V(HSO</w:t>
      </w:r>
      <w:r w:rsidRPr="004A2D77">
        <w:rPr>
          <w:vertAlign w:val="subscript"/>
          <w:lang w:val="en-US"/>
        </w:rPr>
        <w:t>4</w:t>
      </w:r>
      <w:r w:rsidRPr="004A2D77">
        <w:rPr>
          <w:lang w:val="en-US"/>
        </w:rPr>
        <w:t>)</w:t>
      </w:r>
      <w:r w:rsidRPr="004A2D77">
        <w:rPr>
          <w:vertAlign w:val="subscript"/>
          <w:lang w:val="en-US"/>
        </w:rPr>
        <w:t>2</w:t>
      </w:r>
      <w:r w:rsidRPr="004A2D77">
        <w:rPr>
          <w:lang w:val="en-US"/>
        </w:rPr>
        <w:t>.</w:t>
      </w:r>
    </w:p>
    <w:p w14:paraId="18D44049" w14:textId="151BCC07" w:rsidR="00FC2A37" w:rsidRPr="004A2D77" w:rsidRDefault="00FC2A37" w:rsidP="008536D0">
      <w:pPr>
        <w:pStyle w:val="NormalWeb"/>
        <w:pBdr>
          <w:bottom w:val="single" w:sz="6" w:space="1" w:color="auto"/>
        </w:pBdr>
        <w:spacing w:after="120" w:line="480" w:lineRule="auto"/>
        <w:jc w:val="both"/>
        <w:rPr>
          <w:lang w:val="en-US"/>
        </w:rPr>
      </w:pPr>
      <w:r w:rsidRPr="004A2D77">
        <w:rPr>
          <w:lang w:val="en-US"/>
        </w:rPr>
        <w:t xml:space="preserve">For practical VRFBs, the vanadium concentrations are often limited by their </w:t>
      </w:r>
      <w:r w:rsidR="00E30711" w:rsidRPr="004A2D77">
        <w:rPr>
          <w:lang w:val="en-US"/>
        </w:rPr>
        <w:t>solubility</w:t>
      </w:r>
      <w:r w:rsidRPr="004A2D77">
        <w:rPr>
          <w:lang w:val="en-US"/>
        </w:rPr>
        <w:t xml:space="preserve"> (i.e. 2 M). The vanadium concentration was often in the range of 1–2 M at acid concentrations between 3 and 5 M. </w:t>
      </w:r>
      <w:r w:rsidR="00CB617B">
        <w:rPr>
          <w:lang w:val="en-US"/>
        </w:rPr>
        <w:t>V(</w:t>
      </w:r>
      <w:r w:rsidR="00DE2A42">
        <w:rPr>
          <w:lang w:val="en-US"/>
        </w:rPr>
        <w:t>V</w:t>
      </w:r>
      <w:r w:rsidR="00CB617B">
        <w:rPr>
          <w:lang w:val="en-US"/>
        </w:rPr>
        <w:t>)</w:t>
      </w:r>
      <w:r w:rsidRPr="004A2D77">
        <w:rPr>
          <w:lang w:val="en-US"/>
        </w:rPr>
        <w:t xml:space="preserve"> has a tendency to precipitate from H</w:t>
      </w:r>
      <w:r w:rsidRPr="004A2D77">
        <w:rPr>
          <w:vertAlign w:val="subscript"/>
          <w:lang w:val="en-US"/>
        </w:rPr>
        <w:t>2</w:t>
      </w:r>
      <w:r w:rsidRPr="004A2D77">
        <w:rPr>
          <w:lang w:val="en-US"/>
        </w:rPr>
        <w:t>SO</w:t>
      </w:r>
      <w:r w:rsidRPr="004A2D77">
        <w:rPr>
          <w:vertAlign w:val="subscript"/>
          <w:lang w:val="en-US"/>
        </w:rPr>
        <w:t>4</w:t>
      </w:r>
      <w:r w:rsidRPr="004A2D77">
        <w:rPr>
          <w:lang w:val="en-US"/>
        </w:rPr>
        <w:t xml:space="preserve"> (i.e. forming V</w:t>
      </w:r>
      <w:r w:rsidRPr="004A2D77">
        <w:rPr>
          <w:vertAlign w:val="subscript"/>
          <w:lang w:val="en-US"/>
        </w:rPr>
        <w:t>2</w:t>
      </w:r>
      <w:r w:rsidRPr="004A2D77">
        <w:rPr>
          <w:lang w:val="en-US"/>
        </w:rPr>
        <w:t>O</w:t>
      </w:r>
      <w:r w:rsidRPr="004A2D77">
        <w:rPr>
          <w:vertAlign w:val="subscript"/>
          <w:lang w:val="en-US"/>
        </w:rPr>
        <w:t>5</w:t>
      </w:r>
      <w:r w:rsidRPr="004A2D77">
        <w:rPr>
          <w:lang w:val="en-US"/>
        </w:rPr>
        <w:t xml:space="preserve"> at 40 </w:t>
      </w:r>
      <w:proofErr w:type="spellStart"/>
      <w:r w:rsidRPr="004A2D77">
        <w:rPr>
          <w:vertAlign w:val="superscript"/>
          <w:lang w:val="en-US"/>
        </w:rPr>
        <w:t>o</w:t>
      </w:r>
      <w:r w:rsidRPr="004A2D77">
        <w:rPr>
          <w:lang w:val="en-US"/>
        </w:rPr>
        <w:t>C</w:t>
      </w:r>
      <w:proofErr w:type="spellEnd"/>
      <w:r w:rsidRPr="004A2D77">
        <w:rPr>
          <w:lang w:val="en-US"/>
        </w:rPr>
        <w:t xml:space="preserve">) when stored for prolonged periods at high temperatures and state-of-charge (SOCs), while </w:t>
      </w:r>
      <w:r w:rsidR="00CB617B">
        <w:rPr>
          <w:lang w:val="en-US"/>
        </w:rPr>
        <w:t>V(II)</w:t>
      </w:r>
      <w:r w:rsidRPr="004A2D77">
        <w:rPr>
          <w:lang w:val="en-US"/>
        </w:rPr>
        <w:t>, V</w:t>
      </w:r>
      <w:r w:rsidR="00CB617B">
        <w:rPr>
          <w:lang w:val="en-US"/>
        </w:rPr>
        <w:t>(III)</w:t>
      </w:r>
      <w:r w:rsidRPr="004A2D77">
        <w:rPr>
          <w:lang w:val="en-US"/>
        </w:rPr>
        <w:t xml:space="preserve"> and V</w:t>
      </w:r>
      <w:r w:rsidR="00CB617B">
        <w:rPr>
          <w:lang w:val="en-US"/>
        </w:rPr>
        <w:t>(IV)</w:t>
      </w:r>
      <w:r w:rsidRPr="004A2D77">
        <w:rPr>
          <w:lang w:val="en-US"/>
        </w:rPr>
        <w:t xml:space="preserve"> have reduced </w:t>
      </w:r>
      <w:r w:rsidR="00E30711" w:rsidRPr="004A2D77">
        <w:rPr>
          <w:lang w:val="en-US"/>
        </w:rPr>
        <w:t>solubility</w:t>
      </w:r>
      <w:r w:rsidRPr="004A2D77">
        <w:rPr>
          <w:lang w:val="en-US"/>
        </w:rPr>
        <w:t xml:space="preserve"> (i.e. forming sul</w:t>
      </w:r>
      <w:r w:rsidR="00AC000E">
        <w:rPr>
          <w:lang w:val="en-US"/>
        </w:rPr>
        <w:t>f</w:t>
      </w:r>
      <w:r w:rsidRPr="004A2D77">
        <w:rPr>
          <w:lang w:val="en-US"/>
        </w:rPr>
        <w:t>ates) in sul</w:t>
      </w:r>
      <w:r w:rsidR="00AC000E">
        <w:rPr>
          <w:lang w:val="en-US"/>
        </w:rPr>
        <w:t>f</w:t>
      </w:r>
      <w:r w:rsidRPr="004A2D77">
        <w:rPr>
          <w:lang w:val="en-US"/>
        </w:rPr>
        <w:t xml:space="preserve">uric acid at temperatures lower than 5 </w:t>
      </w:r>
      <w:proofErr w:type="spellStart"/>
      <w:r w:rsidRPr="004A2D77">
        <w:rPr>
          <w:vertAlign w:val="superscript"/>
          <w:lang w:val="en-US"/>
        </w:rPr>
        <w:t>o</w:t>
      </w:r>
      <w:r w:rsidRPr="004A2D77">
        <w:rPr>
          <w:lang w:val="en-US"/>
        </w:rPr>
        <w:t>C.</w:t>
      </w:r>
      <w:proofErr w:type="spellEnd"/>
      <w:r w:rsidRPr="004A2D77">
        <w:rPr>
          <w:lang w:val="en-US"/>
        </w:rPr>
        <w:t xml:space="preserve"> It is therefore essential to maintain the electrolyte temperatures relatively moderate (15 – 40 </w:t>
      </w:r>
      <w:proofErr w:type="spellStart"/>
      <w:r w:rsidRPr="004A2D77">
        <w:rPr>
          <w:vertAlign w:val="superscript"/>
          <w:lang w:val="en-US"/>
        </w:rPr>
        <w:t>o</w:t>
      </w:r>
      <w:r w:rsidRPr="004A2D77">
        <w:rPr>
          <w:lang w:val="en-US"/>
        </w:rPr>
        <w:t>C</w:t>
      </w:r>
      <w:proofErr w:type="spellEnd"/>
      <w:r w:rsidRPr="004A2D77">
        <w:rPr>
          <w:lang w:val="en-US"/>
        </w:rPr>
        <w:t>), higher vanadium concentration was reported to be possible (i.e. 3 M) for obtaining higher specific energy (i.e. 35 W</w:t>
      </w:r>
      <w:r w:rsidR="00AC000E">
        <w:rPr>
          <w:lang w:val="en-US"/>
        </w:rPr>
        <w:t xml:space="preserve"> </w:t>
      </w:r>
      <w:r w:rsidRPr="004A2D77">
        <w:rPr>
          <w:lang w:val="en-US"/>
        </w:rPr>
        <w:t>h kg</w:t>
      </w:r>
      <w:r w:rsidRPr="004A2D77">
        <w:rPr>
          <w:vertAlign w:val="superscript"/>
          <w:lang w:val="en-US"/>
        </w:rPr>
        <w:t>-1</w:t>
      </w:r>
      <w:r w:rsidRPr="004A2D77">
        <w:rPr>
          <w:lang w:val="en-US"/>
        </w:rPr>
        <w:t>)</w:t>
      </w:r>
      <w:r w:rsidR="0080204E">
        <w:rPr>
          <w:lang w:val="en-US"/>
        </w:rPr>
        <w:t xml:space="preserve"> (</w:t>
      </w:r>
      <w:proofErr w:type="spellStart"/>
      <w:r w:rsidR="00E34533" w:rsidRPr="00B75BB3">
        <w:rPr>
          <w:lang w:val="en-US"/>
        </w:rPr>
        <w:t>Lourenssen</w:t>
      </w:r>
      <w:proofErr w:type="spellEnd"/>
      <w:r w:rsidR="007F1803" w:rsidRPr="00B75BB3">
        <w:rPr>
          <w:lang w:val="en-US"/>
        </w:rPr>
        <w:t xml:space="preserve"> et al. </w:t>
      </w:r>
      <w:r w:rsidR="00D13740" w:rsidRPr="00B75BB3">
        <w:rPr>
          <w:lang w:val="en-US"/>
        </w:rPr>
        <w:t>201</w:t>
      </w:r>
      <w:r w:rsidR="007A2751" w:rsidRPr="00B75BB3">
        <w:rPr>
          <w:lang w:val="en-US"/>
        </w:rPr>
        <w:t>9</w:t>
      </w:r>
      <w:r w:rsidR="00FE1D4F" w:rsidRPr="00B75BB3">
        <w:rPr>
          <w:lang w:val="en-US"/>
        </w:rPr>
        <w:t>, a</w:t>
      </w:r>
      <w:r w:rsidR="00FB4656" w:rsidRPr="00B75BB3">
        <w:rPr>
          <w:lang w:val="en-US"/>
        </w:rPr>
        <w:t xml:space="preserve">nd </w:t>
      </w:r>
      <w:r w:rsidR="00E34533" w:rsidRPr="00B75BB3">
        <w:rPr>
          <w:lang w:val="en-US"/>
        </w:rPr>
        <w:t>Cao</w:t>
      </w:r>
      <w:r w:rsidR="00B75BB3" w:rsidRPr="00B75BB3">
        <w:rPr>
          <w:lang w:val="en-US"/>
        </w:rPr>
        <w:t xml:space="preserve"> et al. </w:t>
      </w:r>
      <w:r w:rsidR="00A56C30" w:rsidRPr="00B75BB3">
        <w:rPr>
          <w:lang w:val="en-US"/>
        </w:rPr>
        <w:t>2018</w:t>
      </w:r>
      <w:r w:rsidR="0080204E">
        <w:rPr>
          <w:lang w:val="en-US"/>
        </w:rPr>
        <w:t>)</w:t>
      </w:r>
      <w:r w:rsidRPr="004A2D77">
        <w:rPr>
          <w:lang w:val="en-US"/>
        </w:rPr>
        <w:t>. Re-dissolving precipitation has also been demonstrated by mixing the two electrolytes or by discharging th</w:t>
      </w:r>
      <w:r w:rsidR="00E30711" w:rsidRPr="004A2D77">
        <w:rPr>
          <w:lang w:val="en-US"/>
        </w:rPr>
        <w:t>e electrolytes within the cell</w:t>
      </w:r>
      <w:r w:rsidRPr="004A2D77">
        <w:rPr>
          <w:lang w:val="en-US"/>
        </w:rPr>
        <w:t>.</w:t>
      </w:r>
      <w:r w:rsidR="008536D0">
        <w:rPr>
          <w:lang w:val="en-US"/>
        </w:rPr>
        <w:t xml:space="preserve"> </w:t>
      </w:r>
      <w:r w:rsidR="00912E51" w:rsidRPr="00912E51">
        <w:rPr>
          <w:lang w:val="en-US"/>
        </w:rPr>
        <w:t xml:space="preserve">Another strategy to maintain the electrolyte temperature is the use of thermal management. </w:t>
      </w:r>
      <w:r w:rsidR="0072674A">
        <w:rPr>
          <w:lang w:val="en-US"/>
        </w:rPr>
        <w:t>A</w:t>
      </w:r>
      <w:r w:rsidR="0072674A" w:rsidRPr="00912E51">
        <w:rPr>
          <w:lang w:val="en-US"/>
        </w:rPr>
        <w:t>dvanced strategies to control the temperature of the electrolyte in a 9 kW/27 kWh vanadium redox flow battery stack</w:t>
      </w:r>
      <w:r w:rsidR="0072674A" w:rsidRPr="00912E51">
        <w:rPr>
          <w:lang w:val="en-US"/>
        </w:rPr>
        <w:t xml:space="preserve"> </w:t>
      </w:r>
      <w:r w:rsidR="0072674A">
        <w:rPr>
          <w:lang w:val="en-US"/>
        </w:rPr>
        <w:t>were suggested by (</w:t>
      </w:r>
      <w:proofErr w:type="spellStart"/>
      <w:r w:rsidR="00912E51" w:rsidRPr="00912E51">
        <w:rPr>
          <w:lang w:val="en-US"/>
        </w:rPr>
        <w:t>Trovò</w:t>
      </w:r>
      <w:proofErr w:type="spellEnd"/>
      <w:r w:rsidR="00912E51" w:rsidRPr="00912E51">
        <w:rPr>
          <w:lang w:val="en-US"/>
        </w:rPr>
        <w:t xml:space="preserve"> et al., 2020)</w:t>
      </w:r>
      <w:r w:rsidR="00D47DC1">
        <w:rPr>
          <w:lang w:val="en-US"/>
        </w:rPr>
        <w:t xml:space="preserve">. The advantage that the authors pointed out was that this strategy avoids </w:t>
      </w:r>
      <w:r w:rsidR="00912E51" w:rsidRPr="00912E51">
        <w:rPr>
          <w:lang w:val="en-US"/>
        </w:rPr>
        <w:t>V(V) precipitation during standby, limiting self-discharge losses.</w:t>
      </w:r>
    </w:p>
    <w:p w14:paraId="21B2EF03" w14:textId="6777806E" w:rsidR="00FC2A37" w:rsidRPr="004A2D77" w:rsidRDefault="00FC2A37" w:rsidP="00FC2A37">
      <w:pPr>
        <w:pStyle w:val="NormalWeb"/>
        <w:pBdr>
          <w:bottom w:val="single" w:sz="6" w:space="1" w:color="auto"/>
        </w:pBdr>
        <w:spacing w:before="0" w:beforeAutospacing="0" w:after="120" w:afterAutospacing="0" w:line="480" w:lineRule="auto"/>
        <w:jc w:val="both"/>
        <w:rPr>
          <w:lang w:val="en-US"/>
        </w:rPr>
      </w:pPr>
      <w:r w:rsidRPr="004A2D77">
        <w:rPr>
          <w:lang w:val="en-US"/>
        </w:rPr>
        <w:t xml:space="preserve">Existing works reported different trends on solubility and ionic conductivities depend on the electrolyte compositions. The increased acid and salt contents may enhance the ionic conductivity, but may also increase the viscosity and reduce the solubility of the active species. The acid concentration needs to be optimized, as high acid content may reduce the solubility and ionic conductivity (increased viscosity). Mixed acids/anions are also common approach to enhance the solubility and sometimes improve the reaction kinetics due to weaker ligands. Some scaled-up system has demonstrated solubility of vanadium of up to 2.5 M in the mixed chloride-sulfate electrolytes and stable cycling performances over a temperature range of –5 to </w:t>
      </w:r>
      <w:r w:rsidRPr="004A2D77">
        <w:rPr>
          <w:lang w:val="en-US"/>
        </w:rPr>
        <w:lastRenderedPageBreak/>
        <w:t xml:space="preserve">50 </w:t>
      </w:r>
      <w:proofErr w:type="spellStart"/>
      <w:r w:rsidRPr="004A2D77">
        <w:rPr>
          <w:vertAlign w:val="superscript"/>
          <w:lang w:val="en-US"/>
        </w:rPr>
        <w:t>o</w:t>
      </w:r>
      <w:r w:rsidRPr="004A2D77">
        <w:rPr>
          <w:lang w:val="en-US"/>
        </w:rPr>
        <w:t>C</w:t>
      </w:r>
      <w:proofErr w:type="spellEnd"/>
      <w:r w:rsidRPr="004A2D77">
        <w:rPr>
          <w:lang w:val="en-US"/>
        </w:rPr>
        <w:t xml:space="preserve">, although the chloride ions in the positive half-cell may reduce </w:t>
      </w:r>
      <w:r w:rsidR="00CB617B">
        <w:rPr>
          <w:lang w:val="en-US"/>
        </w:rPr>
        <w:t>V(V)</w:t>
      </w:r>
      <w:r w:rsidRPr="004A2D77">
        <w:rPr>
          <w:lang w:val="en-US"/>
        </w:rPr>
        <w:t xml:space="preserve"> at high SOCs (i.e. &gt; 98 %). Other researchers also showed that the mixed acids of </w:t>
      </w:r>
      <w:proofErr w:type="spellStart"/>
      <w:r w:rsidRPr="004A2D77">
        <w:rPr>
          <w:lang w:val="en-US"/>
        </w:rPr>
        <w:t>methanesulfonate</w:t>
      </w:r>
      <w:proofErr w:type="spellEnd"/>
      <w:r w:rsidRPr="004A2D77">
        <w:rPr>
          <w:lang w:val="en-US"/>
        </w:rPr>
        <w:t xml:space="preserve"> and sulfate have improvements in electrochemical activity and solubility over sul</w:t>
      </w:r>
      <w:r w:rsidR="00AC000E">
        <w:rPr>
          <w:lang w:val="en-US"/>
        </w:rPr>
        <w:t>f</w:t>
      </w:r>
      <w:r w:rsidRPr="004A2D77">
        <w:rPr>
          <w:lang w:val="en-US"/>
        </w:rPr>
        <w:t>uric acid, however, may result in slight increase in solution resistance.</w:t>
      </w:r>
    </w:p>
    <w:p w14:paraId="1AD5A071" w14:textId="4B114771" w:rsidR="004333F7" w:rsidRPr="004A2D77" w:rsidRDefault="004333F7" w:rsidP="00FC2A37">
      <w:pPr>
        <w:pStyle w:val="NormalWeb"/>
        <w:pBdr>
          <w:bottom w:val="single" w:sz="6" w:space="1" w:color="auto"/>
        </w:pBdr>
        <w:spacing w:before="0" w:beforeAutospacing="0" w:after="120" w:afterAutospacing="0" w:line="480" w:lineRule="auto"/>
        <w:jc w:val="both"/>
        <w:rPr>
          <w:lang w:val="en-US"/>
        </w:rPr>
      </w:pPr>
      <w:r w:rsidRPr="004A2D77">
        <w:rPr>
          <w:lang w:val="en-US"/>
        </w:rPr>
        <w:t xml:space="preserve">A relatively recent </w:t>
      </w:r>
      <w:r w:rsidR="00D0228C" w:rsidRPr="004A2D77">
        <w:rPr>
          <w:lang w:val="en-US"/>
        </w:rPr>
        <w:t>development is the investigation of RFB concepts in which the</w:t>
      </w:r>
      <w:r w:rsidRPr="004A2D77">
        <w:rPr>
          <w:lang w:val="en-US"/>
        </w:rPr>
        <w:t xml:space="preserve"> </w:t>
      </w:r>
      <w:r w:rsidR="00D0228C" w:rsidRPr="004A2D77">
        <w:rPr>
          <w:lang w:val="en-US"/>
        </w:rPr>
        <w:t>(</w:t>
      </w:r>
      <w:r w:rsidRPr="004A2D77">
        <w:rPr>
          <w:lang w:val="en-US"/>
        </w:rPr>
        <w:t>expensive</w:t>
      </w:r>
      <w:r w:rsidR="00D0228C" w:rsidRPr="004A2D77">
        <w:rPr>
          <w:lang w:val="en-US"/>
        </w:rPr>
        <w:t>)</w:t>
      </w:r>
      <w:r w:rsidRPr="004A2D77">
        <w:rPr>
          <w:lang w:val="en-US"/>
        </w:rPr>
        <w:t xml:space="preserve"> vanadium in the electrolytes</w:t>
      </w:r>
      <w:r w:rsidR="00D0228C" w:rsidRPr="004A2D77">
        <w:rPr>
          <w:lang w:val="en-US"/>
        </w:rPr>
        <w:t xml:space="preserve"> is substituted</w:t>
      </w:r>
      <w:r w:rsidRPr="004A2D77">
        <w:rPr>
          <w:lang w:val="en-US"/>
        </w:rPr>
        <w:t xml:space="preserve"> by low</w:t>
      </w:r>
      <w:r w:rsidR="003D3D57" w:rsidRPr="004A2D77">
        <w:rPr>
          <w:lang w:val="en-US"/>
        </w:rPr>
        <w:t>er-</w:t>
      </w:r>
      <w:r w:rsidRPr="004A2D77">
        <w:rPr>
          <w:lang w:val="en-US"/>
        </w:rPr>
        <w:t xml:space="preserve">cost </w:t>
      </w:r>
      <w:r w:rsidRPr="004A2D77">
        <w:rPr>
          <w:i/>
          <w:lang w:val="en-US"/>
        </w:rPr>
        <w:t>organic</w:t>
      </w:r>
      <w:r w:rsidRPr="004A2D77">
        <w:rPr>
          <w:lang w:val="en-US"/>
        </w:rPr>
        <w:t xml:space="preserve"> redox-active molecules</w:t>
      </w:r>
      <w:r w:rsidR="000B14F1" w:rsidRPr="004A2D77">
        <w:rPr>
          <w:lang w:val="en-US"/>
        </w:rPr>
        <w:t xml:space="preserve"> (</w:t>
      </w:r>
      <w:proofErr w:type="spellStart"/>
      <w:r w:rsidR="000B14F1" w:rsidRPr="004A2D77">
        <w:rPr>
          <w:lang w:val="en-US"/>
        </w:rPr>
        <w:t>Huskinson</w:t>
      </w:r>
      <w:proofErr w:type="spellEnd"/>
      <w:r w:rsidR="000B14F1" w:rsidRPr="004A2D77">
        <w:rPr>
          <w:lang w:val="en-US"/>
        </w:rPr>
        <w:t xml:space="preserve"> et al. 2014,</w:t>
      </w:r>
      <w:r w:rsidR="004A2D77" w:rsidRPr="004A2D77">
        <w:rPr>
          <w:lang w:val="en-US"/>
        </w:rPr>
        <w:t xml:space="preserve"> Wei et al. 2017 and Leung et al. 2017</w:t>
      </w:r>
      <w:r w:rsidR="000B14F1" w:rsidRPr="004A2D77">
        <w:rPr>
          <w:lang w:val="en-US"/>
        </w:rPr>
        <w:t>)</w:t>
      </w:r>
      <w:r w:rsidRPr="004A2D77">
        <w:rPr>
          <w:lang w:val="en-US"/>
        </w:rPr>
        <w:t>.</w:t>
      </w:r>
      <w:r w:rsidR="007E3A2F" w:rsidRPr="004A2D77">
        <w:rPr>
          <w:lang w:val="en-US"/>
        </w:rPr>
        <w:t xml:space="preserve"> Advantages of organic molecules</w:t>
      </w:r>
      <w:r w:rsidR="003D3D57" w:rsidRPr="004A2D77">
        <w:rPr>
          <w:lang w:val="en-US"/>
        </w:rPr>
        <w:t xml:space="preserve"> include</w:t>
      </w:r>
      <w:r w:rsidR="007E3A2F" w:rsidRPr="004A2D77">
        <w:rPr>
          <w:lang w:val="en-US"/>
        </w:rPr>
        <w:t xml:space="preserve"> the </w:t>
      </w:r>
      <w:r w:rsidR="004A2D77" w:rsidRPr="004A2D77">
        <w:rPr>
          <w:lang w:val="en-US"/>
        </w:rPr>
        <w:t>tunable</w:t>
      </w:r>
      <w:r w:rsidR="007E3A2F" w:rsidRPr="004A2D77">
        <w:rPr>
          <w:lang w:val="en-US"/>
        </w:rPr>
        <w:t xml:space="preserve"> redox potential and solubility when decorating a redox-active molecular </w:t>
      </w:r>
      <w:r w:rsidR="004A2D77" w:rsidRPr="004A2D77">
        <w:rPr>
          <w:lang w:val="en-US"/>
        </w:rPr>
        <w:t>center</w:t>
      </w:r>
      <w:r w:rsidR="007E3A2F" w:rsidRPr="004A2D77">
        <w:rPr>
          <w:lang w:val="en-US"/>
        </w:rPr>
        <w:t xml:space="preserve"> (e.g. anthraquinone, viologen, TEMPO, </w:t>
      </w:r>
      <w:r w:rsidR="004A2D77" w:rsidRPr="004A2D77">
        <w:rPr>
          <w:lang w:val="en-US"/>
        </w:rPr>
        <w:t>etc.</w:t>
      </w:r>
      <w:r w:rsidR="007E3A2F" w:rsidRPr="004A2D77">
        <w:rPr>
          <w:lang w:val="en-US"/>
        </w:rPr>
        <w:t>) with suitable electron-donating or electron-withdrawing function</w:t>
      </w:r>
      <w:r w:rsidR="007B2712" w:rsidRPr="004A2D77">
        <w:rPr>
          <w:lang w:val="en-US"/>
        </w:rPr>
        <w:t>al</w:t>
      </w:r>
      <w:r w:rsidR="007E3A2F" w:rsidRPr="004A2D77">
        <w:rPr>
          <w:lang w:val="en-US"/>
        </w:rPr>
        <w:t xml:space="preserve"> groups. </w:t>
      </w:r>
      <w:r w:rsidRPr="004A2D77">
        <w:rPr>
          <w:lang w:val="en-US"/>
        </w:rPr>
        <w:t xml:space="preserve"> </w:t>
      </w:r>
      <w:r w:rsidR="007E3A2F" w:rsidRPr="004A2D77">
        <w:rPr>
          <w:lang w:val="en-US"/>
        </w:rPr>
        <w:t xml:space="preserve">Also, these organic redox-active compounds can be </w:t>
      </w:r>
      <w:r w:rsidR="003D3D57" w:rsidRPr="004A2D77">
        <w:rPr>
          <w:lang w:val="en-US"/>
        </w:rPr>
        <w:t>produced</w:t>
      </w:r>
      <w:r w:rsidR="007E3A2F" w:rsidRPr="004A2D77">
        <w:rPr>
          <w:lang w:val="en-US"/>
        </w:rPr>
        <w:t xml:space="preserve"> from abundantly available oil-based raw materials, which will </w:t>
      </w:r>
      <w:r w:rsidR="0014339C" w:rsidRPr="004A2D77">
        <w:rPr>
          <w:lang w:val="en-US"/>
        </w:rPr>
        <w:t>result in lower-cost electrolytes that exhibit le</w:t>
      </w:r>
      <w:r w:rsidR="007E3A2F" w:rsidRPr="004A2D77">
        <w:rPr>
          <w:lang w:val="en-US"/>
        </w:rPr>
        <w:t xml:space="preserve">ss price volatility compared to inorganic minerals (such as vanadium). The main challenge of the organics RFB’s is related to flow battery durability, since organic molecules can undergo chemical or electrochemical degradation when </w:t>
      </w:r>
      <w:r w:rsidR="00761AA1" w:rsidRPr="004A2D77">
        <w:rPr>
          <w:lang w:val="en-US"/>
        </w:rPr>
        <w:t>subjected to prolonged battery cycling.</w:t>
      </w:r>
    </w:p>
    <w:p w14:paraId="68880C4C" w14:textId="77777777" w:rsidR="00E30711" w:rsidRPr="004A2D77" w:rsidRDefault="00E30711" w:rsidP="00FC2A37">
      <w:pPr>
        <w:pStyle w:val="NormalWeb"/>
        <w:pBdr>
          <w:bottom w:val="single" w:sz="6" w:space="1" w:color="auto"/>
        </w:pBdr>
        <w:spacing w:before="0" w:beforeAutospacing="0" w:after="120" w:afterAutospacing="0" w:line="480" w:lineRule="auto"/>
        <w:jc w:val="both"/>
        <w:rPr>
          <w:lang w:val="en-US"/>
        </w:rPr>
      </w:pPr>
    </w:p>
    <w:p w14:paraId="464CA104" w14:textId="0648DCEB" w:rsidR="00E30711" w:rsidRPr="00060970" w:rsidRDefault="00D465F2" w:rsidP="00E30711">
      <w:pPr>
        <w:pStyle w:val="NormalWeb"/>
        <w:pBdr>
          <w:bottom w:val="single" w:sz="6" w:space="1" w:color="auto"/>
        </w:pBdr>
        <w:spacing w:before="0" w:beforeAutospacing="0" w:after="120" w:afterAutospacing="0" w:line="480" w:lineRule="auto"/>
        <w:rPr>
          <w:bCs/>
          <w:lang w:val="en-US"/>
        </w:rPr>
      </w:pPr>
      <w:r w:rsidRPr="00060970">
        <w:rPr>
          <w:bCs/>
          <w:lang w:val="en-US"/>
        </w:rPr>
        <w:t xml:space="preserve">12. </w:t>
      </w:r>
      <w:r w:rsidR="00E30711" w:rsidRPr="00060970">
        <w:rPr>
          <w:bCs/>
          <w:lang w:val="en-US"/>
        </w:rPr>
        <w:t>Conclusions and recommendations</w:t>
      </w:r>
    </w:p>
    <w:p w14:paraId="04C9F564" w14:textId="7B5B3239" w:rsidR="00E30711" w:rsidRDefault="003D3D57" w:rsidP="00FC2A37">
      <w:pPr>
        <w:pStyle w:val="NormalWeb"/>
        <w:pBdr>
          <w:bottom w:val="single" w:sz="6" w:space="1" w:color="auto"/>
        </w:pBdr>
        <w:spacing w:before="0" w:beforeAutospacing="0" w:after="120" w:afterAutospacing="0" w:line="480" w:lineRule="auto"/>
        <w:jc w:val="both"/>
        <w:rPr>
          <w:lang w:val="en-US"/>
        </w:rPr>
      </w:pPr>
      <w:r w:rsidRPr="004A2D77">
        <w:rPr>
          <w:lang w:val="en-US"/>
        </w:rPr>
        <w:t xml:space="preserve">Although vanadium-based RFB’s </w:t>
      </w:r>
      <w:r w:rsidR="003D1EDE" w:rsidRPr="004A2D77">
        <w:rPr>
          <w:lang w:val="en-US"/>
        </w:rPr>
        <w:t xml:space="preserve">already </w:t>
      </w:r>
      <w:r w:rsidRPr="004A2D77">
        <w:rPr>
          <w:lang w:val="en-US"/>
        </w:rPr>
        <w:t>constitute a mature technology for long-duration energy storage, the</w:t>
      </w:r>
      <w:r w:rsidR="003D1EDE" w:rsidRPr="004A2D77">
        <w:rPr>
          <w:lang w:val="en-US"/>
        </w:rPr>
        <w:t>ir</w:t>
      </w:r>
      <w:r w:rsidRPr="004A2D77">
        <w:rPr>
          <w:lang w:val="en-US"/>
        </w:rPr>
        <w:t xml:space="preserve"> relatively high investment cost may impede large-scale deployment, especially in the context of the rapidly decreasing cost of lithium-ion batteries. </w:t>
      </w:r>
      <w:r w:rsidR="008E50AA" w:rsidRPr="004A2D77">
        <w:rPr>
          <w:lang w:val="en-US"/>
        </w:rPr>
        <w:t>Therefore</w:t>
      </w:r>
      <w:r w:rsidRPr="004A2D77">
        <w:rPr>
          <w:lang w:val="en-US"/>
        </w:rPr>
        <w:t xml:space="preserve">, it is important </w:t>
      </w:r>
      <w:r w:rsidR="00165F38" w:rsidRPr="004A2D77">
        <w:rPr>
          <w:lang w:val="en-US"/>
        </w:rPr>
        <w:t xml:space="preserve">to </w:t>
      </w:r>
      <w:r w:rsidR="008E50AA" w:rsidRPr="004A2D77">
        <w:rPr>
          <w:lang w:val="en-US"/>
        </w:rPr>
        <w:t>optimize RFB’s (vanadium-based, as well as technologies using alternative electrolyte chemistries) to maximize round-trip efficiency and battery durability, while using low</w:t>
      </w:r>
      <w:r w:rsidR="007B2712" w:rsidRPr="004A2D77">
        <w:rPr>
          <w:lang w:val="en-US"/>
        </w:rPr>
        <w:t>-</w:t>
      </w:r>
      <w:r w:rsidR="008E50AA" w:rsidRPr="004A2D77">
        <w:rPr>
          <w:lang w:val="en-US"/>
        </w:rPr>
        <w:t>cost materials</w:t>
      </w:r>
      <w:r w:rsidR="007B2712" w:rsidRPr="004A2D77">
        <w:rPr>
          <w:lang w:val="en-US"/>
        </w:rPr>
        <w:t xml:space="preserve"> in stack and electrolyte</w:t>
      </w:r>
      <w:r w:rsidR="008E50AA" w:rsidRPr="004A2D77">
        <w:rPr>
          <w:lang w:val="en-US"/>
        </w:rPr>
        <w:t>.</w:t>
      </w:r>
      <w:r w:rsidR="00165F38" w:rsidRPr="004A2D77">
        <w:rPr>
          <w:lang w:val="en-US"/>
        </w:rPr>
        <w:t xml:space="preserve"> T</w:t>
      </w:r>
      <w:r w:rsidR="008E50AA" w:rsidRPr="004A2D77">
        <w:rPr>
          <w:lang w:val="en-US"/>
        </w:rPr>
        <w:t>his paper highlights</w:t>
      </w:r>
      <w:r w:rsidR="00165F38" w:rsidRPr="004A2D77">
        <w:rPr>
          <w:lang w:val="en-US"/>
        </w:rPr>
        <w:t xml:space="preserve"> several</w:t>
      </w:r>
      <w:r w:rsidR="008E50AA" w:rsidRPr="004A2D77">
        <w:rPr>
          <w:lang w:val="en-US"/>
        </w:rPr>
        <w:t xml:space="preserve"> recent </w:t>
      </w:r>
      <w:r w:rsidR="00165F38" w:rsidRPr="004A2D77">
        <w:rPr>
          <w:lang w:val="en-US"/>
        </w:rPr>
        <w:t>trends</w:t>
      </w:r>
      <w:r w:rsidR="008E50AA" w:rsidRPr="004A2D77">
        <w:rPr>
          <w:lang w:val="en-US"/>
        </w:rPr>
        <w:t xml:space="preserve"> in</w:t>
      </w:r>
      <w:r w:rsidR="00165F38" w:rsidRPr="004A2D77">
        <w:rPr>
          <w:lang w:val="en-US"/>
        </w:rPr>
        <w:t xml:space="preserve"> stack and electrolyte material development</w:t>
      </w:r>
      <w:r w:rsidR="008E50AA" w:rsidRPr="004A2D77">
        <w:rPr>
          <w:lang w:val="en-US"/>
        </w:rPr>
        <w:t xml:space="preserve">, flow field design optimization, and </w:t>
      </w:r>
      <w:r w:rsidR="00165F38" w:rsidRPr="004A2D77">
        <w:rPr>
          <w:lang w:val="en-US"/>
        </w:rPr>
        <w:t xml:space="preserve">fine-tuning of the </w:t>
      </w:r>
      <w:r w:rsidR="008E50AA" w:rsidRPr="004A2D77">
        <w:rPr>
          <w:lang w:val="en-US"/>
        </w:rPr>
        <w:lastRenderedPageBreak/>
        <w:t>operating conditions (in particular, electrolyte velocity)</w:t>
      </w:r>
      <w:r w:rsidR="00EF3439" w:rsidRPr="004A2D77">
        <w:rPr>
          <w:lang w:val="en-US"/>
        </w:rPr>
        <w:t xml:space="preserve"> that are all essential for the realization of efficient, durable, and cost-competitive flow battery technologies.</w:t>
      </w:r>
    </w:p>
    <w:p w14:paraId="74A2A027" w14:textId="77777777" w:rsidR="00C401C4" w:rsidRDefault="00C401C4" w:rsidP="00FC2A37">
      <w:pPr>
        <w:pStyle w:val="NormalWeb"/>
        <w:pBdr>
          <w:bottom w:val="single" w:sz="6" w:space="1" w:color="auto"/>
        </w:pBdr>
        <w:spacing w:before="0" w:beforeAutospacing="0" w:after="120" w:afterAutospacing="0" w:line="480" w:lineRule="auto"/>
        <w:jc w:val="both"/>
        <w:rPr>
          <w:lang w:val="en-US"/>
        </w:rPr>
      </w:pPr>
    </w:p>
    <w:p w14:paraId="04A05FEC"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12.References </w:t>
      </w:r>
    </w:p>
    <w:p w14:paraId="178C8B39"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Aaron, D.S., Liu, Q., Tang, Z., Grim, G.M., </w:t>
      </w:r>
      <w:proofErr w:type="spellStart"/>
      <w:r w:rsidRPr="007144D7">
        <w:rPr>
          <w:lang w:val="en-US"/>
        </w:rPr>
        <w:t>Papandrew</w:t>
      </w:r>
      <w:proofErr w:type="spellEnd"/>
      <w:r w:rsidRPr="007144D7">
        <w:rPr>
          <w:lang w:val="en-US"/>
        </w:rPr>
        <w:t xml:space="preserve">, A.B., </w:t>
      </w:r>
      <w:proofErr w:type="spellStart"/>
      <w:r w:rsidRPr="007144D7">
        <w:rPr>
          <w:lang w:val="en-US"/>
        </w:rPr>
        <w:t>Turhan</w:t>
      </w:r>
      <w:proofErr w:type="spellEnd"/>
      <w:r w:rsidRPr="007144D7">
        <w:rPr>
          <w:lang w:val="en-US"/>
        </w:rPr>
        <w:t xml:space="preserve">, A., Zawodzinski, T.A., </w:t>
      </w:r>
      <w:proofErr w:type="spellStart"/>
      <w:r w:rsidRPr="007144D7">
        <w:rPr>
          <w:lang w:val="en-US"/>
        </w:rPr>
        <w:t>Mench</w:t>
      </w:r>
      <w:proofErr w:type="spellEnd"/>
      <w:r w:rsidRPr="007144D7">
        <w:rPr>
          <w:lang w:val="en-US"/>
        </w:rPr>
        <w:t>, M.M., 2012. Dramatic performance gains in vanadium redox flow batteries through modified cell architecture. J. Power Sources, 206, 450-453.</w:t>
      </w:r>
    </w:p>
    <w:p w14:paraId="05C5BCD0"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9603B4">
        <w:rPr>
          <w:lang w:val="es-MX"/>
        </w:rPr>
        <w:t xml:space="preserve">Arenas, L.F., Ponce de León, C., Walsh, F.C., 2017. </w:t>
      </w:r>
      <w:r w:rsidRPr="007144D7">
        <w:rPr>
          <w:lang w:val="en-US"/>
        </w:rPr>
        <w:t xml:space="preserve">Engineering aspects of the design, </w:t>
      </w:r>
      <w:proofErr w:type="gramStart"/>
      <w:r w:rsidRPr="007144D7">
        <w:rPr>
          <w:lang w:val="en-US"/>
        </w:rPr>
        <w:t>construction</w:t>
      </w:r>
      <w:proofErr w:type="gramEnd"/>
      <w:r w:rsidRPr="007144D7">
        <w:rPr>
          <w:lang w:val="en-US"/>
        </w:rPr>
        <w:t xml:space="preserve"> and performance of modular redox flow batteries for energy storage. J. of Energy Storage 11, 119–153.</w:t>
      </w:r>
    </w:p>
    <w:p w14:paraId="0DE92665"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Banerjee, R., Bevilacqua, N., </w:t>
      </w:r>
      <w:proofErr w:type="spellStart"/>
      <w:r w:rsidRPr="007144D7">
        <w:rPr>
          <w:lang w:val="en-US"/>
        </w:rPr>
        <w:t>Mohseninia</w:t>
      </w:r>
      <w:proofErr w:type="spellEnd"/>
      <w:r w:rsidRPr="007144D7">
        <w:rPr>
          <w:lang w:val="en-US"/>
        </w:rPr>
        <w:t xml:space="preserve">, A., Wiedemann, B., Wilhelm, F., </w:t>
      </w:r>
      <w:proofErr w:type="spellStart"/>
      <w:r w:rsidRPr="007144D7">
        <w:rPr>
          <w:lang w:val="en-US"/>
        </w:rPr>
        <w:t>Scholta</w:t>
      </w:r>
      <w:proofErr w:type="spellEnd"/>
      <w:r w:rsidRPr="007144D7">
        <w:rPr>
          <w:lang w:val="en-US"/>
        </w:rPr>
        <w:t xml:space="preserve">, J., </w:t>
      </w:r>
      <w:proofErr w:type="spellStart"/>
      <w:r w:rsidRPr="007144D7">
        <w:rPr>
          <w:lang w:val="en-US"/>
        </w:rPr>
        <w:t>Zeis</w:t>
      </w:r>
      <w:proofErr w:type="spellEnd"/>
      <w:r w:rsidRPr="007144D7">
        <w:rPr>
          <w:lang w:val="en-US"/>
        </w:rPr>
        <w:t>, R., 2019. Carbon felt electrodes for redox flow battery: Impact of compression on transport properties. J. Energy Storage, 26, 100997.</w:t>
      </w:r>
    </w:p>
    <w:p w14:paraId="4472B853"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Bhattarai, A., Wai, N., </w:t>
      </w:r>
      <w:proofErr w:type="spellStart"/>
      <w:r w:rsidRPr="007144D7">
        <w:rPr>
          <w:lang w:val="en-US"/>
        </w:rPr>
        <w:t>Schweiss</w:t>
      </w:r>
      <w:proofErr w:type="spellEnd"/>
      <w:r w:rsidRPr="007144D7">
        <w:rPr>
          <w:lang w:val="en-US"/>
        </w:rPr>
        <w:t xml:space="preserve">, R., Whitehead, A., Lim, T.M., </w:t>
      </w:r>
      <w:proofErr w:type="spellStart"/>
      <w:r w:rsidRPr="007144D7">
        <w:rPr>
          <w:lang w:val="en-US"/>
        </w:rPr>
        <w:t>Hng</w:t>
      </w:r>
      <w:proofErr w:type="spellEnd"/>
      <w:r w:rsidRPr="007144D7">
        <w:rPr>
          <w:lang w:val="en-US"/>
        </w:rPr>
        <w:t>, H.H., 2017. Advanced porous electrodes with flow channels for vanadium redox flow battery. J Power Sources, 341, 83-90.</w:t>
      </w:r>
    </w:p>
    <w:p w14:paraId="00161482"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proofErr w:type="spellStart"/>
      <w:r w:rsidRPr="007144D7">
        <w:rPr>
          <w:lang w:val="en-US"/>
        </w:rPr>
        <w:t>Bromberger</w:t>
      </w:r>
      <w:proofErr w:type="spellEnd"/>
      <w:r w:rsidRPr="007144D7">
        <w:rPr>
          <w:lang w:val="en-US"/>
        </w:rPr>
        <w:t xml:space="preserve">, K., </w:t>
      </w:r>
      <w:proofErr w:type="spellStart"/>
      <w:r w:rsidRPr="007144D7">
        <w:rPr>
          <w:lang w:val="en-US"/>
        </w:rPr>
        <w:t>Kaunert</w:t>
      </w:r>
      <w:proofErr w:type="spellEnd"/>
      <w:r w:rsidRPr="007144D7">
        <w:rPr>
          <w:lang w:val="en-US"/>
        </w:rPr>
        <w:t xml:space="preserve">, J., </w:t>
      </w:r>
      <w:proofErr w:type="spellStart"/>
      <w:r w:rsidRPr="007144D7">
        <w:rPr>
          <w:lang w:val="en-US"/>
        </w:rPr>
        <w:t>Smolinka</w:t>
      </w:r>
      <w:proofErr w:type="spellEnd"/>
      <w:r w:rsidRPr="007144D7">
        <w:rPr>
          <w:lang w:val="en-US"/>
        </w:rPr>
        <w:t>, T., 2014. A Model for All‐Vanadium Redox Flow Batteries: Introducing Electrode‐Compression Effects on Voltage Losses and Hydraulics. Special Issue: Energy Research at Fraunhofer Institute for Solar Energy Systems ISE, 2, 64-76.</w:t>
      </w:r>
    </w:p>
    <w:p w14:paraId="6A1D7639"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Brown, L.D., Neville, T.P., Jervis, R., Mason, T.J., Shearing, P.R., Brett, D.J.L., 2016. The Effect of Felt Compression on the Performance and Pressure Drop of All-Vanadium Redox Flow Batteries. J. Energy Storage, 8, 91–98.</w:t>
      </w:r>
    </w:p>
    <w:p w14:paraId="074D4EFD"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Cao, L., </w:t>
      </w:r>
      <w:proofErr w:type="spellStart"/>
      <w:r w:rsidRPr="007144D7">
        <w:rPr>
          <w:lang w:val="en-US"/>
        </w:rPr>
        <w:t>Skyllas-Kazacos</w:t>
      </w:r>
      <w:proofErr w:type="spellEnd"/>
      <w:r w:rsidRPr="007144D7">
        <w:rPr>
          <w:lang w:val="en-US"/>
        </w:rPr>
        <w:t xml:space="preserve">, M., </w:t>
      </w:r>
      <w:proofErr w:type="spellStart"/>
      <w:r w:rsidRPr="007144D7">
        <w:rPr>
          <w:lang w:val="en-US"/>
        </w:rPr>
        <w:t>Menictas</w:t>
      </w:r>
      <w:proofErr w:type="spellEnd"/>
      <w:r w:rsidRPr="007144D7">
        <w:rPr>
          <w:lang w:val="en-US"/>
        </w:rPr>
        <w:t>, C., Noack, J., 2018. A review of electrolyte additives and impurities in vanadium redox flow batteries, J. Energy Chem., 27, 1269–1291.</w:t>
      </w:r>
    </w:p>
    <w:p w14:paraId="3BDBFEB3"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Chang, T.C., Zhang, J.P., </w:t>
      </w:r>
      <w:proofErr w:type="spellStart"/>
      <w:r w:rsidRPr="007144D7">
        <w:rPr>
          <w:lang w:val="en-US"/>
        </w:rPr>
        <w:t>Fuh</w:t>
      </w:r>
      <w:proofErr w:type="spellEnd"/>
      <w:r w:rsidRPr="007144D7">
        <w:rPr>
          <w:lang w:val="en-US"/>
        </w:rPr>
        <w:t>, Y.K., 2014. Electrical, Mechanical and Morphological Properties of Compressed Carbon Felt Electrodes in Vanadium Redox Flow Battery. J. Power Sources, 245, 66–75.</w:t>
      </w:r>
    </w:p>
    <w:p w14:paraId="01C6FB1D"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Chen, D., Hickner, M.A., Agar, E., </w:t>
      </w:r>
      <w:proofErr w:type="spellStart"/>
      <w:r w:rsidRPr="007144D7">
        <w:rPr>
          <w:lang w:val="en-US"/>
        </w:rPr>
        <w:t>Kumbur</w:t>
      </w:r>
      <w:proofErr w:type="spellEnd"/>
      <w:r w:rsidRPr="007144D7">
        <w:rPr>
          <w:lang w:val="en-US"/>
        </w:rPr>
        <w:t xml:space="preserve">, E.C., 2013. Optimizing Membrane Thickness for Vanadium Redox Flow Batteries. J. </w:t>
      </w:r>
      <w:proofErr w:type="spellStart"/>
      <w:r w:rsidRPr="007144D7">
        <w:rPr>
          <w:lang w:val="en-US"/>
        </w:rPr>
        <w:t>Membr</w:t>
      </w:r>
      <w:proofErr w:type="spellEnd"/>
      <w:r w:rsidRPr="007144D7">
        <w:rPr>
          <w:lang w:val="en-US"/>
        </w:rPr>
        <w:t>. Sci., 437, 108–113.</w:t>
      </w:r>
    </w:p>
    <w:p w14:paraId="499C3218"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Choe, J., Kim, J., Lee, D.G., 2016. Shape optimization of the corrugated composite bipolar plate (CCBP) for vanadium redox flow batteries (VRFBs). Composite Structures, 158, 333-339.</w:t>
      </w:r>
    </w:p>
    <w:p w14:paraId="083AA328"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Darling, R.M., Perry, M.L., 2014. The Influence of Electrode and Channel Configurations on Flow Battery Performance. J. </w:t>
      </w:r>
      <w:proofErr w:type="spellStart"/>
      <w:r w:rsidRPr="007144D7">
        <w:rPr>
          <w:lang w:val="en-US"/>
        </w:rPr>
        <w:t>Electrochem</w:t>
      </w:r>
      <w:proofErr w:type="spellEnd"/>
      <w:r w:rsidRPr="007144D7">
        <w:rPr>
          <w:lang w:val="en-US"/>
        </w:rPr>
        <w:t>. Soc., 161, A1381–A1387.</w:t>
      </w:r>
    </w:p>
    <w:p w14:paraId="4C91F73E"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lastRenderedPageBreak/>
        <w:t xml:space="preserve">Dennison, C.R., Agar, E., </w:t>
      </w:r>
      <w:proofErr w:type="spellStart"/>
      <w:r w:rsidRPr="007144D7">
        <w:rPr>
          <w:lang w:val="en-US"/>
        </w:rPr>
        <w:t>Akuzum</w:t>
      </w:r>
      <w:proofErr w:type="spellEnd"/>
      <w:r w:rsidRPr="007144D7">
        <w:rPr>
          <w:lang w:val="en-US"/>
        </w:rPr>
        <w:t xml:space="preserve">, B., </w:t>
      </w:r>
      <w:proofErr w:type="spellStart"/>
      <w:r w:rsidRPr="007144D7">
        <w:rPr>
          <w:lang w:val="en-US"/>
        </w:rPr>
        <w:t>Kumbur</w:t>
      </w:r>
      <w:proofErr w:type="spellEnd"/>
      <w:r w:rsidRPr="007144D7">
        <w:rPr>
          <w:lang w:val="en-US"/>
        </w:rPr>
        <w:t xml:space="preserve">, E.C., 2016. Enhancing Mass Transport in Redox Flow Batteries by Tailoring Flow Field and Electrode Design. J. </w:t>
      </w:r>
      <w:proofErr w:type="spellStart"/>
      <w:r w:rsidRPr="007144D7">
        <w:rPr>
          <w:lang w:val="en-US"/>
        </w:rPr>
        <w:t>Electrochem</w:t>
      </w:r>
      <w:proofErr w:type="spellEnd"/>
      <w:r w:rsidRPr="007144D7">
        <w:rPr>
          <w:lang w:val="en-US"/>
        </w:rPr>
        <w:t>. Soc., 163, A5163–A5169.</w:t>
      </w:r>
    </w:p>
    <w:p w14:paraId="16C6EAD4"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Gautam, R.K., Kapoor, M., Verma, A., 2020. Tactical Surface Modification of a 3D Graphite Felt as an Electrode of Vanadium Redox Flow Batteries with Enhanced Electrolyte Utilization and Fast Reaction Kinetics. Energy &amp; Fuels 34, 5060-5071.</w:t>
      </w:r>
    </w:p>
    <w:p w14:paraId="682B90AB"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Ghimire, P.C., Bhattarai, A., </w:t>
      </w:r>
      <w:proofErr w:type="spellStart"/>
      <w:r w:rsidRPr="007144D7">
        <w:rPr>
          <w:lang w:val="en-US"/>
        </w:rPr>
        <w:t>Schweiss</w:t>
      </w:r>
      <w:proofErr w:type="spellEnd"/>
      <w:r w:rsidRPr="007144D7">
        <w:rPr>
          <w:lang w:val="en-US"/>
        </w:rPr>
        <w:t>, R., Scherer, G.G., Wai, N., Yan, Q., 2018. A comprehensive study of electrode compression effects in all vanadium redox flow batteries including locally resolved measurements. Appl. Energy, 230, 974–982.</w:t>
      </w:r>
    </w:p>
    <w:p w14:paraId="6A59DF2A" w14:textId="5E45642E"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Guarnieri, M., </w:t>
      </w:r>
      <w:proofErr w:type="spellStart"/>
      <w:r w:rsidRPr="007144D7">
        <w:rPr>
          <w:lang w:val="en-US"/>
        </w:rPr>
        <w:t>Trovò</w:t>
      </w:r>
      <w:proofErr w:type="spellEnd"/>
      <w:r w:rsidRPr="007144D7">
        <w:rPr>
          <w:lang w:val="en-US"/>
        </w:rPr>
        <w:t xml:space="preserve">, A., Marini, G., </w:t>
      </w:r>
      <w:proofErr w:type="spellStart"/>
      <w:r w:rsidRPr="007144D7">
        <w:rPr>
          <w:lang w:val="en-US"/>
        </w:rPr>
        <w:t>Sutto</w:t>
      </w:r>
      <w:proofErr w:type="spellEnd"/>
      <w:r w:rsidRPr="007144D7">
        <w:rPr>
          <w:lang w:val="en-US"/>
        </w:rPr>
        <w:t xml:space="preserve">, A., </w:t>
      </w:r>
      <w:proofErr w:type="spellStart"/>
      <w:r w:rsidRPr="007144D7">
        <w:rPr>
          <w:lang w:val="en-US"/>
        </w:rPr>
        <w:t>Alotto</w:t>
      </w:r>
      <w:proofErr w:type="spellEnd"/>
      <w:r w:rsidRPr="007144D7">
        <w:rPr>
          <w:lang w:val="en-US"/>
        </w:rPr>
        <w:t xml:space="preserve"> P., 2019. High current polarization tests on a </w:t>
      </w:r>
      <w:proofErr w:type="gramStart"/>
      <w:r w:rsidRPr="007144D7">
        <w:rPr>
          <w:lang w:val="en-US"/>
        </w:rPr>
        <w:t>9 kW</w:t>
      </w:r>
      <w:proofErr w:type="gramEnd"/>
      <w:r w:rsidRPr="007144D7">
        <w:rPr>
          <w:lang w:val="en-US"/>
        </w:rPr>
        <w:t xml:space="preserve"> vanadium redox flow battery. J. Power Sources, 431</w:t>
      </w:r>
      <w:r w:rsidR="00AE3A36">
        <w:rPr>
          <w:lang w:val="en-US"/>
        </w:rPr>
        <w:t>,</w:t>
      </w:r>
      <w:r w:rsidRPr="007144D7">
        <w:rPr>
          <w:lang w:val="en-US"/>
        </w:rPr>
        <w:t xml:space="preserve"> 239-249.</w:t>
      </w:r>
    </w:p>
    <w:p w14:paraId="04CFCC15"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Houser, J., Clement, J., </w:t>
      </w:r>
      <w:proofErr w:type="spellStart"/>
      <w:r w:rsidRPr="007144D7">
        <w:rPr>
          <w:lang w:val="en-US"/>
        </w:rPr>
        <w:t>Pezeshki</w:t>
      </w:r>
      <w:proofErr w:type="spellEnd"/>
      <w:r w:rsidRPr="007144D7">
        <w:rPr>
          <w:lang w:val="en-US"/>
        </w:rPr>
        <w:t xml:space="preserve">, A., </w:t>
      </w:r>
      <w:proofErr w:type="spellStart"/>
      <w:r w:rsidRPr="007144D7">
        <w:rPr>
          <w:lang w:val="en-US"/>
        </w:rPr>
        <w:t>Mench</w:t>
      </w:r>
      <w:proofErr w:type="spellEnd"/>
      <w:r w:rsidRPr="007144D7">
        <w:rPr>
          <w:lang w:val="en-US"/>
        </w:rPr>
        <w:t>, M.M., 2016. Influence of architecture and material properties on vanadium redox flow battery performance. J. Power Sources, 302, 369–377.</w:t>
      </w:r>
    </w:p>
    <w:p w14:paraId="32D506CA"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Houser, J., </w:t>
      </w:r>
      <w:proofErr w:type="spellStart"/>
      <w:r w:rsidRPr="007144D7">
        <w:rPr>
          <w:lang w:val="en-US"/>
        </w:rPr>
        <w:t>Pezeshki</w:t>
      </w:r>
      <w:proofErr w:type="spellEnd"/>
      <w:r w:rsidRPr="007144D7">
        <w:rPr>
          <w:lang w:val="en-US"/>
        </w:rPr>
        <w:t xml:space="preserve">, A., Clement, J.T., Aaron, D., </w:t>
      </w:r>
      <w:proofErr w:type="spellStart"/>
      <w:r w:rsidRPr="007144D7">
        <w:rPr>
          <w:lang w:val="en-US"/>
        </w:rPr>
        <w:t>Mench</w:t>
      </w:r>
      <w:proofErr w:type="spellEnd"/>
      <w:r w:rsidRPr="007144D7">
        <w:rPr>
          <w:lang w:val="en-US"/>
        </w:rPr>
        <w:t>, M.M., 2017. Architecture for Improved Mass Transport and System Performance in Redox Flow Batteries. J. Power Sources, 351 96–105.</w:t>
      </w:r>
    </w:p>
    <w:p w14:paraId="31723FF6"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proofErr w:type="spellStart"/>
      <w:r w:rsidRPr="007144D7">
        <w:rPr>
          <w:lang w:val="en-US"/>
        </w:rPr>
        <w:t>Huskinson</w:t>
      </w:r>
      <w:proofErr w:type="spellEnd"/>
      <w:r w:rsidRPr="007144D7">
        <w:rPr>
          <w:lang w:val="en-US"/>
        </w:rPr>
        <w:t xml:space="preserve">, B., </w:t>
      </w:r>
      <w:proofErr w:type="spellStart"/>
      <w:r w:rsidRPr="007144D7">
        <w:rPr>
          <w:lang w:val="en-US"/>
        </w:rPr>
        <w:t>Marshak</w:t>
      </w:r>
      <w:proofErr w:type="spellEnd"/>
      <w:r w:rsidRPr="007144D7">
        <w:rPr>
          <w:lang w:val="en-US"/>
        </w:rPr>
        <w:t xml:space="preserve">, M.P., Suh, C., Er, S., Gerhardt, M.R., Galvin, C.J., Chen, X., </w:t>
      </w:r>
      <w:proofErr w:type="spellStart"/>
      <w:r w:rsidRPr="007144D7">
        <w:rPr>
          <w:lang w:val="en-US"/>
        </w:rPr>
        <w:t>Aspuru-Guzik</w:t>
      </w:r>
      <w:proofErr w:type="spellEnd"/>
      <w:r w:rsidRPr="007144D7">
        <w:rPr>
          <w:lang w:val="en-US"/>
        </w:rPr>
        <w:t>, A., Gordon, R.G., Aziz, M.J., 2014. A metal-free organic–inorganic aqueous flow battery. Nature, 505,195–198.</w:t>
      </w:r>
    </w:p>
    <w:p w14:paraId="070C8C46"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Janoschka, T., Martin, M., Martin, U., </w:t>
      </w:r>
      <w:proofErr w:type="spellStart"/>
      <w:r w:rsidRPr="007144D7">
        <w:rPr>
          <w:lang w:val="en-US"/>
        </w:rPr>
        <w:t>Friebe</w:t>
      </w:r>
      <w:proofErr w:type="spellEnd"/>
      <w:r w:rsidRPr="007144D7">
        <w:rPr>
          <w:lang w:val="en-US"/>
        </w:rPr>
        <w:t>, C., Morgenstern, S., Hiller H., Hager, M.D., Schubert, U.S., 2015. An aqueous, polymer-based redox-flow battery using non-corrosive, safe, and low-cost materials. Nature, 527, 78–81.</w:t>
      </w:r>
    </w:p>
    <w:p w14:paraId="076E0CFC"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proofErr w:type="spellStart"/>
      <w:r w:rsidRPr="007144D7">
        <w:rPr>
          <w:lang w:val="en-US"/>
        </w:rPr>
        <w:t>Jyothilatha</w:t>
      </w:r>
      <w:proofErr w:type="spellEnd"/>
      <w:r w:rsidRPr="007144D7">
        <w:rPr>
          <w:lang w:val="en-US"/>
        </w:rPr>
        <w:t xml:space="preserve">, T., Jayanti, S., 2014. Hydrodynamic analysis of flow fields for redox flow battery applications. J. Appl. </w:t>
      </w:r>
      <w:proofErr w:type="spellStart"/>
      <w:r w:rsidRPr="007144D7">
        <w:rPr>
          <w:lang w:val="en-US"/>
        </w:rPr>
        <w:t>Electrochem</w:t>
      </w:r>
      <w:proofErr w:type="spellEnd"/>
      <w:r w:rsidRPr="007144D7">
        <w:rPr>
          <w:lang w:val="en-US"/>
        </w:rPr>
        <w:t>., 44, 995-1006.</w:t>
      </w:r>
    </w:p>
    <w:p w14:paraId="23F4D1D3"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proofErr w:type="spellStart"/>
      <w:r w:rsidRPr="007144D7">
        <w:rPr>
          <w:lang w:val="en-US"/>
        </w:rPr>
        <w:t>Karnauskas</w:t>
      </w:r>
      <w:proofErr w:type="spellEnd"/>
      <w:r w:rsidRPr="007144D7">
        <w:rPr>
          <w:lang w:val="en-US"/>
        </w:rPr>
        <w:t>, K.B., Lundquist, J.K., Zhang, L., 2018. Southward shift of the global wind energy resource under high carbon dioxide emissions. Nature Geoscience, 11, 38–43.</w:t>
      </w:r>
    </w:p>
    <w:p w14:paraId="022260ED"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proofErr w:type="spellStart"/>
      <w:r w:rsidRPr="007144D7">
        <w:rPr>
          <w:lang w:val="en-US"/>
        </w:rPr>
        <w:t>Ke</w:t>
      </w:r>
      <w:proofErr w:type="spellEnd"/>
      <w:r w:rsidRPr="007144D7">
        <w:rPr>
          <w:lang w:val="en-US"/>
        </w:rPr>
        <w:t xml:space="preserve">, X., Alexander, J.I.D., </w:t>
      </w:r>
      <w:proofErr w:type="spellStart"/>
      <w:r w:rsidRPr="007144D7">
        <w:rPr>
          <w:lang w:val="en-US"/>
        </w:rPr>
        <w:t>Prahl</w:t>
      </w:r>
      <w:proofErr w:type="spellEnd"/>
      <w:r w:rsidRPr="007144D7">
        <w:rPr>
          <w:lang w:val="en-US"/>
        </w:rPr>
        <w:t xml:space="preserve">, J.M., </w:t>
      </w:r>
      <w:proofErr w:type="spellStart"/>
      <w:r w:rsidRPr="007144D7">
        <w:rPr>
          <w:lang w:val="en-US"/>
        </w:rPr>
        <w:t>Savinell</w:t>
      </w:r>
      <w:proofErr w:type="spellEnd"/>
      <w:r w:rsidRPr="007144D7">
        <w:rPr>
          <w:lang w:val="en-US"/>
        </w:rPr>
        <w:t>, R.F., 2014. Flow distribution and maximum current density studies in redox flow batteries with a single passage of the serpentine flow channel. J. Power Sources, 270, 646–657.</w:t>
      </w:r>
    </w:p>
    <w:p w14:paraId="7BED0C55"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Kim, K.J., Lee, H.S., Kim, J., Park, M.S., Kim, J.H., Kim, Y.J., </w:t>
      </w:r>
      <w:proofErr w:type="spellStart"/>
      <w:r w:rsidRPr="007144D7">
        <w:rPr>
          <w:lang w:val="en-US"/>
        </w:rPr>
        <w:t>Skyllas-Kazacos</w:t>
      </w:r>
      <w:proofErr w:type="spellEnd"/>
      <w:r w:rsidRPr="007144D7">
        <w:rPr>
          <w:lang w:val="en-US"/>
        </w:rPr>
        <w:t xml:space="preserve">, M., 2016. Superior Electrocatalytic Activity of a Robust Carbon-Felt Electrode with Oxygen-Rich Phosphate Groups for All-Vanadium Redox Flow Batteries. </w:t>
      </w:r>
      <w:proofErr w:type="spellStart"/>
      <w:r w:rsidRPr="007144D7">
        <w:rPr>
          <w:lang w:val="en-US"/>
        </w:rPr>
        <w:t>ChemSusChem</w:t>
      </w:r>
      <w:proofErr w:type="spellEnd"/>
      <w:r w:rsidRPr="007144D7">
        <w:rPr>
          <w:lang w:val="en-US"/>
        </w:rPr>
        <w:t>, 9, 1329-1338.</w:t>
      </w:r>
    </w:p>
    <w:p w14:paraId="4FFF077A"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König, S., </w:t>
      </w:r>
      <w:proofErr w:type="spellStart"/>
      <w:r w:rsidRPr="007144D7">
        <w:rPr>
          <w:lang w:val="en-US"/>
        </w:rPr>
        <w:t>Suriyah</w:t>
      </w:r>
      <w:proofErr w:type="spellEnd"/>
      <w:r w:rsidRPr="007144D7">
        <w:rPr>
          <w:lang w:val="en-US"/>
        </w:rPr>
        <w:t xml:space="preserve">, M.R., </w:t>
      </w:r>
      <w:proofErr w:type="spellStart"/>
      <w:r w:rsidRPr="007144D7">
        <w:rPr>
          <w:lang w:val="en-US"/>
        </w:rPr>
        <w:t>Leibfried</w:t>
      </w:r>
      <w:proofErr w:type="spellEnd"/>
      <w:r w:rsidRPr="007144D7">
        <w:rPr>
          <w:lang w:val="en-US"/>
        </w:rPr>
        <w:t>, T., 2016. Innovative model-based flow rate optimization for vanadium redox flow batteries. J. Power Sources, 333, 134-144.</w:t>
      </w:r>
    </w:p>
    <w:p w14:paraId="05CEA1C6"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Kozak-</w:t>
      </w:r>
      <w:proofErr w:type="spellStart"/>
      <w:r w:rsidRPr="007144D7">
        <w:rPr>
          <w:lang w:val="en-US"/>
        </w:rPr>
        <w:t>Jagiea</w:t>
      </w:r>
      <w:proofErr w:type="spellEnd"/>
      <w:r w:rsidRPr="007144D7">
        <w:rPr>
          <w:lang w:val="en-US"/>
        </w:rPr>
        <w:t xml:space="preserve">, E., </w:t>
      </w:r>
      <w:proofErr w:type="spellStart"/>
      <w:r w:rsidRPr="007144D7">
        <w:rPr>
          <w:lang w:val="en-US"/>
        </w:rPr>
        <w:t>Klich</w:t>
      </w:r>
      <w:proofErr w:type="spellEnd"/>
      <w:r w:rsidRPr="007144D7">
        <w:rPr>
          <w:lang w:val="en-US"/>
        </w:rPr>
        <w:t xml:space="preserve">, A., </w:t>
      </w:r>
      <w:proofErr w:type="spellStart"/>
      <w:r w:rsidRPr="007144D7">
        <w:rPr>
          <w:lang w:val="en-US"/>
        </w:rPr>
        <w:t>Mojkowska-Gawełczyk</w:t>
      </w:r>
      <w:proofErr w:type="spellEnd"/>
      <w:r w:rsidRPr="007144D7">
        <w:rPr>
          <w:lang w:val="en-US"/>
        </w:rPr>
        <w:t xml:space="preserve"> M., 2020. The Use of Photovoltaic Conversion in Innovative Solutions. IOP Conf. Ser.: Mater. Sci. Eng. 960, 032096.</w:t>
      </w:r>
    </w:p>
    <w:p w14:paraId="6320E339"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lastRenderedPageBreak/>
        <w:t>Kumar, S., Jayanti, S., 2016. Effect of flow field on the performance of an all-vanadium redox flow battery. J. Power Sources, 307, 782–787.</w:t>
      </w:r>
    </w:p>
    <w:p w14:paraId="7FB9E7AE"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Le Donne, A., </w:t>
      </w:r>
      <w:proofErr w:type="spellStart"/>
      <w:r w:rsidRPr="007144D7">
        <w:rPr>
          <w:lang w:val="en-US"/>
        </w:rPr>
        <w:t>Trifiletti</w:t>
      </w:r>
      <w:proofErr w:type="spellEnd"/>
      <w:r w:rsidRPr="007144D7">
        <w:rPr>
          <w:lang w:val="en-US"/>
        </w:rPr>
        <w:t xml:space="preserve">, V., </w:t>
      </w:r>
      <w:proofErr w:type="spellStart"/>
      <w:r w:rsidRPr="007144D7">
        <w:rPr>
          <w:lang w:val="en-US"/>
        </w:rPr>
        <w:t>Binetti</w:t>
      </w:r>
      <w:proofErr w:type="spellEnd"/>
      <w:r w:rsidRPr="007144D7">
        <w:rPr>
          <w:lang w:val="en-US"/>
        </w:rPr>
        <w:t>, S., 2019. New earth-abundant thin film solar cells based on chalcogenides. Frontiers in Chemistry 7, 297.</w:t>
      </w:r>
    </w:p>
    <w:p w14:paraId="19FA0695"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bookmarkStart w:id="6" w:name="_Hlk63069699"/>
      <w:r w:rsidRPr="007144D7">
        <w:rPr>
          <w:lang w:val="en-US"/>
        </w:rPr>
        <w:t>Lee, J., Zhao, F. Global Wind Energy Council. Global wind Report 2019</w:t>
      </w:r>
      <w:bookmarkEnd w:id="6"/>
      <w:r w:rsidRPr="007144D7">
        <w:rPr>
          <w:lang w:val="en-US"/>
        </w:rPr>
        <w:t>. Date: 25 March 2020. https://gwec.net/global-wind-report-2019/</w:t>
      </w:r>
    </w:p>
    <w:p w14:paraId="27DB4C16"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Leung, P., Li, X., Ponce de Leon, C., Berlouis, L., Low, C.T.J., Walsh, F.C., 2012. Progress in redox flow batteries, remaining </w:t>
      </w:r>
      <w:proofErr w:type="gramStart"/>
      <w:r w:rsidRPr="007144D7">
        <w:rPr>
          <w:lang w:val="en-US"/>
        </w:rPr>
        <w:t>challenges</w:t>
      </w:r>
      <w:proofErr w:type="gramEnd"/>
      <w:r w:rsidRPr="007144D7">
        <w:rPr>
          <w:lang w:val="en-US"/>
        </w:rPr>
        <w:t xml:space="preserve"> and their applications in energy storage. RSC Adv, 2, 10125-10156.</w:t>
      </w:r>
    </w:p>
    <w:p w14:paraId="2302A62F"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Leung, P., Shah, A.A., Sanz, L., Flox, C., </w:t>
      </w:r>
      <w:proofErr w:type="spellStart"/>
      <w:r w:rsidRPr="007144D7">
        <w:rPr>
          <w:lang w:val="en-US"/>
        </w:rPr>
        <w:t>Morante</w:t>
      </w:r>
      <w:proofErr w:type="spellEnd"/>
      <w:r w:rsidRPr="007144D7">
        <w:rPr>
          <w:lang w:val="en-US"/>
        </w:rPr>
        <w:t xml:space="preserve">, J.R., Xu, Q., Mohamed, M.R., Ponce de León, C., Walsh, F.C., 2017. J. Power Sources. Recent developments in organic redox flow batteries: A critical review. 360,243-283. </w:t>
      </w:r>
    </w:p>
    <w:p w14:paraId="37AE29C6"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Liu, Q.H., Grim, G.M., </w:t>
      </w:r>
      <w:proofErr w:type="spellStart"/>
      <w:r w:rsidRPr="007144D7">
        <w:rPr>
          <w:lang w:val="en-US"/>
        </w:rPr>
        <w:t>Papandrew</w:t>
      </w:r>
      <w:proofErr w:type="spellEnd"/>
      <w:r w:rsidRPr="007144D7">
        <w:rPr>
          <w:lang w:val="en-US"/>
        </w:rPr>
        <w:t xml:space="preserve">, A.B., </w:t>
      </w:r>
      <w:proofErr w:type="spellStart"/>
      <w:r w:rsidRPr="007144D7">
        <w:rPr>
          <w:lang w:val="en-US"/>
        </w:rPr>
        <w:t>Turhan</w:t>
      </w:r>
      <w:proofErr w:type="spellEnd"/>
      <w:r w:rsidRPr="007144D7">
        <w:rPr>
          <w:lang w:val="en-US"/>
        </w:rPr>
        <w:t xml:space="preserve">, A., Zawodzinski, T.A., </w:t>
      </w:r>
      <w:proofErr w:type="spellStart"/>
      <w:r w:rsidRPr="007144D7">
        <w:rPr>
          <w:lang w:val="en-US"/>
        </w:rPr>
        <w:t>Mench</w:t>
      </w:r>
      <w:proofErr w:type="spellEnd"/>
      <w:r w:rsidRPr="007144D7">
        <w:rPr>
          <w:lang w:val="en-US"/>
        </w:rPr>
        <w:t xml:space="preserve">, M.M., 2012. High performance vanadium redox flow batteries with optimized electrode configuration and membrane selection. J. </w:t>
      </w:r>
      <w:proofErr w:type="spellStart"/>
      <w:r w:rsidRPr="007144D7">
        <w:rPr>
          <w:lang w:val="en-US"/>
        </w:rPr>
        <w:t>Electrochem</w:t>
      </w:r>
      <w:proofErr w:type="spellEnd"/>
      <w:r w:rsidRPr="007144D7">
        <w:rPr>
          <w:lang w:val="en-US"/>
        </w:rPr>
        <w:t>. Soc., 159, A1246-A1252.</w:t>
      </w:r>
    </w:p>
    <w:p w14:paraId="2A38D1F1"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Liu, T., Li, X., Xu, C., Zhang, H., 2017. Activated Carbon Fiber Paper Based Electrodes with High Electrocatalytic Activity for Vanadium Flow Batteries with Improved Power Density. ACS Appl. Mater. Interfaces, 9, 4626–4633.</w:t>
      </w:r>
    </w:p>
    <w:p w14:paraId="60DAD16E"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proofErr w:type="spellStart"/>
      <w:r w:rsidRPr="007144D7">
        <w:rPr>
          <w:lang w:val="en-US"/>
        </w:rPr>
        <w:t>Lourenssen</w:t>
      </w:r>
      <w:proofErr w:type="spellEnd"/>
      <w:r w:rsidRPr="007144D7">
        <w:rPr>
          <w:lang w:val="en-US"/>
        </w:rPr>
        <w:t xml:space="preserve">, K., Williams, J., </w:t>
      </w:r>
      <w:proofErr w:type="spellStart"/>
      <w:r w:rsidRPr="007144D7">
        <w:rPr>
          <w:lang w:val="en-US"/>
        </w:rPr>
        <w:t>Ahmadpour</w:t>
      </w:r>
      <w:proofErr w:type="spellEnd"/>
      <w:r w:rsidRPr="007144D7">
        <w:rPr>
          <w:lang w:val="en-US"/>
        </w:rPr>
        <w:t xml:space="preserve">, F., Clemmer, R., </w:t>
      </w:r>
      <w:proofErr w:type="spellStart"/>
      <w:r w:rsidRPr="007144D7">
        <w:rPr>
          <w:lang w:val="en-US"/>
        </w:rPr>
        <w:t>Tasnim</w:t>
      </w:r>
      <w:proofErr w:type="spellEnd"/>
      <w:r w:rsidRPr="007144D7">
        <w:rPr>
          <w:lang w:val="en-US"/>
        </w:rPr>
        <w:t>, S., 2019. Vanadium redox flow batteries: A comprehensive review, J. Energy Storage, 25, 100844.</w:t>
      </w:r>
    </w:p>
    <w:p w14:paraId="45A162B8"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Ma, X., Zhang, H., Sun, C., Zou, Y., Zhang, T., 2012.  Pulsating electrolyte flow in a full vanadium redox battery. J. Power Sources, 203, 153-158.</w:t>
      </w:r>
    </w:p>
    <w:p w14:paraId="5B550D0D"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Maurya, S., Nguyen, P.T., Kim, Y.S., Kang, Q., </w:t>
      </w:r>
      <w:proofErr w:type="spellStart"/>
      <w:r w:rsidRPr="007144D7">
        <w:rPr>
          <w:lang w:val="en-US"/>
        </w:rPr>
        <w:t>Mukundan</w:t>
      </w:r>
      <w:proofErr w:type="spellEnd"/>
      <w:r w:rsidRPr="007144D7">
        <w:rPr>
          <w:lang w:val="en-US"/>
        </w:rPr>
        <w:t xml:space="preserve">, R., 2018. Effect of flow field geometry on operating current density, </w:t>
      </w:r>
      <w:proofErr w:type="gramStart"/>
      <w:r w:rsidRPr="007144D7">
        <w:rPr>
          <w:lang w:val="en-US"/>
        </w:rPr>
        <w:t>capacity</w:t>
      </w:r>
      <w:proofErr w:type="gramEnd"/>
      <w:r w:rsidRPr="007144D7">
        <w:rPr>
          <w:lang w:val="en-US"/>
        </w:rPr>
        <w:t xml:space="preserve"> and performance of vanadium redox flow battery. J. Power Sources, 404, 20-27.</w:t>
      </w:r>
    </w:p>
    <w:p w14:paraId="68E28E40"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proofErr w:type="spellStart"/>
      <w:r w:rsidRPr="007144D7">
        <w:rPr>
          <w:lang w:val="en-US"/>
        </w:rPr>
        <w:t>Mayrhuber</w:t>
      </w:r>
      <w:proofErr w:type="spellEnd"/>
      <w:r w:rsidRPr="007144D7">
        <w:rPr>
          <w:lang w:val="en-US"/>
        </w:rPr>
        <w:t xml:space="preserve">, I., Dennison, C.R., Kalra, V., </w:t>
      </w:r>
      <w:proofErr w:type="spellStart"/>
      <w:r w:rsidRPr="007144D7">
        <w:rPr>
          <w:lang w:val="en-US"/>
        </w:rPr>
        <w:t>Kumbur</w:t>
      </w:r>
      <w:proofErr w:type="spellEnd"/>
      <w:r w:rsidRPr="007144D7">
        <w:rPr>
          <w:lang w:val="en-US"/>
        </w:rPr>
        <w:t>, E.C., 2014. Laser-Perforated Carbon Paper Electrodes for Improved Mass-Transport in High Power Density Vanadium Redox Flow Batteries. J. Power Sources, 260, 251–258.</w:t>
      </w:r>
    </w:p>
    <w:p w14:paraId="567827FB"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Noack, J., </w:t>
      </w:r>
      <w:proofErr w:type="spellStart"/>
      <w:r w:rsidRPr="007144D7">
        <w:rPr>
          <w:lang w:val="en-US"/>
        </w:rPr>
        <w:t>Wietschel</w:t>
      </w:r>
      <w:proofErr w:type="spellEnd"/>
      <w:r w:rsidRPr="007144D7">
        <w:rPr>
          <w:lang w:val="en-US"/>
        </w:rPr>
        <w:t xml:space="preserve">, L., </w:t>
      </w:r>
      <w:proofErr w:type="spellStart"/>
      <w:r w:rsidRPr="007144D7">
        <w:rPr>
          <w:lang w:val="en-US"/>
        </w:rPr>
        <w:t>Roznyatovskaya</w:t>
      </w:r>
      <w:proofErr w:type="spellEnd"/>
      <w:r w:rsidRPr="007144D7">
        <w:rPr>
          <w:lang w:val="en-US"/>
        </w:rPr>
        <w:t xml:space="preserve">, N., </w:t>
      </w:r>
      <w:proofErr w:type="spellStart"/>
      <w:r w:rsidRPr="007144D7">
        <w:rPr>
          <w:lang w:val="en-US"/>
        </w:rPr>
        <w:t>Pinkwart</w:t>
      </w:r>
      <w:proofErr w:type="spellEnd"/>
      <w:r w:rsidRPr="007144D7">
        <w:rPr>
          <w:lang w:val="en-US"/>
        </w:rPr>
        <w:t xml:space="preserve">, K., </w:t>
      </w:r>
      <w:proofErr w:type="spellStart"/>
      <w:r w:rsidRPr="007144D7">
        <w:rPr>
          <w:lang w:val="en-US"/>
        </w:rPr>
        <w:t>Tübke</w:t>
      </w:r>
      <w:proofErr w:type="spellEnd"/>
      <w:r w:rsidRPr="007144D7">
        <w:rPr>
          <w:lang w:val="en-US"/>
        </w:rPr>
        <w:t>, J., 2016. Techno-Economic Modeling and Analysis of Redox Flow Battery Systems. Energies, 9,627-635.</w:t>
      </w:r>
    </w:p>
    <w:p w14:paraId="5AA2B640"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Oh, K., Won, S., Ju, H., 2015a. Numerical Study of the Effects of Carbon Felt Electrode Compression in All-Vanadium Redox Flow Batteries. </w:t>
      </w:r>
      <w:proofErr w:type="spellStart"/>
      <w:r w:rsidRPr="007144D7">
        <w:rPr>
          <w:lang w:val="en-US"/>
        </w:rPr>
        <w:t>Electrochim</w:t>
      </w:r>
      <w:proofErr w:type="spellEnd"/>
      <w:r w:rsidRPr="007144D7">
        <w:rPr>
          <w:lang w:val="en-US"/>
        </w:rPr>
        <w:t>. Acta, 181, 13–23.</w:t>
      </w:r>
    </w:p>
    <w:p w14:paraId="2F36AEEF"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Oh, K., </w:t>
      </w:r>
      <w:proofErr w:type="spellStart"/>
      <w:r w:rsidRPr="007144D7">
        <w:rPr>
          <w:lang w:val="en-US"/>
        </w:rPr>
        <w:t>Yoo</w:t>
      </w:r>
      <w:proofErr w:type="spellEnd"/>
      <w:r w:rsidRPr="007144D7">
        <w:rPr>
          <w:lang w:val="en-US"/>
        </w:rPr>
        <w:t xml:space="preserve">, H., Ko, J., Won, S., Ju, H., 2015b. Three-dimensional, transient, </w:t>
      </w:r>
      <w:proofErr w:type="spellStart"/>
      <w:r w:rsidRPr="007144D7">
        <w:rPr>
          <w:lang w:val="en-US"/>
        </w:rPr>
        <w:t>nonisothermal</w:t>
      </w:r>
      <w:proofErr w:type="spellEnd"/>
      <w:r w:rsidRPr="007144D7">
        <w:rPr>
          <w:lang w:val="en-US"/>
        </w:rPr>
        <w:t xml:space="preserve"> model of all-vanadium redox flow batteries. Energy, 81, 3-14.</w:t>
      </w:r>
    </w:p>
    <w:p w14:paraId="5FE1E010"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Park, S.K., Shim, J., Yang, J.H., </w:t>
      </w:r>
      <w:proofErr w:type="spellStart"/>
      <w:r w:rsidRPr="007144D7">
        <w:rPr>
          <w:lang w:val="en-US"/>
        </w:rPr>
        <w:t>Jin</w:t>
      </w:r>
      <w:proofErr w:type="spellEnd"/>
      <w:r w:rsidRPr="007144D7">
        <w:rPr>
          <w:lang w:val="en-US"/>
        </w:rPr>
        <w:t xml:space="preserve">, C.S., Lee, B.S., Lee, Y.S., Shin, K.H., Jeon, J.D., 2014. The Influence of Compressed Carbon Felt Electrodes on the Performance of a Vanadium Redox Flow Battery. </w:t>
      </w:r>
      <w:proofErr w:type="spellStart"/>
      <w:r w:rsidRPr="007144D7">
        <w:rPr>
          <w:lang w:val="en-US"/>
        </w:rPr>
        <w:t>Electrochim</w:t>
      </w:r>
      <w:proofErr w:type="spellEnd"/>
      <w:r w:rsidRPr="007144D7">
        <w:rPr>
          <w:lang w:val="en-US"/>
        </w:rPr>
        <w:t>. Acta, 116, 447–452.</w:t>
      </w:r>
    </w:p>
    <w:p w14:paraId="775DAC76"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lastRenderedPageBreak/>
        <w:t xml:space="preserve">Perry, M.L., Darling, R.M., </w:t>
      </w:r>
      <w:proofErr w:type="spellStart"/>
      <w:r w:rsidRPr="007144D7">
        <w:rPr>
          <w:lang w:val="en-US"/>
        </w:rPr>
        <w:t>Zaffou</w:t>
      </w:r>
      <w:proofErr w:type="spellEnd"/>
      <w:r w:rsidRPr="007144D7">
        <w:rPr>
          <w:lang w:val="en-US"/>
        </w:rPr>
        <w:t>, R., 2013. High Power Density Redox Flow Battery Cells. ECS Trans., 53, 7–16.</w:t>
      </w:r>
    </w:p>
    <w:p w14:paraId="5FAE2539" w14:textId="3CA6E660"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Ponce-de-Leon, C., Reade, G.W., Whyte, I., Male, S.E., Walsh, F.C., 2007. Characterization of the reaction environment in a filter-press redox flow reactor. </w:t>
      </w:r>
      <w:proofErr w:type="spellStart"/>
      <w:r w:rsidRPr="007144D7">
        <w:rPr>
          <w:lang w:val="en-US"/>
        </w:rPr>
        <w:t>Electrochim</w:t>
      </w:r>
      <w:proofErr w:type="spellEnd"/>
      <w:r w:rsidR="00D50140">
        <w:rPr>
          <w:lang w:val="en-US"/>
        </w:rPr>
        <w:t>.</w:t>
      </w:r>
      <w:r w:rsidRPr="007144D7">
        <w:rPr>
          <w:lang w:val="en-US"/>
        </w:rPr>
        <w:t xml:space="preserve"> Acta 52, 5815–5823.</w:t>
      </w:r>
    </w:p>
    <w:p w14:paraId="36D6ED60"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Prasad, K.B.S., Jayanti, S., 2008. Effect of channel-to-channel cross flow on local flooding in serpentine flow fields. J. Power Sources, 180, 227-231.</w:t>
      </w:r>
    </w:p>
    <w:p w14:paraId="6E5D4467"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Rodrigues, E.M.G., </w:t>
      </w:r>
      <w:proofErr w:type="spellStart"/>
      <w:r w:rsidRPr="007144D7">
        <w:rPr>
          <w:lang w:val="en-US"/>
        </w:rPr>
        <w:t>Godina</w:t>
      </w:r>
      <w:proofErr w:type="spellEnd"/>
      <w:r w:rsidRPr="007144D7">
        <w:rPr>
          <w:lang w:val="en-US"/>
        </w:rPr>
        <w:t xml:space="preserve">, R., </w:t>
      </w:r>
      <w:proofErr w:type="spellStart"/>
      <w:r w:rsidRPr="007144D7">
        <w:rPr>
          <w:lang w:val="en-US"/>
        </w:rPr>
        <w:t>Catalão</w:t>
      </w:r>
      <w:proofErr w:type="spellEnd"/>
      <w:r w:rsidRPr="007144D7">
        <w:rPr>
          <w:lang w:val="en-US"/>
        </w:rPr>
        <w:t xml:space="preserve"> J.P.S., 2017. Modelling electrochemical energy storage devices in insular power network applications supported on real data. Appl. Energy 188, 315–329.</w:t>
      </w:r>
    </w:p>
    <w:p w14:paraId="0B161D08"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Reed, D., Thomsen, E., Li, B., Wang, W., </w:t>
      </w:r>
      <w:proofErr w:type="spellStart"/>
      <w:r w:rsidRPr="007144D7">
        <w:rPr>
          <w:lang w:val="en-US"/>
        </w:rPr>
        <w:t>Nie</w:t>
      </w:r>
      <w:proofErr w:type="spellEnd"/>
      <w:r w:rsidRPr="007144D7">
        <w:rPr>
          <w:lang w:val="en-US"/>
        </w:rPr>
        <w:t xml:space="preserve">, Z., Koeppel, B., </w:t>
      </w:r>
      <w:proofErr w:type="spellStart"/>
      <w:r w:rsidRPr="007144D7">
        <w:rPr>
          <w:lang w:val="en-US"/>
        </w:rPr>
        <w:t>Kizewski</w:t>
      </w:r>
      <w:proofErr w:type="spellEnd"/>
      <w:r w:rsidRPr="007144D7">
        <w:rPr>
          <w:lang w:val="en-US"/>
        </w:rPr>
        <w:t xml:space="preserve">, J., Sprenkle, V., 2016. Stack developments in a kW class all vanadium mixed acid redox flow battery at the Pacific Northwest National Laboratory. J. </w:t>
      </w:r>
      <w:proofErr w:type="spellStart"/>
      <w:r w:rsidRPr="007144D7">
        <w:rPr>
          <w:lang w:val="en-US"/>
        </w:rPr>
        <w:t>Electrochem</w:t>
      </w:r>
      <w:proofErr w:type="spellEnd"/>
      <w:r w:rsidRPr="007144D7">
        <w:rPr>
          <w:lang w:val="en-US"/>
        </w:rPr>
        <w:t>. Soc., 163, A5211–A5219.</w:t>
      </w:r>
    </w:p>
    <w:p w14:paraId="6A6467E3"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Shah, A.A., Watt-Smith, M.J., Walsh, F.C., 2008. A dynamic performance model for redox-flow batteries involving soluble species. </w:t>
      </w:r>
      <w:proofErr w:type="spellStart"/>
      <w:r w:rsidRPr="007144D7">
        <w:rPr>
          <w:lang w:val="en-US"/>
        </w:rPr>
        <w:t>Electrochim</w:t>
      </w:r>
      <w:proofErr w:type="spellEnd"/>
      <w:r w:rsidRPr="007144D7">
        <w:rPr>
          <w:lang w:val="en-US"/>
        </w:rPr>
        <w:t xml:space="preserve"> Acta, 53, 8087–8100.</w:t>
      </w:r>
    </w:p>
    <w:p w14:paraId="28F26135"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Tang, A., Bao, J., </w:t>
      </w:r>
      <w:proofErr w:type="spellStart"/>
      <w:r w:rsidRPr="007144D7">
        <w:rPr>
          <w:lang w:val="en-US"/>
        </w:rPr>
        <w:t>Skyllas-kazacos</w:t>
      </w:r>
      <w:proofErr w:type="spellEnd"/>
      <w:r w:rsidRPr="007144D7">
        <w:rPr>
          <w:lang w:val="en-US"/>
        </w:rPr>
        <w:t>, M., 2014. Studies on pressure losses and flow rate optimization in vanadium redox flow battery. J. Power Sources, 248, 154-162.</w:t>
      </w:r>
    </w:p>
    <w:p w14:paraId="7587FDC0"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proofErr w:type="spellStart"/>
      <w:r w:rsidRPr="007144D7">
        <w:rPr>
          <w:lang w:val="en-US"/>
        </w:rPr>
        <w:t>Trovò</w:t>
      </w:r>
      <w:proofErr w:type="spellEnd"/>
      <w:r w:rsidRPr="007144D7">
        <w:rPr>
          <w:lang w:val="en-US"/>
        </w:rPr>
        <w:t>, A., Guarnieri, M., 2020. Standby thermal management system for a kW-class vanadium redox flow battery. Energy Conversion and Management, 226, 113510.</w:t>
      </w:r>
    </w:p>
    <w:p w14:paraId="7D1EA43C"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Wang, Q., Qu, Z.G., Jiang, Z.Y., Yang, W.W., 2018. Experimental study on the performance of a vanadium redox flow battery with non-uniformly compressed carbon felt electrode. Appl Energy, 213, 293–305.</w:t>
      </w:r>
    </w:p>
    <w:p w14:paraId="1B8F8ACF"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Wang, R., Li, Y.S., He, Y.L., 2019. Achieving gradient-pore-oriented graphite felt for vanadium redox flow batteries: meeting improved electrochemical activity and enhanced mass transport from nano- to micro-scale. J. Mater. Chem. A, 7, 10962-10970.</w:t>
      </w:r>
    </w:p>
    <w:p w14:paraId="6CCCE829"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Wang, R., Li, Y.S., 2020. Carbon electrodes improving electrochemical activity and enhancing mass and charge transports in aqueous flow battery: Status and perspective. Energy Storage Materials, 31, 230-251.</w:t>
      </w:r>
    </w:p>
    <w:p w14:paraId="0BF3593F"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Wei, X., Pan, W., Duan, W., Hollas, A., Yang, Z., Li, B., </w:t>
      </w:r>
      <w:proofErr w:type="spellStart"/>
      <w:r w:rsidRPr="007144D7">
        <w:rPr>
          <w:lang w:val="en-US"/>
        </w:rPr>
        <w:t>Nie</w:t>
      </w:r>
      <w:proofErr w:type="spellEnd"/>
      <w:r w:rsidRPr="007144D7">
        <w:rPr>
          <w:lang w:val="en-US"/>
        </w:rPr>
        <w:t>, Z, Liu, J., Reed, D., Wang, W., Sprenkle, V., 2017. Materials and Systems for Organic Redox Flow Batteries: Status and Challenges. ACS Energy Lett., 2,2187–2204.</w:t>
      </w:r>
    </w:p>
    <w:p w14:paraId="11B36C2E"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Won, S., Oh, K., Ju, H., 2016. Numerical Studies of Carbon Paper-Based Vanadium Redox Flow Batteries. </w:t>
      </w:r>
      <w:proofErr w:type="spellStart"/>
      <w:r w:rsidRPr="007144D7">
        <w:rPr>
          <w:lang w:val="en-US"/>
        </w:rPr>
        <w:t>Electrochim</w:t>
      </w:r>
      <w:proofErr w:type="spellEnd"/>
      <w:r w:rsidRPr="007144D7">
        <w:rPr>
          <w:lang w:val="en-US"/>
        </w:rPr>
        <w:t>. Acta, 201, 286–299.</w:t>
      </w:r>
    </w:p>
    <w:p w14:paraId="2B49CD38"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Wu, L., Shen, Y., Yu, L., Xi, J., </w:t>
      </w:r>
      <w:proofErr w:type="spellStart"/>
      <w:r w:rsidRPr="007144D7">
        <w:rPr>
          <w:lang w:val="en-US"/>
        </w:rPr>
        <w:t>Qiu</w:t>
      </w:r>
      <w:proofErr w:type="spellEnd"/>
      <w:r w:rsidRPr="007144D7">
        <w:rPr>
          <w:lang w:val="en-US"/>
        </w:rPr>
        <w:t>, X., 2016. Boosting vanadium flow battery performance by Nitrogen-doped carbon nanospheres electrocatalyst. Nano Energy, 28, 19-28.</w:t>
      </w:r>
    </w:p>
    <w:p w14:paraId="4952B323"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Wu, M., Jing, Y., Wong, A.A., Fell, E.M., </w:t>
      </w:r>
      <w:proofErr w:type="spellStart"/>
      <w:r w:rsidRPr="007144D7">
        <w:rPr>
          <w:lang w:val="en-US"/>
        </w:rPr>
        <w:t>Jin</w:t>
      </w:r>
      <w:proofErr w:type="spellEnd"/>
      <w:r w:rsidRPr="007144D7">
        <w:rPr>
          <w:lang w:val="en-US"/>
        </w:rPr>
        <w:t xml:space="preserve">, S., Tang, Z., Gordon, R.G., Aziz, M.J., 2020. Extremely Stable Anthraquinone </w:t>
      </w:r>
      <w:proofErr w:type="spellStart"/>
      <w:r w:rsidRPr="007144D7">
        <w:rPr>
          <w:lang w:val="en-US"/>
        </w:rPr>
        <w:t>Negolytes</w:t>
      </w:r>
      <w:proofErr w:type="spellEnd"/>
      <w:r w:rsidRPr="007144D7">
        <w:rPr>
          <w:lang w:val="en-US"/>
        </w:rPr>
        <w:t xml:space="preserve"> Synthesized from Common Precursors. Chem. 6, 1432-1442.</w:t>
      </w:r>
    </w:p>
    <w:p w14:paraId="04AF1EBC"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lastRenderedPageBreak/>
        <w:t xml:space="preserve">Xu, Q., Zhao, T.S., Zhang, C., 2014. Performance of a vanadium redox flow battery with and without flow fields. </w:t>
      </w:r>
      <w:proofErr w:type="spellStart"/>
      <w:r w:rsidRPr="007144D7">
        <w:rPr>
          <w:lang w:val="en-US"/>
        </w:rPr>
        <w:t>Electrochim</w:t>
      </w:r>
      <w:proofErr w:type="spellEnd"/>
      <w:r w:rsidRPr="007144D7">
        <w:rPr>
          <w:lang w:val="en-US"/>
        </w:rPr>
        <w:t>. Acta, 142, 61–67.</w:t>
      </w:r>
    </w:p>
    <w:p w14:paraId="4D3ABDAE"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Xu, C., Yang, X., Li, X., Liu, T., Zhang, H., 2017. Ultrathin free-standing </w:t>
      </w:r>
      <w:proofErr w:type="spellStart"/>
      <w:r w:rsidRPr="007144D7">
        <w:rPr>
          <w:lang w:val="en-US"/>
        </w:rPr>
        <w:t>electrospun</w:t>
      </w:r>
      <w:proofErr w:type="spellEnd"/>
      <w:r w:rsidRPr="007144D7">
        <w:rPr>
          <w:lang w:val="en-US"/>
        </w:rPr>
        <w:t xml:space="preserve"> carbon nanofibers web as the electrode of the vanadium flow batteries. J Energy Chem., 26, 730–737.</w:t>
      </w:r>
    </w:p>
    <w:p w14:paraId="618B9C91"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Yin, C., Gao, Y., Guo, S., Tang, H.A., 2014. Coupled </w:t>
      </w:r>
      <w:proofErr w:type="gramStart"/>
      <w:r w:rsidRPr="007144D7">
        <w:rPr>
          <w:lang w:val="en-US"/>
        </w:rPr>
        <w:t>three dimensional</w:t>
      </w:r>
      <w:proofErr w:type="gramEnd"/>
      <w:r w:rsidRPr="007144D7">
        <w:rPr>
          <w:lang w:val="en-US"/>
        </w:rPr>
        <w:t xml:space="preserve"> model of vanadium redox flow battery for flow field designs. Energy, 74, 886-895.</w:t>
      </w:r>
    </w:p>
    <w:p w14:paraId="44025725"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Yoon, S.J., Kim, S., Kim, D.K., 2019. Optimization of local porosity in the electrode as an advanced channel for all-vanadium redox flow battery. Energy, 172, 26-35.</w:t>
      </w:r>
    </w:p>
    <w:p w14:paraId="28D5F292"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You, D., Zhang, H., Chen, J., 2009. A simple model for the vanadium redox battery. </w:t>
      </w:r>
      <w:proofErr w:type="spellStart"/>
      <w:r w:rsidRPr="007144D7">
        <w:rPr>
          <w:lang w:val="en-US"/>
        </w:rPr>
        <w:t>Electrochim</w:t>
      </w:r>
      <w:proofErr w:type="spellEnd"/>
      <w:r w:rsidRPr="007144D7">
        <w:rPr>
          <w:lang w:val="en-US"/>
        </w:rPr>
        <w:t xml:space="preserve"> Acta, 54, 6827–6836.</w:t>
      </w:r>
    </w:p>
    <w:p w14:paraId="32C7937F"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You, X., Ye, Q., Cheng, P., 2016. Scale-Up of </w:t>
      </w:r>
      <w:proofErr w:type="gramStart"/>
      <w:r w:rsidRPr="007144D7">
        <w:rPr>
          <w:lang w:val="en-US"/>
        </w:rPr>
        <w:t>High Power</w:t>
      </w:r>
      <w:proofErr w:type="gramEnd"/>
      <w:r w:rsidRPr="007144D7">
        <w:rPr>
          <w:lang w:val="en-US"/>
        </w:rPr>
        <w:t xml:space="preserve"> Density Redox Flow Batteries by Introducing Interdigitated Flow Fields. Int. </w:t>
      </w:r>
      <w:proofErr w:type="spellStart"/>
      <w:r w:rsidRPr="007144D7">
        <w:rPr>
          <w:lang w:val="en-US"/>
        </w:rPr>
        <w:t>Commun</w:t>
      </w:r>
      <w:proofErr w:type="spellEnd"/>
      <w:r w:rsidRPr="007144D7">
        <w:rPr>
          <w:lang w:val="en-US"/>
        </w:rPr>
        <w:t>. Heat Mass Transf., 75, 7–12.</w:t>
      </w:r>
    </w:p>
    <w:p w14:paraId="2D723B6A"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Yue, M., </w:t>
      </w:r>
      <w:proofErr w:type="spellStart"/>
      <w:r w:rsidRPr="007144D7">
        <w:rPr>
          <w:lang w:val="en-US"/>
        </w:rPr>
        <w:t>Lv</w:t>
      </w:r>
      <w:proofErr w:type="spellEnd"/>
      <w:r w:rsidRPr="007144D7">
        <w:rPr>
          <w:lang w:val="en-US"/>
        </w:rPr>
        <w:t>, Z.Q., Zheng, Q., Li, X.F., Zhang, H.M., 2019. Battery assembly optimization: Tailoring the electrode compression ratio based on the polarization analysis in vanadium flow batteries. Appl. Energy, 235, 495-508.</w:t>
      </w:r>
    </w:p>
    <w:p w14:paraId="125E27E7"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Zhang, W., Xi, J., Li, Z., Zhou, H., Liu, L., Wu, Z., </w:t>
      </w:r>
      <w:proofErr w:type="spellStart"/>
      <w:r w:rsidRPr="007144D7">
        <w:rPr>
          <w:lang w:val="en-US"/>
        </w:rPr>
        <w:t>Qiu</w:t>
      </w:r>
      <w:proofErr w:type="spellEnd"/>
      <w:r w:rsidRPr="007144D7">
        <w:rPr>
          <w:lang w:val="en-US"/>
        </w:rPr>
        <w:t>, X., 2013. Electrochemical activation of graphite felt electrode for VO</w:t>
      </w:r>
      <w:r w:rsidRPr="007A2057">
        <w:rPr>
          <w:vertAlign w:val="superscript"/>
          <w:lang w:val="en-US"/>
        </w:rPr>
        <w:t>2+</w:t>
      </w:r>
      <w:r w:rsidRPr="007144D7">
        <w:rPr>
          <w:lang w:val="en-US"/>
        </w:rPr>
        <w:t>/VO</w:t>
      </w:r>
      <w:r w:rsidRPr="005C05B2">
        <w:rPr>
          <w:vertAlign w:val="subscript"/>
          <w:lang w:val="en-US"/>
        </w:rPr>
        <w:t>2</w:t>
      </w:r>
      <w:r w:rsidRPr="005C05B2">
        <w:rPr>
          <w:vertAlign w:val="superscript"/>
          <w:lang w:val="en-US"/>
        </w:rPr>
        <w:t>+</w:t>
      </w:r>
      <w:r w:rsidRPr="007144D7">
        <w:rPr>
          <w:lang w:val="en-US"/>
        </w:rPr>
        <w:t xml:space="preserve"> redox couple application. </w:t>
      </w:r>
      <w:proofErr w:type="spellStart"/>
      <w:r w:rsidRPr="007144D7">
        <w:rPr>
          <w:lang w:val="en-US"/>
        </w:rPr>
        <w:t>Electrochim</w:t>
      </w:r>
      <w:proofErr w:type="spellEnd"/>
      <w:r w:rsidRPr="007144D7">
        <w:rPr>
          <w:lang w:val="en-US"/>
        </w:rPr>
        <w:t>. Acta, 89, 429-435.</w:t>
      </w:r>
    </w:p>
    <w:p w14:paraId="412D8CF4"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Zhang, Z., Xi, J., Zhou, H., </w:t>
      </w:r>
      <w:proofErr w:type="spellStart"/>
      <w:r w:rsidRPr="007144D7">
        <w:rPr>
          <w:lang w:val="en-US"/>
        </w:rPr>
        <w:t>Qiu</w:t>
      </w:r>
      <w:proofErr w:type="spellEnd"/>
      <w:r w:rsidRPr="007144D7">
        <w:rPr>
          <w:lang w:val="en-US"/>
        </w:rPr>
        <w:t xml:space="preserve">, X., 2016. KOH etched graphite felt with improved wettability and activity for vanadium flow batteries. </w:t>
      </w:r>
      <w:proofErr w:type="spellStart"/>
      <w:r w:rsidRPr="007144D7">
        <w:rPr>
          <w:lang w:val="en-US"/>
        </w:rPr>
        <w:t>Electrochim</w:t>
      </w:r>
      <w:proofErr w:type="spellEnd"/>
      <w:r w:rsidRPr="007144D7">
        <w:rPr>
          <w:lang w:val="en-US"/>
        </w:rPr>
        <w:t>. Acta 218, 15-23.</w:t>
      </w:r>
    </w:p>
    <w:p w14:paraId="0B8543C9"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Zheng, Q., Xing, F., Li, X.F., Ning, G.L., Zhang, H.M., 2016. Flow field design and optimization based on the mass transport polarization regulation in a flow-through type vanadium flow battery. J. Power Sources, 324, 402-411.</w:t>
      </w:r>
    </w:p>
    <w:p w14:paraId="12863304"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Zheng, Q., Xing, F., Li, X., Liu, T., Lai, Q., Ning, G., Zhang, H., 2014. Investigation on the performance evaluation method of flow batteries. J. Power Sources, 266, 145-149.</w:t>
      </w:r>
    </w:p>
    <w:p w14:paraId="415FCE62" w14:textId="77777777" w:rsidR="007144D7" w:rsidRP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Zhou, X.L., Zeng, Y.K., Zhu, X.B., Wei, L., Zhao, T.S., 2016. A High-Performance Dual-Scale Porous Electrode for Vanadium Redox Flow Batteries. J. Power Sources, 325,329–336.</w:t>
      </w:r>
    </w:p>
    <w:p w14:paraId="33349306" w14:textId="137D6CB5" w:rsidR="007144D7" w:rsidRDefault="007144D7" w:rsidP="00060970">
      <w:pPr>
        <w:pStyle w:val="NormalWeb"/>
        <w:pBdr>
          <w:bottom w:val="single" w:sz="6" w:space="1" w:color="auto"/>
        </w:pBdr>
        <w:spacing w:before="0" w:beforeAutospacing="0" w:after="240" w:afterAutospacing="0"/>
        <w:jc w:val="both"/>
        <w:rPr>
          <w:lang w:val="en-US"/>
        </w:rPr>
      </w:pPr>
      <w:r w:rsidRPr="007144D7">
        <w:rPr>
          <w:lang w:val="en-US"/>
        </w:rPr>
        <w:t xml:space="preserve">Zhou, X.L., Zhao, T.S., An, L., Zeng, Y.K., Wei, L., 2017. Critical Transport Issues for Improving the Performance of Aqueous Redox Flow Batteries. J. Power Sources, 339, 1–12.  </w:t>
      </w:r>
    </w:p>
    <w:p w14:paraId="0A66EAAB" w14:textId="77777777" w:rsidR="00607555" w:rsidRDefault="00607555" w:rsidP="00FC2A37">
      <w:pPr>
        <w:pStyle w:val="NormalWeb"/>
        <w:pBdr>
          <w:bottom w:val="single" w:sz="6" w:space="1" w:color="auto"/>
        </w:pBdr>
        <w:spacing w:before="0" w:beforeAutospacing="0" w:after="120" w:afterAutospacing="0" w:line="480" w:lineRule="auto"/>
        <w:jc w:val="both"/>
        <w:rPr>
          <w:lang w:val="en-US"/>
        </w:rPr>
      </w:pPr>
    </w:p>
    <w:sectPr w:rsidR="00607555">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1EF153" w14:textId="77777777" w:rsidR="008B7C80" w:rsidRDefault="008B7C80" w:rsidP="001C1FF1">
      <w:pPr>
        <w:spacing w:after="0" w:line="240" w:lineRule="auto"/>
      </w:pPr>
      <w:r>
        <w:separator/>
      </w:r>
    </w:p>
  </w:endnote>
  <w:endnote w:type="continuationSeparator" w:id="0">
    <w:p w14:paraId="7F3267D9" w14:textId="77777777" w:rsidR="008B7C80" w:rsidRDefault="008B7C80" w:rsidP="001C1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3038818"/>
      <w:docPartObj>
        <w:docPartGallery w:val="Page Numbers (Bottom of Page)"/>
        <w:docPartUnique/>
      </w:docPartObj>
    </w:sdtPr>
    <w:sdtEndPr>
      <w:rPr>
        <w:noProof/>
      </w:rPr>
    </w:sdtEndPr>
    <w:sdtContent>
      <w:p w14:paraId="655578D1" w14:textId="7C9D7414" w:rsidR="00266B19" w:rsidRDefault="00266B19">
        <w:pPr>
          <w:pStyle w:val="Footer"/>
          <w:jc w:val="right"/>
        </w:pPr>
        <w:r>
          <w:fldChar w:fldCharType="begin"/>
        </w:r>
        <w:r>
          <w:instrText xml:space="preserve"> PAGE   \* MERGEFORMAT </w:instrText>
        </w:r>
        <w:r>
          <w:fldChar w:fldCharType="separate"/>
        </w:r>
        <w:r w:rsidR="003C6092">
          <w:rPr>
            <w:noProof/>
          </w:rPr>
          <w:t>22</w:t>
        </w:r>
        <w:r>
          <w:rPr>
            <w:noProof/>
          </w:rPr>
          <w:fldChar w:fldCharType="end"/>
        </w:r>
      </w:p>
    </w:sdtContent>
  </w:sdt>
  <w:p w14:paraId="1B08DE97" w14:textId="77777777" w:rsidR="00266B19" w:rsidRDefault="00266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E1D94B" w14:textId="77777777" w:rsidR="008B7C80" w:rsidRDefault="008B7C80" w:rsidP="001C1FF1">
      <w:pPr>
        <w:spacing w:after="0" w:line="240" w:lineRule="auto"/>
      </w:pPr>
      <w:r>
        <w:separator/>
      </w:r>
    </w:p>
  </w:footnote>
  <w:footnote w:type="continuationSeparator" w:id="0">
    <w:p w14:paraId="6880E825" w14:textId="77777777" w:rsidR="008B7C80" w:rsidRDefault="008B7C80" w:rsidP="001C1F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6" w:nlCheck="1" w:checkStyle="0"/>
  <w:activeWritingStyle w:appName="MSWord" w:lang="en-AU" w:vendorID="64" w:dllVersion="6" w:nlCheck="1" w:checkStyle="1"/>
  <w:activeWritingStyle w:appName="MSWord" w:lang="de-DE" w:vendorID="64" w:dllVersion="6" w:nlCheck="1" w:checkStyle="1"/>
  <w:activeWritingStyle w:appName="MSWord" w:lang="en-US" w:vendorID="64" w:dllVersion="0" w:nlCheck="1" w:checkStyle="0"/>
  <w:activeWritingStyle w:appName="MSWord" w:lang="es-MX" w:vendorID="64" w:dllVersion="0" w:nlCheck="1" w:checkStyle="0"/>
  <w:activeWritingStyle w:appName="MSWord" w:lang="en-GB"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98A"/>
    <w:rsid w:val="0001377B"/>
    <w:rsid w:val="00016CE1"/>
    <w:rsid w:val="00035923"/>
    <w:rsid w:val="00045BE2"/>
    <w:rsid w:val="000461DB"/>
    <w:rsid w:val="00046EC7"/>
    <w:rsid w:val="0005329D"/>
    <w:rsid w:val="00054291"/>
    <w:rsid w:val="00060970"/>
    <w:rsid w:val="00060F26"/>
    <w:rsid w:val="00061028"/>
    <w:rsid w:val="00062A73"/>
    <w:rsid w:val="00063FC9"/>
    <w:rsid w:val="00071F22"/>
    <w:rsid w:val="00080347"/>
    <w:rsid w:val="00090B3B"/>
    <w:rsid w:val="00096167"/>
    <w:rsid w:val="000973BE"/>
    <w:rsid w:val="000A0FCE"/>
    <w:rsid w:val="000B14F1"/>
    <w:rsid w:val="000B5702"/>
    <w:rsid w:val="000D11DD"/>
    <w:rsid w:val="000D1386"/>
    <w:rsid w:val="000D4033"/>
    <w:rsid w:val="000D6187"/>
    <w:rsid w:val="000E24AA"/>
    <w:rsid w:val="000F7E67"/>
    <w:rsid w:val="00104D73"/>
    <w:rsid w:val="0011045C"/>
    <w:rsid w:val="00114C2A"/>
    <w:rsid w:val="0012317A"/>
    <w:rsid w:val="001234E8"/>
    <w:rsid w:val="0012784E"/>
    <w:rsid w:val="00133DC4"/>
    <w:rsid w:val="001364EB"/>
    <w:rsid w:val="0014339C"/>
    <w:rsid w:val="00165F38"/>
    <w:rsid w:val="001704D1"/>
    <w:rsid w:val="0019222B"/>
    <w:rsid w:val="001A0E26"/>
    <w:rsid w:val="001A1237"/>
    <w:rsid w:val="001A261D"/>
    <w:rsid w:val="001C1FF1"/>
    <w:rsid w:val="001C3B31"/>
    <w:rsid w:val="001C69C8"/>
    <w:rsid w:val="001C71E7"/>
    <w:rsid w:val="001E76D0"/>
    <w:rsid w:val="001F4037"/>
    <w:rsid w:val="001F4A25"/>
    <w:rsid w:val="00202404"/>
    <w:rsid w:val="002051C7"/>
    <w:rsid w:val="00220E38"/>
    <w:rsid w:val="002379CD"/>
    <w:rsid w:val="00241339"/>
    <w:rsid w:val="00266B19"/>
    <w:rsid w:val="002717A8"/>
    <w:rsid w:val="00281FED"/>
    <w:rsid w:val="00297088"/>
    <w:rsid w:val="002A1160"/>
    <w:rsid w:val="002A2B66"/>
    <w:rsid w:val="002A68D7"/>
    <w:rsid w:val="002B0302"/>
    <w:rsid w:val="002B628E"/>
    <w:rsid w:val="002C0C50"/>
    <w:rsid w:val="002C32E5"/>
    <w:rsid w:val="002E125F"/>
    <w:rsid w:val="002F047D"/>
    <w:rsid w:val="002F7469"/>
    <w:rsid w:val="003001BD"/>
    <w:rsid w:val="00314F58"/>
    <w:rsid w:val="003271DB"/>
    <w:rsid w:val="00334468"/>
    <w:rsid w:val="00334A23"/>
    <w:rsid w:val="00355CAD"/>
    <w:rsid w:val="00360D00"/>
    <w:rsid w:val="00365786"/>
    <w:rsid w:val="00381069"/>
    <w:rsid w:val="00383D3B"/>
    <w:rsid w:val="0039141F"/>
    <w:rsid w:val="003A2055"/>
    <w:rsid w:val="003B4B9D"/>
    <w:rsid w:val="003B7F9F"/>
    <w:rsid w:val="003C3D28"/>
    <w:rsid w:val="003C6092"/>
    <w:rsid w:val="003D1EDE"/>
    <w:rsid w:val="003D3D57"/>
    <w:rsid w:val="003D6D46"/>
    <w:rsid w:val="003E5FF9"/>
    <w:rsid w:val="003E7833"/>
    <w:rsid w:val="003F4FCC"/>
    <w:rsid w:val="00400C02"/>
    <w:rsid w:val="0041234F"/>
    <w:rsid w:val="00416E71"/>
    <w:rsid w:val="00421AB0"/>
    <w:rsid w:val="004240D3"/>
    <w:rsid w:val="0042628C"/>
    <w:rsid w:val="004306AB"/>
    <w:rsid w:val="00430D12"/>
    <w:rsid w:val="004333F7"/>
    <w:rsid w:val="00442B69"/>
    <w:rsid w:val="004526C6"/>
    <w:rsid w:val="00462269"/>
    <w:rsid w:val="00482D96"/>
    <w:rsid w:val="00490B67"/>
    <w:rsid w:val="004919B9"/>
    <w:rsid w:val="004926C8"/>
    <w:rsid w:val="00496905"/>
    <w:rsid w:val="004A2D77"/>
    <w:rsid w:val="004B018D"/>
    <w:rsid w:val="004B70E6"/>
    <w:rsid w:val="004C2A2B"/>
    <w:rsid w:val="004D735F"/>
    <w:rsid w:val="004E3E34"/>
    <w:rsid w:val="004F0DCA"/>
    <w:rsid w:val="004F25B4"/>
    <w:rsid w:val="005036FD"/>
    <w:rsid w:val="00521BA4"/>
    <w:rsid w:val="00523227"/>
    <w:rsid w:val="00526436"/>
    <w:rsid w:val="00535252"/>
    <w:rsid w:val="0055419D"/>
    <w:rsid w:val="00560668"/>
    <w:rsid w:val="00561E6A"/>
    <w:rsid w:val="005658A2"/>
    <w:rsid w:val="00576772"/>
    <w:rsid w:val="00577871"/>
    <w:rsid w:val="005960C2"/>
    <w:rsid w:val="00597D97"/>
    <w:rsid w:val="005A27AA"/>
    <w:rsid w:val="005A6833"/>
    <w:rsid w:val="005B3841"/>
    <w:rsid w:val="005C05B2"/>
    <w:rsid w:val="005C35E0"/>
    <w:rsid w:val="005C3FDB"/>
    <w:rsid w:val="005D03E6"/>
    <w:rsid w:val="005E198A"/>
    <w:rsid w:val="005F2ECE"/>
    <w:rsid w:val="005F39A4"/>
    <w:rsid w:val="00607555"/>
    <w:rsid w:val="006108F0"/>
    <w:rsid w:val="00614E69"/>
    <w:rsid w:val="00616239"/>
    <w:rsid w:val="00616B7F"/>
    <w:rsid w:val="006249F4"/>
    <w:rsid w:val="006405AA"/>
    <w:rsid w:val="00645BD6"/>
    <w:rsid w:val="00652D81"/>
    <w:rsid w:val="00661943"/>
    <w:rsid w:val="00680018"/>
    <w:rsid w:val="00680CF9"/>
    <w:rsid w:val="00685EE2"/>
    <w:rsid w:val="00692268"/>
    <w:rsid w:val="006959C4"/>
    <w:rsid w:val="006A2C06"/>
    <w:rsid w:val="006A2F84"/>
    <w:rsid w:val="006C69A3"/>
    <w:rsid w:val="006F0B4A"/>
    <w:rsid w:val="006F45E3"/>
    <w:rsid w:val="00706E85"/>
    <w:rsid w:val="007144D7"/>
    <w:rsid w:val="007176E7"/>
    <w:rsid w:val="00720583"/>
    <w:rsid w:val="0072674A"/>
    <w:rsid w:val="00743C1F"/>
    <w:rsid w:val="00743E0D"/>
    <w:rsid w:val="007551B5"/>
    <w:rsid w:val="00755964"/>
    <w:rsid w:val="00761AA1"/>
    <w:rsid w:val="007636C9"/>
    <w:rsid w:val="007656BD"/>
    <w:rsid w:val="00767A19"/>
    <w:rsid w:val="00780647"/>
    <w:rsid w:val="00780B94"/>
    <w:rsid w:val="007832E9"/>
    <w:rsid w:val="00786EA7"/>
    <w:rsid w:val="00791B98"/>
    <w:rsid w:val="007A2057"/>
    <w:rsid w:val="007A2751"/>
    <w:rsid w:val="007B0D69"/>
    <w:rsid w:val="007B2712"/>
    <w:rsid w:val="007B2F6E"/>
    <w:rsid w:val="007C2AD6"/>
    <w:rsid w:val="007D0C2C"/>
    <w:rsid w:val="007D54FD"/>
    <w:rsid w:val="007D7F0D"/>
    <w:rsid w:val="007E3A2F"/>
    <w:rsid w:val="007E7624"/>
    <w:rsid w:val="007F1803"/>
    <w:rsid w:val="0080204E"/>
    <w:rsid w:val="00802C77"/>
    <w:rsid w:val="0080534B"/>
    <w:rsid w:val="008064BD"/>
    <w:rsid w:val="00811A07"/>
    <w:rsid w:val="008167E0"/>
    <w:rsid w:val="008329BD"/>
    <w:rsid w:val="00834A22"/>
    <w:rsid w:val="00835D1C"/>
    <w:rsid w:val="00836841"/>
    <w:rsid w:val="00844871"/>
    <w:rsid w:val="008536D0"/>
    <w:rsid w:val="00863BDD"/>
    <w:rsid w:val="00885ABE"/>
    <w:rsid w:val="0088661E"/>
    <w:rsid w:val="00887049"/>
    <w:rsid w:val="00890F52"/>
    <w:rsid w:val="008911BF"/>
    <w:rsid w:val="00891DA7"/>
    <w:rsid w:val="008A0BBF"/>
    <w:rsid w:val="008A12CD"/>
    <w:rsid w:val="008A6E75"/>
    <w:rsid w:val="008B7C80"/>
    <w:rsid w:val="008D2834"/>
    <w:rsid w:val="008E0742"/>
    <w:rsid w:val="008E0947"/>
    <w:rsid w:val="008E50AA"/>
    <w:rsid w:val="008E6CF3"/>
    <w:rsid w:val="008F6176"/>
    <w:rsid w:val="00904A0A"/>
    <w:rsid w:val="00912E51"/>
    <w:rsid w:val="00945148"/>
    <w:rsid w:val="00945AF8"/>
    <w:rsid w:val="009603B4"/>
    <w:rsid w:val="00974CF9"/>
    <w:rsid w:val="00975297"/>
    <w:rsid w:val="0098178F"/>
    <w:rsid w:val="00983B9F"/>
    <w:rsid w:val="00986F6B"/>
    <w:rsid w:val="009907F7"/>
    <w:rsid w:val="00994EEA"/>
    <w:rsid w:val="00996D8A"/>
    <w:rsid w:val="009A1E50"/>
    <w:rsid w:val="009B1A3D"/>
    <w:rsid w:val="009C0FC3"/>
    <w:rsid w:val="009C2360"/>
    <w:rsid w:val="009C33E8"/>
    <w:rsid w:val="009C5376"/>
    <w:rsid w:val="009D2EFC"/>
    <w:rsid w:val="009D6C3E"/>
    <w:rsid w:val="009E5437"/>
    <w:rsid w:val="009F1F11"/>
    <w:rsid w:val="009F7CD4"/>
    <w:rsid w:val="00A0321C"/>
    <w:rsid w:val="00A161E9"/>
    <w:rsid w:val="00A25D5D"/>
    <w:rsid w:val="00A30A45"/>
    <w:rsid w:val="00A56C30"/>
    <w:rsid w:val="00A64374"/>
    <w:rsid w:val="00A81485"/>
    <w:rsid w:val="00A8172A"/>
    <w:rsid w:val="00A8202F"/>
    <w:rsid w:val="00AA4DF8"/>
    <w:rsid w:val="00AB0231"/>
    <w:rsid w:val="00AB0AC8"/>
    <w:rsid w:val="00AC000E"/>
    <w:rsid w:val="00AC5176"/>
    <w:rsid w:val="00AD3559"/>
    <w:rsid w:val="00AE02C0"/>
    <w:rsid w:val="00AE058E"/>
    <w:rsid w:val="00AE0F6E"/>
    <w:rsid w:val="00AE1204"/>
    <w:rsid w:val="00AE3A36"/>
    <w:rsid w:val="00AE58BD"/>
    <w:rsid w:val="00B07544"/>
    <w:rsid w:val="00B14940"/>
    <w:rsid w:val="00B16151"/>
    <w:rsid w:val="00B3596C"/>
    <w:rsid w:val="00B4361F"/>
    <w:rsid w:val="00B46613"/>
    <w:rsid w:val="00B53E6D"/>
    <w:rsid w:val="00B6052D"/>
    <w:rsid w:val="00B679B9"/>
    <w:rsid w:val="00B75BB3"/>
    <w:rsid w:val="00B818A9"/>
    <w:rsid w:val="00B9237B"/>
    <w:rsid w:val="00B932EF"/>
    <w:rsid w:val="00BA18B9"/>
    <w:rsid w:val="00BA4CBC"/>
    <w:rsid w:val="00BB2564"/>
    <w:rsid w:val="00BB4D51"/>
    <w:rsid w:val="00BB6394"/>
    <w:rsid w:val="00BC25D0"/>
    <w:rsid w:val="00BC3991"/>
    <w:rsid w:val="00BC43CF"/>
    <w:rsid w:val="00BC6063"/>
    <w:rsid w:val="00BC6A11"/>
    <w:rsid w:val="00BD36EE"/>
    <w:rsid w:val="00BE16D5"/>
    <w:rsid w:val="00BE676D"/>
    <w:rsid w:val="00BF3B51"/>
    <w:rsid w:val="00C0188D"/>
    <w:rsid w:val="00C14B2D"/>
    <w:rsid w:val="00C25618"/>
    <w:rsid w:val="00C30261"/>
    <w:rsid w:val="00C34C49"/>
    <w:rsid w:val="00C401C4"/>
    <w:rsid w:val="00C73B77"/>
    <w:rsid w:val="00C768BE"/>
    <w:rsid w:val="00C83E63"/>
    <w:rsid w:val="00C91B1F"/>
    <w:rsid w:val="00CA11D9"/>
    <w:rsid w:val="00CA5776"/>
    <w:rsid w:val="00CB4DB4"/>
    <w:rsid w:val="00CB56B2"/>
    <w:rsid w:val="00CB617B"/>
    <w:rsid w:val="00CC0AB8"/>
    <w:rsid w:val="00CD22AF"/>
    <w:rsid w:val="00CE717E"/>
    <w:rsid w:val="00D01669"/>
    <w:rsid w:val="00D0228C"/>
    <w:rsid w:val="00D03CF0"/>
    <w:rsid w:val="00D135EA"/>
    <w:rsid w:val="00D13740"/>
    <w:rsid w:val="00D159BE"/>
    <w:rsid w:val="00D15A11"/>
    <w:rsid w:val="00D26EC9"/>
    <w:rsid w:val="00D27DC8"/>
    <w:rsid w:val="00D4351F"/>
    <w:rsid w:val="00D45F28"/>
    <w:rsid w:val="00D465F2"/>
    <w:rsid w:val="00D47DC1"/>
    <w:rsid w:val="00D50140"/>
    <w:rsid w:val="00D51029"/>
    <w:rsid w:val="00D63A10"/>
    <w:rsid w:val="00D84EDD"/>
    <w:rsid w:val="00D929B8"/>
    <w:rsid w:val="00DA1A43"/>
    <w:rsid w:val="00DB2A55"/>
    <w:rsid w:val="00DC0719"/>
    <w:rsid w:val="00DC076E"/>
    <w:rsid w:val="00DC52B7"/>
    <w:rsid w:val="00DD3156"/>
    <w:rsid w:val="00DE0F95"/>
    <w:rsid w:val="00DE2A42"/>
    <w:rsid w:val="00DE70BC"/>
    <w:rsid w:val="00DF2423"/>
    <w:rsid w:val="00E02443"/>
    <w:rsid w:val="00E02BC0"/>
    <w:rsid w:val="00E15238"/>
    <w:rsid w:val="00E17E19"/>
    <w:rsid w:val="00E2087D"/>
    <w:rsid w:val="00E2592D"/>
    <w:rsid w:val="00E30711"/>
    <w:rsid w:val="00E33D4B"/>
    <w:rsid w:val="00E34533"/>
    <w:rsid w:val="00E37261"/>
    <w:rsid w:val="00E42163"/>
    <w:rsid w:val="00E44982"/>
    <w:rsid w:val="00E60F63"/>
    <w:rsid w:val="00E625B9"/>
    <w:rsid w:val="00E70DF6"/>
    <w:rsid w:val="00E751F2"/>
    <w:rsid w:val="00E85F35"/>
    <w:rsid w:val="00EA3FF3"/>
    <w:rsid w:val="00EA6EDE"/>
    <w:rsid w:val="00EB5AB2"/>
    <w:rsid w:val="00EC095C"/>
    <w:rsid w:val="00ED5624"/>
    <w:rsid w:val="00ED6448"/>
    <w:rsid w:val="00EE7EBF"/>
    <w:rsid w:val="00EF2E7E"/>
    <w:rsid w:val="00EF3439"/>
    <w:rsid w:val="00F00F99"/>
    <w:rsid w:val="00F025CA"/>
    <w:rsid w:val="00F0267E"/>
    <w:rsid w:val="00F03F4F"/>
    <w:rsid w:val="00F20B3B"/>
    <w:rsid w:val="00F27F53"/>
    <w:rsid w:val="00F312C3"/>
    <w:rsid w:val="00F32194"/>
    <w:rsid w:val="00F417E9"/>
    <w:rsid w:val="00F51484"/>
    <w:rsid w:val="00F53D3C"/>
    <w:rsid w:val="00F627E7"/>
    <w:rsid w:val="00F62FDF"/>
    <w:rsid w:val="00F67EDE"/>
    <w:rsid w:val="00F70EDE"/>
    <w:rsid w:val="00F745D3"/>
    <w:rsid w:val="00F84B7F"/>
    <w:rsid w:val="00FA4C7E"/>
    <w:rsid w:val="00FB1E2B"/>
    <w:rsid w:val="00FB4656"/>
    <w:rsid w:val="00FB64AA"/>
    <w:rsid w:val="00FC0FB0"/>
    <w:rsid w:val="00FC137B"/>
    <w:rsid w:val="00FC2A37"/>
    <w:rsid w:val="00FC44A2"/>
    <w:rsid w:val="00FD3680"/>
    <w:rsid w:val="00FD6664"/>
    <w:rsid w:val="00FE1D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D2BD1"/>
  <w15:chartTrackingRefBased/>
  <w15:docId w15:val="{D1E566B3-15C8-4096-BFBD-617246223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0EDE"/>
    <w:pPr>
      <w:ind w:left="720"/>
      <w:contextualSpacing/>
    </w:pPr>
  </w:style>
  <w:style w:type="paragraph" w:styleId="Header">
    <w:name w:val="header"/>
    <w:basedOn w:val="Normal"/>
    <w:link w:val="HeaderChar"/>
    <w:uiPriority w:val="99"/>
    <w:unhideWhenUsed/>
    <w:rsid w:val="001C1F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1FF1"/>
  </w:style>
  <w:style w:type="paragraph" w:styleId="Footer">
    <w:name w:val="footer"/>
    <w:basedOn w:val="Normal"/>
    <w:link w:val="FooterChar"/>
    <w:uiPriority w:val="99"/>
    <w:unhideWhenUsed/>
    <w:rsid w:val="001C1F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1FF1"/>
  </w:style>
  <w:style w:type="character" w:styleId="Hyperlink">
    <w:name w:val="Hyperlink"/>
    <w:basedOn w:val="DefaultParagraphFont"/>
    <w:uiPriority w:val="99"/>
    <w:unhideWhenUsed/>
    <w:rsid w:val="001C1FF1"/>
    <w:rPr>
      <w:color w:val="0563C1" w:themeColor="hyperlink"/>
      <w:u w:val="single"/>
    </w:rPr>
  </w:style>
  <w:style w:type="paragraph" w:styleId="NormalWeb">
    <w:name w:val="Normal (Web)"/>
    <w:basedOn w:val="Normal"/>
    <w:uiPriority w:val="99"/>
    <w:unhideWhenUsed/>
    <w:rsid w:val="00490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ndNoteBibliographyTitle">
    <w:name w:val="EndNote Bibliography Title"/>
    <w:basedOn w:val="Normal"/>
    <w:link w:val="EndNoteBibliographyTitle0"/>
    <w:rsid w:val="00FC2A37"/>
    <w:pPr>
      <w:spacing w:after="0"/>
      <w:jc w:val="center"/>
    </w:pPr>
    <w:rPr>
      <w:rFonts w:ascii="Calibri" w:eastAsiaTheme="minorEastAsia" w:hAnsi="Calibri" w:cs="Calibri"/>
      <w:noProof/>
      <w:lang w:val="en-US"/>
    </w:rPr>
  </w:style>
  <w:style w:type="character" w:customStyle="1" w:styleId="EndNoteBibliographyTitle0">
    <w:name w:val="EndNote Bibliography Title 字元"/>
    <w:basedOn w:val="DefaultParagraphFont"/>
    <w:link w:val="EndNoteBibliographyTitle"/>
    <w:rsid w:val="00FC2A37"/>
    <w:rPr>
      <w:rFonts w:ascii="Calibri" w:eastAsiaTheme="minorEastAsia" w:hAnsi="Calibri" w:cs="Calibri"/>
      <w:noProof/>
      <w:lang w:val="en-US"/>
    </w:rPr>
  </w:style>
  <w:style w:type="paragraph" w:customStyle="1" w:styleId="EndNoteBibliography">
    <w:name w:val="EndNote Bibliography"/>
    <w:basedOn w:val="Normal"/>
    <w:link w:val="EndNoteBibliography0"/>
    <w:rsid w:val="00FC2A37"/>
    <w:pPr>
      <w:spacing w:line="240" w:lineRule="auto"/>
    </w:pPr>
    <w:rPr>
      <w:rFonts w:ascii="Calibri" w:eastAsiaTheme="minorEastAsia" w:hAnsi="Calibri" w:cs="Calibri"/>
      <w:noProof/>
      <w:lang w:val="en-US"/>
    </w:rPr>
  </w:style>
  <w:style w:type="character" w:customStyle="1" w:styleId="EndNoteBibliography0">
    <w:name w:val="EndNote Bibliography 字元"/>
    <w:basedOn w:val="DefaultParagraphFont"/>
    <w:link w:val="EndNoteBibliography"/>
    <w:rsid w:val="00FC2A37"/>
    <w:rPr>
      <w:rFonts w:ascii="Calibri" w:eastAsiaTheme="minorEastAsia" w:hAnsi="Calibri" w:cs="Calibri"/>
      <w:noProof/>
      <w:lang w:val="en-US"/>
    </w:rPr>
  </w:style>
  <w:style w:type="table" w:styleId="TableGrid">
    <w:name w:val="Table Grid"/>
    <w:basedOn w:val="TableNormal"/>
    <w:uiPriority w:val="39"/>
    <w:rsid w:val="00A25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E3E34"/>
    <w:rPr>
      <w:sz w:val="16"/>
      <w:szCs w:val="16"/>
    </w:rPr>
  </w:style>
  <w:style w:type="paragraph" w:styleId="CommentText">
    <w:name w:val="annotation text"/>
    <w:basedOn w:val="Normal"/>
    <w:link w:val="CommentTextChar"/>
    <w:uiPriority w:val="99"/>
    <w:semiHidden/>
    <w:unhideWhenUsed/>
    <w:rsid w:val="004E3E34"/>
    <w:pPr>
      <w:spacing w:line="240" w:lineRule="auto"/>
    </w:pPr>
    <w:rPr>
      <w:sz w:val="20"/>
      <w:szCs w:val="20"/>
    </w:rPr>
  </w:style>
  <w:style w:type="character" w:customStyle="1" w:styleId="CommentTextChar">
    <w:name w:val="Comment Text Char"/>
    <w:basedOn w:val="DefaultParagraphFont"/>
    <w:link w:val="CommentText"/>
    <w:uiPriority w:val="99"/>
    <w:semiHidden/>
    <w:rsid w:val="004E3E34"/>
    <w:rPr>
      <w:sz w:val="20"/>
      <w:szCs w:val="20"/>
    </w:rPr>
  </w:style>
  <w:style w:type="paragraph" w:styleId="CommentSubject">
    <w:name w:val="annotation subject"/>
    <w:basedOn w:val="CommentText"/>
    <w:next w:val="CommentText"/>
    <w:link w:val="CommentSubjectChar"/>
    <w:uiPriority w:val="99"/>
    <w:semiHidden/>
    <w:unhideWhenUsed/>
    <w:rsid w:val="004E3E34"/>
    <w:rPr>
      <w:b/>
      <w:bCs/>
    </w:rPr>
  </w:style>
  <w:style w:type="character" w:customStyle="1" w:styleId="CommentSubjectChar">
    <w:name w:val="Comment Subject Char"/>
    <w:basedOn w:val="CommentTextChar"/>
    <w:link w:val="CommentSubject"/>
    <w:uiPriority w:val="99"/>
    <w:semiHidden/>
    <w:rsid w:val="004E3E34"/>
    <w:rPr>
      <w:b/>
      <w:bCs/>
      <w:sz w:val="20"/>
      <w:szCs w:val="20"/>
    </w:rPr>
  </w:style>
  <w:style w:type="paragraph" w:styleId="BalloonText">
    <w:name w:val="Balloon Text"/>
    <w:basedOn w:val="Normal"/>
    <w:link w:val="BalloonTextChar"/>
    <w:uiPriority w:val="99"/>
    <w:semiHidden/>
    <w:unhideWhenUsed/>
    <w:rsid w:val="004E3E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E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pla@soton.ac.uk"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jpijpers@ineel.mx"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P.K.Leung@soton.ac.uk"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30</Pages>
  <Words>7763</Words>
  <Characters>44252</Characters>
  <Application>Microsoft Office Word</Application>
  <DocSecurity>0</DocSecurity>
  <Lines>368</Lines>
  <Paragraphs>103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none</Company>
  <LinksUpToDate>false</LinksUpToDate>
  <CharactersWithSpaces>51912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Ponce De Leon Albarr C.A.</dc:creator>
  <cp:keywords/>
  <dc:description/>
  <cp:lastModifiedBy>Carlos Ponce De Leon Albarran</cp:lastModifiedBy>
  <cp:revision>37</cp:revision>
  <dcterms:created xsi:type="dcterms:W3CDTF">2021-01-31T22:13:00Z</dcterms:created>
  <dcterms:modified xsi:type="dcterms:W3CDTF">2021-02-01T11:30:00Z</dcterms:modified>
</cp:coreProperties>
</file>