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50" w:rsidRPr="00AD2787" w:rsidRDefault="00634634" w:rsidP="005A0D50">
      <w:pPr>
        <w:pStyle w:val="MDPI12title"/>
        <w:spacing w:after="120"/>
        <w:rPr>
          <w:color w:val="auto"/>
        </w:rPr>
      </w:pPr>
      <w:r w:rsidRPr="00AD2787">
        <w:rPr>
          <w:color w:val="auto"/>
        </w:rPr>
        <w:t xml:space="preserve">Body mass index in patients </w:t>
      </w:r>
      <w:r w:rsidR="005A0D50" w:rsidRPr="00AD2787">
        <w:rPr>
          <w:color w:val="auto"/>
        </w:rPr>
        <w:t xml:space="preserve">treated with cabozantinib for </w:t>
      </w:r>
    </w:p>
    <w:p w:rsidR="007C1CDA" w:rsidRPr="00AD2787" w:rsidRDefault="005A0D50" w:rsidP="005A0D50">
      <w:pPr>
        <w:pStyle w:val="MDPI12title"/>
        <w:spacing w:after="120"/>
        <w:rPr>
          <w:color w:val="auto"/>
        </w:rPr>
      </w:pPr>
      <w:proofErr w:type="gramStart"/>
      <w:r w:rsidRPr="00AD2787">
        <w:rPr>
          <w:color w:val="auto"/>
        </w:rPr>
        <w:t>ad</w:t>
      </w:r>
      <w:r w:rsidR="00634634" w:rsidRPr="00AD2787">
        <w:rPr>
          <w:color w:val="auto"/>
        </w:rPr>
        <w:t>vanced</w:t>
      </w:r>
      <w:proofErr w:type="gramEnd"/>
      <w:r w:rsidR="00634634" w:rsidRPr="00AD2787">
        <w:rPr>
          <w:color w:val="auto"/>
        </w:rPr>
        <w:t xml:space="preserve"> Renal Cell Carcinoma: a new prognostic factor? </w:t>
      </w:r>
    </w:p>
    <w:p w:rsidR="00634634" w:rsidRPr="00AD2787" w:rsidRDefault="00634634" w:rsidP="00634634">
      <w:pPr>
        <w:autoSpaceDE w:val="0"/>
        <w:autoSpaceDN w:val="0"/>
        <w:adjustRightInd w:val="0"/>
        <w:spacing w:line="240" w:lineRule="atLeast"/>
        <w:jc w:val="center"/>
        <w:rPr>
          <w:rStyle w:val="Strong"/>
          <w:bCs/>
          <w:color w:val="auto"/>
          <w:vertAlign w:val="superscript"/>
          <w:lang w:val="it-IT"/>
        </w:rPr>
      </w:pPr>
      <w:r w:rsidRPr="00AD2787">
        <w:rPr>
          <w:rStyle w:val="Strong"/>
          <w:bCs/>
          <w:color w:val="auto"/>
          <w:lang w:val="it-IT"/>
        </w:rPr>
        <w:t>Matteo Santoni</w:t>
      </w:r>
      <w:r w:rsidRPr="00AD2787">
        <w:rPr>
          <w:rStyle w:val="Strong"/>
          <w:bCs/>
          <w:color w:val="auto"/>
          <w:vertAlign w:val="superscript"/>
          <w:lang w:val="it-IT"/>
        </w:rPr>
        <w:t>1*</w:t>
      </w:r>
      <w:r w:rsidRPr="00AD2787">
        <w:rPr>
          <w:rStyle w:val="Strong"/>
          <w:bCs/>
          <w:color w:val="auto"/>
          <w:lang w:val="it-IT"/>
        </w:rPr>
        <w:t xml:space="preserve">, </w:t>
      </w:r>
      <w:r w:rsidRPr="00AD2787">
        <w:rPr>
          <w:b/>
          <w:color w:val="auto"/>
          <w:shd w:val="clear" w:color="auto" w:fill="FFFFFF"/>
          <w:lang w:val="it-IT"/>
        </w:rPr>
        <w:t>Francesco Massari</w:t>
      </w:r>
      <w:r w:rsidRPr="00AD2787">
        <w:rPr>
          <w:b/>
          <w:color w:val="auto"/>
          <w:shd w:val="clear" w:color="auto" w:fill="FFFFFF"/>
          <w:vertAlign w:val="superscript"/>
          <w:lang w:val="it-IT"/>
        </w:rPr>
        <w:t>2</w:t>
      </w:r>
      <w:r w:rsidRPr="00AD2787">
        <w:rPr>
          <w:rStyle w:val="Strong"/>
          <w:b w:val="0"/>
          <w:bCs/>
          <w:color w:val="auto"/>
          <w:lang w:val="it-IT"/>
        </w:rPr>
        <w:t>,</w:t>
      </w:r>
      <w:r w:rsidRPr="00AD2787">
        <w:rPr>
          <w:rStyle w:val="Strong"/>
          <w:bCs/>
          <w:color w:val="auto"/>
          <w:lang w:val="it-IT"/>
        </w:rPr>
        <w:t xml:space="preserve"> Sergio Bracarda</w:t>
      </w:r>
      <w:r w:rsidRPr="00AD2787">
        <w:rPr>
          <w:rStyle w:val="Strong"/>
          <w:bCs/>
          <w:color w:val="auto"/>
          <w:vertAlign w:val="superscript"/>
          <w:lang w:val="it-IT"/>
        </w:rPr>
        <w:t>3</w:t>
      </w:r>
      <w:r w:rsidRPr="00AD2787">
        <w:rPr>
          <w:rStyle w:val="Strong"/>
          <w:bCs/>
          <w:color w:val="auto"/>
          <w:lang w:val="it-IT"/>
        </w:rPr>
        <w:t>, Giuseppe Procopio</w:t>
      </w:r>
      <w:r w:rsidRPr="00AD2787">
        <w:rPr>
          <w:rStyle w:val="Strong"/>
          <w:bCs/>
          <w:color w:val="auto"/>
          <w:vertAlign w:val="superscript"/>
          <w:lang w:val="it-IT"/>
        </w:rPr>
        <w:t>4</w:t>
      </w:r>
      <w:r w:rsidRPr="00AD2787">
        <w:rPr>
          <w:rStyle w:val="Strong"/>
          <w:bCs/>
          <w:color w:val="auto"/>
          <w:lang w:val="it-IT"/>
        </w:rPr>
        <w:t>, Michele Milella</w:t>
      </w:r>
      <w:r w:rsidRPr="00AD2787">
        <w:rPr>
          <w:rStyle w:val="Strong"/>
          <w:bCs/>
          <w:color w:val="auto"/>
          <w:vertAlign w:val="superscript"/>
          <w:lang w:val="it-IT"/>
        </w:rPr>
        <w:t>5</w:t>
      </w:r>
      <w:r w:rsidRPr="00AD2787">
        <w:rPr>
          <w:rStyle w:val="Strong"/>
          <w:bCs/>
          <w:color w:val="auto"/>
          <w:lang w:val="it-IT"/>
        </w:rPr>
        <w:t>, Ugo De Giorgi</w:t>
      </w:r>
      <w:r w:rsidRPr="00AD2787">
        <w:rPr>
          <w:rStyle w:val="Strong"/>
          <w:bCs/>
          <w:color w:val="auto"/>
          <w:vertAlign w:val="superscript"/>
          <w:lang w:val="it-IT"/>
        </w:rPr>
        <w:t>6</w:t>
      </w:r>
      <w:r w:rsidRPr="00AD2787">
        <w:rPr>
          <w:rStyle w:val="Strong"/>
          <w:bCs/>
          <w:color w:val="auto"/>
          <w:lang w:val="it-IT"/>
        </w:rPr>
        <w:t xml:space="preserve">, </w:t>
      </w:r>
      <w:r w:rsidRPr="00AD2787">
        <w:rPr>
          <w:b/>
          <w:color w:val="auto"/>
          <w:shd w:val="clear" w:color="auto" w:fill="FFFFFF"/>
          <w:lang w:val="it-IT"/>
        </w:rPr>
        <w:t>Umberto Basso</w:t>
      </w:r>
      <w:r w:rsidRPr="00AD2787">
        <w:rPr>
          <w:b/>
          <w:color w:val="auto"/>
          <w:shd w:val="clear" w:color="auto" w:fill="FFFFFF"/>
          <w:vertAlign w:val="superscript"/>
          <w:lang w:val="it-IT"/>
        </w:rPr>
        <w:t>7</w:t>
      </w:r>
      <w:r w:rsidRPr="00AD2787">
        <w:rPr>
          <w:b/>
          <w:color w:val="auto"/>
          <w:shd w:val="clear" w:color="auto" w:fill="FFFFFF"/>
          <w:lang w:val="it-IT"/>
        </w:rPr>
        <w:t>,</w:t>
      </w:r>
      <w:r w:rsidRPr="00AD2787">
        <w:rPr>
          <w:rStyle w:val="Strong"/>
          <w:bCs/>
          <w:color w:val="auto"/>
          <w:lang w:val="it-IT"/>
        </w:rPr>
        <w:t>Gaetano Aurilio</w:t>
      </w:r>
      <w:r w:rsidRPr="00AD2787">
        <w:rPr>
          <w:color w:val="auto"/>
          <w:shd w:val="clear" w:color="auto" w:fill="FFFFFF"/>
          <w:vertAlign w:val="superscript"/>
          <w:lang w:val="it-IT"/>
        </w:rPr>
        <w:t>8</w:t>
      </w:r>
      <w:r w:rsidRPr="00AD2787">
        <w:rPr>
          <w:rStyle w:val="Strong"/>
          <w:bCs/>
          <w:color w:val="auto"/>
          <w:lang w:val="it-IT"/>
        </w:rPr>
        <w:t xml:space="preserve">, </w:t>
      </w:r>
      <w:r w:rsidRPr="00AD2787">
        <w:rPr>
          <w:b/>
          <w:color w:val="auto"/>
          <w:shd w:val="clear" w:color="auto" w:fill="FFFFFF"/>
          <w:lang w:val="it-IT"/>
        </w:rPr>
        <w:t>Lorena Incorvaia</w:t>
      </w:r>
      <w:r w:rsidRPr="00AD2787">
        <w:rPr>
          <w:b/>
          <w:color w:val="auto"/>
          <w:shd w:val="clear" w:color="auto" w:fill="FFFFFF"/>
          <w:vertAlign w:val="superscript"/>
          <w:lang w:val="it-IT"/>
        </w:rPr>
        <w:t>9</w:t>
      </w:r>
      <w:r w:rsidRPr="00AD2787">
        <w:rPr>
          <w:b/>
          <w:color w:val="auto"/>
          <w:shd w:val="clear" w:color="auto" w:fill="FFFFFF"/>
          <w:lang w:val="it-IT"/>
        </w:rPr>
        <w:t>, Angelo Martignetti</w:t>
      </w:r>
      <w:r w:rsidRPr="00AD2787">
        <w:rPr>
          <w:b/>
          <w:color w:val="auto"/>
          <w:shd w:val="clear" w:color="auto" w:fill="FFFFFF"/>
          <w:vertAlign w:val="superscript"/>
          <w:lang w:val="it-IT"/>
        </w:rPr>
        <w:t>10</w:t>
      </w:r>
      <w:r w:rsidRPr="00AD2787">
        <w:rPr>
          <w:rStyle w:val="Strong"/>
          <w:bCs/>
          <w:color w:val="auto"/>
          <w:lang w:val="it-IT"/>
        </w:rPr>
        <w:t>, Mimma Rizzo</w:t>
      </w:r>
      <w:r w:rsidRPr="00AD2787">
        <w:rPr>
          <w:rStyle w:val="Strong"/>
          <w:bCs/>
          <w:color w:val="auto"/>
          <w:vertAlign w:val="superscript"/>
          <w:lang w:val="it-IT"/>
        </w:rPr>
        <w:t>11</w:t>
      </w:r>
      <w:r w:rsidRPr="00AD2787">
        <w:rPr>
          <w:rStyle w:val="Strong"/>
          <w:bCs/>
          <w:color w:val="auto"/>
          <w:lang w:val="it-IT"/>
        </w:rPr>
        <w:t>, Giacomo Cartenì</w:t>
      </w:r>
      <w:r w:rsidRPr="00AD2787">
        <w:rPr>
          <w:rStyle w:val="Strong"/>
          <w:bCs/>
          <w:color w:val="auto"/>
          <w:vertAlign w:val="superscript"/>
          <w:lang w:val="it-IT"/>
        </w:rPr>
        <w:t>12</w:t>
      </w:r>
      <w:r w:rsidRPr="00AD2787">
        <w:rPr>
          <w:rStyle w:val="Strong"/>
          <w:bCs/>
          <w:color w:val="auto"/>
          <w:lang w:val="it-IT"/>
        </w:rPr>
        <w:t>, Enrique Grande</w:t>
      </w:r>
      <w:r w:rsidRPr="00AD2787">
        <w:rPr>
          <w:rStyle w:val="Strong"/>
          <w:bCs/>
          <w:color w:val="auto"/>
          <w:vertAlign w:val="superscript"/>
          <w:lang w:val="it-IT"/>
        </w:rPr>
        <w:t>13</w:t>
      </w:r>
      <w:r w:rsidRPr="00AD2787">
        <w:rPr>
          <w:rStyle w:val="Strong"/>
          <w:bCs/>
          <w:color w:val="auto"/>
          <w:lang w:val="it-IT"/>
        </w:rPr>
        <w:t>, Marc R Matrana</w:t>
      </w:r>
      <w:r w:rsidRPr="00AD2787">
        <w:rPr>
          <w:rStyle w:val="Strong"/>
          <w:bCs/>
          <w:color w:val="auto"/>
          <w:vertAlign w:val="superscript"/>
          <w:lang w:val="it-IT"/>
        </w:rPr>
        <w:t>14</w:t>
      </w:r>
      <w:r w:rsidRPr="00AD2787">
        <w:rPr>
          <w:rStyle w:val="Strong"/>
          <w:bCs/>
          <w:color w:val="auto"/>
          <w:lang w:val="it-IT"/>
        </w:rPr>
        <w:t>, Simon J Crabb</w:t>
      </w:r>
      <w:r w:rsidRPr="00AD2787">
        <w:rPr>
          <w:rStyle w:val="Strong"/>
          <w:bCs/>
          <w:color w:val="auto"/>
          <w:vertAlign w:val="superscript"/>
          <w:lang w:val="it-IT"/>
        </w:rPr>
        <w:t>15</w:t>
      </w:r>
      <w:r w:rsidRPr="00AD2787">
        <w:rPr>
          <w:rStyle w:val="Strong"/>
          <w:bCs/>
          <w:color w:val="auto"/>
          <w:lang w:val="it-IT"/>
        </w:rPr>
        <w:t xml:space="preserve">, </w:t>
      </w:r>
      <w:r w:rsidRPr="00AD2787">
        <w:rPr>
          <w:b/>
          <w:color w:val="auto"/>
          <w:shd w:val="clear" w:color="auto" w:fill="FFFFFF"/>
          <w:lang w:val="it-IT"/>
        </w:rPr>
        <w:t>Nuno Vau</w:t>
      </w:r>
      <w:r w:rsidRPr="00AD2787">
        <w:rPr>
          <w:b/>
          <w:color w:val="auto"/>
          <w:shd w:val="clear" w:color="auto" w:fill="FFFFFF"/>
          <w:vertAlign w:val="superscript"/>
          <w:lang w:val="it-IT"/>
        </w:rPr>
        <w:t>16</w:t>
      </w:r>
      <w:r w:rsidRPr="00AD2787">
        <w:rPr>
          <w:b/>
          <w:color w:val="auto"/>
          <w:shd w:val="clear" w:color="auto" w:fill="FFFFFF"/>
          <w:lang w:val="it-IT"/>
        </w:rPr>
        <w:t>, Giulia Sorgentoni</w:t>
      </w:r>
      <w:r w:rsidRPr="00AD2787">
        <w:rPr>
          <w:b/>
          <w:color w:val="auto"/>
          <w:shd w:val="clear" w:color="auto" w:fill="FFFFFF"/>
          <w:vertAlign w:val="superscript"/>
          <w:lang w:val="it-IT"/>
        </w:rPr>
        <w:t>1</w:t>
      </w:r>
      <w:r w:rsidRPr="00AD2787">
        <w:rPr>
          <w:b/>
          <w:color w:val="auto"/>
          <w:shd w:val="clear" w:color="auto" w:fill="FFFFFF"/>
          <w:lang w:val="it-IT"/>
        </w:rPr>
        <w:t>, Alessia Cimadamore</w:t>
      </w:r>
      <w:r w:rsidRPr="00AD2787">
        <w:rPr>
          <w:b/>
          <w:color w:val="auto"/>
          <w:shd w:val="clear" w:color="auto" w:fill="FFFFFF"/>
          <w:vertAlign w:val="superscript"/>
          <w:lang w:val="it-IT"/>
        </w:rPr>
        <w:t>17</w:t>
      </w:r>
      <w:r w:rsidRPr="00AD2787">
        <w:rPr>
          <w:b/>
          <w:color w:val="auto"/>
          <w:shd w:val="clear" w:color="auto" w:fill="FFFFFF"/>
          <w:lang w:val="it-IT"/>
        </w:rPr>
        <w:t xml:space="preserve">, </w:t>
      </w:r>
      <w:r w:rsidRPr="00AD2787">
        <w:rPr>
          <w:b/>
          <w:color w:val="auto"/>
          <w:lang w:val="it-IT"/>
        </w:rPr>
        <w:t>Rodolfo Montironi</w:t>
      </w:r>
      <w:r w:rsidRPr="00AD2787">
        <w:rPr>
          <w:b/>
          <w:color w:val="auto"/>
          <w:vertAlign w:val="superscript"/>
          <w:lang w:val="it-IT"/>
        </w:rPr>
        <w:t>17</w:t>
      </w:r>
      <w:r w:rsidRPr="00AD2787">
        <w:rPr>
          <w:rStyle w:val="Strong"/>
          <w:bCs/>
          <w:color w:val="auto"/>
          <w:lang w:val="it-IT"/>
        </w:rPr>
        <w:t>, Nicola Battelli</w:t>
      </w:r>
      <w:r w:rsidRPr="00AD2787">
        <w:rPr>
          <w:rStyle w:val="Strong"/>
          <w:bCs/>
          <w:color w:val="auto"/>
          <w:vertAlign w:val="superscript"/>
          <w:lang w:val="it-IT"/>
        </w:rPr>
        <w:t>1</w:t>
      </w:r>
    </w:p>
    <w:p w:rsidR="007C1CDA" w:rsidRPr="00AD2787" w:rsidRDefault="007C1CDA" w:rsidP="007C1CDA">
      <w:pPr>
        <w:pStyle w:val="MDPI13authornames"/>
        <w:rPr>
          <w:color w:val="auto"/>
          <w:lang w:val="it-IT"/>
        </w:rPr>
      </w:pPr>
    </w:p>
    <w:tbl>
      <w:tblPr>
        <w:tblpPr w:leftFromText="198" w:rightFromText="198" w:vertAnchor="page" w:horzAnchor="margin" w:tblpY="10246"/>
        <w:tblW w:w="2410" w:type="dxa"/>
        <w:tblLayout w:type="fixed"/>
        <w:tblCellMar>
          <w:left w:w="0" w:type="dxa"/>
          <w:right w:w="0" w:type="dxa"/>
        </w:tblCellMar>
        <w:tblLook w:val="04A0" w:firstRow="1" w:lastRow="0" w:firstColumn="1" w:lastColumn="0" w:noHBand="0" w:noVBand="1"/>
      </w:tblPr>
      <w:tblGrid>
        <w:gridCol w:w="2410"/>
      </w:tblGrid>
      <w:tr w:rsidR="00AD2787" w:rsidRPr="00AD2787" w:rsidTr="00270FD5">
        <w:tc>
          <w:tcPr>
            <w:tcW w:w="2410" w:type="dxa"/>
            <w:shd w:val="clear" w:color="auto" w:fill="auto"/>
          </w:tcPr>
          <w:p w:rsidR="007C1CDA" w:rsidRPr="00AD2787" w:rsidRDefault="007C1CDA" w:rsidP="00270FD5">
            <w:pPr>
              <w:adjustRightInd w:val="0"/>
              <w:snapToGrid w:val="0"/>
              <w:spacing w:before="60" w:line="240" w:lineRule="atLeast"/>
              <w:ind w:right="113"/>
              <w:jc w:val="left"/>
              <w:rPr>
                <w:rFonts w:eastAsia="DengXian"/>
                <w:bCs/>
                <w:color w:val="auto"/>
                <w:sz w:val="14"/>
                <w:szCs w:val="14"/>
                <w:lang w:bidi="en-US"/>
              </w:rPr>
            </w:pPr>
          </w:p>
        </w:tc>
      </w:tr>
    </w:tbl>
    <w:p w:rsidR="00634634" w:rsidRPr="00AD2787" w:rsidRDefault="00634634" w:rsidP="005A0D50">
      <w:pPr>
        <w:pStyle w:val="MDPI16affiliation"/>
        <w:numPr>
          <w:ilvl w:val="0"/>
          <w:numId w:val="15"/>
        </w:numPr>
        <w:rPr>
          <w:color w:val="auto"/>
          <w:lang w:val="it-IT"/>
        </w:rPr>
      </w:pPr>
      <w:r w:rsidRPr="00AD2787">
        <w:rPr>
          <w:color w:val="auto"/>
          <w:lang w:val="it-IT"/>
        </w:rPr>
        <w:t xml:space="preserve">Oncology Unit, Macerata Hospital, via Santa Lucia 2, 62100, Macerata, Italy; </w:t>
      </w:r>
      <w:r w:rsidR="009354A7">
        <w:fldChar w:fldCharType="begin"/>
      </w:r>
      <w:r w:rsidR="009354A7">
        <w:instrText xml:space="preserve"> HYPERLINK "mailto:mattymo@alice.it" </w:instrText>
      </w:r>
      <w:r w:rsidR="009354A7">
        <w:fldChar w:fldCharType="separate"/>
      </w:r>
      <w:r w:rsidRPr="00AD2787">
        <w:rPr>
          <w:rStyle w:val="Hyperlink"/>
          <w:color w:val="auto"/>
          <w:lang w:val="it-IT"/>
        </w:rPr>
        <w:t>mattymo@alice.it</w:t>
      </w:r>
      <w:r w:rsidR="009354A7">
        <w:rPr>
          <w:rStyle w:val="Hyperlink"/>
          <w:color w:val="auto"/>
          <w:lang w:val="it-IT"/>
        </w:rPr>
        <w:fldChar w:fldCharType="end"/>
      </w:r>
      <w:r w:rsidR="000732B9" w:rsidRPr="00AD2787">
        <w:rPr>
          <w:color w:val="auto"/>
          <w:lang w:val="it-IT"/>
        </w:rPr>
        <w:t xml:space="preserve"> (MS)</w:t>
      </w:r>
      <w:r w:rsidR="005A0D50" w:rsidRPr="00AD2787">
        <w:rPr>
          <w:color w:val="auto"/>
          <w:lang w:val="it-IT"/>
        </w:rPr>
        <w:t xml:space="preserve">; </w:t>
      </w:r>
      <w:hyperlink r:id="rId8" w:history="1">
        <w:r w:rsidR="005A0D50" w:rsidRPr="00AD2787">
          <w:rPr>
            <w:rStyle w:val="Hyperlink"/>
            <w:color w:val="auto"/>
            <w:lang w:val="it-IT"/>
          </w:rPr>
          <w:t>giulia.sorgentoni@libero.it</w:t>
        </w:r>
      </w:hyperlink>
      <w:r w:rsidR="000732B9" w:rsidRPr="00AD2787">
        <w:rPr>
          <w:color w:val="auto"/>
          <w:lang w:val="it-IT"/>
        </w:rPr>
        <w:t xml:space="preserve"> (GS)</w:t>
      </w:r>
      <w:r w:rsidR="005A0D50" w:rsidRPr="00AD2787">
        <w:rPr>
          <w:color w:val="auto"/>
          <w:lang w:val="it-IT"/>
        </w:rPr>
        <w:t xml:space="preserve">; </w:t>
      </w:r>
      <w:hyperlink r:id="rId9" w:history="1">
        <w:r w:rsidR="005A0D50" w:rsidRPr="00AD2787">
          <w:rPr>
            <w:rStyle w:val="Hyperlink"/>
            <w:color w:val="auto"/>
            <w:lang w:val="it-IT"/>
          </w:rPr>
          <w:t>nicola.battelli@sanita.marche.it</w:t>
        </w:r>
      </w:hyperlink>
      <w:r w:rsidR="000732B9" w:rsidRPr="00AD2787">
        <w:rPr>
          <w:color w:val="auto"/>
          <w:lang w:val="it-IT"/>
        </w:rPr>
        <w:t>(NB)</w:t>
      </w:r>
    </w:p>
    <w:p w:rsidR="00634634" w:rsidRPr="00AD2787" w:rsidRDefault="00634634" w:rsidP="005A0D50">
      <w:pPr>
        <w:pStyle w:val="MDPI16affiliation"/>
        <w:numPr>
          <w:ilvl w:val="0"/>
          <w:numId w:val="15"/>
        </w:numPr>
        <w:rPr>
          <w:color w:val="auto"/>
          <w:lang w:val="it-IT"/>
        </w:rPr>
      </w:pPr>
      <w:r w:rsidRPr="00AD2787">
        <w:rPr>
          <w:color w:val="auto"/>
          <w:lang w:val="it-IT"/>
        </w:rPr>
        <w:t>Oncologia Medica, Azienda Ospedaliero-Universitaria di Bologna, Via Albertoni - 15, Bologna – Italia;</w:t>
      </w:r>
      <w:r w:rsidR="009354A7">
        <w:fldChar w:fldCharType="begin"/>
      </w:r>
      <w:r w:rsidR="009354A7">
        <w:instrText xml:space="preserve"> HYPERLINK "mailto:fmassar</w:instrText>
      </w:r>
      <w:r w:rsidR="009354A7">
        <w:instrText xml:space="preserve">i79@gmail.com" </w:instrText>
      </w:r>
      <w:r w:rsidR="009354A7">
        <w:fldChar w:fldCharType="separate"/>
      </w:r>
      <w:r w:rsidR="005A0D50" w:rsidRPr="00AD2787">
        <w:rPr>
          <w:rStyle w:val="Hyperlink"/>
          <w:color w:val="auto"/>
          <w:lang w:val="it-IT"/>
        </w:rPr>
        <w:t>fmassari79@gmail.com</w:t>
      </w:r>
      <w:r w:rsidR="009354A7">
        <w:rPr>
          <w:rStyle w:val="Hyperlink"/>
          <w:color w:val="auto"/>
          <w:lang w:val="it-IT"/>
        </w:rPr>
        <w:fldChar w:fldCharType="end"/>
      </w:r>
      <w:r w:rsidR="000732B9" w:rsidRPr="00AD2787">
        <w:rPr>
          <w:color w:val="auto"/>
          <w:lang w:val="it-IT"/>
        </w:rPr>
        <w:t>(FM)</w:t>
      </w:r>
    </w:p>
    <w:p w:rsidR="00634634" w:rsidRPr="00AD2787" w:rsidRDefault="00634634" w:rsidP="005A0D50">
      <w:pPr>
        <w:pStyle w:val="MDPI16affiliation"/>
        <w:numPr>
          <w:ilvl w:val="0"/>
          <w:numId w:val="15"/>
        </w:numPr>
        <w:rPr>
          <w:color w:val="auto"/>
        </w:rPr>
      </w:pPr>
      <w:r w:rsidRPr="00AD2787">
        <w:rPr>
          <w:color w:val="auto"/>
        </w:rPr>
        <w:t xml:space="preserve">Medical and Translational Oncology Unit, Department of Oncology, </w:t>
      </w:r>
      <w:proofErr w:type="spellStart"/>
      <w:r w:rsidRPr="00AD2787">
        <w:rPr>
          <w:color w:val="auto"/>
        </w:rPr>
        <w:t>AziendaOspedali</w:t>
      </w:r>
      <w:r w:rsidR="005A0D50" w:rsidRPr="00AD2787">
        <w:rPr>
          <w:color w:val="auto"/>
        </w:rPr>
        <w:t>era</w:t>
      </w:r>
      <w:proofErr w:type="spellEnd"/>
      <w:r w:rsidR="005A0D50" w:rsidRPr="00AD2787">
        <w:rPr>
          <w:color w:val="auto"/>
        </w:rPr>
        <w:t xml:space="preserve"> Santa Maria, Terni, Italy;</w:t>
      </w:r>
      <w:hyperlink r:id="rId10" w:history="1">
        <w:r w:rsidR="005A0D50" w:rsidRPr="00AD2787">
          <w:rPr>
            <w:rStyle w:val="Hyperlink"/>
            <w:color w:val="auto"/>
          </w:rPr>
          <w:t>sergio.bracarda@gmail.com</w:t>
        </w:r>
      </w:hyperlink>
      <w:r w:rsidR="000732B9" w:rsidRPr="00AD2787">
        <w:rPr>
          <w:color w:val="auto"/>
        </w:rPr>
        <w:t>(SG)</w:t>
      </w:r>
    </w:p>
    <w:p w:rsidR="00634634" w:rsidRPr="00AD2787" w:rsidRDefault="00634634" w:rsidP="005A0D50">
      <w:pPr>
        <w:pStyle w:val="MDPI16affiliation"/>
        <w:numPr>
          <w:ilvl w:val="0"/>
          <w:numId w:val="15"/>
        </w:numPr>
        <w:rPr>
          <w:color w:val="auto"/>
        </w:rPr>
      </w:pPr>
      <w:r w:rsidRPr="00AD2787">
        <w:rPr>
          <w:color w:val="auto"/>
        </w:rPr>
        <w:t xml:space="preserve">Department of Medical Oncology, </w:t>
      </w:r>
      <w:proofErr w:type="spellStart"/>
      <w:r w:rsidRPr="00AD2787">
        <w:rPr>
          <w:color w:val="auto"/>
        </w:rPr>
        <w:t>IstitutoNazionaled</w:t>
      </w:r>
      <w:r w:rsidR="005A0D50" w:rsidRPr="00AD2787">
        <w:rPr>
          <w:color w:val="auto"/>
        </w:rPr>
        <w:t>eiTumori</w:t>
      </w:r>
      <w:proofErr w:type="spellEnd"/>
      <w:r w:rsidR="005A0D50" w:rsidRPr="00AD2787">
        <w:rPr>
          <w:color w:val="auto"/>
        </w:rPr>
        <w:t xml:space="preserve"> IRCCS, Milan, </w:t>
      </w:r>
      <w:proofErr w:type="spellStart"/>
      <w:r w:rsidR="005A0D50" w:rsidRPr="00AD2787">
        <w:rPr>
          <w:color w:val="auto"/>
        </w:rPr>
        <w:t>Italy;</w:t>
      </w:r>
      <w:hyperlink r:id="rId11" w:history="1">
        <w:r w:rsidR="005A0D50" w:rsidRPr="00AD2787">
          <w:rPr>
            <w:rStyle w:val="Hyperlink"/>
            <w:color w:val="auto"/>
          </w:rPr>
          <w:t>giuseppe.procopio@istitutotumori.mi.it</w:t>
        </w:r>
        <w:proofErr w:type="spellEnd"/>
      </w:hyperlink>
      <w:r w:rsidR="000732B9" w:rsidRPr="00AD2787">
        <w:rPr>
          <w:color w:val="auto"/>
        </w:rPr>
        <w:t>(GP)</w:t>
      </w:r>
    </w:p>
    <w:p w:rsidR="00634634" w:rsidRPr="00AD2787" w:rsidRDefault="00634634" w:rsidP="005A0D50">
      <w:pPr>
        <w:pStyle w:val="MDPI16affiliation"/>
        <w:numPr>
          <w:ilvl w:val="0"/>
          <w:numId w:val="15"/>
        </w:numPr>
        <w:rPr>
          <w:color w:val="auto"/>
          <w:lang w:val="it-IT"/>
        </w:rPr>
      </w:pPr>
      <w:r w:rsidRPr="00AD2787">
        <w:rPr>
          <w:color w:val="auto"/>
          <w:lang w:val="it-IT"/>
        </w:rPr>
        <w:t xml:space="preserve">U.O.C. Oncology, Azienda Ospedaliera Universitaria Integrata, University and Hospital Trust of Verona, Verona, Italy; </w:t>
      </w:r>
      <w:r w:rsidR="009354A7">
        <w:fldChar w:fldCharType="begin"/>
      </w:r>
      <w:r w:rsidR="009354A7">
        <w:instrText xml:space="preserve"> HYPERLINK "mailto:michele.milella@univr.it" </w:instrText>
      </w:r>
      <w:r w:rsidR="009354A7">
        <w:fldChar w:fldCharType="separate"/>
      </w:r>
      <w:r w:rsidR="005A0D50" w:rsidRPr="00AD2787">
        <w:rPr>
          <w:rStyle w:val="Hyperlink"/>
          <w:color w:val="auto"/>
          <w:lang w:val="it-IT"/>
        </w:rPr>
        <w:t>michele.milella@univr.it</w:t>
      </w:r>
      <w:r w:rsidR="009354A7">
        <w:rPr>
          <w:rStyle w:val="Hyperlink"/>
          <w:color w:val="auto"/>
          <w:lang w:val="it-IT"/>
        </w:rPr>
        <w:fldChar w:fldCharType="end"/>
      </w:r>
      <w:r w:rsidR="000732B9" w:rsidRPr="00AD2787">
        <w:rPr>
          <w:color w:val="auto"/>
          <w:lang w:val="it-IT"/>
        </w:rPr>
        <w:t>(MM)</w:t>
      </w:r>
    </w:p>
    <w:p w:rsidR="00634634" w:rsidRPr="00AD2787" w:rsidRDefault="00634634" w:rsidP="005A0D50">
      <w:pPr>
        <w:pStyle w:val="MDPI16affiliation"/>
        <w:numPr>
          <w:ilvl w:val="0"/>
          <w:numId w:val="15"/>
        </w:numPr>
        <w:rPr>
          <w:color w:val="auto"/>
          <w:lang w:val="it-IT"/>
        </w:rPr>
      </w:pPr>
      <w:r w:rsidRPr="00AD2787">
        <w:rPr>
          <w:color w:val="auto"/>
          <w:lang w:val="it-IT"/>
        </w:rPr>
        <w:t xml:space="preserve">Department of Medical Oncology, Istituto Scientifico Romagnolo per lo Studio e la Cura dei Tumori (IRST) IRCCS, Meldola, Italy; </w:t>
      </w:r>
      <w:r w:rsidR="009354A7">
        <w:fldChar w:fldCharType="begin"/>
      </w:r>
      <w:r w:rsidR="009354A7">
        <w:instrText xml:space="preserve"> HYPERLINK "mailto:ugo_degiorgi@yahoo.com" </w:instrText>
      </w:r>
      <w:r w:rsidR="009354A7">
        <w:fldChar w:fldCharType="separate"/>
      </w:r>
      <w:r w:rsidR="005A0D50" w:rsidRPr="00AD2787">
        <w:rPr>
          <w:rStyle w:val="Hyperlink"/>
          <w:color w:val="auto"/>
          <w:lang w:val="it-IT"/>
        </w:rPr>
        <w:t>ugo_degiorgi@yahoo.com</w:t>
      </w:r>
      <w:r w:rsidR="009354A7">
        <w:rPr>
          <w:rStyle w:val="Hyperlink"/>
          <w:color w:val="auto"/>
          <w:lang w:val="it-IT"/>
        </w:rPr>
        <w:fldChar w:fldCharType="end"/>
      </w:r>
      <w:r w:rsidR="000732B9" w:rsidRPr="00AD2787">
        <w:rPr>
          <w:color w:val="auto"/>
          <w:lang w:val="it-IT"/>
        </w:rPr>
        <w:t>(UDG)</w:t>
      </w:r>
    </w:p>
    <w:p w:rsidR="00634634" w:rsidRPr="00AD2787" w:rsidRDefault="00634634" w:rsidP="005A0D50">
      <w:pPr>
        <w:pStyle w:val="MDPI16affiliation"/>
        <w:numPr>
          <w:ilvl w:val="0"/>
          <w:numId w:val="15"/>
        </w:numPr>
        <w:rPr>
          <w:color w:val="auto"/>
        </w:rPr>
      </w:pPr>
      <w:r w:rsidRPr="00AD2787">
        <w:rPr>
          <w:color w:val="auto"/>
        </w:rPr>
        <w:t xml:space="preserve">Department of Medical Oncology, </w:t>
      </w:r>
      <w:proofErr w:type="spellStart"/>
      <w:r w:rsidRPr="00AD2787">
        <w:rPr>
          <w:color w:val="auto"/>
        </w:rPr>
        <w:t>IstitutoOncologico</w:t>
      </w:r>
      <w:proofErr w:type="spellEnd"/>
      <w:r w:rsidRPr="00AD2787">
        <w:rPr>
          <w:color w:val="auto"/>
        </w:rPr>
        <w:t xml:space="preserve"> Veneto (IOV) IRCCS, </w:t>
      </w:r>
      <w:proofErr w:type="spellStart"/>
      <w:r w:rsidRPr="00AD2787">
        <w:rPr>
          <w:color w:val="auto"/>
        </w:rPr>
        <w:t>Padova</w:t>
      </w:r>
      <w:proofErr w:type="spellEnd"/>
      <w:r w:rsidRPr="00AD2787">
        <w:rPr>
          <w:color w:val="auto"/>
        </w:rPr>
        <w:t xml:space="preserve">, Italy; </w:t>
      </w:r>
      <w:hyperlink r:id="rId12" w:history="1">
        <w:r w:rsidR="005A0D50" w:rsidRPr="00AD2787">
          <w:rPr>
            <w:rStyle w:val="Hyperlink"/>
            <w:color w:val="auto"/>
          </w:rPr>
          <w:t>umberto.basso@iov.veneto.it</w:t>
        </w:r>
      </w:hyperlink>
      <w:r w:rsidR="000732B9" w:rsidRPr="00AD2787">
        <w:rPr>
          <w:color w:val="auto"/>
        </w:rPr>
        <w:t>(UB)</w:t>
      </w:r>
    </w:p>
    <w:p w:rsidR="00634634" w:rsidRPr="00AD2787" w:rsidRDefault="00634634" w:rsidP="005A0D50">
      <w:pPr>
        <w:pStyle w:val="MDPI16affiliation"/>
        <w:numPr>
          <w:ilvl w:val="0"/>
          <w:numId w:val="15"/>
        </w:numPr>
        <w:rPr>
          <w:color w:val="auto"/>
        </w:rPr>
      </w:pPr>
      <w:r w:rsidRPr="00AD2787">
        <w:rPr>
          <w:color w:val="auto"/>
        </w:rPr>
        <w:t xml:space="preserve">Medical Oncology Division of Urogenital and Head and Neck </w:t>
      </w:r>
      <w:proofErr w:type="spellStart"/>
      <w:r w:rsidRPr="00AD2787">
        <w:rPr>
          <w:color w:val="auto"/>
        </w:rPr>
        <w:t>Tumours</w:t>
      </w:r>
      <w:proofErr w:type="spellEnd"/>
      <w:r w:rsidRPr="00AD2787">
        <w:rPr>
          <w:color w:val="auto"/>
        </w:rPr>
        <w:t xml:space="preserve">, IEO, European Institute of Oncology IRCCS, Milan, Italy; </w:t>
      </w:r>
      <w:hyperlink r:id="rId13" w:history="1">
        <w:r w:rsidR="005A0D50" w:rsidRPr="00AD2787">
          <w:rPr>
            <w:rStyle w:val="Hyperlink"/>
            <w:color w:val="auto"/>
          </w:rPr>
          <w:t>gaetano.aurilio@ieo.it</w:t>
        </w:r>
      </w:hyperlink>
      <w:r w:rsidR="000732B9" w:rsidRPr="00AD2787">
        <w:rPr>
          <w:color w:val="auto"/>
        </w:rPr>
        <w:t>(GA)</w:t>
      </w:r>
    </w:p>
    <w:p w:rsidR="00634634" w:rsidRPr="00AD2787" w:rsidRDefault="00634634" w:rsidP="005A0D50">
      <w:pPr>
        <w:pStyle w:val="MDPI16affiliation"/>
        <w:numPr>
          <w:ilvl w:val="0"/>
          <w:numId w:val="15"/>
        </w:numPr>
        <w:rPr>
          <w:color w:val="auto"/>
        </w:rPr>
      </w:pPr>
      <w:r w:rsidRPr="00AD2787">
        <w:rPr>
          <w:color w:val="auto"/>
        </w:rPr>
        <w:t xml:space="preserve">Department of Surgical, Oncological and Oral Sciences, Section of Medical Oncology, University of Palermo, Palermo, Italy; </w:t>
      </w:r>
      <w:hyperlink r:id="rId14" w:history="1">
        <w:r w:rsidR="005A0D50" w:rsidRPr="00AD2787">
          <w:rPr>
            <w:rStyle w:val="Hyperlink"/>
            <w:color w:val="auto"/>
          </w:rPr>
          <w:t>lorena.incorvaia@unipa.it</w:t>
        </w:r>
      </w:hyperlink>
      <w:r w:rsidR="000732B9" w:rsidRPr="00AD2787">
        <w:rPr>
          <w:color w:val="auto"/>
        </w:rPr>
        <w:t>(LI)</w:t>
      </w:r>
    </w:p>
    <w:p w:rsidR="00634634" w:rsidRPr="00AD2787" w:rsidRDefault="00634634" w:rsidP="005A0D50">
      <w:pPr>
        <w:pStyle w:val="MDPI16affiliation"/>
        <w:numPr>
          <w:ilvl w:val="0"/>
          <w:numId w:val="15"/>
        </w:numPr>
        <w:rPr>
          <w:color w:val="auto"/>
          <w:lang w:val="it-IT"/>
        </w:rPr>
      </w:pPr>
      <w:r w:rsidRPr="00AD2787">
        <w:rPr>
          <w:color w:val="auto"/>
          <w:lang w:val="it-IT"/>
        </w:rPr>
        <w:t xml:space="preserve">Dipartimento oncologico usl sud-est toscana-area senese, Località Campostaggia s.n.c. 53036 Poggibonsi, Italy; </w:t>
      </w:r>
      <w:r w:rsidR="009354A7">
        <w:fldChar w:fldCharType="begin"/>
      </w:r>
      <w:r w:rsidR="009354A7">
        <w:instrText xml:space="preserve"> HYPERLINK "mai</w:instrText>
      </w:r>
      <w:r w:rsidR="009354A7">
        <w:instrText xml:space="preserve">lto:angelo.martignetti@uslsudest.toscana.it" </w:instrText>
      </w:r>
      <w:r w:rsidR="009354A7">
        <w:fldChar w:fldCharType="separate"/>
      </w:r>
      <w:r w:rsidR="005A0D50" w:rsidRPr="00AD2787">
        <w:rPr>
          <w:rStyle w:val="Hyperlink"/>
          <w:color w:val="auto"/>
          <w:lang w:val="it-IT"/>
        </w:rPr>
        <w:t>angelo.martignetti@uslsudest.toscana.it</w:t>
      </w:r>
      <w:r w:rsidR="009354A7">
        <w:rPr>
          <w:rStyle w:val="Hyperlink"/>
          <w:color w:val="auto"/>
          <w:lang w:val="it-IT"/>
        </w:rPr>
        <w:fldChar w:fldCharType="end"/>
      </w:r>
      <w:r w:rsidR="000732B9" w:rsidRPr="00AD2787">
        <w:rPr>
          <w:color w:val="auto"/>
          <w:lang w:val="it-IT"/>
        </w:rPr>
        <w:t>(AM)</w:t>
      </w:r>
    </w:p>
    <w:p w:rsidR="00634634" w:rsidRPr="00AD2787" w:rsidRDefault="00634634" w:rsidP="005A0D50">
      <w:pPr>
        <w:pStyle w:val="MDPI16affiliation"/>
        <w:numPr>
          <w:ilvl w:val="0"/>
          <w:numId w:val="15"/>
        </w:numPr>
        <w:rPr>
          <w:color w:val="auto"/>
        </w:rPr>
      </w:pPr>
      <w:r w:rsidRPr="00AD2787">
        <w:rPr>
          <w:color w:val="auto"/>
        </w:rPr>
        <w:t xml:space="preserve">Medical Oncology, I.R.C.C.S. San Matteo University Hospital Foundation, Pavia, Italy; </w:t>
      </w:r>
      <w:hyperlink r:id="rId15" w:history="1">
        <w:r w:rsidR="005A0D50" w:rsidRPr="00AD2787">
          <w:rPr>
            <w:rStyle w:val="Hyperlink"/>
            <w:color w:val="auto"/>
          </w:rPr>
          <w:t>rizzo.mimma@gmail.com</w:t>
        </w:r>
      </w:hyperlink>
      <w:r w:rsidR="000732B9" w:rsidRPr="00AD2787">
        <w:rPr>
          <w:color w:val="auto"/>
        </w:rPr>
        <w:t>(MR)</w:t>
      </w:r>
    </w:p>
    <w:p w:rsidR="00634634" w:rsidRPr="00AD2787" w:rsidRDefault="00634634" w:rsidP="006A1016">
      <w:pPr>
        <w:pStyle w:val="MDPI16affiliation"/>
        <w:numPr>
          <w:ilvl w:val="0"/>
          <w:numId w:val="15"/>
        </w:numPr>
        <w:rPr>
          <w:color w:val="auto"/>
        </w:rPr>
      </w:pPr>
      <w:r w:rsidRPr="00AD2787">
        <w:rPr>
          <w:color w:val="auto"/>
        </w:rPr>
        <w:t xml:space="preserve">Department of Medical Oncology, AO "A. </w:t>
      </w:r>
      <w:proofErr w:type="spellStart"/>
      <w:r w:rsidRPr="00AD2787">
        <w:rPr>
          <w:color w:val="auto"/>
        </w:rPr>
        <w:t>Cardarelli</w:t>
      </w:r>
      <w:proofErr w:type="spellEnd"/>
      <w:r w:rsidRPr="00AD2787">
        <w:rPr>
          <w:color w:val="auto"/>
        </w:rPr>
        <w:t>," Naples, Italy;</w:t>
      </w:r>
      <w:hyperlink r:id="rId16" w:history="1">
        <w:r w:rsidR="006A1016" w:rsidRPr="00AD2787">
          <w:rPr>
            <w:rStyle w:val="Hyperlink"/>
            <w:color w:val="auto"/>
          </w:rPr>
          <w:t>cartenigiacomo@gmail.com</w:t>
        </w:r>
      </w:hyperlink>
      <w:r w:rsidR="000732B9" w:rsidRPr="00AD2787">
        <w:rPr>
          <w:color w:val="auto"/>
        </w:rPr>
        <w:t>(GC)</w:t>
      </w:r>
    </w:p>
    <w:p w:rsidR="00634634" w:rsidRPr="00AD2787" w:rsidRDefault="00634634" w:rsidP="006A1016">
      <w:pPr>
        <w:pStyle w:val="MDPI16affiliation"/>
        <w:numPr>
          <w:ilvl w:val="0"/>
          <w:numId w:val="15"/>
        </w:numPr>
        <w:rPr>
          <w:color w:val="auto"/>
        </w:rPr>
      </w:pPr>
      <w:r w:rsidRPr="00AD2787">
        <w:rPr>
          <w:color w:val="auto"/>
        </w:rPr>
        <w:t xml:space="preserve">Department of Medical Oncology, MD Anderson Cancer Center, Madrid, </w:t>
      </w:r>
      <w:proofErr w:type="spellStart"/>
      <w:r w:rsidRPr="00AD2787">
        <w:rPr>
          <w:color w:val="auto"/>
        </w:rPr>
        <w:t>Spain;</w:t>
      </w:r>
      <w:hyperlink r:id="rId17" w:history="1">
        <w:r w:rsidR="006A1016" w:rsidRPr="00AD2787">
          <w:rPr>
            <w:rStyle w:val="Hyperlink"/>
            <w:color w:val="auto"/>
          </w:rPr>
          <w:t>egrande@mdanderson.es</w:t>
        </w:r>
        <w:proofErr w:type="spellEnd"/>
      </w:hyperlink>
      <w:r w:rsidR="000732B9" w:rsidRPr="00AD2787">
        <w:rPr>
          <w:color w:val="auto"/>
        </w:rPr>
        <w:t>(EG)</w:t>
      </w:r>
    </w:p>
    <w:p w:rsidR="00634634" w:rsidRPr="00AD2787" w:rsidRDefault="00634634" w:rsidP="006A1016">
      <w:pPr>
        <w:pStyle w:val="MDPI16affiliation"/>
        <w:numPr>
          <w:ilvl w:val="0"/>
          <w:numId w:val="15"/>
        </w:numPr>
        <w:rPr>
          <w:color w:val="auto"/>
        </w:rPr>
      </w:pPr>
      <w:r w:rsidRPr="00AD2787">
        <w:rPr>
          <w:color w:val="auto"/>
        </w:rPr>
        <w:t xml:space="preserve">Department of Internal Medicine, Hematology/Oncology, </w:t>
      </w:r>
      <w:proofErr w:type="spellStart"/>
      <w:r w:rsidRPr="00AD2787">
        <w:rPr>
          <w:color w:val="auto"/>
        </w:rPr>
        <w:t>Ochsner</w:t>
      </w:r>
      <w:proofErr w:type="spellEnd"/>
      <w:r w:rsidRPr="00AD2787">
        <w:rPr>
          <w:color w:val="auto"/>
        </w:rPr>
        <w:t xml:space="preserve"> Medical Center, New Orleans, LA, United States;</w:t>
      </w:r>
      <w:hyperlink r:id="rId18" w:history="1">
        <w:r w:rsidR="006A1016" w:rsidRPr="00AD2787">
          <w:rPr>
            <w:rStyle w:val="Hyperlink"/>
            <w:color w:val="auto"/>
          </w:rPr>
          <w:t>mamatrana@ochsner.org</w:t>
        </w:r>
      </w:hyperlink>
      <w:r w:rsidR="000732B9" w:rsidRPr="00AD2787">
        <w:rPr>
          <w:color w:val="auto"/>
        </w:rPr>
        <w:t>(MRM)</w:t>
      </w:r>
    </w:p>
    <w:p w:rsidR="00634634" w:rsidRPr="00AD2787" w:rsidRDefault="00634634" w:rsidP="005A0D50">
      <w:pPr>
        <w:pStyle w:val="MDPI16affiliation"/>
        <w:numPr>
          <w:ilvl w:val="0"/>
          <w:numId w:val="15"/>
        </w:numPr>
        <w:rPr>
          <w:color w:val="auto"/>
        </w:rPr>
      </w:pPr>
      <w:r w:rsidRPr="00AD2787">
        <w:rPr>
          <w:color w:val="auto"/>
        </w:rPr>
        <w:t>Southampton Clinical Trials Unit, University of Southampton, Southampton, United Kingdom;</w:t>
      </w:r>
      <w:hyperlink r:id="rId19" w:history="1">
        <w:r w:rsidR="005A0D50" w:rsidRPr="00AD2787">
          <w:rPr>
            <w:rStyle w:val="Hyperlink"/>
            <w:color w:val="auto"/>
          </w:rPr>
          <w:t>S.J.Crabb@southampton.ac.uk</w:t>
        </w:r>
      </w:hyperlink>
      <w:r w:rsidR="000732B9" w:rsidRPr="00AD2787">
        <w:rPr>
          <w:color w:val="auto"/>
        </w:rPr>
        <w:t>(SJC)</w:t>
      </w:r>
    </w:p>
    <w:p w:rsidR="00634634" w:rsidRPr="00AD2787" w:rsidRDefault="00634634" w:rsidP="005A0D50">
      <w:pPr>
        <w:pStyle w:val="MDPI16affiliation"/>
        <w:numPr>
          <w:ilvl w:val="0"/>
          <w:numId w:val="15"/>
        </w:numPr>
        <w:rPr>
          <w:color w:val="auto"/>
        </w:rPr>
      </w:pPr>
      <w:r w:rsidRPr="00AD2787">
        <w:rPr>
          <w:color w:val="auto"/>
        </w:rPr>
        <w:t xml:space="preserve">Urologic Oncology, </w:t>
      </w:r>
      <w:proofErr w:type="spellStart"/>
      <w:r w:rsidRPr="00AD2787">
        <w:rPr>
          <w:color w:val="auto"/>
        </w:rPr>
        <w:t>Champalimaud</w:t>
      </w:r>
      <w:proofErr w:type="spellEnd"/>
      <w:r w:rsidRPr="00AD2787">
        <w:rPr>
          <w:color w:val="auto"/>
        </w:rPr>
        <w:t xml:space="preserve"> Clini</w:t>
      </w:r>
      <w:r w:rsidR="005A0D50" w:rsidRPr="00AD2787">
        <w:rPr>
          <w:color w:val="auto"/>
        </w:rPr>
        <w:t xml:space="preserve">cal Center, Lisbon, </w:t>
      </w:r>
      <w:proofErr w:type="spellStart"/>
      <w:r w:rsidR="005A0D50" w:rsidRPr="00AD2787">
        <w:rPr>
          <w:color w:val="auto"/>
        </w:rPr>
        <w:t>Portugal;</w:t>
      </w:r>
      <w:hyperlink r:id="rId20" w:history="1">
        <w:r w:rsidR="005A0D50" w:rsidRPr="00AD2787">
          <w:rPr>
            <w:rStyle w:val="Hyperlink"/>
            <w:color w:val="auto"/>
          </w:rPr>
          <w:t>nuno.vau@fundacaochampalimaud.pt</w:t>
        </w:r>
        <w:proofErr w:type="spellEnd"/>
      </w:hyperlink>
      <w:r w:rsidR="000732B9" w:rsidRPr="00AD2787">
        <w:rPr>
          <w:color w:val="auto"/>
        </w:rPr>
        <w:t>(NV)</w:t>
      </w:r>
    </w:p>
    <w:p w:rsidR="00634634" w:rsidRPr="00AD2787" w:rsidRDefault="00634634" w:rsidP="00634634">
      <w:pPr>
        <w:pStyle w:val="MDPI16affiliation"/>
        <w:numPr>
          <w:ilvl w:val="0"/>
          <w:numId w:val="15"/>
        </w:numPr>
        <w:rPr>
          <w:color w:val="auto"/>
        </w:rPr>
      </w:pPr>
      <w:r w:rsidRPr="00AD2787">
        <w:rPr>
          <w:color w:val="auto"/>
        </w:rPr>
        <w:t>Section of Pathological Anatomy, Polytechnic University of the Marche Region, School of Medicine, Unit</w:t>
      </w:r>
      <w:r w:rsidR="005A0D50" w:rsidRPr="00AD2787">
        <w:rPr>
          <w:color w:val="auto"/>
        </w:rPr>
        <w:t xml:space="preserve">ed Hospitals, Ancona, Italy; </w:t>
      </w:r>
      <w:hyperlink r:id="rId21" w:history="1">
        <w:r w:rsidR="005A0D50" w:rsidRPr="00AD2787">
          <w:rPr>
            <w:rStyle w:val="Hyperlink"/>
            <w:color w:val="auto"/>
          </w:rPr>
          <w:t>a.cimadamore@staff.univpm.it</w:t>
        </w:r>
      </w:hyperlink>
      <w:r w:rsidR="000732B9" w:rsidRPr="00AD2787">
        <w:rPr>
          <w:color w:val="auto"/>
        </w:rPr>
        <w:t>(AC)</w:t>
      </w:r>
      <w:r w:rsidR="005A0D50" w:rsidRPr="00AD2787">
        <w:rPr>
          <w:color w:val="auto"/>
        </w:rPr>
        <w:t xml:space="preserve">; </w:t>
      </w:r>
      <w:hyperlink r:id="rId22" w:history="1">
        <w:r w:rsidR="005A0D50" w:rsidRPr="00AD2787">
          <w:rPr>
            <w:rStyle w:val="Hyperlink"/>
            <w:color w:val="auto"/>
          </w:rPr>
          <w:t>r.montironi@staff.univpm.it</w:t>
        </w:r>
      </w:hyperlink>
      <w:r w:rsidR="000732B9" w:rsidRPr="00AD2787">
        <w:rPr>
          <w:color w:val="auto"/>
        </w:rPr>
        <w:t>(RM)</w:t>
      </w:r>
    </w:p>
    <w:p w:rsidR="007C1CDA" w:rsidRPr="00AD2787" w:rsidRDefault="007C1CDA" w:rsidP="00634634">
      <w:pPr>
        <w:pStyle w:val="MDPI16affiliation"/>
        <w:ind w:left="0" w:firstLine="0"/>
        <w:rPr>
          <w:color w:val="auto"/>
        </w:rPr>
      </w:pPr>
    </w:p>
    <w:p w:rsidR="007C1CDA" w:rsidRPr="00AD2787" w:rsidRDefault="007C1CDA" w:rsidP="00634634">
      <w:pPr>
        <w:pStyle w:val="MDPI16affiliation"/>
        <w:rPr>
          <w:color w:val="auto"/>
          <w:lang w:val="it-IT"/>
        </w:rPr>
      </w:pPr>
      <w:r w:rsidRPr="00AD2787">
        <w:rPr>
          <w:color w:val="auto"/>
          <w:lang w:val="it-IT"/>
        </w:rPr>
        <w:t>*</w:t>
      </w:r>
      <w:r w:rsidRPr="00AD2787">
        <w:rPr>
          <w:color w:val="auto"/>
          <w:lang w:val="it-IT"/>
        </w:rPr>
        <w:tab/>
        <w:t xml:space="preserve">Correspondence: </w:t>
      </w:r>
      <w:r w:rsidR="00634634" w:rsidRPr="00AD2787">
        <w:rPr>
          <w:color w:val="auto"/>
          <w:lang w:val="it-IT"/>
        </w:rPr>
        <w:t xml:space="preserve">Matteo Santoni, MD, Phone number: +3907332572553; e-mail: </w:t>
      </w:r>
      <w:r w:rsidR="009354A7">
        <w:fldChar w:fldCharType="begin"/>
      </w:r>
      <w:r w:rsidR="009354A7">
        <w:instrText xml:space="preserve"> HYPERLINK "mailto:mattymo@alice.it" </w:instrText>
      </w:r>
      <w:r w:rsidR="009354A7">
        <w:fldChar w:fldCharType="separate"/>
      </w:r>
      <w:r w:rsidR="00634634" w:rsidRPr="00AD2787">
        <w:rPr>
          <w:rStyle w:val="Hyperlink"/>
          <w:color w:val="auto"/>
          <w:lang w:val="it-IT"/>
        </w:rPr>
        <w:t>mattymo@alice.it</w:t>
      </w:r>
      <w:r w:rsidR="009354A7">
        <w:rPr>
          <w:rStyle w:val="Hyperlink"/>
          <w:color w:val="auto"/>
          <w:lang w:val="it-IT"/>
        </w:rPr>
        <w:fldChar w:fldCharType="end"/>
      </w:r>
    </w:p>
    <w:p w:rsidR="007C1CDA" w:rsidRPr="00AD2787" w:rsidRDefault="007C1CDA" w:rsidP="00634634">
      <w:pPr>
        <w:pStyle w:val="MDPI17abstract"/>
        <w:rPr>
          <w:color w:val="auto"/>
          <w:szCs w:val="18"/>
        </w:rPr>
      </w:pPr>
      <w:r w:rsidRPr="00AD2787">
        <w:rPr>
          <w:b/>
          <w:color w:val="auto"/>
          <w:szCs w:val="18"/>
        </w:rPr>
        <w:t xml:space="preserve">Abstract: </w:t>
      </w:r>
      <w:r w:rsidR="00634634" w:rsidRPr="00AD2787">
        <w:rPr>
          <w:color w:val="auto"/>
          <w:szCs w:val="18"/>
        </w:rPr>
        <w:t xml:space="preserve">We analyzed the clinical and pathological features of RCC patients treated with cabozantinib stratified by Body Mass Index (BMI). We retrospectively collected data from 16 worldwide centers involved in the treatment of RCC. Overall survival (OS) and progression-free survival (PFS) were analyzed using Kaplan-Meier curves. Cox proportional models were used at univariate and multivariate analyses. </w:t>
      </w:r>
      <w:r w:rsidR="00634634" w:rsidRPr="00AD2787">
        <w:rPr>
          <w:rFonts w:hint="eastAsia"/>
          <w:color w:val="auto"/>
          <w:szCs w:val="18"/>
        </w:rPr>
        <w:t>We collected data from 224 patients with advanced RCC receiving Cabozantinib as second (113, 5%) or third-line (111, 5%) therapy. The median PFS was significantly higher in patients with BMI ≥ 25 (9.9 vs 7.6 months, p &lt;0.001). The median OS resulted higher in the BMI ≥ 25 subgroup (30.7 vs 11.0 months, p=0.003). As third-line therapy, both median PFS (9.2 months, vs 3.9 months, p = 0.029) and OS (39.4 vs 11.5 months, p = 0.039) were longer in patients with BMI ≥ 25. BMI was a significant predict</w:t>
      </w:r>
      <w:r w:rsidR="00634634" w:rsidRPr="00AD2787">
        <w:rPr>
          <w:color w:val="auto"/>
          <w:szCs w:val="18"/>
        </w:rPr>
        <w:t xml:space="preserve">or for both PFS and OS at multivariate analysis. </w:t>
      </w:r>
      <w:r w:rsidR="00634634" w:rsidRPr="00AD2787">
        <w:rPr>
          <w:rFonts w:hint="eastAsia"/>
          <w:color w:val="auto"/>
          <w:szCs w:val="18"/>
        </w:rPr>
        <w:lastRenderedPageBreak/>
        <w:t>We showed that a BMI ≥ 25 correlates with longer survival in patients receiving cabozantinib. BMI can be easily carried out and should be included into current prognostic criteria for advanced RCC.</w:t>
      </w:r>
    </w:p>
    <w:p w:rsidR="007C1CDA" w:rsidRPr="00AD2787" w:rsidRDefault="007C1CDA" w:rsidP="007C1CDA">
      <w:pPr>
        <w:pStyle w:val="MDPI18keywords"/>
        <w:rPr>
          <w:color w:val="auto"/>
          <w:szCs w:val="18"/>
        </w:rPr>
      </w:pPr>
      <w:r w:rsidRPr="00AD2787">
        <w:rPr>
          <w:b/>
          <w:color w:val="auto"/>
          <w:szCs w:val="18"/>
        </w:rPr>
        <w:t xml:space="preserve">Keywords: </w:t>
      </w:r>
      <w:r w:rsidR="00634634" w:rsidRPr="00AD2787">
        <w:rPr>
          <w:color w:val="auto"/>
          <w:szCs w:val="18"/>
        </w:rPr>
        <w:t>Body Mass Index; Cabozantinib; Obesity; Prognosis; Real-world data; Renal Cell Carcinoma; Targeted therapy;</w:t>
      </w:r>
    </w:p>
    <w:p w:rsidR="007C1CDA" w:rsidRPr="00AD2787" w:rsidRDefault="007C1CDA" w:rsidP="007C1CDA">
      <w:pPr>
        <w:pStyle w:val="MDPI19line"/>
        <w:rPr>
          <w:color w:val="auto"/>
        </w:rPr>
      </w:pPr>
    </w:p>
    <w:p w:rsidR="007C1CDA" w:rsidRPr="00AD2787" w:rsidRDefault="007C1CDA" w:rsidP="007C1CDA">
      <w:pPr>
        <w:pStyle w:val="MDPI21heading1"/>
        <w:rPr>
          <w:color w:val="auto"/>
          <w:lang w:eastAsia="zh-CN"/>
        </w:rPr>
      </w:pPr>
      <w:r w:rsidRPr="00AD2787">
        <w:rPr>
          <w:color w:val="auto"/>
          <w:lang w:eastAsia="zh-CN"/>
        </w:rPr>
        <w:t>1. Introduction</w:t>
      </w:r>
    </w:p>
    <w:p w:rsidR="00634634" w:rsidRPr="00AD2787" w:rsidRDefault="00634634" w:rsidP="00634634">
      <w:pPr>
        <w:pStyle w:val="MDPI21heading1"/>
        <w:jc w:val="both"/>
        <w:rPr>
          <w:b w:val="0"/>
          <w:color w:val="auto"/>
        </w:rPr>
      </w:pPr>
      <w:r w:rsidRPr="00AD2787">
        <w:rPr>
          <w:b w:val="0"/>
          <w:color w:val="auto"/>
        </w:rPr>
        <w:t xml:space="preserve">The American Cancer Society has estimated a total of </w:t>
      </w:r>
      <w:r w:rsidR="005A2CC2" w:rsidRPr="00AD2787">
        <w:rPr>
          <w:b w:val="0"/>
          <w:color w:val="auto"/>
        </w:rPr>
        <w:t xml:space="preserve">73,750 new cases of kidney </w:t>
      </w:r>
      <w:proofErr w:type="spellStart"/>
      <w:r w:rsidR="005A2CC2" w:rsidRPr="00AD2787">
        <w:rPr>
          <w:b w:val="0"/>
          <w:color w:val="auto"/>
        </w:rPr>
        <w:t>tumours</w:t>
      </w:r>
      <w:proofErr w:type="spellEnd"/>
      <w:r w:rsidR="005A2CC2" w:rsidRPr="00AD2787">
        <w:rPr>
          <w:b w:val="0"/>
          <w:color w:val="auto"/>
        </w:rPr>
        <w:t xml:space="preserve"> (45,520 men and 28,230 women) in 2020 in the United </w:t>
      </w:r>
      <w:proofErr w:type="spellStart"/>
      <w:r w:rsidR="005A2CC2" w:rsidRPr="00AD2787">
        <w:rPr>
          <w:b w:val="0"/>
          <w:color w:val="auto"/>
        </w:rPr>
        <w:t>States</w:t>
      </w:r>
      <w:proofErr w:type="gramStart"/>
      <w:r w:rsidR="002902E5" w:rsidRPr="00AD2787">
        <w:rPr>
          <w:b w:val="0"/>
          <w:color w:val="auto"/>
        </w:rPr>
        <w:t>,</w:t>
      </w:r>
      <w:r w:rsidRPr="00AD2787">
        <w:rPr>
          <w:b w:val="0"/>
          <w:color w:val="auto"/>
        </w:rPr>
        <w:t>with</w:t>
      </w:r>
      <w:proofErr w:type="spellEnd"/>
      <w:proofErr w:type="gramEnd"/>
      <w:r w:rsidRPr="00AD2787">
        <w:rPr>
          <w:b w:val="0"/>
          <w:color w:val="auto"/>
        </w:rPr>
        <w:t xml:space="preserve"> more than 14000 cancer-related deaths [1]. Recently, we reported the results of an Artificial Neural Networks (ANN) model to predict the incidence of Renal Cell Carcinoma (RCC) in the United States for the future decades [2]. We showed that RCC incidence will increase in the next years, thus supporting the necessity of more accurate studies on the prevention of RCC-related risk factors in order to reduce future </w:t>
      </w:r>
      <w:proofErr w:type="spellStart"/>
      <w:r w:rsidRPr="00AD2787">
        <w:rPr>
          <w:b w:val="0"/>
          <w:color w:val="auto"/>
        </w:rPr>
        <w:t>tumour</w:t>
      </w:r>
      <w:proofErr w:type="spellEnd"/>
      <w:r w:rsidRPr="00AD2787">
        <w:rPr>
          <w:b w:val="0"/>
          <w:color w:val="auto"/>
        </w:rPr>
        <w:t xml:space="preserve"> burden [2].</w:t>
      </w:r>
    </w:p>
    <w:p w:rsidR="00634634" w:rsidRPr="00AD2787" w:rsidRDefault="00634634" w:rsidP="00634634">
      <w:pPr>
        <w:pStyle w:val="MDPI21heading1"/>
        <w:jc w:val="both"/>
        <w:rPr>
          <w:b w:val="0"/>
          <w:color w:val="auto"/>
        </w:rPr>
      </w:pPr>
      <w:r w:rsidRPr="00AD2787">
        <w:rPr>
          <w:b w:val="0"/>
          <w:color w:val="auto"/>
        </w:rPr>
        <w:t xml:space="preserve">Beyond its </w:t>
      </w:r>
      <w:proofErr w:type="spellStart"/>
      <w:r w:rsidRPr="00AD2787">
        <w:rPr>
          <w:b w:val="0"/>
          <w:color w:val="auto"/>
        </w:rPr>
        <w:t>well known</w:t>
      </w:r>
      <w:proofErr w:type="spellEnd"/>
      <w:r w:rsidRPr="00AD2787">
        <w:rPr>
          <w:b w:val="0"/>
          <w:color w:val="auto"/>
        </w:rPr>
        <w:t xml:space="preserve"> role as a risk factor for the development of RCC, obesity is emerging also as a potential key factor for response to therapy [3]. A growing body of evidences suggest</w:t>
      </w:r>
      <w:r w:rsidR="005A2CC2" w:rsidRPr="00AD2787">
        <w:rPr>
          <w:b w:val="0"/>
          <w:color w:val="auto"/>
        </w:rPr>
        <w:t>s</w:t>
      </w:r>
      <w:r w:rsidRPr="00AD2787">
        <w:rPr>
          <w:b w:val="0"/>
          <w:color w:val="auto"/>
        </w:rPr>
        <w:t xml:space="preserve"> that </w:t>
      </w:r>
      <w:r w:rsidR="005A2CC2" w:rsidRPr="00AD2787">
        <w:rPr>
          <w:b w:val="0"/>
          <w:color w:val="auto"/>
        </w:rPr>
        <w:t xml:space="preserve">being </w:t>
      </w:r>
      <w:r w:rsidRPr="00AD2787">
        <w:rPr>
          <w:b w:val="0"/>
          <w:color w:val="auto"/>
        </w:rPr>
        <w:t>overweight and obesity are associated with better outcome in cancer patients treated with immunotherapy [4</w:t>
      </w:r>
      <w:proofErr w:type="gramStart"/>
      <w:r w:rsidRPr="00AD2787">
        <w:rPr>
          <w:b w:val="0"/>
          <w:color w:val="auto"/>
        </w:rPr>
        <w:t>,5</w:t>
      </w:r>
      <w:proofErr w:type="gramEnd"/>
      <w:r w:rsidRPr="00AD2787">
        <w:rPr>
          <w:b w:val="0"/>
          <w:color w:val="auto"/>
        </w:rPr>
        <w:t xml:space="preserve">]. At this regard, Sanchez et al. investigated the </w:t>
      </w:r>
      <w:proofErr w:type="spellStart"/>
      <w:r w:rsidRPr="00AD2787">
        <w:rPr>
          <w:b w:val="0"/>
          <w:color w:val="auto"/>
        </w:rPr>
        <w:t>angiogenic</w:t>
      </w:r>
      <w:proofErr w:type="spellEnd"/>
      <w:r w:rsidRPr="00AD2787">
        <w:rPr>
          <w:b w:val="0"/>
          <w:color w:val="auto"/>
        </w:rPr>
        <w:t xml:space="preserve"> and immunologic transcriptomic profiles of the primary tumor and perinephric adipose tissue in normal weight and obese RCC patients. They reported that </w:t>
      </w:r>
      <w:proofErr w:type="spellStart"/>
      <w:r w:rsidRPr="00AD2787">
        <w:rPr>
          <w:b w:val="0"/>
          <w:color w:val="auto"/>
        </w:rPr>
        <w:t>tumours</w:t>
      </w:r>
      <w:proofErr w:type="spellEnd"/>
      <w:r w:rsidRPr="00AD2787">
        <w:rPr>
          <w:b w:val="0"/>
          <w:color w:val="auto"/>
        </w:rPr>
        <w:t xml:space="preserve"> from obese patients were enriched in the expression of Vascular Endothelial Growth Factor (VEGF) and related proteins. Moreover, a higher proportion of </w:t>
      </w:r>
      <w:proofErr w:type="spellStart"/>
      <w:r w:rsidRPr="00AD2787">
        <w:rPr>
          <w:b w:val="0"/>
          <w:color w:val="auto"/>
        </w:rPr>
        <w:t>plasmacytoid</w:t>
      </w:r>
      <w:proofErr w:type="spellEnd"/>
      <w:r w:rsidRPr="00AD2787">
        <w:rPr>
          <w:b w:val="0"/>
          <w:color w:val="auto"/>
        </w:rPr>
        <w:t xml:space="preserve"> dendritic cells (</w:t>
      </w:r>
      <w:proofErr w:type="spellStart"/>
      <w:r w:rsidRPr="00AD2787">
        <w:rPr>
          <w:b w:val="0"/>
          <w:color w:val="auto"/>
        </w:rPr>
        <w:t>pDCs</w:t>
      </w:r>
      <w:proofErr w:type="spellEnd"/>
      <w:r w:rsidRPr="00AD2787">
        <w:rPr>
          <w:b w:val="0"/>
          <w:color w:val="auto"/>
        </w:rPr>
        <w:t>) and mast cells and a lower proportion of innate lymphoid cells (NK_CD56bright_cells) were observed in obese RCC patients</w:t>
      </w:r>
      <w:r w:rsidR="004C4649" w:rsidRPr="00AD2787">
        <w:rPr>
          <w:b w:val="0"/>
          <w:color w:val="auto"/>
        </w:rPr>
        <w:t xml:space="preserve"> [6]</w:t>
      </w:r>
      <w:r w:rsidRPr="00AD2787">
        <w:rPr>
          <w:b w:val="0"/>
          <w:color w:val="auto"/>
        </w:rPr>
        <w:t>. In this context, leptin levels in obese subjects have been correlated to higher T cell Programmed Death (PD)-1 expression and improved response to anti-PD-1 therapy [7</w:t>
      </w:r>
      <w:proofErr w:type="gramStart"/>
      <w:r w:rsidRPr="00AD2787">
        <w:rPr>
          <w:b w:val="0"/>
          <w:color w:val="auto"/>
        </w:rPr>
        <w:t>,8</w:t>
      </w:r>
      <w:proofErr w:type="gramEnd"/>
      <w:r w:rsidRPr="00AD2787">
        <w:rPr>
          <w:b w:val="0"/>
          <w:color w:val="auto"/>
        </w:rPr>
        <w:t>].</w:t>
      </w:r>
    </w:p>
    <w:p w:rsidR="00634634" w:rsidRPr="00AD2787" w:rsidRDefault="00634634" w:rsidP="00634634">
      <w:pPr>
        <w:pStyle w:val="MDPI21heading1"/>
        <w:jc w:val="both"/>
        <w:rPr>
          <w:b w:val="0"/>
          <w:color w:val="auto"/>
        </w:rPr>
      </w:pPr>
      <w:r w:rsidRPr="00AD2787">
        <w:rPr>
          <w:b w:val="0"/>
          <w:color w:val="auto"/>
        </w:rPr>
        <w:t xml:space="preserve">Cabozantinib is an orally administered tyrosine kinase inhibitor </w:t>
      </w:r>
      <w:r w:rsidR="002902E5" w:rsidRPr="00AD2787">
        <w:rPr>
          <w:b w:val="0"/>
          <w:color w:val="auto"/>
        </w:rPr>
        <w:t>(</w:t>
      </w:r>
      <w:r w:rsidR="005A2CC2" w:rsidRPr="00AD2787">
        <w:rPr>
          <w:b w:val="0"/>
          <w:color w:val="auto"/>
        </w:rPr>
        <w:t>TKI</w:t>
      </w:r>
      <w:r w:rsidR="002902E5" w:rsidRPr="00AD2787">
        <w:rPr>
          <w:b w:val="0"/>
          <w:color w:val="auto"/>
        </w:rPr>
        <w:t xml:space="preserve">) </w:t>
      </w:r>
      <w:r w:rsidRPr="00AD2787">
        <w:rPr>
          <w:b w:val="0"/>
          <w:color w:val="auto"/>
        </w:rPr>
        <w:t xml:space="preserve">acting mainly on </w:t>
      </w:r>
      <w:proofErr w:type="gramStart"/>
      <w:r w:rsidRPr="00AD2787">
        <w:rPr>
          <w:b w:val="0"/>
          <w:color w:val="auto"/>
        </w:rPr>
        <w:t>VEGFR2</w:t>
      </w:r>
      <w:r w:rsidR="005A2CC2" w:rsidRPr="00AD2787">
        <w:rPr>
          <w:b w:val="0"/>
          <w:color w:val="auto"/>
        </w:rPr>
        <w:t>(</w:t>
      </w:r>
      <w:proofErr w:type="gramEnd"/>
      <w:r w:rsidR="005A2CC2" w:rsidRPr="00AD2787">
        <w:rPr>
          <w:b w:val="0"/>
          <w:color w:val="auto"/>
        </w:rPr>
        <w:t xml:space="preserve">VEGF receptor 2), </w:t>
      </w:r>
      <w:r w:rsidRPr="00AD2787">
        <w:rPr>
          <w:b w:val="0"/>
          <w:color w:val="auto"/>
        </w:rPr>
        <w:t>MET (mesenchymal epithelial transition receptor) and AXL (</w:t>
      </w:r>
      <w:proofErr w:type="spellStart"/>
      <w:r w:rsidRPr="00AD2787">
        <w:rPr>
          <w:b w:val="0"/>
          <w:color w:val="auto"/>
        </w:rPr>
        <w:t>anexelekto</w:t>
      </w:r>
      <w:proofErr w:type="spellEnd"/>
      <w:r w:rsidRPr="00AD2787">
        <w:rPr>
          <w:b w:val="0"/>
          <w:color w:val="auto"/>
        </w:rPr>
        <w:t xml:space="preserve"> pathway) [9]. Currently, cabozantinib is approved for the treatment of patients with metastatic RCC in treatment-naïve adults with intermediate or poor-risk features and for adults progressed to prior vascular endothelial growth factor/receptor inhibitors. In 2019, we reported the results of an international retrospective real-world analysis on cabozantinib in previously treated patients with metastatic RCC, aimed at investigating the presence of prognostic factors in this context [10]. We observed that both </w:t>
      </w:r>
      <w:proofErr w:type="spellStart"/>
      <w:r w:rsidRPr="00AD2787">
        <w:rPr>
          <w:b w:val="0"/>
          <w:color w:val="auto"/>
        </w:rPr>
        <w:t>haemoglobin</w:t>
      </w:r>
      <w:proofErr w:type="spellEnd"/>
      <w:r w:rsidRPr="00AD2787">
        <w:rPr>
          <w:b w:val="0"/>
          <w:color w:val="auto"/>
        </w:rPr>
        <w:t xml:space="preserve"> (</w:t>
      </w:r>
      <w:proofErr w:type="spellStart"/>
      <w:r w:rsidRPr="00AD2787">
        <w:rPr>
          <w:b w:val="0"/>
          <w:color w:val="auto"/>
        </w:rPr>
        <w:t>Hb</w:t>
      </w:r>
      <w:proofErr w:type="spellEnd"/>
      <w:r w:rsidRPr="00AD2787">
        <w:rPr>
          <w:b w:val="0"/>
          <w:color w:val="auto"/>
        </w:rPr>
        <w:t xml:space="preserve">) levels and International Metastatic Renal Cell Carcinoma Database Consortium (IMDC) prognostic </w:t>
      </w:r>
      <w:proofErr w:type="spellStart"/>
      <w:r w:rsidR="005A2CC2" w:rsidRPr="00AD2787">
        <w:rPr>
          <w:b w:val="0"/>
          <w:color w:val="auto"/>
        </w:rPr>
        <w:t>models</w:t>
      </w:r>
      <w:r w:rsidRPr="00AD2787">
        <w:rPr>
          <w:b w:val="0"/>
          <w:color w:val="auto"/>
        </w:rPr>
        <w:t>were</w:t>
      </w:r>
      <w:proofErr w:type="spellEnd"/>
      <w:r w:rsidRPr="00AD2787">
        <w:rPr>
          <w:b w:val="0"/>
          <w:color w:val="auto"/>
        </w:rPr>
        <w:t xml:space="preserve"> associated with the outcome of patients receiving cabozantinib [10]. Furthermore, the median Time to Strategy Failure (TTSF) was 11.57 months with the sequence cabozantinib–nivolumab and 25.64 months with nivolumab–cabozantinib [10]. </w:t>
      </w:r>
    </w:p>
    <w:p w:rsidR="00634634" w:rsidRPr="00AD2787" w:rsidRDefault="00634634" w:rsidP="00634634">
      <w:pPr>
        <w:pStyle w:val="MDPI21heading1"/>
        <w:jc w:val="both"/>
        <w:rPr>
          <w:b w:val="0"/>
          <w:color w:val="auto"/>
        </w:rPr>
      </w:pPr>
      <w:r w:rsidRPr="00AD2787">
        <w:rPr>
          <w:b w:val="0"/>
          <w:color w:val="auto"/>
        </w:rPr>
        <w:t xml:space="preserve">On this latter scenario, may we classify </w:t>
      </w:r>
      <w:r w:rsidR="005A2CC2" w:rsidRPr="00AD2787">
        <w:rPr>
          <w:b w:val="0"/>
          <w:color w:val="auto"/>
        </w:rPr>
        <w:t xml:space="preserve">being </w:t>
      </w:r>
      <w:r w:rsidRPr="00AD2787">
        <w:rPr>
          <w:b w:val="0"/>
          <w:color w:val="auto"/>
        </w:rPr>
        <w:t xml:space="preserve">overweight and obesity as eventual predictive factors of </w:t>
      </w:r>
      <w:proofErr w:type="spellStart"/>
      <w:r w:rsidRPr="00AD2787">
        <w:rPr>
          <w:b w:val="0"/>
          <w:color w:val="auto"/>
        </w:rPr>
        <w:t>tumour</w:t>
      </w:r>
      <w:proofErr w:type="spellEnd"/>
      <w:r w:rsidRPr="00AD2787">
        <w:rPr>
          <w:b w:val="0"/>
          <w:color w:val="auto"/>
        </w:rPr>
        <w:t xml:space="preserve"> response to immunotherapy in metastatic RCC? Hence, as a consequence, can we base our choice between Cabozantinib and Nivolumab as second or third-line therapy on patient weight or Body Mass Index (BMI)? To answer this question, we performed an international </w:t>
      </w:r>
      <w:proofErr w:type="spellStart"/>
      <w:r w:rsidRPr="00AD2787">
        <w:rPr>
          <w:b w:val="0"/>
          <w:color w:val="auto"/>
        </w:rPr>
        <w:t>multicentre</w:t>
      </w:r>
      <w:proofErr w:type="spellEnd"/>
      <w:r w:rsidRPr="00AD2787">
        <w:rPr>
          <w:b w:val="0"/>
          <w:color w:val="auto"/>
        </w:rPr>
        <w:t xml:space="preserve"> retrospective study to investigate BMI as a potential predictive factor of response in patients with advanced RCC receiving Cabozantinib as second or third-line therapy in respect mainly to nivolumab.</w:t>
      </w:r>
    </w:p>
    <w:p w:rsidR="007C1CDA" w:rsidRPr="00AD2787" w:rsidRDefault="007C1CDA" w:rsidP="00634634">
      <w:pPr>
        <w:pStyle w:val="MDPI21heading1"/>
        <w:rPr>
          <w:color w:val="auto"/>
        </w:rPr>
      </w:pPr>
      <w:r w:rsidRPr="00AD2787">
        <w:rPr>
          <w:color w:val="auto"/>
          <w:lang w:eastAsia="zh-CN"/>
        </w:rPr>
        <w:t xml:space="preserve">2. </w:t>
      </w:r>
      <w:r w:rsidRPr="00AD2787">
        <w:rPr>
          <w:color w:val="auto"/>
        </w:rPr>
        <w:t>Materials and Methods</w:t>
      </w:r>
    </w:p>
    <w:p w:rsidR="00634634" w:rsidRPr="00AD2787" w:rsidRDefault="00634634" w:rsidP="00634634">
      <w:pPr>
        <w:pStyle w:val="MDPI31text"/>
        <w:rPr>
          <w:i/>
          <w:color w:val="auto"/>
        </w:rPr>
      </w:pPr>
      <w:r w:rsidRPr="00AD2787">
        <w:rPr>
          <w:i/>
          <w:color w:val="auto"/>
        </w:rPr>
        <w:t xml:space="preserve">2.1 Study population </w:t>
      </w:r>
    </w:p>
    <w:p w:rsidR="00CD4DBE" w:rsidRPr="00AD2787" w:rsidRDefault="00634634" w:rsidP="00CD4DBE">
      <w:pPr>
        <w:pStyle w:val="MDPI31text"/>
        <w:rPr>
          <w:color w:val="auto"/>
        </w:rPr>
      </w:pPr>
      <w:r w:rsidRPr="00AD2787">
        <w:rPr>
          <w:color w:val="auto"/>
        </w:rPr>
        <w:lastRenderedPageBreak/>
        <w:t xml:space="preserve">We analyzed data from adult patients (aged 18 years and above) with a histologically confirmed diagnosis of RCC and histologically or radiologically confirmed metastatic disease treated with cabozantinib as second or third-line therapy. </w:t>
      </w:r>
      <w:r w:rsidR="00CD4DBE" w:rsidRPr="00AD2787">
        <w:rPr>
          <w:color w:val="auto"/>
        </w:rPr>
        <w:t xml:space="preserve">Stage and </w:t>
      </w:r>
      <w:r w:rsidR="00490EF7" w:rsidRPr="00AD2787">
        <w:rPr>
          <w:color w:val="auto"/>
        </w:rPr>
        <w:t xml:space="preserve">grade </w:t>
      </w:r>
      <w:r w:rsidR="00CD4DBE" w:rsidRPr="00AD2787">
        <w:rPr>
          <w:color w:val="auto"/>
        </w:rPr>
        <w:t>were</w:t>
      </w:r>
      <w:r w:rsidR="00490EF7" w:rsidRPr="00AD2787">
        <w:rPr>
          <w:color w:val="auto"/>
        </w:rPr>
        <w:t xml:space="preserve"> assigned by the local pathologist according to the </w:t>
      </w:r>
      <w:r w:rsidR="00CD4DBE" w:rsidRPr="00AD2787">
        <w:rPr>
          <w:color w:val="auto"/>
        </w:rPr>
        <w:t xml:space="preserve">American Joint Committee on Cancer (AJCC) TNM system and to the </w:t>
      </w:r>
      <w:r w:rsidR="00490EF7" w:rsidRPr="00AD2787">
        <w:rPr>
          <w:color w:val="auto"/>
        </w:rPr>
        <w:t>ISUP/WHO grading system</w:t>
      </w:r>
      <w:r w:rsidR="00CD4DBE" w:rsidRPr="00AD2787">
        <w:rPr>
          <w:color w:val="auto"/>
        </w:rPr>
        <w:t>, respectively [11-12]</w:t>
      </w:r>
      <w:r w:rsidR="00490EF7" w:rsidRPr="00AD2787">
        <w:rPr>
          <w:color w:val="auto"/>
        </w:rPr>
        <w:t>.</w:t>
      </w:r>
      <w:r w:rsidR="00CD4DBE" w:rsidRPr="00AD2787">
        <w:rPr>
          <w:color w:val="auto"/>
        </w:rPr>
        <w:t xml:space="preserve"> </w:t>
      </w:r>
    </w:p>
    <w:p w:rsidR="00634634" w:rsidRPr="00AD2787" w:rsidRDefault="00490EF7" w:rsidP="00CD4DBE">
      <w:pPr>
        <w:pStyle w:val="MDPI31text"/>
        <w:rPr>
          <w:color w:val="auto"/>
        </w:rPr>
      </w:pPr>
      <w:r w:rsidRPr="00AD2787">
        <w:rPr>
          <w:color w:val="auto"/>
        </w:rPr>
        <w:t xml:space="preserve">Standard biopsy procedures were followed according to the international </w:t>
      </w:r>
      <w:r w:rsidR="00CD4DBE" w:rsidRPr="00AD2787">
        <w:rPr>
          <w:color w:val="auto"/>
        </w:rPr>
        <w:t xml:space="preserve">EAU </w:t>
      </w:r>
      <w:r w:rsidRPr="00AD2787">
        <w:rPr>
          <w:color w:val="auto"/>
        </w:rPr>
        <w:t>guidelines</w:t>
      </w:r>
      <w:r w:rsidR="00CD4DBE" w:rsidRPr="00AD2787">
        <w:rPr>
          <w:color w:val="auto"/>
        </w:rPr>
        <w:t xml:space="preserve"> [13]</w:t>
      </w:r>
      <w:r w:rsidRPr="00AD2787">
        <w:rPr>
          <w:color w:val="auto"/>
        </w:rPr>
        <w:t xml:space="preserve">. </w:t>
      </w:r>
      <w:r w:rsidR="00634634" w:rsidRPr="00AD2787">
        <w:rPr>
          <w:color w:val="auto"/>
        </w:rPr>
        <w:t>This international multi-center retrospective study included data from sixteen Institutions between 1st January</w:t>
      </w:r>
      <w:r w:rsidR="005A2CC2" w:rsidRPr="00AD2787">
        <w:rPr>
          <w:color w:val="auto"/>
        </w:rPr>
        <w:t>,</w:t>
      </w:r>
      <w:r w:rsidR="00634634" w:rsidRPr="00AD2787">
        <w:rPr>
          <w:color w:val="auto"/>
        </w:rPr>
        <w:t xml:space="preserve"> 2008 and 1st October</w:t>
      </w:r>
      <w:r w:rsidR="005A2CC2" w:rsidRPr="00AD2787">
        <w:rPr>
          <w:color w:val="auto"/>
        </w:rPr>
        <w:t>,</w:t>
      </w:r>
      <w:r w:rsidR="00634634" w:rsidRPr="00AD2787">
        <w:rPr>
          <w:color w:val="auto"/>
        </w:rPr>
        <w:t xml:space="preserve"> 2019. Data were retrospectively collected from paper and electronic charts. Patients were excluded from this study if they had missing data regarding the site of metastasis and response to therapy.</w:t>
      </w:r>
      <w:r w:rsidR="00FC529E" w:rsidRPr="00AD2787">
        <w:rPr>
          <w:color w:val="auto"/>
        </w:rPr>
        <w:t xml:space="preserve"> </w:t>
      </w:r>
    </w:p>
    <w:p w:rsidR="00634634" w:rsidRPr="00AD2787" w:rsidRDefault="00634634" w:rsidP="00634634">
      <w:pPr>
        <w:pStyle w:val="MDPI31text"/>
        <w:rPr>
          <w:color w:val="auto"/>
        </w:rPr>
      </w:pPr>
    </w:p>
    <w:p w:rsidR="00634634" w:rsidRPr="00AD2787" w:rsidRDefault="00634634" w:rsidP="00634634">
      <w:pPr>
        <w:pStyle w:val="MDPI31text"/>
        <w:rPr>
          <w:i/>
          <w:color w:val="auto"/>
        </w:rPr>
      </w:pPr>
      <w:r w:rsidRPr="00AD2787">
        <w:rPr>
          <w:i/>
          <w:color w:val="auto"/>
        </w:rPr>
        <w:t>2.2 Treatment Regimens and Statistical Analysis</w:t>
      </w:r>
    </w:p>
    <w:p w:rsidR="00634634" w:rsidRPr="00AD2787" w:rsidRDefault="00634634" w:rsidP="00634634">
      <w:pPr>
        <w:pStyle w:val="MDPI31text"/>
        <w:rPr>
          <w:color w:val="auto"/>
        </w:rPr>
      </w:pPr>
      <w:r w:rsidRPr="00AD2787">
        <w:rPr>
          <w:color w:val="auto"/>
        </w:rPr>
        <w:t xml:space="preserve">Cabozantinib was administered orally, mainly with a starting dose of 60 mg once daily. In patients with comorbidities, cabozantinib was initiated at a reduced dose of 40 mg once daily. Dose reductions and treatment interruptions were performed depending on type and severity of adverse events according to standard guidelines. Treatment with cabozantinib was continued till the evidence of disease progression on computed tomography (CT) or magnetic resonance imaging (MRI) scans, unacceptable toxicity, or death. Follow-up commonly consisted of regular physical and laboratory assessment every 4–6 weeks. Imaging was carried out according to local procedures every 8–12 weeks. </w:t>
      </w:r>
    </w:p>
    <w:p w:rsidR="00634634" w:rsidRPr="00AD2787" w:rsidRDefault="00634634" w:rsidP="00634634">
      <w:pPr>
        <w:pStyle w:val="MDPI31text"/>
        <w:rPr>
          <w:color w:val="auto"/>
        </w:rPr>
      </w:pPr>
      <w:r w:rsidRPr="00AD2787">
        <w:rPr>
          <w:rFonts w:hint="eastAsia"/>
          <w:color w:val="auto"/>
        </w:rPr>
        <w:t xml:space="preserve">Body mass index (BMI) was defined as weight expressed in kilograms divided by the square of the height in meters. Progressive disease was defined as a ≥ 20% increase in the sum of diameters of target lesions or by the appearance of one or more new lesions </w:t>
      </w:r>
      <w:r w:rsidRPr="00AD2787">
        <w:rPr>
          <w:color w:val="auto"/>
        </w:rPr>
        <w:t xml:space="preserve">according to the </w:t>
      </w:r>
      <w:r w:rsidR="005A2CC2" w:rsidRPr="00AD2787">
        <w:rPr>
          <w:color w:val="auto"/>
        </w:rPr>
        <w:t xml:space="preserve">Response evaluation criteria in solid tumors </w:t>
      </w:r>
      <w:r w:rsidR="00B31899" w:rsidRPr="00AD2787">
        <w:rPr>
          <w:color w:val="auto"/>
        </w:rPr>
        <w:t>(</w:t>
      </w:r>
      <w:r w:rsidRPr="00AD2787">
        <w:rPr>
          <w:color w:val="auto"/>
        </w:rPr>
        <w:t>RECIST</w:t>
      </w:r>
      <w:r w:rsidR="00B31899" w:rsidRPr="00AD2787">
        <w:rPr>
          <w:color w:val="auto"/>
        </w:rPr>
        <w:t>)</w:t>
      </w:r>
      <w:r w:rsidRPr="00AD2787">
        <w:rPr>
          <w:color w:val="auto"/>
        </w:rPr>
        <w:t xml:space="preserve"> 1.1 criteria [11]. Progression free survival (PFS) was defined as the time from the start of cabozantinib therapy to progression or to death from any cause. Patients without tumor progression or death at the time of the data cutoff were censored at their last follow-up date. Overall Survival (OS) was defined as the time from the start of treatment to death from any cause. Patients alive or lost to follow-up were censored.</w:t>
      </w:r>
    </w:p>
    <w:p w:rsidR="00634634" w:rsidRPr="00AD2787" w:rsidRDefault="00634634" w:rsidP="00634634">
      <w:pPr>
        <w:pStyle w:val="MDPI31text"/>
        <w:rPr>
          <w:color w:val="auto"/>
        </w:rPr>
      </w:pPr>
      <w:r w:rsidRPr="00AD2787">
        <w:rPr>
          <w:color w:val="auto"/>
        </w:rPr>
        <w:t xml:space="preserve">PFS and OS were estimated using Kaplan-Meier method with Rothman’s 95% confidence intervals (CI) and compared across the groups using the log-rank test. </w:t>
      </w:r>
    </w:p>
    <w:p w:rsidR="007C1CDA" w:rsidRPr="00AD2787" w:rsidRDefault="00634634" w:rsidP="004F1A32">
      <w:pPr>
        <w:pStyle w:val="MDPI31text"/>
        <w:rPr>
          <w:color w:val="auto"/>
        </w:rPr>
      </w:pPr>
      <w:r w:rsidRPr="00AD2787">
        <w:rPr>
          <w:color w:val="auto"/>
        </w:rPr>
        <w:t xml:space="preserve">Cox proportional hazards models were used to investigate patients’ characteristics predictors of survival univariate and multivariate analyses. Chi-square test was used to compare categorical end-points. All the significance levels were set at a 0.05 value and all p values were two-sided. The statistical analysis was performed by </w:t>
      </w:r>
      <w:proofErr w:type="spellStart"/>
      <w:r w:rsidRPr="00AD2787">
        <w:rPr>
          <w:color w:val="auto"/>
        </w:rPr>
        <w:t>MedCalc</w:t>
      </w:r>
      <w:proofErr w:type="spellEnd"/>
      <w:r w:rsidRPr="00AD2787">
        <w:rPr>
          <w:color w:val="auto"/>
        </w:rPr>
        <w:t xml:space="preserve"> version 11.4.4.0 (</w:t>
      </w:r>
      <w:proofErr w:type="spellStart"/>
      <w:r w:rsidRPr="00AD2787">
        <w:rPr>
          <w:color w:val="auto"/>
        </w:rPr>
        <w:t>MedCalc</w:t>
      </w:r>
      <w:proofErr w:type="spellEnd"/>
      <w:r w:rsidRPr="00AD2787">
        <w:rPr>
          <w:color w:val="auto"/>
        </w:rPr>
        <w:t xml:space="preserve"> Software, </w:t>
      </w:r>
      <w:proofErr w:type="spellStart"/>
      <w:r w:rsidRPr="00AD2787">
        <w:rPr>
          <w:color w:val="auto"/>
        </w:rPr>
        <w:t>Broekstraat</w:t>
      </w:r>
      <w:proofErr w:type="spellEnd"/>
      <w:r w:rsidRPr="00AD2787">
        <w:rPr>
          <w:color w:val="auto"/>
        </w:rPr>
        <w:t xml:space="preserve"> 52, 9030Mariakerke, Belgium). This project was performed in accordance with the approval by the Ethical Committee of our Institutions.</w:t>
      </w:r>
    </w:p>
    <w:p w:rsidR="007C1CDA" w:rsidRPr="00AD2787" w:rsidRDefault="007C1CDA" w:rsidP="008B21E3">
      <w:pPr>
        <w:pStyle w:val="MDPI21heading1"/>
        <w:rPr>
          <w:color w:val="auto"/>
        </w:rPr>
      </w:pPr>
      <w:r w:rsidRPr="00AD2787">
        <w:rPr>
          <w:color w:val="auto"/>
        </w:rPr>
        <w:t>3. Results</w:t>
      </w:r>
    </w:p>
    <w:p w:rsidR="004F1A32" w:rsidRPr="00AD2787" w:rsidRDefault="004F1A32" w:rsidP="004F1A32">
      <w:pPr>
        <w:pStyle w:val="MDPI31text"/>
        <w:rPr>
          <w:i/>
          <w:color w:val="auto"/>
        </w:rPr>
      </w:pPr>
      <w:r w:rsidRPr="00AD2787">
        <w:rPr>
          <w:i/>
          <w:color w:val="auto"/>
        </w:rPr>
        <w:t>3.1 Study population</w:t>
      </w:r>
    </w:p>
    <w:p w:rsidR="004F1A32" w:rsidRPr="00AD2787" w:rsidRDefault="004F1A32" w:rsidP="004F1A32">
      <w:pPr>
        <w:pStyle w:val="MDPI31text"/>
        <w:rPr>
          <w:color w:val="auto"/>
        </w:rPr>
      </w:pPr>
      <w:r w:rsidRPr="00AD2787">
        <w:rPr>
          <w:color w:val="auto"/>
        </w:rPr>
        <w:t xml:space="preserve">We retrospectively collected data from 224 patients with advanced RCC receiving Cabozantinib as second (113, 5%) or third-line (111, 5%) therapy. The median age was 63y (range 25−86). One hundred and sixty of them were males (71%). </w:t>
      </w:r>
      <w:proofErr w:type="spellStart"/>
      <w:r w:rsidRPr="00AD2787">
        <w:rPr>
          <w:color w:val="auto"/>
        </w:rPr>
        <w:t>Tumour</w:t>
      </w:r>
      <w:proofErr w:type="spellEnd"/>
      <w:r w:rsidRPr="00AD2787">
        <w:rPr>
          <w:color w:val="auto"/>
        </w:rPr>
        <w:t xml:space="preserve"> histology was p</w:t>
      </w:r>
      <w:r w:rsidRPr="00AD2787">
        <w:rPr>
          <w:rFonts w:hint="eastAsia"/>
          <w:color w:val="auto"/>
        </w:rPr>
        <w:t xml:space="preserve">redominantly clear cell (193, </w:t>
      </w:r>
      <w:r w:rsidR="005A2CC2" w:rsidRPr="00AD2787">
        <w:rPr>
          <w:color w:val="auto"/>
        </w:rPr>
        <w:t>9</w:t>
      </w:r>
      <w:r w:rsidRPr="00AD2787">
        <w:rPr>
          <w:rFonts w:hint="eastAsia"/>
          <w:color w:val="auto"/>
        </w:rPr>
        <w:t xml:space="preserve">%); 51% of patients were metastatic at RCC diagnosis. Number of metastatic sites was ≥ 2 in 135 patients (60%). Lung (65%), lymph nodes (51%) and bone (28%) were the most common metastatic sites. According to IMDC criteria, </w:t>
      </w:r>
      <w:r w:rsidRPr="00AD2787">
        <w:rPr>
          <w:color w:val="auto"/>
        </w:rPr>
        <w:t xml:space="preserve">50 patients (22%) were at </w:t>
      </w:r>
      <w:proofErr w:type="spellStart"/>
      <w:r w:rsidRPr="00AD2787">
        <w:rPr>
          <w:color w:val="auto"/>
        </w:rPr>
        <w:t>favourable</w:t>
      </w:r>
      <w:proofErr w:type="spellEnd"/>
      <w:r w:rsidRPr="00AD2787">
        <w:rPr>
          <w:color w:val="auto"/>
        </w:rPr>
        <w:t>-risk, 134 (60%) at intermediate-risk and 40 (18%) had poor-risk features. The complete list of patients’ characteristics is reported in Table 1.</w:t>
      </w:r>
    </w:p>
    <w:p w:rsidR="009F06FC" w:rsidRPr="00AD2787" w:rsidRDefault="009F06FC" w:rsidP="009F06FC">
      <w:pPr>
        <w:pStyle w:val="MDPI41tablecaption"/>
        <w:rPr>
          <w:color w:val="auto"/>
        </w:rPr>
      </w:pPr>
      <w:r w:rsidRPr="00AD2787">
        <w:rPr>
          <w:b/>
          <w:color w:val="auto"/>
        </w:rPr>
        <w:t>Table 1</w:t>
      </w:r>
      <w:r w:rsidRPr="00AD2787">
        <w:rPr>
          <w:b/>
          <w:color w:val="auto"/>
          <w:szCs w:val="18"/>
        </w:rPr>
        <w:t>.</w:t>
      </w:r>
      <w:r w:rsidRPr="00AD2787">
        <w:rPr>
          <w:color w:val="auto"/>
          <w:szCs w:val="18"/>
        </w:rPr>
        <w:t xml:space="preserve"> Patient demographic and disease characteristics.</w:t>
      </w:r>
    </w:p>
    <w:tbl>
      <w:tblPr>
        <w:tblStyle w:val="MDPI41threelinetable"/>
        <w:tblW w:w="8020" w:type="dxa"/>
        <w:tblLayout w:type="fixed"/>
        <w:tblLook w:val="00A0" w:firstRow="1" w:lastRow="0" w:firstColumn="1" w:lastColumn="0" w:noHBand="0" w:noVBand="0"/>
      </w:tblPr>
      <w:tblGrid>
        <w:gridCol w:w="3598"/>
        <w:gridCol w:w="1244"/>
        <w:gridCol w:w="1134"/>
        <w:gridCol w:w="1134"/>
        <w:gridCol w:w="910"/>
      </w:tblGrid>
      <w:tr w:rsidR="00AD2787" w:rsidRPr="00AD2787" w:rsidTr="009F06FC">
        <w:trPr>
          <w:cnfStyle w:val="100000000000" w:firstRow="1" w:lastRow="0" w:firstColumn="0" w:lastColumn="0" w:oddVBand="0" w:evenVBand="0" w:oddHBand="0" w:evenHBand="0" w:firstRowFirstColumn="0" w:firstRowLastColumn="0" w:lastRowFirstColumn="0" w:lastRowLastColumn="0"/>
          <w:trHeight w:val="710"/>
        </w:trPr>
        <w:tc>
          <w:tcPr>
            <w:tcW w:w="3598" w:type="dxa"/>
          </w:tcPr>
          <w:p w:rsidR="009F06FC" w:rsidRPr="00AD2787" w:rsidRDefault="009F06FC" w:rsidP="005A0D50">
            <w:pPr>
              <w:spacing w:line="276" w:lineRule="auto"/>
              <w:ind w:left="454" w:right="34" w:hanging="356"/>
              <w:rPr>
                <w:b w:val="0"/>
                <w:color w:val="auto"/>
              </w:rPr>
            </w:pPr>
            <w:r w:rsidRPr="00AD2787">
              <w:rPr>
                <w:color w:val="auto"/>
              </w:rPr>
              <w:t>Patients</w:t>
            </w:r>
          </w:p>
        </w:tc>
        <w:tc>
          <w:tcPr>
            <w:tcW w:w="1244" w:type="dxa"/>
          </w:tcPr>
          <w:p w:rsidR="009F06FC" w:rsidRPr="00AD2787" w:rsidRDefault="009F06FC" w:rsidP="005A0D50">
            <w:pPr>
              <w:tabs>
                <w:tab w:val="left" w:pos="1451"/>
              </w:tabs>
              <w:spacing w:line="276" w:lineRule="auto"/>
              <w:ind w:right="-12"/>
              <w:jc w:val="center"/>
              <w:rPr>
                <w:b w:val="0"/>
                <w:color w:val="auto"/>
              </w:rPr>
            </w:pPr>
            <w:r w:rsidRPr="00AD2787">
              <w:rPr>
                <w:color w:val="auto"/>
              </w:rPr>
              <w:t>Overall</w:t>
            </w:r>
          </w:p>
          <w:p w:rsidR="009F06FC" w:rsidRPr="00AD2787" w:rsidRDefault="009F06FC" w:rsidP="005A0D50">
            <w:pPr>
              <w:tabs>
                <w:tab w:val="left" w:pos="1451"/>
              </w:tabs>
              <w:spacing w:line="276" w:lineRule="auto"/>
              <w:ind w:right="-12"/>
              <w:jc w:val="center"/>
              <w:rPr>
                <w:b w:val="0"/>
                <w:color w:val="auto"/>
              </w:rPr>
            </w:pPr>
            <w:r w:rsidRPr="00AD2787">
              <w:rPr>
                <w:color w:val="auto"/>
              </w:rPr>
              <w:t>224 (%)</w:t>
            </w:r>
          </w:p>
        </w:tc>
        <w:tc>
          <w:tcPr>
            <w:tcW w:w="1134" w:type="dxa"/>
          </w:tcPr>
          <w:p w:rsidR="009F06FC" w:rsidRPr="00AD2787" w:rsidRDefault="009F06FC" w:rsidP="005A0D50">
            <w:pPr>
              <w:tabs>
                <w:tab w:val="left" w:pos="1451"/>
              </w:tabs>
              <w:spacing w:line="276" w:lineRule="auto"/>
              <w:ind w:right="-12"/>
              <w:jc w:val="center"/>
              <w:rPr>
                <w:rFonts w:eastAsia="MS Gothic"/>
                <w:b w:val="0"/>
                <w:color w:val="auto"/>
              </w:rPr>
            </w:pPr>
            <w:r w:rsidRPr="00AD2787">
              <w:rPr>
                <w:color w:val="auto"/>
              </w:rPr>
              <w:t xml:space="preserve">BMI </w:t>
            </w:r>
            <w:r w:rsidRPr="00AD2787">
              <w:rPr>
                <w:rFonts w:eastAsia="MS Gothic"/>
                <w:color w:val="auto"/>
              </w:rPr>
              <w:t>≥ 25</w:t>
            </w:r>
          </w:p>
          <w:p w:rsidR="009F06FC" w:rsidRPr="00AD2787" w:rsidRDefault="009F06FC" w:rsidP="005A0D50">
            <w:pPr>
              <w:tabs>
                <w:tab w:val="left" w:pos="1451"/>
              </w:tabs>
              <w:spacing w:line="276" w:lineRule="auto"/>
              <w:ind w:right="-12"/>
              <w:jc w:val="center"/>
              <w:rPr>
                <w:b w:val="0"/>
                <w:color w:val="auto"/>
              </w:rPr>
            </w:pPr>
            <w:r w:rsidRPr="00AD2787">
              <w:rPr>
                <w:color w:val="auto"/>
              </w:rPr>
              <w:t>119 (%)</w:t>
            </w:r>
          </w:p>
        </w:tc>
        <w:tc>
          <w:tcPr>
            <w:tcW w:w="1134" w:type="dxa"/>
          </w:tcPr>
          <w:p w:rsidR="009F06FC" w:rsidRPr="00AD2787" w:rsidRDefault="009F06FC" w:rsidP="005A0D50">
            <w:pPr>
              <w:tabs>
                <w:tab w:val="left" w:pos="1045"/>
              </w:tabs>
              <w:spacing w:line="276" w:lineRule="auto"/>
              <w:ind w:left="-89" w:right="-127"/>
              <w:jc w:val="center"/>
              <w:rPr>
                <w:rFonts w:eastAsia="MS Gothic"/>
                <w:b w:val="0"/>
                <w:color w:val="auto"/>
              </w:rPr>
            </w:pPr>
            <w:r w:rsidRPr="00AD2787">
              <w:rPr>
                <w:color w:val="auto"/>
              </w:rPr>
              <w:t xml:space="preserve">BMI </w:t>
            </w:r>
            <w:r w:rsidRPr="00AD2787">
              <w:rPr>
                <w:rFonts w:eastAsia="MS Gothic"/>
                <w:color w:val="auto"/>
              </w:rPr>
              <w:t>&lt; 25</w:t>
            </w:r>
          </w:p>
          <w:p w:rsidR="009F06FC" w:rsidRPr="00AD2787" w:rsidRDefault="009F06FC" w:rsidP="005A0D50">
            <w:pPr>
              <w:tabs>
                <w:tab w:val="left" w:pos="1045"/>
              </w:tabs>
              <w:spacing w:line="276" w:lineRule="auto"/>
              <w:ind w:left="-89" w:right="-127"/>
              <w:jc w:val="center"/>
              <w:rPr>
                <w:b w:val="0"/>
                <w:color w:val="auto"/>
              </w:rPr>
            </w:pPr>
            <w:r w:rsidRPr="00AD2787">
              <w:rPr>
                <w:color w:val="auto"/>
              </w:rPr>
              <w:t>105 (%)</w:t>
            </w:r>
          </w:p>
        </w:tc>
        <w:tc>
          <w:tcPr>
            <w:tcW w:w="910" w:type="dxa"/>
          </w:tcPr>
          <w:p w:rsidR="009F06FC" w:rsidRPr="00AD2787" w:rsidRDefault="009F06FC" w:rsidP="005A0D50">
            <w:pPr>
              <w:tabs>
                <w:tab w:val="left" w:pos="1168"/>
              </w:tabs>
              <w:spacing w:line="276" w:lineRule="auto"/>
              <w:ind w:right="-12"/>
              <w:jc w:val="center"/>
              <w:rPr>
                <w:b w:val="0"/>
                <w:i/>
                <w:color w:val="auto"/>
              </w:rPr>
            </w:pPr>
            <w:r w:rsidRPr="00AD2787">
              <w:rPr>
                <w:i/>
                <w:color w:val="auto"/>
              </w:rPr>
              <w:t>p</w:t>
            </w:r>
          </w:p>
        </w:tc>
      </w:tr>
      <w:tr w:rsidR="00AD2787" w:rsidRPr="00AD2787" w:rsidTr="009F06FC">
        <w:trPr>
          <w:trHeight w:val="903"/>
        </w:trPr>
        <w:tc>
          <w:tcPr>
            <w:tcW w:w="3598" w:type="dxa"/>
          </w:tcPr>
          <w:p w:rsidR="009F06FC" w:rsidRPr="00AD2787" w:rsidRDefault="009F06FC" w:rsidP="005A0D50">
            <w:pPr>
              <w:spacing w:line="276" w:lineRule="auto"/>
              <w:ind w:left="454" w:right="34" w:hanging="356"/>
              <w:rPr>
                <w:b/>
                <w:color w:val="auto"/>
              </w:rPr>
            </w:pPr>
            <w:r w:rsidRPr="00AD2787">
              <w:rPr>
                <w:b/>
                <w:color w:val="auto"/>
              </w:rPr>
              <w:lastRenderedPageBreak/>
              <w:t xml:space="preserve">Gender </w:t>
            </w:r>
          </w:p>
          <w:p w:rsidR="009F06FC" w:rsidRPr="00AD2787" w:rsidRDefault="009F06FC" w:rsidP="005A0D50">
            <w:pPr>
              <w:spacing w:line="276" w:lineRule="auto"/>
              <w:ind w:left="454" w:right="34" w:hanging="141"/>
              <w:rPr>
                <w:color w:val="auto"/>
              </w:rPr>
            </w:pPr>
            <w:r w:rsidRPr="00AD2787">
              <w:rPr>
                <w:color w:val="auto"/>
              </w:rPr>
              <w:t>Male</w:t>
            </w:r>
          </w:p>
          <w:p w:rsidR="009F06FC" w:rsidRPr="00AD2787" w:rsidRDefault="009F06FC" w:rsidP="005A0D50">
            <w:pPr>
              <w:spacing w:line="276" w:lineRule="auto"/>
              <w:ind w:left="454" w:right="34" w:hanging="141"/>
              <w:rPr>
                <w:color w:val="auto"/>
              </w:rPr>
            </w:pPr>
            <w:r w:rsidRPr="00AD2787">
              <w:rPr>
                <w:color w:val="auto"/>
              </w:rPr>
              <w:t>Female</w:t>
            </w:r>
          </w:p>
        </w:tc>
        <w:tc>
          <w:tcPr>
            <w:tcW w:w="1244" w:type="dxa"/>
          </w:tcPr>
          <w:p w:rsidR="009F06FC" w:rsidRPr="00AD2787" w:rsidRDefault="009F06FC" w:rsidP="005A0D50">
            <w:pPr>
              <w:tabs>
                <w:tab w:val="left" w:pos="1451"/>
              </w:tabs>
              <w:spacing w:line="276" w:lineRule="auto"/>
              <w:ind w:right="-12"/>
              <w:jc w:val="center"/>
              <w:rPr>
                <w:color w:val="auto"/>
              </w:rPr>
            </w:pPr>
          </w:p>
          <w:p w:rsidR="009F06FC" w:rsidRPr="00AD2787" w:rsidRDefault="009F06FC" w:rsidP="005A0D50">
            <w:pPr>
              <w:tabs>
                <w:tab w:val="left" w:pos="1451"/>
              </w:tabs>
              <w:spacing w:line="276" w:lineRule="auto"/>
              <w:ind w:right="-12"/>
              <w:jc w:val="center"/>
              <w:rPr>
                <w:color w:val="auto"/>
              </w:rPr>
            </w:pPr>
            <w:r w:rsidRPr="00AD2787">
              <w:rPr>
                <w:color w:val="auto"/>
              </w:rPr>
              <w:t>160 (71)</w:t>
            </w:r>
          </w:p>
          <w:p w:rsidR="009F06FC" w:rsidRPr="00AD2787" w:rsidRDefault="009F06FC" w:rsidP="005A0D50">
            <w:pPr>
              <w:tabs>
                <w:tab w:val="left" w:pos="1451"/>
              </w:tabs>
              <w:spacing w:line="276" w:lineRule="auto"/>
              <w:ind w:right="-12"/>
              <w:jc w:val="center"/>
              <w:rPr>
                <w:color w:val="auto"/>
              </w:rPr>
            </w:pPr>
            <w:r w:rsidRPr="00AD2787">
              <w:rPr>
                <w:color w:val="auto"/>
              </w:rPr>
              <w:t>64 (29)</w:t>
            </w:r>
          </w:p>
        </w:tc>
        <w:tc>
          <w:tcPr>
            <w:tcW w:w="1134" w:type="dxa"/>
          </w:tcPr>
          <w:p w:rsidR="009F06FC" w:rsidRPr="00AD2787" w:rsidRDefault="009F06FC" w:rsidP="005A0D50">
            <w:pPr>
              <w:tabs>
                <w:tab w:val="left" w:pos="1451"/>
              </w:tabs>
              <w:spacing w:line="276" w:lineRule="auto"/>
              <w:ind w:right="-12"/>
              <w:jc w:val="center"/>
              <w:rPr>
                <w:color w:val="auto"/>
              </w:rPr>
            </w:pPr>
          </w:p>
          <w:p w:rsidR="009F06FC" w:rsidRPr="00AD2787" w:rsidRDefault="009F06FC" w:rsidP="005A0D50">
            <w:pPr>
              <w:tabs>
                <w:tab w:val="left" w:pos="1451"/>
              </w:tabs>
              <w:spacing w:line="276" w:lineRule="auto"/>
              <w:ind w:right="-12"/>
              <w:jc w:val="center"/>
              <w:rPr>
                <w:color w:val="auto"/>
              </w:rPr>
            </w:pPr>
            <w:r w:rsidRPr="00AD2787">
              <w:rPr>
                <w:color w:val="auto"/>
              </w:rPr>
              <w:t>87 (73)</w:t>
            </w:r>
          </w:p>
          <w:p w:rsidR="009F06FC" w:rsidRPr="00AD2787" w:rsidRDefault="009F06FC" w:rsidP="005A0D50">
            <w:pPr>
              <w:tabs>
                <w:tab w:val="left" w:pos="1451"/>
              </w:tabs>
              <w:spacing w:line="276" w:lineRule="auto"/>
              <w:ind w:right="-12"/>
              <w:jc w:val="center"/>
              <w:rPr>
                <w:color w:val="auto"/>
              </w:rPr>
            </w:pPr>
            <w:r w:rsidRPr="00AD2787">
              <w:rPr>
                <w:color w:val="auto"/>
              </w:rPr>
              <w:t>32 (27)</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p>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73 (70)</w:t>
            </w:r>
          </w:p>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32 (30)</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0.657</w:t>
            </w:r>
          </w:p>
        </w:tc>
      </w:tr>
      <w:tr w:rsidR="00AD2787" w:rsidRPr="00AD2787" w:rsidTr="009F06FC">
        <w:trPr>
          <w:trHeight w:val="719"/>
        </w:trPr>
        <w:tc>
          <w:tcPr>
            <w:tcW w:w="3598" w:type="dxa"/>
          </w:tcPr>
          <w:p w:rsidR="009F06FC" w:rsidRPr="00AD2787" w:rsidRDefault="009F06FC" w:rsidP="005A0D50">
            <w:pPr>
              <w:spacing w:line="276" w:lineRule="auto"/>
              <w:ind w:left="454" w:right="34" w:hanging="356"/>
              <w:rPr>
                <w:b/>
                <w:color w:val="auto"/>
              </w:rPr>
            </w:pPr>
            <w:r w:rsidRPr="00AD2787">
              <w:rPr>
                <w:b/>
                <w:color w:val="auto"/>
              </w:rPr>
              <w:t>Age, years (y)</w:t>
            </w:r>
          </w:p>
          <w:p w:rsidR="009F06FC" w:rsidRPr="00AD2787" w:rsidRDefault="009F06FC" w:rsidP="005A0D50">
            <w:pPr>
              <w:spacing w:line="276" w:lineRule="auto"/>
              <w:ind w:left="454" w:right="34" w:hanging="141"/>
              <w:rPr>
                <w:color w:val="auto"/>
              </w:rPr>
            </w:pPr>
            <w:r w:rsidRPr="00AD2787">
              <w:rPr>
                <w:color w:val="auto"/>
              </w:rPr>
              <w:t>Range</w:t>
            </w:r>
          </w:p>
        </w:tc>
        <w:tc>
          <w:tcPr>
            <w:tcW w:w="1244" w:type="dxa"/>
          </w:tcPr>
          <w:p w:rsidR="009F06FC" w:rsidRPr="00AD2787" w:rsidRDefault="009F06FC" w:rsidP="005A0D50">
            <w:pPr>
              <w:tabs>
                <w:tab w:val="left" w:pos="1451"/>
              </w:tabs>
              <w:spacing w:line="276" w:lineRule="auto"/>
              <w:ind w:right="-12"/>
              <w:jc w:val="center"/>
              <w:rPr>
                <w:color w:val="auto"/>
              </w:rPr>
            </w:pPr>
            <w:r w:rsidRPr="00AD2787">
              <w:rPr>
                <w:color w:val="auto"/>
              </w:rPr>
              <w:t>63</w:t>
            </w:r>
          </w:p>
          <w:p w:rsidR="009F06FC" w:rsidRPr="00AD2787" w:rsidRDefault="009F06FC" w:rsidP="005A0D50">
            <w:pPr>
              <w:tabs>
                <w:tab w:val="left" w:pos="1451"/>
              </w:tabs>
              <w:spacing w:line="276" w:lineRule="auto"/>
              <w:ind w:right="-12"/>
              <w:jc w:val="center"/>
              <w:rPr>
                <w:color w:val="auto"/>
              </w:rPr>
            </w:pPr>
            <w:r w:rsidRPr="00AD2787">
              <w:rPr>
                <w:color w:val="auto"/>
              </w:rPr>
              <w:t>25 − 86</w:t>
            </w:r>
          </w:p>
        </w:tc>
        <w:tc>
          <w:tcPr>
            <w:tcW w:w="1134" w:type="dxa"/>
          </w:tcPr>
          <w:p w:rsidR="009F06FC" w:rsidRPr="00AD2787" w:rsidRDefault="009F06FC" w:rsidP="005A0D50">
            <w:pPr>
              <w:tabs>
                <w:tab w:val="left" w:pos="1451"/>
              </w:tabs>
              <w:spacing w:line="276" w:lineRule="auto"/>
              <w:ind w:right="-12"/>
              <w:jc w:val="center"/>
              <w:rPr>
                <w:color w:val="auto"/>
              </w:rPr>
            </w:pPr>
            <w:r w:rsidRPr="00AD2787">
              <w:rPr>
                <w:color w:val="auto"/>
              </w:rPr>
              <w:t>63</w:t>
            </w:r>
          </w:p>
          <w:p w:rsidR="009F06FC" w:rsidRPr="00AD2787" w:rsidRDefault="009F06FC" w:rsidP="005A0D50">
            <w:pPr>
              <w:tabs>
                <w:tab w:val="left" w:pos="1451"/>
              </w:tabs>
              <w:spacing w:line="276" w:lineRule="auto"/>
              <w:ind w:right="-60"/>
              <w:jc w:val="center"/>
              <w:rPr>
                <w:color w:val="auto"/>
              </w:rPr>
            </w:pPr>
            <w:r w:rsidRPr="00AD2787">
              <w:rPr>
                <w:color w:val="auto"/>
              </w:rPr>
              <w:t>31 − 86</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63</w:t>
            </w:r>
          </w:p>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25 − 85</w:t>
            </w:r>
          </w:p>
        </w:tc>
        <w:tc>
          <w:tcPr>
            <w:tcW w:w="910" w:type="dxa"/>
          </w:tcPr>
          <w:p w:rsidR="009F06FC" w:rsidRPr="00AD2787" w:rsidRDefault="009F06FC" w:rsidP="005A0D50">
            <w:pPr>
              <w:tabs>
                <w:tab w:val="left" w:pos="1451"/>
              </w:tabs>
              <w:spacing w:line="276" w:lineRule="auto"/>
              <w:ind w:right="-60"/>
              <w:jc w:val="center"/>
              <w:rPr>
                <w:color w:val="auto"/>
              </w:rPr>
            </w:pPr>
            <w:r w:rsidRPr="00AD2787">
              <w:rPr>
                <w:color w:val="auto"/>
              </w:rPr>
              <w:t>-</w:t>
            </w:r>
          </w:p>
        </w:tc>
      </w:tr>
      <w:tr w:rsidR="00AD2787" w:rsidRPr="00AD2787" w:rsidTr="009F06FC">
        <w:trPr>
          <w:trHeight w:val="733"/>
        </w:trPr>
        <w:tc>
          <w:tcPr>
            <w:tcW w:w="3598" w:type="dxa"/>
          </w:tcPr>
          <w:p w:rsidR="009F06FC" w:rsidRPr="00AD2787" w:rsidRDefault="009F06FC" w:rsidP="005A0D50">
            <w:pPr>
              <w:spacing w:line="276" w:lineRule="auto"/>
              <w:ind w:left="454" w:right="34" w:hanging="356"/>
              <w:rPr>
                <w:b/>
                <w:color w:val="auto"/>
              </w:rPr>
            </w:pPr>
            <w:r w:rsidRPr="00AD2787">
              <w:rPr>
                <w:b/>
                <w:color w:val="auto"/>
              </w:rPr>
              <w:t>Karnofsky performance status</w:t>
            </w:r>
          </w:p>
          <w:p w:rsidR="009F06FC" w:rsidRPr="00AD2787" w:rsidRDefault="009F06FC" w:rsidP="005A0D50">
            <w:pPr>
              <w:spacing w:line="276" w:lineRule="auto"/>
              <w:ind w:left="454" w:right="34" w:hanging="141"/>
              <w:rPr>
                <w:color w:val="auto"/>
              </w:rPr>
            </w:pPr>
            <w:r w:rsidRPr="00AD2787">
              <w:rPr>
                <w:color w:val="auto"/>
              </w:rPr>
              <w:t>Score &gt; 70</w:t>
            </w:r>
          </w:p>
        </w:tc>
        <w:tc>
          <w:tcPr>
            <w:tcW w:w="1244" w:type="dxa"/>
          </w:tcPr>
          <w:p w:rsidR="009F06FC" w:rsidRPr="00AD2787" w:rsidRDefault="009F06FC" w:rsidP="005A0D50">
            <w:pPr>
              <w:tabs>
                <w:tab w:val="left" w:pos="1451"/>
              </w:tabs>
              <w:spacing w:line="276" w:lineRule="auto"/>
              <w:ind w:right="-12"/>
              <w:jc w:val="center"/>
              <w:rPr>
                <w:color w:val="auto"/>
              </w:rPr>
            </w:pPr>
            <w:r w:rsidRPr="00AD2787">
              <w:rPr>
                <w:color w:val="auto"/>
              </w:rPr>
              <w:t>211 (94)</w:t>
            </w:r>
          </w:p>
        </w:tc>
        <w:tc>
          <w:tcPr>
            <w:tcW w:w="1134" w:type="dxa"/>
          </w:tcPr>
          <w:p w:rsidR="009F06FC" w:rsidRPr="00AD2787" w:rsidRDefault="009F06FC" w:rsidP="005A0D50">
            <w:pPr>
              <w:tabs>
                <w:tab w:val="left" w:pos="1451"/>
              </w:tabs>
              <w:spacing w:line="276" w:lineRule="auto"/>
              <w:ind w:right="-12"/>
              <w:jc w:val="center"/>
              <w:rPr>
                <w:color w:val="auto"/>
              </w:rPr>
            </w:pPr>
            <w:r w:rsidRPr="00AD2787">
              <w:rPr>
                <w:color w:val="auto"/>
              </w:rPr>
              <w:t>114 (96)</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97 (92)</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0.421</w:t>
            </w:r>
          </w:p>
        </w:tc>
      </w:tr>
      <w:tr w:rsidR="00AD2787" w:rsidRPr="00AD2787" w:rsidTr="009F06FC">
        <w:trPr>
          <w:trHeight w:val="497"/>
        </w:trPr>
        <w:tc>
          <w:tcPr>
            <w:tcW w:w="3598" w:type="dxa"/>
          </w:tcPr>
          <w:p w:rsidR="009F06FC" w:rsidRPr="00AD2787" w:rsidRDefault="009F06FC" w:rsidP="005A0D50">
            <w:pPr>
              <w:spacing w:line="276" w:lineRule="auto"/>
              <w:ind w:left="454" w:right="34" w:hanging="356"/>
              <w:rPr>
                <w:b/>
                <w:color w:val="auto"/>
              </w:rPr>
            </w:pPr>
            <w:r w:rsidRPr="00AD2787">
              <w:rPr>
                <w:b/>
                <w:color w:val="auto"/>
              </w:rPr>
              <w:t>Metastatic at diagnosis</w:t>
            </w:r>
          </w:p>
        </w:tc>
        <w:tc>
          <w:tcPr>
            <w:tcW w:w="1244" w:type="dxa"/>
          </w:tcPr>
          <w:p w:rsidR="009F06FC" w:rsidRPr="00AD2787" w:rsidRDefault="009F06FC" w:rsidP="005A0D50">
            <w:pPr>
              <w:tabs>
                <w:tab w:val="left" w:pos="1451"/>
              </w:tabs>
              <w:spacing w:line="276" w:lineRule="auto"/>
              <w:ind w:right="-12"/>
              <w:jc w:val="center"/>
              <w:rPr>
                <w:color w:val="auto"/>
              </w:rPr>
            </w:pPr>
            <w:r w:rsidRPr="00AD2787">
              <w:rPr>
                <w:color w:val="auto"/>
              </w:rPr>
              <w:t>114 (51)</w:t>
            </w:r>
          </w:p>
        </w:tc>
        <w:tc>
          <w:tcPr>
            <w:tcW w:w="1134" w:type="dxa"/>
          </w:tcPr>
          <w:p w:rsidR="009F06FC" w:rsidRPr="00AD2787" w:rsidRDefault="009F06FC" w:rsidP="005A0D50">
            <w:pPr>
              <w:tabs>
                <w:tab w:val="left" w:pos="1451"/>
              </w:tabs>
              <w:spacing w:line="276" w:lineRule="auto"/>
              <w:ind w:right="-12"/>
              <w:jc w:val="center"/>
              <w:rPr>
                <w:color w:val="auto"/>
              </w:rPr>
            </w:pPr>
            <w:r w:rsidRPr="00AD2787">
              <w:rPr>
                <w:color w:val="auto"/>
              </w:rPr>
              <w:t>57 (48)</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57 (54)</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0.412</w:t>
            </w:r>
          </w:p>
        </w:tc>
      </w:tr>
      <w:tr w:rsidR="00AD2787" w:rsidRPr="00AD2787" w:rsidTr="009F06FC">
        <w:trPr>
          <w:trHeight w:val="454"/>
        </w:trPr>
        <w:tc>
          <w:tcPr>
            <w:tcW w:w="3598" w:type="dxa"/>
          </w:tcPr>
          <w:p w:rsidR="009F06FC" w:rsidRPr="00AD2787" w:rsidRDefault="009F06FC" w:rsidP="005A0D50">
            <w:pPr>
              <w:spacing w:line="276" w:lineRule="auto"/>
              <w:ind w:left="454" w:right="34" w:hanging="356"/>
              <w:rPr>
                <w:b/>
                <w:color w:val="auto"/>
              </w:rPr>
            </w:pPr>
            <w:r w:rsidRPr="00AD2787">
              <w:rPr>
                <w:b/>
                <w:color w:val="auto"/>
              </w:rPr>
              <w:t>Past nephrectomy</w:t>
            </w:r>
          </w:p>
        </w:tc>
        <w:tc>
          <w:tcPr>
            <w:tcW w:w="1244" w:type="dxa"/>
          </w:tcPr>
          <w:p w:rsidR="009F06FC" w:rsidRPr="00AD2787" w:rsidRDefault="009F06FC" w:rsidP="005A0D50">
            <w:pPr>
              <w:tabs>
                <w:tab w:val="left" w:pos="1451"/>
              </w:tabs>
              <w:spacing w:line="276" w:lineRule="auto"/>
              <w:ind w:right="-12"/>
              <w:jc w:val="center"/>
              <w:rPr>
                <w:color w:val="auto"/>
              </w:rPr>
            </w:pPr>
            <w:r w:rsidRPr="00AD2787">
              <w:rPr>
                <w:color w:val="auto"/>
              </w:rPr>
              <w:t>173 (77)</w:t>
            </w:r>
          </w:p>
        </w:tc>
        <w:tc>
          <w:tcPr>
            <w:tcW w:w="1134" w:type="dxa"/>
          </w:tcPr>
          <w:p w:rsidR="009F06FC" w:rsidRPr="00AD2787" w:rsidRDefault="009F06FC" w:rsidP="005A0D50">
            <w:pPr>
              <w:tabs>
                <w:tab w:val="left" w:pos="1451"/>
              </w:tabs>
              <w:spacing w:line="276" w:lineRule="auto"/>
              <w:ind w:right="-12"/>
              <w:jc w:val="center"/>
              <w:rPr>
                <w:color w:val="auto"/>
              </w:rPr>
            </w:pPr>
            <w:r w:rsidRPr="00AD2787">
              <w:rPr>
                <w:color w:val="auto"/>
              </w:rPr>
              <w:t>92 (77)</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81 (77)</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0.897</w:t>
            </w:r>
          </w:p>
        </w:tc>
      </w:tr>
      <w:tr w:rsidR="00AD2787" w:rsidRPr="00AD2787" w:rsidTr="009F06FC">
        <w:trPr>
          <w:trHeight w:val="532"/>
        </w:trPr>
        <w:tc>
          <w:tcPr>
            <w:tcW w:w="3598" w:type="dxa"/>
          </w:tcPr>
          <w:p w:rsidR="009F06FC" w:rsidRPr="00AD2787" w:rsidRDefault="009F06FC" w:rsidP="005A0D50">
            <w:pPr>
              <w:spacing w:line="276" w:lineRule="auto"/>
              <w:ind w:left="454" w:right="34" w:hanging="356"/>
              <w:rPr>
                <w:b/>
                <w:color w:val="auto"/>
              </w:rPr>
            </w:pPr>
            <w:r w:rsidRPr="00AD2787">
              <w:rPr>
                <w:b/>
                <w:color w:val="auto"/>
              </w:rPr>
              <w:t>Clear cell histology</w:t>
            </w:r>
          </w:p>
        </w:tc>
        <w:tc>
          <w:tcPr>
            <w:tcW w:w="1244" w:type="dxa"/>
          </w:tcPr>
          <w:p w:rsidR="009F06FC" w:rsidRPr="00AD2787" w:rsidRDefault="009F06FC" w:rsidP="005A0D50">
            <w:pPr>
              <w:tabs>
                <w:tab w:val="left" w:pos="1451"/>
              </w:tabs>
              <w:spacing w:line="276" w:lineRule="auto"/>
              <w:ind w:right="-12"/>
              <w:jc w:val="center"/>
              <w:rPr>
                <w:color w:val="auto"/>
              </w:rPr>
            </w:pPr>
            <w:r w:rsidRPr="00AD2787">
              <w:rPr>
                <w:color w:val="auto"/>
              </w:rPr>
              <w:t>193 (86)</w:t>
            </w:r>
          </w:p>
        </w:tc>
        <w:tc>
          <w:tcPr>
            <w:tcW w:w="1134" w:type="dxa"/>
          </w:tcPr>
          <w:p w:rsidR="009F06FC" w:rsidRPr="00AD2787" w:rsidRDefault="009F06FC" w:rsidP="005A0D50">
            <w:pPr>
              <w:tabs>
                <w:tab w:val="left" w:pos="1451"/>
              </w:tabs>
              <w:spacing w:line="276" w:lineRule="auto"/>
              <w:ind w:right="-12"/>
              <w:jc w:val="center"/>
              <w:rPr>
                <w:color w:val="auto"/>
              </w:rPr>
            </w:pPr>
            <w:r w:rsidRPr="00AD2787">
              <w:rPr>
                <w:color w:val="auto"/>
              </w:rPr>
              <w:t>99 (83)</w:t>
            </w:r>
          </w:p>
        </w:tc>
        <w:tc>
          <w:tcPr>
            <w:tcW w:w="1134" w:type="dxa"/>
          </w:tcPr>
          <w:p w:rsidR="009F06FC" w:rsidRPr="00AD2787" w:rsidRDefault="009F06FC" w:rsidP="005A0D50">
            <w:pPr>
              <w:tabs>
                <w:tab w:val="left" w:pos="1045"/>
                <w:tab w:val="left" w:pos="1451"/>
              </w:tabs>
              <w:spacing w:line="276" w:lineRule="auto"/>
              <w:ind w:left="-89" w:right="-127"/>
              <w:jc w:val="center"/>
              <w:rPr>
                <w:color w:val="auto"/>
              </w:rPr>
            </w:pPr>
            <w:r w:rsidRPr="00AD2787">
              <w:rPr>
                <w:color w:val="auto"/>
              </w:rPr>
              <w:t>94 (90)</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0.240</w:t>
            </w:r>
          </w:p>
        </w:tc>
      </w:tr>
      <w:tr w:rsidR="00AD2787" w:rsidRPr="00AD2787" w:rsidTr="009F06FC">
        <w:trPr>
          <w:trHeight w:val="1284"/>
        </w:trPr>
        <w:tc>
          <w:tcPr>
            <w:tcW w:w="3598" w:type="dxa"/>
          </w:tcPr>
          <w:p w:rsidR="009F06FC" w:rsidRPr="00AD2787" w:rsidRDefault="009F06FC" w:rsidP="005A0D50">
            <w:pPr>
              <w:spacing w:line="276" w:lineRule="auto"/>
              <w:ind w:left="454" w:right="34" w:hanging="356"/>
              <w:rPr>
                <w:b/>
                <w:color w:val="auto"/>
              </w:rPr>
            </w:pPr>
            <w:r w:rsidRPr="00AD2787">
              <w:rPr>
                <w:b/>
                <w:color w:val="auto"/>
              </w:rPr>
              <w:t>IMDC risk stratification</w:t>
            </w:r>
          </w:p>
          <w:p w:rsidR="009F06FC" w:rsidRPr="00AD2787" w:rsidRDefault="009F06FC" w:rsidP="005A0D50">
            <w:pPr>
              <w:spacing w:line="276" w:lineRule="auto"/>
              <w:ind w:left="454" w:right="34" w:hanging="141"/>
              <w:rPr>
                <w:color w:val="auto"/>
              </w:rPr>
            </w:pPr>
            <w:r w:rsidRPr="00AD2787">
              <w:rPr>
                <w:color w:val="auto"/>
              </w:rPr>
              <w:t xml:space="preserve">Favorable risk </w:t>
            </w:r>
          </w:p>
          <w:p w:rsidR="009F06FC" w:rsidRPr="00AD2787" w:rsidRDefault="009F06FC" w:rsidP="005A0D50">
            <w:pPr>
              <w:spacing w:line="276" w:lineRule="auto"/>
              <w:ind w:left="454" w:right="34" w:hanging="141"/>
              <w:rPr>
                <w:color w:val="auto"/>
              </w:rPr>
            </w:pPr>
            <w:r w:rsidRPr="00AD2787">
              <w:rPr>
                <w:color w:val="auto"/>
              </w:rPr>
              <w:t>Intermediate risk</w:t>
            </w:r>
          </w:p>
          <w:p w:rsidR="009F06FC" w:rsidRPr="00AD2787" w:rsidRDefault="009F06FC" w:rsidP="005A0D50">
            <w:pPr>
              <w:spacing w:line="276" w:lineRule="auto"/>
              <w:ind w:left="454" w:right="34" w:hanging="141"/>
              <w:rPr>
                <w:color w:val="auto"/>
              </w:rPr>
            </w:pPr>
            <w:r w:rsidRPr="00AD2787">
              <w:rPr>
                <w:color w:val="auto"/>
              </w:rPr>
              <w:t>Poor risk</w:t>
            </w:r>
          </w:p>
        </w:tc>
        <w:tc>
          <w:tcPr>
            <w:tcW w:w="1244" w:type="dxa"/>
          </w:tcPr>
          <w:p w:rsidR="009F06FC" w:rsidRPr="00AD2787" w:rsidRDefault="009F06FC" w:rsidP="005A0D50">
            <w:pPr>
              <w:spacing w:line="276" w:lineRule="auto"/>
              <w:jc w:val="center"/>
              <w:rPr>
                <w:color w:val="auto"/>
              </w:rPr>
            </w:pPr>
          </w:p>
          <w:p w:rsidR="009F06FC" w:rsidRPr="00AD2787" w:rsidRDefault="009F06FC" w:rsidP="005A0D50">
            <w:pPr>
              <w:spacing w:line="276" w:lineRule="auto"/>
              <w:jc w:val="center"/>
              <w:rPr>
                <w:color w:val="auto"/>
              </w:rPr>
            </w:pPr>
            <w:r w:rsidRPr="00AD2787">
              <w:rPr>
                <w:color w:val="auto"/>
              </w:rPr>
              <w:t>50 (22)</w:t>
            </w:r>
          </w:p>
          <w:p w:rsidR="009F06FC" w:rsidRPr="00AD2787" w:rsidRDefault="009F06FC" w:rsidP="005A0D50">
            <w:pPr>
              <w:spacing w:line="276" w:lineRule="auto"/>
              <w:jc w:val="center"/>
              <w:rPr>
                <w:color w:val="auto"/>
              </w:rPr>
            </w:pPr>
            <w:r w:rsidRPr="00AD2787">
              <w:rPr>
                <w:color w:val="auto"/>
              </w:rPr>
              <w:t>134 (60)</w:t>
            </w:r>
          </w:p>
          <w:p w:rsidR="009F06FC" w:rsidRPr="00AD2787" w:rsidRDefault="009F06FC" w:rsidP="005A0D50">
            <w:pPr>
              <w:spacing w:line="276" w:lineRule="auto"/>
              <w:jc w:val="center"/>
              <w:rPr>
                <w:color w:val="auto"/>
              </w:rPr>
            </w:pPr>
            <w:r w:rsidRPr="00AD2787">
              <w:rPr>
                <w:color w:val="auto"/>
              </w:rPr>
              <w:t>40 (18)</w:t>
            </w:r>
          </w:p>
        </w:tc>
        <w:tc>
          <w:tcPr>
            <w:tcW w:w="1134" w:type="dxa"/>
          </w:tcPr>
          <w:p w:rsidR="009F06FC" w:rsidRPr="00AD2787" w:rsidRDefault="009F06FC" w:rsidP="005A0D50">
            <w:pPr>
              <w:spacing w:line="276" w:lineRule="auto"/>
              <w:jc w:val="center"/>
              <w:rPr>
                <w:color w:val="auto"/>
              </w:rPr>
            </w:pPr>
          </w:p>
          <w:p w:rsidR="009F06FC" w:rsidRPr="00AD2787" w:rsidRDefault="009F06FC" w:rsidP="005A0D50">
            <w:pPr>
              <w:spacing w:line="276" w:lineRule="auto"/>
              <w:jc w:val="center"/>
              <w:rPr>
                <w:color w:val="auto"/>
              </w:rPr>
            </w:pPr>
            <w:r w:rsidRPr="00AD2787">
              <w:rPr>
                <w:color w:val="auto"/>
              </w:rPr>
              <w:t>29 (24)</w:t>
            </w:r>
          </w:p>
          <w:p w:rsidR="009F06FC" w:rsidRPr="00AD2787" w:rsidRDefault="009F06FC" w:rsidP="005A0D50">
            <w:pPr>
              <w:spacing w:line="276" w:lineRule="auto"/>
              <w:jc w:val="center"/>
              <w:rPr>
                <w:color w:val="auto"/>
              </w:rPr>
            </w:pPr>
            <w:r w:rsidRPr="00AD2787">
              <w:rPr>
                <w:color w:val="auto"/>
              </w:rPr>
              <w:t>65 (55)</w:t>
            </w:r>
          </w:p>
          <w:p w:rsidR="009F06FC" w:rsidRPr="00AD2787" w:rsidRDefault="009F06FC" w:rsidP="005A0D50">
            <w:pPr>
              <w:spacing w:line="276" w:lineRule="auto"/>
              <w:jc w:val="center"/>
              <w:rPr>
                <w:color w:val="auto"/>
              </w:rPr>
            </w:pPr>
            <w:r w:rsidRPr="00AD2787">
              <w:rPr>
                <w:color w:val="auto"/>
              </w:rPr>
              <w:t>25 (21)</w:t>
            </w:r>
          </w:p>
        </w:tc>
        <w:tc>
          <w:tcPr>
            <w:tcW w:w="1134" w:type="dxa"/>
          </w:tcPr>
          <w:p w:rsidR="009F06FC" w:rsidRPr="00AD2787" w:rsidRDefault="009F06FC" w:rsidP="005A0D50">
            <w:pPr>
              <w:tabs>
                <w:tab w:val="left" w:pos="1045"/>
              </w:tabs>
              <w:spacing w:line="276" w:lineRule="auto"/>
              <w:ind w:left="-89" w:right="-127"/>
              <w:jc w:val="center"/>
              <w:rPr>
                <w:color w:val="auto"/>
              </w:rPr>
            </w:pPr>
          </w:p>
          <w:p w:rsidR="009F06FC" w:rsidRPr="00AD2787" w:rsidRDefault="009F06FC" w:rsidP="005A0D50">
            <w:pPr>
              <w:tabs>
                <w:tab w:val="left" w:pos="1045"/>
              </w:tabs>
              <w:spacing w:line="276" w:lineRule="auto"/>
              <w:ind w:left="-89" w:right="-127"/>
              <w:jc w:val="center"/>
              <w:rPr>
                <w:color w:val="auto"/>
              </w:rPr>
            </w:pPr>
            <w:r w:rsidRPr="00AD2787">
              <w:rPr>
                <w:color w:val="auto"/>
              </w:rPr>
              <w:t>21 (20)</w:t>
            </w:r>
          </w:p>
          <w:p w:rsidR="009F06FC" w:rsidRPr="00AD2787" w:rsidRDefault="009F06FC" w:rsidP="005A0D50">
            <w:pPr>
              <w:tabs>
                <w:tab w:val="left" w:pos="1045"/>
              </w:tabs>
              <w:spacing w:line="276" w:lineRule="auto"/>
              <w:ind w:left="-89" w:right="-127"/>
              <w:jc w:val="center"/>
              <w:rPr>
                <w:color w:val="auto"/>
              </w:rPr>
            </w:pPr>
            <w:r w:rsidRPr="00AD2787">
              <w:rPr>
                <w:color w:val="auto"/>
              </w:rPr>
              <w:t>69 (66)</w:t>
            </w:r>
          </w:p>
          <w:p w:rsidR="009F06FC" w:rsidRPr="00AD2787" w:rsidRDefault="009F06FC" w:rsidP="005A0D50">
            <w:pPr>
              <w:tabs>
                <w:tab w:val="left" w:pos="1045"/>
              </w:tabs>
              <w:spacing w:line="276" w:lineRule="auto"/>
              <w:ind w:left="-89" w:right="-127"/>
              <w:jc w:val="center"/>
              <w:rPr>
                <w:color w:val="auto"/>
              </w:rPr>
            </w:pPr>
            <w:r w:rsidRPr="00AD2787">
              <w:rPr>
                <w:color w:val="auto"/>
              </w:rPr>
              <w:t>15 (14)</w:t>
            </w:r>
          </w:p>
        </w:tc>
        <w:tc>
          <w:tcPr>
            <w:tcW w:w="910" w:type="dxa"/>
          </w:tcPr>
          <w:p w:rsidR="009F06FC" w:rsidRPr="00AD2787" w:rsidRDefault="009F06FC" w:rsidP="005A0D50">
            <w:pPr>
              <w:spacing w:line="276" w:lineRule="auto"/>
              <w:jc w:val="center"/>
              <w:rPr>
                <w:color w:val="auto"/>
              </w:rPr>
            </w:pPr>
            <w:r w:rsidRPr="00AD2787">
              <w:rPr>
                <w:color w:val="auto"/>
              </w:rPr>
              <w:t>0.219</w:t>
            </w:r>
          </w:p>
        </w:tc>
      </w:tr>
      <w:tr w:rsidR="00AD2787" w:rsidRPr="00AD2787" w:rsidTr="009F06FC">
        <w:trPr>
          <w:trHeight w:val="1846"/>
        </w:trPr>
        <w:tc>
          <w:tcPr>
            <w:tcW w:w="3598" w:type="dxa"/>
          </w:tcPr>
          <w:p w:rsidR="009F06FC" w:rsidRPr="00AD2787" w:rsidRDefault="009F06FC" w:rsidP="005A0D50">
            <w:pPr>
              <w:spacing w:line="276" w:lineRule="auto"/>
              <w:ind w:left="454" w:right="34" w:hanging="356"/>
              <w:rPr>
                <w:b/>
                <w:color w:val="auto"/>
              </w:rPr>
            </w:pPr>
            <w:r w:rsidRPr="00AD2787">
              <w:rPr>
                <w:b/>
                <w:color w:val="auto"/>
              </w:rPr>
              <w:t>Common sites of metastasis</w:t>
            </w:r>
          </w:p>
          <w:p w:rsidR="009F06FC" w:rsidRPr="00AD2787" w:rsidRDefault="009F06FC" w:rsidP="005A0D50">
            <w:pPr>
              <w:spacing w:line="276" w:lineRule="auto"/>
              <w:ind w:left="454" w:right="34" w:hanging="141"/>
              <w:rPr>
                <w:color w:val="auto"/>
              </w:rPr>
            </w:pPr>
            <w:r w:rsidRPr="00AD2787">
              <w:rPr>
                <w:color w:val="auto"/>
              </w:rPr>
              <w:t>Lung</w:t>
            </w:r>
          </w:p>
          <w:p w:rsidR="009F06FC" w:rsidRPr="00AD2787" w:rsidRDefault="009F06FC" w:rsidP="005A0D50">
            <w:pPr>
              <w:spacing w:line="276" w:lineRule="auto"/>
              <w:ind w:left="454" w:right="34" w:hanging="141"/>
              <w:rPr>
                <w:color w:val="auto"/>
              </w:rPr>
            </w:pPr>
            <w:r w:rsidRPr="00AD2787">
              <w:rPr>
                <w:color w:val="auto"/>
              </w:rPr>
              <w:t>Lymph nodes</w:t>
            </w:r>
          </w:p>
          <w:p w:rsidR="009F06FC" w:rsidRPr="00AD2787" w:rsidRDefault="009F06FC" w:rsidP="005A0D50">
            <w:pPr>
              <w:spacing w:line="276" w:lineRule="auto"/>
              <w:ind w:left="454" w:right="34" w:hanging="141"/>
              <w:rPr>
                <w:color w:val="auto"/>
              </w:rPr>
            </w:pPr>
            <w:r w:rsidRPr="00AD2787">
              <w:rPr>
                <w:color w:val="auto"/>
              </w:rPr>
              <w:t>Bone</w:t>
            </w:r>
          </w:p>
          <w:p w:rsidR="009F06FC" w:rsidRPr="00AD2787" w:rsidRDefault="009F06FC" w:rsidP="005A0D50">
            <w:pPr>
              <w:spacing w:line="276" w:lineRule="auto"/>
              <w:ind w:left="454" w:right="34" w:hanging="141"/>
              <w:rPr>
                <w:b/>
                <w:color w:val="auto"/>
              </w:rPr>
            </w:pPr>
            <w:r w:rsidRPr="00AD2787">
              <w:rPr>
                <w:color w:val="auto"/>
              </w:rPr>
              <w:t>Liver</w:t>
            </w:r>
          </w:p>
          <w:p w:rsidR="009F06FC" w:rsidRPr="00AD2787" w:rsidRDefault="009F06FC" w:rsidP="005A0D50">
            <w:pPr>
              <w:spacing w:line="276" w:lineRule="auto"/>
              <w:ind w:left="454" w:right="34" w:hanging="141"/>
              <w:rPr>
                <w:color w:val="auto"/>
              </w:rPr>
            </w:pPr>
            <w:r w:rsidRPr="00AD2787">
              <w:rPr>
                <w:color w:val="auto"/>
              </w:rPr>
              <w:t>Brain</w:t>
            </w:r>
          </w:p>
        </w:tc>
        <w:tc>
          <w:tcPr>
            <w:tcW w:w="1244" w:type="dxa"/>
          </w:tcPr>
          <w:p w:rsidR="009F06FC" w:rsidRPr="00AD2787" w:rsidRDefault="009F06FC" w:rsidP="005A0D50">
            <w:pPr>
              <w:spacing w:line="276" w:lineRule="auto"/>
              <w:jc w:val="center"/>
              <w:rPr>
                <w:color w:val="auto"/>
              </w:rPr>
            </w:pPr>
          </w:p>
          <w:p w:rsidR="009F06FC" w:rsidRPr="00AD2787" w:rsidRDefault="009F06FC" w:rsidP="005A0D50">
            <w:pPr>
              <w:spacing w:line="276" w:lineRule="auto"/>
              <w:jc w:val="center"/>
              <w:rPr>
                <w:color w:val="auto"/>
              </w:rPr>
            </w:pPr>
            <w:r w:rsidRPr="00AD2787">
              <w:rPr>
                <w:color w:val="auto"/>
              </w:rPr>
              <w:t>145 (65)</w:t>
            </w:r>
          </w:p>
          <w:p w:rsidR="009F06FC" w:rsidRPr="00AD2787" w:rsidRDefault="009F06FC" w:rsidP="005A0D50">
            <w:pPr>
              <w:spacing w:line="276" w:lineRule="auto"/>
              <w:jc w:val="center"/>
              <w:rPr>
                <w:color w:val="auto"/>
              </w:rPr>
            </w:pPr>
            <w:r w:rsidRPr="00AD2787">
              <w:rPr>
                <w:color w:val="auto"/>
              </w:rPr>
              <w:t>115 (51)</w:t>
            </w:r>
          </w:p>
          <w:p w:rsidR="009F06FC" w:rsidRPr="00AD2787" w:rsidRDefault="009F06FC" w:rsidP="005A0D50">
            <w:pPr>
              <w:spacing w:line="276" w:lineRule="auto"/>
              <w:jc w:val="center"/>
              <w:rPr>
                <w:color w:val="auto"/>
              </w:rPr>
            </w:pPr>
            <w:r w:rsidRPr="00AD2787">
              <w:rPr>
                <w:color w:val="auto"/>
              </w:rPr>
              <w:t>63 (28)</w:t>
            </w:r>
          </w:p>
          <w:p w:rsidR="009F06FC" w:rsidRPr="00AD2787" w:rsidRDefault="009F06FC" w:rsidP="005A0D50">
            <w:pPr>
              <w:spacing w:line="276" w:lineRule="auto"/>
              <w:jc w:val="center"/>
              <w:rPr>
                <w:color w:val="auto"/>
              </w:rPr>
            </w:pPr>
            <w:r w:rsidRPr="00AD2787">
              <w:rPr>
                <w:color w:val="auto"/>
              </w:rPr>
              <w:t>42 (19)</w:t>
            </w:r>
          </w:p>
          <w:p w:rsidR="009F06FC" w:rsidRPr="00AD2787" w:rsidRDefault="009F06FC" w:rsidP="005A0D50">
            <w:pPr>
              <w:spacing w:line="276" w:lineRule="auto"/>
              <w:jc w:val="center"/>
              <w:rPr>
                <w:color w:val="auto"/>
              </w:rPr>
            </w:pPr>
            <w:r w:rsidRPr="00AD2787">
              <w:rPr>
                <w:color w:val="auto"/>
              </w:rPr>
              <w:t>17 (8)</w:t>
            </w:r>
          </w:p>
        </w:tc>
        <w:tc>
          <w:tcPr>
            <w:tcW w:w="1134" w:type="dxa"/>
          </w:tcPr>
          <w:p w:rsidR="009F06FC" w:rsidRPr="00AD2787" w:rsidRDefault="009F06FC" w:rsidP="005A0D50">
            <w:pPr>
              <w:spacing w:line="276" w:lineRule="auto"/>
              <w:jc w:val="center"/>
              <w:rPr>
                <w:color w:val="auto"/>
              </w:rPr>
            </w:pPr>
          </w:p>
          <w:p w:rsidR="009F06FC" w:rsidRPr="00AD2787" w:rsidRDefault="009F06FC" w:rsidP="005A0D50">
            <w:pPr>
              <w:spacing w:line="276" w:lineRule="auto"/>
              <w:jc w:val="center"/>
              <w:rPr>
                <w:color w:val="auto"/>
              </w:rPr>
            </w:pPr>
            <w:r w:rsidRPr="00AD2787">
              <w:rPr>
                <w:color w:val="auto"/>
              </w:rPr>
              <w:t>77 (65)</w:t>
            </w:r>
          </w:p>
          <w:p w:rsidR="009F06FC" w:rsidRPr="00AD2787" w:rsidRDefault="009F06FC" w:rsidP="005A0D50">
            <w:pPr>
              <w:spacing w:line="276" w:lineRule="auto"/>
              <w:jc w:val="center"/>
              <w:rPr>
                <w:color w:val="auto"/>
              </w:rPr>
            </w:pPr>
            <w:r w:rsidRPr="00AD2787">
              <w:rPr>
                <w:color w:val="auto"/>
              </w:rPr>
              <w:t>63 (53)</w:t>
            </w:r>
          </w:p>
          <w:p w:rsidR="009F06FC" w:rsidRPr="00AD2787" w:rsidRDefault="009F06FC" w:rsidP="005A0D50">
            <w:pPr>
              <w:spacing w:line="276" w:lineRule="auto"/>
              <w:jc w:val="center"/>
              <w:rPr>
                <w:color w:val="auto"/>
              </w:rPr>
            </w:pPr>
            <w:r w:rsidRPr="00AD2787">
              <w:rPr>
                <w:color w:val="auto"/>
              </w:rPr>
              <w:t>34 (29)</w:t>
            </w:r>
          </w:p>
          <w:p w:rsidR="009F06FC" w:rsidRPr="00AD2787" w:rsidRDefault="009F06FC" w:rsidP="005A0D50">
            <w:pPr>
              <w:spacing w:line="276" w:lineRule="auto"/>
              <w:jc w:val="center"/>
              <w:rPr>
                <w:color w:val="auto"/>
              </w:rPr>
            </w:pPr>
            <w:r w:rsidRPr="00AD2787">
              <w:rPr>
                <w:color w:val="auto"/>
              </w:rPr>
              <w:t>15 (13)</w:t>
            </w:r>
          </w:p>
          <w:p w:rsidR="009F06FC" w:rsidRPr="00AD2787" w:rsidRDefault="009F06FC" w:rsidP="005A0D50">
            <w:pPr>
              <w:tabs>
                <w:tab w:val="left" w:pos="1451"/>
              </w:tabs>
              <w:spacing w:line="276" w:lineRule="auto"/>
              <w:ind w:right="-12"/>
              <w:jc w:val="center"/>
              <w:rPr>
                <w:color w:val="auto"/>
              </w:rPr>
            </w:pPr>
            <w:r w:rsidRPr="00AD2787">
              <w:rPr>
                <w:color w:val="auto"/>
              </w:rPr>
              <w:t>7 (6%)</w:t>
            </w:r>
          </w:p>
        </w:tc>
        <w:tc>
          <w:tcPr>
            <w:tcW w:w="1134" w:type="dxa"/>
          </w:tcPr>
          <w:p w:rsidR="009F06FC" w:rsidRPr="00AD2787" w:rsidRDefault="009F06FC" w:rsidP="005A0D50">
            <w:pPr>
              <w:tabs>
                <w:tab w:val="left" w:pos="1045"/>
              </w:tabs>
              <w:spacing w:line="276" w:lineRule="auto"/>
              <w:ind w:left="-89" w:right="-127"/>
              <w:jc w:val="center"/>
              <w:rPr>
                <w:color w:val="auto"/>
              </w:rPr>
            </w:pPr>
          </w:p>
          <w:p w:rsidR="009F06FC" w:rsidRPr="00AD2787" w:rsidRDefault="009F06FC" w:rsidP="005A0D50">
            <w:pPr>
              <w:tabs>
                <w:tab w:val="left" w:pos="1045"/>
              </w:tabs>
              <w:spacing w:line="276" w:lineRule="auto"/>
              <w:ind w:left="-89" w:right="-127"/>
              <w:jc w:val="center"/>
              <w:rPr>
                <w:color w:val="auto"/>
              </w:rPr>
            </w:pPr>
            <w:r w:rsidRPr="00AD2787">
              <w:rPr>
                <w:color w:val="auto"/>
              </w:rPr>
              <w:t>68 (65)</w:t>
            </w:r>
          </w:p>
          <w:p w:rsidR="009F06FC" w:rsidRPr="00AD2787" w:rsidRDefault="009F06FC" w:rsidP="005A0D50">
            <w:pPr>
              <w:tabs>
                <w:tab w:val="left" w:pos="1045"/>
              </w:tabs>
              <w:spacing w:line="276" w:lineRule="auto"/>
              <w:ind w:left="-89" w:right="-127"/>
              <w:jc w:val="center"/>
              <w:rPr>
                <w:color w:val="auto"/>
              </w:rPr>
            </w:pPr>
            <w:r w:rsidRPr="00AD2787">
              <w:rPr>
                <w:color w:val="auto"/>
              </w:rPr>
              <w:t>52 (50)</w:t>
            </w:r>
          </w:p>
          <w:p w:rsidR="009F06FC" w:rsidRPr="00AD2787" w:rsidRDefault="009F06FC" w:rsidP="005A0D50">
            <w:pPr>
              <w:tabs>
                <w:tab w:val="left" w:pos="1045"/>
              </w:tabs>
              <w:spacing w:line="276" w:lineRule="auto"/>
              <w:ind w:left="-89" w:right="-127"/>
              <w:jc w:val="center"/>
              <w:rPr>
                <w:color w:val="auto"/>
              </w:rPr>
            </w:pPr>
            <w:r w:rsidRPr="00AD2787">
              <w:rPr>
                <w:color w:val="auto"/>
              </w:rPr>
              <w:t>29 (28)</w:t>
            </w:r>
          </w:p>
          <w:p w:rsidR="009F06FC" w:rsidRPr="00AD2787" w:rsidRDefault="009F06FC" w:rsidP="005A0D50">
            <w:pPr>
              <w:tabs>
                <w:tab w:val="left" w:pos="1045"/>
              </w:tabs>
              <w:spacing w:line="276" w:lineRule="auto"/>
              <w:ind w:left="-89" w:right="-127"/>
              <w:jc w:val="center"/>
              <w:rPr>
                <w:color w:val="auto"/>
              </w:rPr>
            </w:pPr>
            <w:r w:rsidRPr="00AD2787">
              <w:rPr>
                <w:color w:val="auto"/>
              </w:rPr>
              <w:t>20 (19)</w:t>
            </w:r>
          </w:p>
          <w:p w:rsidR="009F06FC" w:rsidRPr="00AD2787" w:rsidRDefault="009F06FC" w:rsidP="005A0D50">
            <w:pPr>
              <w:tabs>
                <w:tab w:val="left" w:pos="1045"/>
              </w:tabs>
              <w:spacing w:line="276" w:lineRule="auto"/>
              <w:ind w:left="-89" w:right="-127"/>
              <w:jc w:val="center"/>
              <w:rPr>
                <w:color w:val="auto"/>
              </w:rPr>
            </w:pPr>
            <w:r w:rsidRPr="00AD2787">
              <w:rPr>
                <w:color w:val="auto"/>
              </w:rPr>
              <w:t>10 (10)</w:t>
            </w:r>
          </w:p>
        </w:tc>
        <w:tc>
          <w:tcPr>
            <w:tcW w:w="910" w:type="dxa"/>
          </w:tcPr>
          <w:p w:rsidR="009F06FC" w:rsidRPr="00AD2787" w:rsidRDefault="009F06FC" w:rsidP="005A0D50">
            <w:pPr>
              <w:tabs>
                <w:tab w:val="left" w:pos="1451"/>
              </w:tabs>
              <w:spacing w:line="276" w:lineRule="auto"/>
              <w:ind w:right="-12"/>
              <w:jc w:val="center"/>
              <w:rPr>
                <w:color w:val="auto"/>
              </w:rPr>
            </w:pPr>
          </w:p>
          <w:p w:rsidR="009F06FC" w:rsidRPr="00AD2787" w:rsidRDefault="009F06FC" w:rsidP="005A0D50">
            <w:pPr>
              <w:tabs>
                <w:tab w:val="left" w:pos="1451"/>
              </w:tabs>
              <w:spacing w:line="276" w:lineRule="auto"/>
              <w:ind w:right="-12"/>
              <w:jc w:val="center"/>
              <w:rPr>
                <w:color w:val="auto"/>
              </w:rPr>
            </w:pPr>
            <w:r w:rsidRPr="00AD2787">
              <w:rPr>
                <w:color w:val="auto"/>
              </w:rPr>
              <w:t>0.896</w:t>
            </w:r>
          </w:p>
          <w:p w:rsidR="009F06FC" w:rsidRPr="00AD2787" w:rsidRDefault="009F06FC" w:rsidP="005A0D50">
            <w:pPr>
              <w:tabs>
                <w:tab w:val="left" w:pos="1451"/>
              </w:tabs>
              <w:spacing w:line="276" w:lineRule="auto"/>
              <w:ind w:right="-12"/>
              <w:jc w:val="center"/>
              <w:rPr>
                <w:color w:val="auto"/>
              </w:rPr>
            </w:pPr>
            <w:r w:rsidRPr="00AD2787">
              <w:rPr>
                <w:color w:val="auto"/>
              </w:rPr>
              <w:t>0.706</w:t>
            </w:r>
          </w:p>
          <w:p w:rsidR="009F06FC" w:rsidRPr="00AD2787" w:rsidRDefault="009F06FC" w:rsidP="005A0D50">
            <w:pPr>
              <w:tabs>
                <w:tab w:val="left" w:pos="1451"/>
              </w:tabs>
              <w:spacing w:line="276" w:lineRule="auto"/>
              <w:ind w:right="-12"/>
              <w:jc w:val="center"/>
              <w:rPr>
                <w:color w:val="auto"/>
              </w:rPr>
            </w:pPr>
            <w:r w:rsidRPr="00AD2787">
              <w:rPr>
                <w:color w:val="auto"/>
              </w:rPr>
              <w:t>0.993</w:t>
            </w:r>
          </w:p>
          <w:p w:rsidR="009F06FC" w:rsidRPr="00AD2787" w:rsidRDefault="009F06FC" w:rsidP="005A0D50">
            <w:pPr>
              <w:tabs>
                <w:tab w:val="left" w:pos="1451"/>
              </w:tabs>
              <w:spacing w:line="276" w:lineRule="auto"/>
              <w:ind w:right="-12"/>
              <w:jc w:val="center"/>
              <w:rPr>
                <w:color w:val="auto"/>
              </w:rPr>
            </w:pPr>
            <w:r w:rsidRPr="00AD2787">
              <w:rPr>
                <w:color w:val="auto"/>
              </w:rPr>
              <w:t>0.254</w:t>
            </w:r>
          </w:p>
          <w:p w:rsidR="009F06FC" w:rsidRPr="00AD2787" w:rsidRDefault="009F06FC" w:rsidP="005A0D50">
            <w:pPr>
              <w:tabs>
                <w:tab w:val="left" w:pos="1451"/>
              </w:tabs>
              <w:spacing w:line="276" w:lineRule="auto"/>
              <w:ind w:right="-12"/>
              <w:jc w:val="center"/>
              <w:rPr>
                <w:color w:val="auto"/>
              </w:rPr>
            </w:pPr>
            <w:r w:rsidRPr="00AD2787">
              <w:rPr>
                <w:color w:val="auto"/>
              </w:rPr>
              <w:t>0.439</w:t>
            </w:r>
          </w:p>
        </w:tc>
      </w:tr>
      <w:tr w:rsidR="00AD2787" w:rsidRPr="00AD2787" w:rsidTr="009F06FC">
        <w:trPr>
          <w:trHeight w:val="681"/>
        </w:trPr>
        <w:tc>
          <w:tcPr>
            <w:tcW w:w="3598" w:type="dxa"/>
          </w:tcPr>
          <w:p w:rsidR="009F06FC" w:rsidRPr="00AD2787" w:rsidRDefault="009F06FC" w:rsidP="005A0D50">
            <w:pPr>
              <w:spacing w:line="276" w:lineRule="auto"/>
              <w:ind w:left="454" w:right="34" w:hanging="378"/>
              <w:rPr>
                <w:b/>
                <w:color w:val="auto"/>
              </w:rPr>
            </w:pPr>
            <w:r w:rsidRPr="00AD2787">
              <w:rPr>
                <w:b/>
                <w:color w:val="auto"/>
              </w:rPr>
              <w:t>≥ 2Metastatic sites</w:t>
            </w:r>
          </w:p>
        </w:tc>
        <w:tc>
          <w:tcPr>
            <w:tcW w:w="1244" w:type="dxa"/>
          </w:tcPr>
          <w:p w:rsidR="009F06FC" w:rsidRPr="00AD2787" w:rsidRDefault="009F06FC" w:rsidP="005A0D50">
            <w:pPr>
              <w:spacing w:line="276" w:lineRule="auto"/>
              <w:jc w:val="center"/>
              <w:rPr>
                <w:color w:val="auto"/>
              </w:rPr>
            </w:pPr>
            <w:r w:rsidRPr="00AD2787">
              <w:rPr>
                <w:color w:val="auto"/>
              </w:rPr>
              <w:t>135 (60)</w:t>
            </w:r>
          </w:p>
        </w:tc>
        <w:tc>
          <w:tcPr>
            <w:tcW w:w="1134" w:type="dxa"/>
          </w:tcPr>
          <w:p w:rsidR="009F06FC" w:rsidRPr="00AD2787" w:rsidRDefault="009F06FC" w:rsidP="005A0D50">
            <w:pPr>
              <w:spacing w:line="276" w:lineRule="auto"/>
              <w:jc w:val="center"/>
              <w:rPr>
                <w:color w:val="auto"/>
              </w:rPr>
            </w:pPr>
            <w:r w:rsidRPr="00AD2787">
              <w:rPr>
                <w:color w:val="auto"/>
              </w:rPr>
              <w:t>69 (58)</w:t>
            </w:r>
          </w:p>
        </w:tc>
        <w:tc>
          <w:tcPr>
            <w:tcW w:w="1134" w:type="dxa"/>
          </w:tcPr>
          <w:p w:rsidR="009F06FC" w:rsidRPr="00AD2787" w:rsidRDefault="009F06FC" w:rsidP="005A0D50">
            <w:pPr>
              <w:tabs>
                <w:tab w:val="left" w:pos="1045"/>
              </w:tabs>
              <w:spacing w:line="276" w:lineRule="auto"/>
              <w:ind w:left="-89" w:right="-127"/>
              <w:jc w:val="center"/>
              <w:rPr>
                <w:color w:val="auto"/>
              </w:rPr>
            </w:pPr>
            <w:r w:rsidRPr="00AD2787">
              <w:rPr>
                <w:color w:val="auto"/>
              </w:rPr>
              <w:t>66 (63)</w:t>
            </w:r>
          </w:p>
        </w:tc>
        <w:tc>
          <w:tcPr>
            <w:tcW w:w="910" w:type="dxa"/>
          </w:tcPr>
          <w:p w:rsidR="009F06FC" w:rsidRPr="00AD2787" w:rsidRDefault="009F06FC" w:rsidP="005A0D50">
            <w:pPr>
              <w:tabs>
                <w:tab w:val="left" w:pos="1451"/>
              </w:tabs>
              <w:spacing w:line="276" w:lineRule="auto"/>
              <w:ind w:right="-12"/>
              <w:jc w:val="center"/>
              <w:rPr>
                <w:color w:val="auto"/>
              </w:rPr>
            </w:pPr>
            <w:r w:rsidRPr="00AD2787">
              <w:rPr>
                <w:color w:val="auto"/>
              </w:rPr>
              <w:t>0.458</w:t>
            </w:r>
          </w:p>
        </w:tc>
      </w:tr>
    </w:tbl>
    <w:p w:rsidR="009F06FC" w:rsidRPr="00AD2787" w:rsidRDefault="009F06FC" w:rsidP="004F1A32">
      <w:pPr>
        <w:pStyle w:val="MDPI31text"/>
        <w:rPr>
          <w:color w:val="auto"/>
        </w:rPr>
      </w:pPr>
    </w:p>
    <w:p w:rsidR="004F1A32" w:rsidRPr="00AD2787" w:rsidRDefault="004F1A32" w:rsidP="004F1A32">
      <w:pPr>
        <w:pStyle w:val="MDPI31text"/>
        <w:rPr>
          <w:color w:val="auto"/>
        </w:rPr>
      </w:pPr>
      <w:r w:rsidRPr="00AD2787">
        <w:rPr>
          <w:color w:val="auto"/>
        </w:rPr>
        <w:t xml:space="preserve">The median BMI was 26 (range 18−36). BMI was </w:t>
      </w:r>
      <w:r w:rsidRPr="00AD2787">
        <w:rPr>
          <w:rFonts w:hint="eastAsia"/>
          <w:color w:val="auto"/>
        </w:rPr>
        <w:t>≥</w:t>
      </w:r>
      <w:r w:rsidRPr="00AD2787">
        <w:rPr>
          <w:color w:val="auto"/>
        </w:rPr>
        <w:t xml:space="preserve"> 25 in 119 patients (53%), </w:t>
      </w:r>
      <w:r w:rsidR="005A2CC2" w:rsidRPr="00AD2787">
        <w:rPr>
          <w:color w:val="auto"/>
        </w:rPr>
        <w:t>where</w:t>
      </w:r>
      <w:r w:rsidRPr="00AD2787">
        <w:rPr>
          <w:color w:val="auto"/>
        </w:rPr>
        <w:t xml:space="preserve">15 patients (13%) had a BMI </w:t>
      </w:r>
      <w:r w:rsidRPr="00AD2787">
        <w:rPr>
          <w:rFonts w:hint="eastAsia"/>
          <w:color w:val="auto"/>
        </w:rPr>
        <w:t>≥</w:t>
      </w:r>
      <w:r w:rsidRPr="00AD2787">
        <w:rPr>
          <w:color w:val="auto"/>
        </w:rPr>
        <w:t xml:space="preserve"> 30. Among the 105 patients with BMI &lt; 25, 17 (16%) had a BMI </w:t>
      </w:r>
      <w:r w:rsidRPr="00AD2787">
        <w:rPr>
          <w:rFonts w:hint="eastAsia"/>
          <w:color w:val="auto"/>
        </w:rPr>
        <w:t>≤</w:t>
      </w:r>
      <w:r w:rsidRPr="00AD2787">
        <w:rPr>
          <w:color w:val="auto"/>
        </w:rPr>
        <w:t xml:space="preserve"> 20. As reported in Table 1, no statistically significant differences in terms of dem</w:t>
      </w:r>
      <w:r w:rsidRPr="00AD2787">
        <w:rPr>
          <w:rFonts w:hint="eastAsia"/>
          <w:color w:val="auto"/>
        </w:rPr>
        <w:t xml:space="preserve">ographic and disease characteristics were found between patients with BMI ≥ 25 and &lt; 25. </w:t>
      </w:r>
    </w:p>
    <w:p w:rsidR="004F1A32" w:rsidRPr="00AD2787" w:rsidRDefault="004F1A32" w:rsidP="004F1A32">
      <w:pPr>
        <w:pStyle w:val="MDPI31text"/>
        <w:rPr>
          <w:color w:val="auto"/>
        </w:rPr>
      </w:pPr>
    </w:p>
    <w:p w:rsidR="004F1A32" w:rsidRPr="00AD2787" w:rsidRDefault="004F1A32" w:rsidP="004F1A32">
      <w:pPr>
        <w:pStyle w:val="MDPI31text"/>
        <w:rPr>
          <w:i/>
          <w:color w:val="auto"/>
        </w:rPr>
      </w:pPr>
      <w:r w:rsidRPr="00AD2787">
        <w:rPr>
          <w:i/>
          <w:color w:val="auto"/>
        </w:rPr>
        <w:t>3.2 Response to therapy and Survival analysis</w:t>
      </w:r>
    </w:p>
    <w:p w:rsidR="004F1A32" w:rsidRPr="00AD2787" w:rsidRDefault="004F1A32" w:rsidP="004F1A32">
      <w:pPr>
        <w:pStyle w:val="MDPI31text"/>
        <w:rPr>
          <w:color w:val="auto"/>
        </w:rPr>
      </w:pPr>
      <w:r w:rsidRPr="00AD2787">
        <w:rPr>
          <w:color w:val="auto"/>
        </w:rPr>
        <w:t xml:space="preserve">The median follow-up time from diagnosis was 182.79 months (95% CI 131.00 to not </w:t>
      </w:r>
      <w:proofErr w:type="gramStart"/>
      <w:r w:rsidRPr="00AD2787">
        <w:rPr>
          <w:color w:val="auto"/>
        </w:rPr>
        <w:t>reached</w:t>
      </w:r>
      <w:proofErr w:type="gramEnd"/>
      <w:r w:rsidRPr="00AD2787">
        <w:rPr>
          <w:color w:val="auto"/>
        </w:rPr>
        <w:t xml:space="preserve">; NR). During the follow-up, 78 patients (35%) died. First-line therapy was sunitinib in 121 patients (54%), </w:t>
      </w:r>
      <w:proofErr w:type="spellStart"/>
      <w:r w:rsidRPr="00AD2787">
        <w:rPr>
          <w:color w:val="auto"/>
        </w:rPr>
        <w:t>pazopanib</w:t>
      </w:r>
      <w:proofErr w:type="spellEnd"/>
      <w:r w:rsidRPr="00AD2787">
        <w:rPr>
          <w:color w:val="auto"/>
        </w:rPr>
        <w:t xml:space="preserve"> in 73 (33%) and </w:t>
      </w:r>
      <w:proofErr w:type="spellStart"/>
      <w:r w:rsidRPr="00AD2787">
        <w:rPr>
          <w:color w:val="auto"/>
        </w:rPr>
        <w:t>immunocombinations</w:t>
      </w:r>
      <w:proofErr w:type="spellEnd"/>
      <w:r w:rsidRPr="00AD2787">
        <w:rPr>
          <w:color w:val="auto"/>
        </w:rPr>
        <w:t xml:space="preserve"> in 9 (4%). A total of 113 patients (50%) were treated with cabozantinib as second-line therapy, while 111 (50%) received cabozantinib in the third-line setting. In 21 patients (19%), second-line cabozantinib was ongoing at the time of data analysis. Among the 92 patients progressed on second-line cabozantinib, 51 (55%) received a third-line therapy, which was nivolumab in 36 patients. Drug distribution is reported in Table 2.</w:t>
      </w:r>
    </w:p>
    <w:p w:rsidR="0065522D" w:rsidRPr="00AD2787" w:rsidRDefault="0065522D" w:rsidP="004F1A32">
      <w:pPr>
        <w:pStyle w:val="MDPI31text"/>
        <w:rPr>
          <w:b/>
          <w:color w:val="auto"/>
          <w:sz w:val="18"/>
        </w:rPr>
      </w:pPr>
    </w:p>
    <w:p w:rsidR="0065522D" w:rsidRPr="00AD2787" w:rsidRDefault="0065522D" w:rsidP="004F1A32">
      <w:pPr>
        <w:pStyle w:val="MDPI31text"/>
        <w:rPr>
          <w:color w:val="auto"/>
          <w:sz w:val="18"/>
        </w:rPr>
      </w:pPr>
      <w:r w:rsidRPr="00AD2787">
        <w:rPr>
          <w:b/>
          <w:color w:val="auto"/>
          <w:sz w:val="18"/>
        </w:rPr>
        <w:t>Table 2</w:t>
      </w:r>
      <w:r w:rsidRPr="00AD2787">
        <w:rPr>
          <w:color w:val="auto"/>
          <w:sz w:val="18"/>
        </w:rPr>
        <w:t>. Drug distribution and response to cabozantinib. In bold statistically significant values.</w:t>
      </w:r>
    </w:p>
    <w:tbl>
      <w:tblPr>
        <w:tblStyle w:val="MDPI41threelinetable"/>
        <w:tblW w:w="8020" w:type="dxa"/>
        <w:tblLayout w:type="fixed"/>
        <w:tblLook w:val="00A0" w:firstRow="1" w:lastRow="0" w:firstColumn="1" w:lastColumn="0" w:noHBand="0" w:noVBand="0"/>
      </w:tblPr>
      <w:tblGrid>
        <w:gridCol w:w="3598"/>
        <w:gridCol w:w="1244"/>
        <w:gridCol w:w="1134"/>
        <w:gridCol w:w="1134"/>
        <w:gridCol w:w="910"/>
      </w:tblGrid>
      <w:tr w:rsidR="00AD2787" w:rsidRPr="00AD2787" w:rsidTr="0065522D">
        <w:trPr>
          <w:cnfStyle w:val="100000000000" w:firstRow="1" w:lastRow="0" w:firstColumn="0" w:lastColumn="0" w:oddVBand="0" w:evenVBand="0" w:oddHBand="0" w:evenHBand="0" w:firstRowFirstColumn="0" w:firstRowLastColumn="0" w:lastRowFirstColumn="0" w:lastRowLastColumn="0"/>
          <w:trHeight w:val="710"/>
        </w:trPr>
        <w:tc>
          <w:tcPr>
            <w:tcW w:w="3598" w:type="dxa"/>
          </w:tcPr>
          <w:p w:rsidR="0065522D" w:rsidRPr="00AD2787" w:rsidRDefault="0065522D" w:rsidP="005A0D50">
            <w:pPr>
              <w:spacing w:line="276" w:lineRule="auto"/>
              <w:ind w:left="454" w:right="34" w:hanging="356"/>
              <w:rPr>
                <w:b w:val="0"/>
                <w:color w:val="auto"/>
              </w:rPr>
            </w:pPr>
            <w:r w:rsidRPr="00AD2787">
              <w:rPr>
                <w:color w:val="auto"/>
              </w:rPr>
              <w:t>Patients</w:t>
            </w:r>
          </w:p>
        </w:tc>
        <w:tc>
          <w:tcPr>
            <w:tcW w:w="1244" w:type="dxa"/>
          </w:tcPr>
          <w:p w:rsidR="0065522D" w:rsidRPr="00AD2787" w:rsidRDefault="0065522D" w:rsidP="005A0D50">
            <w:pPr>
              <w:tabs>
                <w:tab w:val="left" w:pos="1451"/>
              </w:tabs>
              <w:spacing w:line="276" w:lineRule="auto"/>
              <w:ind w:right="-12"/>
              <w:jc w:val="center"/>
              <w:rPr>
                <w:b w:val="0"/>
                <w:color w:val="auto"/>
              </w:rPr>
            </w:pPr>
            <w:r w:rsidRPr="00AD2787">
              <w:rPr>
                <w:color w:val="auto"/>
              </w:rPr>
              <w:t xml:space="preserve">Overall </w:t>
            </w:r>
          </w:p>
          <w:p w:rsidR="0065522D" w:rsidRPr="00AD2787" w:rsidRDefault="0065522D" w:rsidP="005A0D50">
            <w:pPr>
              <w:tabs>
                <w:tab w:val="left" w:pos="1451"/>
              </w:tabs>
              <w:spacing w:line="276" w:lineRule="auto"/>
              <w:ind w:right="-12"/>
              <w:jc w:val="center"/>
              <w:rPr>
                <w:b w:val="0"/>
                <w:color w:val="auto"/>
              </w:rPr>
            </w:pPr>
            <w:r w:rsidRPr="00AD2787">
              <w:rPr>
                <w:color w:val="auto"/>
              </w:rPr>
              <w:t>224 (%)</w:t>
            </w:r>
          </w:p>
        </w:tc>
        <w:tc>
          <w:tcPr>
            <w:tcW w:w="1134" w:type="dxa"/>
          </w:tcPr>
          <w:p w:rsidR="0065522D" w:rsidRPr="00AD2787" w:rsidRDefault="0065522D" w:rsidP="005A0D50">
            <w:pPr>
              <w:tabs>
                <w:tab w:val="left" w:pos="1451"/>
              </w:tabs>
              <w:spacing w:line="276" w:lineRule="auto"/>
              <w:ind w:right="-12"/>
              <w:jc w:val="center"/>
              <w:rPr>
                <w:rFonts w:eastAsia="MS Gothic"/>
                <w:b w:val="0"/>
                <w:color w:val="auto"/>
              </w:rPr>
            </w:pPr>
            <w:r w:rsidRPr="00AD2787">
              <w:rPr>
                <w:color w:val="auto"/>
              </w:rPr>
              <w:t xml:space="preserve">BMI </w:t>
            </w:r>
            <w:r w:rsidRPr="00AD2787">
              <w:rPr>
                <w:rFonts w:eastAsia="MS Gothic"/>
                <w:color w:val="auto"/>
              </w:rPr>
              <w:t>≥ 25</w:t>
            </w:r>
          </w:p>
          <w:p w:rsidR="0065522D" w:rsidRPr="00AD2787" w:rsidRDefault="0065522D" w:rsidP="005A0D50">
            <w:pPr>
              <w:tabs>
                <w:tab w:val="left" w:pos="1451"/>
              </w:tabs>
              <w:spacing w:line="276" w:lineRule="auto"/>
              <w:ind w:right="-12"/>
              <w:jc w:val="center"/>
              <w:rPr>
                <w:b w:val="0"/>
                <w:color w:val="auto"/>
              </w:rPr>
            </w:pPr>
            <w:r w:rsidRPr="00AD2787">
              <w:rPr>
                <w:color w:val="auto"/>
              </w:rPr>
              <w:t>119 (%)</w:t>
            </w:r>
          </w:p>
        </w:tc>
        <w:tc>
          <w:tcPr>
            <w:tcW w:w="1134" w:type="dxa"/>
          </w:tcPr>
          <w:p w:rsidR="0065522D" w:rsidRPr="00AD2787" w:rsidRDefault="0065522D" w:rsidP="005A0D50">
            <w:pPr>
              <w:tabs>
                <w:tab w:val="left" w:pos="1045"/>
              </w:tabs>
              <w:spacing w:line="276" w:lineRule="auto"/>
              <w:ind w:left="-89" w:right="-127"/>
              <w:jc w:val="center"/>
              <w:rPr>
                <w:rFonts w:eastAsia="MS Gothic"/>
                <w:b w:val="0"/>
                <w:color w:val="auto"/>
              </w:rPr>
            </w:pPr>
            <w:r w:rsidRPr="00AD2787">
              <w:rPr>
                <w:color w:val="auto"/>
              </w:rPr>
              <w:t xml:space="preserve">BMI </w:t>
            </w:r>
            <w:r w:rsidRPr="00AD2787">
              <w:rPr>
                <w:rFonts w:eastAsia="MS Gothic"/>
                <w:color w:val="auto"/>
              </w:rPr>
              <w:t>&lt; 25</w:t>
            </w:r>
          </w:p>
          <w:p w:rsidR="0065522D" w:rsidRPr="00AD2787" w:rsidRDefault="0065522D" w:rsidP="005A0D50">
            <w:pPr>
              <w:tabs>
                <w:tab w:val="left" w:pos="1045"/>
              </w:tabs>
              <w:spacing w:line="276" w:lineRule="auto"/>
              <w:ind w:left="-89" w:right="-127"/>
              <w:jc w:val="center"/>
              <w:rPr>
                <w:b w:val="0"/>
                <w:color w:val="auto"/>
              </w:rPr>
            </w:pPr>
            <w:r w:rsidRPr="00AD2787">
              <w:rPr>
                <w:color w:val="auto"/>
              </w:rPr>
              <w:t>105 (%)</w:t>
            </w:r>
          </w:p>
        </w:tc>
        <w:tc>
          <w:tcPr>
            <w:tcW w:w="910" w:type="dxa"/>
          </w:tcPr>
          <w:p w:rsidR="0065522D" w:rsidRPr="00AD2787" w:rsidRDefault="0065522D" w:rsidP="005A0D50">
            <w:pPr>
              <w:tabs>
                <w:tab w:val="left" w:pos="1168"/>
              </w:tabs>
              <w:spacing w:line="276" w:lineRule="auto"/>
              <w:ind w:right="-12"/>
              <w:jc w:val="center"/>
              <w:rPr>
                <w:b w:val="0"/>
                <w:i/>
                <w:color w:val="auto"/>
              </w:rPr>
            </w:pPr>
            <w:r w:rsidRPr="00AD2787">
              <w:rPr>
                <w:i/>
                <w:color w:val="auto"/>
              </w:rPr>
              <w:t>p</w:t>
            </w:r>
          </w:p>
        </w:tc>
      </w:tr>
      <w:tr w:rsidR="00AD2787" w:rsidRPr="00AD2787" w:rsidTr="0065522D">
        <w:trPr>
          <w:trHeight w:val="1555"/>
        </w:trPr>
        <w:tc>
          <w:tcPr>
            <w:tcW w:w="3598" w:type="dxa"/>
          </w:tcPr>
          <w:p w:rsidR="0065522D" w:rsidRPr="00AD2787" w:rsidRDefault="0065522D" w:rsidP="005A0D50">
            <w:pPr>
              <w:spacing w:line="276" w:lineRule="auto"/>
              <w:ind w:left="454" w:right="34" w:hanging="356"/>
              <w:rPr>
                <w:b/>
                <w:color w:val="auto"/>
              </w:rPr>
            </w:pPr>
            <w:r w:rsidRPr="00AD2787">
              <w:rPr>
                <w:b/>
                <w:color w:val="auto"/>
              </w:rPr>
              <w:lastRenderedPageBreak/>
              <w:t>First-line therapy</w:t>
            </w:r>
          </w:p>
          <w:p w:rsidR="0065522D" w:rsidRPr="00AD2787" w:rsidRDefault="0065522D" w:rsidP="005A0D50">
            <w:pPr>
              <w:spacing w:line="276" w:lineRule="auto"/>
              <w:ind w:left="454" w:right="34" w:hanging="141"/>
              <w:rPr>
                <w:color w:val="auto"/>
              </w:rPr>
            </w:pPr>
            <w:r w:rsidRPr="00AD2787">
              <w:rPr>
                <w:color w:val="auto"/>
              </w:rPr>
              <w:t>Sunitinib</w:t>
            </w:r>
          </w:p>
          <w:p w:rsidR="0065522D" w:rsidRPr="00AD2787" w:rsidRDefault="0065522D" w:rsidP="005A0D50">
            <w:pPr>
              <w:spacing w:line="276" w:lineRule="auto"/>
              <w:ind w:left="454" w:right="34" w:hanging="141"/>
              <w:rPr>
                <w:color w:val="auto"/>
              </w:rPr>
            </w:pPr>
            <w:r w:rsidRPr="00AD2787">
              <w:rPr>
                <w:color w:val="auto"/>
              </w:rPr>
              <w:t>Pazopanib</w:t>
            </w:r>
          </w:p>
          <w:p w:rsidR="0065522D" w:rsidRPr="00AD2787" w:rsidRDefault="0065522D" w:rsidP="005A0D50">
            <w:pPr>
              <w:spacing w:line="276" w:lineRule="auto"/>
              <w:ind w:left="454" w:right="34" w:hanging="141"/>
              <w:rPr>
                <w:color w:val="auto"/>
              </w:rPr>
            </w:pPr>
            <w:r w:rsidRPr="00AD2787">
              <w:rPr>
                <w:color w:val="auto"/>
              </w:rPr>
              <w:t>Immunocombinations</w:t>
            </w:r>
          </w:p>
          <w:p w:rsidR="0065522D" w:rsidRPr="00AD2787" w:rsidRDefault="0065522D" w:rsidP="005A0D50">
            <w:pPr>
              <w:spacing w:line="276" w:lineRule="auto"/>
              <w:ind w:left="454" w:right="34" w:hanging="141"/>
              <w:rPr>
                <w:color w:val="auto"/>
              </w:rPr>
            </w:pPr>
            <w:r w:rsidRPr="00AD2787">
              <w:rPr>
                <w:color w:val="auto"/>
              </w:rPr>
              <w:t>Other</w:t>
            </w:r>
          </w:p>
        </w:tc>
        <w:tc>
          <w:tcPr>
            <w:tcW w:w="124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121 (54)</w:t>
            </w:r>
          </w:p>
          <w:p w:rsidR="0065522D" w:rsidRPr="00AD2787" w:rsidRDefault="0065522D" w:rsidP="005A0D50">
            <w:pPr>
              <w:tabs>
                <w:tab w:val="left" w:pos="1451"/>
              </w:tabs>
              <w:spacing w:line="276" w:lineRule="auto"/>
              <w:ind w:right="-12"/>
              <w:jc w:val="center"/>
              <w:rPr>
                <w:color w:val="auto"/>
              </w:rPr>
            </w:pPr>
            <w:r w:rsidRPr="00AD2787">
              <w:rPr>
                <w:color w:val="auto"/>
              </w:rPr>
              <w:t>73 (33)</w:t>
            </w:r>
          </w:p>
          <w:p w:rsidR="0065522D" w:rsidRPr="00AD2787" w:rsidRDefault="0065522D" w:rsidP="005A0D50">
            <w:pPr>
              <w:tabs>
                <w:tab w:val="left" w:pos="1451"/>
              </w:tabs>
              <w:spacing w:line="276" w:lineRule="auto"/>
              <w:ind w:right="-12"/>
              <w:jc w:val="center"/>
              <w:rPr>
                <w:color w:val="auto"/>
              </w:rPr>
            </w:pPr>
            <w:r w:rsidRPr="00AD2787">
              <w:rPr>
                <w:color w:val="auto"/>
              </w:rPr>
              <w:t>9 (4)</w:t>
            </w:r>
          </w:p>
          <w:p w:rsidR="0065522D" w:rsidRPr="00AD2787" w:rsidRDefault="0065522D" w:rsidP="005A0D50">
            <w:pPr>
              <w:tabs>
                <w:tab w:val="left" w:pos="1451"/>
              </w:tabs>
              <w:spacing w:line="276" w:lineRule="auto"/>
              <w:ind w:right="-12"/>
              <w:jc w:val="center"/>
              <w:rPr>
                <w:color w:val="auto"/>
              </w:rPr>
            </w:pPr>
            <w:r w:rsidRPr="00AD2787">
              <w:rPr>
                <w:color w:val="auto"/>
              </w:rPr>
              <w:t>21 (9)</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64 (54)</w:t>
            </w:r>
          </w:p>
          <w:p w:rsidR="0065522D" w:rsidRPr="00AD2787" w:rsidRDefault="0065522D" w:rsidP="005A0D50">
            <w:pPr>
              <w:tabs>
                <w:tab w:val="left" w:pos="1451"/>
              </w:tabs>
              <w:spacing w:line="276" w:lineRule="auto"/>
              <w:ind w:right="-12"/>
              <w:jc w:val="center"/>
              <w:rPr>
                <w:color w:val="auto"/>
              </w:rPr>
            </w:pPr>
            <w:r w:rsidRPr="00AD2787">
              <w:rPr>
                <w:color w:val="auto"/>
              </w:rPr>
              <w:t>38 (32)</w:t>
            </w:r>
          </w:p>
          <w:p w:rsidR="0065522D" w:rsidRPr="00AD2787" w:rsidRDefault="0065522D" w:rsidP="005A0D50">
            <w:pPr>
              <w:tabs>
                <w:tab w:val="left" w:pos="1451"/>
              </w:tabs>
              <w:spacing w:line="276" w:lineRule="auto"/>
              <w:ind w:right="-12"/>
              <w:jc w:val="center"/>
              <w:rPr>
                <w:color w:val="auto"/>
              </w:rPr>
            </w:pPr>
            <w:r w:rsidRPr="00AD2787">
              <w:rPr>
                <w:color w:val="auto"/>
              </w:rPr>
              <w:t>5 (4)</w:t>
            </w:r>
          </w:p>
          <w:p w:rsidR="0065522D" w:rsidRPr="00AD2787" w:rsidRDefault="0065522D" w:rsidP="005A0D50">
            <w:pPr>
              <w:tabs>
                <w:tab w:val="left" w:pos="1451"/>
              </w:tabs>
              <w:spacing w:line="276" w:lineRule="auto"/>
              <w:ind w:right="-12"/>
              <w:jc w:val="center"/>
              <w:rPr>
                <w:color w:val="auto"/>
              </w:rPr>
            </w:pPr>
            <w:r w:rsidRPr="00AD2787">
              <w:rPr>
                <w:color w:val="auto"/>
              </w:rPr>
              <w:t>12 (10)</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57 (54)</w:t>
            </w:r>
          </w:p>
          <w:p w:rsidR="0065522D" w:rsidRPr="00AD2787" w:rsidRDefault="0065522D" w:rsidP="005A0D50">
            <w:pPr>
              <w:tabs>
                <w:tab w:val="left" w:pos="1451"/>
              </w:tabs>
              <w:spacing w:line="276" w:lineRule="auto"/>
              <w:ind w:right="-12"/>
              <w:jc w:val="center"/>
              <w:rPr>
                <w:color w:val="auto"/>
              </w:rPr>
            </w:pPr>
            <w:r w:rsidRPr="00AD2787">
              <w:rPr>
                <w:color w:val="auto"/>
              </w:rPr>
              <w:t>35 (33)</w:t>
            </w:r>
          </w:p>
          <w:p w:rsidR="0065522D" w:rsidRPr="00AD2787" w:rsidRDefault="0065522D" w:rsidP="005A0D50">
            <w:pPr>
              <w:tabs>
                <w:tab w:val="left" w:pos="1451"/>
              </w:tabs>
              <w:spacing w:line="276" w:lineRule="auto"/>
              <w:ind w:right="-12"/>
              <w:jc w:val="center"/>
              <w:rPr>
                <w:color w:val="auto"/>
              </w:rPr>
            </w:pPr>
            <w:r w:rsidRPr="00AD2787">
              <w:rPr>
                <w:color w:val="auto"/>
              </w:rPr>
              <w:t>4 (4)</w:t>
            </w:r>
          </w:p>
          <w:p w:rsidR="0065522D" w:rsidRPr="00AD2787" w:rsidRDefault="0065522D" w:rsidP="005A0D50">
            <w:pPr>
              <w:tabs>
                <w:tab w:val="left" w:pos="1045"/>
                <w:tab w:val="left" w:pos="1451"/>
              </w:tabs>
              <w:spacing w:line="276" w:lineRule="auto"/>
              <w:ind w:right="-127"/>
              <w:jc w:val="center"/>
              <w:rPr>
                <w:color w:val="auto"/>
              </w:rPr>
            </w:pPr>
            <w:r w:rsidRPr="00AD2787">
              <w:rPr>
                <w:color w:val="auto"/>
              </w:rPr>
              <w:t>9 (9)</w:t>
            </w:r>
          </w:p>
        </w:tc>
        <w:tc>
          <w:tcPr>
            <w:tcW w:w="910" w:type="dxa"/>
          </w:tcPr>
          <w:p w:rsidR="0065522D" w:rsidRPr="00AD2787" w:rsidRDefault="0065522D" w:rsidP="005A0D50">
            <w:pPr>
              <w:tabs>
                <w:tab w:val="left" w:pos="1451"/>
              </w:tabs>
              <w:spacing w:line="276" w:lineRule="auto"/>
              <w:ind w:right="-12"/>
              <w:jc w:val="center"/>
              <w:rPr>
                <w:color w:val="auto"/>
              </w:rPr>
            </w:pPr>
            <w:r w:rsidRPr="00AD2787">
              <w:rPr>
                <w:color w:val="auto"/>
              </w:rPr>
              <w:t>0.979</w:t>
            </w:r>
          </w:p>
        </w:tc>
      </w:tr>
      <w:tr w:rsidR="00AD2787" w:rsidRPr="00AD2787" w:rsidTr="0065522D">
        <w:trPr>
          <w:trHeight w:val="285"/>
        </w:trPr>
        <w:tc>
          <w:tcPr>
            <w:tcW w:w="3598" w:type="dxa"/>
          </w:tcPr>
          <w:p w:rsidR="0065522D" w:rsidRPr="00AD2787" w:rsidRDefault="0065522D" w:rsidP="005A0D50">
            <w:pPr>
              <w:spacing w:line="276" w:lineRule="auto"/>
              <w:ind w:left="454" w:right="34" w:hanging="356"/>
              <w:rPr>
                <w:b/>
                <w:color w:val="auto"/>
              </w:rPr>
            </w:pPr>
            <w:r w:rsidRPr="00AD2787">
              <w:rPr>
                <w:b/>
                <w:color w:val="auto"/>
              </w:rPr>
              <w:t>Second-line therapy</w:t>
            </w:r>
          </w:p>
          <w:p w:rsidR="0065522D" w:rsidRPr="00AD2787" w:rsidRDefault="0065522D" w:rsidP="005A0D50">
            <w:pPr>
              <w:spacing w:line="276" w:lineRule="auto"/>
              <w:ind w:left="454" w:right="34" w:hanging="111"/>
              <w:rPr>
                <w:color w:val="auto"/>
              </w:rPr>
            </w:pPr>
            <w:r w:rsidRPr="00AD2787">
              <w:rPr>
                <w:color w:val="auto"/>
              </w:rPr>
              <w:t>Cabozantinib</w:t>
            </w:r>
          </w:p>
          <w:p w:rsidR="0065522D" w:rsidRPr="00AD2787" w:rsidRDefault="0065522D" w:rsidP="005A0D50">
            <w:pPr>
              <w:spacing w:line="276" w:lineRule="auto"/>
              <w:ind w:left="454" w:right="34" w:hanging="111"/>
              <w:rPr>
                <w:color w:val="auto"/>
              </w:rPr>
            </w:pPr>
            <w:r w:rsidRPr="00AD2787">
              <w:rPr>
                <w:color w:val="auto"/>
              </w:rPr>
              <w:t>Nivolumab</w:t>
            </w:r>
          </w:p>
          <w:p w:rsidR="0065522D" w:rsidRPr="00AD2787" w:rsidRDefault="0065522D" w:rsidP="005A0D50">
            <w:pPr>
              <w:spacing w:line="276" w:lineRule="auto"/>
              <w:ind w:left="454" w:right="34" w:hanging="111"/>
              <w:rPr>
                <w:b/>
                <w:color w:val="auto"/>
              </w:rPr>
            </w:pPr>
            <w:r w:rsidRPr="00AD2787">
              <w:rPr>
                <w:color w:val="auto"/>
              </w:rPr>
              <w:t>Other</w:t>
            </w:r>
          </w:p>
        </w:tc>
        <w:tc>
          <w:tcPr>
            <w:tcW w:w="124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113 (50)</w:t>
            </w:r>
          </w:p>
          <w:p w:rsidR="0065522D" w:rsidRPr="00AD2787" w:rsidRDefault="0065522D" w:rsidP="005A0D50">
            <w:pPr>
              <w:tabs>
                <w:tab w:val="left" w:pos="1451"/>
              </w:tabs>
              <w:spacing w:line="276" w:lineRule="auto"/>
              <w:ind w:right="-12"/>
              <w:jc w:val="center"/>
              <w:rPr>
                <w:color w:val="auto"/>
              </w:rPr>
            </w:pPr>
            <w:r w:rsidRPr="00AD2787">
              <w:rPr>
                <w:color w:val="auto"/>
              </w:rPr>
              <w:t>89 (40)</w:t>
            </w:r>
          </w:p>
          <w:p w:rsidR="0065522D" w:rsidRPr="00AD2787" w:rsidRDefault="0065522D" w:rsidP="005A0D50">
            <w:pPr>
              <w:jc w:val="center"/>
              <w:rPr>
                <w:color w:val="auto"/>
              </w:rPr>
            </w:pPr>
            <w:r w:rsidRPr="00AD2787">
              <w:rPr>
                <w:color w:val="auto"/>
              </w:rPr>
              <w:t>22 (10)</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62 (52)</w:t>
            </w:r>
          </w:p>
          <w:p w:rsidR="0065522D" w:rsidRPr="00AD2787" w:rsidRDefault="0065522D" w:rsidP="005A0D50">
            <w:pPr>
              <w:tabs>
                <w:tab w:val="left" w:pos="1451"/>
              </w:tabs>
              <w:spacing w:line="276" w:lineRule="auto"/>
              <w:ind w:right="-12"/>
              <w:jc w:val="center"/>
              <w:rPr>
                <w:color w:val="auto"/>
              </w:rPr>
            </w:pPr>
            <w:r w:rsidRPr="00AD2787">
              <w:rPr>
                <w:color w:val="auto"/>
              </w:rPr>
              <w:t>46 (39)</w:t>
            </w:r>
          </w:p>
          <w:p w:rsidR="0065522D" w:rsidRPr="00AD2787" w:rsidRDefault="0065522D" w:rsidP="005A0D50">
            <w:pPr>
              <w:tabs>
                <w:tab w:val="left" w:pos="1451"/>
              </w:tabs>
              <w:spacing w:line="276" w:lineRule="auto"/>
              <w:ind w:right="-12"/>
              <w:jc w:val="center"/>
              <w:rPr>
                <w:color w:val="auto"/>
              </w:rPr>
            </w:pPr>
            <w:r w:rsidRPr="00AD2787">
              <w:rPr>
                <w:color w:val="auto"/>
              </w:rPr>
              <w:t>11 (9)</w:t>
            </w:r>
          </w:p>
        </w:tc>
        <w:tc>
          <w:tcPr>
            <w:tcW w:w="1134" w:type="dxa"/>
          </w:tcPr>
          <w:p w:rsidR="0065522D" w:rsidRPr="00AD2787" w:rsidRDefault="0065522D" w:rsidP="005A0D50">
            <w:pPr>
              <w:tabs>
                <w:tab w:val="left" w:pos="1045"/>
                <w:tab w:val="left" w:pos="1451"/>
              </w:tabs>
              <w:spacing w:line="276" w:lineRule="auto"/>
              <w:ind w:left="-89" w:right="-127"/>
              <w:jc w:val="center"/>
              <w:rPr>
                <w:color w:val="auto"/>
              </w:rPr>
            </w:pP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51 (49)</w:t>
            </w:r>
          </w:p>
          <w:p w:rsidR="0065522D" w:rsidRPr="00AD2787" w:rsidRDefault="0065522D" w:rsidP="005A0D50">
            <w:pPr>
              <w:tabs>
                <w:tab w:val="left" w:pos="1451"/>
              </w:tabs>
              <w:spacing w:line="276" w:lineRule="auto"/>
              <w:ind w:right="-12"/>
              <w:jc w:val="center"/>
              <w:rPr>
                <w:color w:val="auto"/>
              </w:rPr>
            </w:pPr>
            <w:r w:rsidRPr="00AD2787">
              <w:rPr>
                <w:color w:val="auto"/>
              </w:rPr>
              <w:t>43 (41)</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11 (10)</w:t>
            </w:r>
          </w:p>
        </w:tc>
        <w:tc>
          <w:tcPr>
            <w:tcW w:w="910" w:type="dxa"/>
          </w:tcPr>
          <w:p w:rsidR="0065522D" w:rsidRPr="00AD2787" w:rsidRDefault="0065522D" w:rsidP="005A0D50">
            <w:pPr>
              <w:tabs>
                <w:tab w:val="left" w:pos="1451"/>
              </w:tabs>
              <w:spacing w:line="276" w:lineRule="auto"/>
              <w:ind w:right="-12"/>
              <w:jc w:val="center"/>
              <w:rPr>
                <w:color w:val="auto"/>
              </w:rPr>
            </w:pPr>
            <w:r w:rsidRPr="00AD2787">
              <w:rPr>
                <w:color w:val="auto"/>
              </w:rPr>
              <w:t>0.862</w:t>
            </w:r>
          </w:p>
        </w:tc>
      </w:tr>
      <w:tr w:rsidR="00AD2787" w:rsidRPr="00AD2787" w:rsidTr="0065522D">
        <w:trPr>
          <w:trHeight w:val="1380"/>
        </w:trPr>
        <w:tc>
          <w:tcPr>
            <w:tcW w:w="3598" w:type="dxa"/>
          </w:tcPr>
          <w:p w:rsidR="0065522D" w:rsidRPr="00AD2787" w:rsidRDefault="0065522D" w:rsidP="005A0D50">
            <w:pPr>
              <w:spacing w:line="276" w:lineRule="auto"/>
              <w:ind w:left="454" w:right="34" w:hanging="356"/>
              <w:rPr>
                <w:b/>
                <w:color w:val="auto"/>
              </w:rPr>
            </w:pPr>
            <w:r w:rsidRPr="00AD2787">
              <w:rPr>
                <w:b/>
                <w:color w:val="auto"/>
              </w:rPr>
              <w:t>Third-line therapy</w:t>
            </w:r>
          </w:p>
          <w:p w:rsidR="0065522D" w:rsidRPr="00AD2787" w:rsidRDefault="0065522D" w:rsidP="005A0D50">
            <w:pPr>
              <w:spacing w:line="276" w:lineRule="auto"/>
              <w:ind w:left="454" w:right="34" w:hanging="111"/>
              <w:rPr>
                <w:color w:val="auto"/>
              </w:rPr>
            </w:pPr>
            <w:r w:rsidRPr="00AD2787">
              <w:rPr>
                <w:color w:val="auto"/>
              </w:rPr>
              <w:t>Cabozantinib</w:t>
            </w:r>
          </w:p>
          <w:p w:rsidR="0065522D" w:rsidRPr="00AD2787" w:rsidRDefault="0065522D" w:rsidP="005A0D50">
            <w:pPr>
              <w:spacing w:line="276" w:lineRule="auto"/>
              <w:ind w:left="454" w:right="34" w:hanging="111"/>
              <w:rPr>
                <w:color w:val="auto"/>
              </w:rPr>
            </w:pPr>
            <w:r w:rsidRPr="00AD2787">
              <w:rPr>
                <w:color w:val="auto"/>
              </w:rPr>
              <w:t>Nivolumab</w:t>
            </w:r>
          </w:p>
          <w:p w:rsidR="0065522D" w:rsidRPr="00AD2787" w:rsidRDefault="0065522D" w:rsidP="005A0D50">
            <w:pPr>
              <w:spacing w:line="276" w:lineRule="auto"/>
              <w:ind w:left="454" w:right="34" w:hanging="111"/>
              <w:rPr>
                <w:b/>
                <w:color w:val="auto"/>
              </w:rPr>
            </w:pPr>
            <w:r w:rsidRPr="00AD2787">
              <w:rPr>
                <w:color w:val="auto"/>
              </w:rPr>
              <w:t>Other</w:t>
            </w:r>
          </w:p>
        </w:tc>
        <w:tc>
          <w:tcPr>
            <w:tcW w:w="124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111 (50)</w:t>
            </w:r>
          </w:p>
          <w:p w:rsidR="0065522D" w:rsidRPr="00AD2787" w:rsidRDefault="0065522D" w:rsidP="005A0D50">
            <w:pPr>
              <w:tabs>
                <w:tab w:val="left" w:pos="1451"/>
              </w:tabs>
              <w:spacing w:line="276" w:lineRule="auto"/>
              <w:ind w:right="-12"/>
              <w:jc w:val="center"/>
              <w:rPr>
                <w:color w:val="auto"/>
              </w:rPr>
            </w:pPr>
            <w:r w:rsidRPr="00AD2787">
              <w:rPr>
                <w:color w:val="auto"/>
              </w:rPr>
              <w:t>36 (16)</w:t>
            </w:r>
          </w:p>
          <w:p w:rsidR="0065522D" w:rsidRPr="00AD2787" w:rsidRDefault="0065522D" w:rsidP="005A0D50">
            <w:pPr>
              <w:tabs>
                <w:tab w:val="left" w:pos="1451"/>
              </w:tabs>
              <w:spacing w:line="276" w:lineRule="auto"/>
              <w:ind w:right="-12"/>
              <w:jc w:val="center"/>
              <w:rPr>
                <w:color w:val="auto"/>
              </w:rPr>
            </w:pPr>
            <w:r w:rsidRPr="00AD2787">
              <w:rPr>
                <w:color w:val="auto"/>
              </w:rPr>
              <w:t>15 (7)</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57 (48)</w:t>
            </w:r>
          </w:p>
          <w:p w:rsidR="0065522D" w:rsidRPr="00AD2787" w:rsidRDefault="0065522D" w:rsidP="005A0D50">
            <w:pPr>
              <w:tabs>
                <w:tab w:val="left" w:pos="1451"/>
              </w:tabs>
              <w:spacing w:line="276" w:lineRule="auto"/>
              <w:ind w:right="-12"/>
              <w:jc w:val="center"/>
              <w:rPr>
                <w:color w:val="auto"/>
              </w:rPr>
            </w:pPr>
            <w:r w:rsidRPr="00AD2787">
              <w:rPr>
                <w:color w:val="auto"/>
              </w:rPr>
              <w:t>19 (16)</w:t>
            </w:r>
          </w:p>
          <w:p w:rsidR="0065522D" w:rsidRPr="00AD2787" w:rsidRDefault="0065522D" w:rsidP="005A0D50">
            <w:pPr>
              <w:tabs>
                <w:tab w:val="left" w:pos="1451"/>
              </w:tabs>
              <w:spacing w:line="276" w:lineRule="auto"/>
              <w:ind w:right="-12"/>
              <w:jc w:val="center"/>
              <w:rPr>
                <w:color w:val="auto"/>
              </w:rPr>
            </w:pPr>
            <w:r w:rsidRPr="00AD2787">
              <w:rPr>
                <w:color w:val="auto"/>
              </w:rPr>
              <w:t>8 (7)</w:t>
            </w:r>
          </w:p>
        </w:tc>
        <w:tc>
          <w:tcPr>
            <w:tcW w:w="1134" w:type="dxa"/>
          </w:tcPr>
          <w:p w:rsidR="0065522D" w:rsidRPr="00AD2787" w:rsidRDefault="0065522D" w:rsidP="005A0D50">
            <w:pPr>
              <w:tabs>
                <w:tab w:val="left" w:pos="1045"/>
                <w:tab w:val="left" w:pos="1451"/>
              </w:tabs>
              <w:spacing w:line="276" w:lineRule="auto"/>
              <w:ind w:left="-89" w:right="-127"/>
              <w:jc w:val="center"/>
              <w:rPr>
                <w:color w:val="auto"/>
              </w:rPr>
            </w:pP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54 (51)</w:t>
            </w:r>
          </w:p>
          <w:p w:rsidR="0065522D" w:rsidRPr="00AD2787" w:rsidRDefault="0065522D" w:rsidP="005A0D50">
            <w:pPr>
              <w:tabs>
                <w:tab w:val="left" w:pos="1451"/>
              </w:tabs>
              <w:spacing w:line="276" w:lineRule="auto"/>
              <w:ind w:right="-12"/>
              <w:jc w:val="center"/>
              <w:rPr>
                <w:color w:val="auto"/>
              </w:rPr>
            </w:pPr>
            <w:r w:rsidRPr="00AD2787">
              <w:rPr>
                <w:color w:val="auto"/>
              </w:rPr>
              <w:t>17 (16)</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7 (6)</w:t>
            </w:r>
          </w:p>
        </w:tc>
        <w:tc>
          <w:tcPr>
            <w:tcW w:w="910" w:type="dxa"/>
          </w:tcPr>
          <w:p w:rsidR="0065522D" w:rsidRPr="00AD2787" w:rsidRDefault="0065522D" w:rsidP="005A0D50">
            <w:pPr>
              <w:tabs>
                <w:tab w:val="left" w:pos="1451"/>
              </w:tabs>
              <w:spacing w:line="276" w:lineRule="auto"/>
              <w:ind w:right="-12"/>
              <w:jc w:val="center"/>
              <w:rPr>
                <w:color w:val="auto"/>
              </w:rPr>
            </w:pPr>
            <w:r w:rsidRPr="00AD2787">
              <w:rPr>
                <w:color w:val="auto"/>
              </w:rPr>
              <w:t>0.982</w:t>
            </w:r>
          </w:p>
        </w:tc>
      </w:tr>
      <w:tr w:rsidR="00AD2787" w:rsidRPr="00AD2787" w:rsidTr="0065522D">
        <w:trPr>
          <w:trHeight w:val="1260"/>
        </w:trPr>
        <w:tc>
          <w:tcPr>
            <w:tcW w:w="3598" w:type="dxa"/>
          </w:tcPr>
          <w:p w:rsidR="0065522D" w:rsidRPr="00AD2787" w:rsidRDefault="0065522D" w:rsidP="005A0D50">
            <w:pPr>
              <w:spacing w:line="276" w:lineRule="auto"/>
              <w:ind w:left="484" w:right="34" w:hanging="425"/>
              <w:rPr>
                <w:b/>
                <w:color w:val="auto"/>
              </w:rPr>
            </w:pPr>
            <w:r w:rsidRPr="00AD2787">
              <w:rPr>
                <w:b/>
                <w:color w:val="auto"/>
              </w:rPr>
              <w:t>Response to 2</w:t>
            </w:r>
            <w:r w:rsidRPr="00AD2787">
              <w:rPr>
                <w:b/>
                <w:color w:val="auto"/>
                <w:vertAlign w:val="superscript"/>
              </w:rPr>
              <w:t>nd</w:t>
            </w:r>
            <w:r w:rsidRPr="00AD2787">
              <w:rPr>
                <w:b/>
                <w:color w:val="auto"/>
              </w:rPr>
              <w:t>-line cabozantinib</w:t>
            </w:r>
          </w:p>
          <w:p w:rsidR="0065522D" w:rsidRPr="00AD2787" w:rsidRDefault="0065522D" w:rsidP="005A0D50">
            <w:pPr>
              <w:tabs>
                <w:tab w:val="left" w:pos="484"/>
              </w:tabs>
              <w:spacing w:line="276" w:lineRule="auto"/>
              <w:ind w:left="484" w:right="34" w:hanging="142"/>
              <w:rPr>
                <w:color w:val="auto"/>
              </w:rPr>
            </w:pPr>
            <w:r w:rsidRPr="00AD2787">
              <w:rPr>
                <w:color w:val="auto"/>
              </w:rPr>
              <w:t>CR/PR</w:t>
            </w:r>
          </w:p>
          <w:p w:rsidR="0065522D" w:rsidRPr="00AD2787" w:rsidRDefault="0065522D" w:rsidP="005A0D50">
            <w:pPr>
              <w:spacing w:line="276" w:lineRule="auto"/>
              <w:ind w:left="484" w:right="34" w:hanging="142"/>
              <w:rPr>
                <w:color w:val="auto"/>
              </w:rPr>
            </w:pPr>
            <w:r w:rsidRPr="00AD2787">
              <w:rPr>
                <w:color w:val="auto"/>
              </w:rPr>
              <w:t>SD</w:t>
            </w:r>
          </w:p>
          <w:p w:rsidR="0065522D" w:rsidRPr="00AD2787" w:rsidRDefault="0065522D" w:rsidP="005A0D50">
            <w:pPr>
              <w:spacing w:line="276" w:lineRule="auto"/>
              <w:ind w:left="484" w:right="34" w:hanging="142"/>
              <w:rPr>
                <w:b/>
                <w:color w:val="auto"/>
              </w:rPr>
            </w:pPr>
            <w:r w:rsidRPr="00AD2787">
              <w:rPr>
                <w:color w:val="auto"/>
              </w:rPr>
              <w:t>PD</w:t>
            </w:r>
          </w:p>
        </w:tc>
        <w:tc>
          <w:tcPr>
            <w:tcW w:w="124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31 (27)</w:t>
            </w:r>
          </w:p>
          <w:p w:rsidR="0065522D" w:rsidRPr="00AD2787" w:rsidRDefault="0065522D" w:rsidP="005A0D50">
            <w:pPr>
              <w:tabs>
                <w:tab w:val="left" w:pos="1451"/>
              </w:tabs>
              <w:spacing w:line="276" w:lineRule="auto"/>
              <w:ind w:right="-12"/>
              <w:jc w:val="center"/>
              <w:rPr>
                <w:color w:val="auto"/>
              </w:rPr>
            </w:pPr>
            <w:r w:rsidRPr="00AD2787">
              <w:rPr>
                <w:color w:val="auto"/>
              </w:rPr>
              <w:t>54 (48)</w:t>
            </w:r>
          </w:p>
          <w:p w:rsidR="0065522D" w:rsidRPr="00AD2787" w:rsidRDefault="0065522D" w:rsidP="005A0D50">
            <w:pPr>
              <w:tabs>
                <w:tab w:val="left" w:pos="1451"/>
              </w:tabs>
              <w:spacing w:line="276" w:lineRule="auto"/>
              <w:ind w:right="-12"/>
              <w:jc w:val="center"/>
              <w:rPr>
                <w:color w:val="auto"/>
              </w:rPr>
            </w:pPr>
            <w:r w:rsidRPr="00AD2787">
              <w:rPr>
                <w:color w:val="auto"/>
              </w:rPr>
              <w:t>28 (25)</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18 (15)</w:t>
            </w:r>
          </w:p>
          <w:p w:rsidR="0065522D" w:rsidRPr="00AD2787" w:rsidRDefault="0065522D" w:rsidP="005A0D50">
            <w:pPr>
              <w:tabs>
                <w:tab w:val="left" w:pos="1451"/>
              </w:tabs>
              <w:spacing w:line="276" w:lineRule="auto"/>
              <w:ind w:right="-12"/>
              <w:jc w:val="center"/>
              <w:rPr>
                <w:color w:val="auto"/>
              </w:rPr>
            </w:pPr>
            <w:r w:rsidRPr="00AD2787">
              <w:rPr>
                <w:color w:val="auto"/>
              </w:rPr>
              <w:t>29 (26)</w:t>
            </w:r>
          </w:p>
          <w:p w:rsidR="0065522D" w:rsidRPr="00AD2787" w:rsidRDefault="0065522D" w:rsidP="005A0D50">
            <w:pPr>
              <w:tabs>
                <w:tab w:val="left" w:pos="1451"/>
              </w:tabs>
              <w:spacing w:line="276" w:lineRule="auto"/>
              <w:ind w:right="-12"/>
              <w:jc w:val="center"/>
              <w:rPr>
                <w:color w:val="auto"/>
              </w:rPr>
            </w:pPr>
            <w:r w:rsidRPr="00AD2787">
              <w:rPr>
                <w:color w:val="auto"/>
              </w:rPr>
              <w:t>15 (13)</w:t>
            </w:r>
          </w:p>
        </w:tc>
        <w:tc>
          <w:tcPr>
            <w:tcW w:w="1134" w:type="dxa"/>
          </w:tcPr>
          <w:p w:rsidR="0065522D" w:rsidRPr="00AD2787" w:rsidRDefault="0065522D" w:rsidP="005A0D50">
            <w:pPr>
              <w:tabs>
                <w:tab w:val="left" w:pos="1045"/>
                <w:tab w:val="left" w:pos="1451"/>
              </w:tabs>
              <w:spacing w:line="276" w:lineRule="auto"/>
              <w:ind w:left="-89" w:right="-127"/>
              <w:jc w:val="center"/>
              <w:rPr>
                <w:color w:val="auto"/>
              </w:rPr>
            </w:pP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13 (12)</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25 (22)</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13 (12)</w:t>
            </w:r>
          </w:p>
        </w:tc>
        <w:tc>
          <w:tcPr>
            <w:tcW w:w="910" w:type="dxa"/>
          </w:tcPr>
          <w:p w:rsidR="0065522D" w:rsidRPr="00AD2787" w:rsidRDefault="0065522D" w:rsidP="005A0D50">
            <w:pPr>
              <w:tabs>
                <w:tab w:val="left" w:pos="1451"/>
              </w:tabs>
              <w:spacing w:line="276" w:lineRule="auto"/>
              <w:ind w:right="-12"/>
              <w:jc w:val="center"/>
              <w:rPr>
                <w:color w:val="auto"/>
              </w:rPr>
            </w:pPr>
            <w:r w:rsidRPr="00AD2787">
              <w:rPr>
                <w:color w:val="auto"/>
              </w:rPr>
              <w:t>0.916</w:t>
            </w:r>
          </w:p>
        </w:tc>
      </w:tr>
      <w:tr w:rsidR="00AD2787" w:rsidRPr="00AD2787" w:rsidTr="0065522D">
        <w:trPr>
          <w:trHeight w:val="1256"/>
        </w:trPr>
        <w:tc>
          <w:tcPr>
            <w:tcW w:w="3598" w:type="dxa"/>
          </w:tcPr>
          <w:p w:rsidR="0065522D" w:rsidRPr="00AD2787" w:rsidRDefault="0065522D" w:rsidP="005A0D50">
            <w:pPr>
              <w:spacing w:line="276" w:lineRule="auto"/>
              <w:ind w:left="454" w:right="34" w:hanging="395"/>
              <w:rPr>
                <w:b/>
                <w:color w:val="auto"/>
              </w:rPr>
            </w:pPr>
            <w:r w:rsidRPr="00AD2787">
              <w:rPr>
                <w:b/>
                <w:color w:val="auto"/>
              </w:rPr>
              <w:t>Response to 3</w:t>
            </w:r>
            <w:r w:rsidRPr="00AD2787">
              <w:rPr>
                <w:b/>
                <w:color w:val="auto"/>
                <w:vertAlign w:val="superscript"/>
              </w:rPr>
              <w:t>rd</w:t>
            </w:r>
            <w:r w:rsidRPr="00AD2787">
              <w:rPr>
                <w:b/>
                <w:color w:val="auto"/>
              </w:rPr>
              <w:t>-line cabozantinib</w:t>
            </w:r>
          </w:p>
          <w:p w:rsidR="0065522D" w:rsidRPr="00AD2787" w:rsidRDefault="0065522D" w:rsidP="005A0D50">
            <w:pPr>
              <w:spacing w:line="276" w:lineRule="auto"/>
              <w:ind w:left="454" w:right="34" w:hanging="142"/>
              <w:rPr>
                <w:color w:val="auto"/>
              </w:rPr>
            </w:pPr>
            <w:r w:rsidRPr="00AD2787">
              <w:rPr>
                <w:color w:val="auto"/>
              </w:rPr>
              <w:t>CR/PR</w:t>
            </w:r>
          </w:p>
          <w:p w:rsidR="0065522D" w:rsidRPr="00AD2787" w:rsidRDefault="0065522D" w:rsidP="005A0D50">
            <w:pPr>
              <w:spacing w:line="276" w:lineRule="auto"/>
              <w:ind w:left="454" w:right="34" w:hanging="142"/>
              <w:rPr>
                <w:color w:val="auto"/>
              </w:rPr>
            </w:pPr>
            <w:r w:rsidRPr="00AD2787">
              <w:rPr>
                <w:color w:val="auto"/>
              </w:rPr>
              <w:t>SD</w:t>
            </w:r>
          </w:p>
          <w:p w:rsidR="0065522D" w:rsidRPr="00AD2787" w:rsidRDefault="0065522D" w:rsidP="005A0D50">
            <w:pPr>
              <w:spacing w:line="276" w:lineRule="auto"/>
              <w:ind w:left="454" w:right="34" w:hanging="142"/>
              <w:rPr>
                <w:b/>
                <w:color w:val="auto"/>
              </w:rPr>
            </w:pPr>
            <w:r w:rsidRPr="00AD2787">
              <w:rPr>
                <w:color w:val="auto"/>
              </w:rPr>
              <w:t>PD</w:t>
            </w:r>
          </w:p>
        </w:tc>
        <w:tc>
          <w:tcPr>
            <w:tcW w:w="124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32 (29)</w:t>
            </w:r>
          </w:p>
          <w:p w:rsidR="0065522D" w:rsidRPr="00AD2787" w:rsidRDefault="0065522D" w:rsidP="005A0D50">
            <w:pPr>
              <w:tabs>
                <w:tab w:val="left" w:pos="1451"/>
              </w:tabs>
              <w:spacing w:line="276" w:lineRule="auto"/>
              <w:ind w:right="-12"/>
              <w:jc w:val="center"/>
              <w:rPr>
                <w:color w:val="auto"/>
              </w:rPr>
            </w:pPr>
            <w:r w:rsidRPr="00AD2787">
              <w:rPr>
                <w:color w:val="auto"/>
              </w:rPr>
              <w:t>37 (33)</w:t>
            </w:r>
          </w:p>
          <w:p w:rsidR="0065522D" w:rsidRPr="00AD2787" w:rsidRDefault="0065522D" w:rsidP="005A0D50">
            <w:pPr>
              <w:tabs>
                <w:tab w:val="left" w:pos="1451"/>
              </w:tabs>
              <w:spacing w:line="276" w:lineRule="auto"/>
              <w:ind w:right="-12"/>
              <w:jc w:val="center"/>
              <w:rPr>
                <w:color w:val="auto"/>
              </w:rPr>
            </w:pPr>
            <w:r w:rsidRPr="00AD2787">
              <w:rPr>
                <w:color w:val="auto"/>
              </w:rPr>
              <w:t>42 (38)</w:t>
            </w:r>
          </w:p>
        </w:tc>
        <w:tc>
          <w:tcPr>
            <w:tcW w:w="1134"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18 (16)</w:t>
            </w:r>
          </w:p>
          <w:p w:rsidR="0065522D" w:rsidRPr="00AD2787" w:rsidRDefault="0065522D" w:rsidP="005A0D50">
            <w:pPr>
              <w:tabs>
                <w:tab w:val="left" w:pos="1451"/>
              </w:tabs>
              <w:spacing w:line="276" w:lineRule="auto"/>
              <w:ind w:right="-12"/>
              <w:jc w:val="center"/>
              <w:rPr>
                <w:color w:val="auto"/>
              </w:rPr>
            </w:pPr>
            <w:r w:rsidRPr="00AD2787">
              <w:rPr>
                <w:color w:val="auto"/>
              </w:rPr>
              <w:t>14 (13)</w:t>
            </w:r>
          </w:p>
          <w:p w:rsidR="0065522D" w:rsidRPr="00AD2787" w:rsidRDefault="0065522D" w:rsidP="005A0D50">
            <w:pPr>
              <w:tabs>
                <w:tab w:val="left" w:pos="1451"/>
              </w:tabs>
              <w:spacing w:line="276" w:lineRule="auto"/>
              <w:ind w:right="-12"/>
              <w:jc w:val="center"/>
              <w:rPr>
                <w:color w:val="auto"/>
              </w:rPr>
            </w:pPr>
            <w:r w:rsidRPr="00AD2787">
              <w:rPr>
                <w:color w:val="auto"/>
              </w:rPr>
              <w:t xml:space="preserve">25 (17) </w:t>
            </w:r>
          </w:p>
        </w:tc>
        <w:tc>
          <w:tcPr>
            <w:tcW w:w="1134" w:type="dxa"/>
          </w:tcPr>
          <w:p w:rsidR="0065522D" w:rsidRPr="00AD2787" w:rsidRDefault="0065522D" w:rsidP="005A0D50">
            <w:pPr>
              <w:tabs>
                <w:tab w:val="left" w:pos="1045"/>
                <w:tab w:val="left" w:pos="1451"/>
              </w:tabs>
              <w:spacing w:line="276" w:lineRule="auto"/>
              <w:ind w:left="-89" w:right="-127"/>
              <w:jc w:val="center"/>
              <w:rPr>
                <w:color w:val="auto"/>
              </w:rPr>
            </w:pP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14 (13)</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23 (20)</w:t>
            </w:r>
          </w:p>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17 (21)</w:t>
            </w:r>
          </w:p>
        </w:tc>
        <w:tc>
          <w:tcPr>
            <w:tcW w:w="910" w:type="dxa"/>
          </w:tcPr>
          <w:p w:rsidR="0065522D" w:rsidRPr="00AD2787" w:rsidRDefault="0065522D" w:rsidP="005A0D50">
            <w:pPr>
              <w:tabs>
                <w:tab w:val="left" w:pos="1451"/>
              </w:tabs>
              <w:spacing w:line="276" w:lineRule="auto"/>
              <w:ind w:right="-12"/>
              <w:jc w:val="center"/>
              <w:rPr>
                <w:color w:val="auto"/>
              </w:rPr>
            </w:pPr>
          </w:p>
          <w:p w:rsidR="0065522D" w:rsidRPr="00AD2787" w:rsidRDefault="0065522D" w:rsidP="005A0D50">
            <w:pPr>
              <w:tabs>
                <w:tab w:val="left" w:pos="1451"/>
              </w:tabs>
              <w:spacing w:line="276" w:lineRule="auto"/>
              <w:ind w:right="-12"/>
              <w:jc w:val="center"/>
              <w:rPr>
                <w:color w:val="auto"/>
              </w:rPr>
            </w:pPr>
            <w:r w:rsidRPr="00AD2787">
              <w:rPr>
                <w:color w:val="auto"/>
              </w:rPr>
              <w:t>0.127</w:t>
            </w:r>
          </w:p>
          <w:p w:rsidR="0065522D" w:rsidRPr="00AD2787" w:rsidRDefault="0065522D" w:rsidP="005A0D50">
            <w:pPr>
              <w:tabs>
                <w:tab w:val="left" w:pos="1451"/>
              </w:tabs>
              <w:spacing w:line="276" w:lineRule="auto"/>
              <w:ind w:right="-12"/>
              <w:jc w:val="center"/>
              <w:rPr>
                <w:color w:val="auto"/>
              </w:rPr>
            </w:pPr>
          </w:p>
        </w:tc>
      </w:tr>
      <w:tr w:rsidR="00AD2787" w:rsidRPr="00AD2787" w:rsidTr="0065522D">
        <w:trPr>
          <w:trHeight w:val="620"/>
        </w:trPr>
        <w:tc>
          <w:tcPr>
            <w:tcW w:w="3598" w:type="dxa"/>
          </w:tcPr>
          <w:p w:rsidR="0065522D" w:rsidRPr="00AD2787" w:rsidRDefault="0065522D" w:rsidP="005A0D50">
            <w:pPr>
              <w:spacing w:line="276" w:lineRule="auto"/>
              <w:ind w:left="454" w:right="34" w:hanging="356"/>
              <w:rPr>
                <w:b/>
                <w:color w:val="auto"/>
                <w:lang w:val="es-ES"/>
              </w:rPr>
            </w:pPr>
            <w:r w:rsidRPr="00AD2787">
              <w:rPr>
                <w:b/>
                <w:color w:val="auto"/>
                <w:lang w:val="es-ES"/>
              </w:rPr>
              <w:t>1y-OS (second-line cabozantinib)</w:t>
            </w:r>
          </w:p>
        </w:tc>
        <w:tc>
          <w:tcPr>
            <w:tcW w:w="1244" w:type="dxa"/>
          </w:tcPr>
          <w:p w:rsidR="0065522D" w:rsidRPr="00AD2787" w:rsidRDefault="0065522D" w:rsidP="005A0D50">
            <w:pPr>
              <w:tabs>
                <w:tab w:val="left" w:pos="1451"/>
              </w:tabs>
              <w:ind w:right="-12"/>
              <w:jc w:val="center"/>
              <w:rPr>
                <w:color w:val="auto"/>
              </w:rPr>
            </w:pPr>
            <w:r w:rsidRPr="00AD2787">
              <w:rPr>
                <w:color w:val="auto"/>
              </w:rPr>
              <w:t>73 (65)</w:t>
            </w:r>
          </w:p>
        </w:tc>
        <w:tc>
          <w:tcPr>
            <w:tcW w:w="1134" w:type="dxa"/>
          </w:tcPr>
          <w:p w:rsidR="0065522D" w:rsidRPr="00AD2787" w:rsidRDefault="0065522D" w:rsidP="005A0D50">
            <w:pPr>
              <w:tabs>
                <w:tab w:val="left" w:pos="1451"/>
              </w:tabs>
              <w:ind w:right="-12"/>
              <w:jc w:val="center"/>
              <w:rPr>
                <w:color w:val="auto"/>
              </w:rPr>
            </w:pPr>
            <w:r w:rsidRPr="00AD2787">
              <w:rPr>
                <w:color w:val="auto"/>
              </w:rPr>
              <w:t>47 (76)</w:t>
            </w:r>
          </w:p>
        </w:tc>
        <w:tc>
          <w:tcPr>
            <w:tcW w:w="1134" w:type="dxa"/>
          </w:tcPr>
          <w:p w:rsidR="0065522D" w:rsidRPr="00AD2787" w:rsidRDefault="0065522D" w:rsidP="005A0D50">
            <w:pPr>
              <w:tabs>
                <w:tab w:val="left" w:pos="1045"/>
                <w:tab w:val="left" w:pos="1451"/>
              </w:tabs>
              <w:ind w:left="-89" w:right="-127"/>
              <w:jc w:val="center"/>
              <w:rPr>
                <w:color w:val="auto"/>
              </w:rPr>
            </w:pPr>
            <w:r w:rsidRPr="00AD2787">
              <w:rPr>
                <w:color w:val="auto"/>
              </w:rPr>
              <w:t>27 (53)</w:t>
            </w:r>
          </w:p>
        </w:tc>
        <w:tc>
          <w:tcPr>
            <w:tcW w:w="910" w:type="dxa"/>
          </w:tcPr>
          <w:p w:rsidR="0065522D" w:rsidRPr="00AD2787" w:rsidRDefault="0065522D" w:rsidP="005A0D50">
            <w:pPr>
              <w:tabs>
                <w:tab w:val="left" w:pos="1451"/>
              </w:tabs>
              <w:ind w:right="-12"/>
              <w:jc w:val="center"/>
              <w:rPr>
                <w:b/>
                <w:color w:val="auto"/>
              </w:rPr>
            </w:pPr>
            <w:r w:rsidRPr="00AD2787">
              <w:rPr>
                <w:b/>
                <w:color w:val="auto"/>
              </w:rPr>
              <w:t>0.019</w:t>
            </w:r>
          </w:p>
        </w:tc>
      </w:tr>
      <w:tr w:rsidR="00AD2787" w:rsidRPr="00AD2787" w:rsidTr="0065522D">
        <w:trPr>
          <w:trHeight w:val="544"/>
        </w:trPr>
        <w:tc>
          <w:tcPr>
            <w:tcW w:w="3598" w:type="dxa"/>
          </w:tcPr>
          <w:p w:rsidR="0065522D" w:rsidRPr="00AD2787" w:rsidRDefault="0065522D" w:rsidP="005A0D50">
            <w:pPr>
              <w:spacing w:line="276" w:lineRule="auto"/>
              <w:ind w:left="96" w:right="34"/>
              <w:rPr>
                <w:b/>
                <w:color w:val="auto"/>
              </w:rPr>
            </w:pPr>
            <w:r w:rsidRPr="00AD2787">
              <w:rPr>
                <w:b/>
                <w:color w:val="auto"/>
              </w:rPr>
              <w:t>1y-OS (third-line cabozantinib)</w:t>
            </w:r>
          </w:p>
        </w:tc>
        <w:tc>
          <w:tcPr>
            <w:tcW w:w="1244" w:type="dxa"/>
          </w:tcPr>
          <w:p w:rsidR="0065522D" w:rsidRPr="00AD2787" w:rsidRDefault="0065522D" w:rsidP="005A0D50">
            <w:pPr>
              <w:tabs>
                <w:tab w:val="left" w:pos="1451"/>
              </w:tabs>
              <w:spacing w:line="276" w:lineRule="auto"/>
              <w:ind w:right="-12"/>
              <w:jc w:val="center"/>
              <w:rPr>
                <w:color w:val="auto"/>
              </w:rPr>
            </w:pPr>
            <w:r w:rsidRPr="00AD2787">
              <w:rPr>
                <w:color w:val="auto"/>
              </w:rPr>
              <w:t>22 (20)</w:t>
            </w:r>
          </w:p>
        </w:tc>
        <w:tc>
          <w:tcPr>
            <w:tcW w:w="1134" w:type="dxa"/>
          </w:tcPr>
          <w:p w:rsidR="0065522D" w:rsidRPr="00AD2787" w:rsidRDefault="0065522D" w:rsidP="005A0D50">
            <w:pPr>
              <w:tabs>
                <w:tab w:val="left" w:pos="1451"/>
              </w:tabs>
              <w:spacing w:line="276" w:lineRule="auto"/>
              <w:ind w:right="-12"/>
              <w:jc w:val="center"/>
              <w:rPr>
                <w:color w:val="auto"/>
              </w:rPr>
            </w:pPr>
            <w:r w:rsidRPr="00AD2787">
              <w:rPr>
                <w:color w:val="auto"/>
              </w:rPr>
              <w:t>16 (28)</w:t>
            </w:r>
          </w:p>
        </w:tc>
        <w:tc>
          <w:tcPr>
            <w:tcW w:w="1134" w:type="dxa"/>
          </w:tcPr>
          <w:p w:rsidR="0065522D" w:rsidRPr="00AD2787" w:rsidRDefault="0065522D" w:rsidP="005A0D50">
            <w:pPr>
              <w:tabs>
                <w:tab w:val="left" w:pos="1045"/>
                <w:tab w:val="left" w:pos="1451"/>
              </w:tabs>
              <w:spacing w:line="276" w:lineRule="auto"/>
              <w:ind w:left="-89" w:right="-127"/>
              <w:jc w:val="center"/>
              <w:rPr>
                <w:color w:val="auto"/>
              </w:rPr>
            </w:pPr>
            <w:r w:rsidRPr="00AD2787">
              <w:rPr>
                <w:color w:val="auto"/>
              </w:rPr>
              <w:t>6 (11)</w:t>
            </w:r>
          </w:p>
        </w:tc>
        <w:tc>
          <w:tcPr>
            <w:tcW w:w="910" w:type="dxa"/>
          </w:tcPr>
          <w:p w:rsidR="0065522D" w:rsidRPr="00AD2787" w:rsidRDefault="0065522D" w:rsidP="005A0D50">
            <w:pPr>
              <w:tabs>
                <w:tab w:val="left" w:pos="1451"/>
              </w:tabs>
              <w:spacing w:line="276" w:lineRule="auto"/>
              <w:ind w:right="-12"/>
              <w:jc w:val="center"/>
              <w:rPr>
                <w:b/>
                <w:color w:val="auto"/>
              </w:rPr>
            </w:pPr>
            <w:r w:rsidRPr="00AD2787">
              <w:rPr>
                <w:b/>
                <w:color w:val="auto"/>
              </w:rPr>
              <w:t>0.045</w:t>
            </w:r>
          </w:p>
        </w:tc>
      </w:tr>
    </w:tbl>
    <w:p w:rsidR="0065522D" w:rsidRPr="00AD2787" w:rsidRDefault="005A2CC2" w:rsidP="004F1A32">
      <w:pPr>
        <w:pStyle w:val="MDPI31text"/>
        <w:rPr>
          <w:color w:val="auto"/>
          <w:sz w:val="18"/>
        </w:rPr>
      </w:pPr>
      <w:r w:rsidRPr="00AD2787">
        <w:rPr>
          <w:color w:val="auto"/>
          <w:sz w:val="18"/>
        </w:rPr>
        <w:t>CR: complete response; PR: partial response; SD: stable disease; PD: progressive disease</w:t>
      </w:r>
    </w:p>
    <w:p w:rsidR="002902E5" w:rsidRPr="00AD2787" w:rsidRDefault="002902E5" w:rsidP="004F1A32">
      <w:pPr>
        <w:pStyle w:val="MDPI31text"/>
        <w:rPr>
          <w:color w:val="auto"/>
          <w:sz w:val="18"/>
        </w:rPr>
      </w:pPr>
    </w:p>
    <w:p w:rsidR="0065522D" w:rsidRPr="00AD2787" w:rsidRDefault="004F1A32" w:rsidP="004F1A32">
      <w:pPr>
        <w:pStyle w:val="MDPI31text"/>
        <w:rPr>
          <w:color w:val="auto"/>
        </w:rPr>
      </w:pPr>
      <w:r w:rsidRPr="00AD2787">
        <w:rPr>
          <w:color w:val="auto"/>
        </w:rPr>
        <w:t xml:space="preserve">The median PFS of cabozantinib as second-line therapy was 7.8 months (95%CI: 7.6−9.9) in the overall study population. The median PFS was significantly higher in patients with BMI </w:t>
      </w:r>
      <w:r w:rsidRPr="00AD2787">
        <w:rPr>
          <w:rFonts w:hint="eastAsia"/>
          <w:color w:val="auto"/>
        </w:rPr>
        <w:t>≥</w:t>
      </w:r>
      <w:r w:rsidRPr="00AD2787">
        <w:rPr>
          <w:color w:val="auto"/>
        </w:rPr>
        <w:t xml:space="preserve"> 25 (9.9 months, 95%CI: 7.9−19.1, vs 7.6 months, 95%CI: 5.9−12.3, p &lt;0.001, Figure 1). </w:t>
      </w:r>
    </w:p>
    <w:p w:rsidR="0065522D" w:rsidRPr="00AD2787" w:rsidRDefault="0065522D" w:rsidP="004F1A32">
      <w:pPr>
        <w:pStyle w:val="MDPI31text"/>
        <w:rPr>
          <w:b/>
          <w:color w:val="auto"/>
          <w:sz w:val="18"/>
        </w:rPr>
      </w:pPr>
    </w:p>
    <w:p w:rsidR="0065522D" w:rsidRPr="00AD2787" w:rsidRDefault="0065522D" w:rsidP="004F1A32">
      <w:pPr>
        <w:pStyle w:val="MDPI31text"/>
        <w:rPr>
          <w:color w:val="auto"/>
        </w:rPr>
      </w:pPr>
      <w:r w:rsidRPr="00AD2787">
        <w:rPr>
          <w:noProof/>
          <w:snapToGrid/>
          <w:color w:val="auto"/>
          <w:lang w:val="en-GB" w:eastAsia="en-GB" w:bidi="ar-SA"/>
        </w:rPr>
        <w:lastRenderedPageBreak/>
        <w:drawing>
          <wp:inline distT="0" distB="0" distL="0" distR="0" wp14:anchorId="0CCFB7AD" wp14:editId="17C61B7A">
            <wp:extent cx="3923030" cy="3164396"/>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tif"/>
                    <pic:cNvPicPr/>
                  </pic:nvPicPr>
                  <pic:blipFill>
                    <a:blip r:embed="rId23">
                      <a:extLst>
                        <a:ext uri="{28A0092B-C50C-407E-A947-70E740481C1C}">
                          <a14:useLocalDpi xmlns:a14="http://schemas.microsoft.com/office/drawing/2010/main" val="0"/>
                        </a:ext>
                      </a:extLst>
                    </a:blip>
                    <a:stretch>
                      <a:fillRect/>
                    </a:stretch>
                  </pic:blipFill>
                  <pic:spPr>
                    <a:xfrm>
                      <a:off x="0" y="0"/>
                      <a:ext cx="3930399" cy="3170340"/>
                    </a:xfrm>
                    <a:prstGeom prst="rect">
                      <a:avLst/>
                    </a:prstGeom>
                  </pic:spPr>
                </pic:pic>
              </a:graphicData>
            </a:graphic>
          </wp:inline>
        </w:drawing>
      </w:r>
    </w:p>
    <w:p w:rsidR="009E6B61" w:rsidRPr="00AD2787" w:rsidRDefault="009E6B61" w:rsidP="009E6B61">
      <w:pPr>
        <w:pStyle w:val="MDPI51figurecaption"/>
        <w:rPr>
          <w:color w:val="auto"/>
        </w:rPr>
      </w:pPr>
      <w:r w:rsidRPr="00AD2787">
        <w:rPr>
          <w:b/>
          <w:color w:val="auto"/>
        </w:rPr>
        <w:t xml:space="preserve">Figure 1. </w:t>
      </w:r>
      <w:r w:rsidRPr="00AD2787">
        <w:rPr>
          <w:color w:val="auto"/>
          <w:shd w:val="clear" w:color="auto" w:fill="FFFFFF"/>
        </w:rPr>
        <w:t>Progression-Free Survival of patients receiving cabozantinib as second-line therapy stratified by Body Mass Index.</w:t>
      </w:r>
    </w:p>
    <w:p w:rsidR="0065522D" w:rsidRPr="00AD2787" w:rsidRDefault="004F1A32" w:rsidP="004F1A32">
      <w:pPr>
        <w:pStyle w:val="MDPI31text"/>
        <w:rPr>
          <w:color w:val="auto"/>
        </w:rPr>
      </w:pPr>
      <w:r w:rsidRPr="00AD2787">
        <w:rPr>
          <w:color w:val="auto"/>
        </w:rPr>
        <w:t xml:space="preserve">The median OS was 12.5 months (95% CI: 11.1−30.7) in all patients and resulted higher in the BMI </w:t>
      </w:r>
      <w:r w:rsidRPr="00AD2787">
        <w:rPr>
          <w:rFonts w:hint="eastAsia"/>
          <w:color w:val="auto"/>
        </w:rPr>
        <w:t>≥</w:t>
      </w:r>
      <w:r w:rsidRPr="00AD2787">
        <w:rPr>
          <w:color w:val="auto"/>
        </w:rPr>
        <w:t xml:space="preserve"> 25 subgroup (30.7 months, 95%CI: 11.6−44.8, vs 11.0 months, 95%CI: 9.7−11.2, p=0.003, Figure 2).</w:t>
      </w:r>
    </w:p>
    <w:p w:rsidR="0065522D" w:rsidRPr="00AD2787" w:rsidRDefault="0065522D" w:rsidP="004F1A32">
      <w:pPr>
        <w:pStyle w:val="MDPI31text"/>
        <w:rPr>
          <w:color w:val="auto"/>
        </w:rPr>
      </w:pPr>
    </w:p>
    <w:p w:rsidR="0065522D" w:rsidRPr="00AD2787" w:rsidRDefault="0065522D" w:rsidP="004F1A32">
      <w:pPr>
        <w:pStyle w:val="MDPI31text"/>
        <w:rPr>
          <w:color w:val="auto"/>
          <w:sz w:val="18"/>
        </w:rPr>
      </w:pPr>
      <w:r w:rsidRPr="00AD2787">
        <w:rPr>
          <w:noProof/>
          <w:snapToGrid/>
          <w:color w:val="auto"/>
          <w:sz w:val="18"/>
          <w:lang w:val="en-GB" w:eastAsia="en-GB" w:bidi="ar-SA"/>
        </w:rPr>
        <w:drawing>
          <wp:inline distT="0" distB="0" distL="0" distR="0" wp14:anchorId="2618D091" wp14:editId="21061BD3">
            <wp:extent cx="4065905" cy="2898331"/>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tif"/>
                    <pic:cNvPicPr/>
                  </pic:nvPicPr>
                  <pic:blipFill>
                    <a:blip r:embed="rId24">
                      <a:extLst>
                        <a:ext uri="{28A0092B-C50C-407E-A947-70E740481C1C}">
                          <a14:useLocalDpi xmlns:a14="http://schemas.microsoft.com/office/drawing/2010/main" val="0"/>
                        </a:ext>
                      </a:extLst>
                    </a:blip>
                    <a:stretch>
                      <a:fillRect/>
                    </a:stretch>
                  </pic:blipFill>
                  <pic:spPr>
                    <a:xfrm>
                      <a:off x="0" y="0"/>
                      <a:ext cx="4070187" cy="2901383"/>
                    </a:xfrm>
                    <a:prstGeom prst="rect">
                      <a:avLst/>
                    </a:prstGeom>
                  </pic:spPr>
                </pic:pic>
              </a:graphicData>
            </a:graphic>
          </wp:inline>
        </w:drawing>
      </w:r>
    </w:p>
    <w:p w:rsidR="0065522D" w:rsidRPr="00AD2787" w:rsidRDefault="009E6B61" w:rsidP="009E6B61">
      <w:pPr>
        <w:pStyle w:val="MDPI51figurecaption"/>
        <w:rPr>
          <w:color w:val="auto"/>
          <w:shd w:val="clear" w:color="auto" w:fill="FFFFFF"/>
        </w:rPr>
      </w:pPr>
      <w:r w:rsidRPr="00AD2787">
        <w:rPr>
          <w:b/>
          <w:color w:val="auto"/>
        </w:rPr>
        <w:t xml:space="preserve">Figure 2. </w:t>
      </w:r>
      <w:r w:rsidRPr="00AD2787">
        <w:rPr>
          <w:color w:val="auto"/>
          <w:shd w:val="clear" w:color="auto" w:fill="FFFFFF"/>
        </w:rPr>
        <w:t>Overall Survival of patients receiving cabozantinib as second-line therapy stratified by Body Mass Index.</w:t>
      </w:r>
    </w:p>
    <w:p w:rsidR="004F1A32" w:rsidRPr="00AD2787" w:rsidRDefault="004F1A32" w:rsidP="004F1A32">
      <w:pPr>
        <w:pStyle w:val="MDPI31text"/>
        <w:rPr>
          <w:color w:val="auto"/>
        </w:rPr>
      </w:pPr>
      <w:r w:rsidRPr="00AD2787">
        <w:rPr>
          <w:color w:val="auto"/>
        </w:rPr>
        <w:t>In terms of 1y-OS rate, 76% of patients with BMI</w:t>
      </w:r>
      <w:r w:rsidRPr="00AD2787">
        <w:rPr>
          <w:rFonts w:hint="eastAsia"/>
          <w:color w:val="auto"/>
        </w:rPr>
        <w:t xml:space="preserve"> ≥ 25 were alive at 1 year, compared to 53% of BMI &lt; 25 (p = 0.019, Table 2). No significant differences were found concerning </w:t>
      </w:r>
      <w:proofErr w:type="spellStart"/>
      <w:r w:rsidRPr="00AD2787">
        <w:rPr>
          <w:rFonts w:hint="eastAsia"/>
          <w:color w:val="auto"/>
        </w:rPr>
        <w:t>tumour</w:t>
      </w:r>
      <w:proofErr w:type="spellEnd"/>
      <w:r w:rsidRPr="00AD2787">
        <w:rPr>
          <w:rFonts w:hint="eastAsia"/>
          <w:color w:val="auto"/>
        </w:rPr>
        <w:t xml:space="preserve"> response to cabozantinib as a second-line option (Table </w:t>
      </w:r>
      <w:r w:rsidR="0065522D" w:rsidRPr="00AD2787">
        <w:rPr>
          <w:color w:val="auto"/>
        </w:rPr>
        <w:t>3</w:t>
      </w:r>
      <w:r w:rsidRPr="00AD2787">
        <w:rPr>
          <w:rFonts w:hint="eastAsia"/>
          <w:color w:val="auto"/>
        </w:rPr>
        <w:t>).</w:t>
      </w:r>
    </w:p>
    <w:p w:rsidR="0065522D" w:rsidRPr="00AD2787" w:rsidRDefault="0065522D" w:rsidP="004F1A32">
      <w:pPr>
        <w:pStyle w:val="MDPI31text"/>
        <w:rPr>
          <w:color w:val="auto"/>
        </w:rPr>
      </w:pPr>
    </w:p>
    <w:p w:rsidR="0065522D" w:rsidRPr="00AD2787" w:rsidRDefault="0065522D" w:rsidP="004F1A32">
      <w:pPr>
        <w:pStyle w:val="MDPI31text"/>
        <w:rPr>
          <w:color w:val="auto"/>
          <w:sz w:val="18"/>
        </w:rPr>
      </w:pPr>
      <w:r w:rsidRPr="00AD2787">
        <w:rPr>
          <w:b/>
          <w:color w:val="auto"/>
          <w:sz w:val="18"/>
        </w:rPr>
        <w:t>Table 3</w:t>
      </w:r>
      <w:r w:rsidRPr="00AD2787">
        <w:rPr>
          <w:color w:val="auto"/>
          <w:sz w:val="18"/>
        </w:rPr>
        <w:t>. Univariate and multivariate analyses of predictors of Progression-Free Survival and Overall Survival in patients treated with cabozantinib as second-line therapy.</w:t>
      </w:r>
    </w:p>
    <w:tbl>
      <w:tblPr>
        <w:tblStyle w:val="MDPI41threelinetable"/>
        <w:tblW w:w="10108" w:type="dxa"/>
        <w:tblLayout w:type="fixed"/>
        <w:tblLook w:val="00A0" w:firstRow="1" w:lastRow="0" w:firstColumn="1" w:lastColumn="0" w:noHBand="0" w:noVBand="0"/>
      </w:tblPr>
      <w:tblGrid>
        <w:gridCol w:w="3227"/>
        <w:gridCol w:w="284"/>
        <w:gridCol w:w="1984"/>
        <w:gridCol w:w="1134"/>
        <w:gridCol w:w="236"/>
        <w:gridCol w:w="2087"/>
        <w:gridCol w:w="1156"/>
      </w:tblGrid>
      <w:tr w:rsidR="00AD2787" w:rsidRPr="00AD2787" w:rsidTr="0065522D">
        <w:trPr>
          <w:cnfStyle w:val="100000000000" w:firstRow="1" w:lastRow="0" w:firstColumn="0" w:lastColumn="0" w:oddVBand="0" w:evenVBand="0" w:oddHBand="0" w:evenHBand="0" w:firstRowFirstColumn="0" w:firstRowLastColumn="0" w:lastRowFirstColumn="0" w:lastRowLastColumn="0"/>
          <w:trHeight w:hRule="exact" w:val="397"/>
        </w:trPr>
        <w:tc>
          <w:tcPr>
            <w:tcW w:w="3227" w:type="dxa"/>
            <w:vMerge w:val="restart"/>
          </w:tcPr>
          <w:p w:rsidR="0065522D" w:rsidRPr="00AD2787" w:rsidRDefault="0065522D" w:rsidP="005A0D50">
            <w:pPr>
              <w:rPr>
                <w:b w:val="0"/>
                <w:color w:val="auto"/>
              </w:rPr>
            </w:pPr>
            <w:r w:rsidRPr="00AD2787">
              <w:rPr>
                <w:b w:val="0"/>
                <w:color w:val="auto"/>
              </w:rPr>
              <w:t>PFS</w:t>
            </w:r>
          </w:p>
        </w:tc>
        <w:tc>
          <w:tcPr>
            <w:tcW w:w="284" w:type="dxa"/>
          </w:tcPr>
          <w:p w:rsidR="0065522D" w:rsidRPr="00AD2787" w:rsidRDefault="0065522D" w:rsidP="005A0D50">
            <w:pPr>
              <w:rPr>
                <w:b w:val="0"/>
                <w:color w:val="auto"/>
              </w:rPr>
            </w:pPr>
          </w:p>
        </w:tc>
        <w:tc>
          <w:tcPr>
            <w:tcW w:w="3118" w:type="dxa"/>
            <w:gridSpan w:val="2"/>
          </w:tcPr>
          <w:p w:rsidR="0065522D" w:rsidRPr="00AD2787" w:rsidRDefault="0065522D" w:rsidP="005A0D50">
            <w:pPr>
              <w:ind w:left="-108"/>
              <w:rPr>
                <w:color w:val="auto"/>
              </w:rPr>
            </w:pPr>
            <w:r w:rsidRPr="00AD2787">
              <w:rPr>
                <w:color w:val="auto"/>
              </w:rPr>
              <w:t xml:space="preserve"> Univariate Cox Regression</w:t>
            </w:r>
          </w:p>
        </w:tc>
        <w:tc>
          <w:tcPr>
            <w:tcW w:w="236" w:type="dxa"/>
          </w:tcPr>
          <w:p w:rsidR="0065522D" w:rsidRPr="00AD2787" w:rsidRDefault="0065522D" w:rsidP="005A0D50">
            <w:pPr>
              <w:rPr>
                <w:color w:val="auto"/>
              </w:rPr>
            </w:pPr>
          </w:p>
        </w:tc>
        <w:tc>
          <w:tcPr>
            <w:tcW w:w="3243" w:type="dxa"/>
            <w:gridSpan w:val="2"/>
          </w:tcPr>
          <w:p w:rsidR="0065522D" w:rsidRPr="00AD2787" w:rsidRDefault="0065522D" w:rsidP="005A0D50">
            <w:pPr>
              <w:ind w:left="-202" w:right="-88"/>
              <w:rPr>
                <w:color w:val="auto"/>
              </w:rPr>
            </w:pPr>
            <w:r w:rsidRPr="00AD2787">
              <w:rPr>
                <w:color w:val="auto"/>
              </w:rPr>
              <w:t xml:space="preserve">    Multivariable Cox regression</w:t>
            </w:r>
          </w:p>
        </w:tc>
      </w:tr>
      <w:tr w:rsidR="00AD2787" w:rsidRPr="00AD2787" w:rsidTr="0065522D">
        <w:trPr>
          <w:trHeight w:val="366"/>
        </w:trPr>
        <w:tc>
          <w:tcPr>
            <w:tcW w:w="3227" w:type="dxa"/>
            <w:vMerge/>
          </w:tcPr>
          <w:p w:rsidR="0065522D" w:rsidRPr="00AD2787" w:rsidRDefault="0065522D" w:rsidP="005A0D50">
            <w:pPr>
              <w:rPr>
                <w:b/>
                <w:color w:val="auto"/>
              </w:rPr>
            </w:pPr>
          </w:p>
        </w:tc>
        <w:tc>
          <w:tcPr>
            <w:tcW w:w="284" w:type="dxa"/>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r w:rsidRPr="00AD2787">
              <w:rPr>
                <w:b/>
                <w:color w:val="auto"/>
              </w:rPr>
              <w:t>HR (95%CI)</w:t>
            </w:r>
          </w:p>
        </w:tc>
        <w:tc>
          <w:tcPr>
            <w:tcW w:w="1134" w:type="dxa"/>
          </w:tcPr>
          <w:p w:rsidR="0065522D" w:rsidRPr="00AD2787" w:rsidRDefault="0065522D" w:rsidP="005A0D50">
            <w:pPr>
              <w:ind w:left="-108"/>
              <w:jc w:val="center"/>
              <w:rPr>
                <w:b/>
                <w:i/>
                <w:color w:val="auto"/>
              </w:rPr>
            </w:pPr>
            <w:r w:rsidRPr="00AD2787">
              <w:rPr>
                <w:b/>
                <w:i/>
                <w:color w:val="auto"/>
              </w:rPr>
              <w:t>p-value</w:t>
            </w:r>
          </w:p>
        </w:tc>
        <w:tc>
          <w:tcPr>
            <w:tcW w:w="236" w:type="dxa"/>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r w:rsidRPr="00AD2787">
              <w:rPr>
                <w:b/>
                <w:color w:val="auto"/>
              </w:rPr>
              <w:t>HR (95%CI)</w:t>
            </w:r>
          </w:p>
        </w:tc>
        <w:tc>
          <w:tcPr>
            <w:tcW w:w="1156" w:type="dxa"/>
          </w:tcPr>
          <w:p w:rsidR="0065522D" w:rsidRPr="00AD2787" w:rsidRDefault="0065522D" w:rsidP="005A0D50">
            <w:pPr>
              <w:jc w:val="center"/>
              <w:rPr>
                <w:b/>
                <w:i/>
                <w:color w:val="auto"/>
              </w:rPr>
            </w:pPr>
            <w:r w:rsidRPr="00AD2787">
              <w:rPr>
                <w:b/>
                <w:i/>
                <w:color w:val="auto"/>
              </w:rPr>
              <w:t>p-value</w:t>
            </w: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Age (≥70y vs &lt;70y)</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1.31 (0.78−2.21)</w:t>
            </w:r>
          </w:p>
        </w:tc>
        <w:tc>
          <w:tcPr>
            <w:tcW w:w="1134" w:type="dxa"/>
          </w:tcPr>
          <w:p w:rsidR="0065522D" w:rsidRPr="00AD2787" w:rsidRDefault="0065522D" w:rsidP="005A0D50">
            <w:pPr>
              <w:ind w:left="-108" w:right="-108"/>
              <w:jc w:val="center"/>
              <w:rPr>
                <w:color w:val="auto"/>
              </w:rPr>
            </w:pPr>
            <w:r w:rsidRPr="00AD2787">
              <w:rPr>
                <w:color w:val="auto"/>
              </w:rPr>
              <w:t>0.306</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Gender (M/F)</w:t>
            </w:r>
          </w:p>
        </w:tc>
        <w:tc>
          <w:tcPr>
            <w:tcW w:w="284" w:type="dxa"/>
            <w:vMerge w:val="restart"/>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1.17 (0.69−2.00)</w:t>
            </w:r>
          </w:p>
        </w:tc>
        <w:tc>
          <w:tcPr>
            <w:tcW w:w="1134" w:type="dxa"/>
          </w:tcPr>
          <w:p w:rsidR="0065522D" w:rsidRPr="00AD2787" w:rsidRDefault="0065522D" w:rsidP="005A0D50">
            <w:pPr>
              <w:ind w:left="-108" w:right="-108"/>
              <w:jc w:val="center"/>
              <w:rPr>
                <w:color w:val="auto"/>
              </w:rPr>
            </w:pPr>
            <w:r w:rsidRPr="00AD2787">
              <w:rPr>
                <w:color w:val="auto"/>
              </w:rPr>
              <w:t>0.563</w:t>
            </w:r>
          </w:p>
        </w:tc>
        <w:tc>
          <w:tcPr>
            <w:tcW w:w="236" w:type="dxa"/>
            <w:vMerge w:val="restart"/>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ind w:right="-392"/>
              <w:rPr>
                <w:color w:val="auto"/>
              </w:rPr>
            </w:pPr>
            <w:r w:rsidRPr="00AD2787">
              <w:rPr>
                <w:color w:val="auto"/>
              </w:rPr>
              <w:t>Number of metastatic sites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0.99 (0.78−1.27)</w:t>
            </w:r>
          </w:p>
        </w:tc>
        <w:tc>
          <w:tcPr>
            <w:tcW w:w="1134" w:type="dxa"/>
          </w:tcPr>
          <w:p w:rsidR="0065522D" w:rsidRPr="00AD2787" w:rsidRDefault="0065522D" w:rsidP="005A0D50">
            <w:pPr>
              <w:jc w:val="center"/>
              <w:rPr>
                <w:color w:val="auto"/>
              </w:rPr>
            </w:pPr>
            <w:r w:rsidRPr="00AD2787">
              <w:rPr>
                <w:color w:val="auto"/>
              </w:rPr>
              <w:t>0.930</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Lung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0.86 (0.59−1.47)</w:t>
            </w:r>
          </w:p>
        </w:tc>
        <w:tc>
          <w:tcPr>
            <w:tcW w:w="1134" w:type="dxa"/>
          </w:tcPr>
          <w:p w:rsidR="0065522D" w:rsidRPr="00AD2787" w:rsidRDefault="0065522D" w:rsidP="005A0D50">
            <w:pPr>
              <w:jc w:val="center"/>
              <w:rPr>
                <w:color w:val="auto"/>
              </w:rPr>
            </w:pPr>
            <w:r w:rsidRPr="00AD2787">
              <w:rPr>
                <w:color w:val="auto"/>
              </w:rPr>
              <w:t>0.783</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Liver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1.42 (0.77−2.51)</w:t>
            </w:r>
          </w:p>
        </w:tc>
        <w:tc>
          <w:tcPr>
            <w:tcW w:w="1134" w:type="dxa"/>
          </w:tcPr>
          <w:p w:rsidR="0065522D" w:rsidRPr="00AD2787" w:rsidRDefault="0065522D" w:rsidP="005A0D50">
            <w:pPr>
              <w:jc w:val="center"/>
              <w:rPr>
                <w:color w:val="auto"/>
              </w:rPr>
            </w:pPr>
            <w:r w:rsidRPr="00AD2787">
              <w:rPr>
                <w:color w:val="auto"/>
              </w:rPr>
              <w:t>0.459</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Bone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1.99 (1.08−3.18)</w:t>
            </w:r>
          </w:p>
        </w:tc>
        <w:tc>
          <w:tcPr>
            <w:tcW w:w="1134" w:type="dxa"/>
          </w:tcPr>
          <w:p w:rsidR="0065522D" w:rsidRPr="00AD2787" w:rsidRDefault="0065522D" w:rsidP="005A0D50">
            <w:pPr>
              <w:jc w:val="center"/>
              <w:rPr>
                <w:color w:val="auto"/>
              </w:rPr>
            </w:pPr>
            <w:r w:rsidRPr="00AD2787">
              <w:rPr>
                <w:color w:val="auto"/>
              </w:rPr>
              <w:t>0.112</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IMDC prognostic group</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2.08 (1.26−3.44)</w:t>
            </w:r>
          </w:p>
        </w:tc>
        <w:tc>
          <w:tcPr>
            <w:tcW w:w="1134" w:type="dxa"/>
          </w:tcPr>
          <w:p w:rsidR="0065522D" w:rsidRPr="00AD2787" w:rsidRDefault="0065522D" w:rsidP="005A0D50">
            <w:pPr>
              <w:jc w:val="center"/>
              <w:rPr>
                <w:b/>
                <w:color w:val="auto"/>
              </w:rPr>
            </w:pPr>
            <w:r w:rsidRPr="00AD2787">
              <w:rPr>
                <w:b/>
                <w:color w:val="auto"/>
              </w:rPr>
              <w:t>0.004</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2.09 (1.29−3.37)</w:t>
            </w:r>
          </w:p>
        </w:tc>
        <w:tc>
          <w:tcPr>
            <w:tcW w:w="1156" w:type="dxa"/>
          </w:tcPr>
          <w:p w:rsidR="0065522D" w:rsidRPr="00AD2787" w:rsidRDefault="0065522D" w:rsidP="005A0D50">
            <w:pPr>
              <w:jc w:val="center"/>
              <w:rPr>
                <w:b/>
                <w:color w:val="auto"/>
              </w:rPr>
            </w:pPr>
            <w:r w:rsidRPr="00AD2787">
              <w:rPr>
                <w:b/>
                <w:color w:val="auto"/>
              </w:rPr>
              <w:t>0.003</w:t>
            </w: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BMI (≥25 vs &lt;25)</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0.90 (0.84−0.97)</w:t>
            </w:r>
          </w:p>
        </w:tc>
        <w:tc>
          <w:tcPr>
            <w:tcW w:w="1134" w:type="dxa"/>
          </w:tcPr>
          <w:p w:rsidR="0065522D" w:rsidRPr="00AD2787" w:rsidRDefault="0065522D" w:rsidP="005A0D50">
            <w:pPr>
              <w:jc w:val="center"/>
              <w:rPr>
                <w:b/>
                <w:color w:val="auto"/>
              </w:rPr>
            </w:pPr>
            <w:r w:rsidRPr="00AD2787">
              <w:rPr>
                <w:b/>
                <w:color w:val="auto"/>
              </w:rPr>
              <w:t>0.005</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0.37 (0.20−0.68)</w:t>
            </w:r>
          </w:p>
        </w:tc>
        <w:tc>
          <w:tcPr>
            <w:tcW w:w="1156" w:type="dxa"/>
          </w:tcPr>
          <w:p w:rsidR="0065522D" w:rsidRPr="00AD2787" w:rsidRDefault="0065522D" w:rsidP="005A0D50">
            <w:pPr>
              <w:jc w:val="center"/>
              <w:rPr>
                <w:b/>
                <w:color w:val="auto"/>
              </w:rPr>
            </w:pPr>
            <w:r w:rsidRPr="00AD2787">
              <w:rPr>
                <w:b/>
                <w:color w:val="auto"/>
              </w:rPr>
              <w:t>0.002</w:t>
            </w:r>
          </w:p>
        </w:tc>
      </w:tr>
      <w:tr w:rsidR="00AD2787" w:rsidRPr="00AD2787" w:rsidTr="0065522D">
        <w:trPr>
          <w:trHeight w:hRule="exact" w:val="170"/>
        </w:trPr>
        <w:tc>
          <w:tcPr>
            <w:tcW w:w="3227" w:type="dxa"/>
          </w:tcPr>
          <w:p w:rsidR="0065522D" w:rsidRPr="00AD2787" w:rsidRDefault="0065522D" w:rsidP="005A0D50">
            <w:pPr>
              <w:rPr>
                <w:color w:val="auto"/>
              </w:rPr>
            </w:pP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p>
        </w:tc>
        <w:tc>
          <w:tcPr>
            <w:tcW w:w="1134" w:type="dxa"/>
          </w:tcPr>
          <w:p w:rsidR="0065522D" w:rsidRPr="00AD2787" w:rsidRDefault="0065522D" w:rsidP="005A0D50">
            <w:pPr>
              <w:jc w:val="center"/>
              <w:rPr>
                <w:color w:val="auto"/>
              </w:rPr>
            </w:pP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val="366"/>
        </w:trPr>
        <w:tc>
          <w:tcPr>
            <w:tcW w:w="3227" w:type="dxa"/>
            <w:vMerge w:val="restart"/>
          </w:tcPr>
          <w:p w:rsidR="0065522D" w:rsidRPr="00AD2787" w:rsidRDefault="0065522D" w:rsidP="005A0D50">
            <w:pPr>
              <w:rPr>
                <w:b/>
                <w:color w:val="auto"/>
              </w:rPr>
            </w:pPr>
            <w:r w:rsidRPr="00AD2787">
              <w:rPr>
                <w:b/>
                <w:color w:val="auto"/>
              </w:rPr>
              <w:t>OS</w:t>
            </w:r>
          </w:p>
        </w:tc>
        <w:tc>
          <w:tcPr>
            <w:tcW w:w="284" w:type="dxa"/>
          </w:tcPr>
          <w:p w:rsidR="0065522D" w:rsidRPr="00AD2787" w:rsidRDefault="0065522D" w:rsidP="005A0D50">
            <w:pPr>
              <w:rPr>
                <w:b/>
                <w:color w:val="auto"/>
              </w:rPr>
            </w:pPr>
          </w:p>
        </w:tc>
        <w:tc>
          <w:tcPr>
            <w:tcW w:w="3118" w:type="dxa"/>
            <w:gridSpan w:val="2"/>
          </w:tcPr>
          <w:p w:rsidR="0065522D" w:rsidRPr="00AD2787" w:rsidRDefault="0065522D" w:rsidP="005A0D50">
            <w:pPr>
              <w:ind w:right="-164"/>
              <w:rPr>
                <w:b/>
                <w:color w:val="auto"/>
              </w:rPr>
            </w:pPr>
            <w:r w:rsidRPr="00AD2787">
              <w:rPr>
                <w:b/>
                <w:color w:val="auto"/>
              </w:rPr>
              <w:t>Univariate Cox Regression</w:t>
            </w:r>
          </w:p>
        </w:tc>
        <w:tc>
          <w:tcPr>
            <w:tcW w:w="236" w:type="dxa"/>
          </w:tcPr>
          <w:p w:rsidR="0065522D" w:rsidRPr="00AD2787" w:rsidRDefault="0065522D" w:rsidP="005A0D50">
            <w:pPr>
              <w:rPr>
                <w:b/>
                <w:color w:val="auto"/>
              </w:rPr>
            </w:pPr>
          </w:p>
        </w:tc>
        <w:tc>
          <w:tcPr>
            <w:tcW w:w="3243" w:type="dxa"/>
            <w:gridSpan w:val="2"/>
          </w:tcPr>
          <w:p w:rsidR="0065522D" w:rsidRPr="00AD2787" w:rsidRDefault="0065522D" w:rsidP="005A0D50">
            <w:pPr>
              <w:ind w:right="-87"/>
              <w:rPr>
                <w:b/>
                <w:color w:val="auto"/>
              </w:rPr>
            </w:pPr>
            <w:r w:rsidRPr="00AD2787">
              <w:rPr>
                <w:b/>
                <w:color w:val="auto"/>
              </w:rPr>
              <w:t>Multivariable Cox regression</w:t>
            </w:r>
          </w:p>
        </w:tc>
      </w:tr>
      <w:tr w:rsidR="00AD2787" w:rsidRPr="00AD2787" w:rsidTr="0065522D">
        <w:trPr>
          <w:trHeight w:val="366"/>
        </w:trPr>
        <w:tc>
          <w:tcPr>
            <w:tcW w:w="3227" w:type="dxa"/>
            <w:vMerge/>
          </w:tcPr>
          <w:p w:rsidR="0065522D" w:rsidRPr="00AD2787" w:rsidRDefault="0065522D" w:rsidP="005A0D50">
            <w:pPr>
              <w:rPr>
                <w:b/>
                <w:color w:val="auto"/>
              </w:rPr>
            </w:pPr>
          </w:p>
        </w:tc>
        <w:tc>
          <w:tcPr>
            <w:tcW w:w="284" w:type="dxa"/>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r w:rsidRPr="00AD2787">
              <w:rPr>
                <w:b/>
                <w:color w:val="auto"/>
              </w:rPr>
              <w:t>HR (95%CI)</w:t>
            </w:r>
          </w:p>
        </w:tc>
        <w:tc>
          <w:tcPr>
            <w:tcW w:w="1134" w:type="dxa"/>
          </w:tcPr>
          <w:p w:rsidR="0065522D" w:rsidRPr="00AD2787" w:rsidRDefault="0065522D" w:rsidP="005A0D50">
            <w:pPr>
              <w:ind w:left="-108"/>
              <w:jc w:val="center"/>
              <w:rPr>
                <w:b/>
                <w:i/>
                <w:color w:val="auto"/>
              </w:rPr>
            </w:pPr>
            <w:r w:rsidRPr="00AD2787">
              <w:rPr>
                <w:b/>
                <w:i/>
                <w:color w:val="auto"/>
              </w:rPr>
              <w:t>p-value</w:t>
            </w:r>
          </w:p>
        </w:tc>
        <w:tc>
          <w:tcPr>
            <w:tcW w:w="236" w:type="dxa"/>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r w:rsidRPr="00AD2787">
              <w:rPr>
                <w:b/>
                <w:color w:val="auto"/>
              </w:rPr>
              <w:t>HR (95%CI)</w:t>
            </w:r>
          </w:p>
        </w:tc>
        <w:tc>
          <w:tcPr>
            <w:tcW w:w="1156" w:type="dxa"/>
          </w:tcPr>
          <w:p w:rsidR="0065522D" w:rsidRPr="00AD2787" w:rsidRDefault="0065522D" w:rsidP="005A0D50">
            <w:pPr>
              <w:jc w:val="center"/>
              <w:rPr>
                <w:b/>
                <w:i/>
                <w:color w:val="auto"/>
              </w:rPr>
            </w:pPr>
            <w:r w:rsidRPr="00AD2787">
              <w:rPr>
                <w:b/>
                <w:i/>
                <w:color w:val="auto"/>
              </w:rPr>
              <w:t>p-value</w:t>
            </w: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Age (≥70y vs &lt;70y)</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0.78 (0.41−1.49)</w:t>
            </w:r>
          </w:p>
        </w:tc>
        <w:tc>
          <w:tcPr>
            <w:tcW w:w="1134" w:type="dxa"/>
          </w:tcPr>
          <w:p w:rsidR="0065522D" w:rsidRPr="00AD2787" w:rsidRDefault="0065522D" w:rsidP="005A0D50">
            <w:pPr>
              <w:ind w:left="-108" w:right="-108"/>
              <w:jc w:val="center"/>
              <w:rPr>
                <w:color w:val="auto"/>
              </w:rPr>
            </w:pPr>
            <w:r w:rsidRPr="00AD2787">
              <w:rPr>
                <w:color w:val="auto"/>
              </w:rPr>
              <w:t>0.459</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Gender (M/F)</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1.46 (0.80−2.67)</w:t>
            </w:r>
          </w:p>
        </w:tc>
        <w:tc>
          <w:tcPr>
            <w:tcW w:w="1134" w:type="dxa"/>
          </w:tcPr>
          <w:p w:rsidR="0065522D" w:rsidRPr="00AD2787" w:rsidRDefault="0065522D" w:rsidP="005A0D50">
            <w:pPr>
              <w:ind w:left="-108" w:right="-108"/>
              <w:jc w:val="center"/>
              <w:rPr>
                <w:color w:val="auto"/>
              </w:rPr>
            </w:pPr>
            <w:r w:rsidRPr="00AD2787">
              <w:rPr>
                <w:color w:val="auto"/>
              </w:rPr>
              <w:t>0.219</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ind w:right="-392"/>
              <w:rPr>
                <w:color w:val="auto"/>
              </w:rPr>
            </w:pPr>
            <w:r w:rsidRPr="00AD2787">
              <w:rPr>
                <w:color w:val="auto"/>
              </w:rPr>
              <w:t>Number of metastatic sites</w:t>
            </w:r>
          </w:p>
        </w:tc>
        <w:tc>
          <w:tcPr>
            <w:tcW w:w="284" w:type="dxa"/>
            <w:vMerge w:val="restart"/>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1.08 (0.81−1.44)</w:t>
            </w:r>
          </w:p>
        </w:tc>
        <w:tc>
          <w:tcPr>
            <w:tcW w:w="1134" w:type="dxa"/>
          </w:tcPr>
          <w:p w:rsidR="0065522D" w:rsidRPr="00AD2787" w:rsidRDefault="0065522D" w:rsidP="005A0D50">
            <w:pPr>
              <w:jc w:val="center"/>
              <w:rPr>
                <w:color w:val="auto"/>
              </w:rPr>
            </w:pPr>
            <w:r w:rsidRPr="00AD2787">
              <w:rPr>
                <w:color w:val="auto"/>
              </w:rPr>
              <w:t>0.613</w:t>
            </w:r>
          </w:p>
        </w:tc>
        <w:tc>
          <w:tcPr>
            <w:tcW w:w="236" w:type="dxa"/>
            <w:vMerge w:val="restart"/>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Lung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0.82 (0.51−1.33)</w:t>
            </w:r>
          </w:p>
        </w:tc>
        <w:tc>
          <w:tcPr>
            <w:tcW w:w="1134" w:type="dxa"/>
          </w:tcPr>
          <w:p w:rsidR="0065522D" w:rsidRPr="00AD2787" w:rsidRDefault="0065522D" w:rsidP="005A0D50">
            <w:pPr>
              <w:jc w:val="center"/>
              <w:rPr>
                <w:color w:val="auto"/>
              </w:rPr>
            </w:pPr>
            <w:r w:rsidRPr="00AD2787">
              <w:rPr>
                <w:color w:val="auto"/>
              </w:rPr>
              <w:t>0.424</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Liver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1.39 (0.80−2.39)</w:t>
            </w:r>
          </w:p>
        </w:tc>
        <w:tc>
          <w:tcPr>
            <w:tcW w:w="1134" w:type="dxa"/>
          </w:tcPr>
          <w:p w:rsidR="0065522D" w:rsidRPr="00AD2787" w:rsidRDefault="0065522D" w:rsidP="005A0D50">
            <w:pPr>
              <w:jc w:val="center"/>
              <w:rPr>
                <w:color w:val="auto"/>
              </w:rPr>
            </w:pPr>
            <w:r w:rsidRPr="00AD2787">
              <w:rPr>
                <w:color w:val="auto"/>
              </w:rPr>
              <w:t>0.244</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Bone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2.11 (1.32−3.40</w:t>
            </w:r>
          </w:p>
        </w:tc>
        <w:tc>
          <w:tcPr>
            <w:tcW w:w="1134" w:type="dxa"/>
          </w:tcPr>
          <w:p w:rsidR="0065522D" w:rsidRPr="00AD2787" w:rsidRDefault="0065522D" w:rsidP="005A0D50">
            <w:pPr>
              <w:jc w:val="center"/>
              <w:rPr>
                <w:color w:val="auto"/>
              </w:rPr>
            </w:pPr>
            <w:r w:rsidRPr="00AD2787">
              <w:rPr>
                <w:color w:val="auto"/>
              </w:rPr>
              <w:t>0.051</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IMDC prognostic group</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1.85 (1.02−3.34)</w:t>
            </w:r>
          </w:p>
        </w:tc>
        <w:tc>
          <w:tcPr>
            <w:tcW w:w="1134" w:type="dxa"/>
          </w:tcPr>
          <w:p w:rsidR="0065522D" w:rsidRPr="00AD2787" w:rsidRDefault="0065522D" w:rsidP="005A0D50">
            <w:pPr>
              <w:jc w:val="center"/>
              <w:rPr>
                <w:color w:val="auto"/>
              </w:rPr>
            </w:pPr>
            <w:r w:rsidRPr="00AD2787">
              <w:rPr>
                <w:b/>
                <w:color w:val="auto"/>
              </w:rPr>
              <w:t>0.042</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2.09 (1.29−3.37)</w:t>
            </w:r>
          </w:p>
        </w:tc>
        <w:tc>
          <w:tcPr>
            <w:tcW w:w="1156" w:type="dxa"/>
          </w:tcPr>
          <w:p w:rsidR="0065522D" w:rsidRPr="00AD2787" w:rsidRDefault="0065522D" w:rsidP="005A0D50">
            <w:pPr>
              <w:jc w:val="center"/>
              <w:rPr>
                <w:color w:val="auto"/>
              </w:rPr>
            </w:pPr>
            <w:r w:rsidRPr="00AD2787">
              <w:rPr>
                <w:b/>
                <w:color w:val="auto"/>
              </w:rPr>
              <w:t>0.003</w:t>
            </w:r>
          </w:p>
        </w:tc>
      </w:tr>
      <w:tr w:rsidR="00AD2787" w:rsidRPr="00AD2787" w:rsidTr="0065522D">
        <w:trPr>
          <w:trHeight w:hRule="exact" w:val="397"/>
        </w:trPr>
        <w:tc>
          <w:tcPr>
            <w:tcW w:w="3227" w:type="dxa"/>
          </w:tcPr>
          <w:p w:rsidR="0065522D" w:rsidRPr="00AD2787" w:rsidRDefault="0065522D" w:rsidP="005A0D50">
            <w:pPr>
              <w:rPr>
                <w:color w:val="auto"/>
              </w:rPr>
            </w:pPr>
            <w:r w:rsidRPr="00AD2787">
              <w:rPr>
                <w:color w:val="auto"/>
              </w:rPr>
              <w:t>BMI (≥25 vs &lt;25)</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0.90 (0.83−0.98)</w:t>
            </w:r>
          </w:p>
        </w:tc>
        <w:tc>
          <w:tcPr>
            <w:tcW w:w="1134" w:type="dxa"/>
          </w:tcPr>
          <w:p w:rsidR="0065522D" w:rsidRPr="00AD2787" w:rsidRDefault="0065522D" w:rsidP="005A0D50">
            <w:pPr>
              <w:jc w:val="center"/>
              <w:rPr>
                <w:color w:val="auto"/>
              </w:rPr>
            </w:pPr>
            <w:r w:rsidRPr="00AD2787">
              <w:rPr>
                <w:b/>
                <w:color w:val="auto"/>
              </w:rPr>
              <w:t>0.018</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0.38 (0.22−0.69)</w:t>
            </w:r>
          </w:p>
        </w:tc>
        <w:tc>
          <w:tcPr>
            <w:tcW w:w="1156" w:type="dxa"/>
          </w:tcPr>
          <w:p w:rsidR="0065522D" w:rsidRPr="00AD2787" w:rsidRDefault="0065522D" w:rsidP="005A0D50">
            <w:pPr>
              <w:jc w:val="center"/>
              <w:rPr>
                <w:color w:val="auto"/>
              </w:rPr>
            </w:pPr>
            <w:r w:rsidRPr="00AD2787">
              <w:rPr>
                <w:b/>
                <w:color w:val="auto"/>
              </w:rPr>
              <w:t>0.046</w:t>
            </w:r>
          </w:p>
        </w:tc>
      </w:tr>
      <w:tr w:rsidR="00AD2787" w:rsidRPr="00AD2787" w:rsidTr="0065522D">
        <w:trPr>
          <w:trHeight w:hRule="exact" w:val="170"/>
        </w:trPr>
        <w:tc>
          <w:tcPr>
            <w:tcW w:w="3227" w:type="dxa"/>
          </w:tcPr>
          <w:p w:rsidR="0065522D" w:rsidRPr="00AD2787" w:rsidRDefault="0065522D" w:rsidP="005A0D50">
            <w:pPr>
              <w:rPr>
                <w:b/>
                <w:color w:val="auto"/>
              </w:rPr>
            </w:pP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p>
        </w:tc>
        <w:tc>
          <w:tcPr>
            <w:tcW w:w="1134" w:type="dxa"/>
          </w:tcPr>
          <w:p w:rsidR="0065522D" w:rsidRPr="00AD2787" w:rsidRDefault="0065522D" w:rsidP="005A0D50">
            <w:pPr>
              <w:jc w:val="center"/>
              <w:rPr>
                <w:b/>
                <w:color w:val="auto"/>
              </w:rPr>
            </w:pPr>
          </w:p>
        </w:tc>
        <w:tc>
          <w:tcPr>
            <w:tcW w:w="236" w:type="dxa"/>
            <w:vMerge/>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p>
        </w:tc>
        <w:tc>
          <w:tcPr>
            <w:tcW w:w="1156" w:type="dxa"/>
          </w:tcPr>
          <w:p w:rsidR="0065522D" w:rsidRPr="00AD2787" w:rsidRDefault="0065522D" w:rsidP="005A0D50">
            <w:pPr>
              <w:jc w:val="center"/>
              <w:rPr>
                <w:b/>
                <w:color w:val="auto"/>
              </w:rPr>
            </w:pPr>
          </w:p>
        </w:tc>
      </w:tr>
      <w:tr w:rsidR="00AD2787" w:rsidRPr="00AD2787" w:rsidTr="0065522D">
        <w:trPr>
          <w:trHeight w:val="773"/>
        </w:trPr>
        <w:tc>
          <w:tcPr>
            <w:tcW w:w="10108" w:type="dxa"/>
            <w:gridSpan w:val="7"/>
          </w:tcPr>
          <w:p w:rsidR="0065522D" w:rsidRPr="00AD2787" w:rsidRDefault="0065522D" w:rsidP="005A0D50">
            <w:pPr>
              <w:jc w:val="center"/>
              <w:rPr>
                <w:color w:val="auto"/>
              </w:rPr>
            </w:pPr>
            <w:r w:rsidRPr="00AD2787">
              <w:rPr>
                <w:color w:val="auto"/>
              </w:rPr>
              <w:t>BMI = Body Mass Index;CI=confidence interval; HR=hazard ratio; OS=overall survival;PFS= progression-free survival.</w:t>
            </w:r>
          </w:p>
        </w:tc>
      </w:tr>
    </w:tbl>
    <w:p w:rsidR="0065522D" w:rsidRPr="00AD2787" w:rsidRDefault="0065522D" w:rsidP="004F1A32">
      <w:pPr>
        <w:pStyle w:val="MDPI31text"/>
        <w:rPr>
          <w:color w:val="auto"/>
        </w:rPr>
      </w:pPr>
    </w:p>
    <w:p w:rsidR="004F1A32" w:rsidRPr="00AD2787" w:rsidRDefault="004F1A32" w:rsidP="004F1A32">
      <w:pPr>
        <w:pStyle w:val="MDPI31text"/>
        <w:rPr>
          <w:color w:val="auto"/>
        </w:rPr>
      </w:pPr>
      <w:r w:rsidRPr="00AD2787">
        <w:rPr>
          <w:color w:val="auto"/>
        </w:rPr>
        <w:t>At multivariate analysis, IMDC prognostic group (HR = 2.09; 95%CI: 1.29–3</w:t>
      </w:r>
      <w:r w:rsidR="00B31899" w:rsidRPr="00AD2787">
        <w:rPr>
          <w:color w:val="auto"/>
        </w:rPr>
        <w:t>.</w:t>
      </w:r>
      <w:r w:rsidRPr="00AD2787">
        <w:rPr>
          <w:color w:val="auto"/>
        </w:rPr>
        <w:t xml:space="preserve">37, p = 0.003) and BMI (HR = 0.37; 95%CI: 0.20–0.68 p = 0.002) were significant predictors of PFS. Similarly, IMDC prognostic group (HR = 2.09; 95% CI, 1.29–3.37, p = 0.003) and BMI (HR = 0.38; 95%CI: 0.22–0.69, p = 0.046) were significantly correlated with OS at multivariate analysis. </w:t>
      </w:r>
    </w:p>
    <w:p w:rsidR="004F1A32" w:rsidRPr="00AD2787" w:rsidRDefault="004F1A32" w:rsidP="004F1A32">
      <w:pPr>
        <w:pStyle w:val="MDPI31text"/>
        <w:rPr>
          <w:color w:val="auto"/>
        </w:rPr>
      </w:pPr>
      <w:r w:rsidRPr="00AD2787">
        <w:rPr>
          <w:color w:val="auto"/>
        </w:rPr>
        <w:t>As third-line therapy, we registered median PFS and OS of 6.7 (95% CI: 4.9−18.0) and 39.4 months (95%CI: 11.2–39.4), respectively. Both median PFS (9.2 months, 95%CI: 4.8–16.3, vs 3.9 months, 95%CI: 3.0–18.0, p = 0.029, Figure 3) and OS (39.4 months, 95%CI</w:t>
      </w:r>
      <w:r w:rsidRPr="00AD2787">
        <w:rPr>
          <w:rFonts w:hint="eastAsia"/>
          <w:color w:val="auto"/>
        </w:rPr>
        <w:t xml:space="preserve">: 11.2–39.4, vs 11.5 months, 95%CI: 4.9–11.5, p = 0.039, Figure 4) were longer in patients with BMI ≥ 25. 1y-OS rate was 28% and 11% in patients with BMI ≥ 25 vs &lt;25, respectively (p = 0.045, Table </w:t>
      </w:r>
      <w:r w:rsidR="0065522D" w:rsidRPr="00AD2787">
        <w:rPr>
          <w:color w:val="auto"/>
        </w:rPr>
        <w:t>4</w:t>
      </w:r>
      <w:r w:rsidRPr="00AD2787">
        <w:rPr>
          <w:rFonts w:hint="eastAsia"/>
          <w:color w:val="auto"/>
        </w:rPr>
        <w:t>). Similarly to second-line, no differences were reported</w:t>
      </w:r>
      <w:r w:rsidRPr="00AD2787">
        <w:rPr>
          <w:color w:val="auto"/>
        </w:rPr>
        <w:t xml:space="preserve"> in terms of </w:t>
      </w:r>
      <w:proofErr w:type="spellStart"/>
      <w:r w:rsidRPr="00AD2787">
        <w:rPr>
          <w:color w:val="auto"/>
        </w:rPr>
        <w:t>tumour</w:t>
      </w:r>
      <w:proofErr w:type="spellEnd"/>
      <w:r w:rsidRPr="00AD2787">
        <w:rPr>
          <w:color w:val="auto"/>
        </w:rPr>
        <w:t xml:space="preserve"> response to third-line cabozantinib (Table </w:t>
      </w:r>
      <w:r w:rsidR="0065522D" w:rsidRPr="00AD2787">
        <w:rPr>
          <w:color w:val="auto"/>
        </w:rPr>
        <w:t>4</w:t>
      </w:r>
      <w:r w:rsidRPr="00AD2787">
        <w:rPr>
          <w:color w:val="auto"/>
        </w:rPr>
        <w:t>).</w:t>
      </w:r>
    </w:p>
    <w:p w:rsidR="0065522D" w:rsidRPr="00AD2787" w:rsidRDefault="0065522D" w:rsidP="004F1A32">
      <w:pPr>
        <w:pStyle w:val="MDPI31text"/>
        <w:rPr>
          <w:color w:val="auto"/>
        </w:rPr>
      </w:pPr>
    </w:p>
    <w:p w:rsidR="0065522D" w:rsidRPr="00AD2787" w:rsidRDefault="0065522D" w:rsidP="004F1A32">
      <w:pPr>
        <w:pStyle w:val="MDPI31text"/>
        <w:rPr>
          <w:color w:val="auto"/>
          <w:sz w:val="18"/>
        </w:rPr>
      </w:pPr>
      <w:r w:rsidRPr="00AD2787">
        <w:rPr>
          <w:b/>
          <w:color w:val="auto"/>
          <w:sz w:val="18"/>
        </w:rPr>
        <w:t>Table 4.</w:t>
      </w:r>
      <w:r w:rsidRPr="00AD2787">
        <w:rPr>
          <w:color w:val="auto"/>
          <w:sz w:val="18"/>
        </w:rPr>
        <w:t xml:space="preserve"> Univariate and multivariate analyses of predictors of Progression-Free Survival and Overall Survival in patients treated with cabozantinib as third-line therapy.</w:t>
      </w:r>
    </w:p>
    <w:tbl>
      <w:tblPr>
        <w:tblStyle w:val="MDPI41threelinetable"/>
        <w:tblW w:w="10108" w:type="dxa"/>
        <w:tblLayout w:type="fixed"/>
        <w:tblLook w:val="00A0" w:firstRow="1" w:lastRow="0" w:firstColumn="1" w:lastColumn="0" w:noHBand="0" w:noVBand="0"/>
      </w:tblPr>
      <w:tblGrid>
        <w:gridCol w:w="3227"/>
        <w:gridCol w:w="284"/>
        <w:gridCol w:w="1984"/>
        <w:gridCol w:w="1134"/>
        <w:gridCol w:w="236"/>
        <w:gridCol w:w="2087"/>
        <w:gridCol w:w="1156"/>
      </w:tblGrid>
      <w:tr w:rsidR="00AD2787" w:rsidRPr="00AD2787" w:rsidTr="005A0D50">
        <w:trPr>
          <w:cnfStyle w:val="100000000000" w:firstRow="1" w:lastRow="0" w:firstColumn="0" w:lastColumn="0" w:oddVBand="0" w:evenVBand="0" w:oddHBand="0" w:evenHBand="0" w:firstRowFirstColumn="0" w:firstRowLastColumn="0" w:lastRowFirstColumn="0" w:lastRowLastColumn="0"/>
          <w:trHeight w:hRule="exact" w:val="397"/>
        </w:trPr>
        <w:tc>
          <w:tcPr>
            <w:tcW w:w="3227" w:type="dxa"/>
            <w:vMerge w:val="restart"/>
          </w:tcPr>
          <w:p w:rsidR="0065522D" w:rsidRPr="00AD2787" w:rsidRDefault="0065522D" w:rsidP="005A0D50">
            <w:pPr>
              <w:rPr>
                <w:b w:val="0"/>
                <w:color w:val="auto"/>
              </w:rPr>
            </w:pPr>
            <w:r w:rsidRPr="00AD2787">
              <w:rPr>
                <w:b w:val="0"/>
                <w:color w:val="auto"/>
              </w:rPr>
              <w:t>PFS</w:t>
            </w:r>
          </w:p>
        </w:tc>
        <w:tc>
          <w:tcPr>
            <w:tcW w:w="284" w:type="dxa"/>
          </w:tcPr>
          <w:p w:rsidR="0065522D" w:rsidRPr="00AD2787" w:rsidRDefault="0065522D" w:rsidP="005A0D50">
            <w:pPr>
              <w:rPr>
                <w:b w:val="0"/>
                <w:color w:val="auto"/>
              </w:rPr>
            </w:pPr>
          </w:p>
        </w:tc>
        <w:tc>
          <w:tcPr>
            <w:tcW w:w="3118" w:type="dxa"/>
            <w:gridSpan w:val="2"/>
          </w:tcPr>
          <w:p w:rsidR="0065522D" w:rsidRPr="00AD2787" w:rsidRDefault="0065522D" w:rsidP="005A0D50">
            <w:pPr>
              <w:ind w:left="-108"/>
              <w:rPr>
                <w:color w:val="auto"/>
              </w:rPr>
            </w:pPr>
            <w:r w:rsidRPr="00AD2787">
              <w:rPr>
                <w:color w:val="auto"/>
              </w:rPr>
              <w:t xml:space="preserve"> Univariate Cox Regression</w:t>
            </w:r>
          </w:p>
        </w:tc>
        <w:tc>
          <w:tcPr>
            <w:tcW w:w="236" w:type="dxa"/>
          </w:tcPr>
          <w:p w:rsidR="0065522D" w:rsidRPr="00AD2787" w:rsidRDefault="0065522D" w:rsidP="005A0D50">
            <w:pPr>
              <w:rPr>
                <w:color w:val="auto"/>
              </w:rPr>
            </w:pPr>
          </w:p>
        </w:tc>
        <w:tc>
          <w:tcPr>
            <w:tcW w:w="3243" w:type="dxa"/>
            <w:gridSpan w:val="2"/>
          </w:tcPr>
          <w:p w:rsidR="0065522D" w:rsidRPr="00AD2787" w:rsidRDefault="0065522D" w:rsidP="005A0D50">
            <w:pPr>
              <w:ind w:left="-202" w:right="-88"/>
              <w:rPr>
                <w:color w:val="auto"/>
              </w:rPr>
            </w:pPr>
            <w:r w:rsidRPr="00AD2787">
              <w:rPr>
                <w:color w:val="auto"/>
              </w:rPr>
              <w:t xml:space="preserve">    Multivariable Cox regression</w:t>
            </w:r>
          </w:p>
        </w:tc>
      </w:tr>
      <w:tr w:rsidR="00AD2787" w:rsidRPr="00AD2787" w:rsidTr="005A0D50">
        <w:trPr>
          <w:trHeight w:val="366"/>
        </w:trPr>
        <w:tc>
          <w:tcPr>
            <w:tcW w:w="3227" w:type="dxa"/>
            <w:vMerge/>
          </w:tcPr>
          <w:p w:rsidR="0065522D" w:rsidRPr="00AD2787" w:rsidRDefault="0065522D" w:rsidP="005A0D50">
            <w:pPr>
              <w:rPr>
                <w:b/>
                <w:color w:val="auto"/>
              </w:rPr>
            </w:pPr>
          </w:p>
        </w:tc>
        <w:tc>
          <w:tcPr>
            <w:tcW w:w="284" w:type="dxa"/>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r w:rsidRPr="00AD2787">
              <w:rPr>
                <w:b/>
                <w:color w:val="auto"/>
              </w:rPr>
              <w:t>HR (95%CI)</w:t>
            </w:r>
          </w:p>
        </w:tc>
        <w:tc>
          <w:tcPr>
            <w:tcW w:w="1134" w:type="dxa"/>
          </w:tcPr>
          <w:p w:rsidR="0065522D" w:rsidRPr="00AD2787" w:rsidRDefault="0065522D" w:rsidP="005A0D50">
            <w:pPr>
              <w:ind w:left="-108"/>
              <w:jc w:val="center"/>
              <w:rPr>
                <w:b/>
                <w:i/>
                <w:color w:val="auto"/>
              </w:rPr>
            </w:pPr>
            <w:r w:rsidRPr="00AD2787">
              <w:rPr>
                <w:b/>
                <w:i/>
                <w:color w:val="auto"/>
              </w:rPr>
              <w:t>p-value</w:t>
            </w:r>
          </w:p>
        </w:tc>
        <w:tc>
          <w:tcPr>
            <w:tcW w:w="236" w:type="dxa"/>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r w:rsidRPr="00AD2787">
              <w:rPr>
                <w:b/>
                <w:color w:val="auto"/>
              </w:rPr>
              <w:t>HR (95%CI)</w:t>
            </w:r>
          </w:p>
        </w:tc>
        <w:tc>
          <w:tcPr>
            <w:tcW w:w="1156" w:type="dxa"/>
          </w:tcPr>
          <w:p w:rsidR="0065522D" w:rsidRPr="00AD2787" w:rsidRDefault="0065522D" w:rsidP="005A0D50">
            <w:pPr>
              <w:jc w:val="center"/>
              <w:rPr>
                <w:b/>
                <w:i/>
                <w:color w:val="auto"/>
              </w:rPr>
            </w:pPr>
            <w:r w:rsidRPr="00AD2787">
              <w:rPr>
                <w:b/>
                <w:i/>
                <w:color w:val="auto"/>
              </w:rPr>
              <w:t>p-value</w:t>
            </w: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Age (≥70y vs &lt;70y)</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0.59 (0.31−1.11)</w:t>
            </w:r>
          </w:p>
        </w:tc>
        <w:tc>
          <w:tcPr>
            <w:tcW w:w="1134" w:type="dxa"/>
          </w:tcPr>
          <w:p w:rsidR="0065522D" w:rsidRPr="00AD2787" w:rsidRDefault="0065522D" w:rsidP="005A0D50">
            <w:pPr>
              <w:ind w:left="-108" w:right="-108"/>
              <w:jc w:val="center"/>
              <w:rPr>
                <w:color w:val="auto"/>
              </w:rPr>
            </w:pPr>
            <w:r w:rsidRPr="00AD2787">
              <w:rPr>
                <w:color w:val="auto"/>
              </w:rPr>
              <w:t>0.102</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lastRenderedPageBreak/>
              <w:t>Gender (M/F)</w:t>
            </w:r>
          </w:p>
        </w:tc>
        <w:tc>
          <w:tcPr>
            <w:tcW w:w="284" w:type="dxa"/>
            <w:vMerge w:val="restart"/>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0.86 (0.46−1.61)</w:t>
            </w:r>
          </w:p>
        </w:tc>
        <w:tc>
          <w:tcPr>
            <w:tcW w:w="1134" w:type="dxa"/>
          </w:tcPr>
          <w:p w:rsidR="0065522D" w:rsidRPr="00AD2787" w:rsidRDefault="0065522D" w:rsidP="005A0D50">
            <w:pPr>
              <w:ind w:left="-108" w:right="-108"/>
              <w:jc w:val="center"/>
              <w:rPr>
                <w:color w:val="auto"/>
              </w:rPr>
            </w:pPr>
            <w:r w:rsidRPr="00AD2787">
              <w:rPr>
                <w:color w:val="auto"/>
              </w:rPr>
              <w:t>0.645</w:t>
            </w:r>
          </w:p>
        </w:tc>
        <w:tc>
          <w:tcPr>
            <w:tcW w:w="236" w:type="dxa"/>
            <w:vMerge w:val="restart"/>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ind w:right="-392"/>
              <w:rPr>
                <w:color w:val="auto"/>
              </w:rPr>
            </w:pPr>
            <w:r w:rsidRPr="00AD2787">
              <w:rPr>
                <w:color w:val="auto"/>
              </w:rPr>
              <w:t>Number of metastatic sites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1.40 (1.10−1.80)</w:t>
            </w:r>
          </w:p>
        </w:tc>
        <w:tc>
          <w:tcPr>
            <w:tcW w:w="1134" w:type="dxa"/>
          </w:tcPr>
          <w:p w:rsidR="0065522D" w:rsidRPr="00AD2787" w:rsidRDefault="0065522D" w:rsidP="005A0D50">
            <w:pPr>
              <w:jc w:val="center"/>
              <w:rPr>
                <w:b/>
                <w:color w:val="auto"/>
              </w:rPr>
            </w:pPr>
            <w:r w:rsidRPr="00AD2787">
              <w:rPr>
                <w:b/>
                <w:color w:val="auto"/>
              </w:rPr>
              <w:t>0.007</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1.35 (1.04−1.74)</w:t>
            </w:r>
          </w:p>
        </w:tc>
        <w:tc>
          <w:tcPr>
            <w:tcW w:w="1156" w:type="dxa"/>
          </w:tcPr>
          <w:p w:rsidR="0065522D" w:rsidRPr="00AD2787" w:rsidRDefault="0065522D" w:rsidP="005A0D50">
            <w:pPr>
              <w:jc w:val="center"/>
              <w:rPr>
                <w:b/>
                <w:color w:val="auto"/>
              </w:rPr>
            </w:pPr>
            <w:r w:rsidRPr="00AD2787">
              <w:rPr>
                <w:b/>
                <w:color w:val="auto"/>
              </w:rPr>
              <w:t>0.021</w:t>
            </w: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Lung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0.86 (0.67−1.91)</w:t>
            </w:r>
          </w:p>
        </w:tc>
        <w:tc>
          <w:tcPr>
            <w:tcW w:w="1134" w:type="dxa"/>
          </w:tcPr>
          <w:p w:rsidR="0065522D" w:rsidRPr="00AD2787" w:rsidRDefault="0065522D" w:rsidP="005A0D50">
            <w:pPr>
              <w:jc w:val="center"/>
              <w:rPr>
                <w:color w:val="auto"/>
              </w:rPr>
            </w:pPr>
            <w:r w:rsidRPr="00AD2787">
              <w:rPr>
                <w:color w:val="auto"/>
              </w:rPr>
              <w:t>0.672</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Liver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1.75 (0.84−2.88)</w:t>
            </w:r>
          </w:p>
        </w:tc>
        <w:tc>
          <w:tcPr>
            <w:tcW w:w="1134" w:type="dxa"/>
          </w:tcPr>
          <w:p w:rsidR="0065522D" w:rsidRPr="00AD2787" w:rsidRDefault="0065522D" w:rsidP="005A0D50">
            <w:pPr>
              <w:jc w:val="center"/>
              <w:rPr>
                <w:color w:val="auto"/>
              </w:rPr>
            </w:pPr>
            <w:r w:rsidRPr="00AD2787">
              <w:rPr>
                <w:color w:val="auto"/>
              </w:rPr>
              <w:t>0.594</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Bone metastases</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1.87 (0.96−3.98)</w:t>
            </w:r>
          </w:p>
        </w:tc>
        <w:tc>
          <w:tcPr>
            <w:tcW w:w="1134" w:type="dxa"/>
          </w:tcPr>
          <w:p w:rsidR="0065522D" w:rsidRPr="00AD2787" w:rsidRDefault="0065522D" w:rsidP="005A0D50">
            <w:pPr>
              <w:jc w:val="center"/>
              <w:rPr>
                <w:color w:val="auto"/>
              </w:rPr>
            </w:pPr>
            <w:r w:rsidRPr="00AD2787">
              <w:rPr>
                <w:color w:val="auto"/>
              </w:rPr>
              <w:t>0.317</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IMDC prognostic group</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1.18 (0.76−1.82)</w:t>
            </w:r>
          </w:p>
        </w:tc>
        <w:tc>
          <w:tcPr>
            <w:tcW w:w="1134" w:type="dxa"/>
          </w:tcPr>
          <w:p w:rsidR="0065522D" w:rsidRPr="00AD2787" w:rsidRDefault="0065522D" w:rsidP="005A0D50">
            <w:pPr>
              <w:jc w:val="center"/>
              <w:rPr>
                <w:color w:val="auto"/>
              </w:rPr>
            </w:pPr>
            <w:r w:rsidRPr="00AD2787">
              <w:rPr>
                <w:color w:val="auto"/>
              </w:rPr>
              <w:t>0.458</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b/>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BMI (≥25 vs &lt;25)</w:t>
            </w: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0.55 (0.32−0.95)</w:t>
            </w:r>
          </w:p>
        </w:tc>
        <w:tc>
          <w:tcPr>
            <w:tcW w:w="1134" w:type="dxa"/>
          </w:tcPr>
          <w:p w:rsidR="0065522D" w:rsidRPr="00AD2787" w:rsidRDefault="0065522D" w:rsidP="005A0D50">
            <w:pPr>
              <w:jc w:val="center"/>
              <w:rPr>
                <w:color w:val="auto"/>
              </w:rPr>
            </w:pPr>
            <w:r w:rsidRPr="00AD2787">
              <w:rPr>
                <w:b/>
                <w:color w:val="auto"/>
              </w:rPr>
              <w:t>0.031</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0.52 (0.32−0.95)</w:t>
            </w:r>
          </w:p>
        </w:tc>
        <w:tc>
          <w:tcPr>
            <w:tcW w:w="1156" w:type="dxa"/>
          </w:tcPr>
          <w:p w:rsidR="0065522D" w:rsidRPr="00AD2787" w:rsidRDefault="0065522D" w:rsidP="005A0D50">
            <w:pPr>
              <w:jc w:val="center"/>
              <w:rPr>
                <w:b/>
                <w:color w:val="auto"/>
              </w:rPr>
            </w:pPr>
            <w:r w:rsidRPr="00AD2787">
              <w:rPr>
                <w:b/>
                <w:color w:val="auto"/>
              </w:rPr>
              <w:t>0.020</w:t>
            </w:r>
          </w:p>
        </w:tc>
      </w:tr>
      <w:tr w:rsidR="00AD2787" w:rsidRPr="00AD2787" w:rsidTr="005A0D50">
        <w:trPr>
          <w:trHeight w:hRule="exact" w:val="170"/>
        </w:trPr>
        <w:tc>
          <w:tcPr>
            <w:tcW w:w="3227" w:type="dxa"/>
          </w:tcPr>
          <w:p w:rsidR="0065522D" w:rsidRPr="00AD2787" w:rsidRDefault="0065522D" w:rsidP="005A0D50">
            <w:pPr>
              <w:rPr>
                <w:color w:val="auto"/>
              </w:rPr>
            </w:pPr>
          </w:p>
        </w:tc>
        <w:tc>
          <w:tcPr>
            <w:tcW w:w="284" w:type="dxa"/>
            <w:vMerge/>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p>
        </w:tc>
        <w:tc>
          <w:tcPr>
            <w:tcW w:w="1134" w:type="dxa"/>
          </w:tcPr>
          <w:p w:rsidR="0065522D" w:rsidRPr="00AD2787" w:rsidRDefault="0065522D" w:rsidP="005A0D50">
            <w:pPr>
              <w:jc w:val="center"/>
              <w:rPr>
                <w:color w:val="auto"/>
              </w:rPr>
            </w:pP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val="366"/>
        </w:trPr>
        <w:tc>
          <w:tcPr>
            <w:tcW w:w="3227" w:type="dxa"/>
            <w:vMerge w:val="restart"/>
          </w:tcPr>
          <w:p w:rsidR="0065522D" w:rsidRPr="00AD2787" w:rsidRDefault="0065522D" w:rsidP="005A0D50">
            <w:pPr>
              <w:rPr>
                <w:b/>
                <w:color w:val="auto"/>
              </w:rPr>
            </w:pPr>
            <w:r w:rsidRPr="00AD2787">
              <w:rPr>
                <w:b/>
                <w:color w:val="auto"/>
              </w:rPr>
              <w:t>OS</w:t>
            </w:r>
          </w:p>
        </w:tc>
        <w:tc>
          <w:tcPr>
            <w:tcW w:w="284" w:type="dxa"/>
          </w:tcPr>
          <w:p w:rsidR="0065522D" w:rsidRPr="00AD2787" w:rsidRDefault="0065522D" w:rsidP="005A0D50">
            <w:pPr>
              <w:rPr>
                <w:b/>
                <w:color w:val="auto"/>
              </w:rPr>
            </w:pPr>
          </w:p>
        </w:tc>
        <w:tc>
          <w:tcPr>
            <w:tcW w:w="3118" w:type="dxa"/>
            <w:gridSpan w:val="2"/>
          </w:tcPr>
          <w:p w:rsidR="0065522D" w:rsidRPr="00AD2787" w:rsidRDefault="0065522D" w:rsidP="005A0D50">
            <w:pPr>
              <w:ind w:right="-164"/>
              <w:rPr>
                <w:b/>
                <w:color w:val="auto"/>
              </w:rPr>
            </w:pPr>
            <w:r w:rsidRPr="00AD2787">
              <w:rPr>
                <w:b/>
                <w:color w:val="auto"/>
              </w:rPr>
              <w:t>Univariate Cox Regression</w:t>
            </w:r>
          </w:p>
        </w:tc>
        <w:tc>
          <w:tcPr>
            <w:tcW w:w="236" w:type="dxa"/>
          </w:tcPr>
          <w:p w:rsidR="0065522D" w:rsidRPr="00AD2787" w:rsidRDefault="0065522D" w:rsidP="005A0D50">
            <w:pPr>
              <w:rPr>
                <w:b/>
                <w:color w:val="auto"/>
              </w:rPr>
            </w:pPr>
          </w:p>
        </w:tc>
        <w:tc>
          <w:tcPr>
            <w:tcW w:w="3243" w:type="dxa"/>
            <w:gridSpan w:val="2"/>
          </w:tcPr>
          <w:p w:rsidR="0065522D" w:rsidRPr="00AD2787" w:rsidRDefault="0065522D" w:rsidP="005A0D50">
            <w:pPr>
              <w:ind w:right="-87"/>
              <w:rPr>
                <w:b/>
                <w:color w:val="auto"/>
              </w:rPr>
            </w:pPr>
            <w:r w:rsidRPr="00AD2787">
              <w:rPr>
                <w:b/>
                <w:color w:val="auto"/>
              </w:rPr>
              <w:t>Multivariable Cox regression</w:t>
            </w:r>
          </w:p>
        </w:tc>
      </w:tr>
      <w:tr w:rsidR="00AD2787" w:rsidRPr="00AD2787" w:rsidTr="005A0D50">
        <w:trPr>
          <w:trHeight w:val="366"/>
        </w:trPr>
        <w:tc>
          <w:tcPr>
            <w:tcW w:w="3227" w:type="dxa"/>
            <w:vMerge/>
          </w:tcPr>
          <w:p w:rsidR="0065522D" w:rsidRPr="00AD2787" w:rsidRDefault="0065522D" w:rsidP="005A0D50">
            <w:pPr>
              <w:rPr>
                <w:b/>
                <w:color w:val="auto"/>
              </w:rPr>
            </w:pPr>
          </w:p>
        </w:tc>
        <w:tc>
          <w:tcPr>
            <w:tcW w:w="284" w:type="dxa"/>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r w:rsidRPr="00AD2787">
              <w:rPr>
                <w:b/>
                <w:color w:val="auto"/>
              </w:rPr>
              <w:t>HR (95%CI)</w:t>
            </w:r>
          </w:p>
        </w:tc>
        <w:tc>
          <w:tcPr>
            <w:tcW w:w="1134" w:type="dxa"/>
          </w:tcPr>
          <w:p w:rsidR="0065522D" w:rsidRPr="00AD2787" w:rsidRDefault="0065522D" w:rsidP="005A0D50">
            <w:pPr>
              <w:ind w:left="-108"/>
              <w:jc w:val="center"/>
              <w:rPr>
                <w:b/>
                <w:i/>
                <w:color w:val="auto"/>
              </w:rPr>
            </w:pPr>
            <w:r w:rsidRPr="00AD2787">
              <w:rPr>
                <w:b/>
                <w:i/>
                <w:color w:val="auto"/>
              </w:rPr>
              <w:t>p-value</w:t>
            </w:r>
          </w:p>
        </w:tc>
        <w:tc>
          <w:tcPr>
            <w:tcW w:w="236" w:type="dxa"/>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r w:rsidRPr="00AD2787">
              <w:rPr>
                <w:b/>
                <w:color w:val="auto"/>
              </w:rPr>
              <w:t>HR (95%CI)</w:t>
            </w:r>
          </w:p>
        </w:tc>
        <w:tc>
          <w:tcPr>
            <w:tcW w:w="1156" w:type="dxa"/>
          </w:tcPr>
          <w:p w:rsidR="0065522D" w:rsidRPr="00AD2787" w:rsidRDefault="0065522D" w:rsidP="005A0D50">
            <w:pPr>
              <w:jc w:val="center"/>
              <w:rPr>
                <w:b/>
                <w:i/>
                <w:color w:val="auto"/>
              </w:rPr>
            </w:pPr>
            <w:r w:rsidRPr="00AD2787">
              <w:rPr>
                <w:b/>
                <w:i/>
                <w:color w:val="auto"/>
              </w:rPr>
              <w:t>p-value</w:t>
            </w: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Age (≥70y vs &lt;70y)</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0.34 (0.12−0.96)</w:t>
            </w:r>
          </w:p>
        </w:tc>
        <w:tc>
          <w:tcPr>
            <w:tcW w:w="1134" w:type="dxa"/>
          </w:tcPr>
          <w:p w:rsidR="0065522D" w:rsidRPr="00AD2787" w:rsidRDefault="0065522D" w:rsidP="005A0D50">
            <w:pPr>
              <w:ind w:left="-108" w:right="-108"/>
              <w:jc w:val="center"/>
              <w:rPr>
                <w:b/>
                <w:color w:val="auto"/>
              </w:rPr>
            </w:pPr>
            <w:r w:rsidRPr="00AD2787">
              <w:rPr>
                <w:b/>
                <w:color w:val="auto"/>
              </w:rPr>
              <w:t>0.042</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0.70 (0.51−1.05)</w:t>
            </w:r>
          </w:p>
        </w:tc>
        <w:tc>
          <w:tcPr>
            <w:tcW w:w="1156" w:type="dxa"/>
          </w:tcPr>
          <w:p w:rsidR="0065522D" w:rsidRPr="00AD2787" w:rsidRDefault="0065522D" w:rsidP="005A0D50">
            <w:pPr>
              <w:jc w:val="center"/>
              <w:rPr>
                <w:color w:val="auto"/>
              </w:rPr>
            </w:pPr>
            <w:r w:rsidRPr="00AD2787">
              <w:rPr>
                <w:color w:val="auto"/>
              </w:rPr>
              <w:t>0.074</w:t>
            </w: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Gender (M/F)</w:t>
            </w:r>
          </w:p>
        </w:tc>
        <w:tc>
          <w:tcPr>
            <w:tcW w:w="284" w:type="dxa"/>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1.12 (0.52−2.39)</w:t>
            </w:r>
          </w:p>
        </w:tc>
        <w:tc>
          <w:tcPr>
            <w:tcW w:w="1134" w:type="dxa"/>
          </w:tcPr>
          <w:p w:rsidR="0065522D" w:rsidRPr="00AD2787" w:rsidRDefault="0065522D" w:rsidP="005A0D50">
            <w:pPr>
              <w:ind w:left="-108" w:right="-108"/>
              <w:jc w:val="center"/>
              <w:rPr>
                <w:color w:val="auto"/>
              </w:rPr>
            </w:pPr>
            <w:r w:rsidRPr="00AD2787">
              <w:rPr>
                <w:color w:val="auto"/>
              </w:rPr>
              <w:t>0.776</w:t>
            </w:r>
          </w:p>
        </w:tc>
        <w:tc>
          <w:tcPr>
            <w:tcW w:w="236" w:type="dxa"/>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ind w:right="-392"/>
              <w:rPr>
                <w:color w:val="auto"/>
              </w:rPr>
            </w:pPr>
            <w:r w:rsidRPr="00AD2787">
              <w:rPr>
                <w:color w:val="auto"/>
              </w:rPr>
              <w:t>Number of metastatic sites</w:t>
            </w:r>
          </w:p>
        </w:tc>
        <w:tc>
          <w:tcPr>
            <w:tcW w:w="284" w:type="dxa"/>
            <w:vMerge w:val="restart"/>
          </w:tcPr>
          <w:p w:rsidR="0065522D" w:rsidRPr="00AD2787" w:rsidRDefault="0065522D" w:rsidP="005A0D50">
            <w:pPr>
              <w:rPr>
                <w:color w:val="auto"/>
              </w:rPr>
            </w:pPr>
          </w:p>
        </w:tc>
        <w:tc>
          <w:tcPr>
            <w:tcW w:w="1984" w:type="dxa"/>
          </w:tcPr>
          <w:p w:rsidR="0065522D" w:rsidRPr="00AD2787" w:rsidRDefault="0065522D" w:rsidP="005A0D50">
            <w:pPr>
              <w:jc w:val="center"/>
              <w:rPr>
                <w:color w:val="auto"/>
              </w:rPr>
            </w:pPr>
            <w:r w:rsidRPr="00AD2787">
              <w:rPr>
                <w:color w:val="auto"/>
              </w:rPr>
              <w:t>1.29 (0.94−1.76)</w:t>
            </w:r>
          </w:p>
        </w:tc>
        <w:tc>
          <w:tcPr>
            <w:tcW w:w="1134" w:type="dxa"/>
          </w:tcPr>
          <w:p w:rsidR="0065522D" w:rsidRPr="00AD2787" w:rsidRDefault="0065522D" w:rsidP="005A0D50">
            <w:pPr>
              <w:jc w:val="center"/>
              <w:rPr>
                <w:color w:val="auto"/>
              </w:rPr>
            </w:pPr>
            <w:r w:rsidRPr="00AD2787">
              <w:rPr>
                <w:color w:val="auto"/>
              </w:rPr>
              <w:t>0.120</w:t>
            </w:r>
          </w:p>
        </w:tc>
        <w:tc>
          <w:tcPr>
            <w:tcW w:w="236" w:type="dxa"/>
            <w:vMerge w:val="restart"/>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Lung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0.91 (0.64−1.57)</w:t>
            </w:r>
          </w:p>
        </w:tc>
        <w:tc>
          <w:tcPr>
            <w:tcW w:w="1134" w:type="dxa"/>
          </w:tcPr>
          <w:p w:rsidR="0065522D" w:rsidRPr="00AD2787" w:rsidRDefault="0065522D" w:rsidP="005A0D50">
            <w:pPr>
              <w:jc w:val="center"/>
              <w:rPr>
                <w:color w:val="auto"/>
              </w:rPr>
            </w:pPr>
            <w:r w:rsidRPr="00AD2787">
              <w:rPr>
                <w:color w:val="auto"/>
              </w:rPr>
              <w:t>0.458</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Liver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1.82 (0.73−2.86)</w:t>
            </w:r>
          </w:p>
        </w:tc>
        <w:tc>
          <w:tcPr>
            <w:tcW w:w="1134" w:type="dxa"/>
          </w:tcPr>
          <w:p w:rsidR="0065522D" w:rsidRPr="00AD2787" w:rsidRDefault="0065522D" w:rsidP="005A0D50">
            <w:pPr>
              <w:jc w:val="center"/>
              <w:rPr>
                <w:color w:val="auto"/>
              </w:rPr>
            </w:pPr>
            <w:r w:rsidRPr="00AD2787">
              <w:rPr>
                <w:color w:val="auto"/>
              </w:rPr>
              <w:t>0.632</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Bone metastases</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1.91 (1.08−3.41)</w:t>
            </w:r>
          </w:p>
        </w:tc>
        <w:tc>
          <w:tcPr>
            <w:tcW w:w="1134" w:type="dxa"/>
          </w:tcPr>
          <w:p w:rsidR="0065522D" w:rsidRPr="00AD2787" w:rsidRDefault="0065522D" w:rsidP="005A0D50">
            <w:pPr>
              <w:jc w:val="center"/>
              <w:rPr>
                <w:color w:val="auto"/>
              </w:rPr>
            </w:pPr>
            <w:r w:rsidRPr="00AD2787">
              <w:rPr>
                <w:color w:val="auto"/>
              </w:rPr>
              <w:t>0.351</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IMDC prognostic group</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1.51 (0.87−2.64)</w:t>
            </w:r>
          </w:p>
        </w:tc>
        <w:tc>
          <w:tcPr>
            <w:tcW w:w="1134" w:type="dxa"/>
          </w:tcPr>
          <w:p w:rsidR="0065522D" w:rsidRPr="00AD2787" w:rsidRDefault="0065522D" w:rsidP="005A0D50">
            <w:pPr>
              <w:jc w:val="center"/>
              <w:rPr>
                <w:color w:val="auto"/>
              </w:rPr>
            </w:pPr>
            <w:r w:rsidRPr="00AD2787">
              <w:rPr>
                <w:color w:val="auto"/>
              </w:rPr>
              <w:t>0.144</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p>
        </w:tc>
        <w:tc>
          <w:tcPr>
            <w:tcW w:w="1156" w:type="dxa"/>
          </w:tcPr>
          <w:p w:rsidR="0065522D" w:rsidRPr="00AD2787" w:rsidRDefault="0065522D" w:rsidP="005A0D50">
            <w:pPr>
              <w:jc w:val="center"/>
              <w:rPr>
                <w:color w:val="auto"/>
              </w:rPr>
            </w:pPr>
          </w:p>
        </w:tc>
      </w:tr>
      <w:tr w:rsidR="00AD2787" w:rsidRPr="00AD2787" w:rsidTr="005A0D50">
        <w:trPr>
          <w:trHeight w:hRule="exact" w:val="397"/>
        </w:trPr>
        <w:tc>
          <w:tcPr>
            <w:tcW w:w="3227" w:type="dxa"/>
          </w:tcPr>
          <w:p w:rsidR="0065522D" w:rsidRPr="00AD2787" w:rsidRDefault="0065522D" w:rsidP="005A0D50">
            <w:pPr>
              <w:rPr>
                <w:color w:val="auto"/>
              </w:rPr>
            </w:pPr>
            <w:r w:rsidRPr="00AD2787">
              <w:rPr>
                <w:color w:val="auto"/>
              </w:rPr>
              <w:t>BMI (≥25 vs &lt;25)</w:t>
            </w: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color w:val="auto"/>
              </w:rPr>
            </w:pPr>
            <w:r w:rsidRPr="00AD2787">
              <w:rPr>
                <w:color w:val="auto"/>
              </w:rPr>
              <w:t>0.35 (0.18−0.70)</w:t>
            </w:r>
          </w:p>
        </w:tc>
        <w:tc>
          <w:tcPr>
            <w:tcW w:w="1134" w:type="dxa"/>
          </w:tcPr>
          <w:p w:rsidR="0065522D" w:rsidRPr="00AD2787" w:rsidRDefault="0065522D" w:rsidP="005A0D50">
            <w:pPr>
              <w:jc w:val="center"/>
              <w:rPr>
                <w:color w:val="auto"/>
              </w:rPr>
            </w:pPr>
            <w:r w:rsidRPr="00AD2787">
              <w:rPr>
                <w:b/>
                <w:color w:val="auto"/>
              </w:rPr>
              <w:t>0.003</w:t>
            </w:r>
          </w:p>
        </w:tc>
        <w:tc>
          <w:tcPr>
            <w:tcW w:w="236" w:type="dxa"/>
            <w:vMerge/>
          </w:tcPr>
          <w:p w:rsidR="0065522D" w:rsidRPr="00AD2787" w:rsidRDefault="0065522D" w:rsidP="005A0D50">
            <w:pPr>
              <w:jc w:val="center"/>
              <w:rPr>
                <w:color w:val="auto"/>
              </w:rPr>
            </w:pPr>
          </w:p>
        </w:tc>
        <w:tc>
          <w:tcPr>
            <w:tcW w:w="2087" w:type="dxa"/>
          </w:tcPr>
          <w:p w:rsidR="0065522D" w:rsidRPr="00AD2787" w:rsidRDefault="0065522D" w:rsidP="005A0D50">
            <w:pPr>
              <w:jc w:val="center"/>
              <w:rPr>
                <w:color w:val="auto"/>
              </w:rPr>
            </w:pPr>
            <w:r w:rsidRPr="00AD2787">
              <w:rPr>
                <w:color w:val="auto"/>
              </w:rPr>
              <w:t>0.32 (0.16−0.65)</w:t>
            </w:r>
          </w:p>
        </w:tc>
        <w:tc>
          <w:tcPr>
            <w:tcW w:w="1156" w:type="dxa"/>
          </w:tcPr>
          <w:p w:rsidR="0065522D" w:rsidRPr="00AD2787" w:rsidRDefault="0065522D" w:rsidP="005A0D50">
            <w:pPr>
              <w:jc w:val="center"/>
              <w:rPr>
                <w:color w:val="auto"/>
              </w:rPr>
            </w:pPr>
            <w:r w:rsidRPr="00AD2787">
              <w:rPr>
                <w:b/>
                <w:color w:val="auto"/>
              </w:rPr>
              <w:t>0.002</w:t>
            </w:r>
          </w:p>
        </w:tc>
      </w:tr>
      <w:tr w:rsidR="00AD2787" w:rsidRPr="00AD2787" w:rsidTr="005A0D50">
        <w:trPr>
          <w:trHeight w:hRule="exact" w:val="170"/>
        </w:trPr>
        <w:tc>
          <w:tcPr>
            <w:tcW w:w="3227" w:type="dxa"/>
          </w:tcPr>
          <w:p w:rsidR="0065522D" w:rsidRPr="00AD2787" w:rsidRDefault="0065522D" w:rsidP="005A0D50">
            <w:pPr>
              <w:rPr>
                <w:b/>
                <w:color w:val="auto"/>
              </w:rPr>
            </w:pPr>
          </w:p>
        </w:tc>
        <w:tc>
          <w:tcPr>
            <w:tcW w:w="284" w:type="dxa"/>
            <w:vMerge/>
          </w:tcPr>
          <w:p w:rsidR="0065522D" w:rsidRPr="00AD2787" w:rsidRDefault="0065522D" w:rsidP="005A0D50">
            <w:pPr>
              <w:rPr>
                <w:b/>
                <w:color w:val="auto"/>
              </w:rPr>
            </w:pPr>
          </w:p>
        </w:tc>
        <w:tc>
          <w:tcPr>
            <w:tcW w:w="1984" w:type="dxa"/>
          </w:tcPr>
          <w:p w:rsidR="0065522D" w:rsidRPr="00AD2787" w:rsidRDefault="0065522D" w:rsidP="005A0D50">
            <w:pPr>
              <w:jc w:val="center"/>
              <w:rPr>
                <w:b/>
                <w:color w:val="auto"/>
              </w:rPr>
            </w:pPr>
          </w:p>
        </w:tc>
        <w:tc>
          <w:tcPr>
            <w:tcW w:w="1134" w:type="dxa"/>
          </w:tcPr>
          <w:p w:rsidR="0065522D" w:rsidRPr="00AD2787" w:rsidRDefault="0065522D" w:rsidP="005A0D50">
            <w:pPr>
              <w:jc w:val="center"/>
              <w:rPr>
                <w:b/>
                <w:color w:val="auto"/>
              </w:rPr>
            </w:pPr>
          </w:p>
        </w:tc>
        <w:tc>
          <w:tcPr>
            <w:tcW w:w="236" w:type="dxa"/>
            <w:vMerge/>
          </w:tcPr>
          <w:p w:rsidR="0065522D" w:rsidRPr="00AD2787" w:rsidRDefault="0065522D" w:rsidP="005A0D50">
            <w:pPr>
              <w:jc w:val="center"/>
              <w:rPr>
                <w:b/>
                <w:color w:val="auto"/>
              </w:rPr>
            </w:pPr>
          </w:p>
        </w:tc>
        <w:tc>
          <w:tcPr>
            <w:tcW w:w="2087" w:type="dxa"/>
          </w:tcPr>
          <w:p w:rsidR="0065522D" w:rsidRPr="00AD2787" w:rsidRDefault="0065522D" w:rsidP="005A0D50">
            <w:pPr>
              <w:jc w:val="center"/>
              <w:rPr>
                <w:b/>
                <w:color w:val="auto"/>
              </w:rPr>
            </w:pPr>
          </w:p>
        </w:tc>
        <w:tc>
          <w:tcPr>
            <w:tcW w:w="1156" w:type="dxa"/>
          </w:tcPr>
          <w:p w:rsidR="0065522D" w:rsidRPr="00AD2787" w:rsidRDefault="0065522D" w:rsidP="005A0D50">
            <w:pPr>
              <w:jc w:val="center"/>
              <w:rPr>
                <w:b/>
                <w:color w:val="auto"/>
              </w:rPr>
            </w:pPr>
          </w:p>
        </w:tc>
      </w:tr>
      <w:tr w:rsidR="00AD2787" w:rsidRPr="00AD2787" w:rsidTr="005A0D50">
        <w:trPr>
          <w:trHeight w:val="773"/>
        </w:trPr>
        <w:tc>
          <w:tcPr>
            <w:tcW w:w="10108" w:type="dxa"/>
            <w:gridSpan w:val="7"/>
          </w:tcPr>
          <w:p w:rsidR="0065522D" w:rsidRPr="00AD2787" w:rsidRDefault="0065522D" w:rsidP="005A0D50">
            <w:pPr>
              <w:rPr>
                <w:color w:val="auto"/>
              </w:rPr>
            </w:pPr>
            <w:r w:rsidRPr="00AD2787">
              <w:rPr>
                <w:color w:val="auto"/>
                <w:sz w:val="18"/>
              </w:rPr>
              <w:t>BMI = Body Mass Index; CI = confidence interval; HR = hazard ratio; OS = overall survival; PFS = progression-free survival.</w:t>
            </w:r>
          </w:p>
        </w:tc>
      </w:tr>
    </w:tbl>
    <w:p w:rsidR="0065522D" w:rsidRPr="00AD2787" w:rsidRDefault="0065522D" w:rsidP="004F1A32">
      <w:pPr>
        <w:pStyle w:val="MDPI31text"/>
        <w:rPr>
          <w:color w:val="auto"/>
          <w:sz w:val="18"/>
        </w:rPr>
      </w:pPr>
    </w:p>
    <w:p w:rsidR="0065522D" w:rsidRPr="00AD2787" w:rsidRDefault="0065522D" w:rsidP="004F1A32">
      <w:pPr>
        <w:pStyle w:val="MDPI31text"/>
        <w:rPr>
          <w:color w:val="auto"/>
          <w:sz w:val="18"/>
        </w:rPr>
      </w:pPr>
    </w:p>
    <w:p w:rsidR="0065522D" w:rsidRPr="00AD2787" w:rsidRDefault="0065522D" w:rsidP="004F1A32">
      <w:pPr>
        <w:pStyle w:val="MDPI31text"/>
        <w:rPr>
          <w:color w:val="auto"/>
          <w:sz w:val="18"/>
        </w:rPr>
      </w:pPr>
      <w:r w:rsidRPr="00AD2787">
        <w:rPr>
          <w:noProof/>
          <w:snapToGrid/>
          <w:color w:val="auto"/>
          <w:sz w:val="18"/>
          <w:lang w:val="en-GB" w:eastAsia="en-GB" w:bidi="ar-SA"/>
        </w:rPr>
        <w:drawing>
          <wp:inline distT="0" distB="0" distL="0" distR="0" wp14:anchorId="02663CA1" wp14:editId="2730B133">
            <wp:extent cx="4038600" cy="3329211"/>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tif"/>
                    <pic:cNvPicPr/>
                  </pic:nvPicPr>
                  <pic:blipFill>
                    <a:blip r:embed="rId25">
                      <a:extLst>
                        <a:ext uri="{28A0092B-C50C-407E-A947-70E740481C1C}">
                          <a14:useLocalDpi xmlns:a14="http://schemas.microsoft.com/office/drawing/2010/main" val="0"/>
                        </a:ext>
                      </a:extLst>
                    </a:blip>
                    <a:stretch>
                      <a:fillRect/>
                    </a:stretch>
                  </pic:blipFill>
                  <pic:spPr>
                    <a:xfrm>
                      <a:off x="0" y="0"/>
                      <a:ext cx="4043604" cy="3333336"/>
                    </a:xfrm>
                    <a:prstGeom prst="rect">
                      <a:avLst/>
                    </a:prstGeom>
                  </pic:spPr>
                </pic:pic>
              </a:graphicData>
            </a:graphic>
          </wp:inline>
        </w:drawing>
      </w:r>
    </w:p>
    <w:p w:rsidR="0065522D" w:rsidRPr="00AD2787" w:rsidRDefault="009E6B61" w:rsidP="009E6B61">
      <w:pPr>
        <w:pStyle w:val="MDPI51figurecaption"/>
        <w:rPr>
          <w:color w:val="auto"/>
        </w:rPr>
      </w:pPr>
      <w:r w:rsidRPr="00AD2787">
        <w:rPr>
          <w:b/>
          <w:color w:val="auto"/>
        </w:rPr>
        <w:t xml:space="preserve">Figure 3. </w:t>
      </w:r>
      <w:r w:rsidRPr="00AD2787">
        <w:rPr>
          <w:color w:val="auto"/>
        </w:rPr>
        <w:t>Progression-Free Survival of patients receiving cabozantinib as third-line therapy stratified by Body Mass Index.</w:t>
      </w:r>
    </w:p>
    <w:p w:rsidR="0065522D" w:rsidRPr="00AD2787" w:rsidRDefault="0065522D" w:rsidP="004F1A32">
      <w:pPr>
        <w:pStyle w:val="MDPI31text"/>
        <w:rPr>
          <w:color w:val="auto"/>
          <w:sz w:val="18"/>
        </w:rPr>
      </w:pPr>
      <w:r w:rsidRPr="00AD2787">
        <w:rPr>
          <w:noProof/>
          <w:snapToGrid/>
          <w:color w:val="auto"/>
          <w:sz w:val="18"/>
          <w:lang w:val="en-GB" w:eastAsia="en-GB" w:bidi="ar-SA"/>
        </w:rPr>
        <w:lastRenderedPageBreak/>
        <w:drawing>
          <wp:inline distT="0" distB="0" distL="0" distR="0" wp14:anchorId="120ABAAA" wp14:editId="40A7BAAA">
            <wp:extent cx="4104279" cy="30670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tif"/>
                    <pic:cNvPicPr/>
                  </pic:nvPicPr>
                  <pic:blipFill rotWithShape="1">
                    <a:blip r:embed="rId26">
                      <a:extLst>
                        <a:ext uri="{28A0092B-C50C-407E-A947-70E740481C1C}">
                          <a14:useLocalDpi xmlns:a14="http://schemas.microsoft.com/office/drawing/2010/main" val="0"/>
                        </a:ext>
                      </a:extLst>
                    </a:blip>
                    <a:srcRect b="1909"/>
                    <a:stretch/>
                  </pic:blipFill>
                  <pic:spPr bwMode="auto">
                    <a:xfrm>
                      <a:off x="0" y="0"/>
                      <a:ext cx="4110967" cy="3072048"/>
                    </a:xfrm>
                    <a:prstGeom prst="rect">
                      <a:avLst/>
                    </a:prstGeom>
                    <a:ln>
                      <a:noFill/>
                    </a:ln>
                    <a:extLst>
                      <a:ext uri="{53640926-AAD7-44D8-BBD7-CCE9431645EC}">
                        <a14:shadowObscured xmlns:a14="http://schemas.microsoft.com/office/drawing/2010/main"/>
                      </a:ext>
                    </a:extLst>
                  </pic:spPr>
                </pic:pic>
              </a:graphicData>
            </a:graphic>
          </wp:inline>
        </w:drawing>
      </w:r>
    </w:p>
    <w:p w:rsidR="0065522D" w:rsidRPr="00AD2787" w:rsidRDefault="009E6B61" w:rsidP="009E6B61">
      <w:pPr>
        <w:pStyle w:val="MDPI51figurecaption"/>
        <w:rPr>
          <w:color w:val="auto"/>
        </w:rPr>
      </w:pPr>
      <w:r w:rsidRPr="00AD2787">
        <w:rPr>
          <w:b/>
          <w:color w:val="auto"/>
        </w:rPr>
        <w:t xml:space="preserve">Figure 4. </w:t>
      </w:r>
      <w:r w:rsidRPr="00AD2787">
        <w:rPr>
          <w:color w:val="auto"/>
        </w:rPr>
        <w:t>Overall Survival of patients receiving cabozantinib as third-line therapy stratified by Body Mass Index.</w:t>
      </w:r>
    </w:p>
    <w:p w:rsidR="004F1A32" w:rsidRPr="00AD2787" w:rsidRDefault="004F1A32" w:rsidP="004F1A32">
      <w:pPr>
        <w:pStyle w:val="MDPI31text"/>
        <w:rPr>
          <w:color w:val="auto"/>
        </w:rPr>
      </w:pPr>
      <w:r w:rsidRPr="00AD2787">
        <w:rPr>
          <w:rFonts w:hint="eastAsia"/>
          <w:color w:val="auto"/>
        </w:rPr>
        <w:t>For both PFS (HR = 0.52; 95% CI, 0.32–0.95, p = 0.020) and OS (HR = 0.32; 95% CI, 0.16–0.695, p = 0.002) BMI was a significant predictor at multivariate analysis. Number of metastatic sites (≥ 2 vs &lt;2) was significantly associated with PFS (HR = 1.35; 95% CI, 1.04–1.74, p = 0.021) at multivariate analysis, while age (≥ 70y vs &lt;70y) was significantly correlated with OS at univariate (HR = 0.34; 95% CI, 0.12–0.96, p = 0.042) but not at multivariate analysis (HR = 0.70; 95% CI, 0.51–1.05, p = 0.074).</w:t>
      </w:r>
    </w:p>
    <w:p w:rsidR="007C1CDA" w:rsidRPr="00AD2787" w:rsidRDefault="007C1CDA" w:rsidP="007C1CDA">
      <w:pPr>
        <w:pStyle w:val="MDPI21heading1"/>
        <w:rPr>
          <w:color w:val="auto"/>
        </w:rPr>
      </w:pPr>
      <w:r w:rsidRPr="00AD2787">
        <w:rPr>
          <w:color w:val="auto"/>
        </w:rPr>
        <w:t>4. Discussion</w:t>
      </w:r>
    </w:p>
    <w:p w:rsidR="004F1A32" w:rsidRPr="00AD2787" w:rsidRDefault="004F1A32" w:rsidP="004F1A32">
      <w:pPr>
        <w:pStyle w:val="MDPI31text"/>
        <w:rPr>
          <w:color w:val="auto"/>
        </w:rPr>
      </w:pPr>
      <w:r w:rsidRPr="00AD2787">
        <w:rPr>
          <w:color w:val="auto"/>
        </w:rPr>
        <w:t xml:space="preserve">The search for prognostic or predictive factors in patients with advanced RCC has become even more essential due to the evidence that immune combos could perform differently based on </w:t>
      </w:r>
      <w:r w:rsidR="005A2CC2" w:rsidRPr="00AD2787">
        <w:rPr>
          <w:color w:val="auto"/>
        </w:rPr>
        <w:t>Memorial Sloan-Kettering Cancer Center (MSKCC</w:t>
      </w:r>
      <w:proofErr w:type="gramStart"/>
      <w:r w:rsidR="005A2CC2" w:rsidRPr="00AD2787">
        <w:rPr>
          <w:color w:val="auto"/>
        </w:rPr>
        <w:t>)</w:t>
      </w:r>
      <w:r w:rsidRPr="00AD2787">
        <w:rPr>
          <w:color w:val="auto"/>
        </w:rPr>
        <w:t>risk</w:t>
      </w:r>
      <w:proofErr w:type="gramEnd"/>
      <w:r w:rsidRPr="00AD2787">
        <w:rPr>
          <w:color w:val="auto"/>
        </w:rPr>
        <w:t xml:space="preserve"> stratification [12−14]. Interestingly, while treatment with nivolumab plus ipilimumab [12] or avelumab [13] do consider patient weight for a drug dose calculation, cabozantinib and other TKIs do not take care about this parameter. In this view, we focused on the eventual role of BMI in RCC patients treated with cabozantinib. Our results clearly show that BMI strongly correlates with the outcome of patients treated with second or third-line cabozantinib. Interestingly, no differences were reported in terms of histopathological and clinical features (i.e. number of type of metastatic sites and IMDC criteria) as well as tumor response. Our data are in line with those published by Martini et al. [15], who reported no differences in terms of adverse events </w:t>
      </w:r>
      <w:proofErr w:type="gramStart"/>
      <w:r w:rsidRPr="00AD2787">
        <w:rPr>
          <w:color w:val="auto"/>
        </w:rPr>
        <w:t>between  obese</w:t>
      </w:r>
      <w:proofErr w:type="gramEnd"/>
      <w:r w:rsidRPr="00AD2787">
        <w:rPr>
          <w:color w:val="auto"/>
        </w:rPr>
        <w:t xml:space="preserve"> and non-obese patients receiving cabozantinib for advanced RCC.</w:t>
      </w:r>
    </w:p>
    <w:p w:rsidR="004F1A32" w:rsidRPr="00AD2787" w:rsidRDefault="004F1A32" w:rsidP="004F1A32">
      <w:pPr>
        <w:pStyle w:val="MDPI31text"/>
        <w:rPr>
          <w:color w:val="auto"/>
        </w:rPr>
      </w:pPr>
      <w:r w:rsidRPr="00AD2787">
        <w:rPr>
          <w:color w:val="auto"/>
        </w:rPr>
        <w:t>Together with the published results on the correlation between obesity and response to immunotherapy [16], our results support a prognostic but not predictive role for BMI in RCC patients, even if the results in patients with BMI &lt; 25 receiving cabozantinib as third-line (median PFS = 3.7 months) seem to merit careful consideration. Nevertheless, our study presents several limitations</w:t>
      </w:r>
      <w:r w:rsidR="00C548F9" w:rsidRPr="00AD2787">
        <w:rPr>
          <w:color w:val="auto"/>
        </w:rPr>
        <w:t xml:space="preserve"> (i.e. the lack of data on causes of death and </w:t>
      </w:r>
      <w:proofErr w:type="spellStart"/>
      <w:r w:rsidR="00C548F9" w:rsidRPr="00AD2787">
        <w:rPr>
          <w:color w:val="auto"/>
        </w:rPr>
        <w:t>comorbilities</w:t>
      </w:r>
      <w:proofErr w:type="spellEnd"/>
      <w:r w:rsidR="00C548F9" w:rsidRPr="00AD2787">
        <w:rPr>
          <w:color w:val="auto"/>
        </w:rPr>
        <w:t>)</w:t>
      </w:r>
      <w:r w:rsidRPr="00AD2787">
        <w:rPr>
          <w:color w:val="auto"/>
        </w:rPr>
        <w:t xml:space="preserve">, mainly due to the biased characteristic of retrospective studies and should be </w:t>
      </w:r>
      <w:proofErr w:type="spellStart"/>
      <w:r w:rsidRPr="00AD2787">
        <w:rPr>
          <w:color w:val="auto"/>
        </w:rPr>
        <w:t>confirmed</w:t>
      </w:r>
      <w:r w:rsidR="005A2CC2" w:rsidRPr="00AD2787">
        <w:rPr>
          <w:color w:val="auto"/>
        </w:rPr>
        <w:t>by</w:t>
      </w:r>
      <w:proofErr w:type="spellEnd"/>
      <w:r w:rsidRPr="00AD2787">
        <w:rPr>
          <w:color w:val="auto"/>
        </w:rPr>
        <w:t xml:space="preserve"> prospective clinical studies.  </w:t>
      </w:r>
    </w:p>
    <w:p w:rsidR="007C1CDA" w:rsidRPr="00AD2787" w:rsidRDefault="004F1A32" w:rsidP="004F1A32">
      <w:pPr>
        <w:pStyle w:val="MDPI31text"/>
        <w:rPr>
          <w:color w:val="auto"/>
        </w:rPr>
      </w:pPr>
      <w:r w:rsidRPr="00AD2787">
        <w:rPr>
          <w:color w:val="auto"/>
        </w:rPr>
        <w:t xml:space="preserve">As reported above, the “obesity paradox” in RCC patients receiving immunotherapy has been partially clarified by the evidence of different signatures and </w:t>
      </w:r>
      <w:proofErr w:type="spellStart"/>
      <w:r w:rsidRPr="00AD2787">
        <w:rPr>
          <w:color w:val="auto"/>
        </w:rPr>
        <w:t>tumour</w:t>
      </w:r>
      <w:proofErr w:type="spellEnd"/>
      <w:r w:rsidRPr="00AD2787">
        <w:rPr>
          <w:color w:val="auto"/>
        </w:rPr>
        <w:t xml:space="preserve"> infiltrating immune cells between obese and non-obese subjects [8]. A potential explanation for the role of </w:t>
      </w:r>
      <w:r w:rsidR="005A2CC2" w:rsidRPr="00AD2787">
        <w:rPr>
          <w:color w:val="auto"/>
        </w:rPr>
        <w:t xml:space="preserve">being </w:t>
      </w:r>
      <w:r w:rsidRPr="00AD2787">
        <w:rPr>
          <w:color w:val="auto"/>
        </w:rPr>
        <w:t xml:space="preserve">overweight and obesity in this setting of antiangiogenic therapies may be </w:t>
      </w:r>
      <w:r w:rsidRPr="00AD2787">
        <w:rPr>
          <w:color w:val="auto"/>
        </w:rPr>
        <w:lastRenderedPageBreak/>
        <w:t xml:space="preserve">provided by the emerging data on the role of adipocytes in renal carcinogenesis. Indeed, adipose microenvironment can regulate the proliferation and migration of </w:t>
      </w:r>
      <w:proofErr w:type="spellStart"/>
      <w:r w:rsidRPr="00AD2787">
        <w:rPr>
          <w:color w:val="auto"/>
        </w:rPr>
        <w:t>tumoural</w:t>
      </w:r>
      <w:proofErr w:type="spellEnd"/>
      <w:r w:rsidRPr="00AD2787">
        <w:rPr>
          <w:color w:val="auto"/>
        </w:rPr>
        <w:t xml:space="preserve"> and non </w:t>
      </w:r>
      <w:proofErr w:type="spellStart"/>
      <w:r w:rsidRPr="00AD2787">
        <w:rPr>
          <w:color w:val="auto"/>
        </w:rPr>
        <w:t>tumoural</w:t>
      </w:r>
      <w:proofErr w:type="spellEnd"/>
      <w:r w:rsidRPr="00AD2787">
        <w:rPr>
          <w:color w:val="auto"/>
        </w:rPr>
        <w:t xml:space="preserve"> human renal epithelial cells [17]. Increased levels of leptin could enhance the invasive potential of renal epithelial cell lines and could modulate the progression of the disease [18</w:t>
      </w:r>
      <w:proofErr w:type="gramStart"/>
      <w:r w:rsidRPr="00AD2787">
        <w:rPr>
          <w:color w:val="auto"/>
        </w:rPr>
        <w:t>,19</w:t>
      </w:r>
      <w:proofErr w:type="gramEnd"/>
      <w:r w:rsidRPr="00AD2787">
        <w:rPr>
          <w:color w:val="auto"/>
        </w:rPr>
        <w:t>]. Furthermore, higher Hypoxia Induced Factor (HIF)-1 levels (which stimulates angioge</w:t>
      </w:r>
      <w:bookmarkStart w:id="0" w:name="_GoBack"/>
      <w:bookmarkEnd w:id="0"/>
      <w:r w:rsidRPr="00AD2787">
        <w:rPr>
          <w:color w:val="auto"/>
        </w:rPr>
        <w:t xml:space="preserve">nesis by deregulating the production of </w:t>
      </w:r>
      <w:proofErr w:type="spellStart"/>
      <w:r w:rsidRPr="00AD2787">
        <w:rPr>
          <w:color w:val="auto"/>
        </w:rPr>
        <w:t>Tumour</w:t>
      </w:r>
      <w:proofErr w:type="spellEnd"/>
      <w:r w:rsidRPr="00AD2787">
        <w:rPr>
          <w:color w:val="auto"/>
        </w:rPr>
        <w:t xml:space="preserve"> Necrosis Factor-α, VEGF, and angiopoietin) have been reported in the adipose tissue of obese patients [20]. Moreover, adiponectin levels are higher in non-obese subjects [21], and exposure of RCC cell lines to adiponectin inhibits the secretion of VEGF [22].</w:t>
      </w:r>
    </w:p>
    <w:p w:rsidR="007C1CDA" w:rsidRPr="00AD2787" w:rsidRDefault="007C1CDA" w:rsidP="00497A05">
      <w:pPr>
        <w:pStyle w:val="MDPI21heading1"/>
        <w:rPr>
          <w:color w:val="auto"/>
        </w:rPr>
      </w:pPr>
      <w:r w:rsidRPr="00AD2787">
        <w:rPr>
          <w:color w:val="auto"/>
        </w:rPr>
        <w:t>5. Conclusions</w:t>
      </w:r>
    </w:p>
    <w:p w:rsidR="004F1A32" w:rsidRPr="00AD2787" w:rsidRDefault="004F1A32" w:rsidP="009E6B61">
      <w:pPr>
        <w:pStyle w:val="MDPI21heading1"/>
        <w:rPr>
          <w:b w:val="0"/>
          <w:color w:val="auto"/>
        </w:rPr>
      </w:pPr>
      <w:r w:rsidRPr="00AD2787">
        <w:rPr>
          <w:rFonts w:hint="eastAsia"/>
          <w:b w:val="0"/>
          <w:color w:val="auto"/>
        </w:rPr>
        <w:t>We showed that a BMI ≥ 25 correlates with longer survival in patients receiving cabozantinib. BMI can be easily carried out and monitored during patients’ management, supporting its role as a tool for the decision-making process of advanced RCC. Further pr</w:t>
      </w:r>
      <w:r w:rsidRPr="00AD2787">
        <w:rPr>
          <w:b w:val="0"/>
          <w:color w:val="auto"/>
        </w:rPr>
        <w:t xml:space="preserve">ospective studies should be provided in order to validate BMI among RCC prognostic criteria. </w:t>
      </w:r>
    </w:p>
    <w:p w:rsidR="007C1CDA" w:rsidRPr="00AD2787" w:rsidRDefault="009E6B61" w:rsidP="009E6B61">
      <w:pPr>
        <w:pStyle w:val="MDPI62BackMatter"/>
        <w:spacing w:before="240"/>
        <w:jc w:val="left"/>
        <w:rPr>
          <w:color w:val="auto"/>
        </w:rPr>
      </w:pPr>
      <w:r w:rsidRPr="00AD2787">
        <w:rPr>
          <w:b/>
          <w:color w:val="auto"/>
        </w:rPr>
        <w:t>Author Contribution</w:t>
      </w:r>
      <w:r w:rsidR="007C1CDA" w:rsidRPr="00AD2787">
        <w:rPr>
          <w:b/>
          <w:color w:val="auto"/>
        </w:rPr>
        <w:t xml:space="preserve">s: </w:t>
      </w:r>
      <w:r w:rsidR="007C1CDA" w:rsidRPr="00AD2787">
        <w:rPr>
          <w:color w:val="auto"/>
        </w:rPr>
        <w:t xml:space="preserve">Conceptualization, </w:t>
      </w:r>
      <w:r w:rsidR="006A1016" w:rsidRPr="00AD2787">
        <w:rPr>
          <w:color w:val="auto"/>
        </w:rPr>
        <w:t>M.S</w:t>
      </w:r>
      <w:r w:rsidR="007C1CDA" w:rsidRPr="00AD2787">
        <w:rPr>
          <w:color w:val="auto"/>
        </w:rPr>
        <w:t xml:space="preserve">.; investigation, </w:t>
      </w:r>
      <w:r w:rsidR="006A1016" w:rsidRPr="00AD2787">
        <w:rPr>
          <w:color w:val="auto"/>
        </w:rPr>
        <w:t>S.B., G.P., M.M., U.D.G., U.B., G.A., L.I., A.M., M.R., G.C., E.G., M.R.M., S.J.C., N.V</w:t>
      </w:r>
      <w:r w:rsidR="007C1CDA" w:rsidRPr="00AD2787">
        <w:rPr>
          <w:color w:val="auto"/>
        </w:rPr>
        <w:t xml:space="preserve">.; writing—original draft preparation, </w:t>
      </w:r>
      <w:r w:rsidR="006A1016" w:rsidRPr="00AD2787">
        <w:rPr>
          <w:color w:val="auto"/>
        </w:rPr>
        <w:t>M.S., F.M</w:t>
      </w:r>
      <w:r w:rsidR="007C1CDA" w:rsidRPr="00AD2787">
        <w:rPr>
          <w:color w:val="auto"/>
        </w:rPr>
        <w:t xml:space="preserve">.; writing—review and editing, </w:t>
      </w:r>
      <w:r w:rsidR="006A1016" w:rsidRPr="00AD2787">
        <w:rPr>
          <w:color w:val="auto"/>
        </w:rPr>
        <w:t>M.S., A.C.</w:t>
      </w:r>
      <w:r w:rsidR="007C1CDA" w:rsidRPr="00AD2787">
        <w:rPr>
          <w:color w:val="auto"/>
        </w:rPr>
        <w:t xml:space="preserve">.; supervision, </w:t>
      </w:r>
      <w:r w:rsidR="006A1016" w:rsidRPr="00AD2787">
        <w:rPr>
          <w:color w:val="auto"/>
        </w:rPr>
        <w:t>G.S., A.C</w:t>
      </w:r>
      <w:r w:rsidR="007C1CDA" w:rsidRPr="00AD2787">
        <w:rPr>
          <w:color w:val="auto"/>
        </w:rPr>
        <w:t xml:space="preserve">.; project administration, </w:t>
      </w:r>
      <w:r w:rsidR="006A1016" w:rsidRPr="00AD2787">
        <w:rPr>
          <w:color w:val="auto"/>
        </w:rPr>
        <w:t>R.M., N.B</w:t>
      </w:r>
      <w:r w:rsidR="007C1CDA" w:rsidRPr="00AD2787">
        <w:rPr>
          <w:color w:val="auto"/>
        </w:rPr>
        <w:t>. All authors have read and agreed to the published version of the manuscript.</w:t>
      </w:r>
    </w:p>
    <w:p w:rsidR="007C1CDA" w:rsidRPr="00AD2787" w:rsidRDefault="007C1CDA" w:rsidP="009E6B61">
      <w:pPr>
        <w:pStyle w:val="MDPI62BackMatter"/>
        <w:jc w:val="left"/>
        <w:rPr>
          <w:color w:val="auto"/>
        </w:rPr>
      </w:pPr>
      <w:r w:rsidRPr="00AD2787">
        <w:rPr>
          <w:b/>
          <w:color w:val="auto"/>
        </w:rPr>
        <w:t xml:space="preserve">Funding: </w:t>
      </w:r>
      <w:r w:rsidRPr="00AD2787">
        <w:rPr>
          <w:color w:val="auto"/>
        </w:rPr>
        <w:t>This research received no external funding</w:t>
      </w:r>
      <w:r w:rsidR="004F1A32" w:rsidRPr="00AD2787">
        <w:rPr>
          <w:color w:val="auto"/>
        </w:rPr>
        <w:t>.</w:t>
      </w:r>
    </w:p>
    <w:p w:rsidR="009E6B61" w:rsidRPr="00AD2787" w:rsidRDefault="007C1CDA" w:rsidP="009E6B61">
      <w:pPr>
        <w:pStyle w:val="MDPI62BackMatter"/>
        <w:rPr>
          <w:color w:val="auto"/>
        </w:rPr>
      </w:pPr>
      <w:r w:rsidRPr="00AD2787">
        <w:rPr>
          <w:b/>
          <w:color w:val="auto"/>
        </w:rPr>
        <w:t xml:space="preserve">Institutional Review Board Statement: </w:t>
      </w:r>
      <w:r w:rsidR="00E0663F" w:rsidRPr="00AD2787">
        <w:rPr>
          <w:color w:val="auto"/>
        </w:rPr>
        <w:t>The study was conducted according to the guidelines of the Declaration of Helsinki, and approved by the "</w:t>
      </w:r>
      <w:proofErr w:type="spellStart"/>
      <w:r w:rsidR="00E0663F" w:rsidRPr="00AD2787">
        <w:rPr>
          <w:color w:val="auto"/>
        </w:rPr>
        <w:t>ComitatoEticoRegionaledelle</w:t>
      </w:r>
      <w:proofErr w:type="spellEnd"/>
      <w:r w:rsidR="00E0663F" w:rsidRPr="00AD2787">
        <w:rPr>
          <w:color w:val="auto"/>
        </w:rPr>
        <w:t xml:space="preserve"> Marche", the accepting number is 2019-403. </w:t>
      </w:r>
    </w:p>
    <w:p w:rsidR="009E6B61" w:rsidRPr="00AD2787" w:rsidRDefault="009E6B61" w:rsidP="009E6B61">
      <w:pPr>
        <w:pStyle w:val="MDPI62BackMatter"/>
        <w:rPr>
          <w:color w:val="auto"/>
        </w:rPr>
      </w:pPr>
      <w:r w:rsidRPr="00AD2787">
        <w:rPr>
          <w:b/>
          <w:color w:val="auto"/>
        </w:rPr>
        <w:t xml:space="preserve">Informed Consent </w:t>
      </w:r>
      <w:proofErr w:type="spellStart"/>
      <w:r w:rsidRPr="00AD2787">
        <w:rPr>
          <w:b/>
          <w:color w:val="auto"/>
        </w:rPr>
        <w:t>Statement</w:t>
      </w:r>
      <w:proofErr w:type="gramStart"/>
      <w:r w:rsidRPr="00AD2787">
        <w:rPr>
          <w:b/>
          <w:color w:val="auto"/>
        </w:rPr>
        <w:t>:</w:t>
      </w:r>
      <w:r w:rsidRPr="00AD2787">
        <w:rPr>
          <w:color w:val="auto"/>
        </w:rPr>
        <w:t>Informed</w:t>
      </w:r>
      <w:proofErr w:type="spellEnd"/>
      <w:proofErr w:type="gramEnd"/>
      <w:r w:rsidRPr="00AD2787">
        <w:rPr>
          <w:color w:val="auto"/>
        </w:rPr>
        <w:t xml:space="preserve"> consent was obtained from all subjects involved in the study</w:t>
      </w:r>
      <w:r w:rsidR="007024A6" w:rsidRPr="00AD2787">
        <w:rPr>
          <w:color w:val="auto"/>
        </w:rPr>
        <w:t>.</w:t>
      </w:r>
    </w:p>
    <w:p w:rsidR="009E6B61" w:rsidRPr="00AD2787" w:rsidRDefault="009E6B61" w:rsidP="009E6B61">
      <w:pPr>
        <w:pStyle w:val="MDPI62BackMatter"/>
        <w:rPr>
          <w:b/>
          <w:color w:val="auto"/>
        </w:rPr>
      </w:pPr>
    </w:p>
    <w:p w:rsidR="009E6B61" w:rsidRPr="00AD2787" w:rsidRDefault="009E6B61" w:rsidP="009E6B61">
      <w:pPr>
        <w:pStyle w:val="MDPI62BackMatter"/>
        <w:rPr>
          <w:color w:val="auto"/>
        </w:rPr>
      </w:pPr>
      <w:r w:rsidRPr="00AD2787">
        <w:rPr>
          <w:b/>
          <w:color w:val="auto"/>
        </w:rPr>
        <w:t>Data Availability Statement:</w:t>
      </w:r>
      <w:r w:rsidRPr="00AD2787">
        <w:rPr>
          <w:color w:val="auto"/>
        </w:rPr>
        <w:t xml:space="preserve"> please refer to suggested Data Availability Statements in section “MDPI Research Data Policies” at https://www.mdpi.com/ethics.</w:t>
      </w:r>
    </w:p>
    <w:p w:rsidR="007C1CDA" w:rsidRPr="00AD2787" w:rsidRDefault="007C1CDA" w:rsidP="009E6B61">
      <w:pPr>
        <w:pStyle w:val="MDPI62BackMatter"/>
        <w:jc w:val="left"/>
        <w:rPr>
          <w:color w:val="auto"/>
        </w:rPr>
      </w:pPr>
      <w:r w:rsidRPr="00AD2787">
        <w:rPr>
          <w:b/>
          <w:color w:val="auto"/>
        </w:rPr>
        <w:t xml:space="preserve">Conflicts of Interest: </w:t>
      </w:r>
      <w:r w:rsidRPr="00AD2787">
        <w:rPr>
          <w:color w:val="auto"/>
        </w:rPr>
        <w:t>The authors declare no conflict of interest</w:t>
      </w:r>
      <w:r w:rsidR="004F1A32" w:rsidRPr="00AD2787">
        <w:rPr>
          <w:color w:val="auto"/>
        </w:rPr>
        <w:t>.</w:t>
      </w:r>
    </w:p>
    <w:p w:rsidR="009E6B61" w:rsidRPr="00AD2787" w:rsidRDefault="009E6B61" w:rsidP="009E6B61">
      <w:pPr>
        <w:pStyle w:val="MDPI62BackMatter"/>
        <w:jc w:val="left"/>
        <w:rPr>
          <w:color w:val="auto"/>
        </w:rPr>
      </w:pPr>
    </w:p>
    <w:p w:rsidR="007C1CDA" w:rsidRPr="00AD2787" w:rsidRDefault="007C1CDA" w:rsidP="00126651">
      <w:pPr>
        <w:pStyle w:val="MDPI21heading1"/>
        <w:ind w:left="0"/>
        <w:rPr>
          <w:color w:val="auto"/>
        </w:rPr>
      </w:pPr>
      <w:r w:rsidRPr="00AD2787">
        <w:rPr>
          <w:color w:val="auto"/>
        </w:rPr>
        <w:t>References</w:t>
      </w:r>
    </w:p>
    <w:p w:rsidR="004F1A32" w:rsidRPr="00AD2787" w:rsidRDefault="004F1A32" w:rsidP="004F1A32">
      <w:pPr>
        <w:pStyle w:val="MDPI71References"/>
        <w:numPr>
          <w:ilvl w:val="0"/>
          <w:numId w:val="16"/>
        </w:numPr>
        <w:rPr>
          <w:color w:val="auto"/>
        </w:rPr>
      </w:pPr>
      <w:r w:rsidRPr="00AD2787">
        <w:rPr>
          <w:color w:val="auto"/>
        </w:rPr>
        <w:t xml:space="preserve">http://www.cancer.org/research/cancerfactsstatistics/cancerfactsfigures2020; [accessed on 22th October 2020]. </w:t>
      </w:r>
    </w:p>
    <w:p w:rsidR="004F1A32" w:rsidRPr="00AD2787" w:rsidRDefault="004F1A32" w:rsidP="004F1A32">
      <w:pPr>
        <w:pStyle w:val="MDPI71References"/>
        <w:numPr>
          <w:ilvl w:val="0"/>
          <w:numId w:val="16"/>
        </w:numPr>
        <w:rPr>
          <w:color w:val="auto"/>
        </w:rPr>
      </w:pPr>
      <w:r w:rsidRPr="00AD2787">
        <w:rPr>
          <w:bCs/>
          <w:color w:val="auto"/>
          <w:lang w:val="it-IT"/>
        </w:rPr>
        <w:t xml:space="preserve">Santoni, M.; Piva, F.; Porta, C., et al. </w:t>
      </w:r>
      <w:r w:rsidRPr="00AD2787">
        <w:rPr>
          <w:bCs/>
          <w:color w:val="auto"/>
        </w:rPr>
        <w:t xml:space="preserve">Artificial Neural Networks as a way to predict future Kidney Cancer incidence in the United States. </w:t>
      </w:r>
      <w:proofErr w:type="spellStart"/>
      <w:r w:rsidRPr="00AD2787">
        <w:rPr>
          <w:bCs/>
          <w:i/>
          <w:color w:val="auto"/>
        </w:rPr>
        <w:t>ClinGenitourin</w:t>
      </w:r>
      <w:proofErr w:type="spellEnd"/>
      <w:r w:rsidRPr="00AD2787">
        <w:rPr>
          <w:bCs/>
          <w:i/>
          <w:color w:val="auto"/>
        </w:rPr>
        <w:t xml:space="preserve"> Cancer</w:t>
      </w:r>
      <w:r w:rsidRPr="00AD2787">
        <w:rPr>
          <w:b/>
          <w:bCs/>
          <w:color w:val="auto"/>
        </w:rPr>
        <w:t>2020</w:t>
      </w:r>
      <w:r w:rsidRPr="00AD2787">
        <w:rPr>
          <w:bCs/>
          <w:color w:val="auto"/>
          <w:lang w:val="it-IT"/>
        </w:rPr>
        <w:t xml:space="preserve">; in press. </w:t>
      </w:r>
    </w:p>
    <w:p w:rsidR="004F1A32" w:rsidRPr="00AD2787" w:rsidRDefault="004F1A32" w:rsidP="004F1A32">
      <w:pPr>
        <w:pStyle w:val="MDPI71References"/>
        <w:numPr>
          <w:ilvl w:val="0"/>
          <w:numId w:val="16"/>
        </w:numPr>
        <w:rPr>
          <w:color w:val="auto"/>
        </w:rPr>
      </w:pPr>
      <w:r w:rsidRPr="00AD2787">
        <w:rPr>
          <w:color w:val="auto"/>
          <w:lang w:val="it-IT"/>
        </w:rPr>
        <w:t xml:space="preserve">Aurilio, G.; Piva, F.; Santoni, M.; </w:t>
      </w:r>
      <w:r w:rsidRPr="00AD2787">
        <w:rPr>
          <w:bCs/>
          <w:color w:val="auto"/>
          <w:lang w:val="it-IT"/>
        </w:rPr>
        <w:t>et al</w:t>
      </w:r>
      <w:r w:rsidRPr="00AD2787">
        <w:rPr>
          <w:color w:val="auto"/>
          <w:lang w:val="it-IT"/>
        </w:rPr>
        <w:t xml:space="preserve">. </w:t>
      </w:r>
      <w:r w:rsidRPr="00AD2787">
        <w:rPr>
          <w:color w:val="auto"/>
        </w:rPr>
        <w:t xml:space="preserve">The Role of Obesity in Renal Cell Carcinoma Patients: Clinical-Pathological Implications. </w:t>
      </w:r>
      <w:r w:rsidRPr="00AD2787">
        <w:rPr>
          <w:i/>
          <w:color w:val="auto"/>
          <w:lang w:val="it-IT"/>
        </w:rPr>
        <w:t>Int J Mol Sci</w:t>
      </w:r>
      <w:r w:rsidRPr="00AD2787">
        <w:rPr>
          <w:b/>
          <w:color w:val="auto"/>
          <w:lang w:val="it-IT"/>
        </w:rPr>
        <w:t>2019</w:t>
      </w:r>
      <w:r w:rsidRPr="00AD2787">
        <w:rPr>
          <w:color w:val="auto"/>
          <w:lang w:val="it-IT"/>
        </w:rPr>
        <w:t xml:space="preserve">, 20, 5683.  </w:t>
      </w:r>
    </w:p>
    <w:p w:rsidR="004F1A32" w:rsidRPr="00AD2787" w:rsidRDefault="004F1A32" w:rsidP="004F1A32">
      <w:pPr>
        <w:pStyle w:val="MDPI71References"/>
        <w:numPr>
          <w:ilvl w:val="0"/>
          <w:numId w:val="16"/>
        </w:numPr>
        <w:rPr>
          <w:color w:val="auto"/>
        </w:rPr>
      </w:pPr>
      <w:r w:rsidRPr="00AD2787">
        <w:rPr>
          <w:color w:val="auto"/>
          <w:lang w:val="it-IT"/>
        </w:rPr>
        <w:t xml:space="preserve">Rutkowski, P.; Indini, A.; De Luca, M.; </w:t>
      </w:r>
      <w:r w:rsidRPr="00AD2787">
        <w:rPr>
          <w:bCs/>
          <w:color w:val="auto"/>
          <w:lang w:val="it-IT"/>
        </w:rPr>
        <w:t>et al</w:t>
      </w:r>
      <w:r w:rsidRPr="00AD2787">
        <w:rPr>
          <w:color w:val="auto"/>
          <w:lang w:val="it-IT"/>
        </w:rPr>
        <w:t xml:space="preserve">. </w:t>
      </w:r>
      <w:r w:rsidRPr="00AD2787">
        <w:rPr>
          <w:color w:val="auto"/>
        </w:rPr>
        <w:t xml:space="preserve">Body mass index (BMI) and outcome of metastatic melanoma patients receiving targeted therapy and immunotherapy: a multicenter international retrospective study. </w:t>
      </w:r>
      <w:r w:rsidRPr="00AD2787">
        <w:rPr>
          <w:i/>
          <w:color w:val="auto"/>
          <w:lang w:val="it-IT"/>
        </w:rPr>
        <w:t>J Immunother Cancer</w:t>
      </w:r>
      <w:r w:rsidRPr="00AD2787">
        <w:rPr>
          <w:b/>
          <w:color w:val="auto"/>
          <w:lang w:val="it-IT"/>
        </w:rPr>
        <w:t>2020</w:t>
      </w:r>
      <w:r w:rsidRPr="00AD2787">
        <w:rPr>
          <w:color w:val="auto"/>
          <w:lang w:val="it-IT"/>
        </w:rPr>
        <w:t xml:space="preserve">, </w:t>
      </w:r>
      <w:r w:rsidRPr="00AD2787">
        <w:rPr>
          <w:i/>
          <w:color w:val="auto"/>
          <w:lang w:val="it-IT"/>
        </w:rPr>
        <w:t>8(2)</w:t>
      </w:r>
      <w:r w:rsidRPr="00AD2787">
        <w:rPr>
          <w:color w:val="auto"/>
          <w:lang w:val="it-IT"/>
        </w:rPr>
        <w:t>, e001117. </w:t>
      </w:r>
    </w:p>
    <w:p w:rsidR="004F1A32" w:rsidRPr="00AD2787" w:rsidRDefault="004F1A32" w:rsidP="004F1A32">
      <w:pPr>
        <w:pStyle w:val="MDPI71References"/>
        <w:numPr>
          <w:ilvl w:val="0"/>
          <w:numId w:val="16"/>
        </w:numPr>
        <w:rPr>
          <w:color w:val="auto"/>
        </w:rPr>
      </w:pPr>
      <w:r w:rsidRPr="00AD2787">
        <w:rPr>
          <w:color w:val="auto"/>
          <w:lang w:val="it-IT"/>
        </w:rPr>
        <w:t xml:space="preserve">Cortellini, A.; Ricciuti, B.; Tiseo, M.; </w:t>
      </w:r>
      <w:r w:rsidRPr="00AD2787">
        <w:rPr>
          <w:bCs/>
          <w:color w:val="auto"/>
          <w:lang w:val="it-IT"/>
        </w:rPr>
        <w:t>et al</w:t>
      </w:r>
      <w:r w:rsidRPr="00AD2787">
        <w:rPr>
          <w:color w:val="auto"/>
          <w:lang w:val="it-IT"/>
        </w:rPr>
        <w:t xml:space="preserve">. </w:t>
      </w:r>
      <w:r w:rsidRPr="00AD2787">
        <w:rPr>
          <w:color w:val="auto"/>
        </w:rPr>
        <w:t xml:space="preserve">Baseline BMI and BMI variation during first line pembrolizumab in NSCLC patients with a PD-L1 expression ≥ 50%: a multicenter study with external validation. </w:t>
      </w:r>
      <w:r w:rsidRPr="00AD2787">
        <w:rPr>
          <w:i/>
          <w:color w:val="auto"/>
          <w:lang w:val="it-IT"/>
        </w:rPr>
        <w:t>J Immunother Cancer</w:t>
      </w:r>
      <w:r w:rsidRPr="00AD2787">
        <w:rPr>
          <w:b/>
          <w:color w:val="auto"/>
          <w:lang w:val="it-IT"/>
        </w:rPr>
        <w:t>2020</w:t>
      </w:r>
      <w:r w:rsidRPr="00AD2787">
        <w:rPr>
          <w:color w:val="auto"/>
          <w:lang w:val="it-IT"/>
        </w:rPr>
        <w:t xml:space="preserve">, </w:t>
      </w:r>
      <w:r w:rsidRPr="00AD2787">
        <w:rPr>
          <w:i/>
          <w:color w:val="auto"/>
          <w:lang w:val="it-IT"/>
        </w:rPr>
        <w:t>8(2)</w:t>
      </w:r>
      <w:r w:rsidRPr="00AD2787">
        <w:rPr>
          <w:color w:val="auto"/>
          <w:lang w:val="it-IT"/>
        </w:rPr>
        <w:t>, e001403. </w:t>
      </w:r>
    </w:p>
    <w:p w:rsidR="004F1A32" w:rsidRPr="00AD2787" w:rsidRDefault="004F1A32" w:rsidP="004F1A32">
      <w:pPr>
        <w:pStyle w:val="MDPI71References"/>
        <w:numPr>
          <w:ilvl w:val="0"/>
          <w:numId w:val="16"/>
        </w:numPr>
        <w:rPr>
          <w:color w:val="auto"/>
        </w:rPr>
      </w:pPr>
      <w:r w:rsidRPr="00AD2787">
        <w:rPr>
          <w:color w:val="auto"/>
          <w:lang w:val="it-IT"/>
        </w:rPr>
        <w:t xml:space="preserve">Sanchez, A.; Furberg, H.; Kuo, F.; et al. </w:t>
      </w:r>
      <w:r w:rsidRPr="00AD2787">
        <w:rPr>
          <w:color w:val="auto"/>
        </w:rPr>
        <w:t xml:space="preserve">Transcriptomic signatures related to the obesity paradox in patients with clear cell renal cell carcinoma: a cohort study. </w:t>
      </w:r>
      <w:r w:rsidRPr="00AD2787">
        <w:rPr>
          <w:i/>
          <w:color w:val="auto"/>
          <w:lang w:val="it-IT"/>
        </w:rPr>
        <w:t>Lancet Oncol</w:t>
      </w:r>
      <w:r w:rsidRPr="00AD2787">
        <w:rPr>
          <w:b/>
          <w:color w:val="auto"/>
          <w:lang w:val="it-IT"/>
        </w:rPr>
        <w:t>2020</w:t>
      </w:r>
      <w:r w:rsidRPr="00AD2787">
        <w:rPr>
          <w:color w:val="auto"/>
          <w:lang w:val="it-IT"/>
        </w:rPr>
        <w:t xml:space="preserve">, </w:t>
      </w:r>
      <w:r w:rsidRPr="00AD2787">
        <w:rPr>
          <w:i/>
          <w:color w:val="auto"/>
          <w:lang w:val="it-IT"/>
        </w:rPr>
        <w:t>21(2)</w:t>
      </w:r>
      <w:r w:rsidRPr="00AD2787">
        <w:rPr>
          <w:color w:val="auto"/>
          <w:lang w:val="it-IT"/>
        </w:rPr>
        <w:t>, 283-293. </w:t>
      </w:r>
    </w:p>
    <w:p w:rsidR="004F1A32" w:rsidRPr="00AD2787" w:rsidRDefault="004F1A32" w:rsidP="004F1A32">
      <w:pPr>
        <w:pStyle w:val="MDPI71References"/>
        <w:numPr>
          <w:ilvl w:val="0"/>
          <w:numId w:val="16"/>
        </w:numPr>
        <w:rPr>
          <w:color w:val="auto"/>
        </w:rPr>
      </w:pPr>
      <w:r w:rsidRPr="00AD2787">
        <w:rPr>
          <w:color w:val="auto"/>
        </w:rPr>
        <w:t xml:space="preserve">Wang, Z.; Aguilar, </w:t>
      </w:r>
      <w:proofErr w:type="gramStart"/>
      <w:r w:rsidRPr="00AD2787">
        <w:rPr>
          <w:color w:val="auto"/>
        </w:rPr>
        <w:t>EG.;</w:t>
      </w:r>
      <w:proofErr w:type="gramEnd"/>
      <w:r w:rsidRPr="00AD2787">
        <w:rPr>
          <w:color w:val="auto"/>
        </w:rPr>
        <w:t xml:space="preserve"> Luna, JI.; et al. </w:t>
      </w:r>
      <w:proofErr w:type="spellStart"/>
      <w:r w:rsidRPr="00AD2787">
        <w:rPr>
          <w:color w:val="auto"/>
        </w:rPr>
        <w:t>Paradoxicaleffects</w:t>
      </w:r>
      <w:proofErr w:type="spellEnd"/>
      <w:r w:rsidRPr="00AD2787">
        <w:rPr>
          <w:color w:val="auto"/>
        </w:rPr>
        <w:t xml:space="preserve"> of </w:t>
      </w:r>
      <w:proofErr w:type="spellStart"/>
      <w:r w:rsidRPr="00AD2787">
        <w:rPr>
          <w:color w:val="auto"/>
        </w:rPr>
        <w:t>obesityon</w:t>
      </w:r>
      <w:proofErr w:type="spellEnd"/>
      <w:r w:rsidRPr="00AD2787">
        <w:rPr>
          <w:color w:val="auto"/>
        </w:rPr>
        <w:t xml:space="preserve"> T cell </w:t>
      </w:r>
      <w:proofErr w:type="spellStart"/>
      <w:r w:rsidRPr="00AD2787">
        <w:rPr>
          <w:color w:val="auto"/>
        </w:rPr>
        <w:t>functionduring</w:t>
      </w:r>
      <w:proofErr w:type="spellEnd"/>
      <w:r w:rsidRPr="00AD2787">
        <w:rPr>
          <w:color w:val="auto"/>
        </w:rPr>
        <w:t xml:space="preserve"> tumor progression and PD-1 checkpoint blockade. </w:t>
      </w:r>
      <w:r w:rsidRPr="00AD2787">
        <w:rPr>
          <w:i/>
          <w:color w:val="auto"/>
          <w:lang w:val="it-IT"/>
        </w:rPr>
        <w:t>Nat Med</w:t>
      </w:r>
      <w:r w:rsidRPr="00AD2787">
        <w:rPr>
          <w:b/>
          <w:color w:val="auto"/>
          <w:lang w:val="it-IT"/>
        </w:rPr>
        <w:t>2019</w:t>
      </w:r>
      <w:r w:rsidRPr="00AD2787">
        <w:rPr>
          <w:color w:val="auto"/>
          <w:lang w:val="it-IT"/>
        </w:rPr>
        <w:t xml:space="preserve">, </w:t>
      </w:r>
      <w:r w:rsidRPr="00AD2787">
        <w:rPr>
          <w:i/>
          <w:color w:val="auto"/>
          <w:lang w:val="it-IT"/>
        </w:rPr>
        <w:t>25(1)</w:t>
      </w:r>
      <w:r w:rsidRPr="00AD2787">
        <w:rPr>
          <w:color w:val="auto"/>
          <w:lang w:val="it-IT"/>
        </w:rPr>
        <w:t>, 141-51.</w:t>
      </w:r>
    </w:p>
    <w:p w:rsidR="004F1A32" w:rsidRPr="00AD2787" w:rsidRDefault="004F1A32" w:rsidP="004F1A32">
      <w:pPr>
        <w:pStyle w:val="MDPI71References"/>
        <w:numPr>
          <w:ilvl w:val="0"/>
          <w:numId w:val="16"/>
        </w:numPr>
        <w:rPr>
          <w:color w:val="auto"/>
        </w:rPr>
      </w:pPr>
      <w:proofErr w:type="spellStart"/>
      <w:r w:rsidRPr="00AD2787">
        <w:rPr>
          <w:color w:val="auto"/>
        </w:rPr>
        <w:t>Santoni</w:t>
      </w:r>
      <w:proofErr w:type="spellEnd"/>
      <w:r w:rsidRPr="00AD2787">
        <w:rPr>
          <w:color w:val="auto"/>
        </w:rPr>
        <w:t xml:space="preserve">, M.; </w:t>
      </w:r>
      <w:proofErr w:type="spellStart"/>
      <w:r w:rsidRPr="00AD2787">
        <w:rPr>
          <w:color w:val="auto"/>
        </w:rPr>
        <w:t>Cortellini</w:t>
      </w:r>
      <w:proofErr w:type="spellEnd"/>
      <w:r w:rsidRPr="00AD2787">
        <w:rPr>
          <w:color w:val="auto"/>
        </w:rPr>
        <w:t xml:space="preserve">, A.; </w:t>
      </w:r>
      <w:proofErr w:type="spellStart"/>
      <w:r w:rsidRPr="00AD2787">
        <w:rPr>
          <w:color w:val="auto"/>
        </w:rPr>
        <w:t>Buti</w:t>
      </w:r>
      <w:proofErr w:type="spellEnd"/>
      <w:r w:rsidRPr="00AD2787">
        <w:rPr>
          <w:color w:val="auto"/>
        </w:rPr>
        <w:t xml:space="preserve">, S. Unlocking the secret of the obesity paradox in renal </w:t>
      </w:r>
      <w:proofErr w:type="spellStart"/>
      <w:r w:rsidRPr="00AD2787">
        <w:rPr>
          <w:color w:val="auto"/>
        </w:rPr>
        <w:t>tumours</w:t>
      </w:r>
      <w:proofErr w:type="spellEnd"/>
      <w:r w:rsidRPr="00AD2787">
        <w:rPr>
          <w:color w:val="auto"/>
        </w:rPr>
        <w:t xml:space="preserve">. </w:t>
      </w:r>
      <w:r w:rsidRPr="00AD2787">
        <w:rPr>
          <w:i/>
          <w:color w:val="auto"/>
        </w:rPr>
        <w:t>Lancet Oncol</w:t>
      </w:r>
      <w:r w:rsidRPr="00AD2787">
        <w:rPr>
          <w:b/>
          <w:color w:val="auto"/>
        </w:rPr>
        <w:t>2020</w:t>
      </w:r>
      <w:r w:rsidRPr="00AD2787">
        <w:rPr>
          <w:color w:val="auto"/>
        </w:rPr>
        <w:t xml:space="preserve">, </w:t>
      </w:r>
      <w:r w:rsidRPr="00AD2787">
        <w:rPr>
          <w:i/>
          <w:color w:val="auto"/>
        </w:rPr>
        <w:t>21(2)</w:t>
      </w:r>
      <w:r w:rsidRPr="00AD2787">
        <w:rPr>
          <w:color w:val="auto"/>
        </w:rPr>
        <w:t>, 194-196. </w:t>
      </w:r>
    </w:p>
    <w:p w:rsidR="004F1A32" w:rsidRPr="00AD2787" w:rsidRDefault="004F1A32" w:rsidP="004F1A32">
      <w:pPr>
        <w:pStyle w:val="MDPI71References"/>
        <w:numPr>
          <w:ilvl w:val="0"/>
          <w:numId w:val="16"/>
        </w:numPr>
        <w:rPr>
          <w:color w:val="auto"/>
        </w:rPr>
      </w:pPr>
      <w:r w:rsidRPr="00AD2787">
        <w:rPr>
          <w:color w:val="auto"/>
          <w:lang w:val="en-GB"/>
        </w:rPr>
        <w:t xml:space="preserve">Di </w:t>
      </w:r>
      <w:proofErr w:type="spellStart"/>
      <w:r w:rsidRPr="00AD2787">
        <w:rPr>
          <w:color w:val="auto"/>
          <w:lang w:val="en-GB"/>
        </w:rPr>
        <w:t>Nunno</w:t>
      </w:r>
      <w:proofErr w:type="spellEnd"/>
      <w:r w:rsidRPr="00AD2787">
        <w:rPr>
          <w:color w:val="auto"/>
          <w:lang w:val="en-GB"/>
        </w:rPr>
        <w:t>, V</w:t>
      </w:r>
      <w:r w:rsidRPr="00AD2787">
        <w:rPr>
          <w:color w:val="auto"/>
        </w:rPr>
        <w:t>.</w:t>
      </w:r>
      <w:proofErr w:type="gramStart"/>
      <w:r w:rsidRPr="00AD2787">
        <w:rPr>
          <w:color w:val="auto"/>
        </w:rPr>
        <w:t>;</w:t>
      </w:r>
      <w:proofErr w:type="spellStart"/>
      <w:r w:rsidRPr="00AD2787">
        <w:rPr>
          <w:color w:val="auto"/>
          <w:lang w:val="en-GB"/>
        </w:rPr>
        <w:t>Cubelli</w:t>
      </w:r>
      <w:proofErr w:type="spellEnd"/>
      <w:proofErr w:type="gramEnd"/>
      <w:r w:rsidRPr="00AD2787">
        <w:rPr>
          <w:color w:val="auto"/>
          <w:lang w:val="en-GB"/>
        </w:rPr>
        <w:t>, M</w:t>
      </w:r>
      <w:r w:rsidRPr="00AD2787">
        <w:rPr>
          <w:color w:val="auto"/>
        </w:rPr>
        <w:t>.;</w:t>
      </w:r>
      <w:proofErr w:type="spellStart"/>
      <w:r w:rsidRPr="00AD2787">
        <w:rPr>
          <w:color w:val="auto"/>
          <w:lang w:val="en-GB"/>
        </w:rPr>
        <w:t>Massari</w:t>
      </w:r>
      <w:proofErr w:type="spellEnd"/>
      <w:r w:rsidRPr="00AD2787">
        <w:rPr>
          <w:color w:val="auto"/>
          <w:lang w:val="en-GB"/>
        </w:rPr>
        <w:t xml:space="preserve">, F. The role of the MET/AXL pathway as a new target for </w:t>
      </w:r>
      <w:proofErr w:type="spellStart"/>
      <w:r w:rsidRPr="00AD2787">
        <w:rPr>
          <w:color w:val="auto"/>
          <w:lang w:val="en-GB"/>
        </w:rPr>
        <w:t>multikinase</w:t>
      </w:r>
      <w:proofErr w:type="spellEnd"/>
      <w:r w:rsidRPr="00AD2787">
        <w:rPr>
          <w:color w:val="auto"/>
          <w:lang w:val="en-GB"/>
        </w:rPr>
        <w:t xml:space="preserve"> inhibitors in renal cell carcinoma. </w:t>
      </w:r>
      <w:r w:rsidRPr="00AD2787">
        <w:rPr>
          <w:i/>
          <w:color w:val="auto"/>
          <w:lang w:val="en-GB"/>
        </w:rPr>
        <w:t>Expert Rev. Precis. Med. Drug Dev</w:t>
      </w:r>
      <w:r w:rsidRPr="00AD2787">
        <w:rPr>
          <w:color w:val="auto"/>
          <w:lang w:val="en-GB"/>
        </w:rPr>
        <w:t> </w:t>
      </w:r>
      <w:r w:rsidRPr="00AD2787">
        <w:rPr>
          <w:b/>
          <w:color w:val="auto"/>
          <w:lang w:val="en-GB"/>
        </w:rPr>
        <w:t>2017</w:t>
      </w:r>
      <w:r w:rsidRPr="00AD2787">
        <w:rPr>
          <w:color w:val="auto"/>
          <w:lang w:val="en-GB"/>
        </w:rPr>
        <w:t xml:space="preserve">, </w:t>
      </w:r>
      <w:r w:rsidRPr="00AD2787">
        <w:rPr>
          <w:i/>
          <w:color w:val="auto"/>
          <w:lang w:val="en-GB"/>
        </w:rPr>
        <w:t>2</w:t>
      </w:r>
      <w:r w:rsidRPr="00AD2787">
        <w:rPr>
          <w:color w:val="auto"/>
          <w:lang w:val="en-GB"/>
        </w:rPr>
        <w:t>, 169-175.</w:t>
      </w:r>
    </w:p>
    <w:p w:rsidR="004F1A32" w:rsidRPr="00AD2787" w:rsidRDefault="004F1A32" w:rsidP="004F1A32">
      <w:pPr>
        <w:pStyle w:val="MDPI71References"/>
        <w:numPr>
          <w:ilvl w:val="0"/>
          <w:numId w:val="16"/>
        </w:numPr>
        <w:rPr>
          <w:color w:val="auto"/>
        </w:rPr>
      </w:pPr>
      <w:r w:rsidRPr="00AD2787">
        <w:rPr>
          <w:color w:val="auto"/>
          <w:lang w:val="it-IT"/>
        </w:rPr>
        <w:lastRenderedPageBreak/>
        <w:t xml:space="preserve">Santoni, M.; Heng, D.Y.; Bracarda, S.; </w:t>
      </w:r>
      <w:r w:rsidRPr="00AD2787">
        <w:rPr>
          <w:bCs/>
          <w:color w:val="auto"/>
          <w:lang w:val="it-IT"/>
        </w:rPr>
        <w:t>et al</w:t>
      </w:r>
      <w:r w:rsidRPr="00AD2787">
        <w:rPr>
          <w:color w:val="auto"/>
          <w:lang w:val="it-IT"/>
        </w:rPr>
        <w:t xml:space="preserve">. </w:t>
      </w:r>
      <w:r w:rsidRPr="00AD2787">
        <w:rPr>
          <w:color w:val="auto"/>
        </w:rPr>
        <w:t xml:space="preserve">Real-World Data on Cabozantinib in Previously Treated Patients with Metastatic Renal Cell Carcinoma: Focus on Sequences and Prognostic Factors. </w:t>
      </w:r>
      <w:r w:rsidRPr="00AD2787">
        <w:rPr>
          <w:i/>
          <w:color w:val="auto"/>
        </w:rPr>
        <w:t>Cancers (Basel</w:t>
      </w:r>
      <w:r w:rsidRPr="00AD2787">
        <w:rPr>
          <w:b/>
          <w:color w:val="auto"/>
        </w:rPr>
        <w:t>2019</w:t>
      </w:r>
      <w:proofErr w:type="gramStart"/>
      <w:r w:rsidRPr="00AD2787">
        <w:rPr>
          <w:color w:val="auto"/>
        </w:rPr>
        <w:t>;12</w:t>
      </w:r>
      <w:proofErr w:type="gramEnd"/>
      <w:r w:rsidRPr="00AD2787">
        <w:rPr>
          <w:color w:val="auto"/>
        </w:rPr>
        <w:t>(1):84. </w:t>
      </w:r>
    </w:p>
    <w:p w:rsidR="00CD4DBE" w:rsidRPr="00AD2787" w:rsidRDefault="00CD4DBE" w:rsidP="00CD4DBE">
      <w:pPr>
        <w:pStyle w:val="MDPI31text"/>
        <w:numPr>
          <w:ilvl w:val="0"/>
          <w:numId w:val="16"/>
        </w:numPr>
        <w:rPr>
          <w:color w:val="auto"/>
        </w:rPr>
      </w:pPr>
      <w:r w:rsidRPr="00AD2787">
        <w:rPr>
          <w:color w:val="auto"/>
        </w:rPr>
        <w:t xml:space="preserve">Amin, M.B.; Edge, S.; Greene, F.; et al. AJCC Cancer Staging Manual </w:t>
      </w:r>
      <w:r w:rsidRPr="00AD2787">
        <w:rPr>
          <w:b/>
          <w:color w:val="auto"/>
        </w:rPr>
        <w:t>2017</w:t>
      </w:r>
      <w:r w:rsidRPr="00AD2787">
        <w:rPr>
          <w:color w:val="auto"/>
        </w:rPr>
        <w:t xml:space="preserve"> © Springer International Publishing. ISBN 978-3-319-40617-6</w:t>
      </w:r>
    </w:p>
    <w:p w:rsidR="00CD4DBE" w:rsidRPr="00AD2787" w:rsidRDefault="00CD4DBE" w:rsidP="00CD4DBE">
      <w:pPr>
        <w:pStyle w:val="MDPI71References"/>
        <w:numPr>
          <w:ilvl w:val="0"/>
          <w:numId w:val="16"/>
        </w:numPr>
        <w:rPr>
          <w:color w:val="auto"/>
        </w:rPr>
      </w:pPr>
      <w:proofErr w:type="spellStart"/>
      <w:r w:rsidRPr="00AD2787">
        <w:rPr>
          <w:color w:val="auto"/>
        </w:rPr>
        <w:t>Moch</w:t>
      </w:r>
      <w:proofErr w:type="spellEnd"/>
      <w:r w:rsidRPr="00AD2787">
        <w:rPr>
          <w:color w:val="auto"/>
        </w:rPr>
        <w:t xml:space="preserve">, H.; </w:t>
      </w:r>
      <w:proofErr w:type="spellStart"/>
      <w:r w:rsidRPr="00AD2787">
        <w:rPr>
          <w:color w:val="auto"/>
        </w:rPr>
        <w:t>Cubilla</w:t>
      </w:r>
      <w:proofErr w:type="spellEnd"/>
      <w:r w:rsidRPr="00AD2787">
        <w:rPr>
          <w:color w:val="auto"/>
        </w:rPr>
        <w:t xml:space="preserve">, A.L.; Humphrey, P.A.; Reuter, V.E.; </w:t>
      </w:r>
      <w:proofErr w:type="spellStart"/>
      <w:r w:rsidRPr="00AD2787">
        <w:rPr>
          <w:color w:val="auto"/>
        </w:rPr>
        <w:t>Ulbright</w:t>
      </w:r>
      <w:proofErr w:type="spellEnd"/>
      <w:r w:rsidRPr="00AD2787">
        <w:rPr>
          <w:color w:val="auto"/>
        </w:rPr>
        <w:t xml:space="preserve">, T.M. The 2016 WHO Classification of </w:t>
      </w:r>
      <w:proofErr w:type="spellStart"/>
      <w:r w:rsidRPr="00AD2787">
        <w:rPr>
          <w:color w:val="auto"/>
        </w:rPr>
        <w:t>Tumours</w:t>
      </w:r>
      <w:proofErr w:type="spellEnd"/>
      <w:r w:rsidRPr="00AD2787">
        <w:rPr>
          <w:color w:val="auto"/>
        </w:rPr>
        <w:t xml:space="preserve"> of the Urinary System and Male Genital Organs-Part A: Renal, Penile, and Testicular </w:t>
      </w:r>
      <w:proofErr w:type="spellStart"/>
      <w:r w:rsidRPr="00AD2787">
        <w:rPr>
          <w:color w:val="auto"/>
        </w:rPr>
        <w:t>Tumours</w:t>
      </w:r>
      <w:proofErr w:type="spellEnd"/>
      <w:r w:rsidRPr="00AD2787">
        <w:rPr>
          <w:color w:val="auto"/>
        </w:rPr>
        <w:t xml:space="preserve">. </w:t>
      </w:r>
      <w:proofErr w:type="spellStart"/>
      <w:r w:rsidRPr="00AD2787">
        <w:rPr>
          <w:i/>
          <w:color w:val="auto"/>
        </w:rPr>
        <w:t>Eur</w:t>
      </w:r>
      <w:proofErr w:type="spellEnd"/>
      <w:r w:rsidRPr="00AD2787">
        <w:rPr>
          <w:i/>
          <w:color w:val="auto"/>
        </w:rPr>
        <w:t xml:space="preserve"> Urol</w:t>
      </w:r>
      <w:r w:rsidRPr="00AD2787">
        <w:rPr>
          <w:color w:val="auto"/>
        </w:rPr>
        <w:t xml:space="preserve">. </w:t>
      </w:r>
      <w:r w:rsidRPr="00AD2787">
        <w:rPr>
          <w:b/>
          <w:color w:val="auto"/>
        </w:rPr>
        <w:t>2016</w:t>
      </w:r>
      <w:proofErr w:type="gramStart"/>
      <w:r w:rsidRPr="00AD2787">
        <w:rPr>
          <w:color w:val="auto"/>
        </w:rPr>
        <w:t>;</w:t>
      </w:r>
      <w:r w:rsidRPr="00AD2787">
        <w:rPr>
          <w:i/>
          <w:color w:val="auto"/>
        </w:rPr>
        <w:t>70</w:t>
      </w:r>
      <w:proofErr w:type="gramEnd"/>
      <w:r w:rsidRPr="00AD2787">
        <w:rPr>
          <w:color w:val="auto"/>
        </w:rPr>
        <w:t xml:space="preserve">(1):93-105. </w:t>
      </w:r>
      <w:proofErr w:type="spellStart"/>
      <w:proofErr w:type="gramStart"/>
      <w:r w:rsidRPr="00AD2787">
        <w:rPr>
          <w:color w:val="auto"/>
        </w:rPr>
        <w:t>doi</w:t>
      </w:r>
      <w:proofErr w:type="spellEnd"/>
      <w:proofErr w:type="gramEnd"/>
      <w:r w:rsidRPr="00AD2787">
        <w:rPr>
          <w:color w:val="auto"/>
        </w:rPr>
        <w:t>: 10.1016/j.eururo.2016.02.029.</w:t>
      </w:r>
    </w:p>
    <w:p w:rsidR="00CD4DBE" w:rsidRPr="00AD2787" w:rsidRDefault="00CD4DBE" w:rsidP="004F1A32">
      <w:pPr>
        <w:pStyle w:val="MDPI71References"/>
        <w:numPr>
          <w:ilvl w:val="0"/>
          <w:numId w:val="16"/>
        </w:numPr>
        <w:rPr>
          <w:color w:val="auto"/>
        </w:rPr>
      </w:pPr>
      <w:proofErr w:type="spellStart"/>
      <w:r w:rsidRPr="00AD2787">
        <w:rPr>
          <w:color w:val="auto"/>
        </w:rPr>
        <w:t>Ljungberg</w:t>
      </w:r>
      <w:proofErr w:type="spellEnd"/>
      <w:r w:rsidRPr="00AD2787">
        <w:rPr>
          <w:color w:val="auto"/>
        </w:rPr>
        <w:t xml:space="preserve">, B.; </w:t>
      </w:r>
      <w:proofErr w:type="spellStart"/>
      <w:r w:rsidRPr="00AD2787">
        <w:rPr>
          <w:color w:val="auto"/>
        </w:rPr>
        <w:t>Albiges</w:t>
      </w:r>
      <w:proofErr w:type="spellEnd"/>
      <w:r w:rsidRPr="00AD2787">
        <w:rPr>
          <w:color w:val="auto"/>
        </w:rPr>
        <w:t>, L.; Abu-</w:t>
      </w:r>
      <w:proofErr w:type="spellStart"/>
      <w:r w:rsidRPr="00AD2787">
        <w:rPr>
          <w:color w:val="auto"/>
        </w:rPr>
        <w:t>Ghanem</w:t>
      </w:r>
      <w:proofErr w:type="spellEnd"/>
      <w:r w:rsidRPr="00AD2787">
        <w:rPr>
          <w:color w:val="auto"/>
        </w:rPr>
        <w:t xml:space="preserve">, Y.; </w:t>
      </w:r>
      <w:proofErr w:type="spellStart"/>
      <w:r w:rsidRPr="00AD2787">
        <w:rPr>
          <w:color w:val="auto"/>
        </w:rPr>
        <w:t>Bensalah</w:t>
      </w:r>
      <w:proofErr w:type="spellEnd"/>
      <w:r w:rsidRPr="00AD2787">
        <w:rPr>
          <w:color w:val="auto"/>
        </w:rPr>
        <w:t xml:space="preserve">, K.; </w:t>
      </w:r>
      <w:proofErr w:type="spellStart"/>
      <w:r w:rsidRPr="00AD2787">
        <w:rPr>
          <w:color w:val="auto"/>
        </w:rPr>
        <w:t>Dabestani</w:t>
      </w:r>
      <w:proofErr w:type="spellEnd"/>
      <w:r w:rsidRPr="00AD2787">
        <w:rPr>
          <w:color w:val="auto"/>
        </w:rPr>
        <w:t xml:space="preserve">, S.; </w:t>
      </w:r>
      <w:proofErr w:type="spellStart"/>
      <w:r w:rsidRPr="00AD2787">
        <w:rPr>
          <w:color w:val="auto"/>
        </w:rPr>
        <w:t>Fernández-Pello</w:t>
      </w:r>
      <w:proofErr w:type="spellEnd"/>
      <w:r w:rsidRPr="00AD2787">
        <w:rPr>
          <w:color w:val="auto"/>
        </w:rPr>
        <w:t xml:space="preserve">, S.; Giles, R.H.; Hofmann, F.; Hora, M.; </w:t>
      </w:r>
      <w:proofErr w:type="spellStart"/>
      <w:r w:rsidRPr="00AD2787">
        <w:rPr>
          <w:color w:val="auto"/>
        </w:rPr>
        <w:t>Kuczyk</w:t>
      </w:r>
      <w:proofErr w:type="spellEnd"/>
      <w:r w:rsidRPr="00AD2787">
        <w:rPr>
          <w:color w:val="auto"/>
        </w:rPr>
        <w:t xml:space="preserve">, M.A.; et al. European Association of Urology Guidelines on Renal Cell Carcinoma: The 2019 Update. </w:t>
      </w:r>
      <w:proofErr w:type="spellStart"/>
      <w:r w:rsidRPr="00AD2787">
        <w:rPr>
          <w:i/>
          <w:color w:val="auto"/>
        </w:rPr>
        <w:t>Eur</w:t>
      </w:r>
      <w:proofErr w:type="spellEnd"/>
      <w:r w:rsidRPr="00AD2787">
        <w:rPr>
          <w:i/>
          <w:color w:val="auto"/>
        </w:rPr>
        <w:t xml:space="preserve"> Urol.</w:t>
      </w:r>
      <w:r w:rsidRPr="00AD2787">
        <w:rPr>
          <w:color w:val="auto"/>
        </w:rPr>
        <w:t xml:space="preserve"> </w:t>
      </w:r>
      <w:r w:rsidRPr="00AD2787">
        <w:rPr>
          <w:b/>
          <w:color w:val="auto"/>
        </w:rPr>
        <w:t>2019</w:t>
      </w:r>
      <w:proofErr w:type="gramStart"/>
      <w:r w:rsidRPr="00AD2787">
        <w:rPr>
          <w:color w:val="auto"/>
        </w:rPr>
        <w:t>;</w:t>
      </w:r>
      <w:r w:rsidRPr="00AD2787">
        <w:rPr>
          <w:i/>
          <w:color w:val="auto"/>
        </w:rPr>
        <w:t>75</w:t>
      </w:r>
      <w:proofErr w:type="gramEnd"/>
      <w:r w:rsidRPr="00AD2787">
        <w:rPr>
          <w:color w:val="auto"/>
        </w:rPr>
        <w:t xml:space="preserve">(5):799-810. </w:t>
      </w:r>
      <w:proofErr w:type="spellStart"/>
      <w:proofErr w:type="gramStart"/>
      <w:r w:rsidRPr="00AD2787">
        <w:rPr>
          <w:color w:val="auto"/>
        </w:rPr>
        <w:t>doi</w:t>
      </w:r>
      <w:proofErr w:type="spellEnd"/>
      <w:proofErr w:type="gramEnd"/>
      <w:r w:rsidRPr="00AD2787">
        <w:rPr>
          <w:color w:val="auto"/>
        </w:rPr>
        <w:t>: 10.1016/j.eururo.2019.02.011.</w:t>
      </w:r>
    </w:p>
    <w:p w:rsidR="004F1A32" w:rsidRPr="00AD2787" w:rsidRDefault="004F1A32" w:rsidP="004F1A32">
      <w:pPr>
        <w:pStyle w:val="MDPI71References"/>
        <w:numPr>
          <w:ilvl w:val="0"/>
          <w:numId w:val="16"/>
        </w:numPr>
        <w:rPr>
          <w:color w:val="auto"/>
        </w:rPr>
      </w:pPr>
      <w:r w:rsidRPr="00AD2787">
        <w:rPr>
          <w:color w:val="auto"/>
        </w:rPr>
        <w:t xml:space="preserve">Schwartz, L.H.; </w:t>
      </w:r>
      <w:proofErr w:type="spellStart"/>
      <w:r w:rsidRPr="00AD2787">
        <w:rPr>
          <w:color w:val="auto"/>
        </w:rPr>
        <w:t>Litière</w:t>
      </w:r>
      <w:proofErr w:type="spellEnd"/>
      <w:r w:rsidRPr="00AD2787">
        <w:rPr>
          <w:color w:val="auto"/>
        </w:rPr>
        <w:t xml:space="preserve">, S.; de </w:t>
      </w:r>
      <w:proofErr w:type="spellStart"/>
      <w:r w:rsidRPr="00AD2787">
        <w:rPr>
          <w:color w:val="auto"/>
        </w:rPr>
        <w:t>Vries</w:t>
      </w:r>
      <w:proofErr w:type="spellEnd"/>
      <w:r w:rsidRPr="00AD2787">
        <w:rPr>
          <w:color w:val="auto"/>
        </w:rPr>
        <w:t xml:space="preserve">, E.; </w:t>
      </w:r>
      <w:r w:rsidRPr="00AD2787">
        <w:rPr>
          <w:bCs/>
          <w:color w:val="auto"/>
        </w:rPr>
        <w:t>et al</w:t>
      </w:r>
      <w:r w:rsidRPr="00AD2787">
        <w:rPr>
          <w:color w:val="auto"/>
        </w:rPr>
        <w:t xml:space="preserve">. RECIST 1.1-Update and clarification: From the RECIST committee. </w:t>
      </w:r>
      <w:proofErr w:type="spellStart"/>
      <w:r w:rsidRPr="00AD2787">
        <w:rPr>
          <w:i/>
          <w:color w:val="auto"/>
        </w:rPr>
        <w:t>Eur</w:t>
      </w:r>
      <w:proofErr w:type="spellEnd"/>
      <w:r w:rsidRPr="00AD2787">
        <w:rPr>
          <w:i/>
          <w:color w:val="auto"/>
        </w:rPr>
        <w:t xml:space="preserve"> J Cancer</w:t>
      </w:r>
      <w:r w:rsidRPr="00AD2787">
        <w:rPr>
          <w:b/>
          <w:color w:val="auto"/>
        </w:rPr>
        <w:t>2016</w:t>
      </w:r>
      <w:r w:rsidRPr="00AD2787">
        <w:rPr>
          <w:color w:val="auto"/>
        </w:rPr>
        <w:t xml:space="preserve">, </w:t>
      </w:r>
      <w:r w:rsidRPr="00AD2787">
        <w:rPr>
          <w:i/>
          <w:color w:val="auto"/>
        </w:rPr>
        <w:t>62</w:t>
      </w:r>
      <w:r w:rsidRPr="00AD2787">
        <w:rPr>
          <w:color w:val="auto"/>
        </w:rPr>
        <w:t>, 132-7.</w:t>
      </w:r>
    </w:p>
    <w:p w:rsidR="004F1A32" w:rsidRPr="00AD2787" w:rsidRDefault="004F1A32" w:rsidP="004F1A32">
      <w:pPr>
        <w:pStyle w:val="MDPI71References"/>
        <w:numPr>
          <w:ilvl w:val="0"/>
          <w:numId w:val="16"/>
        </w:numPr>
        <w:rPr>
          <w:color w:val="auto"/>
        </w:rPr>
      </w:pPr>
      <w:proofErr w:type="spellStart"/>
      <w:r w:rsidRPr="00AD2787">
        <w:rPr>
          <w:color w:val="auto"/>
        </w:rPr>
        <w:t>Motzer</w:t>
      </w:r>
      <w:proofErr w:type="spellEnd"/>
      <w:r w:rsidRPr="00AD2787">
        <w:rPr>
          <w:color w:val="auto"/>
        </w:rPr>
        <w:t xml:space="preserve">, R.J.; </w:t>
      </w:r>
      <w:proofErr w:type="spellStart"/>
      <w:r w:rsidRPr="00AD2787">
        <w:rPr>
          <w:color w:val="auto"/>
        </w:rPr>
        <w:t>Tannir</w:t>
      </w:r>
      <w:proofErr w:type="spellEnd"/>
      <w:r w:rsidRPr="00AD2787">
        <w:rPr>
          <w:color w:val="auto"/>
        </w:rPr>
        <w:t xml:space="preserve">, N.M.; McDermott, D.F.; </w:t>
      </w:r>
      <w:r w:rsidRPr="00AD2787">
        <w:rPr>
          <w:bCs/>
          <w:color w:val="auto"/>
        </w:rPr>
        <w:t>et al</w:t>
      </w:r>
      <w:r w:rsidRPr="00AD2787">
        <w:rPr>
          <w:color w:val="auto"/>
        </w:rPr>
        <w:t xml:space="preserve">. Nivolumab plus Ipilimumab versus Sunitinib in Advanced Renal-Cell Carcinoma. </w:t>
      </w:r>
      <w:r w:rsidRPr="00AD2787">
        <w:rPr>
          <w:i/>
          <w:color w:val="auto"/>
        </w:rPr>
        <w:t xml:space="preserve">N </w:t>
      </w:r>
      <w:proofErr w:type="spellStart"/>
      <w:r w:rsidRPr="00AD2787">
        <w:rPr>
          <w:i/>
          <w:color w:val="auto"/>
        </w:rPr>
        <w:t>Engl</w:t>
      </w:r>
      <w:proofErr w:type="spellEnd"/>
      <w:r w:rsidRPr="00AD2787">
        <w:rPr>
          <w:i/>
          <w:color w:val="auto"/>
        </w:rPr>
        <w:t xml:space="preserve"> J Med</w:t>
      </w:r>
      <w:r w:rsidRPr="00AD2787">
        <w:rPr>
          <w:b/>
          <w:color w:val="auto"/>
        </w:rPr>
        <w:t>2018</w:t>
      </w:r>
      <w:proofErr w:type="gramStart"/>
      <w:r w:rsidR="000732B9" w:rsidRPr="00AD2787">
        <w:rPr>
          <w:color w:val="auto"/>
        </w:rPr>
        <w:t>,</w:t>
      </w:r>
      <w:r w:rsidRPr="00AD2787">
        <w:rPr>
          <w:i/>
          <w:color w:val="auto"/>
        </w:rPr>
        <w:t>378</w:t>
      </w:r>
      <w:proofErr w:type="gramEnd"/>
      <w:r w:rsidRPr="00AD2787">
        <w:rPr>
          <w:i/>
          <w:color w:val="auto"/>
        </w:rPr>
        <w:t>(14)</w:t>
      </w:r>
      <w:r w:rsidRPr="00AD2787">
        <w:rPr>
          <w:color w:val="auto"/>
        </w:rPr>
        <w:t xml:space="preserve">, 1277-1290. </w:t>
      </w:r>
    </w:p>
    <w:p w:rsidR="004F1A32" w:rsidRPr="00AD2787" w:rsidRDefault="004F1A32" w:rsidP="004F1A32">
      <w:pPr>
        <w:pStyle w:val="MDPI71References"/>
        <w:numPr>
          <w:ilvl w:val="0"/>
          <w:numId w:val="16"/>
        </w:numPr>
        <w:rPr>
          <w:color w:val="auto"/>
        </w:rPr>
      </w:pPr>
      <w:proofErr w:type="spellStart"/>
      <w:r w:rsidRPr="00AD2787">
        <w:rPr>
          <w:color w:val="auto"/>
        </w:rPr>
        <w:t>Motzer</w:t>
      </w:r>
      <w:proofErr w:type="spellEnd"/>
      <w:r w:rsidRPr="00AD2787">
        <w:rPr>
          <w:color w:val="auto"/>
        </w:rPr>
        <w:t xml:space="preserve">, R.J.; </w:t>
      </w:r>
      <w:proofErr w:type="spellStart"/>
      <w:r w:rsidRPr="00AD2787">
        <w:rPr>
          <w:color w:val="auto"/>
        </w:rPr>
        <w:t>Penkov</w:t>
      </w:r>
      <w:proofErr w:type="spellEnd"/>
      <w:r w:rsidRPr="00AD2787">
        <w:rPr>
          <w:color w:val="auto"/>
        </w:rPr>
        <w:t xml:space="preserve">, K.; </w:t>
      </w:r>
      <w:proofErr w:type="spellStart"/>
      <w:r w:rsidRPr="00AD2787">
        <w:rPr>
          <w:color w:val="auto"/>
        </w:rPr>
        <w:t>Haanen</w:t>
      </w:r>
      <w:proofErr w:type="spellEnd"/>
      <w:r w:rsidRPr="00AD2787">
        <w:rPr>
          <w:color w:val="auto"/>
        </w:rPr>
        <w:t xml:space="preserve">, J.; </w:t>
      </w:r>
      <w:r w:rsidRPr="00AD2787">
        <w:rPr>
          <w:bCs/>
          <w:color w:val="auto"/>
        </w:rPr>
        <w:t>et al</w:t>
      </w:r>
      <w:r w:rsidRPr="00AD2787">
        <w:rPr>
          <w:color w:val="auto"/>
        </w:rPr>
        <w:t xml:space="preserve">. Avelumab plus </w:t>
      </w:r>
      <w:proofErr w:type="spellStart"/>
      <w:r w:rsidRPr="00AD2787">
        <w:rPr>
          <w:color w:val="auto"/>
        </w:rPr>
        <w:t>Axitinib</w:t>
      </w:r>
      <w:proofErr w:type="spellEnd"/>
      <w:r w:rsidRPr="00AD2787">
        <w:rPr>
          <w:color w:val="auto"/>
        </w:rPr>
        <w:t xml:space="preserve"> versus Sunitinib for Advanced Renal-Cell Carcinoma. </w:t>
      </w:r>
      <w:r w:rsidRPr="00AD2787">
        <w:rPr>
          <w:i/>
          <w:color w:val="auto"/>
          <w:lang w:val="it-IT"/>
        </w:rPr>
        <w:t>N Engl J Med</w:t>
      </w:r>
      <w:r w:rsidRPr="00AD2787">
        <w:rPr>
          <w:b/>
          <w:color w:val="auto"/>
          <w:lang w:val="it-IT"/>
        </w:rPr>
        <w:t>2019</w:t>
      </w:r>
      <w:r w:rsidRPr="00AD2787">
        <w:rPr>
          <w:color w:val="auto"/>
          <w:lang w:val="it-IT"/>
        </w:rPr>
        <w:t xml:space="preserve">, </w:t>
      </w:r>
      <w:r w:rsidRPr="00AD2787">
        <w:rPr>
          <w:i/>
          <w:color w:val="auto"/>
          <w:lang w:val="it-IT"/>
        </w:rPr>
        <w:t>380(12)</w:t>
      </w:r>
      <w:r w:rsidRPr="00AD2787">
        <w:rPr>
          <w:color w:val="auto"/>
          <w:lang w:val="it-IT"/>
        </w:rPr>
        <w:t xml:space="preserve">,1103-1115.  </w:t>
      </w:r>
    </w:p>
    <w:p w:rsidR="004F1A32" w:rsidRPr="00AD2787" w:rsidRDefault="004F1A32" w:rsidP="004F1A32">
      <w:pPr>
        <w:pStyle w:val="MDPI71References"/>
        <w:numPr>
          <w:ilvl w:val="0"/>
          <w:numId w:val="16"/>
        </w:numPr>
        <w:rPr>
          <w:color w:val="auto"/>
        </w:rPr>
      </w:pPr>
      <w:proofErr w:type="spellStart"/>
      <w:r w:rsidRPr="00AD2787">
        <w:rPr>
          <w:color w:val="auto"/>
        </w:rPr>
        <w:t>Rini</w:t>
      </w:r>
      <w:proofErr w:type="spellEnd"/>
      <w:r w:rsidRPr="00AD2787">
        <w:rPr>
          <w:color w:val="auto"/>
        </w:rPr>
        <w:t xml:space="preserve">, B.I.; Plimack, E.R.; </w:t>
      </w:r>
      <w:proofErr w:type="spellStart"/>
      <w:r w:rsidRPr="00AD2787">
        <w:rPr>
          <w:color w:val="auto"/>
        </w:rPr>
        <w:t>Stus</w:t>
      </w:r>
      <w:proofErr w:type="spellEnd"/>
      <w:r w:rsidRPr="00AD2787">
        <w:rPr>
          <w:color w:val="auto"/>
        </w:rPr>
        <w:t xml:space="preserve">, V.; </w:t>
      </w:r>
      <w:r w:rsidRPr="00AD2787">
        <w:rPr>
          <w:bCs/>
          <w:color w:val="auto"/>
        </w:rPr>
        <w:t>et al</w:t>
      </w:r>
      <w:r w:rsidRPr="00AD2787">
        <w:rPr>
          <w:color w:val="auto"/>
        </w:rPr>
        <w:t xml:space="preserve">. Pembrolizumab plus </w:t>
      </w:r>
      <w:proofErr w:type="spellStart"/>
      <w:r w:rsidRPr="00AD2787">
        <w:rPr>
          <w:color w:val="auto"/>
        </w:rPr>
        <w:t>Axitinib</w:t>
      </w:r>
      <w:proofErr w:type="spellEnd"/>
      <w:r w:rsidRPr="00AD2787">
        <w:rPr>
          <w:color w:val="auto"/>
        </w:rPr>
        <w:t xml:space="preserve"> versus Sunitinib for Advanced Renal-Cell Carcinoma. </w:t>
      </w:r>
      <w:r w:rsidRPr="00AD2787">
        <w:rPr>
          <w:i/>
          <w:color w:val="auto"/>
          <w:lang w:val="it-IT"/>
        </w:rPr>
        <w:t>N Engl J Med</w:t>
      </w:r>
      <w:r w:rsidRPr="00AD2787">
        <w:rPr>
          <w:b/>
          <w:color w:val="auto"/>
          <w:lang w:val="it-IT"/>
        </w:rPr>
        <w:t>2019</w:t>
      </w:r>
      <w:r w:rsidRPr="00AD2787">
        <w:rPr>
          <w:color w:val="auto"/>
          <w:lang w:val="it-IT"/>
        </w:rPr>
        <w:t>,</w:t>
      </w:r>
      <w:r w:rsidRPr="00AD2787">
        <w:rPr>
          <w:i/>
          <w:color w:val="auto"/>
          <w:lang w:val="it-IT"/>
        </w:rPr>
        <w:t>380(12)</w:t>
      </w:r>
      <w:r w:rsidRPr="00AD2787">
        <w:rPr>
          <w:color w:val="auto"/>
          <w:lang w:val="it-IT"/>
        </w:rPr>
        <w:t xml:space="preserve">,1116-1127.  </w:t>
      </w:r>
    </w:p>
    <w:p w:rsidR="004F1A32" w:rsidRPr="00AD2787" w:rsidRDefault="004F1A32" w:rsidP="004F1A32">
      <w:pPr>
        <w:pStyle w:val="MDPI71References"/>
        <w:numPr>
          <w:ilvl w:val="0"/>
          <w:numId w:val="16"/>
        </w:numPr>
        <w:rPr>
          <w:color w:val="auto"/>
        </w:rPr>
      </w:pPr>
      <w:r w:rsidRPr="00AD2787">
        <w:rPr>
          <w:color w:val="auto"/>
          <w:lang w:val="it-IT"/>
        </w:rPr>
        <w:t xml:space="preserve">Martini, D.J.;  Shabto, J.M.;  Liu, Y.; et al. </w:t>
      </w:r>
      <w:r w:rsidRPr="00AD2787">
        <w:rPr>
          <w:bCs/>
          <w:color w:val="auto"/>
        </w:rPr>
        <w:t>Body mass index (BMI) and toxicities and association with clinical outcomes (CO) in metastatic renal cell carcinoma (</w:t>
      </w:r>
      <w:proofErr w:type="spellStart"/>
      <w:r w:rsidRPr="00AD2787">
        <w:rPr>
          <w:bCs/>
          <w:color w:val="auto"/>
        </w:rPr>
        <w:t>mRCC</w:t>
      </w:r>
      <w:proofErr w:type="spellEnd"/>
      <w:r w:rsidRPr="00AD2787">
        <w:rPr>
          <w:bCs/>
          <w:color w:val="auto"/>
        </w:rPr>
        <w:t>) patients (pts) treated with cabozantinib (</w:t>
      </w:r>
      <w:proofErr w:type="spellStart"/>
      <w:r w:rsidRPr="00AD2787">
        <w:rPr>
          <w:bCs/>
          <w:color w:val="auto"/>
        </w:rPr>
        <w:t>cabo</w:t>
      </w:r>
      <w:proofErr w:type="spellEnd"/>
      <w:r w:rsidRPr="00AD2787">
        <w:rPr>
          <w:bCs/>
          <w:color w:val="auto"/>
        </w:rPr>
        <w:t xml:space="preserve">). </w:t>
      </w:r>
      <w:r w:rsidRPr="00AD2787">
        <w:rPr>
          <w:i/>
          <w:color w:val="auto"/>
        </w:rPr>
        <w:t>J ClinOncol</w:t>
      </w:r>
      <w:r w:rsidRPr="00AD2787">
        <w:rPr>
          <w:b/>
          <w:color w:val="auto"/>
        </w:rPr>
        <w:t>2019</w:t>
      </w:r>
      <w:r w:rsidRPr="00AD2787">
        <w:rPr>
          <w:color w:val="auto"/>
        </w:rPr>
        <w:t>, </w:t>
      </w:r>
      <w:r w:rsidRPr="00AD2787">
        <w:rPr>
          <w:i/>
          <w:color w:val="auto"/>
        </w:rPr>
        <w:t>37:7_suppl</w:t>
      </w:r>
      <w:r w:rsidRPr="00AD2787">
        <w:rPr>
          <w:color w:val="auto"/>
        </w:rPr>
        <w:t>, 613-613.</w:t>
      </w:r>
    </w:p>
    <w:p w:rsidR="004F1A32" w:rsidRPr="00AD2787" w:rsidRDefault="004F1A32" w:rsidP="004F1A32">
      <w:pPr>
        <w:pStyle w:val="MDPI71References"/>
        <w:numPr>
          <w:ilvl w:val="0"/>
          <w:numId w:val="16"/>
        </w:numPr>
        <w:rPr>
          <w:color w:val="auto"/>
        </w:rPr>
      </w:pPr>
      <w:r w:rsidRPr="00AD2787">
        <w:rPr>
          <w:color w:val="auto"/>
          <w:lang w:val="it-IT"/>
        </w:rPr>
        <w:t xml:space="preserve">De Giorgi, U.; Procopio, G.; Giannarelli, D.; et al. </w:t>
      </w:r>
      <w:r w:rsidRPr="00AD2787">
        <w:rPr>
          <w:color w:val="auto"/>
        </w:rPr>
        <w:t xml:space="preserve">Association of Systemic Inflammation Index and Body Mass Index with Survival in Patients with Renal Cell Cancer Treated with Nivolumab. </w:t>
      </w:r>
      <w:r w:rsidRPr="00AD2787">
        <w:rPr>
          <w:i/>
          <w:color w:val="auto"/>
          <w:lang w:val="it-IT"/>
        </w:rPr>
        <w:t>Clin Cancer Res</w:t>
      </w:r>
      <w:r w:rsidRPr="00AD2787">
        <w:rPr>
          <w:b/>
          <w:color w:val="auto"/>
          <w:lang w:val="it-IT"/>
        </w:rPr>
        <w:t>2019</w:t>
      </w:r>
      <w:r w:rsidRPr="00AD2787">
        <w:rPr>
          <w:color w:val="auto"/>
          <w:lang w:val="it-IT"/>
        </w:rPr>
        <w:t xml:space="preserve">, </w:t>
      </w:r>
      <w:r w:rsidRPr="00AD2787">
        <w:rPr>
          <w:i/>
          <w:color w:val="auto"/>
          <w:lang w:val="it-IT"/>
        </w:rPr>
        <w:t>25(13)</w:t>
      </w:r>
      <w:r w:rsidRPr="00AD2787">
        <w:rPr>
          <w:color w:val="auto"/>
          <w:lang w:val="it-IT"/>
        </w:rPr>
        <w:t>, 3839-3846.</w:t>
      </w:r>
    </w:p>
    <w:p w:rsidR="004F1A32" w:rsidRPr="00AD2787" w:rsidRDefault="004F1A32" w:rsidP="004F1A32">
      <w:pPr>
        <w:pStyle w:val="MDPI71References"/>
        <w:numPr>
          <w:ilvl w:val="0"/>
          <w:numId w:val="16"/>
        </w:numPr>
        <w:rPr>
          <w:color w:val="auto"/>
        </w:rPr>
      </w:pPr>
      <w:r w:rsidRPr="00AD2787">
        <w:rPr>
          <w:color w:val="auto"/>
          <w:lang w:val="it-IT"/>
        </w:rPr>
        <w:t xml:space="preserve">Bruna, F.A.; Romeo, L.R.; Campo-Verde-Arbocco, F.; et al. </w:t>
      </w:r>
      <w:r w:rsidRPr="00AD2787">
        <w:rPr>
          <w:color w:val="auto"/>
        </w:rPr>
        <w:t xml:space="preserve">Human renal adipose tissue from normal and tumor kidney: its influence on renal cell carcinoma.  </w:t>
      </w:r>
      <w:r w:rsidRPr="00AD2787">
        <w:rPr>
          <w:b/>
          <w:color w:val="auto"/>
          <w:lang w:val="it-IT"/>
        </w:rPr>
        <w:t>2019</w:t>
      </w:r>
      <w:r w:rsidRPr="00AD2787">
        <w:rPr>
          <w:color w:val="auto"/>
          <w:lang w:val="it-IT"/>
        </w:rPr>
        <w:t xml:space="preserve">, </w:t>
      </w:r>
      <w:r w:rsidRPr="00AD2787">
        <w:rPr>
          <w:i/>
          <w:color w:val="auto"/>
          <w:lang w:val="it-IT"/>
        </w:rPr>
        <w:t>10(52)</w:t>
      </w:r>
      <w:r w:rsidRPr="00AD2787">
        <w:rPr>
          <w:color w:val="auto"/>
          <w:lang w:val="it-IT"/>
        </w:rPr>
        <w:t>, 5454-5467.</w:t>
      </w:r>
    </w:p>
    <w:p w:rsidR="004F1A32" w:rsidRPr="00AD2787" w:rsidRDefault="004F1A32" w:rsidP="004F1A32">
      <w:pPr>
        <w:pStyle w:val="MDPI71References"/>
        <w:numPr>
          <w:ilvl w:val="0"/>
          <w:numId w:val="16"/>
        </w:numPr>
        <w:rPr>
          <w:color w:val="auto"/>
        </w:rPr>
      </w:pPr>
      <w:r w:rsidRPr="00AD2787">
        <w:rPr>
          <w:color w:val="auto"/>
          <w:lang w:val="it-IT"/>
        </w:rPr>
        <w:t xml:space="preserve">Campo-Verde-Arbocco, F.; López-Laur, J.D.; Romeo, L.R.; et al. </w:t>
      </w:r>
      <w:r w:rsidRPr="00AD2787">
        <w:rPr>
          <w:color w:val="auto"/>
        </w:rPr>
        <w:t>Human renal adipose tissue induces the invasion and progression of renal cell carcinoma. </w:t>
      </w:r>
      <w:r w:rsidRPr="00AD2787">
        <w:rPr>
          <w:i/>
          <w:iCs/>
          <w:color w:val="auto"/>
          <w:lang w:val="it-IT"/>
        </w:rPr>
        <w:t>Oncotarget</w:t>
      </w:r>
      <w:r w:rsidRPr="00AD2787">
        <w:rPr>
          <w:b/>
          <w:color w:val="auto"/>
          <w:lang w:val="it-IT"/>
        </w:rPr>
        <w:t>2017</w:t>
      </w:r>
      <w:r w:rsidRPr="00AD2787">
        <w:rPr>
          <w:color w:val="auto"/>
          <w:lang w:val="it-IT"/>
        </w:rPr>
        <w:t xml:space="preserve">, </w:t>
      </w:r>
      <w:r w:rsidRPr="00AD2787">
        <w:rPr>
          <w:i/>
          <w:color w:val="auto"/>
          <w:lang w:val="it-IT"/>
        </w:rPr>
        <w:t>8(55)</w:t>
      </w:r>
      <w:r w:rsidRPr="00AD2787">
        <w:rPr>
          <w:color w:val="auto"/>
          <w:lang w:val="it-IT"/>
        </w:rPr>
        <w:t xml:space="preserve">, 94223-94234. </w:t>
      </w:r>
    </w:p>
    <w:p w:rsidR="004F1A32" w:rsidRPr="00AD2787" w:rsidRDefault="004F1A32" w:rsidP="004F1A32">
      <w:pPr>
        <w:pStyle w:val="MDPI71References"/>
        <w:numPr>
          <w:ilvl w:val="0"/>
          <w:numId w:val="16"/>
        </w:numPr>
        <w:rPr>
          <w:color w:val="auto"/>
        </w:rPr>
      </w:pPr>
      <w:r w:rsidRPr="00AD2787">
        <w:rPr>
          <w:color w:val="auto"/>
          <w:lang w:val="it-IT"/>
        </w:rPr>
        <w:t>Horiguchi, A.; Sumitomo, M.; Asakuma, J.; et al. </w:t>
      </w:r>
      <w:r w:rsidRPr="00AD2787">
        <w:rPr>
          <w:color w:val="auto"/>
        </w:rPr>
        <w:t xml:space="preserve">Increased serum leptin levels and over expression of leptin receptors are associated with the invasion and progression of renal cell carcinoma. </w:t>
      </w:r>
      <w:r w:rsidRPr="00AD2787">
        <w:rPr>
          <w:i/>
          <w:color w:val="auto"/>
          <w:lang w:val="it-IT"/>
        </w:rPr>
        <w:t>J Urol</w:t>
      </w:r>
      <w:r w:rsidRPr="00AD2787">
        <w:rPr>
          <w:color w:val="auto"/>
          <w:lang w:val="it-IT"/>
        </w:rPr>
        <w:t> </w:t>
      </w:r>
      <w:r w:rsidRPr="00AD2787">
        <w:rPr>
          <w:b/>
          <w:color w:val="auto"/>
          <w:lang w:val="it-IT"/>
        </w:rPr>
        <w:t>2006</w:t>
      </w:r>
      <w:r w:rsidRPr="00AD2787">
        <w:rPr>
          <w:color w:val="auto"/>
          <w:lang w:val="it-IT"/>
        </w:rPr>
        <w:t xml:space="preserve">, </w:t>
      </w:r>
      <w:r w:rsidRPr="00AD2787">
        <w:rPr>
          <w:i/>
          <w:color w:val="auto"/>
          <w:lang w:val="it-IT"/>
        </w:rPr>
        <w:t>176</w:t>
      </w:r>
      <w:r w:rsidRPr="00AD2787">
        <w:rPr>
          <w:color w:val="auto"/>
          <w:lang w:val="it-IT"/>
        </w:rPr>
        <w:t>, 1631-1635.</w:t>
      </w:r>
    </w:p>
    <w:p w:rsidR="004F1A32" w:rsidRPr="00AD2787" w:rsidRDefault="004F1A32" w:rsidP="004F1A32">
      <w:pPr>
        <w:pStyle w:val="MDPI71References"/>
        <w:numPr>
          <w:ilvl w:val="0"/>
          <w:numId w:val="16"/>
        </w:numPr>
        <w:rPr>
          <w:color w:val="auto"/>
        </w:rPr>
      </w:pPr>
      <w:r w:rsidRPr="00AD2787">
        <w:rPr>
          <w:color w:val="auto"/>
          <w:lang w:val="it-IT"/>
        </w:rPr>
        <w:t>Cancello, R.; Henegar, C.; Viguerie, N.; et al. </w:t>
      </w:r>
      <w:r w:rsidRPr="00AD2787">
        <w:rPr>
          <w:color w:val="auto"/>
        </w:rPr>
        <w:t xml:space="preserve">Reduction of macrophage infiltration and chemoattractant gene expression changes in white adipose tissue of morbidly obese subjects after surgery-induced weight loss. </w:t>
      </w:r>
      <w:r w:rsidRPr="00AD2787">
        <w:rPr>
          <w:i/>
          <w:color w:val="auto"/>
          <w:lang w:val="it-IT"/>
        </w:rPr>
        <w:t>Diabetes </w:t>
      </w:r>
      <w:r w:rsidRPr="00AD2787">
        <w:rPr>
          <w:b/>
          <w:color w:val="auto"/>
          <w:lang w:val="it-IT"/>
        </w:rPr>
        <w:t>2005</w:t>
      </w:r>
      <w:r w:rsidRPr="00AD2787">
        <w:rPr>
          <w:color w:val="auto"/>
          <w:lang w:val="it-IT"/>
        </w:rPr>
        <w:t xml:space="preserve">, </w:t>
      </w:r>
      <w:r w:rsidRPr="00AD2787">
        <w:rPr>
          <w:i/>
          <w:color w:val="auto"/>
          <w:lang w:val="it-IT"/>
        </w:rPr>
        <w:t>54</w:t>
      </w:r>
      <w:r w:rsidRPr="00AD2787">
        <w:rPr>
          <w:color w:val="auto"/>
          <w:lang w:val="it-IT"/>
        </w:rPr>
        <w:t>, 2277–2286.</w:t>
      </w:r>
    </w:p>
    <w:p w:rsidR="004F1A32" w:rsidRPr="00AD2787" w:rsidRDefault="004F1A32" w:rsidP="004F1A32">
      <w:pPr>
        <w:pStyle w:val="MDPI71References"/>
        <w:numPr>
          <w:ilvl w:val="0"/>
          <w:numId w:val="16"/>
        </w:numPr>
        <w:rPr>
          <w:color w:val="auto"/>
        </w:rPr>
      </w:pPr>
      <w:proofErr w:type="spellStart"/>
      <w:r w:rsidRPr="00AD2787">
        <w:rPr>
          <w:color w:val="auto"/>
        </w:rPr>
        <w:t>Gariballa</w:t>
      </w:r>
      <w:proofErr w:type="spellEnd"/>
      <w:r w:rsidRPr="00AD2787">
        <w:rPr>
          <w:color w:val="auto"/>
        </w:rPr>
        <w:t xml:space="preserve">, S.; </w:t>
      </w:r>
      <w:proofErr w:type="spellStart"/>
      <w:r w:rsidRPr="00AD2787">
        <w:rPr>
          <w:color w:val="auto"/>
        </w:rPr>
        <w:t>Alkaabi</w:t>
      </w:r>
      <w:proofErr w:type="spellEnd"/>
      <w:r w:rsidRPr="00AD2787">
        <w:rPr>
          <w:color w:val="auto"/>
        </w:rPr>
        <w:t xml:space="preserve">, J.; </w:t>
      </w:r>
      <w:proofErr w:type="spellStart"/>
      <w:r w:rsidRPr="00AD2787">
        <w:rPr>
          <w:color w:val="auto"/>
        </w:rPr>
        <w:t>Yasin</w:t>
      </w:r>
      <w:proofErr w:type="spellEnd"/>
      <w:r w:rsidRPr="00AD2787">
        <w:rPr>
          <w:color w:val="auto"/>
        </w:rPr>
        <w:t xml:space="preserve">, J.; Al </w:t>
      </w:r>
      <w:proofErr w:type="spellStart"/>
      <w:r w:rsidRPr="00AD2787">
        <w:rPr>
          <w:color w:val="auto"/>
        </w:rPr>
        <w:t>Essa</w:t>
      </w:r>
      <w:proofErr w:type="spellEnd"/>
      <w:r w:rsidRPr="00AD2787">
        <w:rPr>
          <w:color w:val="auto"/>
        </w:rPr>
        <w:t xml:space="preserve">, A. Total adiponectin in overweight and obese subjects and its response to visceral fat loss. </w:t>
      </w:r>
      <w:r w:rsidRPr="00AD2787">
        <w:rPr>
          <w:i/>
          <w:color w:val="auto"/>
        </w:rPr>
        <w:t>BMC EndocrDisord</w:t>
      </w:r>
      <w:r w:rsidRPr="00AD2787">
        <w:rPr>
          <w:b/>
          <w:color w:val="auto"/>
        </w:rPr>
        <w:t>2019</w:t>
      </w:r>
      <w:r w:rsidRPr="00AD2787">
        <w:rPr>
          <w:color w:val="auto"/>
        </w:rPr>
        <w:t xml:space="preserve">, </w:t>
      </w:r>
      <w:r w:rsidRPr="00AD2787">
        <w:rPr>
          <w:i/>
          <w:color w:val="auto"/>
        </w:rPr>
        <w:t>19(1)</w:t>
      </w:r>
      <w:r w:rsidRPr="00AD2787">
        <w:rPr>
          <w:color w:val="auto"/>
        </w:rPr>
        <w:t xml:space="preserve">, 55.  </w:t>
      </w:r>
    </w:p>
    <w:p w:rsidR="004F1A32" w:rsidRPr="00AD2787" w:rsidRDefault="004F1A32" w:rsidP="004F1A32">
      <w:pPr>
        <w:pStyle w:val="MDPI71References"/>
        <w:numPr>
          <w:ilvl w:val="0"/>
          <w:numId w:val="16"/>
        </w:numPr>
        <w:rPr>
          <w:color w:val="auto"/>
        </w:rPr>
      </w:pPr>
      <w:proofErr w:type="spellStart"/>
      <w:r w:rsidRPr="00AD2787">
        <w:rPr>
          <w:color w:val="auto"/>
        </w:rPr>
        <w:t>Kleinmann</w:t>
      </w:r>
      <w:proofErr w:type="spellEnd"/>
      <w:r w:rsidRPr="00AD2787">
        <w:rPr>
          <w:color w:val="auto"/>
        </w:rPr>
        <w:t>, N.; </w:t>
      </w:r>
      <w:proofErr w:type="spellStart"/>
      <w:r w:rsidRPr="00AD2787">
        <w:rPr>
          <w:color w:val="auto"/>
        </w:rPr>
        <w:t>Duivenvoorden</w:t>
      </w:r>
      <w:proofErr w:type="spellEnd"/>
      <w:r w:rsidRPr="00AD2787">
        <w:rPr>
          <w:color w:val="auto"/>
        </w:rPr>
        <w:t>, W.C.; </w:t>
      </w:r>
      <w:proofErr w:type="spellStart"/>
      <w:r w:rsidRPr="00AD2787">
        <w:rPr>
          <w:color w:val="auto"/>
        </w:rPr>
        <w:t>Hopmans</w:t>
      </w:r>
      <w:proofErr w:type="spellEnd"/>
      <w:r w:rsidRPr="00AD2787">
        <w:rPr>
          <w:color w:val="auto"/>
        </w:rPr>
        <w:t>, S.N.; et al. </w:t>
      </w:r>
      <w:proofErr w:type="spellStart"/>
      <w:r w:rsidRPr="00AD2787">
        <w:rPr>
          <w:color w:val="auto"/>
        </w:rPr>
        <w:t>Underactivation</w:t>
      </w:r>
      <w:proofErr w:type="spellEnd"/>
      <w:r w:rsidRPr="00AD2787">
        <w:rPr>
          <w:color w:val="auto"/>
        </w:rPr>
        <w:t xml:space="preserve"> of the adiponectin-adiponectin receptor 1 axis in clear cell renal cell carcinoma: implications for progression. </w:t>
      </w:r>
      <w:proofErr w:type="spellStart"/>
      <w:r w:rsidRPr="00AD2787">
        <w:rPr>
          <w:i/>
          <w:color w:val="auto"/>
        </w:rPr>
        <w:t>ClinExp</w:t>
      </w:r>
      <w:proofErr w:type="spellEnd"/>
      <w:r w:rsidRPr="00AD2787">
        <w:rPr>
          <w:i/>
          <w:color w:val="auto"/>
        </w:rPr>
        <w:t xml:space="preserve"> Metastasis</w:t>
      </w:r>
      <w:r w:rsidRPr="00AD2787">
        <w:rPr>
          <w:color w:val="auto"/>
        </w:rPr>
        <w:t> </w:t>
      </w:r>
      <w:r w:rsidRPr="00AD2787">
        <w:rPr>
          <w:b/>
          <w:color w:val="auto"/>
        </w:rPr>
        <w:t>2014</w:t>
      </w:r>
      <w:r w:rsidRPr="00AD2787">
        <w:rPr>
          <w:color w:val="auto"/>
        </w:rPr>
        <w:t xml:space="preserve">, </w:t>
      </w:r>
      <w:r w:rsidRPr="00AD2787">
        <w:rPr>
          <w:i/>
          <w:color w:val="auto"/>
        </w:rPr>
        <w:t>31(2)</w:t>
      </w:r>
      <w:r w:rsidRPr="00AD2787">
        <w:rPr>
          <w:color w:val="auto"/>
        </w:rPr>
        <w:t>, 169-83.</w:t>
      </w:r>
    </w:p>
    <w:p w:rsidR="007C1CDA" w:rsidRPr="00AD2787" w:rsidRDefault="007C1CDA" w:rsidP="007C1CDA">
      <w:pPr>
        <w:pStyle w:val="MDPI71References"/>
        <w:ind w:firstLine="0"/>
        <w:rPr>
          <w:color w:val="auto"/>
        </w:rPr>
      </w:pPr>
    </w:p>
    <w:p w:rsidR="007C1CDA" w:rsidRPr="00AD2787" w:rsidRDefault="007C1CDA" w:rsidP="004F1A32">
      <w:pPr>
        <w:pStyle w:val="MDPI71References"/>
        <w:rPr>
          <w:color w:val="auto"/>
        </w:rPr>
      </w:pPr>
    </w:p>
    <w:sectPr w:rsidR="007C1CDA" w:rsidRPr="00AD2787" w:rsidSect="009E6B61">
      <w:headerReference w:type="even" r:id="rId27"/>
      <w:headerReference w:type="default" r:id="rId28"/>
      <w:footerReference w:type="default" r:id="rId29"/>
      <w:headerReference w:type="first" r:id="rId30"/>
      <w:footerReference w:type="first" r:id="rId31"/>
      <w:type w:val="continuous"/>
      <w:pgSz w:w="11906" w:h="16838" w:code="9"/>
      <w:pgMar w:top="1418" w:right="720" w:bottom="1077" w:left="720" w:header="1021" w:footer="340" w:gutter="0"/>
      <w:lnNumType w:countBy="1" w:distance="255"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FD" w:rsidRDefault="002A0BFD">
      <w:pPr>
        <w:spacing w:line="240" w:lineRule="auto"/>
      </w:pPr>
      <w:r>
        <w:separator/>
      </w:r>
    </w:p>
  </w:endnote>
  <w:endnote w:type="continuationSeparator" w:id="0">
    <w:p w:rsidR="002A0BFD" w:rsidRDefault="002A0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MS Gothic"/>
    <w:panose1 w:val="02010600030101010101"/>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131" w:rsidRPr="00A3473A" w:rsidRDefault="00B87131" w:rsidP="00F1277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131" w:rsidRDefault="00B87131" w:rsidP="004C34E8">
    <w:pPr>
      <w:pBdr>
        <w:top w:val="single" w:sz="4" w:space="0" w:color="000000"/>
      </w:pBdr>
      <w:tabs>
        <w:tab w:val="right" w:pos="8844"/>
      </w:tabs>
      <w:adjustRightInd w:val="0"/>
      <w:snapToGrid w:val="0"/>
      <w:spacing w:before="480" w:line="100" w:lineRule="exact"/>
      <w:jc w:val="lef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FD" w:rsidRDefault="002A0BFD">
      <w:pPr>
        <w:spacing w:line="240" w:lineRule="auto"/>
      </w:pPr>
      <w:r>
        <w:separator/>
      </w:r>
    </w:p>
  </w:footnote>
  <w:footnote w:type="continuationSeparator" w:id="0">
    <w:p w:rsidR="002A0BFD" w:rsidRDefault="002A0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131" w:rsidRDefault="00B87131" w:rsidP="00F1277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131" w:rsidRPr="007C4D88" w:rsidRDefault="00B87131" w:rsidP="004C34E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B87131" w:rsidRPr="008244B9" w:rsidTr="008244B9">
      <w:trPr>
        <w:trHeight w:val="686"/>
      </w:trPr>
      <w:tc>
        <w:tcPr>
          <w:tcW w:w="3679" w:type="dxa"/>
          <w:shd w:val="clear" w:color="auto" w:fill="auto"/>
          <w:vAlign w:val="center"/>
        </w:tcPr>
        <w:p w:rsidR="00B87131" w:rsidRPr="00D21D2E" w:rsidRDefault="00B87131" w:rsidP="008244B9">
          <w:pPr>
            <w:pStyle w:val="Header"/>
            <w:pBdr>
              <w:bottom w:val="none" w:sz="0" w:space="0" w:color="auto"/>
            </w:pBdr>
            <w:jc w:val="left"/>
            <w:rPr>
              <w:rFonts w:eastAsia="DengXian"/>
              <w:b/>
              <w:bCs/>
            </w:rPr>
          </w:pPr>
        </w:p>
      </w:tc>
      <w:tc>
        <w:tcPr>
          <w:tcW w:w="4535" w:type="dxa"/>
          <w:shd w:val="clear" w:color="auto" w:fill="auto"/>
          <w:vAlign w:val="center"/>
        </w:tcPr>
        <w:p w:rsidR="00B87131" w:rsidRPr="00D21D2E" w:rsidRDefault="00B87131" w:rsidP="008244B9">
          <w:pPr>
            <w:pStyle w:val="Header"/>
            <w:pBdr>
              <w:bottom w:val="none" w:sz="0" w:space="0" w:color="auto"/>
            </w:pBdr>
            <w:rPr>
              <w:rFonts w:eastAsia="DengXian"/>
              <w:b/>
              <w:bCs/>
            </w:rPr>
          </w:pPr>
        </w:p>
      </w:tc>
      <w:tc>
        <w:tcPr>
          <w:tcW w:w="2273" w:type="dxa"/>
          <w:shd w:val="clear" w:color="auto" w:fill="auto"/>
          <w:vAlign w:val="center"/>
        </w:tcPr>
        <w:p w:rsidR="00B87131" w:rsidRPr="00D21D2E" w:rsidRDefault="00B87131" w:rsidP="008244B9">
          <w:pPr>
            <w:pStyle w:val="Header"/>
            <w:pBdr>
              <w:bottom w:val="none" w:sz="0" w:space="0" w:color="auto"/>
            </w:pBdr>
            <w:jc w:val="right"/>
            <w:rPr>
              <w:rFonts w:eastAsia="DengXian"/>
              <w:b/>
              <w:bCs/>
            </w:rPr>
          </w:pPr>
        </w:p>
      </w:tc>
    </w:tr>
  </w:tbl>
  <w:p w:rsidR="00B87131" w:rsidRPr="002F4399" w:rsidRDefault="00B87131" w:rsidP="004C34E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6" w15:restartNumberingAfterBreak="0">
    <w:nsid w:val="68A71B83"/>
    <w:multiLevelType w:val="hybridMultilevel"/>
    <w:tmpl w:val="657E12FE"/>
    <w:lvl w:ilvl="0" w:tplc="F5208CE6">
      <w:start w:val="1"/>
      <w:numFmt w:val="decimal"/>
      <w:lvlText w:val="[%1]"/>
      <w:lvlJc w:val="left"/>
      <w:pPr>
        <w:ind w:left="1287"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79841C89"/>
    <w:multiLevelType w:val="hybridMultilevel"/>
    <w:tmpl w:val="969C6F52"/>
    <w:lvl w:ilvl="0" w:tplc="F844CA78">
      <w:start w:val="1"/>
      <w:numFmt w:val="decimal"/>
      <w:lvlText w:val="%1"/>
      <w:lvlJc w:val="left"/>
      <w:pPr>
        <w:ind w:left="2968" w:hanging="360"/>
      </w:pPr>
      <w:rPr>
        <w:rFonts w:hint="default"/>
        <w:vertAlign w:val="superscript"/>
      </w:rPr>
    </w:lvl>
    <w:lvl w:ilvl="1" w:tplc="04100019" w:tentative="1">
      <w:start w:val="1"/>
      <w:numFmt w:val="lowerLetter"/>
      <w:lvlText w:val="%2."/>
      <w:lvlJc w:val="left"/>
      <w:pPr>
        <w:ind w:left="3688" w:hanging="360"/>
      </w:pPr>
    </w:lvl>
    <w:lvl w:ilvl="2" w:tplc="0410001B" w:tentative="1">
      <w:start w:val="1"/>
      <w:numFmt w:val="lowerRoman"/>
      <w:lvlText w:val="%3."/>
      <w:lvlJc w:val="right"/>
      <w:pPr>
        <w:ind w:left="4408" w:hanging="180"/>
      </w:pPr>
    </w:lvl>
    <w:lvl w:ilvl="3" w:tplc="0410000F" w:tentative="1">
      <w:start w:val="1"/>
      <w:numFmt w:val="decimal"/>
      <w:lvlText w:val="%4."/>
      <w:lvlJc w:val="left"/>
      <w:pPr>
        <w:ind w:left="5128" w:hanging="360"/>
      </w:pPr>
    </w:lvl>
    <w:lvl w:ilvl="4" w:tplc="04100019" w:tentative="1">
      <w:start w:val="1"/>
      <w:numFmt w:val="lowerLetter"/>
      <w:lvlText w:val="%5."/>
      <w:lvlJc w:val="left"/>
      <w:pPr>
        <w:ind w:left="5848" w:hanging="360"/>
      </w:pPr>
    </w:lvl>
    <w:lvl w:ilvl="5" w:tplc="0410001B" w:tentative="1">
      <w:start w:val="1"/>
      <w:numFmt w:val="lowerRoman"/>
      <w:lvlText w:val="%6."/>
      <w:lvlJc w:val="right"/>
      <w:pPr>
        <w:ind w:left="6568" w:hanging="180"/>
      </w:pPr>
    </w:lvl>
    <w:lvl w:ilvl="6" w:tplc="0410000F" w:tentative="1">
      <w:start w:val="1"/>
      <w:numFmt w:val="decimal"/>
      <w:lvlText w:val="%7."/>
      <w:lvlJc w:val="left"/>
      <w:pPr>
        <w:ind w:left="7288" w:hanging="360"/>
      </w:pPr>
    </w:lvl>
    <w:lvl w:ilvl="7" w:tplc="04100019" w:tentative="1">
      <w:start w:val="1"/>
      <w:numFmt w:val="lowerLetter"/>
      <w:lvlText w:val="%8."/>
      <w:lvlJc w:val="left"/>
      <w:pPr>
        <w:ind w:left="8008" w:hanging="360"/>
      </w:pPr>
    </w:lvl>
    <w:lvl w:ilvl="8" w:tplc="0410001B" w:tentative="1">
      <w:start w:val="1"/>
      <w:numFmt w:val="lowerRoman"/>
      <w:lvlText w:val="%9."/>
      <w:lvlJc w:val="right"/>
      <w:pPr>
        <w:ind w:left="8728" w:hanging="180"/>
      </w:pPr>
    </w:lvl>
  </w:abstractNum>
  <w:num w:numId="1">
    <w:abstractNumId w:val="2"/>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 w:numId="8">
    <w:abstractNumId w:val="5"/>
  </w:num>
  <w:num w:numId="9">
    <w:abstractNumId w:val="0"/>
  </w:num>
  <w:num w:numId="10">
    <w:abstractNumId w:val="5"/>
  </w:num>
  <w:num w:numId="11">
    <w:abstractNumId w:val="0"/>
  </w:num>
  <w:num w:numId="12">
    <w:abstractNumId w:val="7"/>
  </w:num>
  <w:num w:numId="13">
    <w:abstractNumId w:val="5"/>
  </w:num>
  <w:num w:numId="14">
    <w:abstractNumId w:val="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34"/>
    <w:rsid w:val="00013D75"/>
    <w:rsid w:val="00030B46"/>
    <w:rsid w:val="00061C10"/>
    <w:rsid w:val="000732B9"/>
    <w:rsid w:val="000F467E"/>
    <w:rsid w:val="000F5580"/>
    <w:rsid w:val="00126651"/>
    <w:rsid w:val="00132F5E"/>
    <w:rsid w:val="001505DB"/>
    <w:rsid w:val="00176AFB"/>
    <w:rsid w:val="00184462"/>
    <w:rsid w:val="001961E4"/>
    <w:rsid w:val="001B4F61"/>
    <w:rsid w:val="001D79D4"/>
    <w:rsid w:val="001E2AEB"/>
    <w:rsid w:val="001E6509"/>
    <w:rsid w:val="00225608"/>
    <w:rsid w:val="0023048B"/>
    <w:rsid w:val="00260AEA"/>
    <w:rsid w:val="002704EA"/>
    <w:rsid w:val="00270FD5"/>
    <w:rsid w:val="002902E5"/>
    <w:rsid w:val="002A0454"/>
    <w:rsid w:val="002A0BFD"/>
    <w:rsid w:val="002D4077"/>
    <w:rsid w:val="002F10C7"/>
    <w:rsid w:val="002F4399"/>
    <w:rsid w:val="002F6FFF"/>
    <w:rsid w:val="00326141"/>
    <w:rsid w:val="00331773"/>
    <w:rsid w:val="00335ED0"/>
    <w:rsid w:val="00340315"/>
    <w:rsid w:val="00347E92"/>
    <w:rsid w:val="00381F51"/>
    <w:rsid w:val="00396A9C"/>
    <w:rsid w:val="003B4C16"/>
    <w:rsid w:val="003D7BB8"/>
    <w:rsid w:val="003F2905"/>
    <w:rsid w:val="00401D30"/>
    <w:rsid w:val="00435E83"/>
    <w:rsid w:val="0047542C"/>
    <w:rsid w:val="00481F84"/>
    <w:rsid w:val="00483986"/>
    <w:rsid w:val="004854D9"/>
    <w:rsid w:val="00490EF7"/>
    <w:rsid w:val="004924AB"/>
    <w:rsid w:val="00497A05"/>
    <w:rsid w:val="004A1BEB"/>
    <w:rsid w:val="004B6062"/>
    <w:rsid w:val="004C34E8"/>
    <w:rsid w:val="004C4649"/>
    <w:rsid w:val="004C7C2C"/>
    <w:rsid w:val="004D6841"/>
    <w:rsid w:val="004F1A32"/>
    <w:rsid w:val="004F5EE7"/>
    <w:rsid w:val="005314C2"/>
    <w:rsid w:val="005452CD"/>
    <w:rsid w:val="0055258A"/>
    <w:rsid w:val="00564ED2"/>
    <w:rsid w:val="005A0D50"/>
    <w:rsid w:val="005A2CC2"/>
    <w:rsid w:val="005C6726"/>
    <w:rsid w:val="005D5420"/>
    <w:rsid w:val="005E5501"/>
    <w:rsid w:val="005F60CF"/>
    <w:rsid w:val="00634634"/>
    <w:rsid w:val="006515A7"/>
    <w:rsid w:val="006539A7"/>
    <w:rsid w:val="0065522D"/>
    <w:rsid w:val="00662394"/>
    <w:rsid w:val="00671FBF"/>
    <w:rsid w:val="00692393"/>
    <w:rsid w:val="00694F17"/>
    <w:rsid w:val="006A1016"/>
    <w:rsid w:val="006B599F"/>
    <w:rsid w:val="0070063D"/>
    <w:rsid w:val="007024A6"/>
    <w:rsid w:val="007059B9"/>
    <w:rsid w:val="0072027F"/>
    <w:rsid w:val="00741861"/>
    <w:rsid w:val="00760E13"/>
    <w:rsid w:val="007B0621"/>
    <w:rsid w:val="007C1CDA"/>
    <w:rsid w:val="007F5EB6"/>
    <w:rsid w:val="007F627F"/>
    <w:rsid w:val="00812901"/>
    <w:rsid w:val="008244B9"/>
    <w:rsid w:val="00837020"/>
    <w:rsid w:val="00862536"/>
    <w:rsid w:val="008838FC"/>
    <w:rsid w:val="00892961"/>
    <w:rsid w:val="008B21E3"/>
    <w:rsid w:val="008D2C40"/>
    <w:rsid w:val="00915926"/>
    <w:rsid w:val="00926358"/>
    <w:rsid w:val="009354A7"/>
    <w:rsid w:val="00957FCA"/>
    <w:rsid w:val="00981C19"/>
    <w:rsid w:val="00985255"/>
    <w:rsid w:val="009A1687"/>
    <w:rsid w:val="009B6587"/>
    <w:rsid w:val="009E4B64"/>
    <w:rsid w:val="009E6B61"/>
    <w:rsid w:val="009F06FC"/>
    <w:rsid w:val="009F70E6"/>
    <w:rsid w:val="00A01E0D"/>
    <w:rsid w:val="00A15456"/>
    <w:rsid w:val="00A44D35"/>
    <w:rsid w:val="00A4506D"/>
    <w:rsid w:val="00A5467C"/>
    <w:rsid w:val="00A67AA9"/>
    <w:rsid w:val="00A7099E"/>
    <w:rsid w:val="00A73DC5"/>
    <w:rsid w:val="00A744C4"/>
    <w:rsid w:val="00A77F88"/>
    <w:rsid w:val="00A9280F"/>
    <w:rsid w:val="00AA115C"/>
    <w:rsid w:val="00AC11BC"/>
    <w:rsid w:val="00AC1D88"/>
    <w:rsid w:val="00AC3F86"/>
    <w:rsid w:val="00AD2787"/>
    <w:rsid w:val="00B13530"/>
    <w:rsid w:val="00B21EF0"/>
    <w:rsid w:val="00B31899"/>
    <w:rsid w:val="00B62FFC"/>
    <w:rsid w:val="00B64378"/>
    <w:rsid w:val="00B65CD8"/>
    <w:rsid w:val="00B83F29"/>
    <w:rsid w:val="00B87131"/>
    <w:rsid w:val="00B95C2F"/>
    <w:rsid w:val="00BF39E3"/>
    <w:rsid w:val="00C06B40"/>
    <w:rsid w:val="00C12F6B"/>
    <w:rsid w:val="00C14E68"/>
    <w:rsid w:val="00C262E7"/>
    <w:rsid w:val="00C37459"/>
    <w:rsid w:val="00C548F9"/>
    <w:rsid w:val="00C94760"/>
    <w:rsid w:val="00CB7A69"/>
    <w:rsid w:val="00CD4DBE"/>
    <w:rsid w:val="00D14C36"/>
    <w:rsid w:val="00D2020E"/>
    <w:rsid w:val="00D21D2E"/>
    <w:rsid w:val="00D727CC"/>
    <w:rsid w:val="00D85F80"/>
    <w:rsid w:val="00D949EE"/>
    <w:rsid w:val="00DC0B90"/>
    <w:rsid w:val="00E0663F"/>
    <w:rsid w:val="00E208FB"/>
    <w:rsid w:val="00E47504"/>
    <w:rsid w:val="00E52BAD"/>
    <w:rsid w:val="00E76A66"/>
    <w:rsid w:val="00E77632"/>
    <w:rsid w:val="00E87069"/>
    <w:rsid w:val="00EB2850"/>
    <w:rsid w:val="00EB7E41"/>
    <w:rsid w:val="00EC4E34"/>
    <w:rsid w:val="00ED43E4"/>
    <w:rsid w:val="00EE34AB"/>
    <w:rsid w:val="00F1277D"/>
    <w:rsid w:val="00F326B3"/>
    <w:rsid w:val="00F41042"/>
    <w:rsid w:val="00F70F25"/>
    <w:rsid w:val="00F97C0B"/>
    <w:rsid w:val="00FB035B"/>
    <w:rsid w:val="00FC52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76CBD"/>
  <w15:docId w15:val="{6FE3890B-A61D-4FC3-AAF4-A7663E6E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DA"/>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C1CDA"/>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7C1CDA"/>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7C1CDA"/>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7C1CDA"/>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C1CDA"/>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7C1CDA"/>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7C1CDA"/>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7C1CD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D85F8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7C1CDA"/>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C1CDA"/>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C1CDA"/>
    <w:rPr>
      <w:rFonts w:ascii="Palatino Linotype" w:hAnsi="Palatino Linotype"/>
      <w:noProof/>
      <w:color w:val="000000"/>
      <w:szCs w:val="18"/>
    </w:rPr>
  </w:style>
  <w:style w:type="paragraph" w:styleId="Header">
    <w:name w:val="header"/>
    <w:basedOn w:val="Normal"/>
    <w:link w:val="HeaderChar"/>
    <w:uiPriority w:val="99"/>
    <w:rsid w:val="007C1CD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C1CDA"/>
    <w:rPr>
      <w:rFonts w:ascii="Palatino Linotype" w:hAnsi="Palatino Linotype"/>
      <w:noProof/>
      <w:color w:val="000000"/>
      <w:szCs w:val="18"/>
    </w:rPr>
  </w:style>
  <w:style w:type="paragraph" w:customStyle="1" w:styleId="MDPIheaderjournallogo">
    <w:name w:val="MDPI_header_journal_logo"/>
    <w:qFormat/>
    <w:rsid w:val="007C1CDA"/>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7C1CDA"/>
    <w:pPr>
      <w:ind w:firstLine="0"/>
    </w:pPr>
  </w:style>
  <w:style w:type="paragraph" w:customStyle="1" w:styleId="MDPI31text">
    <w:name w:val="MDPI_3.1_text"/>
    <w:qFormat/>
    <w:rsid w:val="00671FBF"/>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7C1CDA"/>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7C1CDA"/>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7C1CDA"/>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7C1CDA"/>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7C1CDA"/>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7C1CDA"/>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7C1CDA"/>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7C1CDA"/>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381F51"/>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7C1CDA"/>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7C1CDA"/>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7C1CDA"/>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23heading3">
    <w:name w:val="MDPI_2.3_heading3"/>
    <w:qFormat/>
    <w:rsid w:val="007C1CDA"/>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7C1CD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7C1CDA"/>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7C1CDA"/>
    <w:pPr>
      <w:adjustRightInd w:val="0"/>
      <w:snapToGrid w:val="0"/>
      <w:spacing w:line="228" w:lineRule="auto"/>
      <w:ind w:left="425" w:hanging="425"/>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7C1CDA"/>
    <w:rPr>
      <w:rFonts w:cs="Tahoma"/>
      <w:szCs w:val="18"/>
    </w:rPr>
  </w:style>
  <w:style w:type="character" w:customStyle="1" w:styleId="BalloonTextChar">
    <w:name w:val="Balloon Text Char"/>
    <w:link w:val="BalloonText"/>
    <w:uiPriority w:val="99"/>
    <w:rsid w:val="007C1CDA"/>
    <w:rPr>
      <w:rFonts w:ascii="Palatino Linotype" w:hAnsi="Palatino Linotype" w:cs="Tahoma"/>
      <w:noProof/>
      <w:color w:val="000000"/>
      <w:szCs w:val="18"/>
    </w:rPr>
  </w:style>
  <w:style w:type="character" w:styleId="LineNumber">
    <w:name w:val="line number"/>
    <w:uiPriority w:val="99"/>
    <w:rsid w:val="00A15456"/>
    <w:rPr>
      <w:rFonts w:ascii="Palatino Linotype" w:hAnsi="Palatino Linotype"/>
      <w:sz w:val="16"/>
    </w:rPr>
  </w:style>
  <w:style w:type="table" w:customStyle="1" w:styleId="MDPI41threelinetable">
    <w:name w:val="MDPI_4.1_three_line_table"/>
    <w:basedOn w:val="TableNormal"/>
    <w:uiPriority w:val="99"/>
    <w:rsid w:val="007C1CDA"/>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w:hAnsi="Calibri"/>
        <w:b/>
        <w:i w:val="0"/>
        <w:sz w:val="20"/>
      </w:rPr>
      <w:tblPr/>
      <w:tcPr>
        <w:tcBorders>
          <w:bottom w:val="single" w:sz="4" w:space="0" w:color="auto"/>
        </w:tcBorders>
      </w:tcPr>
    </w:tblStylePr>
  </w:style>
  <w:style w:type="character" w:styleId="Hyperlink">
    <w:name w:val="Hyperlink"/>
    <w:uiPriority w:val="99"/>
    <w:rsid w:val="007C1CDA"/>
    <w:rPr>
      <w:color w:val="0000FF"/>
      <w:u w:val="single"/>
    </w:rPr>
  </w:style>
  <w:style w:type="character" w:customStyle="1" w:styleId="UnresolvedMention">
    <w:name w:val="Unresolved Mention"/>
    <w:uiPriority w:val="99"/>
    <w:semiHidden/>
    <w:unhideWhenUsed/>
    <w:rsid w:val="00F70F25"/>
    <w:rPr>
      <w:color w:val="605E5C"/>
      <w:shd w:val="clear" w:color="auto" w:fill="E1DFDD"/>
    </w:rPr>
  </w:style>
  <w:style w:type="table" w:customStyle="1" w:styleId="Tabellasemplice41">
    <w:name w:val="Tabella semplice 41"/>
    <w:basedOn w:val="TableNormal"/>
    <w:uiPriority w:val="44"/>
    <w:rsid w:val="004C7C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7C1CDA"/>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7C1CDA"/>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7C1CDA"/>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7C1CDA"/>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7C1CDA"/>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7C1CDA"/>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7C1CDA"/>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7C1CDA"/>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7C1CDA"/>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7C1CDA"/>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7C1CDA"/>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7C1CDA"/>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7C1CDA"/>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7C1CDA"/>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7C1CDA"/>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7C1CDA"/>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7C1CDA"/>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7C1CDA"/>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7C1CDA"/>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7C1CDA"/>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7C1CDA"/>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7C1CDA"/>
  </w:style>
  <w:style w:type="paragraph" w:styleId="Bibliography">
    <w:name w:val="Bibliography"/>
    <w:basedOn w:val="Normal"/>
    <w:next w:val="Normal"/>
    <w:uiPriority w:val="37"/>
    <w:semiHidden/>
    <w:unhideWhenUsed/>
    <w:rsid w:val="007C1CDA"/>
  </w:style>
  <w:style w:type="paragraph" w:styleId="BodyText">
    <w:name w:val="Body Text"/>
    <w:link w:val="BodyTextChar"/>
    <w:rsid w:val="007C1CDA"/>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7C1CDA"/>
    <w:rPr>
      <w:rFonts w:ascii="Palatino Linotype" w:hAnsi="Palatino Linotype"/>
      <w:color w:val="000000"/>
      <w:sz w:val="24"/>
      <w:lang w:eastAsia="de-DE"/>
    </w:rPr>
  </w:style>
  <w:style w:type="character" w:styleId="CommentReference">
    <w:name w:val="annotation reference"/>
    <w:rsid w:val="007C1CDA"/>
    <w:rPr>
      <w:sz w:val="21"/>
      <w:szCs w:val="21"/>
    </w:rPr>
  </w:style>
  <w:style w:type="paragraph" w:styleId="CommentText">
    <w:name w:val="annotation text"/>
    <w:basedOn w:val="Normal"/>
    <w:link w:val="CommentTextChar"/>
    <w:rsid w:val="007C1CDA"/>
  </w:style>
  <w:style w:type="character" w:customStyle="1" w:styleId="CommentTextChar">
    <w:name w:val="Comment Text Char"/>
    <w:link w:val="CommentText"/>
    <w:rsid w:val="007C1CDA"/>
    <w:rPr>
      <w:rFonts w:ascii="Palatino Linotype" w:hAnsi="Palatino Linotype"/>
      <w:noProof/>
      <w:color w:val="000000"/>
    </w:rPr>
  </w:style>
  <w:style w:type="paragraph" w:styleId="CommentSubject">
    <w:name w:val="annotation subject"/>
    <w:basedOn w:val="CommentText"/>
    <w:next w:val="CommentText"/>
    <w:link w:val="CommentSubjectChar"/>
    <w:rsid w:val="007C1CDA"/>
    <w:rPr>
      <w:b/>
      <w:bCs/>
    </w:rPr>
  </w:style>
  <w:style w:type="character" w:customStyle="1" w:styleId="CommentSubjectChar">
    <w:name w:val="Comment Subject Char"/>
    <w:link w:val="CommentSubject"/>
    <w:rsid w:val="007C1CDA"/>
    <w:rPr>
      <w:rFonts w:ascii="Palatino Linotype" w:hAnsi="Palatino Linotype"/>
      <w:b/>
      <w:bCs/>
      <w:noProof/>
      <w:color w:val="000000"/>
    </w:rPr>
  </w:style>
  <w:style w:type="character" w:styleId="EndnoteReference">
    <w:name w:val="endnote reference"/>
    <w:rsid w:val="007C1CDA"/>
    <w:rPr>
      <w:vertAlign w:val="superscript"/>
    </w:rPr>
  </w:style>
  <w:style w:type="paragraph" w:styleId="EndnoteText">
    <w:name w:val="endnote text"/>
    <w:basedOn w:val="Normal"/>
    <w:link w:val="EndnoteTextChar"/>
    <w:semiHidden/>
    <w:unhideWhenUsed/>
    <w:rsid w:val="007C1CDA"/>
    <w:pPr>
      <w:spacing w:line="240" w:lineRule="auto"/>
    </w:pPr>
  </w:style>
  <w:style w:type="character" w:customStyle="1" w:styleId="EndnoteTextChar">
    <w:name w:val="Endnote Text Char"/>
    <w:link w:val="EndnoteText"/>
    <w:semiHidden/>
    <w:rsid w:val="007C1CDA"/>
    <w:rPr>
      <w:rFonts w:ascii="Palatino Linotype" w:hAnsi="Palatino Linotype"/>
      <w:noProof/>
      <w:color w:val="000000"/>
    </w:rPr>
  </w:style>
  <w:style w:type="character" w:styleId="FollowedHyperlink">
    <w:name w:val="FollowedHyperlink"/>
    <w:rsid w:val="007C1CDA"/>
    <w:rPr>
      <w:color w:val="954F72"/>
      <w:u w:val="single"/>
    </w:rPr>
  </w:style>
  <w:style w:type="paragraph" w:styleId="FootnoteText">
    <w:name w:val="footnote text"/>
    <w:basedOn w:val="Normal"/>
    <w:link w:val="FootnoteTextChar"/>
    <w:semiHidden/>
    <w:unhideWhenUsed/>
    <w:rsid w:val="007C1CDA"/>
    <w:pPr>
      <w:spacing w:line="240" w:lineRule="auto"/>
    </w:pPr>
  </w:style>
  <w:style w:type="character" w:customStyle="1" w:styleId="FootnoteTextChar">
    <w:name w:val="Footnote Text Char"/>
    <w:link w:val="FootnoteText"/>
    <w:semiHidden/>
    <w:rsid w:val="007C1CDA"/>
    <w:rPr>
      <w:rFonts w:ascii="Palatino Linotype" w:hAnsi="Palatino Linotype"/>
      <w:noProof/>
      <w:color w:val="000000"/>
    </w:rPr>
  </w:style>
  <w:style w:type="paragraph" w:styleId="NormalWeb">
    <w:name w:val="Normal (Web)"/>
    <w:basedOn w:val="Normal"/>
    <w:uiPriority w:val="99"/>
    <w:rsid w:val="007C1CDA"/>
    <w:rPr>
      <w:szCs w:val="24"/>
    </w:rPr>
  </w:style>
  <w:style w:type="paragraph" w:customStyle="1" w:styleId="MsoFootnoteText0">
    <w:name w:val="MsoFootnoteText"/>
    <w:basedOn w:val="NormalWeb"/>
    <w:qFormat/>
    <w:rsid w:val="007C1CDA"/>
    <w:rPr>
      <w:rFonts w:ascii="Times New Roman" w:hAnsi="Times New Roman"/>
    </w:rPr>
  </w:style>
  <w:style w:type="character" w:styleId="PageNumber">
    <w:name w:val="page number"/>
    <w:rsid w:val="007C1CDA"/>
  </w:style>
  <w:style w:type="character" w:styleId="PlaceholderText">
    <w:name w:val="Placeholder Text"/>
    <w:uiPriority w:val="99"/>
    <w:semiHidden/>
    <w:rsid w:val="007C1CDA"/>
    <w:rPr>
      <w:color w:val="808080"/>
    </w:rPr>
  </w:style>
  <w:style w:type="character" w:styleId="Strong">
    <w:name w:val="Strong"/>
    <w:uiPriority w:val="22"/>
    <w:qFormat/>
    <w:rsid w:val="0063463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167218">
      <w:bodyDiv w:val="1"/>
      <w:marLeft w:val="0"/>
      <w:marRight w:val="0"/>
      <w:marTop w:val="0"/>
      <w:marBottom w:val="0"/>
      <w:divBdr>
        <w:top w:val="none" w:sz="0" w:space="0" w:color="auto"/>
        <w:left w:val="none" w:sz="0" w:space="0" w:color="auto"/>
        <w:bottom w:val="none" w:sz="0" w:space="0" w:color="auto"/>
        <w:right w:val="none" w:sz="0" w:space="0" w:color="auto"/>
      </w:divBdr>
    </w:div>
    <w:div w:id="2067944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ulia.sorgentoni@libero.it" TargetMode="External"/><Relationship Id="rId13" Type="http://schemas.openxmlformats.org/officeDocument/2006/relationships/hyperlink" Target="mailto:gaetano.aurilio@ieo.it" TargetMode="External"/><Relationship Id="rId18" Type="http://schemas.openxmlformats.org/officeDocument/2006/relationships/hyperlink" Target="mailto:mamatrana@ochsner.org" TargetMode="External"/><Relationship Id="rId26" Type="http://schemas.openxmlformats.org/officeDocument/2006/relationships/image" Target="media/image4.tiff"/><Relationship Id="rId3" Type="http://schemas.openxmlformats.org/officeDocument/2006/relationships/styles" Target="styles.xml"/><Relationship Id="rId21" Type="http://schemas.openxmlformats.org/officeDocument/2006/relationships/hyperlink" Target="mailto:a.cimadamore@staff.univpm.it" TargetMode="External"/><Relationship Id="rId7" Type="http://schemas.openxmlformats.org/officeDocument/2006/relationships/endnotes" Target="endnotes.xml"/><Relationship Id="rId12" Type="http://schemas.openxmlformats.org/officeDocument/2006/relationships/hyperlink" Target="mailto:umberto.basso@iov.veneto.it" TargetMode="External"/><Relationship Id="rId17" Type="http://schemas.openxmlformats.org/officeDocument/2006/relationships/hyperlink" Target="mailto:egrande@mdanderson.es" TargetMode="External"/><Relationship Id="rId25" Type="http://schemas.openxmlformats.org/officeDocument/2006/relationships/image" Target="media/image3.tif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rtenigiacomo@gmail.com" TargetMode="External"/><Relationship Id="rId20" Type="http://schemas.openxmlformats.org/officeDocument/2006/relationships/hyperlink" Target="mailto:nuno.vau@fundacaochampalimaud.p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useppe.procopio@istitutotumori.mi.it" TargetMode="External"/><Relationship Id="rId24" Type="http://schemas.openxmlformats.org/officeDocument/2006/relationships/image" Target="media/image2.tif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izzo.mimma@gmail.com" TargetMode="External"/><Relationship Id="rId23" Type="http://schemas.openxmlformats.org/officeDocument/2006/relationships/image" Target="media/image1.tiff"/><Relationship Id="rId28" Type="http://schemas.openxmlformats.org/officeDocument/2006/relationships/header" Target="header2.xml"/><Relationship Id="rId10" Type="http://schemas.openxmlformats.org/officeDocument/2006/relationships/hyperlink" Target="mailto:sergio.bracarda@gmail.com" TargetMode="External"/><Relationship Id="rId19" Type="http://schemas.openxmlformats.org/officeDocument/2006/relationships/hyperlink" Target="mailto:S.J.Crabb@southampton.ac.u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icola.battelli@sanita.marche.it" TargetMode="External"/><Relationship Id="rId14" Type="http://schemas.openxmlformats.org/officeDocument/2006/relationships/hyperlink" Target="mailto:lorena.incorvaia@unipa.it" TargetMode="External"/><Relationship Id="rId22" Type="http://schemas.openxmlformats.org/officeDocument/2006/relationships/hyperlink" Target="mailto:r.montironi@staff.univpm.it" TargetMode="External"/><Relationship Id="rId27" Type="http://schemas.openxmlformats.org/officeDocument/2006/relationships/header" Target="header1.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ia.cimadamore\Downloads\diagnostics-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3E352-F997-4BE4-95EE-8C69D243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diagnostics-template.dot</Template>
  <TotalTime>1</TotalTime>
  <Pages>11</Pages>
  <Words>4423</Words>
  <Characters>25213</Characters>
  <Application>Microsoft Office Word</Application>
  <DocSecurity>0</DocSecurity>
  <Lines>210</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Alessia Cimadamore</dc:creator>
  <cp:lastModifiedBy>Simon Crabb</cp:lastModifiedBy>
  <cp:revision>3</cp:revision>
  <dcterms:created xsi:type="dcterms:W3CDTF">2021-01-15T08:27:00Z</dcterms:created>
  <dcterms:modified xsi:type="dcterms:W3CDTF">2021-02-11T13:08:00Z</dcterms:modified>
</cp:coreProperties>
</file>