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47865263"/>
        <w:placeholder>
          <w:docPart w:val="D8B2F5927F6948FCBC9D966A2B1C02C5"/>
        </w:placeholder>
      </w:sdtPr>
      <w:sdtEndPr/>
      <w:sdtContent>
        <w:p w14:paraId="70E87249" w14:textId="77777777" w:rsidR="00180843" w:rsidRPr="00177FEE" w:rsidRDefault="002C092A" w:rsidP="00177FEE">
          <w:pPr>
            <w:pStyle w:val="PaperTitle"/>
          </w:pPr>
          <w:r>
            <w:rPr>
              <w:b/>
            </w:rPr>
            <w:t>Developing a Generalised Assessment Framework for Railway Interventions</w:t>
          </w:r>
        </w:p>
      </w:sdtContent>
    </w:sdt>
    <w:p w14:paraId="20753EED" w14:textId="4F5A7D87" w:rsidR="00180843" w:rsidRPr="00755351" w:rsidRDefault="002C092A" w:rsidP="00755351">
      <w:pPr>
        <w:pStyle w:val="PaperAuthor"/>
      </w:pPr>
      <w:r>
        <w:t>john armstrong</w:t>
      </w:r>
      <w:r w:rsidR="00E50826" w:rsidRPr="00E50826">
        <w:rPr>
          <w:vertAlign w:val="superscript"/>
        </w:rPr>
        <w:t>1</w:t>
      </w:r>
      <w:r>
        <w:t xml:space="preserve">, </w:t>
      </w:r>
      <w:r w:rsidR="001D3805">
        <w:t>GEORGIOS REMPELOS</w:t>
      </w:r>
      <w:r w:rsidR="001D3805">
        <w:rPr>
          <w:vertAlign w:val="superscript"/>
        </w:rPr>
        <w:t>1</w:t>
      </w:r>
      <w:r w:rsidR="001D3805">
        <w:t>, JINGFU WEI</w:t>
      </w:r>
      <w:r w:rsidR="001D3805">
        <w:rPr>
          <w:vertAlign w:val="superscript"/>
        </w:rPr>
        <w:t>2</w:t>
      </w:r>
      <w:r w:rsidR="001D3805">
        <w:t xml:space="preserve">, </w:t>
      </w:r>
      <w:r>
        <w:t>john preston</w:t>
      </w:r>
      <w:r w:rsidR="00E50826" w:rsidRPr="00E50826">
        <w:rPr>
          <w:vertAlign w:val="superscript"/>
        </w:rPr>
        <w:t>1</w:t>
      </w:r>
      <w:r>
        <w:t>, simon blainey</w:t>
      </w:r>
      <w:r w:rsidR="00E50826" w:rsidRPr="00E50826">
        <w:rPr>
          <w:vertAlign w:val="superscript"/>
        </w:rPr>
        <w:t>1</w:t>
      </w:r>
      <w:r>
        <w:t>, john easton</w:t>
      </w:r>
      <w:r w:rsidR="00E50826">
        <w:rPr>
          <w:vertAlign w:val="superscript"/>
        </w:rPr>
        <w:t>2</w:t>
      </w:r>
      <w:r>
        <w:t>, clive roberts</w:t>
      </w:r>
      <w:r w:rsidR="00E50826">
        <w:rPr>
          <w:vertAlign w:val="superscript"/>
        </w:rPr>
        <w:t>2</w:t>
      </w:r>
    </w:p>
    <w:p w14:paraId="4CFBCCDC" w14:textId="77777777" w:rsidR="00E50826" w:rsidRDefault="00E50826" w:rsidP="00C45C66">
      <w:pPr>
        <w:pStyle w:val="PaperAffliation"/>
      </w:pPr>
      <w:r w:rsidRPr="00E50826">
        <w:rPr>
          <w:vertAlign w:val="superscript"/>
        </w:rPr>
        <w:t>1</w:t>
      </w:r>
      <w:r>
        <w:t xml:space="preserve">Transportation Research Group, </w:t>
      </w:r>
      <w:r w:rsidR="002C092A">
        <w:t xml:space="preserve">University of Southampton, </w:t>
      </w:r>
      <w:r>
        <w:t>UK</w:t>
      </w:r>
    </w:p>
    <w:p w14:paraId="72EEE7B0" w14:textId="25B47BB3" w:rsidR="00180843" w:rsidRPr="00C45C66" w:rsidRDefault="00E50826" w:rsidP="00C45C66">
      <w:pPr>
        <w:pStyle w:val="PaperAffliation"/>
      </w:pPr>
      <w:r w:rsidRPr="00E50826">
        <w:rPr>
          <w:vertAlign w:val="superscript"/>
        </w:rPr>
        <w:t>2</w:t>
      </w:r>
      <w:r w:rsidR="006A1466">
        <w:t>Birmingham Centre for Railway Research and Engineering, U</w:t>
      </w:r>
      <w:r w:rsidR="002C092A">
        <w:t>niversity of Birmingham</w:t>
      </w:r>
      <w:r w:rsidR="00FF5402">
        <w:t>, UK</w:t>
      </w:r>
    </w:p>
    <w:p w14:paraId="523B4DFC" w14:textId="77777777" w:rsidR="00180843" w:rsidRPr="005847A1" w:rsidRDefault="00B642B2" w:rsidP="005847A1">
      <w:pPr>
        <w:pStyle w:val="AbstractTitle"/>
      </w:pPr>
      <w:r w:rsidRPr="005847A1">
        <w:t>Abstract</w:t>
      </w:r>
    </w:p>
    <w:p w14:paraId="482BB0E9" w14:textId="1116871D" w:rsidR="002C092A" w:rsidRDefault="002C092A" w:rsidP="002C092A">
      <w:r>
        <w:t xml:space="preserve">Work undertaken on the socio-economic assessment of the installation of under-sleeper pads (USPs) on a busy commuter railway route in Britain, as part of the Track to the Future (T2F) project, was presented at COMPRAIL 2018. This was followed by an expanded, comparative analysis of the same route, comparing the noise-reduction and other costs and benefits of USPs, rail dampers and noise barriers, published in the </w:t>
      </w:r>
      <w:r w:rsidRPr="00537F56">
        <w:rPr>
          <w:iCs/>
        </w:rPr>
        <w:t>International Journal of Transport Development and Integration</w:t>
      </w:r>
      <w:r>
        <w:t xml:space="preserve">. Such analyses provide useful information and decision-making assistance to infrastructure managers, funders and other stakeholders, but typically require the repeated development of bespoke models of study locations, interventions and effects. The ‘one-off’ nature of these models increases the time and costs required for such </w:t>
      </w:r>
      <w:proofErr w:type="gramStart"/>
      <w:r>
        <w:t>studies, and</w:t>
      </w:r>
      <w:proofErr w:type="gramEnd"/>
      <w:r>
        <w:t xml:space="preserve"> makes it more difficult to compare similar schemes in different locations, or different types of intervention in a single location. There is therefore a need for an improved, more generalised and standardised, transferable, replicable and comparison-enabling approach to the socio-economic assessment of such interventions. Ongoing work on the T2F project entails the development and use of standardised templates to describe the input costs and expected impacts of different infrastructure, rolling stock or operational interventions. These form the inputs to, and part of the development for T2F of, an improved, generalised, ontology-based assessment framework, which is being developed using the West </w:t>
      </w:r>
      <w:proofErr w:type="spellStart"/>
      <w:r>
        <w:t>Coastway</w:t>
      </w:r>
      <w:proofErr w:type="spellEnd"/>
      <w:r>
        <w:t xml:space="preserve"> railway line between Portsmouth and Brighton on England’s south coast as an initial case study. This paper describes the context and rationale for the development of the assessment framework, its components and the methodology being </w:t>
      </w:r>
      <w:r w:rsidR="00196CE4">
        <w:t>adopted</w:t>
      </w:r>
      <w:r>
        <w:t>.</w:t>
      </w:r>
    </w:p>
    <w:p w14:paraId="4F2EB7DB" w14:textId="77777777" w:rsidR="00180843" w:rsidRPr="005847A1" w:rsidRDefault="00180843" w:rsidP="005847A1">
      <w:pPr>
        <w:pStyle w:val="AbstractText"/>
      </w:pPr>
    </w:p>
    <w:p w14:paraId="4E5024E6" w14:textId="205FD151" w:rsidR="00180843" w:rsidRPr="005847A1" w:rsidRDefault="00B642B2" w:rsidP="005847A1">
      <w:pPr>
        <w:pStyle w:val="Keywords"/>
      </w:pPr>
      <w:r w:rsidRPr="005847A1">
        <w:t xml:space="preserve">Keywords: </w:t>
      </w:r>
      <w:r w:rsidR="00812241">
        <w:t xml:space="preserve">Railways, </w:t>
      </w:r>
      <w:r w:rsidR="008101EA">
        <w:t>maintenance</w:t>
      </w:r>
      <w:r w:rsidR="00BC21EE">
        <w:t>, renewals, enhancements, interventions, environmental impact</w:t>
      </w:r>
      <w:r w:rsidR="00D52186">
        <w:t>, economic assessment</w:t>
      </w:r>
      <w:r w:rsidR="002E76FE">
        <w:t>, assessment template,</w:t>
      </w:r>
      <w:r w:rsidR="00D52186">
        <w:t xml:space="preserve"> </w:t>
      </w:r>
      <w:r w:rsidR="00812241">
        <w:t>ontologie</w:t>
      </w:r>
      <w:r w:rsidR="002E76FE">
        <w:t>s</w:t>
      </w:r>
      <w:r w:rsidR="00812241">
        <w:t>.</w:t>
      </w:r>
      <w:r w:rsidRPr="005847A1">
        <w:t xml:space="preserve"> </w:t>
      </w:r>
      <w:r w:rsidR="00410668" w:rsidRPr="005847A1">
        <w:fldChar w:fldCharType="begin"/>
      </w:r>
      <w:r w:rsidRPr="005847A1">
        <w:instrText xml:space="preserve"> MACROBUTTON </w:instrText>
      </w:r>
      <w:r w:rsidR="00410668" w:rsidRPr="005847A1">
        <w:fldChar w:fldCharType="end"/>
      </w:r>
      <w:r w:rsidR="00410668" w:rsidRPr="005847A1">
        <w:fldChar w:fldCharType="begin"/>
      </w:r>
      <w:r w:rsidRPr="005847A1">
        <w:instrText xml:space="preserve"> MACROBUTTON </w:instrText>
      </w:r>
      <w:r w:rsidR="00410668" w:rsidRPr="005847A1">
        <w:fldChar w:fldCharType="end"/>
      </w:r>
    </w:p>
    <w:p w14:paraId="73A46B4F" w14:textId="77777777" w:rsidR="00180843" w:rsidRPr="00E3239D" w:rsidRDefault="00430263" w:rsidP="00E3239D">
      <w:pPr>
        <w:pStyle w:val="Heading1"/>
      </w:pPr>
      <w:r>
        <w:t>Introduction</w:t>
      </w:r>
    </w:p>
    <w:p w14:paraId="7A0D440C" w14:textId="2BFFF273" w:rsidR="003623BA" w:rsidRDefault="00CF039E" w:rsidP="00984350">
      <w:r>
        <w:t xml:space="preserve">Recent decades have seen significant growth in railway traffic in Britain, as elsewhere </w:t>
      </w:r>
      <w:r w:rsidR="00994174">
        <w:t xml:space="preserve">in Europe and beyond </w:t>
      </w:r>
      <w:r w:rsidR="00283E71">
        <w:t>[1</w:t>
      </w:r>
      <w:r w:rsidR="00994174">
        <w:t>]</w:t>
      </w:r>
      <w:r w:rsidR="00283E71">
        <w:t>, [2]</w:t>
      </w:r>
      <w:r w:rsidR="00410749">
        <w:t xml:space="preserve">. </w:t>
      </w:r>
      <w:r w:rsidR="006D5C93">
        <w:t>Recent c</w:t>
      </w:r>
      <w:r w:rsidR="00410749">
        <w:t xml:space="preserve">hanges in </w:t>
      </w:r>
      <w:r w:rsidR="00AF7E81">
        <w:t xml:space="preserve">annual </w:t>
      </w:r>
      <w:r w:rsidR="00410749">
        <w:t xml:space="preserve">train km </w:t>
      </w:r>
      <w:r w:rsidR="00BA4580">
        <w:t xml:space="preserve">in Britain </w:t>
      </w:r>
      <w:r w:rsidR="00410749">
        <w:t>are shown in Figure 1</w:t>
      </w:r>
      <w:r w:rsidR="006D5C93">
        <w:t>, based on data published by the Office of Rail and Road</w:t>
      </w:r>
      <w:r w:rsidR="00D068AD">
        <w:t xml:space="preserve"> (ORR</w:t>
      </w:r>
      <w:r w:rsidR="00ED7167">
        <w:t>)</w:t>
      </w:r>
      <w:r w:rsidR="00280DC1">
        <w:t xml:space="preserve"> [3]</w:t>
      </w:r>
      <w:r w:rsidR="00AF7E81">
        <w:t>, [4]</w:t>
      </w:r>
      <w:r w:rsidR="008E416C">
        <w:t>, with growth in passenger tra</w:t>
      </w:r>
      <w:r w:rsidR="001E174F">
        <w:t>in km</w:t>
      </w:r>
      <w:r w:rsidR="008E416C">
        <w:t xml:space="preserve"> partly offset by </w:t>
      </w:r>
      <w:r w:rsidR="00B02C02">
        <w:t xml:space="preserve">recent </w:t>
      </w:r>
      <w:r w:rsidR="008E416C">
        <w:t>declines in freight</w:t>
      </w:r>
      <w:r w:rsidR="001E174F">
        <w:t xml:space="preserve"> train km</w:t>
      </w:r>
      <w:r w:rsidR="00410749">
        <w:t xml:space="preserve">. </w:t>
      </w:r>
      <w:r w:rsidR="00BA0A15">
        <w:t>Such t</w:t>
      </w:r>
      <w:r w:rsidR="00125654">
        <w:t>raffic growth</w:t>
      </w:r>
      <w:r w:rsidR="00A36D63">
        <w:t xml:space="preserve"> is welcome</w:t>
      </w:r>
      <w:r w:rsidR="00BA0A15">
        <w:t xml:space="preserve"> for the rail</w:t>
      </w:r>
      <w:r w:rsidR="004F5DDF">
        <w:t>way</w:t>
      </w:r>
      <w:r w:rsidR="00BA0A15">
        <w:t xml:space="preserve"> industry</w:t>
      </w:r>
      <w:r w:rsidR="00A36D63">
        <w:t>, following a long period of decline in the mid-20</w:t>
      </w:r>
      <w:r w:rsidR="00A36D63" w:rsidRPr="00A36D63">
        <w:rPr>
          <w:vertAlign w:val="superscript"/>
        </w:rPr>
        <w:t>th</w:t>
      </w:r>
      <w:r w:rsidR="00A36D63">
        <w:t xml:space="preserve"> century</w:t>
      </w:r>
      <w:r w:rsidR="00A878F8">
        <w:t xml:space="preserve">, but can also present </w:t>
      </w:r>
      <w:r w:rsidR="00BA0A15">
        <w:t>it</w:t>
      </w:r>
      <w:r w:rsidR="00A878F8">
        <w:t xml:space="preserve"> with capacity challenges. Similarly, </w:t>
      </w:r>
      <w:r w:rsidR="000317A1">
        <w:t xml:space="preserve">while modal shift to rail (especially from road and air travel) is </w:t>
      </w:r>
      <w:r w:rsidR="00C474EC">
        <w:t xml:space="preserve">generally desirable on environmental grounds, </w:t>
      </w:r>
      <w:r w:rsidR="00E33A22" w:rsidRPr="00E33A22">
        <w:t>it</w:t>
      </w:r>
      <w:r w:rsidR="00723385">
        <w:t xml:space="preserve"> does have it</w:t>
      </w:r>
      <w:r w:rsidR="00E33A22" w:rsidRPr="00E33A22">
        <w:t xml:space="preserve">s </w:t>
      </w:r>
      <w:r w:rsidR="00723385">
        <w:t xml:space="preserve">own </w:t>
      </w:r>
      <w:r w:rsidR="00E33A22" w:rsidRPr="00E33A22">
        <w:t xml:space="preserve">environmental impacts, </w:t>
      </w:r>
      <w:r w:rsidR="00723385">
        <w:t xml:space="preserve">notably </w:t>
      </w:r>
      <w:r w:rsidR="00E33A22" w:rsidRPr="00E33A22">
        <w:t xml:space="preserve">including </w:t>
      </w:r>
      <w:r w:rsidR="00723385">
        <w:t xml:space="preserve">the effects of </w:t>
      </w:r>
      <w:r w:rsidR="00E33A22" w:rsidRPr="00E33A22">
        <w:t>noise</w:t>
      </w:r>
      <w:r w:rsidR="00723385">
        <w:t xml:space="preserve"> and vibration on non-users living or working close to railway lines</w:t>
      </w:r>
      <w:r w:rsidR="00E33A22" w:rsidRPr="00E33A22">
        <w:t xml:space="preserve">, </w:t>
      </w:r>
      <w:r w:rsidR="0018051E">
        <w:t>which increase with traffic growth and may</w:t>
      </w:r>
      <w:r w:rsidR="00E33A22" w:rsidRPr="00E33A22">
        <w:t xml:space="preserve"> need to be reduced at source and/or attenuated.</w:t>
      </w:r>
      <w:r w:rsidR="003008C5">
        <w:t xml:space="preserve"> </w:t>
      </w:r>
    </w:p>
    <w:p w14:paraId="34F1ACD7" w14:textId="77777777" w:rsidR="00E31C7C" w:rsidRDefault="00E31C7C" w:rsidP="00984350"/>
    <w:p w14:paraId="4F7F7856" w14:textId="6A6C51CA" w:rsidR="005871B1" w:rsidRDefault="00754D4D" w:rsidP="00984350">
      <w:r>
        <w:rPr>
          <w:noProof/>
        </w:rPr>
        <w:lastRenderedPageBreak/>
        <w:drawing>
          <wp:inline distT="0" distB="0" distL="0" distR="0" wp14:anchorId="01FFB9C7" wp14:editId="531CF7BA">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6CA5AED" w14:textId="588AA0AD" w:rsidR="001F2FE8" w:rsidRDefault="002E779A" w:rsidP="00B83E73">
      <w:pPr>
        <w:pStyle w:val="FigureCaption"/>
        <w:ind w:left="993" w:hanging="993"/>
        <w:rPr>
          <w:i/>
        </w:rPr>
      </w:pPr>
      <w:bookmarkStart w:id="0" w:name="_Hlk32991597"/>
      <w:r>
        <w:t>Annual train km in Britain, 2010-11</w:t>
      </w:r>
      <w:r w:rsidR="00E306FD">
        <w:t xml:space="preserve"> to 2018-19 </w:t>
      </w:r>
      <w:r w:rsidR="001F2FE8" w:rsidRPr="007576DE">
        <w:rPr>
          <w:i/>
        </w:rPr>
        <w:t>(</w:t>
      </w:r>
      <w:r w:rsidR="001F2FE8">
        <w:rPr>
          <w:i/>
        </w:rPr>
        <w:t>Data</w:t>
      </w:r>
      <w:r w:rsidR="00E9367B">
        <w:rPr>
          <w:i/>
        </w:rPr>
        <w:t xml:space="preserve"> s</w:t>
      </w:r>
      <w:r w:rsidR="001F2FE8" w:rsidRPr="007576DE">
        <w:rPr>
          <w:i/>
        </w:rPr>
        <w:t>ource</w:t>
      </w:r>
      <w:r w:rsidR="00C129FC">
        <w:rPr>
          <w:i/>
        </w:rPr>
        <w:t>s</w:t>
      </w:r>
      <w:r w:rsidR="001F2FE8" w:rsidRPr="007576DE">
        <w:rPr>
          <w:i/>
        </w:rPr>
        <w:t>:</w:t>
      </w:r>
      <w:r w:rsidR="00E306FD">
        <w:rPr>
          <w:i/>
        </w:rPr>
        <w:t xml:space="preserve"> [3]</w:t>
      </w:r>
      <w:r w:rsidR="00C129FC">
        <w:rPr>
          <w:i/>
        </w:rPr>
        <w:t>, [4]</w:t>
      </w:r>
      <w:r w:rsidR="001F2FE8" w:rsidRPr="007576DE">
        <w:rPr>
          <w:i/>
        </w:rPr>
        <w:t>)</w:t>
      </w:r>
    </w:p>
    <w:bookmarkEnd w:id="0"/>
    <w:p w14:paraId="0E50793F" w14:textId="1167DB1B" w:rsidR="001F2FE8" w:rsidRDefault="00ED5D86" w:rsidP="00984350">
      <w:r>
        <w:t xml:space="preserve">     </w:t>
      </w:r>
      <w:r w:rsidR="00822BF2">
        <w:t>In addition to such enhancements, the growth in traffic levels results in an increased need for infrastructure maintenance and renewals, and less opportunity to carry out any of these necessary works.</w:t>
      </w:r>
      <w:r w:rsidR="00822BF2" w:rsidRPr="003623BA">
        <w:t xml:space="preserve"> </w:t>
      </w:r>
      <w:r w:rsidR="00BA0A15">
        <w:t>T</w:t>
      </w:r>
      <w:r w:rsidR="00822BF2" w:rsidRPr="003623BA">
        <w:t>here is th</w:t>
      </w:r>
      <w:r w:rsidR="00BA0A15">
        <w:t>erefore also</w:t>
      </w:r>
      <w:r w:rsidR="00822BF2" w:rsidRPr="003623BA">
        <w:t xml:space="preserve"> a need for</w:t>
      </w:r>
      <w:r w:rsidR="00F83878">
        <w:t xml:space="preserve"> improved planning and implementation of maintenance and renewals (M&amp;R) activities</w:t>
      </w:r>
      <w:r w:rsidR="007B376F">
        <w:t xml:space="preserve"> [</w:t>
      </w:r>
      <w:r w:rsidR="00621FA4">
        <w:t>5</w:t>
      </w:r>
      <w:r w:rsidR="007B376F">
        <w:t>], and, more generally,</w:t>
      </w:r>
      <w:r w:rsidR="00F83878">
        <w:t xml:space="preserve"> </w:t>
      </w:r>
      <w:r w:rsidR="007B376F">
        <w:t>for</w:t>
      </w:r>
      <w:r w:rsidR="00822BF2" w:rsidRPr="003623BA">
        <w:t xml:space="preserve"> interventions to increase infrastructure working lif</w:t>
      </w:r>
      <w:r w:rsidR="005F0B91">
        <w:t>e</w:t>
      </w:r>
      <w:r w:rsidR="007B376F">
        <w:t>.</w:t>
      </w:r>
      <w:r w:rsidR="00915E47">
        <w:t xml:space="preserve"> In order to achieve the desired outcomes in the most cost-effective </w:t>
      </w:r>
      <w:r w:rsidR="00AB0330">
        <w:t>manner, there is</w:t>
      </w:r>
      <w:r w:rsidR="00822BF2" w:rsidRPr="003623BA">
        <w:t xml:space="preserve"> also a need for methods and tools to assess the </w:t>
      </w:r>
      <w:r w:rsidR="00AB0330">
        <w:t xml:space="preserve">relative </w:t>
      </w:r>
      <w:r w:rsidR="00822BF2" w:rsidRPr="003623BA">
        <w:t xml:space="preserve">costs and benefits of alternative approaches to such interventions. Previous work undertaken in the Track21 </w:t>
      </w:r>
      <w:r w:rsidR="00A213AF">
        <w:t>[</w:t>
      </w:r>
      <w:r w:rsidR="00B42252">
        <w:t>6</w:t>
      </w:r>
      <w:r w:rsidR="00A213AF">
        <w:t xml:space="preserve">] </w:t>
      </w:r>
      <w:r w:rsidR="00822BF2" w:rsidRPr="003623BA">
        <w:t xml:space="preserve">and </w:t>
      </w:r>
      <w:r w:rsidR="00A213AF">
        <w:t>Track to the Future (</w:t>
      </w:r>
      <w:r w:rsidR="00822BF2" w:rsidRPr="003623BA">
        <w:t>T2F</w:t>
      </w:r>
      <w:r w:rsidR="00A213AF">
        <w:t>) [</w:t>
      </w:r>
      <w:r w:rsidR="003A5D9C">
        <w:t>7</w:t>
      </w:r>
      <w:r w:rsidR="00A213AF">
        <w:t>]</w:t>
      </w:r>
      <w:r w:rsidR="00822BF2" w:rsidRPr="003623BA">
        <w:t xml:space="preserve"> research programmes</w:t>
      </w:r>
      <w:r w:rsidR="005B4C0F">
        <w:t xml:space="preserve">, whose aims are </w:t>
      </w:r>
      <w:r w:rsidR="005B6071">
        <w:t xml:space="preserve">to improve the </w:t>
      </w:r>
      <w:r w:rsidR="00BD4C44">
        <w:t>“</w:t>
      </w:r>
      <w:r w:rsidR="00BD4C44" w:rsidRPr="00BD4C44">
        <w:t>engineering, economic and environmental performance of railway track</w:t>
      </w:r>
      <w:r w:rsidR="00BD4C44">
        <w:t>”</w:t>
      </w:r>
      <w:r w:rsidR="00BD4C44" w:rsidRPr="00BD4C44">
        <w:t xml:space="preserve"> </w:t>
      </w:r>
      <w:r w:rsidR="00BD4C44">
        <w:t>in Britain,</w:t>
      </w:r>
      <w:r w:rsidR="00822BF2" w:rsidRPr="003623BA">
        <w:t xml:space="preserve"> developed bespoke </w:t>
      </w:r>
      <w:r w:rsidR="009B0052">
        <w:t>cost-benefit analysis (</w:t>
      </w:r>
      <w:r w:rsidR="00822BF2" w:rsidRPr="003623BA">
        <w:t>CBA</w:t>
      </w:r>
      <w:r w:rsidR="009B0052">
        <w:t>)</w:t>
      </w:r>
      <w:r w:rsidR="00822BF2" w:rsidRPr="003623BA">
        <w:t xml:space="preserve"> tools for specific infrastructure interventions, as described in </w:t>
      </w:r>
      <w:r w:rsidR="004A1F46">
        <w:t>[</w:t>
      </w:r>
      <w:r w:rsidR="002E77FB">
        <w:t>8</w:t>
      </w:r>
      <w:r w:rsidR="004A1F46">
        <w:t>] and [</w:t>
      </w:r>
      <w:r w:rsidR="008809FD">
        <w:t>9</w:t>
      </w:r>
      <w:r w:rsidR="004A1F46">
        <w:t>]</w:t>
      </w:r>
      <w:r w:rsidR="00822BF2" w:rsidRPr="003623BA">
        <w:t>.</w:t>
      </w:r>
    </w:p>
    <w:p w14:paraId="42C05566" w14:textId="584D5DDE" w:rsidR="009A67D2" w:rsidRDefault="00ED5D86" w:rsidP="00984350">
      <w:r>
        <w:t xml:space="preserve">     </w:t>
      </w:r>
      <w:r w:rsidR="00D21FDA">
        <w:t>While the outputs of the</w:t>
      </w:r>
      <w:r w:rsidR="00913617">
        <w:t>se exercises p</w:t>
      </w:r>
      <w:r w:rsidR="00280575">
        <w:t>rovided useful information, and [</w:t>
      </w:r>
      <w:r w:rsidR="008809FD">
        <w:t>9</w:t>
      </w:r>
      <w:r w:rsidR="00280575">
        <w:t xml:space="preserve">] included </w:t>
      </w:r>
      <w:r w:rsidR="00565B1B">
        <w:t>comparative analysis</w:t>
      </w:r>
      <w:r w:rsidR="00280575">
        <w:t xml:space="preserve"> of alternative </w:t>
      </w:r>
      <w:r w:rsidR="00565B1B">
        <w:t>intervention</w:t>
      </w:r>
      <w:r w:rsidR="00711D9A">
        <w:t>s</w:t>
      </w:r>
      <w:r w:rsidR="00386EDC">
        <w:t>, rather than assessing a single ‘do something’ option against a ‘do minimum’ base</w:t>
      </w:r>
      <w:r w:rsidR="00C405FA">
        <w:t>, the approaches used were still somewhat location- and situation-speci</w:t>
      </w:r>
      <w:r w:rsidR="00FA2D9F">
        <w:t xml:space="preserve">fic. </w:t>
      </w:r>
      <w:r w:rsidR="002F381E">
        <w:t>It thus became apparent that,</w:t>
      </w:r>
      <w:r w:rsidR="00D21FDA">
        <w:t xml:space="preserve"> </w:t>
      </w:r>
      <w:r w:rsidR="002F381E">
        <w:t>r</w:t>
      </w:r>
      <w:r w:rsidR="00B14B2E">
        <w:t xml:space="preserve">ather than conducting repeated, one-off assessments of possible interventions, there are significant potential benefits to be </w:t>
      </w:r>
      <w:r w:rsidR="00BE36B2">
        <w:t>gained</w:t>
      </w:r>
      <w:r w:rsidR="00B14B2E">
        <w:t xml:space="preserve"> from the development of a standardised, flexible assessment framework and methodology, capable of assessing different types of intervention on different parts and extents of the national (or another) railway system.</w:t>
      </w:r>
      <w:r w:rsidR="00FF72F1">
        <w:t xml:space="preserve"> This paper sets out the approach being adopted to </w:t>
      </w:r>
      <w:r w:rsidR="00CA7E4A">
        <w:t>deliver these benefits.</w:t>
      </w:r>
    </w:p>
    <w:p w14:paraId="13785F99" w14:textId="3802DD39" w:rsidR="00D04299" w:rsidRDefault="006E2268" w:rsidP="00984350">
      <w:r>
        <w:t xml:space="preserve">     Following this introduction,</w:t>
      </w:r>
      <w:r w:rsidR="008E2BAF">
        <w:t xml:space="preserve"> the background to and context of the work are first </w:t>
      </w:r>
      <w:r w:rsidR="000F1A0D">
        <w:t>set out</w:t>
      </w:r>
      <w:r w:rsidR="008E2BAF">
        <w:t xml:space="preserve">, including the </w:t>
      </w:r>
      <w:r w:rsidR="002700A6">
        <w:t xml:space="preserve">rationale </w:t>
      </w:r>
      <w:r w:rsidR="00CF2333">
        <w:t xml:space="preserve">for the proposed new approach. The two main elements of the updated approach are then </w:t>
      </w:r>
      <w:r w:rsidR="000F1A0D">
        <w:t xml:space="preserve">described. This is followed by </w:t>
      </w:r>
      <w:r w:rsidR="00F22702">
        <w:t xml:space="preserve">a </w:t>
      </w:r>
      <w:r w:rsidR="000F1A0D">
        <w:t xml:space="preserve">description of </w:t>
      </w:r>
      <w:r w:rsidR="00195610">
        <w:t>the case study being used for the initial implementation of the approach</w:t>
      </w:r>
      <w:r w:rsidR="00A4196F">
        <w:t>. Ongoing and further work are then described, followed by some conclusions and a list of references.</w:t>
      </w:r>
    </w:p>
    <w:p w14:paraId="5A68BE76" w14:textId="12C2C1DE" w:rsidR="00E3239D" w:rsidRPr="00E3239D" w:rsidRDefault="006E2268" w:rsidP="00E3239D">
      <w:pPr>
        <w:pStyle w:val="Heading1"/>
      </w:pPr>
      <w:r>
        <w:lastRenderedPageBreak/>
        <w:t>BACKGROUND AND CONTEXT</w:t>
      </w:r>
    </w:p>
    <w:p w14:paraId="7AC068C6" w14:textId="5D2F5F34" w:rsidR="0040691A" w:rsidRDefault="007C6DD2" w:rsidP="00E3239D">
      <w:r>
        <w:t>As indicated in the Introduction, considerable work has been done in the</w:t>
      </w:r>
      <w:r w:rsidR="00AA57A2">
        <w:t xml:space="preserve"> </w:t>
      </w:r>
      <w:r>
        <w:t xml:space="preserve">Track21 and T2F </w:t>
      </w:r>
      <w:r w:rsidR="00FC0F09">
        <w:t>research programmes to develop methods and tools to model the whole-life costs</w:t>
      </w:r>
      <w:r w:rsidR="00965A9A">
        <w:t xml:space="preserve"> and</w:t>
      </w:r>
      <w:r w:rsidR="00FC0F09">
        <w:t xml:space="preserve"> benefits </w:t>
      </w:r>
      <w:r w:rsidR="00965A9A">
        <w:t>of a range of infrastructure interventions</w:t>
      </w:r>
      <w:r w:rsidR="00510C7E">
        <w:t xml:space="preserve">. Much of the focus was </w:t>
      </w:r>
      <w:r w:rsidR="003F13B1">
        <w:t xml:space="preserve">on the reduction of environmental impacts (chiefly noise and vibration) on non-rail users (for example through the installation of </w:t>
      </w:r>
      <w:r w:rsidR="00ED0C12">
        <w:t>under-sleeper pads (USPs), rail dampers or noise barriers</w:t>
      </w:r>
      <w:r w:rsidR="003F13B1">
        <w:t xml:space="preserve">), but </w:t>
      </w:r>
      <w:r w:rsidR="00ED0C12">
        <w:t xml:space="preserve">the wider impacts on track quality, </w:t>
      </w:r>
      <w:r w:rsidR="00E47771">
        <w:t>whole-</w:t>
      </w:r>
      <w:r w:rsidR="00ED0C12">
        <w:t>life</w:t>
      </w:r>
      <w:r w:rsidR="00E47771">
        <w:t xml:space="preserve"> costs</w:t>
      </w:r>
      <w:r w:rsidR="00ED0C12">
        <w:t xml:space="preserve"> and </w:t>
      </w:r>
      <w:r w:rsidR="00891703">
        <w:t>M&amp;R requirements were also considered</w:t>
      </w:r>
      <w:r w:rsidR="004D5DFF">
        <w:t>, as were the effects on ride quality for rail users</w:t>
      </w:r>
      <w:r w:rsidR="00891703">
        <w:t>.</w:t>
      </w:r>
      <w:r w:rsidR="00AA57A2">
        <w:t xml:space="preserve"> </w:t>
      </w:r>
      <w:r w:rsidR="008166DE">
        <w:t xml:space="preserve">There is considerable </w:t>
      </w:r>
      <w:r w:rsidR="009724A0">
        <w:t>debate</w:t>
      </w:r>
      <w:r w:rsidR="008166DE">
        <w:t xml:space="preserve"> </w:t>
      </w:r>
      <w:r w:rsidR="009724A0">
        <w:t>surrounding</w:t>
      </w:r>
      <w:r w:rsidR="008166DE">
        <w:t xml:space="preserve"> the </w:t>
      </w:r>
      <w:r w:rsidR="009724A0">
        <w:t xml:space="preserve">economic </w:t>
      </w:r>
      <w:r w:rsidR="008166DE">
        <w:t>va</w:t>
      </w:r>
      <w:r w:rsidR="009724A0">
        <w:t xml:space="preserve">luations of noise and vibration reductions, </w:t>
      </w:r>
      <w:r w:rsidR="00940681">
        <w:t xml:space="preserve">and approximations are required to estimate the </w:t>
      </w:r>
      <w:r w:rsidR="00E92A50">
        <w:t xml:space="preserve">numbers of people affected by interventions, and the extent to which they benefit </w:t>
      </w:r>
      <w:r w:rsidR="009363B5">
        <w:t xml:space="preserve">from or are </w:t>
      </w:r>
      <w:r w:rsidR="00A326FC">
        <w:t>disad</w:t>
      </w:r>
      <w:r w:rsidR="00202316">
        <w:t>vantaged by the resulting changes</w:t>
      </w:r>
      <w:r w:rsidR="001D0887">
        <w:t>. T</w:t>
      </w:r>
      <w:r w:rsidR="00202316">
        <w:t xml:space="preserve">hese </w:t>
      </w:r>
      <w:r w:rsidR="004D5DFF">
        <w:t xml:space="preserve">and other </w:t>
      </w:r>
      <w:r w:rsidR="00202316">
        <w:t>uncertainties</w:t>
      </w:r>
      <w:r w:rsidR="009A0A54">
        <w:t xml:space="preserve"> </w:t>
      </w:r>
      <w:r w:rsidR="001D0887">
        <w:t>(</w:t>
      </w:r>
      <w:r w:rsidR="009A0A54">
        <w:t>including</w:t>
      </w:r>
      <w:r w:rsidR="001D0887">
        <w:t xml:space="preserve"> </w:t>
      </w:r>
      <w:r w:rsidR="009476CD">
        <w:t xml:space="preserve">valuations of </w:t>
      </w:r>
      <w:r w:rsidR="001D0887">
        <w:t xml:space="preserve">ride quality </w:t>
      </w:r>
      <w:r w:rsidR="00CD2421">
        <w:t>change</w:t>
      </w:r>
      <w:r w:rsidR="009476CD">
        <w:t>s</w:t>
      </w:r>
      <w:r w:rsidR="001D0887">
        <w:t>)</w:t>
      </w:r>
      <w:r w:rsidR="00202316">
        <w:t xml:space="preserve"> have been addressed by </w:t>
      </w:r>
      <w:r w:rsidR="00656516">
        <w:t>using</w:t>
      </w:r>
      <w:r w:rsidR="00202316">
        <w:t xml:space="preserve"> </w:t>
      </w:r>
      <w:r w:rsidR="00656516">
        <w:t>Monte Carlo simulations and sensitivity analyses to identify a likely range of potential impacts.</w:t>
      </w:r>
    </w:p>
    <w:p w14:paraId="54313D1C" w14:textId="0C39CC1B" w:rsidR="002A4326" w:rsidRDefault="002A4326" w:rsidP="00E3239D">
      <w:r>
        <w:t xml:space="preserve">     </w:t>
      </w:r>
      <w:r w:rsidR="00715E2E">
        <w:t>Again, this approach has been applied to the assessment of a range of interventions in different locations</w:t>
      </w:r>
      <w:r w:rsidR="00D51037">
        <w:t xml:space="preserve">, but, even for the comparative </w:t>
      </w:r>
      <w:r w:rsidR="00C175D5">
        <w:t>studies of alternative interventions in a single location</w:t>
      </w:r>
      <w:r w:rsidR="0080359F">
        <w:t>, repeated</w:t>
      </w:r>
      <w:r w:rsidR="00054954">
        <w:t xml:space="preserve"> and time-consuming</w:t>
      </w:r>
      <w:r w:rsidR="0080359F">
        <w:t>, one-off analyses were required to obtain the required outputs</w:t>
      </w:r>
      <w:r w:rsidR="00054954">
        <w:t xml:space="preserve">, reducing the potential replicability of the approach for different interventions and locations, </w:t>
      </w:r>
      <w:r>
        <w:t xml:space="preserve">and the direct comparability of the results obtained. </w:t>
      </w:r>
      <w:r w:rsidR="002B0EDF">
        <w:t xml:space="preserve">One of the wider objectives of the T2F research programme, </w:t>
      </w:r>
      <w:r w:rsidR="00356E2D">
        <w:t xml:space="preserve">therefore, is the development of a standardised framework for the </w:t>
      </w:r>
      <w:r w:rsidR="00330C4A">
        <w:t xml:space="preserve">assessment of the </w:t>
      </w:r>
      <w:r w:rsidR="00356E2D">
        <w:t xml:space="preserve">economic </w:t>
      </w:r>
      <w:r w:rsidR="0010159F">
        <w:t>(</w:t>
      </w:r>
      <w:r w:rsidR="00356E2D">
        <w:t>and</w:t>
      </w:r>
      <w:r w:rsidR="00330C4A">
        <w:t>,</w:t>
      </w:r>
      <w:r w:rsidR="00356E2D">
        <w:t xml:space="preserve"> </w:t>
      </w:r>
      <w:r w:rsidR="0010159F">
        <w:t>ultimately</w:t>
      </w:r>
      <w:r w:rsidR="00330C4A">
        <w:t>, carbon) impacts</w:t>
      </w:r>
      <w:r w:rsidR="00F65784">
        <w:t xml:space="preserve"> of different infrastructure (and other, e.g. rolling stock) interventions</w:t>
      </w:r>
      <w:r w:rsidR="0089476E">
        <w:t xml:space="preserve"> in different locations and operating circumstances. </w:t>
      </w:r>
      <w:r w:rsidR="00E00118">
        <w:t xml:space="preserve">Work to </w:t>
      </w:r>
      <w:r w:rsidR="002700A6">
        <w:t>date to</w:t>
      </w:r>
      <w:r w:rsidR="00426A8C">
        <w:t xml:space="preserve"> meet this wider objective has focussed on the use of standardised input ‘templates’ for different interventions</w:t>
      </w:r>
      <w:r w:rsidR="002A2356">
        <w:t xml:space="preserve">, and on moving towards an ontological approach to the </w:t>
      </w:r>
      <w:r w:rsidR="00292400">
        <w:t>handling and processing of the intervention data; these two aspects of the work are considered in the following sections of this paper.</w:t>
      </w:r>
    </w:p>
    <w:p w14:paraId="4AD71734" w14:textId="70D38283" w:rsidR="006E2268" w:rsidRPr="00E3239D" w:rsidRDefault="00E91B4C" w:rsidP="006E2268">
      <w:pPr>
        <w:pStyle w:val="Heading1"/>
      </w:pPr>
      <w:r>
        <w:t xml:space="preserve">standardised input </w:t>
      </w:r>
      <w:r w:rsidR="00043072">
        <w:t>templates</w:t>
      </w:r>
    </w:p>
    <w:p w14:paraId="1FA2CB56" w14:textId="5E94174A" w:rsidR="000D168B" w:rsidRDefault="000D168B" w:rsidP="006E2268">
      <w:r>
        <w:t xml:space="preserve">In a </w:t>
      </w:r>
      <w:r w:rsidR="006B781F">
        <w:t xml:space="preserve">large </w:t>
      </w:r>
      <w:r>
        <w:t xml:space="preserve">research programme </w:t>
      </w:r>
      <w:r w:rsidR="006B781F">
        <w:t>like</w:t>
      </w:r>
      <w:r>
        <w:t xml:space="preserve"> T2F</w:t>
      </w:r>
      <w:r w:rsidR="006B781F">
        <w:t xml:space="preserve"> (and often</w:t>
      </w:r>
      <w:r w:rsidR="008A4A4F">
        <w:t xml:space="preserve"> more generally, </w:t>
      </w:r>
      <w:r w:rsidR="004A38FC">
        <w:t>in the assessment of large infrastructure and transport interventions and investments</w:t>
      </w:r>
      <w:r w:rsidR="008A4A4F">
        <w:t>)</w:t>
      </w:r>
      <w:r w:rsidR="008238F7">
        <w:t>, the analysis of economic and carbon impacts tends to be undertaken by specialists in those fields</w:t>
      </w:r>
      <w:r w:rsidR="000C4D27">
        <w:t xml:space="preserve">, relying upon expert </w:t>
      </w:r>
      <w:r w:rsidR="00A83DBC">
        <w:t>advice a</w:t>
      </w:r>
      <w:r w:rsidR="001D3805">
        <w:t>n</w:t>
      </w:r>
      <w:r w:rsidR="00A83DBC">
        <w:t xml:space="preserve">d input on the </w:t>
      </w:r>
      <w:r w:rsidR="003831EC">
        <w:t xml:space="preserve">nature, costs and impacts of individual interventions. </w:t>
      </w:r>
      <w:r w:rsidR="004B2ED7">
        <w:t xml:space="preserve">It is helpful to both parties if </w:t>
      </w:r>
      <w:r w:rsidR="009B4B01">
        <w:t xml:space="preserve">the data requirements for input to the economic and </w:t>
      </w:r>
      <w:r w:rsidR="00D73A82">
        <w:t xml:space="preserve">carbon assessments are clearly stated and specified, and the resulting </w:t>
      </w:r>
      <w:r w:rsidR="00820F4A">
        <w:t>inputs are of a standardised (</w:t>
      </w:r>
      <w:r w:rsidR="003256BA">
        <w:t xml:space="preserve">or </w:t>
      </w:r>
      <w:r w:rsidR="00820F4A">
        <w:t>as much as is possible</w:t>
      </w:r>
      <w:r w:rsidR="003256BA">
        <w:t xml:space="preserve"> in </w:t>
      </w:r>
      <w:r w:rsidR="005638BF">
        <w:t xml:space="preserve">the context of </w:t>
      </w:r>
      <w:r w:rsidR="003256BA">
        <w:t xml:space="preserve">different </w:t>
      </w:r>
      <w:r w:rsidR="005638BF">
        <w:t>intervention</w:t>
      </w:r>
      <w:r w:rsidR="003256BA">
        <w:t>s</w:t>
      </w:r>
      <w:r w:rsidR="00820F4A">
        <w:t>)</w:t>
      </w:r>
      <w:r w:rsidR="00D73A82">
        <w:t xml:space="preserve"> </w:t>
      </w:r>
      <w:r w:rsidR="004D3056">
        <w:t xml:space="preserve">layout and </w:t>
      </w:r>
      <w:r w:rsidR="00D9040D">
        <w:t>format.</w:t>
      </w:r>
    </w:p>
    <w:p w14:paraId="2E0E7499" w14:textId="60EDB291" w:rsidR="007E3746" w:rsidRDefault="00DD46A4" w:rsidP="006E2268">
      <w:r>
        <w:t xml:space="preserve">     </w:t>
      </w:r>
      <w:r w:rsidR="007E3746">
        <w:t xml:space="preserve">A standardised </w:t>
      </w:r>
      <w:r w:rsidR="003B0B08">
        <w:t xml:space="preserve">input template was </w:t>
      </w:r>
      <w:r w:rsidR="0001377E">
        <w:t xml:space="preserve">produced </w:t>
      </w:r>
      <w:r w:rsidR="003B0B08">
        <w:t xml:space="preserve">in an iterative process, </w:t>
      </w:r>
      <w:r w:rsidR="00174EE1">
        <w:t xml:space="preserve">by means of </w:t>
      </w:r>
      <w:r w:rsidR="0001377E">
        <w:t xml:space="preserve">development of </w:t>
      </w:r>
      <w:r w:rsidR="00174EE1">
        <w:t>initial proposals, discussion with and feedback from colleagues</w:t>
      </w:r>
      <w:r w:rsidR="00A01E25">
        <w:t xml:space="preserve">, and subsequent refinement; </w:t>
      </w:r>
      <w:r w:rsidR="003B0B08">
        <w:t>the current version</w:t>
      </w:r>
      <w:r>
        <w:t xml:space="preserve"> of </w:t>
      </w:r>
      <w:r w:rsidR="00A01E25">
        <w:t>the template</w:t>
      </w:r>
      <w:r>
        <w:t xml:space="preserve"> is </w:t>
      </w:r>
      <w:r w:rsidR="007422D7">
        <w:t xml:space="preserve">included as an Appendix, and </w:t>
      </w:r>
      <w:r w:rsidR="00445FF1">
        <w:t>its main features are summarised below</w:t>
      </w:r>
      <w:r>
        <w:t>.</w:t>
      </w:r>
    </w:p>
    <w:p w14:paraId="75247814" w14:textId="4B851077" w:rsidR="0072038B" w:rsidRDefault="0072038B" w:rsidP="006E2268">
      <w:r>
        <w:t xml:space="preserve">     Following </w:t>
      </w:r>
      <w:r w:rsidR="003033FD">
        <w:t xml:space="preserve">a description of </w:t>
      </w:r>
      <w:r w:rsidR="0054356F">
        <w:t xml:space="preserve">the type of intervention under consideration and the name of the investigator, the template consists of </w:t>
      </w:r>
      <w:r w:rsidR="00411C54">
        <w:t xml:space="preserve">six </w:t>
      </w:r>
      <w:proofErr w:type="gramStart"/>
      <w:r w:rsidR="00411C54">
        <w:t>main</w:t>
      </w:r>
      <w:proofErr w:type="gramEnd"/>
      <w:r w:rsidR="00222B57">
        <w:t>, generally qualitative,</w:t>
      </w:r>
      <w:r w:rsidR="00411C54">
        <w:t xml:space="preserve"> questions (</w:t>
      </w:r>
      <w:r w:rsidR="00222B57">
        <w:t>questions 3-6</w:t>
      </w:r>
      <w:r w:rsidR="00411C54">
        <w:t xml:space="preserve"> have associated sub-questions</w:t>
      </w:r>
      <w:r w:rsidR="00222B57">
        <w:t>, seeking associated quantitative information</w:t>
      </w:r>
      <w:r w:rsidR="00411C54">
        <w:t>)</w:t>
      </w:r>
      <w:r w:rsidR="003033FD">
        <w:t>. A</w:t>
      </w:r>
      <w:r w:rsidR="00411C54">
        <w:t>dditional comments</w:t>
      </w:r>
      <w:r w:rsidR="003033FD">
        <w:t xml:space="preserve"> are also elicited</w:t>
      </w:r>
      <w:r w:rsidR="00411C54">
        <w:t>.</w:t>
      </w:r>
      <w:r w:rsidR="003A6927">
        <w:t xml:space="preserve"> The six main questions and </w:t>
      </w:r>
      <w:r w:rsidR="00283A90">
        <w:t xml:space="preserve">associated </w:t>
      </w:r>
      <w:r w:rsidR="003A6927">
        <w:t>sub-questions are</w:t>
      </w:r>
      <w:r w:rsidR="008F0EB0">
        <w:t>:</w:t>
      </w:r>
    </w:p>
    <w:p w14:paraId="619F08B5" w14:textId="77777777" w:rsidR="00922E52" w:rsidRDefault="00922E52" w:rsidP="006E2268"/>
    <w:p w14:paraId="4E9E1549" w14:textId="575A82BC" w:rsidR="009B4C6E" w:rsidRDefault="00665B11" w:rsidP="00922E52">
      <w:pPr>
        <w:pStyle w:val="ListParagraph"/>
        <w:numPr>
          <w:ilvl w:val="0"/>
          <w:numId w:val="26"/>
        </w:numPr>
      </w:pPr>
      <w:r>
        <w:t>Why will this intervention improve rail track systems?</w:t>
      </w:r>
    </w:p>
    <w:p w14:paraId="362F8051" w14:textId="2C7A8F1A" w:rsidR="00665B11" w:rsidRDefault="00524E19" w:rsidP="00922E52">
      <w:pPr>
        <w:pStyle w:val="ListParagraph"/>
        <w:numPr>
          <w:ilvl w:val="0"/>
          <w:numId w:val="26"/>
        </w:numPr>
      </w:pPr>
      <w:r>
        <w:t>In assessing the engineering impacts of this intervention what are the key input and output variables?</w:t>
      </w:r>
    </w:p>
    <w:p w14:paraId="03380482" w14:textId="77777777" w:rsidR="00524E19" w:rsidRDefault="00524E19" w:rsidP="00524E19">
      <w:pPr>
        <w:pStyle w:val="ListParagraph"/>
      </w:pPr>
    </w:p>
    <w:p w14:paraId="74D0A432" w14:textId="187249DC" w:rsidR="00524E19" w:rsidRDefault="00F718C2" w:rsidP="00922E52">
      <w:pPr>
        <w:pStyle w:val="ListParagraph"/>
        <w:numPr>
          <w:ilvl w:val="0"/>
          <w:numId w:val="26"/>
        </w:numPr>
      </w:pPr>
      <w:r w:rsidRPr="00F718C2">
        <w:t xml:space="preserve">What </w:t>
      </w:r>
      <w:proofErr w:type="gramStart"/>
      <w:r w:rsidRPr="00F718C2">
        <w:t>are</w:t>
      </w:r>
      <w:proofErr w:type="gramEnd"/>
      <w:r w:rsidRPr="00F718C2">
        <w:t xml:space="preserve"> the main one-off (capital expenditure) and recurrent (operating expenditure) financial costs of the intervention?</w:t>
      </w:r>
    </w:p>
    <w:p w14:paraId="4B06071B" w14:textId="77777777" w:rsidR="00F718C2" w:rsidRDefault="00F718C2" w:rsidP="00F718C2">
      <w:pPr>
        <w:pStyle w:val="ListParagraph"/>
      </w:pPr>
    </w:p>
    <w:p w14:paraId="7388327E" w14:textId="6534B519" w:rsidR="00F718C2" w:rsidRDefault="00F718C2" w:rsidP="00F718C2">
      <w:pPr>
        <w:pStyle w:val="ListParagraph"/>
        <w:ind w:left="1440"/>
        <w:rPr>
          <w:i/>
          <w:iCs/>
        </w:rPr>
      </w:pPr>
      <w:r>
        <w:t>Sub-question:</w:t>
      </w:r>
      <w:r w:rsidR="009F2908">
        <w:t xml:space="preserve"> </w:t>
      </w:r>
      <w:r w:rsidR="009F2908" w:rsidRPr="00E86C4B">
        <w:t>What is your judgement of the magnitude of these costs and can they be quantified? If so, how?</w:t>
      </w:r>
    </w:p>
    <w:p w14:paraId="32145BDF" w14:textId="5215410B" w:rsidR="009F2908" w:rsidRDefault="009F2908" w:rsidP="00F718C2">
      <w:pPr>
        <w:pStyle w:val="ListParagraph"/>
        <w:ind w:left="1440"/>
        <w:rPr>
          <w:i/>
          <w:iCs/>
        </w:rPr>
      </w:pPr>
    </w:p>
    <w:p w14:paraId="32F58BF7" w14:textId="19E83CDE" w:rsidR="009F2908" w:rsidRDefault="00436871" w:rsidP="009F2908">
      <w:pPr>
        <w:pStyle w:val="ListParagraph"/>
        <w:numPr>
          <w:ilvl w:val="0"/>
          <w:numId w:val="26"/>
        </w:numPr>
      </w:pPr>
      <w:r>
        <w:t xml:space="preserve">What are the main operator benefits? </w:t>
      </w:r>
      <w:r w:rsidRPr="00E86C4B">
        <w:rPr>
          <w:iCs/>
        </w:rPr>
        <w:t>Operator refers to both infrastructure (Network Rail and its suppliers) and train services (T</w:t>
      </w:r>
      <w:r w:rsidR="005A54E1">
        <w:rPr>
          <w:iCs/>
        </w:rPr>
        <w:t xml:space="preserve">rain </w:t>
      </w:r>
      <w:r w:rsidRPr="00E86C4B">
        <w:rPr>
          <w:iCs/>
        </w:rPr>
        <w:t>O</w:t>
      </w:r>
      <w:r w:rsidR="005A54E1">
        <w:rPr>
          <w:iCs/>
        </w:rPr>
        <w:t xml:space="preserve">perating </w:t>
      </w:r>
      <w:r w:rsidRPr="00E86C4B">
        <w:rPr>
          <w:iCs/>
        </w:rPr>
        <w:t>C</w:t>
      </w:r>
      <w:r w:rsidR="005A54E1">
        <w:rPr>
          <w:iCs/>
        </w:rPr>
        <w:t>ompanies</w:t>
      </w:r>
      <w:r w:rsidRPr="00E86C4B">
        <w:rPr>
          <w:iCs/>
        </w:rPr>
        <w:t xml:space="preserve"> and their suppliers).</w:t>
      </w:r>
    </w:p>
    <w:p w14:paraId="146D2455" w14:textId="77777777" w:rsidR="009F2908" w:rsidRDefault="009F2908" w:rsidP="00F718C2">
      <w:pPr>
        <w:pStyle w:val="ListParagraph"/>
        <w:ind w:left="1440"/>
      </w:pPr>
    </w:p>
    <w:p w14:paraId="03D42F93" w14:textId="03568A48" w:rsidR="00436871" w:rsidRDefault="00436871" w:rsidP="00436871">
      <w:pPr>
        <w:pStyle w:val="ListParagraph"/>
        <w:ind w:left="1440"/>
        <w:rPr>
          <w:i/>
          <w:iCs/>
        </w:rPr>
      </w:pPr>
      <w:r>
        <w:t xml:space="preserve">Sub-question: </w:t>
      </w:r>
      <w:r w:rsidR="00F2178F" w:rsidRPr="00E86C4B">
        <w:t>What is your judgement of the magnitude of these benefits and can they be quantified? If so, how?</w:t>
      </w:r>
    </w:p>
    <w:p w14:paraId="20A66316" w14:textId="77777777" w:rsidR="008F0EB0" w:rsidRDefault="008F0EB0" w:rsidP="006E2268"/>
    <w:p w14:paraId="0709C96F" w14:textId="54817485" w:rsidR="00F2178F" w:rsidRPr="00E86C4B" w:rsidRDefault="008D044B" w:rsidP="00F2178F">
      <w:pPr>
        <w:pStyle w:val="ListParagraph"/>
        <w:numPr>
          <w:ilvl w:val="0"/>
          <w:numId w:val="26"/>
        </w:numPr>
      </w:pPr>
      <w:r w:rsidRPr="008D044B">
        <w:t xml:space="preserve">What are the main user benefits? </w:t>
      </w:r>
      <w:r w:rsidRPr="00E86C4B">
        <w:t>User refers to customers of passenger and freight train services</w:t>
      </w:r>
      <w:r w:rsidR="00F7626A" w:rsidRPr="00E86C4B">
        <w:t>.</w:t>
      </w:r>
    </w:p>
    <w:p w14:paraId="1D815B67" w14:textId="77777777" w:rsidR="00F2178F" w:rsidRDefault="00F2178F" w:rsidP="00F2178F">
      <w:pPr>
        <w:pStyle w:val="ListParagraph"/>
        <w:ind w:left="1440"/>
      </w:pPr>
    </w:p>
    <w:p w14:paraId="069C3B1D" w14:textId="623154F1" w:rsidR="00F2178F" w:rsidRPr="00E86C4B" w:rsidRDefault="00F2178F" w:rsidP="00F2178F">
      <w:pPr>
        <w:pStyle w:val="ListParagraph"/>
        <w:ind w:left="1440"/>
      </w:pPr>
      <w:r>
        <w:t xml:space="preserve">Sub-question: </w:t>
      </w:r>
      <w:r w:rsidR="00F666FA" w:rsidRPr="00E86C4B">
        <w:t>What is your judgement of the magnitude of these benefits and can they be quantified? If so, how?</w:t>
      </w:r>
    </w:p>
    <w:p w14:paraId="15BD14EC" w14:textId="2A038D93" w:rsidR="00D9040D" w:rsidRDefault="00D9040D" w:rsidP="006E2268"/>
    <w:p w14:paraId="6CF1EAFC" w14:textId="476B84DB" w:rsidR="00986397" w:rsidRPr="00E86C4B" w:rsidRDefault="00B12DB8" w:rsidP="00986397">
      <w:pPr>
        <w:pStyle w:val="ListParagraph"/>
        <w:numPr>
          <w:ilvl w:val="0"/>
          <w:numId w:val="26"/>
        </w:numPr>
      </w:pPr>
      <w:r w:rsidRPr="00B12DB8">
        <w:t xml:space="preserve">What are the main non-user benefits? </w:t>
      </w:r>
      <w:r w:rsidRPr="00E86C4B">
        <w:t>Non-user refers to users if rival transport systems (air, road), residents or the wider communit</w:t>
      </w:r>
      <w:r w:rsidR="00527F4B" w:rsidRPr="00E86C4B">
        <w:t>y.</w:t>
      </w:r>
    </w:p>
    <w:p w14:paraId="17D0B6B1" w14:textId="77777777" w:rsidR="00986397" w:rsidRDefault="00986397" w:rsidP="00986397">
      <w:pPr>
        <w:pStyle w:val="ListParagraph"/>
        <w:ind w:left="1440"/>
      </w:pPr>
    </w:p>
    <w:p w14:paraId="3CFD6291" w14:textId="1F3284CA" w:rsidR="00986397" w:rsidRPr="00E86C4B" w:rsidRDefault="00986397" w:rsidP="00986397">
      <w:pPr>
        <w:pStyle w:val="ListParagraph"/>
        <w:ind w:left="1440"/>
      </w:pPr>
      <w:r>
        <w:t xml:space="preserve">Sub-question: </w:t>
      </w:r>
      <w:r w:rsidR="0072559F" w:rsidRPr="00E86C4B">
        <w:t>What is your judgement of the magnitude of these benefits and can they be quantified? If so, how?</w:t>
      </w:r>
    </w:p>
    <w:p w14:paraId="655B1AB0" w14:textId="77777777" w:rsidR="00F2178F" w:rsidRDefault="00F2178F" w:rsidP="006E2268"/>
    <w:p w14:paraId="2373A553" w14:textId="32951692" w:rsidR="001E73E5" w:rsidRDefault="00191870" w:rsidP="006E2268">
      <w:r>
        <w:t xml:space="preserve">The template thus seeks a set of standardised qualitative inputs to the assessment of </w:t>
      </w:r>
      <w:r w:rsidR="004E485B">
        <w:t>a proposed intervention, supported where possible by the associated quantitative inputs needed for detailed economic</w:t>
      </w:r>
      <w:r w:rsidR="00244875">
        <w:t xml:space="preserve"> and/or carbon</w:t>
      </w:r>
      <w:r w:rsidR="00632D21">
        <w:t xml:space="preserve"> analysis.</w:t>
      </w:r>
      <w:r w:rsidR="00244875">
        <w:t xml:space="preserve"> </w:t>
      </w:r>
      <w:r w:rsidR="00076886">
        <w:t>It is not generally anticipated</w:t>
      </w:r>
      <w:r w:rsidR="00632D21">
        <w:t xml:space="preserve"> </w:t>
      </w:r>
      <w:r w:rsidR="008042BC">
        <w:t xml:space="preserve">that the subject matter expert for a given intervention will be able to </w:t>
      </w:r>
      <w:r w:rsidR="006531E7">
        <w:t>directly provide</w:t>
      </w:r>
      <w:r w:rsidR="008D2850">
        <w:t xml:space="preserve"> all</w:t>
      </w:r>
      <w:r w:rsidR="006531E7">
        <w:t xml:space="preserve"> the data </w:t>
      </w:r>
      <w:r w:rsidR="00D33A8D">
        <w:t xml:space="preserve">inputs </w:t>
      </w:r>
      <w:r w:rsidR="006531E7">
        <w:t>needed for detailed analysis</w:t>
      </w:r>
      <w:r w:rsidR="00D33A8D">
        <w:t xml:space="preserve">, but rather that (s)he will be able to </w:t>
      </w:r>
      <w:r w:rsidR="00E06D7F">
        <w:t>‘</w:t>
      </w:r>
      <w:r w:rsidR="00D33A8D">
        <w:t>point the anal</w:t>
      </w:r>
      <w:r w:rsidR="00E06D7F">
        <w:t xml:space="preserve">ysts towards’ the sources of the required data. </w:t>
      </w:r>
    </w:p>
    <w:p w14:paraId="0A3B63F4" w14:textId="5E67FA93" w:rsidR="00E91B4C" w:rsidRPr="00E3239D" w:rsidRDefault="00E91B4C" w:rsidP="00E91B4C">
      <w:pPr>
        <w:pStyle w:val="Heading1"/>
      </w:pPr>
      <w:r>
        <w:t>an ontological approach</w:t>
      </w:r>
    </w:p>
    <w:p w14:paraId="1DE32B7C" w14:textId="54B4B28E" w:rsidR="00CF3B78" w:rsidRDefault="00CF3B78" w:rsidP="00CF3B78">
      <w:pPr>
        <w:pStyle w:val="Heading2"/>
      </w:pPr>
      <w:r>
        <w:t>The Need for a New Approach</w:t>
      </w:r>
    </w:p>
    <w:p w14:paraId="61D643CD" w14:textId="1504F534" w:rsidR="00B356C9" w:rsidRDefault="00B356C9" w:rsidP="006E2268">
      <w:r>
        <w:t xml:space="preserve">Having developed a standardised </w:t>
      </w:r>
      <w:r w:rsidR="00836CC5">
        <w:t xml:space="preserve">template </w:t>
      </w:r>
      <w:r w:rsidR="008C6641">
        <w:t>(informed by logic mapping, as in [</w:t>
      </w:r>
      <w:r w:rsidR="009F3ECB">
        <w:t>10</w:t>
      </w:r>
      <w:r w:rsidR="008C6641">
        <w:t xml:space="preserve">]) </w:t>
      </w:r>
      <w:r w:rsidR="00836CC5">
        <w:t xml:space="preserve">for intervention-related inputs, </w:t>
      </w:r>
      <w:r w:rsidR="00841682">
        <w:t>outputs and outcomes/impacts</w:t>
      </w:r>
      <w:r w:rsidR="001C0C7E">
        <w:t>,</w:t>
      </w:r>
      <w:r w:rsidR="00E25499">
        <w:t xml:space="preserve"> </w:t>
      </w:r>
      <w:r w:rsidR="00836CC5">
        <w:t>attention turned to the bes</w:t>
      </w:r>
      <w:r w:rsidR="004A4BAD">
        <w:t>t</w:t>
      </w:r>
      <w:r w:rsidR="00836CC5">
        <w:t xml:space="preserve"> means of standardising the </w:t>
      </w:r>
      <w:r w:rsidR="00D611B1">
        <w:t>analysis process</w:t>
      </w:r>
      <w:r w:rsidR="005E6906">
        <w:t xml:space="preserve">, and developing </w:t>
      </w:r>
      <w:r w:rsidR="00C36F5E" w:rsidRPr="00C36F5E">
        <w:t xml:space="preserve">a transferable, flexible framework to generalise the </w:t>
      </w:r>
      <w:r w:rsidR="00D96061">
        <w:t xml:space="preserve">modelling </w:t>
      </w:r>
      <w:r w:rsidR="00C36F5E" w:rsidRPr="00C36F5E">
        <w:t>processes</w:t>
      </w:r>
      <w:r w:rsidR="00746A7A">
        <w:t>.</w:t>
      </w:r>
      <w:r w:rsidR="00C36F5E" w:rsidRPr="00C36F5E">
        <w:t xml:space="preserve"> </w:t>
      </w:r>
      <w:r w:rsidR="001D3805">
        <w:t>These processes</w:t>
      </w:r>
      <w:r w:rsidR="00746A7A">
        <w:t xml:space="preserve"> should </w:t>
      </w:r>
      <w:r w:rsidR="002C6BC7">
        <w:t xml:space="preserve">consider and </w:t>
      </w:r>
      <w:r w:rsidR="00746A7A">
        <w:t>include</w:t>
      </w:r>
      <w:r w:rsidR="00C36F5E" w:rsidRPr="00C36F5E">
        <w:t xml:space="preserve"> the whole life socio-economic (all relevant costs and benefits including carbon) and financial (all relevant cash flows, including Schedule 4 and 8</w:t>
      </w:r>
      <w:r w:rsidR="00A37AC8">
        <w:t xml:space="preserve"> compensation payments for</w:t>
      </w:r>
      <w:r w:rsidR="00841682">
        <w:t xml:space="preserve">, </w:t>
      </w:r>
      <w:r w:rsidR="00841682" w:rsidRPr="00841682">
        <w:t>respectively</w:t>
      </w:r>
      <w:r w:rsidR="00841682">
        <w:t>,</w:t>
      </w:r>
      <w:r w:rsidR="00A37AC8">
        <w:t xml:space="preserve"> planned and unplanned disr</w:t>
      </w:r>
      <w:r w:rsidR="00005522">
        <w:t>uptions</w:t>
      </w:r>
      <w:r w:rsidR="00C36F5E" w:rsidRPr="00C36F5E">
        <w:t>) impacts of track/railway system interventions</w:t>
      </w:r>
      <w:r w:rsidR="002C6BC7">
        <w:t xml:space="preserve">, </w:t>
      </w:r>
      <w:r w:rsidR="00C36F5E" w:rsidRPr="00C36F5E">
        <w:t>i.e. changes to infrastructure and/or the traffic using it</w:t>
      </w:r>
      <w:r w:rsidR="00005522">
        <w:t xml:space="preserve">. </w:t>
      </w:r>
    </w:p>
    <w:p w14:paraId="2EC88877" w14:textId="3DEEB5AA" w:rsidR="002C6BC7" w:rsidRDefault="002C6BC7" w:rsidP="006E2268">
      <w:r>
        <w:t xml:space="preserve">     </w:t>
      </w:r>
      <w:r w:rsidR="00B55A06">
        <w:t>It was envisaged that t</w:t>
      </w:r>
      <w:r w:rsidR="00B55A06" w:rsidRPr="00B55A06">
        <w:t xml:space="preserve">he result should </w:t>
      </w:r>
      <w:r w:rsidR="001D3805">
        <w:t xml:space="preserve">take the form </w:t>
      </w:r>
      <w:r w:rsidR="00B55A06" w:rsidRPr="00B55A06">
        <w:t xml:space="preserve">of a ‘whole-life cost dashboard’, ideally interfacing with existing tools such as </w:t>
      </w:r>
      <w:r w:rsidR="00B55A06">
        <w:t>the Rail Safety and Standards Board’s (</w:t>
      </w:r>
      <w:r w:rsidR="00B55A06" w:rsidRPr="00B55A06">
        <w:t>RSSB’s</w:t>
      </w:r>
      <w:r w:rsidR="00B55A06">
        <w:t>)</w:t>
      </w:r>
      <w:r w:rsidR="00B55A06" w:rsidRPr="00B55A06">
        <w:t xml:space="preserve"> whole life carbon model, and potentially contributing to a ‘digital twin’ of the railway system. This would provide improved understanding, and enable easier and more effective management and handling, of industry datasets, including</w:t>
      </w:r>
      <w:r w:rsidR="00741BF0">
        <w:t>, for example,</w:t>
      </w:r>
      <w:r w:rsidR="00B55A06" w:rsidRPr="00B55A06">
        <w:t xml:space="preserve"> the identification, tagging and handling of missing data.</w:t>
      </w:r>
      <w:r w:rsidR="0033486C">
        <w:t xml:space="preserve"> Such </w:t>
      </w:r>
      <w:r w:rsidR="004F73DC">
        <w:t xml:space="preserve">a </w:t>
      </w:r>
      <w:r w:rsidR="00B55A06" w:rsidRPr="00B55A06">
        <w:t xml:space="preserve">generalised lifecycle cost model </w:t>
      </w:r>
      <w:r w:rsidR="0033486C">
        <w:t xml:space="preserve">would </w:t>
      </w:r>
      <w:r w:rsidR="00B55A06" w:rsidRPr="00B55A06">
        <w:t xml:space="preserve">hold and process data from different sources and provenances, and, where necessary, </w:t>
      </w:r>
      <w:r w:rsidR="00B55A06" w:rsidRPr="00B55A06">
        <w:lastRenderedPageBreak/>
        <w:t>of variable quality and criticality (i.e. the precision and accuracy of some datasets are more important than those of others).</w:t>
      </w:r>
    </w:p>
    <w:p w14:paraId="6CC2EE8A" w14:textId="7A3F940B" w:rsidR="00743A93" w:rsidRDefault="00FB67BD" w:rsidP="006E2268">
      <w:r>
        <w:t xml:space="preserve">     In order to meet these </w:t>
      </w:r>
      <w:r w:rsidR="008429CC">
        <w:t>needs, it was decided that an ontological approach should be adopted, as described and advocated</w:t>
      </w:r>
      <w:r w:rsidR="00C82985">
        <w:t xml:space="preserve"> in [</w:t>
      </w:r>
      <w:r w:rsidR="006C276C">
        <w:t>1</w:t>
      </w:r>
      <w:r w:rsidR="00557CC2">
        <w:t>1</w:t>
      </w:r>
      <w:r w:rsidR="00C82985">
        <w:t>]</w:t>
      </w:r>
      <w:r w:rsidR="008429CC">
        <w:t xml:space="preserve"> </w:t>
      </w:r>
      <w:r w:rsidR="00CE2117">
        <w:t xml:space="preserve">as a suitable </w:t>
      </w:r>
      <w:r w:rsidR="009476CD">
        <w:t xml:space="preserve">means of </w:t>
      </w:r>
      <w:r w:rsidR="00C82985">
        <w:t>integrati</w:t>
      </w:r>
      <w:r w:rsidR="009476CD">
        <w:t>ng</w:t>
      </w:r>
      <w:r w:rsidR="00C82985">
        <w:t xml:space="preserve"> </w:t>
      </w:r>
      <w:r w:rsidR="00926348">
        <w:t xml:space="preserve">and processing disparate sources of </w:t>
      </w:r>
      <w:r w:rsidR="005E4765">
        <w:t>rail</w:t>
      </w:r>
      <w:r w:rsidR="00E757DA">
        <w:t>way data</w:t>
      </w:r>
      <w:r w:rsidR="00EB678E">
        <w:t xml:space="preserve"> to generate useful</w:t>
      </w:r>
      <w:r w:rsidR="00E757DA">
        <w:t xml:space="preserve"> information and knowledge</w:t>
      </w:r>
      <w:r w:rsidR="00C82985">
        <w:t xml:space="preserve">. </w:t>
      </w:r>
      <w:r w:rsidR="00EE51CB">
        <w:t xml:space="preserve">Ontologies (in </w:t>
      </w:r>
      <w:r w:rsidR="005628C3">
        <w:t>the field of c</w:t>
      </w:r>
      <w:r w:rsidR="00EE51CB">
        <w:t xml:space="preserve">omputer </w:t>
      </w:r>
      <w:r w:rsidR="005628C3">
        <w:t>s</w:t>
      </w:r>
      <w:r w:rsidR="00EE51CB">
        <w:t xml:space="preserve">cience, </w:t>
      </w:r>
      <w:r w:rsidR="002210DE">
        <w:t>rather than</w:t>
      </w:r>
      <w:r w:rsidR="005628C3">
        <w:t xml:space="preserve"> p</w:t>
      </w:r>
      <w:r w:rsidR="00EE51CB">
        <w:t>hilosophy)</w:t>
      </w:r>
      <w:r w:rsidR="00726CDC">
        <w:t xml:space="preserve"> </w:t>
      </w:r>
      <w:r w:rsidR="000B5014">
        <w:t xml:space="preserve">are </w:t>
      </w:r>
      <w:r w:rsidR="000B5014" w:rsidRPr="000B5014">
        <w:rPr>
          <w:lang w:val="en"/>
        </w:rPr>
        <w:t>used to study the existence of entities within a specific domain</w:t>
      </w:r>
      <w:r w:rsidR="000B5014">
        <w:rPr>
          <w:lang w:val="en"/>
        </w:rPr>
        <w:t xml:space="preserve">. </w:t>
      </w:r>
      <w:r w:rsidR="00CE411F">
        <w:rPr>
          <w:lang w:val="en"/>
        </w:rPr>
        <w:t xml:space="preserve">Perhaps most easily described as the </w:t>
      </w:r>
      <w:r w:rsidR="005E5334">
        <w:rPr>
          <w:lang w:val="en"/>
        </w:rPr>
        <w:t>‘</w:t>
      </w:r>
      <w:r w:rsidR="00CE411F">
        <w:rPr>
          <w:lang w:val="en"/>
        </w:rPr>
        <w:t>knowledge model</w:t>
      </w:r>
      <w:r w:rsidR="005E5334">
        <w:rPr>
          <w:lang w:val="en"/>
        </w:rPr>
        <w:t>’</w:t>
      </w:r>
      <w:r w:rsidR="00CE411F">
        <w:rPr>
          <w:lang w:val="en"/>
        </w:rPr>
        <w:t xml:space="preserve"> component of what has previously been referred to as an </w:t>
      </w:r>
      <w:r w:rsidR="00726CDC">
        <w:t xml:space="preserve">Expert System, </w:t>
      </w:r>
      <w:r w:rsidR="00CE411F">
        <w:t>ontologies</w:t>
      </w:r>
      <w:r w:rsidR="00726CDC">
        <w:t xml:space="preserve"> </w:t>
      </w:r>
      <w:r w:rsidR="00CE411F">
        <w:t>display</w:t>
      </w:r>
      <w:r w:rsidR="00726CDC">
        <w:t xml:space="preserve"> some similarities with well-designed databases </w:t>
      </w:r>
      <w:r w:rsidR="00592823">
        <w:t xml:space="preserve">in terms of </w:t>
      </w:r>
      <w:r w:rsidR="00CE411F">
        <w:t>their ability to manage facts relating to the same entity</w:t>
      </w:r>
      <w:r w:rsidR="004B5B7B">
        <w:t xml:space="preserve">, but with added functionality </w:t>
      </w:r>
      <w:r w:rsidR="00CE411F">
        <w:t>for the capture of</w:t>
      </w:r>
      <w:r w:rsidR="004B5B7B">
        <w:t xml:space="preserve"> semantics (i.e. data meaning, source, quality, shortcomings, etc.)</w:t>
      </w:r>
      <w:r w:rsidR="00FC030A">
        <w:t xml:space="preserve">. </w:t>
      </w:r>
      <w:r w:rsidR="008E0233">
        <w:t>Semantics and rules describing the relationships between concepts (</w:t>
      </w:r>
      <w:r w:rsidR="000E65C0">
        <w:t>e.g</w:t>
      </w:r>
      <w:r w:rsidR="008E0233">
        <w:t>. different measures of temperature and the conversions linking them)</w:t>
      </w:r>
      <w:r w:rsidR="00FC030A">
        <w:t xml:space="preserve"> are stored in models with the corresponding data</w:t>
      </w:r>
      <w:r w:rsidR="00530025">
        <w:t>, and transformations</w:t>
      </w:r>
      <w:r w:rsidR="00FC030A">
        <w:t xml:space="preserve"> </w:t>
      </w:r>
      <w:r w:rsidR="00530025">
        <w:t xml:space="preserve">and translations </w:t>
      </w:r>
      <w:r w:rsidR="000C72D9">
        <w:t xml:space="preserve">then be undertaken within </w:t>
      </w:r>
      <w:r w:rsidR="0047370C">
        <w:t xml:space="preserve">models, </w:t>
      </w:r>
      <w:r w:rsidR="008E0233">
        <w:t>enabling updates or translations to be made once, within the scope of the model, rather than in multiple end-user software packages. T</w:t>
      </w:r>
      <w:r w:rsidR="0047370C">
        <w:t xml:space="preserve">his is </w:t>
      </w:r>
      <w:r w:rsidR="00757C62">
        <w:t>of particular potential value in the context of Britain’s railway industry, which uses and relies upon multiple</w:t>
      </w:r>
      <w:r w:rsidR="00C32EA1">
        <w:t xml:space="preserve"> poorly- or non-integrated</w:t>
      </w:r>
      <w:r w:rsidR="00757C62">
        <w:t xml:space="preserve"> legacy data systems</w:t>
      </w:r>
      <w:r w:rsidR="008E0233">
        <w:t xml:space="preserve">; each system can request the data in the form it needs, and the model can be relied </w:t>
      </w:r>
      <w:r w:rsidR="00C422F5">
        <w:t>up</w:t>
      </w:r>
      <w:r w:rsidR="008E0233">
        <w:t>on to provide either the raw data as stored (if it is already in the correct form), or to apply the appropriate translation to the data it does hold</w:t>
      </w:r>
      <w:r w:rsidR="00CA53A9">
        <w:t xml:space="preserve">. </w:t>
      </w:r>
      <w:r w:rsidR="00320951">
        <w:t>From an implementational perspective, o</w:t>
      </w:r>
      <w:r w:rsidR="00807E6D">
        <w:t>ntolog</w:t>
      </w:r>
      <w:r w:rsidR="00320951">
        <w:t>ies</w:t>
      </w:r>
      <w:r w:rsidR="00807E6D">
        <w:t xml:space="preserve"> </w:t>
      </w:r>
      <w:r w:rsidR="00320951">
        <w:t>are</w:t>
      </w:r>
      <w:r w:rsidR="00807E6D">
        <w:t xml:space="preserve"> </w:t>
      </w:r>
      <w:r w:rsidR="00320951">
        <w:t>typically represented using</w:t>
      </w:r>
      <w:r w:rsidR="00735C54">
        <w:t xml:space="preserve"> data ‘triples’</w:t>
      </w:r>
      <w:r w:rsidR="00320951">
        <w:t>,</w:t>
      </w:r>
      <w:r w:rsidR="00735C54">
        <w:t xml:space="preserve"> a node-link-node structure comprising </w:t>
      </w:r>
      <w:r w:rsidR="00367DC6">
        <w:t xml:space="preserve">Observation – Value – Data, or </w:t>
      </w:r>
      <w:r w:rsidR="00052390">
        <w:t>Subject</w:t>
      </w:r>
      <w:r w:rsidR="00367DC6">
        <w:t xml:space="preserve"> – Predicate – Object </w:t>
      </w:r>
      <w:r w:rsidR="00052390">
        <w:t xml:space="preserve">(or, in object-oriented programming terms, entity/instance </w:t>
      </w:r>
      <w:r w:rsidR="00916052">
        <w:t>–</w:t>
      </w:r>
      <w:r w:rsidR="00052390">
        <w:t xml:space="preserve"> </w:t>
      </w:r>
      <w:r w:rsidR="00916052">
        <w:t xml:space="preserve">property – value): for example, </w:t>
      </w:r>
      <w:r w:rsidR="00BB5F15">
        <w:t>‘</w:t>
      </w:r>
      <w:r w:rsidR="00916052">
        <w:t>South West Main Line – Electrification Type – Third Rail DC</w:t>
      </w:r>
      <w:r w:rsidR="00BB5F15">
        <w:t>’</w:t>
      </w:r>
      <w:r w:rsidR="00916052">
        <w:t>.</w:t>
      </w:r>
      <w:r w:rsidR="00320951">
        <w:t xml:space="preserve"> Graph-based databases known as </w:t>
      </w:r>
      <w:proofErr w:type="spellStart"/>
      <w:r w:rsidR="00320951">
        <w:t>triplestores</w:t>
      </w:r>
      <w:proofErr w:type="spellEnd"/>
      <w:r w:rsidR="00320951">
        <w:t xml:space="preserve"> are then used to hold the complete set of facts of interest, and to manipulate them efficiently.</w:t>
      </w:r>
    </w:p>
    <w:p w14:paraId="7DB00C43" w14:textId="0D4FCC50" w:rsidR="00F1754C" w:rsidRDefault="00F1754C" w:rsidP="006E2268">
      <w:r>
        <w:t xml:space="preserve">     In the context of the T2F and successor projects, an ontological approach will enable the combination of multiple and varied data sources into a more useful whole; this approach is particularly useful in broad analytical contexts, as in the case under consideration, i.e. the linking of infrastructure and/or rolling stock data with economic and/or carbon assessment.   </w:t>
      </w:r>
    </w:p>
    <w:p w14:paraId="58552CF8" w14:textId="2426965E" w:rsidR="00CF3B78" w:rsidRDefault="00CF3B78" w:rsidP="00CF3B78">
      <w:pPr>
        <w:pStyle w:val="Heading2"/>
      </w:pPr>
      <w:r>
        <w:t>Initial Ontology Development</w:t>
      </w:r>
    </w:p>
    <w:p w14:paraId="028F7838" w14:textId="4151D6AA" w:rsidR="00FB67BD" w:rsidRDefault="00651F26" w:rsidP="000B6AF6">
      <w:r>
        <w:t xml:space="preserve">As a first step </w:t>
      </w:r>
      <w:r w:rsidR="003E2A89">
        <w:t xml:space="preserve">in the movement towards </w:t>
      </w:r>
      <w:r w:rsidR="000B6AF6">
        <w:t>the development and application</w:t>
      </w:r>
      <w:r w:rsidR="003E2A89">
        <w:t xml:space="preserve"> of an ontological approach to </w:t>
      </w:r>
      <w:r w:rsidR="000B6AF6">
        <w:t xml:space="preserve">the problem domain, </w:t>
      </w:r>
      <w:r w:rsidR="009C6D04">
        <w:t>an intervention modelling framework was developed, with</w:t>
      </w:r>
      <w:r w:rsidR="00EA6923">
        <w:t xml:space="preserve"> </w:t>
      </w:r>
      <w:r w:rsidR="00521909">
        <w:t>six ‘top level’ areas of primary interest:</w:t>
      </w:r>
    </w:p>
    <w:p w14:paraId="57C59C8C" w14:textId="2C82D181" w:rsidR="00BF16AC" w:rsidRPr="008D2F37" w:rsidRDefault="00C763F3" w:rsidP="00BF16AC">
      <w:pPr>
        <w:pStyle w:val="ListBullets"/>
      </w:pPr>
      <w:r>
        <w:t>Impact Categories (general)</w:t>
      </w:r>
      <w:r w:rsidR="00BF16AC" w:rsidRPr="008D2F37">
        <w:t>.</w:t>
      </w:r>
    </w:p>
    <w:p w14:paraId="53138D6F" w14:textId="2B50F8B7" w:rsidR="00BF16AC" w:rsidRPr="008D2F37" w:rsidRDefault="00C763F3" w:rsidP="00BF16AC">
      <w:pPr>
        <w:pStyle w:val="ListBullets"/>
      </w:pPr>
      <w:r>
        <w:t>Inputs</w:t>
      </w:r>
      <w:r w:rsidR="00BF16AC" w:rsidRPr="008D2F37">
        <w:t>.</w:t>
      </w:r>
    </w:p>
    <w:p w14:paraId="3025CEB7" w14:textId="039DE805" w:rsidR="00BF16AC" w:rsidRDefault="00C763F3" w:rsidP="00BF16AC">
      <w:pPr>
        <w:pStyle w:val="ListBullets"/>
      </w:pPr>
      <w:r>
        <w:t>Processes</w:t>
      </w:r>
      <w:r w:rsidR="00BF16AC" w:rsidRPr="008D2F37">
        <w:t>.</w:t>
      </w:r>
    </w:p>
    <w:p w14:paraId="5BDACA80" w14:textId="6DB5769D" w:rsidR="00C763F3" w:rsidRDefault="00C763F3" w:rsidP="00BF16AC">
      <w:pPr>
        <w:pStyle w:val="ListBullets"/>
      </w:pPr>
      <w:r>
        <w:t>Outputs</w:t>
      </w:r>
      <w:r w:rsidR="00895693">
        <w:t>.</w:t>
      </w:r>
    </w:p>
    <w:p w14:paraId="659446BD" w14:textId="35047C35" w:rsidR="00895693" w:rsidRDefault="00895693" w:rsidP="00BF16AC">
      <w:pPr>
        <w:pStyle w:val="ListBullets"/>
      </w:pPr>
      <w:r>
        <w:t>Outcomes.</w:t>
      </w:r>
    </w:p>
    <w:p w14:paraId="081DCF14" w14:textId="51093188" w:rsidR="00895693" w:rsidRDefault="00895693" w:rsidP="00895693">
      <w:pPr>
        <w:pStyle w:val="ListBullets"/>
        <w:ind w:left="714" w:hanging="357"/>
      </w:pPr>
      <w:r>
        <w:t>Impacts.</w:t>
      </w:r>
    </w:p>
    <w:p w14:paraId="5487CA74" w14:textId="3F8BD580" w:rsidR="00B42CE6" w:rsidRDefault="008809DC" w:rsidP="006E2268">
      <w:r>
        <w:t xml:space="preserve">These </w:t>
      </w:r>
      <w:r w:rsidR="00EA6923">
        <w:t xml:space="preserve">areas </w:t>
      </w:r>
      <w:r>
        <w:t xml:space="preserve">were disaggregated and </w:t>
      </w:r>
      <w:r w:rsidR="006634AD">
        <w:t xml:space="preserve">sub-categorised, as </w:t>
      </w:r>
      <w:r w:rsidR="00204A2A">
        <w:t>set out</w:t>
      </w:r>
      <w:r w:rsidR="006634AD">
        <w:t xml:space="preserve"> below, including the</w:t>
      </w:r>
      <w:r w:rsidR="0001769B">
        <w:t>ir</w:t>
      </w:r>
      <w:r w:rsidR="006634AD">
        <w:t xml:space="preserve"> sub-division </w:t>
      </w:r>
      <w:r w:rsidR="00B734D1">
        <w:t xml:space="preserve">into ‘Real World’ and ‘Scientific/Experimental’ </w:t>
      </w:r>
      <w:r w:rsidR="0090308C">
        <w:t>sub-categories</w:t>
      </w:r>
      <w:r w:rsidR="00160D1C">
        <w:t xml:space="preserve"> where appropriate</w:t>
      </w:r>
      <w:r w:rsidR="0090308C">
        <w:t>.</w:t>
      </w:r>
    </w:p>
    <w:p w14:paraId="78E60193" w14:textId="219ABE52" w:rsidR="00ED6A64" w:rsidRDefault="00ED6A64" w:rsidP="00ED6A64">
      <w:pPr>
        <w:pStyle w:val="ListBullets"/>
      </w:pPr>
      <w:r>
        <w:t>Impact Categories (general)</w:t>
      </w:r>
    </w:p>
    <w:p w14:paraId="48840F07" w14:textId="794E0997" w:rsidR="00ED6A64" w:rsidRDefault="00ED6A64" w:rsidP="00ED6A64">
      <w:pPr>
        <w:pStyle w:val="ListBullets"/>
        <w:numPr>
          <w:ilvl w:val="1"/>
          <w:numId w:val="22"/>
        </w:numPr>
      </w:pPr>
      <w:r>
        <w:t>Benefits</w:t>
      </w:r>
      <w:r w:rsidR="00ED2C2D">
        <w:t xml:space="preserve"> – </w:t>
      </w:r>
      <w:bookmarkStart w:id="1" w:name="_Hlk32934165"/>
      <w:r w:rsidR="00ED2C2D">
        <w:t>quantitative (e.g. track life increase, noise reduction) and qualitative</w:t>
      </w:r>
    </w:p>
    <w:bookmarkEnd w:id="1"/>
    <w:p w14:paraId="07609B10" w14:textId="03FE6022" w:rsidR="00ED6A64" w:rsidRDefault="00ED6A64" w:rsidP="00ED6A64">
      <w:pPr>
        <w:pStyle w:val="ListBullets"/>
        <w:numPr>
          <w:ilvl w:val="1"/>
          <w:numId w:val="22"/>
        </w:numPr>
      </w:pPr>
      <w:r>
        <w:lastRenderedPageBreak/>
        <w:t>Disbenefits</w:t>
      </w:r>
      <w:r w:rsidR="00B91D7D">
        <w:t xml:space="preserve"> - quantitative (e.g. whole-life carbon footprint increase, </w:t>
      </w:r>
      <w:r w:rsidR="00314D74">
        <w:t>maintenance cost increase</w:t>
      </w:r>
      <w:r w:rsidR="00B91D7D">
        <w:t>) and qualitative</w:t>
      </w:r>
    </w:p>
    <w:p w14:paraId="62B0EB49" w14:textId="0C4A8378" w:rsidR="00ED6A64" w:rsidRDefault="00A30A40" w:rsidP="00ED6A64">
      <w:pPr>
        <w:pStyle w:val="ListBullets"/>
        <w:numPr>
          <w:ilvl w:val="1"/>
          <w:numId w:val="22"/>
        </w:numPr>
      </w:pPr>
      <w:r>
        <w:t>Additional comments (qualitative)</w:t>
      </w:r>
    </w:p>
    <w:p w14:paraId="658AFBA5" w14:textId="7BB234DC" w:rsidR="00A44A0B" w:rsidRDefault="00A44A0B" w:rsidP="00A44A0B">
      <w:pPr>
        <w:pStyle w:val="ListBullets"/>
      </w:pPr>
      <w:r>
        <w:t>Inputs</w:t>
      </w:r>
    </w:p>
    <w:p w14:paraId="7EA2DB5F" w14:textId="0D3B6FD0" w:rsidR="00B64951" w:rsidRDefault="00B64951" w:rsidP="00B64951">
      <w:pPr>
        <w:pStyle w:val="ListBullets"/>
        <w:numPr>
          <w:ilvl w:val="1"/>
          <w:numId w:val="22"/>
        </w:numPr>
      </w:pPr>
      <w:r>
        <w:t>‘Real World’</w:t>
      </w:r>
    </w:p>
    <w:p w14:paraId="3C3D2D65" w14:textId="1E9A7CFF" w:rsidR="00B64951" w:rsidRDefault="00B64951" w:rsidP="00B64951">
      <w:pPr>
        <w:pStyle w:val="ListBullets"/>
        <w:numPr>
          <w:ilvl w:val="2"/>
          <w:numId w:val="22"/>
        </w:numPr>
      </w:pPr>
      <w:r>
        <w:t>Time</w:t>
      </w:r>
    </w:p>
    <w:p w14:paraId="27BA0566" w14:textId="328DC097" w:rsidR="00B64951" w:rsidRDefault="00B64951" w:rsidP="00B64951">
      <w:pPr>
        <w:pStyle w:val="ListBullets"/>
        <w:numPr>
          <w:ilvl w:val="2"/>
          <w:numId w:val="22"/>
        </w:numPr>
      </w:pPr>
      <w:r>
        <w:t>Money</w:t>
      </w:r>
    </w:p>
    <w:p w14:paraId="211FD3BB" w14:textId="77777777" w:rsidR="00A84F9B" w:rsidRDefault="00A84F9B" w:rsidP="00A84F9B">
      <w:pPr>
        <w:pStyle w:val="ListBullets"/>
        <w:numPr>
          <w:ilvl w:val="2"/>
          <w:numId w:val="22"/>
        </w:numPr>
      </w:pPr>
      <w:r>
        <w:t>Resources/Materials</w:t>
      </w:r>
    </w:p>
    <w:p w14:paraId="5D0A5E29" w14:textId="77777777" w:rsidR="00A84F9B" w:rsidRDefault="00A84F9B" w:rsidP="00A84F9B">
      <w:pPr>
        <w:pStyle w:val="ListBullets"/>
        <w:numPr>
          <w:ilvl w:val="2"/>
          <w:numId w:val="22"/>
        </w:numPr>
      </w:pPr>
      <w:r>
        <w:t>Railway Industry Data</w:t>
      </w:r>
    </w:p>
    <w:p w14:paraId="71CB31B2" w14:textId="77777777" w:rsidR="00A84F9B" w:rsidRDefault="00A84F9B" w:rsidP="00A84F9B">
      <w:pPr>
        <w:pStyle w:val="ListBullets"/>
        <w:numPr>
          <w:ilvl w:val="3"/>
          <w:numId w:val="22"/>
        </w:numPr>
      </w:pPr>
      <w:r>
        <w:t>Timetables (base cases)</w:t>
      </w:r>
    </w:p>
    <w:p w14:paraId="1B3E5B99" w14:textId="4A23F5F0" w:rsidR="00A84F9B" w:rsidRDefault="00A84F9B" w:rsidP="00A84F9B">
      <w:pPr>
        <w:pStyle w:val="ListBullets"/>
        <w:numPr>
          <w:ilvl w:val="3"/>
          <w:numId w:val="22"/>
        </w:numPr>
      </w:pPr>
      <w:r>
        <w:t xml:space="preserve">Unit Cost data – e.g. </w:t>
      </w:r>
      <w:r w:rsidR="00CB456D">
        <w:t>USP</w:t>
      </w:r>
      <w:r>
        <w:t>s, fibre-reinforced ballast, M&amp;R activities</w:t>
      </w:r>
    </w:p>
    <w:p w14:paraId="424CBFA5" w14:textId="3909DCF5" w:rsidR="00A84F9B" w:rsidRDefault="00A84F9B" w:rsidP="00A84F9B">
      <w:pPr>
        <w:pStyle w:val="ListBullets"/>
        <w:numPr>
          <w:ilvl w:val="3"/>
          <w:numId w:val="22"/>
        </w:numPr>
      </w:pPr>
      <w:r>
        <w:t xml:space="preserve">Primary process-specific data related to the manufacturing of different track components </w:t>
      </w:r>
    </w:p>
    <w:p w14:paraId="1560E639" w14:textId="77777777" w:rsidR="00A84F9B" w:rsidRDefault="00A84F9B" w:rsidP="00A84F9B">
      <w:pPr>
        <w:pStyle w:val="ListBullets"/>
        <w:numPr>
          <w:ilvl w:val="3"/>
          <w:numId w:val="22"/>
        </w:numPr>
      </w:pPr>
      <w:r>
        <w:t>Secondary manufacturing and process-specific data</w:t>
      </w:r>
    </w:p>
    <w:p w14:paraId="416CE4E9" w14:textId="1A7A44F9" w:rsidR="00A84F9B" w:rsidRDefault="00A84F9B" w:rsidP="00A84F9B">
      <w:pPr>
        <w:pStyle w:val="ListBullets"/>
        <w:numPr>
          <w:ilvl w:val="3"/>
          <w:numId w:val="22"/>
        </w:numPr>
      </w:pPr>
      <w:r>
        <w:t xml:space="preserve">Detailed qualitative and quantitative data on the installation, maintenance, inspection and renewal procedures adopted by </w:t>
      </w:r>
      <w:r w:rsidR="00A55B4F">
        <w:t>Network Rail (</w:t>
      </w:r>
      <w:r>
        <w:t xml:space="preserve">the infrastructure </w:t>
      </w:r>
      <w:r w:rsidR="00B1642A">
        <w:t>manager</w:t>
      </w:r>
      <w:r>
        <w:t xml:space="preserve"> </w:t>
      </w:r>
      <w:r w:rsidR="00A55B4F">
        <w:t>of Britain’s railways)</w:t>
      </w:r>
    </w:p>
    <w:p w14:paraId="09968E12" w14:textId="77777777" w:rsidR="00A84F9B" w:rsidRDefault="00A84F9B" w:rsidP="00A84F9B">
      <w:pPr>
        <w:pStyle w:val="ListBullets"/>
        <w:numPr>
          <w:ilvl w:val="3"/>
          <w:numId w:val="22"/>
        </w:numPr>
      </w:pPr>
      <w:r>
        <w:t>Detailed information related to the end-of-life pathways of different track components (qualitative and quantitative), including locations of landfill sites, energy recuperation facilities, etc. from which detailed data may be obtained</w:t>
      </w:r>
    </w:p>
    <w:p w14:paraId="6FD510B1" w14:textId="77777777" w:rsidR="00A84F9B" w:rsidRDefault="00A84F9B" w:rsidP="00A84F9B">
      <w:pPr>
        <w:pStyle w:val="ListBullets"/>
        <w:numPr>
          <w:ilvl w:val="3"/>
          <w:numId w:val="22"/>
        </w:numPr>
      </w:pPr>
      <w:r>
        <w:t>Other Network Rail financial data: track access charges, schedule 4 and 8 payments, impact on Regulatory Asset Base etc.</w:t>
      </w:r>
    </w:p>
    <w:p w14:paraId="5BEE536E" w14:textId="6DF97351" w:rsidR="00A84F9B" w:rsidRDefault="00A84F9B" w:rsidP="00A84F9B">
      <w:pPr>
        <w:pStyle w:val="ListBullets"/>
        <w:numPr>
          <w:ilvl w:val="3"/>
          <w:numId w:val="22"/>
        </w:numPr>
      </w:pPr>
      <w:r>
        <w:t xml:space="preserve">Operational data – train movements (e.g. </w:t>
      </w:r>
      <w:r w:rsidR="00156F51">
        <w:t xml:space="preserve">equivalent million </w:t>
      </w:r>
      <w:r w:rsidR="001713A6">
        <w:t>gross to</w:t>
      </w:r>
      <w:r w:rsidR="00A84AD6">
        <w:t>nnes per annum (</w:t>
      </w:r>
      <w:r>
        <w:t>EMGTPA</w:t>
      </w:r>
      <w:r w:rsidR="00A84AD6">
        <w:t>)</w:t>
      </w:r>
      <w:r>
        <w:t>)</w:t>
      </w:r>
    </w:p>
    <w:p w14:paraId="03221D1A" w14:textId="4924CEF4" w:rsidR="00B64951" w:rsidRDefault="00A84AD6" w:rsidP="00397049">
      <w:pPr>
        <w:pStyle w:val="ListBullets"/>
        <w:numPr>
          <w:ilvl w:val="3"/>
          <w:numId w:val="22"/>
        </w:numPr>
      </w:pPr>
      <w:r>
        <w:t>Operator</w:t>
      </w:r>
      <w:r w:rsidR="00A84F9B">
        <w:t xml:space="preserve"> data: traffic levels (passenger km, tonne km, revenue)</w:t>
      </w:r>
    </w:p>
    <w:p w14:paraId="53D87E6A" w14:textId="77777777" w:rsidR="004E121E" w:rsidRDefault="004E121E" w:rsidP="00E630BD">
      <w:pPr>
        <w:pStyle w:val="ListBullets"/>
        <w:numPr>
          <w:ilvl w:val="1"/>
          <w:numId w:val="22"/>
        </w:numPr>
      </w:pPr>
      <w:r>
        <w:t>Scientific/Experimental (exogenous to the intervention)</w:t>
      </w:r>
    </w:p>
    <w:p w14:paraId="33768A84" w14:textId="1C886772" w:rsidR="004E121E" w:rsidRDefault="004E121E" w:rsidP="0041071C">
      <w:pPr>
        <w:pStyle w:val="ListBullets"/>
        <w:ind w:left="2154"/>
      </w:pPr>
      <w:r>
        <w:t>Demographics</w:t>
      </w:r>
    </w:p>
    <w:p w14:paraId="65ACB3E8" w14:textId="57D9C0B6" w:rsidR="004E121E" w:rsidRDefault="004E121E" w:rsidP="0041071C">
      <w:pPr>
        <w:pStyle w:val="ListBullets"/>
        <w:ind w:left="2154"/>
      </w:pPr>
      <w:r>
        <w:t>Land use</w:t>
      </w:r>
    </w:p>
    <w:p w14:paraId="2D7EAFD6" w14:textId="6A9DA598" w:rsidR="004E121E" w:rsidRDefault="004E121E" w:rsidP="0041071C">
      <w:pPr>
        <w:pStyle w:val="ListBullets"/>
        <w:ind w:left="2154"/>
      </w:pPr>
      <w:r>
        <w:t>Railway topography (e.g. embankment vs. cutting)</w:t>
      </w:r>
    </w:p>
    <w:p w14:paraId="702C7570" w14:textId="79E4BCE9" w:rsidR="004E121E" w:rsidRDefault="004E121E" w:rsidP="0041071C">
      <w:pPr>
        <w:pStyle w:val="ListBullets"/>
        <w:ind w:left="2154"/>
      </w:pPr>
      <w:r>
        <w:t>Asset condition and characteristics (i.e. what type of asset is it?)</w:t>
      </w:r>
    </w:p>
    <w:p w14:paraId="0ED47A34" w14:textId="05FF357F" w:rsidR="004E121E" w:rsidRDefault="004E121E" w:rsidP="00AA0416">
      <w:pPr>
        <w:pStyle w:val="ListBullets"/>
        <w:numPr>
          <w:ilvl w:val="2"/>
          <w:numId w:val="22"/>
        </w:numPr>
      </w:pPr>
      <w:r>
        <w:t>Ambient air- and ground-borne noise levels</w:t>
      </w:r>
    </w:p>
    <w:p w14:paraId="0860E3DA" w14:textId="58230B86" w:rsidR="004E121E" w:rsidRDefault="004E121E" w:rsidP="00AA0416">
      <w:pPr>
        <w:pStyle w:val="ListBullets"/>
        <w:numPr>
          <w:ilvl w:val="2"/>
          <w:numId w:val="22"/>
        </w:numPr>
      </w:pPr>
      <w:r>
        <w:t>Carbon emissions by mode</w:t>
      </w:r>
    </w:p>
    <w:p w14:paraId="0811D633" w14:textId="212A97B2" w:rsidR="004E121E" w:rsidRDefault="004E121E" w:rsidP="00FC1BA2">
      <w:pPr>
        <w:pStyle w:val="ListBullets"/>
        <w:numPr>
          <w:ilvl w:val="2"/>
          <w:numId w:val="22"/>
        </w:numPr>
      </w:pPr>
      <w:r>
        <w:t>Aspects of other modes – e.g. road congestion</w:t>
      </w:r>
    </w:p>
    <w:p w14:paraId="2F531841" w14:textId="741F6720" w:rsidR="004E121E" w:rsidRDefault="004E121E" w:rsidP="00FC1BA2">
      <w:pPr>
        <w:pStyle w:val="ListBullets"/>
        <w:numPr>
          <w:ilvl w:val="2"/>
          <w:numId w:val="22"/>
        </w:numPr>
      </w:pPr>
      <w:r>
        <w:t>Values of time, comfort, etc. – from e.g. WebTAG</w:t>
      </w:r>
      <w:r w:rsidR="00FC1BA2">
        <w:t xml:space="preserve"> [</w:t>
      </w:r>
      <w:r w:rsidR="00D7258A">
        <w:t>1</w:t>
      </w:r>
      <w:r w:rsidR="00557CC2">
        <w:t>2</w:t>
      </w:r>
      <w:r w:rsidR="00FC1BA2">
        <w:t>]</w:t>
      </w:r>
      <w:r>
        <w:t>, although some values may be experimental and thus endogenous</w:t>
      </w:r>
      <w:r w:rsidR="008334A9">
        <w:t xml:space="preserve"> to an intervention</w:t>
      </w:r>
    </w:p>
    <w:p w14:paraId="21D63228" w14:textId="77777777" w:rsidR="004E121E" w:rsidRDefault="004E121E" w:rsidP="008334A9">
      <w:pPr>
        <w:pStyle w:val="ListBullets"/>
        <w:numPr>
          <w:ilvl w:val="1"/>
          <w:numId w:val="22"/>
        </w:numPr>
      </w:pPr>
      <w:r>
        <w:t>Scientific/Experimental (endogenous to the intervention)</w:t>
      </w:r>
    </w:p>
    <w:p w14:paraId="314EF961" w14:textId="5E71E46D" w:rsidR="004E121E" w:rsidRDefault="004E121E" w:rsidP="008334A9">
      <w:pPr>
        <w:pStyle w:val="ListBullets"/>
        <w:numPr>
          <w:ilvl w:val="2"/>
          <w:numId w:val="22"/>
        </w:numPr>
      </w:pPr>
      <w:r>
        <w:t>Computational experiments</w:t>
      </w:r>
    </w:p>
    <w:p w14:paraId="3DC1D7B4" w14:textId="3B1FDB45" w:rsidR="004E121E" w:rsidRDefault="004E121E" w:rsidP="008334A9">
      <w:pPr>
        <w:pStyle w:val="ListBullets"/>
        <w:numPr>
          <w:ilvl w:val="2"/>
          <w:numId w:val="22"/>
        </w:numPr>
      </w:pPr>
      <w:r>
        <w:t>Laboratory tests</w:t>
      </w:r>
    </w:p>
    <w:p w14:paraId="507CE995" w14:textId="690CEE5A" w:rsidR="004E121E" w:rsidRDefault="004E121E" w:rsidP="008334A9">
      <w:pPr>
        <w:pStyle w:val="ListBullets"/>
        <w:numPr>
          <w:ilvl w:val="2"/>
          <w:numId w:val="22"/>
        </w:numPr>
      </w:pPr>
      <w:r>
        <w:t>Field trials</w:t>
      </w:r>
    </w:p>
    <w:p w14:paraId="2EA5DC0D" w14:textId="56334914" w:rsidR="00A44A0B" w:rsidRDefault="004E121E" w:rsidP="008334A9">
      <w:pPr>
        <w:pStyle w:val="ListBullets"/>
        <w:numPr>
          <w:ilvl w:val="2"/>
          <w:numId w:val="22"/>
        </w:numPr>
      </w:pPr>
      <w:r>
        <w:t>Continuous measurements</w:t>
      </w:r>
    </w:p>
    <w:p w14:paraId="088767C6" w14:textId="77777777" w:rsidR="00737839" w:rsidRDefault="00737839" w:rsidP="0001513B">
      <w:pPr>
        <w:pStyle w:val="ListBullets"/>
        <w:numPr>
          <w:ilvl w:val="0"/>
          <w:numId w:val="0"/>
        </w:numPr>
        <w:ind w:left="2160"/>
      </w:pPr>
    </w:p>
    <w:p w14:paraId="77F03703" w14:textId="77777777" w:rsidR="003F097B" w:rsidRPr="003F097B" w:rsidRDefault="003F097B" w:rsidP="003F097B">
      <w:pPr>
        <w:pStyle w:val="ListBullets"/>
      </w:pPr>
      <w:r w:rsidRPr="003F097B">
        <w:lastRenderedPageBreak/>
        <w:t>Processes</w:t>
      </w:r>
    </w:p>
    <w:p w14:paraId="41FADDFB" w14:textId="3FE94173" w:rsidR="00964FAB" w:rsidRDefault="003F097B" w:rsidP="00606305">
      <w:pPr>
        <w:pStyle w:val="ListBullets"/>
        <w:numPr>
          <w:ilvl w:val="1"/>
          <w:numId w:val="22"/>
        </w:numPr>
      </w:pPr>
      <w:r w:rsidRPr="003F097B">
        <w:t>‘Real World’</w:t>
      </w:r>
      <w:r w:rsidR="00606305">
        <w:tab/>
      </w:r>
      <w:r w:rsidR="00606305">
        <w:tab/>
      </w:r>
    </w:p>
    <w:p w14:paraId="2E1DDE61" w14:textId="77777777" w:rsidR="00964FAB" w:rsidRDefault="003F097B" w:rsidP="00606305">
      <w:pPr>
        <w:pStyle w:val="ListBullets"/>
        <w:numPr>
          <w:ilvl w:val="2"/>
          <w:numId w:val="22"/>
        </w:numPr>
      </w:pPr>
      <w:r>
        <w:t>Use</w:t>
      </w:r>
    </w:p>
    <w:p w14:paraId="4818397D" w14:textId="77777777" w:rsidR="00964FAB" w:rsidRDefault="003F097B" w:rsidP="00606305">
      <w:pPr>
        <w:pStyle w:val="ListBullets"/>
        <w:numPr>
          <w:ilvl w:val="2"/>
          <w:numId w:val="22"/>
        </w:numPr>
      </w:pPr>
      <w:r>
        <w:t>Degradation</w:t>
      </w:r>
    </w:p>
    <w:p w14:paraId="2156D708" w14:textId="77777777" w:rsidR="00964FAB" w:rsidRPr="00964FAB" w:rsidRDefault="003F097B" w:rsidP="00606305">
      <w:pPr>
        <w:pStyle w:val="ListBullets"/>
        <w:numPr>
          <w:ilvl w:val="2"/>
          <w:numId w:val="22"/>
        </w:numPr>
        <w:rPr>
          <w:b/>
        </w:rPr>
      </w:pPr>
      <w:r>
        <w:t>Maintenance and Renewals</w:t>
      </w:r>
    </w:p>
    <w:p w14:paraId="2DFC13F2" w14:textId="48F2B000" w:rsidR="003F097B" w:rsidRPr="00964FAB" w:rsidRDefault="003F097B" w:rsidP="0001513B">
      <w:pPr>
        <w:pStyle w:val="ListBullets"/>
        <w:numPr>
          <w:ilvl w:val="2"/>
          <w:numId w:val="22"/>
        </w:numPr>
        <w:spacing w:after="0"/>
        <w:ind w:left="2154" w:hanging="357"/>
        <w:rPr>
          <w:b/>
        </w:rPr>
      </w:pPr>
      <w:r>
        <w:t>Enhancements</w:t>
      </w:r>
    </w:p>
    <w:p w14:paraId="3A95E3EF" w14:textId="77777777" w:rsidR="003F097B" w:rsidRPr="00606305" w:rsidRDefault="003F097B" w:rsidP="00606305">
      <w:pPr>
        <w:pStyle w:val="ListParagraph"/>
        <w:numPr>
          <w:ilvl w:val="1"/>
          <w:numId w:val="22"/>
        </w:numPr>
        <w:rPr>
          <w:bCs/>
        </w:rPr>
      </w:pPr>
      <w:r w:rsidRPr="00606305">
        <w:rPr>
          <w:bCs/>
        </w:rPr>
        <w:t>Scientific/Experimental</w:t>
      </w:r>
    </w:p>
    <w:p w14:paraId="23562A6F" w14:textId="77777777" w:rsidR="003F097B" w:rsidRDefault="003F097B" w:rsidP="003F097B">
      <w:pPr>
        <w:pStyle w:val="ListParagraph"/>
        <w:numPr>
          <w:ilvl w:val="0"/>
          <w:numId w:val="28"/>
        </w:numPr>
        <w:spacing w:after="160" w:line="259" w:lineRule="auto"/>
        <w:jc w:val="left"/>
      </w:pPr>
      <w:r>
        <w:t>Operational models</w:t>
      </w:r>
    </w:p>
    <w:p w14:paraId="3BA6994D" w14:textId="77777777" w:rsidR="003F097B" w:rsidRDefault="003F097B" w:rsidP="003F097B">
      <w:pPr>
        <w:pStyle w:val="ListParagraph"/>
        <w:numPr>
          <w:ilvl w:val="0"/>
          <w:numId w:val="28"/>
        </w:numPr>
        <w:spacing w:after="160" w:line="259" w:lineRule="auto"/>
        <w:jc w:val="left"/>
      </w:pPr>
      <w:r>
        <w:t>Economic models</w:t>
      </w:r>
    </w:p>
    <w:p w14:paraId="0153E290" w14:textId="2BD3A5E7" w:rsidR="003F097B" w:rsidRDefault="003F097B" w:rsidP="003F097B">
      <w:pPr>
        <w:pStyle w:val="ListParagraph"/>
        <w:numPr>
          <w:ilvl w:val="0"/>
          <w:numId w:val="28"/>
        </w:numPr>
        <w:spacing w:after="160" w:line="259" w:lineRule="auto"/>
        <w:jc w:val="left"/>
      </w:pPr>
      <w:r>
        <w:t xml:space="preserve">Environmental models (primarily </w:t>
      </w:r>
      <w:r w:rsidR="00606305">
        <w:t>lifecycle analysis</w:t>
      </w:r>
      <w:r>
        <w:t>, based on ISO14000 series of environmental standards – in all cases, capturing and representing the results of detailed analyses of micro-level behaviour in macro-scale models is a challenge)</w:t>
      </w:r>
    </w:p>
    <w:p w14:paraId="0A275BA6" w14:textId="77777777" w:rsidR="003F097B" w:rsidRDefault="003F097B" w:rsidP="009476CD">
      <w:pPr>
        <w:pStyle w:val="ListParagraph"/>
        <w:numPr>
          <w:ilvl w:val="0"/>
          <w:numId w:val="28"/>
        </w:numPr>
        <w:spacing w:line="259" w:lineRule="auto"/>
        <w:ind w:left="2154" w:hanging="357"/>
        <w:jc w:val="left"/>
      </w:pPr>
      <w:r>
        <w:t>GIS modelling - data processing and integration</w:t>
      </w:r>
    </w:p>
    <w:p w14:paraId="5EE25D36" w14:textId="77777777" w:rsidR="007F1353" w:rsidRDefault="007F1353" w:rsidP="009476CD">
      <w:pPr>
        <w:pStyle w:val="ListBullets"/>
        <w:spacing w:before="0"/>
        <w:ind w:left="714" w:hanging="357"/>
      </w:pPr>
      <w:r>
        <w:t>Outputs</w:t>
      </w:r>
    </w:p>
    <w:p w14:paraId="1509B722" w14:textId="2D1ED56F" w:rsidR="007F1353" w:rsidRDefault="007F1353" w:rsidP="007F1353">
      <w:pPr>
        <w:pStyle w:val="ListBullets"/>
        <w:numPr>
          <w:ilvl w:val="1"/>
          <w:numId w:val="22"/>
        </w:numPr>
      </w:pPr>
      <w:r>
        <w:t xml:space="preserve"> ‘Real World’</w:t>
      </w:r>
    </w:p>
    <w:p w14:paraId="30C343E8" w14:textId="28A0AE8A" w:rsidR="007F1353" w:rsidRDefault="007F1353" w:rsidP="007F1353">
      <w:pPr>
        <w:pStyle w:val="ListBullets"/>
        <w:numPr>
          <w:ilvl w:val="2"/>
          <w:numId w:val="22"/>
        </w:numPr>
      </w:pPr>
      <w:r w:rsidRPr="007F1353">
        <w:t>Engineering interventions – e.g. volume of USP installations, random fibre reinforcement etc.</w:t>
      </w:r>
    </w:p>
    <w:p w14:paraId="37549DE7" w14:textId="267B5EA0" w:rsidR="00CB456D" w:rsidRDefault="00CB456D" w:rsidP="00CB456D">
      <w:pPr>
        <w:pStyle w:val="ListBullets"/>
        <w:numPr>
          <w:ilvl w:val="1"/>
          <w:numId w:val="22"/>
        </w:numPr>
      </w:pPr>
      <w:r w:rsidRPr="00CB456D">
        <w:t>Scientific/Experimental</w:t>
      </w:r>
    </w:p>
    <w:p w14:paraId="65E9D566" w14:textId="5C1387AC" w:rsidR="003629F7" w:rsidRDefault="003629F7" w:rsidP="003629F7">
      <w:pPr>
        <w:pStyle w:val="ListBullets"/>
        <w:numPr>
          <w:ilvl w:val="2"/>
          <w:numId w:val="22"/>
        </w:numPr>
      </w:pPr>
      <w:r w:rsidRPr="003629F7">
        <w:t>Calculated costs – one-off (capital) and recurring (operating)</w:t>
      </w:r>
    </w:p>
    <w:p w14:paraId="7448B968" w14:textId="20AC81E7" w:rsidR="003629F7" w:rsidRDefault="003629F7" w:rsidP="003629F7">
      <w:pPr>
        <w:pStyle w:val="ListBullets"/>
        <w:numPr>
          <w:ilvl w:val="2"/>
          <w:numId w:val="22"/>
        </w:numPr>
      </w:pPr>
      <w:r w:rsidRPr="003629F7">
        <w:t xml:space="preserve">Calculated operator benefits (to Network Rail, </w:t>
      </w:r>
      <w:r w:rsidR="002B22B6">
        <w:t>Operator</w:t>
      </w:r>
      <w:r w:rsidRPr="003629F7">
        <w:t>s and other industry suppliers)</w:t>
      </w:r>
    </w:p>
    <w:p w14:paraId="2C103DEE" w14:textId="23ADA091" w:rsidR="003629F7" w:rsidRDefault="003629F7" w:rsidP="003629F7">
      <w:pPr>
        <w:pStyle w:val="ListBullets"/>
        <w:numPr>
          <w:ilvl w:val="2"/>
          <w:numId w:val="22"/>
        </w:numPr>
      </w:pPr>
      <w:r w:rsidRPr="003629F7">
        <w:t>Calculated user benefits (to passengers and freight customers)</w:t>
      </w:r>
    </w:p>
    <w:p w14:paraId="56F5A381" w14:textId="48F7BAD4" w:rsidR="0083148D" w:rsidRDefault="0083148D" w:rsidP="003629F7">
      <w:pPr>
        <w:pStyle w:val="ListBullets"/>
        <w:numPr>
          <w:ilvl w:val="2"/>
          <w:numId w:val="22"/>
        </w:numPr>
      </w:pPr>
      <w:r w:rsidRPr="0083148D">
        <w:t>Calculated non-user benefits (</w:t>
      </w:r>
      <w:r w:rsidR="00BF065D">
        <w:t xml:space="preserve">to </w:t>
      </w:r>
      <w:r w:rsidRPr="0083148D">
        <w:t>local residents/workers, users of other modes, wider community)</w:t>
      </w:r>
    </w:p>
    <w:p w14:paraId="6152ECDA" w14:textId="71E77DD8" w:rsidR="0083148D" w:rsidRDefault="0083148D" w:rsidP="003629F7">
      <w:pPr>
        <w:pStyle w:val="ListBullets"/>
        <w:numPr>
          <w:ilvl w:val="2"/>
          <w:numId w:val="22"/>
        </w:numPr>
      </w:pPr>
      <w:r w:rsidRPr="0083148D">
        <w:t>Results of financial cost-benefit analysis</w:t>
      </w:r>
    </w:p>
    <w:p w14:paraId="58D3C4F9" w14:textId="47109CF2" w:rsidR="0083148D" w:rsidRDefault="0083148D" w:rsidP="003629F7">
      <w:pPr>
        <w:pStyle w:val="ListBullets"/>
        <w:numPr>
          <w:ilvl w:val="2"/>
          <w:numId w:val="22"/>
        </w:numPr>
      </w:pPr>
      <w:r w:rsidRPr="0083148D">
        <w:t>Results of social cost-benefit analysis</w:t>
      </w:r>
    </w:p>
    <w:p w14:paraId="111B11A6" w14:textId="0743AF79" w:rsidR="00DD60A9" w:rsidRPr="003C2979" w:rsidRDefault="00DE439C" w:rsidP="009476CD">
      <w:pPr>
        <w:pStyle w:val="ListBullets"/>
        <w:numPr>
          <w:ilvl w:val="2"/>
          <w:numId w:val="22"/>
        </w:numPr>
        <w:spacing w:after="0"/>
        <w:ind w:left="2154" w:hanging="357"/>
        <w:rPr>
          <w:bCs/>
        </w:rPr>
      </w:pPr>
      <w:r w:rsidRPr="00DE439C">
        <w:t>Results of carbon cost-benefit analysis, possibly including other, related impact factors</w:t>
      </w:r>
    </w:p>
    <w:p w14:paraId="685930E0" w14:textId="77777777" w:rsidR="003C2979" w:rsidRDefault="003C2979" w:rsidP="003C2979">
      <w:pPr>
        <w:pStyle w:val="ListParagraph"/>
        <w:numPr>
          <w:ilvl w:val="0"/>
          <w:numId w:val="30"/>
        </w:numPr>
      </w:pPr>
      <w:r>
        <w:t>Outcomes</w:t>
      </w:r>
    </w:p>
    <w:p w14:paraId="40B4E076" w14:textId="77777777" w:rsidR="003C2979" w:rsidRDefault="003C2979" w:rsidP="003C2979">
      <w:pPr>
        <w:pStyle w:val="ListParagraph"/>
        <w:numPr>
          <w:ilvl w:val="1"/>
          <w:numId w:val="30"/>
        </w:numPr>
      </w:pPr>
      <w:r>
        <w:t>‘Real World’</w:t>
      </w:r>
    </w:p>
    <w:p w14:paraId="7613D599" w14:textId="3A0A2C06" w:rsidR="003C2979" w:rsidRDefault="003C2979" w:rsidP="003C2979">
      <w:pPr>
        <w:pStyle w:val="ListParagraph"/>
        <w:numPr>
          <w:ilvl w:val="2"/>
          <w:numId w:val="30"/>
        </w:numPr>
      </w:pPr>
      <w:r>
        <w:t>Longer track life</w:t>
      </w:r>
    </w:p>
    <w:p w14:paraId="3347BCB2" w14:textId="414872D6" w:rsidR="00B10606" w:rsidRDefault="00B10606" w:rsidP="003C2979">
      <w:pPr>
        <w:pStyle w:val="ListParagraph"/>
        <w:numPr>
          <w:ilvl w:val="2"/>
          <w:numId w:val="30"/>
        </w:numPr>
      </w:pPr>
      <w:r>
        <w:t>Reduced maintenance</w:t>
      </w:r>
    </w:p>
    <w:p w14:paraId="71F63A67" w14:textId="136A634C" w:rsidR="003C2979" w:rsidRDefault="003C2979" w:rsidP="003C2979">
      <w:pPr>
        <w:pStyle w:val="ListParagraph"/>
        <w:numPr>
          <w:ilvl w:val="2"/>
          <w:numId w:val="30"/>
        </w:numPr>
      </w:pPr>
      <w:r>
        <w:t>Reduced noise</w:t>
      </w:r>
    </w:p>
    <w:p w14:paraId="73700F22" w14:textId="44B5C234" w:rsidR="00B10606" w:rsidRDefault="00B10606" w:rsidP="003C2979">
      <w:pPr>
        <w:pStyle w:val="ListParagraph"/>
        <w:numPr>
          <w:ilvl w:val="2"/>
          <w:numId w:val="30"/>
        </w:numPr>
      </w:pPr>
      <w:r>
        <w:t>Better track geometry</w:t>
      </w:r>
    </w:p>
    <w:p w14:paraId="0E2B69F2" w14:textId="77777777" w:rsidR="003C2979" w:rsidRDefault="003C2979" w:rsidP="003C2979">
      <w:pPr>
        <w:pStyle w:val="ListParagraph"/>
        <w:numPr>
          <w:ilvl w:val="1"/>
          <w:numId w:val="30"/>
        </w:numPr>
      </w:pPr>
      <w:r>
        <w:t>Scientific/Experimental</w:t>
      </w:r>
    </w:p>
    <w:p w14:paraId="30970490" w14:textId="7B9F43D7" w:rsidR="00E138D8" w:rsidRDefault="003C2979" w:rsidP="00E138D8">
      <w:pPr>
        <w:pStyle w:val="ListParagraph"/>
        <w:numPr>
          <w:ilvl w:val="2"/>
          <w:numId w:val="30"/>
        </w:numPr>
        <w:spacing w:before="200" w:after="200"/>
        <w:ind w:left="2154" w:hanging="357"/>
      </w:pPr>
      <w:r>
        <w:t>Extended and improved knowledge and understanding</w:t>
      </w:r>
    </w:p>
    <w:p w14:paraId="38012A88" w14:textId="77777777" w:rsidR="000C300F" w:rsidRDefault="000C300F" w:rsidP="000C300F">
      <w:pPr>
        <w:pStyle w:val="ListParagraph"/>
        <w:numPr>
          <w:ilvl w:val="0"/>
          <w:numId w:val="30"/>
        </w:numPr>
      </w:pPr>
      <w:r>
        <w:t>Impacts</w:t>
      </w:r>
    </w:p>
    <w:p w14:paraId="1E2C7BA1" w14:textId="77777777" w:rsidR="00E138D8" w:rsidRDefault="000C300F" w:rsidP="00E138D8">
      <w:pPr>
        <w:pStyle w:val="ListParagraph"/>
        <w:numPr>
          <w:ilvl w:val="1"/>
          <w:numId w:val="30"/>
        </w:numPr>
      </w:pPr>
      <w:r>
        <w:t>‘Real World’</w:t>
      </w:r>
    </w:p>
    <w:p w14:paraId="0E5B3CA2" w14:textId="67B176EE" w:rsidR="000C300F" w:rsidRDefault="000C300F" w:rsidP="000C300F">
      <w:pPr>
        <w:pStyle w:val="ListParagraph"/>
        <w:numPr>
          <w:ilvl w:val="2"/>
          <w:numId w:val="30"/>
        </w:numPr>
      </w:pPr>
      <w:r>
        <w:t>Reduced maintenance costs, offsetting increased capital costs, and improved benefit:cost ratios (as indicated by the scientific/experimental outputs)</w:t>
      </w:r>
    </w:p>
    <w:p w14:paraId="5D31CCC5" w14:textId="097033BC" w:rsidR="000C300F" w:rsidRDefault="000C300F" w:rsidP="000C300F">
      <w:pPr>
        <w:pStyle w:val="ListParagraph"/>
        <w:numPr>
          <w:ilvl w:val="2"/>
          <w:numId w:val="30"/>
        </w:numPr>
      </w:pPr>
      <w:r>
        <w:t>Improved user and non-user satisfaction</w:t>
      </w:r>
    </w:p>
    <w:p w14:paraId="5A898B10" w14:textId="77777777" w:rsidR="000C300F" w:rsidRDefault="000C300F" w:rsidP="000C300F">
      <w:pPr>
        <w:pStyle w:val="ListParagraph"/>
        <w:numPr>
          <w:ilvl w:val="1"/>
          <w:numId w:val="30"/>
        </w:numPr>
      </w:pPr>
      <w:r>
        <w:t>Scientific/Experimental</w:t>
      </w:r>
    </w:p>
    <w:p w14:paraId="0647E0D7" w14:textId="581891DD" w:rsidR="000C300F" w:rsidRDefault="000C300F" w:rsidP="000C300F">
      <w:pPr>
        <w:pStyle w:val="ListParagraph"/>
        <w:numPr>
          <w:ilvl w:val="2"/>
          <w:numId w:val="30"/>
        </w:numPr>
      </w:pPr>
      <w:r>
        <w:t>Application of research findings</w:t>
      </w:r>
    </w:p>
    <w:p w14:paraId="066B1C8F" w14:textId="77777777" w:rsidR="00737839" w:rsidRDefault="00737839" w:rsidP="006E2268"/>
    <w:p w14:paraId="23A90AF4" w14:textId="1CA421FF" w:rsidR="00D24451" w:rsidRDefault="00D24451" w:rsidP="006E2268">
      <w:r>
        <w:lastRenderedPageBreak/>
        <w:t xml:space="preserve">The modelling framework and the </w:t>
      </w:r>
      <w:r w:rsidR="00BD5C03">
        <w:t xml:space="preserve">standardised input template were then </w:t>
      </w:r>
      <w:r w:rsidR="00F433A2">
        <w:t xml:space="preserve">compared to identify </w:t>
      </w:r>
      <w:r w:rsidR="004C12DC">
        <w:t xml:space="preserve">and remedy </w:t>
      </w:r>
      <w:r w:rsidR="00F433A2">
        <w:t xml:space="preserve">any </w:t>
      </w:r>
      <w:r w:rsidR="004A6661">
        <w:t>‘</w:t>
      </w:r>
      <w:r w:rsidR="00F433A2">
        <w:t>gaps</w:t>
      </w:r>
      <w:r w:rsidR="004A6661">
        <w:t xml:space="preserve">’ between the </w:t>
      </w:r>
      <w:proofErr w:type="gramStart"/>
      <w:r w:rsidR="004A6661">
        <w:t>two</w:t>
      </w:r>
      <w:r w:rsidR="002C2B16">
        <w:t>,</w:t>
      </w:r>
      <w:r w:rsidR="004A6661">
        <w:t xml:space="preserve"> and</w:t>
      </w:r>
      <w:proofErr w:type="gramEnd"/>
      <w:r w:rsidR="004A6661">
        <w:t xml:space="preserve"> </w:t>
      </w:r>
      <w:r w:rsidR="00BD5C03">
        <w:t xml:space="preserve">used to identify </w:t>
      </w:r>
      <w:r w:rsidR="003728F5">
        <w:t xml:space="preserve">the available and potential data sources to </w:t>
      </w:r>
      <w:r w:rsidR="00145668">
        <w:t>provide the necessary inputs to the modelling process.</w:t>
      </w:r>
    </w:p>
    <w:p w14:paraId="043C4C55" w14:textId="54DA6866" w:rsidR="00B7626B" w:rsidRDefault="004A6661" w:rsidP="006E2268">
      <w:r>
        <w:t xml:space="preserve">     </w:t>
      </w:r>
      <w:r w:rsidR="00157E11" w:rsidRPr="00157E11">
        <w:t xml:space="preserve">The impact categories, inputs, processes, outputs, outcomes and impacts </w:t>
      </w:r>
      <w:r w:rsidR="00157E11">
        <w:t>are</w:t>
      </w:r>
      <w:r w:rsidR="00157E11" w:rsidRPr="00157E11">
        <w:t xml:space="preserve"> be</w:t>
      </w:r>
      <w:r w:rsidR="00157E11">
        <w:t>ing</w:t>
      </w:r>
      <w:r w:rsidR="00157E11" w:rsidRPr="00157E11">
        <w:t xml:space="preserve"> structured in an ontology, building upon </w:t>
      </w:r>
      <w:r w:rsidR="001E1DF6">
        <w:t xml:space="preserve">the </w:t>
      </w:r>
      <w:r w:rsidR="00157E11" w:rsidRPr="00157E11">
        <w:t xml:space="preserve">existing </w:t>
      </w:r>
      <w:r w:rsidR="00D10177">
        <w:t>R</w:t>
      </w:r>
      <w:r w:rsidR="00157E11" w:rsidRPr="00157E11">
        <w:t xml:space="preserve">ailway </w:t>
      </w:r>
      <w:r w:rsidR="00D10177">
        <w:t>Core O</w:t>
      </w:r>
      <w:r w:rsidR="00157E11" w:rsidRPr="00157E11">
        <w:t xml:space="preserve">ntologies </w:t>
      </w:r>
      <w:r w:rsidR="00D10177">
        <w:t>(</w:t>
      </w:r>
      <w:proofErr w:type="spellStart"/>
      <w:r w:rsidR="00157E11" w:rsidRPr="00157E11">
        <w:t>RaCoOn</w:t>
      </w:r>
      <w:proofErr w:type="spellEnd"/>
      <w:r w:rsidR="00D10177">
        <w:t>)</w:t>
      </w:r>
      <w:r w:rsidR="00157E11" w:rsidRPr="00157E11">
        <w:t xml:space="preserve"> </w:t>
      </w:r>
      <w:r w:rsidR="0085381C">
        <w:t>[1</w:t>
      </w:r>
      <w:r w:rsidR="00B15728">
        <w:t>3</w:t>
      </w:r>
      <w:r w:rsidR="0085381C">
        <w:t xml:space="preserve">] </w:t>
      </w:r>
      <w:r w:rsidR="00157E11" w:rsidRPr="00157E11">
        <w:t>and ensuring compatibility with standard terminology used in life cycle costing standards</w:t>
      </w:r>
      <w:r w:rsidR="00DB5BDC">
        <w:t xml:space="preserve"> and in WebTAG </w:t>
      </w:r>
      <w:r w:rsidR="00FC62F4">
        <w:t>[</w:t>
      </w:r>
      <w:r w:rsidR="006B4078">
        <w:t>1</w:t>
      </w:r>
      <w:r w:rsidR="00557CC2">
        <w:t>2</w:t>
      </w:r>
      <w:r w:rsidR="00FC62F4">
        <w:t>]</w:t>
      </w:r>
      <w:r w:rsidR="009A56A8">
        <w:t xml:space="preserve">. </w:t>
      </w:r>
      <w:r w:rsidR="002075CC">
        <w:t xml:space="preserve">Created as a domain-specific representation of the railways, </w:t>
      </w:r>
      <w:proofErr w:type="spellStart"/>
      <w:r w:rsidR="00F01E2D">
        <w:t>RaCoOn</w:t>
      </w:r>
      <w:proofErr w:type="spellEnd"/>
      <w:r w:rsidR="00F01E2D">
        <w:t xml:space="preserve"> was </w:t>
      </w:r>
      <w:r w:rsidR="002075CC">
        <w:t>originally developed to provide a model of the railway track and signalling, which could be used to automatically infer the set of routes available through a junction based on the status of the physical assets</w:t>
      </w:r>
      <w:r w:rsidR="00814427">
        <w:t xml:space="preserve"> present. The model soon expanded to serve a broader range of railway use cases, with a </w:t>
      </w:r>
      <w:r w:rsidR="00133990">
        <w:t>‘</w:t>
      </w:r>
      <w:r w:rsidR="00814427">
        <w:t>core</w:t>
      </w:r>
      <w:r w:rsidR="00133990">
        <w:t>’</w:t>
      </w:r>
      <w:r w:rsidR="00814427">
        <w:t xml:space="preserve"> of generic railway concepts that are supported as needed by models for specific subdomains, such as infrastructure, signalling, and rolling stock</w:t>
      </w:r>
      <w:r w:rsidR="00547150">
        <w:t xml:space="preserve"> [1</w:t>
      </w:r>
      <w:r w:rsidR="00B15728">
        <w:t>3</w:t>
      </w:r>
      <w:r w:rsidR="00547150">
        <w:t>]</w:t>
      </w:r>
      <w:r w:rsidR="00F01E2D">
        <w:t xml:space="preserve">. </w:t>
      </w:r>
      <w:r w:rsidR="00EA5547">
        <w:t xml:space="preserve">The main strength of an ontology-based approach to modelling lies in its use of concepts to structure data. By providing a concept of a </w:t>
      </w:r>
      <w:r w:rsidR="00547150">
        <w:t>‘</w:t>
      </w:r>
      <w:r w:rsidR="00EA5547">
        <w:t>track</w:t>
      </w:r>
      <w:r w:rsidR="00547150">
        <w:t>’</w:t>
      </w:r>
      <w:r w:rsidR="00EA5547">
        <w:t xml:space="preserve"> that is then further refined by the data used to describe it</w:t>
      </w:r>
      <w:r w:rsidR="00011BC4">
        <w:t>,</w:t>
      </w:r>
      <w:r w:rsidR="00EA5547">
        <w:t xml:space="preserve"> for example, </w:t>
      </w:r>
      <w:proofErr w:type="spellStart"/>
      <w:r w:rsidR="00EA5547">
        <w:t>RaCoOn</w:t>
      </w:r>
      <w:proofErr w:type="spellEnd"/>
      <w:r w:rsidR="00EA5547">
        <w:t xml:space="preserve"> is able to accommodate a wide range of viewpoints around the correct terminology and granularity of representation of that asset. This makes the ontology an ideal basis for the integration of data across different IT systems, with the fact-based</w:t>
      </w:r>
      <w:r w:rsidR="0083078B">
        <w:t>, semantic</w:t>
      </w:r>
      <w:r w:rsidR="00EA5547">
        <w:t xml:space="preserve"> representation</w:t>
      </w:r>
      <w:r w:rsidR="0083078B">
        <w:t xml:space="preserve"> of the data</w:t>
      </w:r>
      <w:r w:rsidR="00EA5547">
        <w:t xml:space="preserve"> used by </w:t>
      </w:r>
      <w:proofErr w:type="spellStart"/>
      <w:r w:rsidR="00EA5547">
        <w:t>RaCoOn</w:t>
      </w:r>
      <w:proofErr w:type="spellEnd"/>
      <w:r w:rsidR="00EA5547">
        <w:t xml:space="preserve"> able to be translated to and from a wide range of other contexts</w:t>
      </w:r>
      <w:r w:rsidR="0083078B">
        <w:t xml:space="preserve"> without the introduction of ambiguity</w:t>
      </w:r>
      <w:r w:rsidR="00EA5547">
        <w:t xml:space="preserve">. </w:t>
      </w:r>
      <w:r w:rsidR="00F916A6">
        <w:t xml:space="preserve">In the work described in this paper, </w:t>
      </w:r>
      <w:proofErr w:type="spellStart"/>
      <w:r w:rsidR="00F916A6">
        <w:t>RaCoOn</w:t>
      </w:r>
      <w:proofErr w:type="spellEnd"/>
      <w:r w:rsidR="00F916A6">
        <w:t xml:space="preserve"> is being used to integrate GIS, ambient noise, and wheel-rail interaction data from a variety of systems, to enable the workflow shown in</w:t>
      </w:r>
      <w:r w:rsidR="00230ED8">
        <w:t xml:space="preserve"> Figure 2.</w:t>
      </w:r>
    </w:p>
    <w:p w14:paraId="44B38F57" w14:textId="77777777" w:rsidR="00CD4273" w:rsidRDefault="00CD4273" w:rsidP="006E2268"/>
    <w:p w14:paraId="76686125" w14:textId="17F0FDA0" w:rsidR="00157E11" w:rsidRDefault="00F73C98" w:rsidP="006E2268">
      <w:r>
        <w:rPr>
          <w:noProof/>
          <w:lang w:eastAsia="en-GB"/>
        </w:rPr>
        <w:drawing>
          <wp:inline distT="0" distB="0" distL="0" distR="0" wp14:anchorId="0EFF8069" wp14:editId="3D56C8AC">
            <wp:extent cx="4676775" cy="3613872"/>
            <wp:effectExtent l="19050" t="19050" r="9525"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flow.pdf"/>
                    <pic:cNvPicPr/>
                  </pic:nvPicPr>
                  <pic:blipFill>
                    <a:blip r:embed="rId12">
                      <a:extLst>
                        <a:ext uri="{28A0092B-C50C-407E-A947-70E740481C1C}">
                          <a14:useLocalDpi xmlns:a14="http://schemas.microsoft.com/office/drawing/2010/main" val="0"/>
                        </a:ext>
                      </a:extLst>
                    </a:blip>
                    <a:stretch>
                      <a:fillRect/>
                    </a:stretch>
                  </pic:blipFill>
                  <pic:spPr>
                    <a:xfrm>
                      <a:off x="0" y="0"/>
                      <a:ext cx="4676775" cy="3613872"/>
                    </a:xfrm>
                    <a:prstGeom prst="rect">
                      <a:avLst/>
                    </a:prstGeom>
                    <a:ln>
                      <a:solidFill>
                        <a:schemeClr val="tx1"/>
                      </a:solidFill>
                    </a:ln>
                  </pic:spPr>
                </pic:pic>
              </a:graphicData>
            </a:graphic>
          </wp:inline>
        </w:drawing>
      </w:r>
    </w:p>
    <w:p w14:paraId="38B347B6" w14:textId="204194B1" w:rsidR="00D30EA3" w:rsidRDefault="004935DE" w:rsidP="004935DE">
      <w:pPr>
        <w:pStyle w:val="FigureCaption"/>
      </w:pPr>
      <w:r>
        <w:t>Workflow diagram</w:t>
      </w:r>
    </w:p>
    <w:p w14:paraId="7CEB34B0" w14:textId="130AEF94" w:rsidR="00CD4273" w:rsidRDefault="00CD4273" w:rsidP="00CD4273">
      <w:r>
        <w:lastRenderedPageBreak/>
        <w:t xml:space="preserve">      The flow starts from </w:t>
      </w:r>
      <w:r w:rsidR="00E6213C">
        <w:t xml:space="preserve">the </w:t>
      </w:r>
      <w:r>
        <w:t xml:space="preserve">capture </w:t>
      </w:r>
      <w:r w:rsidR="00E6213C">
        <w:t xml:space="preserve">of </w:t>
      </w:r>
      <w:r>
        <w:t>rail</w:t>
      </w:r>
      <w:r w:rsidR="00E6213C">
        <w:t>way</w:t>
      </w:r>
      <w:r>
        <w:t xml:space="preserve"> asset data, wheel/track condition, etc. from various sources. </w:t>
      </w:r>
      <w:r w:rsidR="003F1F13">
        <w:t>A</w:t>
      </w:r>
      <w:r>
        <w:t xml:space="preserve"> plugin </w:t>
      </w:r>
      <w:r w:rsidR="00E6213C">
        <w:t xml:space="preserve">is used </w:t>
      </w:r>
      <w:r>
        <w:t xml:space="preserve">to export relevant geographical data shapefiles, which converts geographical data to triples with reference to concepts defined in </w:t>
      </w:r>
      <w:proofErr w:type="spellStart"/>
      <w:r>
        <w:t>RaCoOn</w:t>
      </w:r>
      <w:proofErr w:type="spellEnd"/>
      <w:r>
        <w:t xml:space="preserve"> and stores </w:t>
      </w:r>
      <w:r w:rsidR="003F1F13">
        <w:t>them in</w:t>
      </w:r>
      <w:r>
        <w:t xml:space="preserve"> the </w:t>
      </w:r>
      <w:proofErr w:type="spellStart"/>
      <w:r>
        <w:t>triplestore</w:t>
      </w:r>
      <w:proofErr w:type="spellEnd"/>
      <w:r>
        <w:t>. Mapped data can the</w:t>
      </w:r>
      <w:r w:rsidR="00E6213C">
        <w:t>n</w:t>
      </w:r>
      <w:r>
        <w:t xml:space="preserve"> </w:t>
      </w:r>
      <w:r w:rsidR="00E6213C">
        <w:t xml:space="preserve">be </w:t>
      </w:r>
      <w:r>
        <w:t xml:space="preserve">handled by </w:t>
      </w:r>
      <w:proofErr w:type="spellStart"/>
      <w:r>
        <w:t>RaCoOn</w:t>
      </w:r>
      <w:proofErr w:type="spellEnd"/>
      <w:r>
        <w:t xml:space="preserve"> services.</w:t>
      </w:r>
    </w:p>
    <w:p w14:paraId="4A2B0922" w14:textId="002B2C56" w:rsidR="004935DE" w:rsidRDefault="00CD4273" w:rsidP="0001513B">
      <w:r>
        <w:t xml:space="preserve">      </w:t>
      </w:r>
      <w:proofErr w:type="spellStart"/>
      <w:r>
        <w:t>RaCoOn</w:t>
      </w:r>
      <w:proofErr w:type="spellEnd"/>
      <w:r>
        <w:t xml:space="preserve"> </w:t>
      </w:r>
      <w:r w:rsidR="00EE45D6">
        <w:t>s</w:t>
      </w:r>
      <w:r>
        <w:t>ervice</w:t>
      </w:r>
      <w:r w:rsidR="00EE45D6">
        <w:t>s</w:t>
      </w:r>
      <w:r>
        <w:t xml:space="preserve"> is a set of tools that helps to store converted data </w:t>
      </w:r>
      <w:r w:rsidR="00BC0AFF">
        <w:t>and subsequently</w:t>
      </w:r>
      <w:r>
        <w:t xml:space="preserve"> retrieve </w:t>
      </w:r>
      <w:r w:rsidR="00BC0AFF">
        <w:t>it</w:t>
      </w:r>
      <w:r>
        <w:t xml:space="preserve"> from storage. Its main </w:t>
      </w:r>
      <w:r w:rsidR="007E515E">
        <w:t>purpose</w:t>
      </w:r>
      <w:r>
        <w:t xml:space="preserve"> is to help users to retrieve data from storage and export the unified data with a selected format for further analysis. The key idea of this tool is to reproduce manual data consolidation and integration process</w:t>
      </w:r>
      <w:r w:rsidR="007E515E">
        <w:t>es</w:t>
      </w:r>
      <w:r>
        <w:t xml:space="preserve">, and to help users to interact with extended </w:t>
      </w:r>
      <w:proofErr w:type="spellStart"/>
      <w:r>
        <w:t>RaCoOn</w:t>
      </w:r>
      <w:proofErr w:type="spellEnd"/>
      <w:r>
        <w:t>, providing a solution to integrate rail</w:t>
      </w:r>
      <w:r w:rsidR="007E515E">
        <w:t>-</w:t>
      </w:r>
      <w:r>
        <w:t xml:space="preserve">related data </w:t>
      </w:r>
      <w:r w:rsidR="007E515E">
        <w:t>and</w:t>
      </w:r>
      <w:r>
        <w:t xml:space="preserve"> shorten </w:t>
      </w:r>
      <w:r w:rsidR="007E515E">
        <w:t xml:space="preserve">the </w:t>
      </w:r>
      <w:r>
        <w:t>data purif</w:t>
      </w:r>
      <w:r w:rsidR="0019510E">
        <w:t>ication</w:t>
      </w:r>
      <w:r>
        <w:t xml:space="preserve"> and consolidat</w:t>
      </w:r>
      <w:r w:rsidR="0019510E">
        <w:t>ion</w:t>
      </w:r>
      <w:r>
        <w:t xml:space="preserve"> process</w:t>
      </w:r>
      <w:r w:rsidR="0019510E">
        <w:t>es</w:t>
      </w:r>
      <w:r>
        <w:t xml:space="preserve"> </w:t>
      </w:r>
      <w:r w:rsidR="0019510E">
        <w:t>using</w:t>
      </w:r>
      <w:r>
        <w:t xml:space="preserve"> ontologies. It aims to provide a project-independent solution to help researchers and developers exploit </w:t>
      </w:r>
      <w:r w:rsidR="0019510E">
        <w:t xml:space="preserve">the </w:t>
      </w:r>
      <w:r>
        <w:t xml:space="preserve">benefits brought by ontologies </w:t>
      </w:r>
      <w:r w:rsidR="0019510E">
        <w:t>to</w:t>
      </w:r>
      <w:r>
        <w:t xml:space="preserve"> the rail domain. </w:t>
      </w:r>
    </w:p>
    <w:p w14:paraId="59A8D614" w14:textId="38E49A38" w:rsidR="006E2268" w:rsidRPr="00E3239D" w:rsidRDefault="006E2268" w:rsidP="006E2268">
      <w:pPr>
        <w:pStyle w:val="Heading1"/>
      </w:pPr>
      <w:r>
        <w:t>case study</w:t>
      </w:r>
    </w:p>
    <w:p w14:paraId="64A2C252" w14:textId="74B1179D" w:rsidR="00172769" w:rsidRDefault="00C923F8" w:rsidP="00172769">
      <w:r>
        <w:t xml:space="preserve">The work and findings described in </w:t>
      </w:r>
      <w:r w:rsidR="00CA29D7">
        <w:t>[</w:t>
      </w:r>
      <w:r w:rsidR="002E77FB">
        <w:t>8</w:t>
      </w:r>
      <w:r w:rsidR="00CA29D7">
        <w:t>] and [</w:t>
      </w:r>
      <w:r w:rsidR="00FF6F04">
        <w:t>9</w:t>
      </w:r>
      <w:r w:rsidR="00CA29D7">
        <w:t xml:space="preserve">] </w:t>
      </w:r>
      <w:r>
        <w:t xml:space="preserve">are based </w:t>
      </w:r>
      <w:r w:rsidR="001C2EC5">
        <w:t xml:space="preserve">primarily on two case study locations in Britain, </w:t>
      </w:r>
      <w:r w:rsidR="002C424C">
        <w:t>the first</w:t>
      </w:r>
      <w:r w:rsidR="001C2EC5">
        <w:t xml:space="preserve"> on the East Coast Main Line between Newcastle and Edinburg</w:t>
      </w:r>
      <w:r w:rsidR="002C424C">
        <w:t>h, and the second on the South West M</w:t>
      </w:r>
      <w:r w:rsidR="00FB7B6B">
        <w:t>a</w:t>
      </w:r>
      <w:r w:rsidR="002C424C">
        <w:t xml:space="preserve">in and Portsmouth Direct </w:t>
      </w:r>
      <w:r w:rsidR="00FB7B6B">
        <w:t xml:space="preserve">Lines between London Waterloo, Woking and Portsmouth Harbour stations. </w:t>
      </w:r>
      <w:r w:rsidR="00230241">
        <w:t xml:space="preserve">While the new, template- and ontology-based approach aims to </w:t>
      </w:r>
      <w:r w:rsidR="00EC58EE">
        <w:t>replicate and generalise the processes used in [</w:t>
      </w:r>
      <w:r w:rsidR="002E77FB">
        <w:t>8</w:t>
      </w:r>
      <w:r w:rsidR="00EC58EE">
        <w:t>] and [</w:t>
      </w:r>
      <w:r w:rsidR="00FF6F04">
        <w:t>9</w:t>
      </w:r>
      <w:r w:rsidR="00EC58EE">
        <w:t>]</w:t>
      </w:r>
      <w:r w:rsidR="009B0A50">
        <w:t>, there seemed little point in simply repr</w:t>
      </w:r>
      <w:r w:rsidR="00A574AB">
        <w:t>oducing results already obtained (although checks for consistency will obviously be undertaken)</w:t>
      </w:r>
      <w:r w:rsidR="0069043A">
        <w:t xml:space="preserve">, and a new case study site was therefore identified and </w:t>
      </w:r>
      <w:r w:rsidR="002C0B87">
        <w:t xml:space="preserve">selected </w:t>
      </w:r>
      <w:r w:rsidR="0069043A">
        <w:t xml:space="preserve">for the ongoing work. </w:t>
      </w:r>
      <w:r w:rsidR="002C0B87">
        <w:t>The chosen route i</w:t>
      </w:r>
      <w:r w:rsidR="00172769">
        <w:t>s</w:t>
      </w:r>
      <w:r w:rsidR="002C0B87">
        <w:t xml:space="preserve"> the </w:t>
      </w:r>
      <w:r w:rsidR="00172769">
        <w:t xml:space="preserve">‘West </w:t>
      </w:r>
      <w:proofErr w:type="spellStart"/>
      <w:r w:rsidR="00172769">
        <w:t>Coastway</w:t>
      </w:r>
      <w:proofErr w:type="spellEnd"/>
      <w:r w:rsidR="00172769">
        <w:t>’ line along England’s south coast between Portsmouth Harbour and Brighton stations</w:t>
      </w:r>
      <w:r w:rsidR="001A47DC">
        <w:t>, as shown in schematic form in Figure</w:t>
      </w:r>
      <w:r w:rsidR="00B23E72">
        <w:t xml:space="preserve"> 3</w:t>
      </w:r>
      <w:r w:rsidR="00172769">
        <w:t xml:space="preserve">. </w:t>
      </w:r>
    </w:p>
    <w:p w14:paraId="7CD8F535" w14:textId="295FCD1F" w:rsidR="00B23E72" w:rsidRDefault="00B23E72" w:rsidP="00172769"/>
    <w:p w14:paraId="5B4CEA2A" w14:textId="79C04461" w:rsidR="00BF1EE4" w:rsidRDefault="00D63756" w:rsidP="00172769">
      <w:bookmarkStart w:id="2" w:name="_GoBack"/>
      <w:r>
        <w:rPr>
          <w:noProof/>
          <w:lang w:eastAsia="en-GB"/>
        </w:rPr>
        <mc:AlternateContent>
          <mc:Choice Requires="wpc">
            <w:drawing>
              <wp:inline distT="0" distB="0" distL="0" distR="0" wp14:anchorId="600C40F6" wp14:editId="47DB2895">
                <wp:extent cx="4679950" cy="1609725"/>
                <wp:effectExtent l="0" t="0" r="6350" b="952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 name="Straight Connector 7"/>
                        <wps:cNvCnPr/>
                        <wps:spPr>
                          <a:xfrm>
                            <a:off x="762000" y="723900"/>
                            <a:ext cx="3124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371475" y="723900"/>
                            <a:ext cx="400050" cy="609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3886200" y="723900"/>
                            <a:ext cx="371475" cy="6000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3876675" y="721334"/>
                            <a:ext cx="5143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H="1">
                            <a:off x="309742" y="721334"/>
                            <a:ext cx="4657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H="1" flipV="1">
                            <a:off x="1008675" y="285751"/>
                            <a:ext cx="2917" cy="438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3074330" y="276225"/>
                            <a:ext cx="249895" cy="4476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flipV="1">
                            <a:off x="3886200" y="290350"/>
                            <a:ext cx="5455" cy="4279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3074330" y="723900"/>
                            <a:ext cx="297520" cy="478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2428875" y="713400"/>
                            <a:ext cx="284775" cy="50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76200" y="1295400"/>
                            <a:ext cx="733425" cy="314325"/>
                          </a:xfrm>
                          <a:prstGeom prst="rect">
                            <a:avLst/>
                          </a:prstGeom>
                          <a:solidFill>
                            <a:schemeClr val="lt1"/>
                          </a:solidFill>
                          <a:ln w="6350">
                            <a:noFill/>
                          </a:ln>
                        </wps:spPr>
                        <wps:txbx>
                          <w:txbxContent>
                            <w:p w14:paraId="4D871987" w14:textId="11A79A75" w:rsidR="00754E4A" w:rsidRPr="003F5FBC" w:rsidRDefault="00754E4A">
                              <w:pPr>
                                <w:rPr>
                                  <w:b/>
                                  <w:bCs/>
                                  <w:sz w:val="16"/>
                                  <w:szCs w:val="16"/>
                                </w:rPr>
                              </w:pPr>
                              <w:r w:rsidRPr="003F5FBC">
                                <w:rPr>
                                  <w:b/>
                                  <w:bCs/>
                                  <w:sz w:val="16"/>
                                  <w:szCs w:val="16"/>
                                </w:rPr>
                                <w:t>Portsmouth Harbour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8"/>
                        <wps:cNvSpPr txBox="1"/>
                        <wps:spPr>
                          <a:xfrm>
                            <a:off x="3953510" y="1295400"/>
                            <a:ext cx="666115" cy="314325"/>
                          </a:xfrm>
                          <a:prstGeom prst="rect">
                            <a:avLst/>
                          </a:prstGeom>
                          <a:solidFill>
                            <a:schemeClr val="lt1"/>
                          </a:solidFill>
                          <a:ln w="6350">
                            <a:noFill/>
                          </a:ln>
                        </wps:spPr>
                        <wps:txbx>
                          <w:txbxContent>
                            <w:p w14:paraId="501FD8F4" w14:textId="65054866" w:rsidR="00754E4A" w:rsidRPr="003F5FBC" w:rsidRDefault="00754E4A" w:rsidP="00754E4A">
                              <w:pPr>
                                <w:rPr>
                                  <w:b/>
                                  <w:bCs/>
                                  <w:sz w:val="24"/>
                                </w:rPr>
                              </w:pPr>
                              <w:r w:rsidRPr="003F5FBC">
                                <w:rPr>
                                  <w:b/>
                                  <w:bCs/>
                                  <w:sz w:val="16"/>
                                  <w:szCs w:val="16"/>
                                </w:rPr>
                                <w:t>Brighton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Text Box 18"/>
                        <wps:cNvSpPr txBox="1"/>
                        <wps:spPr>
                          <a:xfrm>
                            <a:off x="922950" y="751500"/>
                            <a:ext cx="666115" cy="314325"/>
                          </a:xfrm>
                          <a:prstGeom prst="rect">
                            <a:avLst/>
                          </a:prstGeom>
                          <a:solidFill>
                            <a:schemeClr val="lt1"/>
                          </a:solidFill>
                          <a:ln w="6350">
                            <a:noFill/>
                          </a:ln>
                        </wps:spPr>
                        <wps:txbx>
                          <w:txbxContent>
                            <w:p w14:paraId="585E2DE1" w14:textId="43981812" w:rsidR="00754E4A" w:rsidRDefault="00CF3959" w:rsidP="00754E4A">
                              <w:pPr>
                                <w:rPr>
                                  <w:sz w:val="24"/>
                                </w:rPr>
                              </w:pPr>
                              <w:r>
                                <w:rPr>
                                  <w:sz w:val="16"/>
                                  <w:szCs w:val="16"/>
                                </w:rPr>
                                <w:t>Havant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18"/>
                        <wps:cNvSpPr txBox="1"/>
                        <wps:spPr>
                          <a:xfrm>
                            <a:off x="2170725" y="464775"/>
                            <a:ext cx="591525" cy="239100"/>
                          </a:xfrm>
                          <a:prstGeom prst="rect">
                            <a:avLst/>
                          </a:prstGeom>
                          <a:solidFill>
                            <a:schemeClr val="lt1"/>
                          </a:solidFill>
                          <a:ln w="6350">
                            <a:noFill/>
                          </a:ln>
                        </wps:spPr>
                        <wps:txbx>
                          <w:txbxContent>
                            <w:p w14:paraId="6692A95E" w14:textId="21FA3ADE" w:rsidR="00CF3959" w:rsidRDefault="00CF3959" w:rsidP="00CF3959">
                              <w:pPr>
                                <w:rPr>
                                  <w:sz w:val="24"/>
                                </w:rPr>
                              </w:pPr>
                              <w:r>
                                <w:rPr>
                                  <w:sz w:val="16"/>
                                  <w:szCs w:val="16"/>
                                </w:rPr>
                                <w:t>Barnham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18"/>
                        <wps:cNvSpPr txBox="1"/>
                        <wps:spPr>
                          <a:xfrm>
                            <a:off x="2762250" y="464775"/>
                            <a:ext cx="447675" cy="201000"/>
                          </a:xfrm>
                          <a:prstGeom prst="rect">
                            <a:avLst/>
                          </a:prstGeom>
                          <a:noFill/>
                          <a:ln w="6350">
                            <a:noFill/>
                          </a:ln>
                        </wps:spPr>
                        <wps:txbx>
                          <w:txbxContent>
                            <w:p w14:paraId="2F818E42" w14:textId="1BA9A0A1" w:rsidR="00CF3959" w:rsidRDefault="00CF3959" w:rsidP="00CF3959">
                              <w:pPr>
                                <w:rPr>
                                  <w:sz w:val="24"/>
                                </w:rPr>
                              </w:pPr>
                              <w:r>
                                <w:rPr>
                                  <w:sz w:val="16"/>
                                  <w:szCs w:val="16"/>
                                </w:rPr>
                                <w:t>Ford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18"/>
                        <wps:cNvSpPr txBox="1"/>
                        <wps:spPr>
                          <a:xfrm>
                            <a:off x="656250" y="56176"/>
                            <a:ext cx="666115" cy="201000"/>
                          </a:xfrm>
                          <a:prstGeom prst="rect">
                            <a:avLst/>
                          </a:prstGeom>
                          <a:solidFill>
                            <a:schemeClr val="lt1"/>
                          </a:solidFill>
                          <a:ln w="6350">
                            <a:noFill/>
                          </a:ln>
                        </wps:spPr>
                        <wps:txbx>
                          <w:txbxContent>
                            <w:p w14:paraId="6D307030" w14:textId="5BD87749" w:rsidR="00C72791" w:rsidRDefault="00C72791" w:rsidP="00C72791">
                              <w:pPr>
                                <w:rPr>
                                  <w:sz w:val="24"/>
                                </w:rPr>
                              </w:pPr>
                              <w:r>
                                <w:rPr>
                                  <w:sz w:val="16"/>
                                  <w:szCs w:val="16"/>
                                </w:rPr>
                                <w:t>To London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18"/>
                        <wps:cNvSpPr txBox="1"/>
                        <wps:spPr>
                          <a:xfrm>
                            <a:off x="2837475" y="46650"/>
                            <a:ext cx="666115" cy="200660"/>
                          </a:xfrm>
                          <a:prstGeom prst="rect">
                            <a:avLst/>
                          </a:prstGeom>
                          <a:solidFill>
                            <a:schemeClr val="lt1"/>
                          </a:solidFill>
                          <a:ln w="6350">
                            <a:noFill/>
                          </a:ln>
                        </wps:spPr>
                        <wps:txbx>
                          <w:txbxContent>
                            <w:p w14:paraId="1E035E54" w14:textId="77777777" w:rsidR="00C72791" w:rsidRDefault="00C72791" w:rsidP="00C72791">
                              <w:pPr>
                                <w:rPr>
                                  <w:sz w:val="24"/>
                                </w:rPr>
                              </w:pPr>
                              <w:r>
                                <w:rPr>
                                  <w:sz w:val="16"/>
                                  <w:szCs w:val="16"/>
                                </w:rPr>
                                <w:t>To London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18"/>
                        <wps:cNvSpPr txBox="1"/>
                        <wps:spPr>
                          <a:xfrm>
                            <a:off x="3532800" y="46650"/>
                            <a:ext cx="666115" cy="200660"/>
                          </a:xfrm>
                          <a:prstGeom prst="rect">
                            <a:avLst/>
                          </a:prstGeom>
                          <a:solidFill>
                            <a:schemeClr val="lt1"/>
                          </a:solidFill>
                          <a:ln w="6350">
                            <a:noFill/>
                          </a:ln>
                        </wps:spPr>
                        <wps:txbx>
                          <w:txbxContent>
                            <w:p w14:paraId="352E36C1" w14:textId="77777777" w:rsidR="00C72791" w:rsidRDefault="00C72791" w:rsidP="00C72791">
                              <w:pPr>
                                <w:rPr>
                                  <w:sz w:val="24"/>
                                </w:rPr>
                              </w:pPr>
                              <w:r>
                                <w:rPr>
                                  <w:sz w:val="16"/>
                                  <w:szCs w:val="16"/>
                                </w:rPr>
                                <w:t>To London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18"/>
                        <wps:cNvSpPr txBox="1"/>
                        <wps:spPr>
                          <a:xfrm>
                            <a:off x="33550" y="369525"/>
                            <a:ext cx="801075" cy="343875"/>
                          </a:xfrm>
                          <a:prstGeom prst="rect">
                            <a:avLst/>
                          </a:prstGeom>
                          <a:noFill/>
                          <a:ln w="6350">
                            <a:noFill/>
                          </a:ln>
                        </wps:spPr>
                        <wps:txbx>
                          <w:txbxContent>
                            <w:p w14:paraId="61390FE8" w14:textId="294DD259" w:rsidR="00C72791" w:rsidRPr="00EB4A4F" w:rsidRDefault="00C72791" w:rsidP="00C72791">
                              <w:pPr>
                                <w:rPr>
                                  <w:sz w:val="24"/>
                                </w:rPr>
                              </w:pPr>
                              <w:r w:rsidRPr="00EB4A4F">
                                <w:rPr>
                                  <w:sz w:val="16"/>
                                  <w:szCs w:val="16"/>
                                </w:rPr>
                                <w:t>To Southampton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18"/>
                        <wps:cNvSpPr txBox="1"/>
                        <wps:spPr>
                          <a:xfrm>
                            <a:off x="4009050" y="473665"/>
                            <a:ext cx="666115" cy="200660"/>
                          </a:xfrm>
                          <a:prstGeom prst="rect">
                            <a:avLst/>
                          </a:prstGeom>
                          <a:solidFill>
                            <a:schemeClr val="lt1"/>
                          </a:solidFill>
                          <a:ln w="6350">
                            <a:noFill/>
                          </a:ln>
                        </wps:spPr>
                        <wps:txbx>
                          <w:txbxContent>
                            <w:p w14:paraId="505FE0E1" w14:textId="64A51605" w:rsidR="00C72791" w:rsidRDefault="00C72791" w:rsidP="00C72791">
                              <w:pPr>
                                <w:rPr>
                                  <w:sz w:val="24"/>
                                </w:rPr>
                              </w:pPr>
                              <w:r>
                                <w:rPr>
                                  <w:sz w:val="16"/>
                                  <w:szCs w:val="16"/>
                                </w:rPr>
                                <w:t>To Lewes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18"/>
                        <wps:cNvSpPr txBox="1"/>
                        <wps:spPr>
                          <a:xfrm>
                            <a:off x="3037500" y="1058545"/>
                            <a:ext cx="839175" cy="382610"/>
                          </a:xfrm>
                          <a:prstGeom prst="rect">
                            <a:avLst/>
                          </a:prstGeom>
                          <a:noFill/>
                          <a:ln w="6350">
                            <a:noFill/>
                          </a:ln>
                        </wps:spPr>
                        <wps:txbx>
                          <w:txbxContent>
                            <w:p w14:paraId="6A999B2F" w14:textId="206CB90E" w:rsidR="00841B65" w:rsidRDefault="00841B65" w:rsidP="00841B65">
                              <w:pPr>
                                <w:rPr>
                                  <w:sz w:val="24"/>
                                </w:rPr>
                              </w:pPr>
                              <w:r>
                                <w:rPr>
                                  <w:sz w:val="16"/>
                                  <w:szCs w:val="16"/>
                                </w:rPr>
                                <w:t>To Littlehampton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Text Box 18"/>
                        <wps:cNvSpPr txBox="1"/>
                        <wps:spPr>
                          <a:xfrm>
                            <a:off x="2132625" y="1065825"/>
                            <a:ext cx="838835" cy="382270"/>
                          </a:xfrm>
                          <a:prstGeom prst="rect">
                            <a:avLst/>
                          </a:prstGeom>
                          <a:noFill/>
                          <a:ln w="6350">
                            <a:noFill/>
                          </a:ln>
                        </wps:spPr>
                        <wps:txbx>
                          <w:txbxContent>
                            <w:p w14:paraId="01EC54B7" w14:textId="77777777" w:rsidR="00DC2977" w:rsidRDefault="00DC2977" w:rsidP="00DC2977">
                              <w:pPr>
                                <w:rPr>
                                  <w:sz w:val="16"/>
                                  <w:szCs w:val="16"/>
                                </w:rPr>
                              </w:pPr>
                              <w:r>
                                <w:rPr>
                                  <w:sz w:val="16"/>
                                  <w:szCs w:val="16"/>
                                </w:rPr>
                                <w:t xml:space="preserve">To </w:t>
                              </w:r>
                            </w:p>
                            <w:p w14:paraId="01D5634C" w14:textId="2BC36451" w:rsidR="00DC2977" w:rsidRDefault="00DC2977" w:rsidP="00DC2977">
                              <w:pPr>
                                <w:rPr>
                                  <w:sz w:val="24"/>
                                </w:rPr>
                              </w:pPr>
                              <w:r>
                                <w:rPr>
                                  <w:sz w:val="16"/>
                                  <w:szCs w:val="16"/>
                                </w:rPr>
                                <w:t>Bognor Regis</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00C40F6" id="Canvas 6" o:spid="_x0000_s1026" editas="canvas" style="width:368.5pt;height:126.75pt;mso-position-horizontal-relative:char;mso-position-vertical-relative:line" coordsize="46799,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799;height:16097;visibility:visible;mso-wrap-style:square" filled="t">
                  <v:fill o:detectmouseclick="t"/>
                  <v:path o:connecttype="none"/>
                </v:shape>
                <v:line id="Straight Connector 7" o:spid="_x0000_s1028" style="position:absolute;visibility:visible;mso-wrap-style:square" from="7620,7239" to="38862,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" strokecolor="black [3213]" strokeweight="1.5pt"/>
                <v:line id="Straight Connector 8" o:spid="_x0000_s1029" style="position:absolute;flip:x;visibility:visible;mso-wrap-style:square" from="3714,7239" to="771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" strokecolor="black [3213]" strokeweight="1.5pt"/>
                <v:line id="Straight Connector 9" o:spid="_x0000_s1030" style="position:absolute;visibility:visible;mso-wrap-style:square" from="38862,7239" to="42576,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" strokecolor="black [3213]" strokeweight="1.5pt"/>
                <v:shapetype id="_x0000_t32" coordsize="21600,21600" o:spt="32" o:oned="t" path="m,l21600,21600e" filled="f">
                  <v:path arrowok="t" fillok="f" o:connecttype="none"/>
                  <o:lock v:ext="edit" shapetype="t"/>
                </v:shapetype>
                <v:shape id="Straight Arrow Connector 11" o:spid="_x0000_s1031" type="#_x0000_t32" style="position:absolute;left:38766;top:7213;width:5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" strokecolor="black [3213]">
                  <v:stroke endarrow="block"/>
                </v:shape>
                <v:shape id="Straight Arrow Connector 12" o:spid="_x0000_s1032" type="#_x0000_t32" style="position:absolute;left:3097;top:7213;width:46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" strokecolor="black [3213]">
                  <v:stroke endarrow="block"/>
                </v:shape>
                <v:shape id="Straight Arrow Connector 13" o:spid="_x0000_s1033" type="#_x0000_t32" style="position:absolute;left:10086;top:2857;width:29;height:43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" strokecolor="black [3213]">
                  <v:stroke endarrow="block"/>
                </v:shape>
                <v:shape id="Straight Arrow Connector 14" o:spid="_x0000_s1034" type="#_x0000_t32" style="position:absolute;left:30743;top:2762;width:2499;height:4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" strokecolor="black [3213]">
                  <v:stroke endarrow="block"/>
                </v:shape>
                <v:shape id="Straight Arrow Connector 15" o:spid="_x0000_s1035" type="#_x0000_t32" style="position:absolute;left:38862;top:2903;width:54;height:42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" strokecolor="black [3213]">
                  <v:stroke endarrow="block"/>
                </v:shape>
                <v:shape id="Straight Arrow Connector 16" o:spid="_x0000_s1036" type="#_x0000_t32" style="position:absolute;left:30743;top:7239;width:2975;height:4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" strokecolor="black [3213]">
                  <v:stroke endarrow="block"/>
                </v:shape>
                <v:shape id="Straight Arrow Connector 17" o:spid="_x0000_s1037" type="#_x0000_t32" style="position:absolute;left:24288;top:7134;width:2848;height:50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" strokecolor="black [3213]">
                  <v:stroke endarrow="block"/>
                </v:shape>
                <v:shapetype id="_x0000_t202" coordsize="21600,21600" o:spt="202" path="m,l,21600r21600,l21600,xe">
                  <v:stroke joinstyle="miter"/>
                  <v:path gradientshapeok="t" o:connecttype="rect"/>
                </v:shapetype>
                <v:shape id="Text Box 18" o:spid="_x0000_s1038" type="#_x0000_t202" style="position:absolute;left:762;top:12954;width:733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4D871987" w14:textId="11A79A75" w:rsidR="00754E4A" w:rsidRPr="003F5FBC" w:rsidRDefault="00754E4A">
                        <w:pPr>
                          <w:rPr>
                            <w:b/>
                            <w:bCs/>
                            <w:sz w:val="16"/>
                            <w:szCs w:val="16"/>
                          </w:rPr>
                        </w:pPr>
                        <w:r w:rsidRPr="003F5FBC">
                          <w:rPr>
                            <w:b/>
                            <w:bCs/>
                            <w:sz w:val="16"/>
                            <w:szCs w:val="16"/>
                          </w:rPr>
                          <w:t>Portsmouth Harbour</w:t>
                        </w:r>
                      </w:p>
                    </w:txbxContent>
                  </v:textbox>
                </v:shape>
                <v:shape id="Text Box 18" o:spid="_x0000_s1039" type="#_x0000_t202" style="position:absolute;left:39535;top:12954;width:666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501FD8F4" w14:textId="65054866" w:rsidR="00754E4A" w:rsidRPr="003F5FBC" w:rsidRDefault="00754E4A" w:rsidP="00754E4A">
                        <w:pPr>
                          <w:rPr>
                            <w:b/>
                            <w:bCs/>
                            <w:sz w:val="24"/>
                          </w:rPr>
                        </w:pPr>
                        <w:r w:rsidRPr="003F5FBC">
                          <w:rPr>
                            <w:b/>
                            <w:bCs/>
                            <w:sz w:val="16"/>
                            <w:szCs w:val="16"/>
                          </w:rPr>
                          <w:t>Brighton</w:t>
                        </w:r>
                      </w:p>
                    </w:txbxContent>
                  </v:textbox>
                </v:shape>
                <v:shape id="Text Box 18" o:spid="_x0000_s1040" type="#_x0000_t202" style="position:absolute;left:9229;top:7515;width:666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585E2DE1" w14:textId="43981812" w:rsidR="00754E4A" w:rsidRDefault="00CF3959" w:rsidP="00754E4A">
                        <w:pPr>
                          <w:rPr>
                            <w:sz w:val="24"/>
                          </w:rPr>
                        </w:pPr>
                        <w:r>
                          <w:rPr>
                            <w:sz w:val="16"/>
                            <w:szCs w:val="16"/>
                          </w:rPr>
                          <w:t>Havant</w:t>
                        </w:r>
                      </w:p>
                    </w:txbxContent>
                  </v:textbox>
                </v:shape>
                <v:shape id="Text Box 18" o:spid="_x0000_s1041" type="#_x0000_t202" style="position:absolute;left:21707;top:4647;width:5915;height: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6692A95E" w14:textId="21FA3ADE" w:rsidR="00CF3959" w:rsidRDefault="00CF3959" w:rsidP="00CF3959">
                        <w:pPr>
                          <w:rPr>
                            <w:sz w:val="24"/>
                          </w:rPr>
                        </w:pPr>
                        <w:r>
                          <w:rPr>
                            <w:sz w:val="16"/>
                            <w:szCs w:val="16"/>
                          </w:rPr>
                          <w:t>Barnham</w:t>
                        </w:r>
                      </w:p>
                    </w:txbxContent>
                  </v:textbox>
                </v:shape>
                <v:shape id="Text Box 18" o:spid="_x0000_s1042" type="#_x0000_t202" style="position:absolute;left:27622;top:4647;width:4477;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F818E42" w14:textId="1BA9A0A1" w:rsidR="00CF3959" w:rsidRDefault="00CF3959" w:rsidP="00CF3959">
                        <w:pPr>
                          <w:rPr>
                            <w:sz w:val="24"/>
                          </w:rPr>
                        </w:pPr>
                        <w:r>
                          <w:rPr>
                            <w:sz w:val="16"/>
                            <w:szCs w:val="16"/>
                          </w:rPr>
                          <w:t>Ford</w:t>
                        </w:r>
                      </w:p>
                    </w:txbxContent>
                  </v:textbox>
                </v:shape>
                <v:shape id="Text Box 18" o:spid="_x0000_s1043" type="#_x0000_t202" style="position:absolute;left:6562;top:561;width:6661;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6D307030" w14:textId="5BD87749" w:rsidR="00C72791" w:rsidRDefault="00C72791" w:rsidP="00C72791">
                        <w:pPr>
                          <w:rPr>
                            <w:sz w:val="24"/>
                          </w:rPr>
                        </w:pPr>
                        <w:r>
                          <w:rPr>
                            <w:sz w:val="16"/>
                            <w:szCs w:val="16"/>
                          </w:rPr>
                          <w:t>To London</w:t>
                        </w:r>
                      </w:p>
                    </w:txbxContent>
                  </v:textbox>
                </v:shape>
                <v:shape id="Text Box 18" o:spid="_x0000_s1044" type="#_x0000_t202" style="position:absolute;left:28374;top:466;width:666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1E035E54" w14:textId="77777777" w:rsidR="00C72791" w:rsidRDefault="00C72791" w:rsidP="00C72791">
                        <w:pPr>
                          <w:rPr>
                            <w:sz w:val="24"/>
                          </w:rPr>
                        </w:pPr>
                        <w:r>
                          <w:rPr>
                            <w:sz w:val="16"/>
                            <w:szCs w:val="16"/>
                          </w:rPr>
                          <w:t>To London</w:t>
                        </w:r>
                      </w:p>
                    </w:txbxContent>
                  </v:textbox>
                </v:shape>
                <v:shape id="Text Box 18" o:spid="_x0000_s1045" type="#_x0000_t202" style="position:absolute;left:35328;top:466;width:666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352E36C1" w14:textId="77777777" w:rsidR="00C72791" w:rsidRDefault="00C72791" w:rsidP="00C72791">
                        <w:pPr>
                          <w:rPr>
                            <w:sz w:val="24"/>
                          </w:rPr>
                        </w:pPr>
                        <w:r>
                          <w:rPr>
                            <w:sz w:val="16"/>
                            <w:szCs w:val="16"/>
                          </w:rPr>
                          <w:t>To London</w:t>
                        </w:r>
                      </w:p>
                    </w:txbxContent>
                  </v:textbox>
                </v:shape>
                <v:shape id="Text Box 18" o:spid="_x0000_s1046" type="#_x0000_t202" style="position:absolute;left:335;top:3695;width:8011;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61390FE8" w14:textId="294DD259" w:rsidR="00C72791" w:rsidRPr="00EB4A4F" w:rsidRDefault="00C72791" w:rsidP="00C72791">
                        <w:pPr>
                          <w:rPr>
                            <w:sz w:val="24"/>
                          </w:rPr>
                        </w:pPr>
                        <w:r w:rsidRPr="00EB4A4F">
                          <w:rPr>
                            <w:sz w:val="16"/>
                            <w:szCs w:val="16"/>
                          </w:rPr>
                          <w:t>To Southampton</w:t>
                        </w:r>
                      </w:p>
                    </w:txbxContent>
                  </v:textbox>
                </v:shape>
                <v:shape id="Text Box 18" o:spid="_x0000_s1047" type="#_x0000_t202" style="position:absolute;left:40090;top:4736;width:666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505FE0E1" w14:textId="64A51605" w:rsidR="00C72791" w:rsidRDefault="00C72791" w:rsidP="00C72791">
                        <w:pPr>
                          <w:rPr>
                            <w:sz w:val="24"/>
                          </w:rPr>
                        </w:pPr>
                        <w:r>
                          <w:rPr>
                            <w:sz w:val="16"/>
                            <w:szCs w:val="16"/>
                          </w:rPr>
                          <w:t>To Lewes</w:t>
                        </w:r>
                      </w:p>
                    </w:txbxContent>
                  </v:textbox>
                </v:shape>
                <v:shape id="Text Box 18" o:spid="_x0000_s1048" type="#_x0000_t202" style="position:absolute;left:30375;top:10585;width:8391;height:3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6A999B2F" w14:textId="206CB90E" w:rsidR="00841B65" w:rsidRDefault="00841B65" w:rsidP="00841B65">
                        <w:pPr>
                          <w:rPr>
                            <w:sz w:val="24"/>
                          </w:rPr>
                        </w:pPr>
                        <w:r>
                          <w:rPr>
                            <w:sz w:val="16"/>
                            <w:szCs w:val="16"/>
                          </w:rPr>
                          <w:t>To Littlehampton</w:t>
                        </w:r>
                      </w:p>
                    </w:txbxContent>
                  </v:textbox>
                </v:shape>
                <v:shape id="Text Box 18" o:spid="_x0000_s1049" type="#_x0000_t202" style="position:absolute;left:21326;top:10658;width:8388;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1EC54B7" w14:textId="77777777" w:rsidR="00DC2977" w:rsidRDefault="00DC2977" w:rsidP="00DC2977">
                        <w:pPr>
                          <w:rPr>
                            <w:sz w:val="16"/>
                            <w:szCs w:val="16"/>
                          </w:rPr>
                        </w:pPr>
                        <w:r>
                          <w:rPr>
                            <w:sz w:val="16"/>
                            <w:szCs w:val="16"/>
                          </w:rPr>
                          <w:t xml:space="preserve">To </w:t>
                        </w:r>
                      </w:p>
                      <w:p w14:paraId="01D5634C" w14:textId="2BC36451" w:rsidR="00DC2977" w:rsidRDefault="00DC2977" w:rsidP="00DC2977">
                        <w:pPr>
                          <w:rPr>
                            <w:sz w:val="24"/>
                          </w:rPr>
                        </w:pPr>
                        <w:r>
                          <w:rPr>
                            <w:sz w:val="16"/>
                            <w:szCs w:val="16"/>
                          </w:rPr>
                          <w:t>Bognor Regis</w:t>
                        </w:r>
                      </w:p>
                    </w:txbxContent>
                  </v:textbox>
                </v:shape>
                <w10:anchorlock/>
              </v:group>
            </w:pict>
          </mc:Fallback>
        </mc:AlternateContent>
      </w:r>
      <w:bookmarkEnd w:id="2"/>
    </w:p>
    <w:p w14:paraId="04419266" w14:textId="68128406" w:rsidR="00834E9A" w:rsidRDefault="00834E9A" w:rsidP="00834E9A">
      <w:pPr>
        <w:pStyle w:val="FigureCaption"/>
      </w:pPr>
      <w:r>
        <w:t xml:space="preserve">West </w:t>
      </w:r>
      <w:proofErr w:type="spellStart"/>
      <w:r>
        <w:t>Coastway</w:t>
      </w:r>
      <w:proofErr w:type="spellEnd"/>
      <w:r>
        <w:t xml:space="preserve"> </w:t>
      </w:r>
      <w:r w:rsidR="00BF1EE4">
        <w:t>schematic line diagram</w:t>
      </w:r>
    </w:p>
    <w:p w14:paraId="689DEC34" w14:textId="48E3DCEB" w:rsidR="00873659" w:rsidRDefault="001770EA" w:rsidP="006E2268">
      <w:r>
        <w:t xml:space="preserve">The length of the West </w:t>
      </w:r>
      <w:proofErr w:type="spellStart"/>
      <w:r>
        <w:t>Coastway</w:t>
      </w:r>
      <w:proofErr w:type="spellEnd"/>
      <w:r>
        <w:t xml:space="preserve"> is appro</w:t>
      </w:r>
      <w:r w:rsidR="00B17F2E">
        <w:t xml:space="preserve">ximately 45.5 </w:t>
      </w:r>
      <w:r w:rsidR="006A65FC">
        <w:t>miles (</w:t>
      </w:r>
      <w:r w:rsidR="00B5219D">
        <w:t>73.2</w:t>
      </w:r>
      <w:r w:rsidR="00A9564A">
        <w:t xml:space="preserve"> </w:t>
      </w:r>
      <w:r w:rsidR="00B5219D">
        <w:t>km</w:t>
      </w:r>
      <w:r w:rsidR="006A65FC">
        <w:t>)</w:t>
      </w:r>
      <w:r w:rsidR="00A9564A">
        <w:t xml:space="preserve">, and it is </w:t>
      </w:r>
      <w:r w:rsidR="008D1C9F">
        <w:t>predominantly a two-track railway</w:t>
      </w:r>
      <w:r w:rsidR="00C64DA7">
        <w:t>, with a few short</w:t>
      </w:r>
      <w:r w:rsidR="002D3F01">
        <w:t>,</w:t>
      </w:r>
      <w:r w:rsidR="00C64DA7">
        <w:t xml:space="preserve"> three-track sections. Line speeds along the route vary between </w:t>
      </w:r>
      <w:r w:rsidR="00787A54">
        <w:t>40 mph and 85 mph (</w:t>
      </w:r>
      <w:r w:rsidR="00C45228">
        <w:t>approximately 64 km/h to 137 km/h</w:t>
      </w:r>
      <w:r w:rsidR="00787A54">
        <w:t xml:space="preserve">), with a 20 mph </w:t>
      </w:r>
      <w:r w:rsidR="002D3F01">
        <w:t xml:space="preserve">(approximately 32 km/h) </w:t>
      </w:r>
      <w:r w:rsidR="00787A54">
        <w:t>limit on the approaches to Brighton station.</w:t>
      </w:r>
      <w:r w:rsidR="00822BBE">
        <w:t xml:space="preserve"> The </w:t>
      </w:r>
      <w:r w:rsidR="004A4128">
        <w:t xml:space="preserve">route was chosen for a range of reasons, mainly because </w:t>
      </w:r>
      <w:r w:rsidR="002A421E">
        <w:t xml:space="preserve">it is the subject of experimental and analytical </w:t>
      </w:r>
      <w:r w:rsidR="000A163A">
        <w:t xml:space="preserve">activities </w:t>
      </w:r>
      <w:r w:rsidR="002A421E">
        <w:t xml:space="preserve">in other research </w:t>
      </w:r>
      <w:r w:rsidR="00FA052C">
        <w:t>work</w:t>
      </w:r>
      <w:r w:rsidR="002A421E">
        <w:t xml:space="preserve"> being undertaken by members of the T2F team</w:t>
      </w:r>
      <w:r w:rsidR="00FA052C">
        <w:t xml:space="preserve"> (see for example</w:t>
      </w:r>
      <w:r w:rsidR="00763CA3">
        <w:t xml:space="preserve"> [1</w:t>
      </w:r>
      <w:r w:rsidR="00DC0E9A">
        <w:t>4</w:t>
      </w:r>
      <w:r w:rsidR="00763CA3">
        <w:t>]</w:t>
      </w:r>
      <w:r w:rsidR="00FA052C">
        <w:t>)</w:t>
      </w:r>
      <w:r w:rsidR="002A421E">
        <w:t xml:space="preserve">, and thus provides </w:t>
      </w:r>
      <w:r w:rsidR="00FA052C">
        <w:t>some potential synergies between activities.</w:t>
      </w:r>
    </w:p>
    <w:p w14:paraId="5185743E" w14:textId="5DD12EF2" w:rsidR="00873659" w:rsidRPr="00E3239D" w:rsidRDefault="00873659" w:rsidP="00873659">
      <w:pPr>
        <w:pStyle w:val="Heading1"/>
      </w:pPr>
      <w:r>
        <w:lastRenderedPageBreak/>
        <w:t>ongoing</w:t>
      </w:r>
      <w:r w:rsidR="00E36421">
        <w:t xml:space="preserve"> and </w:t>
      </w:r>
      <w:r>
        <w:t>further work</w:t>
      </w:r>
    </w:p>
    <w:p w14:paraId="37953E0F" w14:textId="2576E17B" w:rsidR="00E67713" w:rsidRDefault="00B47130" w:rsidP="00873659">
      <w:r>
        <w:t xml:space="preserve">Work is ongoing to develop and implement the ontology, and to </w:t>
      </w:r>
      <w:r w:rsidR="000F1192">
        <w:t xml:space="preserve">replicate and extend the analytical processes described in </w:t>
      </w:r>
      <w:r w:rsidR="0068390C">
        <w:t>[</w:t>
      </w:r>
      <w:r w:rsidR="002E77FB">
        <w:t>8</w:t>
      </w:r>
      <w:r w:rsidR="0068390C">
        <w:t>] and [</w:t>
      </w:r>
      <w:r w:rsidR="00FF6F04">
        <w:t>9</w:t>
      </w:r>
      <w:r w:rsidR="0068390C">
        <w:t>]</w:t>
      </w:r>
      <w:r w:rsidR="00CF79D5">
        <w:t>.</w:t>
      </w:r>
      <w:r w:rsidR="0068390C">
        <w:t xml:space="preserve"> </w:t>
      </w:r>
    </w:p>
    <w:p w14:paraId="685AD4A6" w14:textId="19EAD24D" w:rsidR="00873659" w:rsidRDefault="00E67713" w:rsidP="00873659">
      <w:r>
        <w:t xml:space="preserve">     </w:t>
      </w:r>
      <w:r w:rsidR="00DF7F2E">
        <w:t>Looking beyond T2F</w:t>
      </w:r>
      <w:r w:rsidR="0088319A">
        <w:t xml:space="preserve">, the project team </w:t>
      </w:r>
      <w:r w:rsidR="00DB3674">
        <w:t>aspires</w:t>
      </w:r>
      <w:r w:rsidR="0088319A">
        <w:t xml:space="preserve"> to </w:t>
      </w:r>
      <w:r w:rsidR="008729AF">
        <w:t>develop and implement a more generalised version of the modelling and analytical framework</w:t>
      </w:r>
      <w:r w:rsidR="00641CAD">
        <w:t>, ideally including other transport modes</w:t>
      </w:r>
      <w:r w:rsidR="0023773A">
        <w:t xml:space="preserve"> and the interdependencies both between modes and with other infrastructure systems,</w:t>
      </w:r>
      <w:r w:rsidR="00C23078">
        <w:t xml:space="preserve"> in a similar manner to the</w:t>
      </w:r>
      <w:r w:rsidR="0023773A">
        <w:t xml:space="preserve"> models developed by the </w:t>
      </w:r>
      <w:r w:rsidR="00F7072C">
        <w:t>ITRC</w:t>
      </w:r>
      <w:r w:rsidR="00C23078">
        <w:t xml:space="preserve"> [1</w:t>
      </w:r>
      <w:r w:rsidR="00DC0E9A">
        <w:t>5</w:t>
      </w:r>
      <w:r w:rsidR="00C23078">
        <w:t>]</w:t>
      </w:r>
      <w:r w:rsidR="00B00796">
        <w:t>. Another possibility is to link the framew</w:t>
      </w:r>
      <w:r w:rsidR="00DB3674">
        <w:t>ork with DAFNI (</w:t>
      </w:r>
      <w:r w:rsidR="001C749F">
        <w:t>Data &amp; Anal</w:t>
      </w:r>
      <w:r w:rsidR="000E3A86">
        <w:t>ytics Facility for National Infrastructure</w:t>
      </w:r>
      <w:r w:rsidR="00DB3674">
        <w:t>) [1</w:t>
      </w:r>
      <w:r w:rsidR="00DC0E9A">
        <w:t>6</w:t>
      </w:r>
      <w:r w:rsidR="00DB3674">
        <w:t>]</w:t>
      </w:r>
      <w:r w:rsidR="0023773A">
        <w:t>, allowing direct access to and integration with the growing range of infrastructure datasets and models stored on this facility</w:t>
      </w:r>
      <w:r w:rsidR="00DB3674">
        <w:t>.</w:t>
      </w:r>
      <w:r w:rsidR="008729AF">
        <w:t xml:space="preserve"> </w:t>
      </w:r>
    </w:p>
    <w:p w14:paraId="515354D3" w14:textId="4997E7E9" w:rsidR="006E2268" w:rsidRDefault="006E2268" w:rsidP="006E2268">
      <w:pPr>
        <w:pStyle w:val="Heading1"/>
      </w:pPr>
      <w:r>
        <w:t>Conclusions</w:t>
      </w:r>
    </w:p>
    <w:p w14:paraId="04EA081C" w14:textId="75DAE49C" w:rsidR="006E2268" w:rsidRDefault="00B3510C" w:rsidP="006E2268">
      <w:r>
        <w:t xml:space="preserve">As traffic levels on legacy railway </w:t>
      </w:r>
      <w:r w:rsidR="001772D6">
        <w:t>networks</w:t>
      </w:r>
      <w:r>
        <w:t xml:space="preserve"> increase, </w:t>
      </w:r>
      <w:r w:rsidR="00BD36F4">
        <w:t xml:space="preserve">there is a growing need for interventions to </w:t>
      </w:r>
      <w:r w:rsidR="00F4232D">
        <w:t xml:space="preserve">maintain and </w:t>
      </w:r>
      <w:r w:rsidR="001772D6">
        <w:t>renew the infrastructure</w:t>
      </w:r>
      <w:r w:rsidR="005D7ED2">
        <w:t xml:space="preserve"> (</w:t>
      </w:r>
      <w:r w:rsidR="007B6392">
        <w:t xml:space="preserve">and </w:t>
      </w:r>
      <w:r w:rsidR="001772D6">
        <w:t xml:space="preserve">ideally </w:t>
      </w:r>
      <w:r w:rsidR="004B13D6">
        <w:t>to increa</w:t>
      </w:r>
      <w:r w:rsidR="007B35F7">
        <w:t>s</w:t>
      </w:r>
      <w:r w:rsidR="004B13D6">
        <w:t>e</w:t>
      </w:r>
      <w:r w:rsidR="007B35F7">
        <w:t xml:space="preserve"> the</w:t>
      </w:r>
      <w:r w:rsidR="007B6392">
        <w:t xml:space="preserve"> </w:t>
      </w:r>
      <w:r w:rsidR="007B35F7">
        <w:t xml:space="preserve">time intervals between </w:t>
      </w:r>
      <w:r w:rsidR="007B6392">
        <w:t>interventions</w:t>
      </w:r>
      <w:r w:rsidR="005D7ED2">
        <w:t>)</w:t>
      </w:r>
      <w:r w:rsidR="007B35F7">
        <w:t xml:space="preserve">, and </w:t>
      </w:r>
      <w:r w:rsidR="00BD3E36">
        <w:t>to reduce the environmental impacts of increasing traffic levels on users and, particularly, non-users of the railway.</w:t>
      </w:r>
      <w:r w:rsidR="00812A40">
        <w:t xml:space="preserve"> At the same time, the increasing traffic levels reduce the opportunities for </w:t>
      </w:r>
      <w:r w:rsidR="005B4BAA">
        <w:t>access to the infrastructure</w:t>
      </w:r>
      <w:r w:rsidR="00812A40">
        <w:t xml:space="preserve">, </w:t>
      </w:r>
      <w:r w:rsidR="00F26AE1">
        <w:t xml:space="preserve">and </w:t>
      </w:r>
      <w:r w:rsidR="005B4BAA">
        <w:t xml:space="preserve">so </w:t>
      </w:r>
      <w:r w:rsidR="00F26AE1">
        <w:t xml:space="preserve">judicious </w:t>
      </w:r>
      <w:r w:rsidR="005B4BAA">
        <w:t xml:space="preserve">selection </w:t>
      </w:r>
      <w:r w:rsidR="000C4FE6">
        <w:t>from the available range of interventions is increasingly important</w:t>
      </w:r>
      <w:r w:rsidR="001E227D">
        <w:t xml:space="preserve"> if overall benefits are to be maximised</w:t>
      </w:r>
      <w:r w:rsidR="000C4FE6">
        <w:t>.</w:t>
      </w:r>
    </w:p>
    <w:p w14:paraId="1237A989" w14:textId="1665C042" w:rsidR="001E227D" w:rsidRDefault="001E227D" w:rsidP="006E2268">
      <w:r>
        <w:t xml:space="preserve">     </w:t>
      </w:r>
      <w:r w:rsidR="00B016B3">
        <w:t xml:space="preserve">Previous work in this area has demonstrated the feasibility and merits of </w:t>
      </w:r>
      <w:r w:rsidR="00CA24DC">
        <w:t>applying CBA to individual interventions and to the comparison of alternative options, but the tools and methods used were comparatively situation-specific and inflexible</w:t>
      </w:r>
      <w:r w:rsidR="006A44B9">
        <w:t>.</w:t>
      </w:r>
      <w:r w:rsidR="00D611C1">
        <w:t xml:space="preserve"> </w:t>
      </w:r>
      <w:r w:rsidR="006A44B9">
        <w:t>A</w:t>
      </w:r>
      <w:r w:rsidR="00D611C1">
        <w:t xml:space="preserve">n improved, </w:t>
      </w:r>
      <w:r w:rsidR="000C7193">
        <w:t xml:space="preserve">standardised and </w:t>
      </w:r>
      <w:r w:rsidR="00D611C1">
        <w:t xml:space="preserve">flexible </w:t>
      </w:r>
      <w:r w:rsidR="000C7193">
        <w:t>assessment framew</w:t>
      </w:r>
      <w:r w:rsidR="00DD5542">
        <w:t xml:space="preserve">ork would </w:t>
      </w:r>
      <w:r w:rsidR="006A44B9">
        <w:t xml:space="preserve">therefore </w:t>
      </w:r>
      <w:r w:rsidR="00DD5542">
        <w:t xml:space="preserve">be very useful for enabling the rapid and consistent assessment of alternative interventions </w:t>
      </w:r>
      <w:r w:rsidR="00904673">
        <w:t xml:space="preserve">and/or interventions in different locations and </w:t>
      </w:r>
      <w:r w:rsidR="006A44B9">
        <w:t xml:space="preserve">operating </w:t>
      </w:r>
      <w:r w:rsidR="00904673">
        <w:t>circumstances</w:t>
      </w:r>
      <w:r w:rsidR="00B4203A">
        <w:t xml:space="preserve">, thus </w:t>
      </w:r>
      <w:r w:rsidR="003269A5">
        <w:t xml:space="preserve">also </w:t>
      </w:r>
      <w:r w:rsidR="00B4203A">
        <w:t>facilitating comparisons between alternatives</w:t>
      </w:r>
      <w:r w:rsidR="00CA24DC">
        <w:t>.</w:t>
      </w:r>
    </w:p>
    <w:p w14:paraId="588D5AAC" w14:textId="0D150261" w:rsidR="003269A5" w:rsidRPr="00FB1069" w:rsidRDefault="003269A5" w:rsidP="006E2268">
      <w:r>
        <w:t xml:space="preserve">     This paper describes the work undertaken to date in developing such a framework</w:t>
      </w:r>
      <w:r w:rsidR="00331812">
        <w:t xml:space="preserve"> </w:t>
      </w:r>
      <w:r>
        <w:t>for future application</w:t>
      </w:r>
      <w:r w:rsidR="00331812">
        <w:t>, the case study chosen for its initial application and testing, the ongoing work in this area, and anticipated extensions to other projects and research domains in which the authors are engaged.</w:t>
      </w:r>
    </w:p>
    <w:p w14:paraId="731E90A5" w14:textId="5ECC800A" w:rsidR="007233D6" w:rsidRDefault="007233D6" w:rsidP="004D4CCA">
      <w:pPr>
        <w:pStyle w:val="ReferencesTitle"/>
      </w:pPr>
      <w:r>
        <w:t>Acknowledgements</w:t>
      </w:r>
    </w:p>
    <w:p w14:paraId="769FF7C9" w14:textId="257A9D9B" w:rsidR="007233D6" w:rsidRPr="00FB1069" w:rsidRDefault="00897CB5" w:rsidP="007233D6">
      <w:r w:rsidRPr="00290D8C">
        <w:rPr>
          <w:szCs w:val="20"/>
          <w:lang w:eastAsia="nl-NL"/>
        </w:rPr>
        <w:t xml:space="preserve">This research has been carried out by the authors as part of the EPSRC-funded TRACK21 (EP/H044949/1) </w:t>
      </w:r>
      <w:r>
        <w:rPr>
          <w:szCs w:val="20"/>
          <w:lang w:eastAsia="nl-NL"/>
        </w:rPr>
        <w:t xml:space="preserve">and Track to the Future </w:t>
      </w:r>
      <w:r w:rsidRPr="00290D8C">
        <w:rPr>
          <w:szCs w:val="20"/>
          <w:lang w:eastAsia="nl-NL"/>
        </w:rPr>
        <w:t>project</w:t>
      </w:r>
      <w:r>
        <w:rPr>
          <w:szCs w:val="20"/>
          <w:lang w:eastAsia="nl-NL"/>
        </w:rPr>
        <w:t>s (</w:t>
      </w:r>
      <w:r w:rsidRPr="00637251">
        <w:rPr>
          <w:szCs w:val="20"/>
          <w:lang w:eastAsia="nl-NL"/>
        </w:rPr>
        <w:t>EP/M025276/1</w:t>
      </w:r>
      <w:r>
        <w:rPr>
          <w:szCs w:val="20"/>
          <w:lang w:eastAsia="nl-NL"/>
        </w:rPr>
        <w:t>)</w:t>
      </w:r>
      <w:r w:rsidRPr="00290D8C">
        <w:rPr>
          <w:szCs w:val="20"/>
          <w:lang w:eastAsia="nl-NL"/>
        </w:rPr>
        <w:t xml:space="preserve">. </w:t>
      </w:r>
      <w:r w:rsidR="00AF5155">
        <w:t xml:space="preserve">The authors are grateful </w:t>
      </w:r>
      <w:r w:rsidR="00E922D6">
        <w:t>to Network Rail for the provision of industry data, information and expertise.</w:t>
      </w:r>
    </w:p>
    <w:p w14:paraId="71F1BEF2" w14:textId="77777777" w:rsidR="004D4CCA" w:rsidRDefault="004D4CCA" w:rsidP="004D4CCA">
      <w:pPr>
        <w:pStyle w:val="ReferencesTitle"/>
      </w:pPr>
      <w:r w:rsidRPr="004D4CCA">
        <w:t>REFERENCES</w:t>
      </w:r>
    </w:p>
    <w:p w14:paraId="1CF34129" w14:textId="46152332" w:rsidR="00E94D67" w:rsidRDefault="00934E61" w:rsidP="00931305">
      <w:pPr>
        <w:pStyle w:val="ReferencesCitation"/>
      </w:pPr>
      <w:proofErr w:type="spellStart"/>
      <w:r w:rsidRPr="00934E61">
        <w:t>Bešinović</w:t>
      </w:r>
      <w:proofErr w:type="spellEnd"/>
      <w:r w:rsidRPr="00934E61">
        <w:t xml:space="preserve">, N. and </w:t>
      </w:r>
      <w:proofErr w:type="spellStart"/>
      <w:r w:rsidRPr="00934E61">
        <w:t>Goverde</w:t>
      </w:r>
      <w:proofErr w:type="spellEnd"/>
      <w:r w:rsidRPr="00934E61">
        <w:t>, R.M.P., ‘Capacity Assessment in Railway Networks’. In: Handbook of Optimization in the Railway Industry (</w:t>
      </w:r>
      <w:proofErr w:type="spellStart"/>
      <w:r w:rsidRPr="00934E61">
        <w:t>Borndörfer</w:t>
      </w:r>
      <w:proofErr w:type="spellEnd"/>
      <w:r w:rsidRPr="00934E61">
        <w:t xml:space="preserve">, R., Klug, T., </w:t>
      </w:r>
      <w:proofErr w:type="spellStart"/>
      <w:r w:rsidRPr="00934E61">
        <w:t>Lamorgese</w:t>
      </w:r>
      <w:proofErr w:type="spellEnd"/>
      <w:r w:rsidRPr="00934E61">
        <w:t xml:space="preserve">, L., </w:t>
      </w:r>
      <w:proofErr w:type="spellStart"/>
      <w:r w:rsidRPr="00934E61">
        <w:t>Mannino</w:t>
      </w:r>
      <w:proofErr w:type="spellEnd"/>
      <w:r w:rsidRPr="00934E61">
        <w:t xml:space="preserve">, C., Reuther, M. and </w:t>
      </w:r>
      <w:proofErr w:type="spellStart"/>
      <w:r w:rsidRPr="00934E61">
        <w:t>Schlechte</w:t>
      </w:r>
      <w:proofErr w:type="spellEnd"/>
      <w:r w:rsidRPr="00934E61">
        <w:t>. T., eds.). Springer</w:t>
      </w:r>
      <w:r w:rsidR="00C80D4E">
        <w:t>: Cham, pp</w:t>
      </w:r>
      <w:r w:rsidR="00212DF1">
        <w:t>25-45</w:t>
      </w:r>
      <w:r w:rsidR="00C80D4E">
        <w:t>, 2018</w:t>
      </w:r>
      <w:r w:rsidRPr="00934E61">
        <w:t>.</w:t>
      </w:r>
    </w:p>
    <w:p w14:paraId="29F87818" w14:textId="60613278" w:rsidR="00212DF1" w:rsidRDefault="00BD0B85" w:rsidP="00212DF1">
      <w:pPr>
        <w:pStyle w:val="ReferencesCitation"/>
      </w:pPr>
      <w:proofErr w:type="spellStart"/>
      <w:r>
        <w:t>Cacc</w:t>
      </w:r>
      <w:r w:rsidR="00BC5B49">
        <w:t>hiani</w:t>
      </w:r>
      <w:proofErr w:type="spellEnd"/>
      <w:r w:rsidR="00BC5B49">
        <w:t>, V</w:t>
      </w:r>
      <w:r w:rsidR="00212DF1" w:rsidRPr="00934E61">
        <w:t xml:space="preserve">. and </w:t>
      </w:r>
      <w:r w:rsidR="00BC5B49">
        <w:t>Toth</w:t>
      </w:r>
      <w:r w:rsidR="00212DF1" w:rsidRPr="00934E61">
        <w:t>, P., ‘</w:t>
      </w:r>
      <w:r w:rsidR="00BC5B49">
        <w:t>Robust Train Timetabling</w:t>
      </w:r>
      <w:r w:rsidR="00212DF1" w:rsidRPr="00934E61">
        <w:t>’. In: Handbook of Optimization in the Railway Industry (</w:t>
      </w:r>
      <w:proofErr w:type="spellStart"/>
      <w:r w:rsidR="00212DF1" w:rsidRPr="00934E61">
        <w:t>Borndörfer</w:t>
      </w:r>
      <w:proofErr w:type="spellEnd"/>
      <w:r w:rsidR="00212DF1" w:rsidRPr="00934E61">
        <w:t xml:space="preserve">, R., Klug, T., </w:t>
      </w:r>
      <w:proofErr w:type="spellStart"/>
      <w:r w:rsidR="00212DF1" w:rsidRPr="00934E61">
        <w:t>Lamorgese</w:t>
      </w:r>
      <w:proofErr w:type="spellEnd"/>
      <w:r w:rsidR="00212DF1" w:rsidRPr="00934E61">
        <w:t xml:space="preserve">, L., </w:t>
      </w:r>
      <w:proofErr w:type="spellStart"/>
      <w:r w:rsidR="00212DF1" w:rsidRPr="00934E61">
        <w:t>Mannino</w:t>
      </w:r>
      <w:proofErr w:type="spellEnd"/>
      <w:r w:rsidR="00212DF1" w:rsidRPr="00934E61">
        <w:t xml:space="preserve">, C., Reuther, M. and </w:t>
      </w:r>
      <w:proofErr w:type="spellStart"/>
      <w:r w:rsidR="00212DF1" w:rsidRPr="00934E61">
        <w:t>Schlechte</w:t>
      </w:r>
      <w:proofErr w:type="spellEnd"/>
      <w:r w:rsidR="00212DF1" w:rsidRPr="00934E61">
        <w:t>. T., eds.). Springer</w:t>
      </w:r>
      <w:r w:rsidR="00212DF1">
        <w:t>: Cham, pp</w:t>
      </w:r>
      <w:r w:rsidR="00AF4F74">
        <w:t>93</w:t>
      </w:r>
      <w:r w:rsidR="00212DF1">
        <w:t>-</w:t>
      </w:r>
      <w:r w:rsidR="00BA4580">
        <w:t>11</w:t>
      </w:r>
      <w:r w:rsidR="00212DF1">
        <w:t>5, 2018</w:t>
      </w:r>
      <w:r w:rsidR="00212DF1" w:rsidRPr="00934E61">
        <w:t>.</w:t>
      </w:r>
    </w:p>
    <w:p w14:paraId="2AACEC55" w14:textId="020C234F" w:rsidR="005F7B63" w:rsidRDefault="00414BD2" w:rsidP="00931305">
      <w:pPr>
        <w:pStyle w:val="ReferencesCitation"/>
      </w:pPr>
      <w:r>
        <w:t xml:space="preserve">ORR, Passenger </w:t>
      </w:r>
      <w:r w:rsidR="00BE14F1">
        <w:t>train k</w:t>
      </w:r>
      <w:r w:rsidR="00677232">
        <w:t>ilometres</w:t>
      </w:r>
      <w:r w:rsidR="00BE14F1">
        <w:t xml:space="preserve"> by operator – Table 12.13</w:t>
      </w:r>
      <w:r w:rsidR="00950D94">
        <w:t>, 2020</w:t>
      </w:r>
      <w:r w:rsidR="00BE14F1">
        <w:t xml:space="preserve"> [online].</w:t>
      </w:r>
      <w:r w:rsidR="00950D94">
        <w:t xml:space="preserve"> Available from </w:t>
      </w:r>
      <w:hyperlink r:id="rId13" w:history="1">
        <w:r w:rsidR="00A807DA" w:rsidRPr="006860A9">
          <w:rPr>
            <w:rStyle w:val="Hyperlink"/>
          </w:rPr>
          <w:t>https://dataportal.orr.gov.uk/media/1486/passenger-train-kilometres-by-operator-table-1213.xlsx</w:t>
        </w:r>
      </w:hyperlink>
      <w:r w:rsidR="00A807DA">
        <w:t xml:space="preserve"> </w:t>
      </w:r>
      <w:r w:rsidR="005F7B63">
        <w:t xml:space="preserve">[Accessed </w:t>
      </w:r>
      <w:r w:rsidR="00677232">
        <w:t xml:space="preserve">19 March </w:t>
      </w:r>
      <w:r w:rsidR="005F7B63">
        <w:t>2020].</w:t>
      </w:r>
    </w:p>
    <w:p w14:paraId="4DC64FA9" w14:textId="101768E5" w:rsidR="003B7FDC" w:rsidRDefault="00436648" w:rsidP="00931305">
      <w:pPr>
        <w:pStyle w:val="ReferencesCitation"/>
      </w:pPr>
      <w:r>
        <w:lastRenderedPageBreak/>
        <w:t xml:space="preserve">ORR, Freight train kilometres by operator – Table 13.25, 2020 [online]. Available from </w:t>
      </w:r>
      <w:hyperlink r:id="rId14" w:history="1">
        <w:r w:rsidR="00A807DA" w:rsidRPr="006860A9">
          <w:rPr>
            <w:rStyle w:val="Hyperlink"/>
          </w:rPr>
          <w:t>https://dataportal.orr.gov.uk/media/1459/freight-train-kilometres-by-operator-table-1325.xlsx</w:t>
        </w:r>
      </w:hyperlink>
      <w:r w:rsidR="00A807DA">
        <w:t xml:space="preserve"> </w:t>
      </w:r>
      <w:r>
        <w:t>[Accessed 1</w:t>
      </w:r>
      <w:r w:rsidR="001D3583">
        <w:t>9</w:t>
      </w:r>
      <w:r>
        <w:t xml:space="preserve"> </w:t>
      </w:r>
      <w:r w:rsidR="001D3583">
        <w:t>March</w:t>
      </w:r>
      <w:r>
        <w:t xml:space="preserve"> 2020].</w:t>
      </w:r>
    </w:p>
    <w:p w14:paraId="0F184283" w14:textId="0F86DD89" w:rsidR="00E94D67" w:rsidRDefault="00BE14F1" w:rsidP="00931305">
      <w:pPr>
        <w:pStyle w:val="ReferencesCitation"/>
      </w:pPr>
      <w:r>
        <w:t xml:space="preserve"> </w:t>
      </w:r>
      <w:r w:rsidR="0023638C" w:rsidRPr="0023638C">
        <w:t xml:space="preserve">Armstrong, J. </w:t>
      </w:r>
      <w:r w:rsidR="007A242D">
        <w:t>and</w:t>
      </w:r>
      <w:r w:rsidR="0023638C" w:rsidRPr="0023638C">
        <w:t xml:space="preserve"> Preston, J.</w:t>
      </w:r>
      <w:r w:rsidR="00852F68">
        <w:t>,</w:t>
      </w:r>
      <w:r w:rsidR="0023638C" w:rsidRPr="0023638C">
        <w:t xml:space="preserve"> Balancing railway network availability and engineering access. Proceedings of the Institution of Civil Engineers – Transport</w:t>
      </w:r>
      <w:r w:rsidR="00EA69FC">
        <w:t>, 2019</w:t>
      </w:r>
      <w:r w:rsidR="0023638C" w:rsidRPr="0023638C">
        <w:t xml:space="preserve"> (Ahead of Print) </w:t>
      </w:r>
      <w:hyperlink r:id="rId15" w:history="1">
        <w:r w:rsidR="0023638C" w:rsidRPr="00913053">
          <w:rPr>
            <w:rStyle w:val="Hyperlink"/>
          </w:rPr>
          <w:t>https://doi.org/10.1680/jtran.19.00045</w:t>
        </w:r>
      </w:hyperlink>
      <w:r w:rsidR="0023638C">
        <w:t xml:space="preserve"> </w:t>
      </w:r>
    </w:p>
    <w:p w14:paraId="43ED9B40" w14:textId="0C065CA4" w:rsidR="00646869" w:rsidRDefault="00AD6A11" w:rsidP="00931305">
      <w:pPr>
        <w:pStyle w:val="ReferencesCitation"/>
      </w:pPr>
      <w:r>
        <w:t xml:space="preserve">Track21: </w:t>
      </w:r>
      <w:r w:rsidR="00530B9D">
        <w:t>Railway Track for the 21</w:t>
      </w:r>
      <w:r w:rsidR="00530B9D" w:rsidRPr="005902B2">
        <w:rPr>
          <w:vertAlign w:val="superscript"/>
        </w:rPr>
        <w:t>st</w:t>
      </w:r>
      <w:r w:rsidR="00530B9D">
        <w:t xml:space="preserve"> Century [online]. Available from </w:t>
      </w:r>
      <w:hyperlink r:id="rId16" w:history="1">
        <w:r w:rsidR="00530B9D" w:rsidRPr="001E3B60">
          <w:rPr>
            <w:rStyle w:val="Hyperlink"/>
          </w:rPr>
          <w:t>http://track21.org.uk/</w:t>
        </w:r>
      </w:hyperlink>
      <w:r w:rsidR="00530B9D">
        <w:t xml:space="preserve"> [Accessed 25</w:t>
      </w:r>
      <w:r w:rsidR="00132D20">
        <w:t xml:space="preserve"> February 2020]</w:t>
      </w:r>
    </w:p>
    <w:p w14:paraId="7434EB13" w14:textId="4B66FC74" w:rsidR="00FF52AC" w:rsidRDefault="00132D20" w:rsidP="00931305">
      <w:pPr>
        <w:pStyle w:val="ReferencesCitation"/>
      </w:pPr>
      <w:r>
        <w:t xml:space="preserve">Track </w:t>
      </w:r>
      <w:r w:rsidR="00F601A3">
        <w:t>to the Future</w:t>
      </w:r>
      <w:r>
        <w:t xml:space="preserve"> [online]. Available from </w:t>
      </w:r>
      <w:hyperlink r:id="rId17" w:history="1">
        <w:r w:rsidR="00D752BE" w:rsidRPr="006860A9">
          <w:rPr>
            <w:rStyle w:val="Hyperlink"/>
          </w:rPr>
          <w:t>https://t2f.org.uk/</w:t>
        </w:r>
      </w:hyperlink>
      <w:r>
        <w:t xml:space="preserve"> [Accessed 25 February 2020]</w:t>
      </w:r>
    </w:p>
    <w:p w14:paraId="625975E5" w14:textId="53DD849A" w:rsidR="007A242D" w:rsidRDefault="00CB3DEB" w:rsidP="00931305">
      <w:pPr>
        <w:pStyle w:val="ReferencesCitation"/>
      </w:pPr>
      <w:r w:rsidRPr="00CB3DEB">
        <w:t xml:space="preserve">Ortega, A., Blainey, S., Preston, J., Thompson, D., Squicciarini, G., Ntotsios, E. and Armstrong, J., Noise reduction for ballasted track: a socio-economic assessment. WIT Transactions on Ecology and the Environment, Vol 181, </w:t>
      </w:r>
      <w:r w:rsidR="00AF5D17">
        <w:t xml:space="preserve">pp 461-472, </w:t>
      </w:r>
      <w:r w:rsidRPr="00CB3DEB">
        <w:t>WIT Press, 2018, ISSN 1743-3509.t</w:t>
      </w:r>
      <w:r w:rsidR="00484461">
        <w:t xml:space="preserve"> </w:t>
      </w:r>
      <w:hyperlink r:id="rId18" w:history="1">
        <w:r w:rsidR="00AF5D17" w:rsidRPr="00FE4DE7">
          <w:rPr>
            <w:rStyle w:val="Hyperlink"/>
          </w:rPr>
          <w:t>https://doi.org/10.2495/CR180411</w:t>
        </w:r>
      </w:hyperlink>
      <w:r w:rsidR="00AF5D17">
        <w:t xml:space="preserve"> </w:t>
      </w:r>
    </w:p>
    <w:p w14:paraId="2DA96ADC" w14:textId="2016DE48" w:rsidR="0062640C" w:rsidRDefault="0062640C" w:rsidP="0062640C">
      <w:pPr>
        <w:pStyle w:val="ReferencesCitation"/>
      </w:pPr>
      <w:r w:rsidRPr="0062640C">
        <w:t>Armstrong, J., Ortega, A., Blainey, S., Preston, J., Thompson, D., Squicciarini, G.</w:t>
      </w:r>
      <w:r w:rsidR="00476BF9">
        <w:t xml:space="preserve"> and</w:t>
      </w:r>
      <w:r w:rsidRPr="0062640C">
        <w:t xml:space="preserve"> Ntotsios, E</w:t>
      </w:r>
      <w:r w:rsidR="00476BF9">
        <w:t>.</w:t>
      </w:r>
      <w:r w:rsidRPr="0062640C">
        <w:t xml:space="preserve">, Noise reduction for ballasted track: a </w:t>
      </w:r>
      <w:r w:rsidR="00476BF9">
        <w:t xml:space="preserve">comparative </w:t>
      </w:r>
      <w:r w:rsidRPr="0062640C">
        <w:t xml:space="preserve">socio-economic assessment. </w:t>
      </w:r>
      <w:r w:rsidR="0033180E">
        <w:t>International Journal of Transport Development and Integration</w:t>
      </w:r>
      <w:r w:rsidRPr="0062640C">
        <w:t xml:space="preserve">, Vol </w:t>
      </w:r>
      <w:r w:rsidR="0033180E">
        <w:t>3(1)</w:t>
      </w:r>
      <w:r w:rsidRPr="0062640C">
        <w:t>,</w:t>
      </w:r>
      <w:r w:rsidR="007D74AA">
        <w:t xml:space="preserve"> </w:t>
      </w:r>
      <w:r w:rsidR="008614DF">
        <w:t>pp</w:t>
      </w:r>
      <w:r w:rsidR="007D74AA">
        <w:t>15-29</w:t>
      </w:r>
      <w:r w:rsidRPr="0062640C">
        <w:t xml:space="preserve"> WIT Press, 201</w:t>
      </w:r>
      <w:r w:rsidR="007D74AA">
        <w:t>9</w:t>
      </w:r>
      <w:r w:rsidR="00184D99">
        <w:t xml:space="preserve"> </w:t>
      </w:r>
      <w:r w:rsidR="00EA69FC">
        <w:t xml:space="preserve"> </w:t>
      </w:r>
      <w:hyperlink r:id="rId19" w:history="1">
        <w:r w:rsidR="00184D99" w:rsidRPr="00913053">
          <w:rPr>
            <w:rStyle w:val="Hyperlink"/>
          </w:rPr>
          <w:t>https://doi.org/10.2495/TDI-V3-N1-15-29</w:t>
        </w:r>
      </w:hyperlink>
      <w:r w:rsidR="00184D99">
        <w:t xml:space="preserve"> </w:t>
      </w:r>
    </w:p>
    <w:p w14:paraId="285A3E4F" w14:textId="79D2A36F" w:rsidR="00FF52AC" w:rsidRDefault="00676B57" w:rsidP="0062640C">
      <w:pPr>
        <w:pStyle w:val="ReferencesCitation"/>
      </w:pPr>
      <w:r>
        <w:t xml:space="preserve">HM Treasury, The Magenta Book </w:t>
      </w:r>
      <w:r w:rsidR="003649AD">
        <w:t xml:space="preserve">[online]. Available from </w:t>
      </w:r>
      <w:hyperlink r:id="rId20" w:history="1">
        <w:r w:rsidR="003649AD" w:rsidRPr="001E3B60">
          <w:rPr>
            <w:rStyle w:val="Hyperlink"/>
          </w:rPr>
          <w:t>https://www.gov.uk/government/publications/the-magenta-book</w:t>
        </w:r>
      </w:hyperlink>
      <w:r w:rsidR="003649AD">
        <w:t xml:space="preserve"> [Accessed 25 February 2020]</w:t>
      </w:r>
    </w:p>
    <w:p w14:paraId="3FBA53D8" w14:textId="5B5BE8A0" w:rsidR="007D2766" w:rsidRDefault="00104DFA" w:rsidP="007D2766">
      <w:pPr>
        <w:pStyle w:val="ReferencesCitation"/>
      </w:pPr>
      <w:r>
        <w:t>Morris, C. and Easton, J.</w:t>
      </w:r>
      <w:r w:rsidR="001436FB">
        <w:t xml:space="preserve">, </w:t>
      </w:r>
      <w:r w:rsidR="001F2B9F">
        <w:t xml:space="preserve">Use of </w:t>
      </w:r>
      <w:r w:rsidR="00AA57DC">
        <w:t>ontology</w:t>
      </w:r>
      <w:r w:rsidR="001F2B9F">
        <w:t xml:space="preserve"> for data integration </w:t>
      </w:r>
      <w:r w:rsidR="00AA57DC">
        <w:t>in a degraded mode signalling system.</w:t>
      </w:r>
      <w:r w:rsidR="007D2766">
        <w:t xml:space="preserve"> </w:t>
      </w:r>
      <w:r w:rsidR="007D2766" w:rsidRPr="00CB3DEB">
        <w:t xml:space="preserve">WIT Transactions on Ecology and the Environment, Vol 181, </w:t>
      </w:r>
      <w:r w:rsidR="001C3154">
        <w:t xml:space="preserve">pp215-223, </w:t>
      </w:r>
      <w:r w:rsidR="007D2766" w:rsidRPr="00CB3DEB">
        <w:t>WIT Press, 2018, ISSN 1743-3509.t</w:t>
      </w:r>
      <w:r w:rsidR="006638AD">
        <w:t xml:space="preserve"> </w:t>
      </w:r>
      <w:hyperlink r:id="rId21" w:history="1">
        <w:r w:rsidR="00BE7ED3" w:rsidRPr="00FE4DE7">
          <w:rPr>
            <w:rStyle w:val="Hyperlink"/>
          </w:rPr>
          <w:t>https://doi.org/10.2495/CR180191</w:t>
        </w:r>
      </w:hyperlink>
      <w:r w:rsidR="00BE7ED3">
        <w:t xml:space="preserve"> </w:t>
      </w:r>
    </w:p>
    <w:p w14:paraId="57867014" w14:textId="32BA69E3" w:rsidR="00EF36B9" w:rsidRDefault="00CE694A" w:rsidP="00C24D2E">
      <w:pPr>
        <w:pStyle w:val="ReferencesCitation"/>
      </w:pPr>
      <w:r w:rsidRPr="00CE694A">
        <w:t>Department for Transport</w:t>
      </w:r>
      <w:r>
        <w:t>,</w:t>
      </w:r>
      <w:r w:rsidRPr="00CE694A">
        <w:t xml:space="preserve"> WebTAG</w:t>
      </w:r>
      <w:r>
        <w:t>, 2020</w:t>
      </w:r>
      <w:r w:rsidRPr="00CE694A">
        <w:t xml:space="preserve"> [online]. Available from </w:t>
      </w:r>
      <w:hyperlink r:id="rId22" w:history="1">
        <w:r w:rsidRPr="00FE4DE7">
          <w:rPr>
            <w:rStyle w:val="Hyperlink"/>
          </w:rPr>
          <w:t>https://www.gov.uk/guidance/transport-analysis-guidance-webtag</w:t>
        </w:r>
      </w:hyperlink>
      <w:r>
        <w:t xml:space="preserve"> </w:t>
      </w:r>
      <w:r w:rsidRPr="00CE694A">
        <w:t>[Accessed 1</w:t>
      </w:r>
      <w:r w:rsidR="00E71B31">
        <w:t>8</w:t>
      </w:r>
      <w:r w:rsidRPr="00CE694A">
        <w:t xml:space="preserve"> February 2020]</w:t>
      </w:r>
    </w:p>
    <w:p w14:paraId="347CEB41" w14:textId="0F5DDD29" w:rsidR="004F4723" w:rsidRDefault="004F4723" w:rsidP="004F4723">
      <w:pPr>
        <w:pStyle w:val="ReferencesCitation"/>
      </w:pPr>
      <w:proofErr w:type="spellStart"/>
      <w:r>
        <w:t>Tutcher</w:t>
      </w:r>
      <w:proofErr w:type="spellEnd"/>
      <w:r>
        <w:t xml:space="preserve">, J., Easton, J. and Roberts, C., </w:t>
      </w:r>
      <w:r w:rsidRPr="00B71EAE">
        <w:t xml:space="preserve">Enabling Data Integration in the Rail Industry Using RDF and OWL: The </w:t>
      </w:r>
      <w:proofErr w:type="spellStart"/>
      <w:r w:rsidRPr="00B71EAE">
        <w:t>RaCoOn</w:t>
      </w:r>
      <w:proofErr w:type="spellEnd"/>
      <w:r w:rsidRPr="00B71EAE">
        <w:t xml:space="preserve"> Ontology</w:t>
      </w:r>
      <w:r>
        <w:t xml:space="preserve">. ASCE-ASME Journal of Risk and Uncertainty in Engineering Systems, Part A: Civil Engineering, Vol 3(2), pp F4015001-1-F4015001-12, 2017 </w:t>
      </w:r>
      <w:hyperlink r:id="rId23" w:history="1">
        <w:r w:rsidRPr="00FE4DE7">
          <w:rPr>
            <w:rStyle w:val="Hyperlink"/>
          </w:rPr>
          <w:t>https://doi.org/10.1061/AJRUA6.0000859</w:t>
        </w:r>
      </w:hyperlink>
      <w:r>
        <w:t xml:space="preserve"> </w:t>
      </w:r>
    </w:p>
    <w:p w14:paraId="6354805C" w14:textId="009C690B" w:rsidR="00763CA3" w:rsidRDefault="00CF564A" w:rsidP="00C24D2E">
      <w:pPr>
        <w:pStyle w:val="ReferencesCitation"/>
      </w:pPr>
      <w:r>
        <w:t xml:space="preserve">Young, M., </w:t>
      </w:r>
      <w:r w:rsidR="00DB5BF7">
        <w:t xml:space="preserve">Rempelos, G., Ntotsios, E., </w:t>
      </w:r>
      <w:r w:rsidR="00B53717">
        <w:t>Blainey, S., Thompson, D</w:t>
      </w:r>
      <w:r w:rsidR="00852F68">
        <w:t xml:space="preserve">, </w:t>
      </w:r>
      <w:r w:rsidR="000B6E67">
        <w:t xml:space="preserve">and Preston, J., </w:t>
      </w:r>
      <w:r w:rsidR="00852F68">
        <w:t>A Transferable Method for Estimating the Economic Impacts of Track Interventions: Application to Ground-Borne Noise Reduction Measures for Whole Sections of Route</w:t>
      </w:r>
      <w:r w:rsidR="00142E46">
        <w:t xml:space="preserve">. Submitted to </w:t>
      </w:r>
      <w:r w:rsidR="000B6E67">
        <w:t>the Journal of Rail and Rapid Transit</w:t>
      </w:r>
      <w:r w:rsidR="00142E46">
        <w:t>.</w:t>
      </w:r>
    </w:p>
    <w:p w14:paraId="47D33309" w14:textId="08DBFEA9" w:rsidR="004462E2" w:rsidRDefault="0023773A" w:rsidP="00C24D2E">
      <w:pPr>
        <w:pStyle w:val="ReferencesCitation"/>
      </w:pPr>
      <w:proofErr w:type="spellStart"/>
      <w:r w:rsidRPr="0023773A">
        <w:t>Lovric</w:t>
      </w:r>
      <w:proofErr w:type="spellEnd"/>
      <w:r w:rsidRPr="0023773A">
        <w:t xml:space="preserve">, M., Blainey, S., &amp; Preston, J. (2018). A conceptual design for a national transport model with cross-sectoral interdependencies. </w:t>
      </w:r>
      <w:r w:rsidRPr="00D44B64">
        <w:t xml:space="preserve">Transportation Research Procedia, </w:t>
      </w:r>
      <w:r w:rsidRPr="00D44B64">
        <w:rPr>
          <w:iCs/>
        </w:rPr>
        <w:t>27</w:t>
      </w:r>
      <w:r w:rsidRPr="0023773A">
        <w:t>, 720-727</w:t>
      </w:r>
    </w:p>
    <w:p w14:paraId="0CC27CC1" w14:textId="1571F2A0" w:rsidR="00F13C27" w:rsidRDefault="00EF10ED" w:rsidP="00F13C27">
      <w:pPr>
        <w:pStyle w:val="ReferencesCitation"/>
      </w:pPr>
      <w:r>
        <w:t>DAFNI</w:t>
      </w:r>
      <w:r w:rsidR="00C967A3">
        <w:t xml:space="preserve">, 2020 [online]. Available from </w:t>
      </w:r>
      <w:hyperlink r:id="rId24" w:history="1">
        <w:r w:rsidR="00C967A3">
          <w:rPr>
            <w:rStyle w:val="Hyperlink"/>
          </w:rPr>
          <w:t>https://www.dafni.ac.uk/</w:t>
        </w:r>
      </w:hyperlink>
      <w:r w:rsidR="00C967A3">
        <w:t xml:space="preserve"> [Accessed 19 February 2020]</w:t>
      </w:r>
    </w:p>
    <w:p w14:paraId="39CB77D9" w14:textId="77777777" w:rsidR="00DA2EAA" w:rsidRDefault="00DA2EAA">
      <w:pPr>
        <w:jc w:val="left"/>
        <w:rPr>
          <w:caps/>
          <w:szCs w:val="20"/>
        </w:rPr>
      </w:pPr>
      <w:r>
        <w:br w:type="page"/>
      </w:r>
    </w:p>
    <w:p w14:paraId="2034C5BD" w14:textId="6307B584" w:rsidR="00283A90" w:rsidRDefault="00283A90" w:rsidP="00283A90">
      <w:pPr>
        <w:pStyle w:val="ReferencesTitle"/>
      </w:pPr>
      <w:r>
        <w:lastRenderedPageBreak/>
        <w:t>APPENDIX</w:t>
      </w:r>
    </w:p>
    <w:p w14:paraId="18DD8233" w14:textId="77777777" w:rsidR="00E36E42" w:rsidRDefault="00E36E42" w:rsidP="009B4C6E">
      <w:pPr>
        <w:jc w:val="left"/>
      </w:pPr>
    </w:p>
    <w:p w14:paraId="5AE9C464" w14:textId="06FC51DF" w:rsidR="009B4C6E" w:rsidRDefault="009B4C6E" w:rsidP="009B4C6E">
      <w:pPr>
        <w:jc w:val="left"/>
      </w:pPr>
      <w:r>
        <w:t>TRACK TO THE FUTURE INTEGRATED MODELLING INFORMATION TEMPLATE</w:t>
      </w:r>
    </w:p>
    <w:p w14:paraId="55201541" w14:textId="287D04B6" w:rsidR="009B4C6E" w:rsidRDefault="009B4C6E" w:rsidP="009B4C6E">
      <w:pPr>
        <w:jc w:val="left"/>
      </w:pPr>
      <w:r>
        <w:t>Type of intervention: ………………………………………………………………………………………………</w:t>
      </w:r>
    </w:p>
    <w:p w14:paraId="4ADC5227" w14:textId="346D0C99" w:rsidR="009B4C6E" w:rsidRDefault="009B4C6E" w:rsidP="009B4C6E">
      <w:pPr>
        <w:jc w:val="left"/>
      </w:pPr>
      <w:r>
        <w:t>Name of investigator: ………………………………………………………………………………………………</w:t>
      </w:r>
    </w:p>
    <w:p w14:paraId="554E6473" w14:textId="3CC21A1A" w:rsidR="009B4C6E" w:rsidRDefault="009B4C6E" w:rsidP="00E36E42">
      <w:pPr>
        <w:pBdr>
          <w:top w:val="single" w:sz="4" w:space="1" w:color="auto"/>
          <w:left w:val="single" w:sz="4" w:space="4" w:color="auto"/>
          <w:bottom w:val="single" w:sz="4" w:space="1" w:color="auto"/>
          <w:right w:val="single" w:sz="4" w:space="4" w:color="auto"/>
        </w:pBdr>
      </w:pPr>
      <w:r>
        <w:t>Q1. Why will this intervention improve rail track systems?</w:t>
      </w:r>
    </w:p>
    <w:p w14:paraId="3B706B6B" w14:textId="77777777" w:rsidR="009B4C6E" w:rsidRDefault="009B4C6E" w:rsidP="009B4C6E">
      <w:pPr>
        <w:pBdr>
          <w:top w:val="single" w:sz="4" w:space="1" w:color="auto"/>
          <w:left w:val="single" w:sz="4" w:space="4" w:color="auto"/>
          <w:bottom w:val="single" w:sz="4" w:space="1" w:color="auto"/>
          <w:right w:val="single" w:sz="4" w:space="4" w:color="auto"/>
        </w:pBdr>
        <w:jc w:val="right"/>
      </w:pPr>
    </w:p>
    <w:p w14:paraId="62D5AC6E" w14:textId="77777777" w:rsidR="009B4C6E" w:rsidRDefault="009B4C6E" w:rsidP="009B4C6E"/>
    <w:p w14:paraId="7E5989D2" w14:textId="71A2A398" w:rsidR="009B4C6E" w:rsidRDefault="009B4C6E" w:rsidP="00E36E42">
      <w:pPr>
        <w:pBdr>
          <w:top w:val="single" w:sz="4" w:space="1" w:color="auto"/>
          <w:left w:val="single" w:sz="4" w:space="4" w:color="auto"/>
          <w:bottom w:val="single" w:sz="4" w:space="1" w:color="auto"/>
          <w:right w:val="single" w:sz="4" w:space="4" w:color="auto"/>
        </w:pBdr>
      </w:pPr>
      <w:r>
        <w:t>Q2. In assessing the engineering impacts of this intervention what are the key input and output variables?</w:t>
      </w:r>
    </w:p>
    <w:p w14:paraId="4C093A92" w14:textId="77777777" w:rsidR="009B4C6E" w:rsidRDefault="009B4C6E" w:rsidP="009B4C6E">
      <w:pPr>
        <w:pBdr>
          <w:top w:val="single" w:sz="4" w:space="1" w:color="auto"/>
          <w:left w:val="single" w:sz="4" w:space="4" w:color="auto"/>
          <w:bottom w:val="single" w:sz="4" w:space="1" w:color="auto"/>
          <w:right w:val="single" w:sz="4" w:space="4" w:color="auto"/>
        </w:pBdr>
        <w:jc w:val="right"/>
      </w:pPr>
    </w:p>
    <w:p w14:paraId="1918C17E" w14:textId="77777777" w:rsidR="009B4C6E" w:rsidRDefault="009B4C6E" w:rsidP="009B4C6E"/>
    <w:p w14:paraId="65C3B911" w14:textId="77777777" w:rsidR="009B4C6E" w:rsidRDefault="009B4C6E" w:rsidP="009B4C6E">
      <w:pPr>
        <w:pBdr>
          <w:top w:val="single" w:sz="4" w:space="1" w:color="auto"/>
          <w:left w:val="single" w:sz="4" w:space="4" w:color="auto"/>
          <w:bottom w:val="single" w:sz="4" w:space="1" w:color="auto"/>
          <w:right w:val="single" w:sz="4" w:space="4" w:color="auto"/>
        </w:pBdr>
      </w:pPr>
      <w:r>
        <w:t xml:space="preserve">Q3. What </w:t>
      </w:r>
      <w:proofErr w:type="gramStart"/>
      <w:r>
        <w:t>are</w:t>
      </w:r>
      <w:proofErr w:type="gramEnd"/>
      <w:r>
        <w:t xml:space="preserve"> the main one-off (capital expenditure) and recurrent (operating expenditure) financial costs of the intervention?</w:t>
      </w:r>
    </w:p>
    <w:p w14:paraId="209FA728" w14:textId="77777777" w:rsidR="009B4C6E" w:rsidRDefault="009B4C6E" w:rsidP="009B4C6E">
      <w:pPr>
        <w:pBdr>
          <w:top w:val="single" w:sz="4" w:space="1" w:color="auto"/>
          <w:left w:val="single" w:sz="4" w:space="4" w:color="auto"/>
          <w:bottom w:val="single" w:sz="4" w:space="1" w:color="auto"/>
          <w:right w:val="single" w:sz="4" w:space="4" w:color="auto"/>
        </w:pBdr>
      </w:pPr>
    </w:p>
    <w:p w14:paraId="4D22394D" w14:textId="6584D383" w:rsidR="009B4C6E" w:rsidRPr="00685453" w:rsidRDefault="009B4C6E" w:rsidP="00E36E42">
      <w:pPr>
        <w:pBdr>
          <w:top w:val="single" w:sz="4" w:space="1" w:color="auto"/>
          <w:left w:val="single" w:sz="4" w:space="4" w:color="auto"/>
          <w:bottom w:val="single" w:sz="4" w:space="1" w:color="auto"/>
          <w:right w:val="single" w:sz="4" w:space="4" w:color="auto"/>
        </w:pBdr>
      </w:pPr>
      <w:r>
        <w:rPr>
          <w:i/>
        </w:rPr>
        <w:t>What is your judgement of the magnitude of these costs and can they be quantified? If so, how?</w:t>
      </w:r>
    </w:p>
    <w:p w14:paraId="34FD2387" w14:textId="77777777" w:rsidR="009B4C6E" w:rsidRDefault="009B4C6E" w:rsidP="009B4C6E">
      <w:pPr>
        <w:pBdr>
          <w:top w:val="single" w:sz="4" w:space="1" w:color="auto"/>
          <w:left w:val="single" w:sz="4" w:space="4" w:color="auto"/>
          <w:bottom w:val="single" w:sz="4" w:space="1" w:color="auto"/>
          <w:right w:val="single" w:sz="4" w:space="4" w:color="auto"/>
        </w:pBdr>
        <w:jc w:val="right"/>
      </w:pPr>
    </w:p>
    <w:p w14:paraId="6E48C2BD" w14:textId="77777777" w:rsidR="009B4C6E" w:rsidRDefault="009B4C6E" w:rsidP="009B4C6E"/>
    <w:p w14:paraId="7863BE8C" w14:textId="2DC84D03" w:rsidR="009B4C6E" w:rsidRDefault="009B4C6E" w:rsidP="009B4C6E">
      <w:pPr>
        <w:pBdr>
          <w:top w:val="single" w:sz="4" w:space="1" w:color="auto"/>
          <w:left w:val="single" w:sz="4" w:space="4" w:color="auto"/>
          <w:bottom w:val="single" w:sz="4" w:space="1" w:color="auto"/>
          <w:right w:val="single" w:sz="4" w:space="4" w:color="auto"/>
        </w:pBdr>
        <w:rPr>
          <w:i/>
        </w:rPr>
      </w:pPr>
      <w:r>
        <w:t xml:space="preserve">Q4. What are the main operator benefits? </w:t>
      </w:r>
      <w:r>
        <w:rPr>
          <w:i/>
        </w:rPr>
        <w:t>Operator refers to both infrastructure (Network Rail and its suppliers) and train services (TOCS and their suppliers).</w:t>
      </w:r>
    </w:p>
    <w:p w14:paraId="259204A9" w14:textId="77777777" w:rsidR="009B4C6E" w:rsidRDefault="009B4C6E" w:rsidP="009B4C6E">
      <w:pPr>
        <w:pBdr>
          <w:top w:val="single" w:sz="4" w:space="1" w:color="auto"/>
          <w:left w:val="single" w:sz="4" w:space="4" w:color="auto"/>
          <w:bottom w:val="single" w:sz="4" w:space="1" w:color="auto"/>
          <w:right w:val="single" w:sz="4" w:space="4" w:color="auto"/>
        </w:pBdr>
        <w:rPr>
          <w:i/>
        </w:rPr>
      </w:pPr>
    </w:p>
    <w:p w14:paraId="6866ED0F" w14:textId="7FBA1026" w:rsidR="009B4C6E" w:rsidRDefault="009B4C6E" w:rsidP="00E36E42">
      <w:pPr>
        <w:pBdr>
          <w:top w:val="single" w:sz="4" w:space="1" w:color="auto"/>
          <w:left w:val="single" w:sz="4" w:space="4" w:color="auto"/>
          <w:bottom w:val="single" w:sz="4" w:space="1" w:color="auto"/>
          <w:right w:val="single" w:sz="4" w:space="4" w:color="auto"/>
        </w:pBdr>
      </w:pPr>
      <w:r w:rsidRPr="00685453">
        <w:rPr>
          <w:i/>
        </w:rPr>
        <w:t xml:space="preserve">What is your judgement of the magnitude of these </w:t>
      </w:r>
      <w:r>
        <w:rPr>
          <w:i/>
        </w:rPr>
        <w:t xml:space="preserve">benefits </w:t>
      </w:r>
      <w:r w:rsidRPr="00685453">
        <w:rPr>
          <w:i/>
        </w:rPr>
        <w:t>and can they be quantified? If so, how?</w:t>
      </w:r>
    </w:p>
    <w:p w14:paraId="4FA134AF" w14:textId="77777777" w:rsidR="009B4C6E" w:rsidRDefault="009B4C6E" w:rsidP="009B4C6E">
      <w:pPr>
        <w:pBdr>
          <w:top w:val="single" w:sz="4" w:space="1" w:color="auto"/>
          <w:left w:val="single" w:sz="4" w:space="4" w:color="auto"/>
          <w:bottom w:val="single" w:sz="4" w:space="1" w:color="auto"/>
          <w:right w:val="single" w:sz="4" w:space="4" w:color="auto"/>
        </w:pBdr>
        <w:jc w:val="right"/>
      </w:pPr>
    </w:p>
    <w:p w14:paraId="766F0E6A" w14:textId="77777777" w:rsidR="009B4C6E" w:rsidRDefault="009B4C6E" w:rsidP="009B4C6E"/>
    <w:p w14:paraId="1D88E77B" w14:textId="77777777" w:rsidR="009B4C6E" w:rsidRDefault="009B4C6E" w:rsidP="009B4C6E">
      <w:pPr>
        <w:pBdr>
          <w:top w:val="single" w:sz="4" w:space="1" w:color="auto"/>
          <w:left w:val="single" w:sz="4" w:space="4" w:color="auto"/>
          <w:bottom w:val="single" w:sz="4" w:space="1" w:color="auto"/>
          <w:right w:val="single" w:sz="4" w:space="4" w:color="auto"/>
        </w:pBdr>
        <w:rPr>
          <w:i/>
        </w:rPr>
      </w:pPr>
      <w:r>
        <w:t xml:space="preserve">Q5. What are the main user benefits? </w:t>
      </w:r>
      <w:r w:rsidRPr="00685453">
        <w:rPr>
          <w:i/>
        </w:rPr>
        <w:t xml:space="preserve">User </w:t>
      </w:r>
      <w:r>
        <w:rPr>
          <w:i/>
        </w:rPr>
        <w:t>refers to customers of passenger and freight train services</w:t>
      </w:r>
    </w:p>
    <w:p w14:paraId="28250D9C" w14:textId="77777777" w:rsidR="009B4C6E" w:rsidRDefault="009B4C6E" w:rsidP="009B4C6E">
      <w:pPr>
        <w:pBdr>
          <w:top w:val="single" w:sz="4" w:space="1" w:color="auto"/>
          <w:left w:val="single" w:sz="4" w:space="4" w:color="auto"/>
          <w:bottom w:val="single" w:sz="4" w:space="1" w:color="auto"/>
          <w:right w:val="single" w:sz="4" w:space="4" w:color="auto"/>
        </w:pBdr>
        <w:rPr>
          <w:i/>
        </w:rPr>
      </w:pPr>
    </w:p>
    <w:p w14:paraId="69E0A268" w14:textId="5386A71B" w:rsidR="009B4C6E" w:rsidRDefault="009B4C6E" w:rsidP="00E36E42">
      <w:pPr>
        <w:pBdr>
          <w:top w:val="single" w:sz="4" w:space="1" w:color="auto"/>
          <w:left w:val="single" w:sz="4" w:space="4" w:color="auto"/>
          <w:bottom w:val="single" w:sz="4" w:space="1" w:color="auto"/>
          <w:right w:val="single" w:sz="4" w:space="4" w:color="auto"/>
        </w:pBdr>
      </w:pPr>
      <w:r w:rsidRPr="00685453">
        <w:rPr>
          <w:i/>
        </w:rPr>
        <w:t xml:space="preserve">What is your judgement of the magnitude of these </w:t>
      </w:r>
      <w:r>
        <w:rPr>
          <w:i/>
        </w:rPr>
        <w:t xml:space="preserve">benefits </w:t>
      </w:r>
      <w:r w:rsidRPr="00685453">
        <w:rPr>
          <w:i/>
        </w:rPr>
        <w:t>and can they be quantified? If so, how?</w:t>
      </w:r>
    </w:p>
    <w:p w14:paraId="69C3669E" w14:textId="77777777" w:rsidR="009B4C6E" w:rsidRDefault="009B4C6E" w:rsidP="009B4C6E">
      <w:pPr>
        <w:pBdr>
          <w:top w:val="single" w:sz="4" w:space="1" w:color="auto"/>
          <w:left w:val="single" w:sz="4" w:space="4" w:color="auto"/>
          <w:bottom w:val="single" w:sz="4" w:space="1" w:color="auto"/>
          <w:right w:val="single" w:sz="4" w:space="4" w:color="auto"/>
        </w:pBdr>
        <w:jc w:val="right"/>
      </w:pPr>
    </w:p>
    <w:p w14:paraId="08449863" w14:textId="77777777" w:rsidR="009B4C6E" w:rsidRPr="00685453" w:rsidRDefault="009B4C6E" w:rsidP="009B4C6E"/>
    <w:p w14:paraId="4A96D166" w14:textId="77777777" w:rsidR="009B4C6E" w:rsidRDefault="009B4C6E" w:rsidP="009B4C6E"/>
    <w:p w14:paraId="16EC222E" w14:textId="783F294E" w:rsidR="009B4C6E" w:rsidRDefault="009B4C6E" w:rsidP="00E36E42">
      <w:pPr>
        <w:pBdr>
          <w:top w:val="single" w:sz="4" w:space="1" w:color="auto"/>
          <w:left w:val="single" w:sz="4" w:space="4" w:color="auto"/>
          <w:bottom w:val="single" w:sz="4" w:space="0" w:color="auto"/>
          <w:right w:val="single" w:sz="4" w:space="4" w:color="auto"/>
        </w:pBdr>
        <w:rPr>
          <w:i/>
        </w:rPr>
      </w:pPr>
      <w:r>
        <w:t xml:space="preserve">Q6. What are the main non-user benefits? </w:t>
      </w:r>
      <w:r w:rsidRPr="00685453">
        <w:rPr>
          <w:i/>
        </w:rPr>
        <w:t>Non</w:t>
      </w:r>
      <w:r>
        <w:rPr>
          <w:i/>
        </w:rPr>
        <w:t xml:space="preserve">-user refers to users </w:t>
      </w:r>
      <w:r w:rsidR="00013E19">
        <w:rPr>
          <w:i/>
        </w:rPr>
        <w:t>o</w:t>
      </w:r>
      <w:r>
        <w:rPr>
          <w:i/>
        </w:rPr>
        <w:t>f rival transport systems (air, road), residents or the wider community</w:t>
      </w:r>
    </w:p>
    <w:p w14:paraId="7BE7F64E" w14:textId="77777777" w:rsidR="009B4C6E" w:rsidRDefault="009B4C6E" w:rsidP="00E36E42">
      <w:pPr>
        <w:pBdr>
          <w:top w:val="single" w:sz="4" w:space="1" w:color="auto"/>
          <w:left w:val="single" w:sz="4" w:space="4" w:color="auto"/>
          <w:bottom w:val="single" w:sz="4" w:space="0" w:color="auto"/>
          <w:right w:val="single" w:sz="4" w:space="4" w:color="auto"/>
        </w:pBdr>
        <w:rPr>
          <w:i/>
        </w:rPr>
      </w:pPr>
    </w:p>
    <w:p w14:paraId="2FAFE4A0" w14:textId="0F537B55" w:rsidR="009B4C6E" w:rsidRDefault="009B4C6E" w:rsidP="00E36E42">
      <w:pPr>
        <w:pBdr>
          <w:top w:val="single" w:sz="4" w:space="1" w:color="auto"/>
          <w:left w:val="single" w:sz="4" w:space="4" w:color="auto"/>
          <w:bottom w:val="single" w:sz="4" w:space="0" w:color="auto"/>
          <w:right w:val="single" w:sz="4" w:space="4" w:color="auto"/>
        </w:pBdr>
      </w:pPr>
      <w:r w:rsidRPr="00685453">
        <w:rPr>
          <w:i/>
        </w:rPr>
        <w:t xml:space="preserve">What is your judgement of the magnitude of these </w:t>
      </w:r>
      <w:r>
        <w:rPr>
          <w:i/>
        </w:rPr>
        <w:t xml:space="preserve">benefits </w:t>
      </w:r>
      <w:r w:rsidRPr="00685453">
        <w:rPr>
          <w:i/>
        </w:rPr>
        <w:t>and can they be quantified? If so, how?</w:t>
      </w:r>
    </w:p>
    <w:p w14:paraId="09E29190" w14:textId="77777777" w:rsidR="009B4C6E" w:rsidRDefault="009B4C6E" w:rsidP="00E36E42">
      <w:pPr>
        <w:pBdr>
          <w:top w:val="single" w:sz="4" w:space="1" w:color="auto"/>
          <w:left w:val="single" w:sz="4" w:space="4" w:color="auto"/>
          <w:bottom w:val="single" w:sz="4" w:space="0" w:color="auto"/>
          <w:right w:val="single" w:sz="4" w:space="4" w:color="auto"/>
        </w:pBdr>
        <w:jc w:val="right"/>
      </w:pPr>
    </w:p>
    <w:p w14:paraId="53F70712" w14:textId="77777777" w:rsidR="009B4C6E" w:rsidRPr="00685453" w:rsidRDefault="009B4C6E" w:rsidP="009B4C6E"/>
    <w:p w14:paraId="46D71B80" w14:textId="77777777" w:rsidR="009B4C6E" w:rsidRDefault="009B4C6E" w:rsidP="009B4C6E">
      <w:pPr>
        <w:pBdr>
          <w:top w:val="single" w:sz="4" w:space="1" w:color="auto"/>
          <w:left w:val="single" w:sz="4" w:space="4" w:color="auto"/>
          <w:bottom w:val="single" w:sz="4" w:space="1" w:color="auto"/>
          <w:right w:val="single" w:sz="4" w:space="4" w:color="auto"/>
        </w:pBdr>
      </w:pPr>
      <w:r>
        <w:t>Any additional comments?</w:t>
      </w:r>
    </w:p>
    <w:p w14:paraId="4546CECC" w14:textId="77777777" w:rsidR="009B4C6E" w:rsidRDefault="009B4C6E" w:rsidP="009B4C6E">
      <w:pPr>
        <w:pBdr>
          <w:top w:val="single" w:sz="4" w:space="1" w:color="auto"/>
          <w:left w:val="single" w:sz="4" w:space="4" w:color="auto"/>
          <w:bottom w:val="single" w:sz="4" w:space="1" w:color="auto"/>
          <w:right w:val="single" w:sz="4" w:space="4" w:color="auto"/>
        </w:pBdr>
        <w:jc w:val="right"/>
      </w:pPr>
    </w:p>
    <w:p w14:paraId="48784505" w14:textId="77777777" w:rsidR="009B4C6E" w:rsidRDefault="009B4C6E" w:rsidP="009B4C6E">
      <w:pPr>
        <w:pBdr>
          <w:top w:val="single" w:sz="4" w:space="1" w:color="auto"/>
          <w:left w:val="single" w:sz="4" w:space="4" w:color="auto"/>
          <w:bottom w:val="single" w:sz="4" w:space="1" w:color="auto"/>
          <w:right w:val="single" w:sz="4" w:space="4" w:color="auto"/>
        </w:pBdr>
        <w:jc w:val="right"/>
      </w:pPr>
    </w:p>
    <w:p w14:paraId="4AD0DEF9" w14:textId="5C61EE81" w:rsidR="00230B5C" w:rsidRDefault="00230B5C">
      <w:pPr>
        <w:jc w:val="left"/>
        <w:rPr>
          <w:caps/>
          <w:szCs w:val="20"/>
        </w:rPr>
      </w:pPr>
    </w:p>
    <w:sectPr w:rsidR="00230B5C" w:rsidSect="004245AB">
      <w:pgSz w:w="11906" w:h="16838"/>
      <w:pgMar w:top="2750" w:right="2268" w:bottom="275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A999B" w14:textId="77777777" w:rsidR="00590095" w:rsidRDefault="00590095" w:rsidP="00FB0CB2">
      <w:r>
        <w:separator/>
      </w:r>
    </w:p>
  </w:endnote>
  <w:endnote w:type="continuationSeparator" w:id="0">
    <w:p w14:paraId="100A702F" w14:textId="77777777" w:rsidR="00590095" w:rsidRDefault="00590095" w:rsidP="00FB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C1527" w14:textId="77777777" w:rsidR="00590095" w:rsidRDefault="00590095" w:rsidP="00FB0CB2">
      <w:r>
        <w:separator/>
      </w:r>
    </w:p>
  </w:footnote>
  <w:footnote w:type="continuationSeparator" w:id="0">
    <w:p w14:paraId="7310793F" w14:textId="77777777" w:rsidR="00590095" w:rsidRDefault="00590095" w:rsidP="00FB0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66673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D034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84A4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051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B2F5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68FA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BA4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F69F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80EC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F41C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92EAB"/>
    <w:multiLevelType w:val="multilevel"/>
    <w:tmpl w:val="BDB67C84"/>
    <w:lvl w:ilvl="0">
      <w:start w:val="1"/>
      <w:numFmt w:val="decimal"/>
      <w:pStyle w:val="Heading1"/>
      <w:suff w:val="nothing"/>
      <w:lvlText w:val="%1  "/>
      <w:lvlJc w:val="left"/>
      <w:pPr>
        <w:ind w:left="170" w:hanging="170"/>
      </w:pPr>
      <w:rPr>
        <w:rFonts w:hint="default"/>
      </w:rPr>
    </w:lvl>
    <w:lvl w:ilvl="1">
      <w:start w:val="1"/>
      <w:numFmt w:val="decimal"/>
      <w:pStyle w:val="Heading2"/>
      <w:suff w:val="nothing"/>
      <w:lvlText w:val="%1.%2  "/>
      <w:lvlJc w:val="left"/>
      <w:pPr>
        <w:ind w:left="340" w:hanging="340"/>
      </w:pPr>
      <w:rPr>
        <w:rFonts w:hint="default"/>
      </w:rPr>
    </w:lvl>
    <w:lvl w:ilvl="2">
      <w:start w:val="1"/>
      <w:numFmt w:val="decimal"/>
      <w:pStyle w:val="Heading3"/>
      <w:suff w:val="nothing"/>
      <w:lvlText w:val="%1.%2.%3  "/>
      <w:lvlJc w:val="left"/>
      <w:pPr>
        <w:ind w:left="510" w:hanging="510"/>
      </w:pPr>
      <w:rPr>
        <w:rFonts w:hint="default"/>
      </w:rPr>
    </w:lvl>
    <w:lvl w:ilvl="3">
      <w:start w:val="1"/>
      <w:numFmt w:val="none"/>
      <w:pStyle w:val="Heading4"/>
      <w:lvlText w:val="INVALID SELECTION"/>
      <w:lvlJc w:val="left"/>
      <w:pPr>
        <w:tabs>
          <w:tab w:val="num" w:pos="2520"/>
        </w:tabs>
        <w:ind w:left="864" w:hanging="864"/>
      </w:pPr>
      <w:rPr>
        <w:rFonts w:ascii="Arial Black" w:hAnsi="Arial Black" w:hint="default"/>
        <w:sz w:val="20"/>
      </w:rPr>
    </w:lvl>
    <w:lvl w:ilvl="4">
      <w:start w:val="1"/>
      <w:numFmt w:val="none"/>
      <w:pStyle w:val="Heading5"/>
      <w:lvlText w:val="INVALID SELECTION"/>
      <w:lvlJc w:val="left"/>
      <w:pPr>
        <w:tabs>
          <w:tab w:val="num" w:pos="2520"/>
        </w:tabs>
        <w:ind w:left="1008" w:hanging="1008"/>
      </w:pPr>
      <w:rPr>
        <w:rFonts w:ascii="Arial Black" w:hAnsi="Arial Black" w:hint="default"/>
        <w:sz w:val="20"/>
      </w:rPr>
    </w:lvl>
    <w:lvl w:ilvl="5">
      <w:start w:val="1"/>
      <w:numFmt w:val="none"/>
      <w:pStyle w:val="Heading6"/>
      <w:lvlText w:val="INVALID SELECTION"/>
      <w:lvlJc w:val="left"/>
      <w:pPr>
        <w:tabs>
          <w:tab w:val="num" w:pos="2520"/>
        </w:tabs>
        <w:ind w:left="1152" w:hanging="1152"/>
      </w:pPr>
      <w:rPr>
        <w:rFonts w:ascii="Arial Black" w:hAnsi="Arial Black" w:hint="default"/>
        <w:sz w:val="20"/>
      </w:rPr>
    </w:lvl>
    <w:lvl w:ilvl="6">
      <w:start w:val="1"/>
      <w:numFmt w:val="none"/>
      <w:pStyle w:val="Heading7"/>
      <w:lvlText w:val="INVALID SELECTION"/>
      <w:lvlJc w:val="left"/>
      <w:pPr>
        <w:tabs>
          <w:tab w:val="num" w:pos="2520"/>
        </w:tabs>
        <w:ind w:left="1296" w:hanging="1296"/>
      </w:pPr>
      <w:rPr>
        <w:rFonts w:ascii="Arial Black" w:hAnsi="Arial Black" w:hint="default"/>
        <w:sz w:val="20"/>
      </w:rPr>
    </w:lvl>
    <w:lvl w:ilvl="7">
      <w:start w:val="1"/>
      <w:numFmt w:val="none"/>
      <w:pStyle w:val="Heading8"/>
      <w:lvlText w:val="INVALID SELECTION"/>
      <w:lvlJc w:val="left"/>
      <w:pPr>
        <w:tabs>
          <w:tab w:val="num" w:pos="2520"/>
        </w:tabs>
        <w:ind w:left="1440" w:hanging="1440"/>
      </w:pPr>
      <w:rPr>
        <w:rFonts w:ascii="Arial Black" w:hAnsi="Arial Black" w:hint="default"/>
        <w:sz w:val="20"/>
      </w:rPr>
    </w:lvl>
    <w:lvl w:ilvl="8">
      <w:start w:val="1"/>
      <w:numFmt w:val="none"/>
      <w:pStyle w:val="Heading9"/>
      <w:lvlText w:val="INVALID SELECTION"/>
      <w:lvlJc w:val="left"/>
      <w:pPr>
        <w:tabs>
          <w:tab w:val="num" w:pos="2520"/>
        </w:tabs>
        <w:ind w:left="1584" w:hanging="1584"/>
      </w:pPr>
      <w:rPr>
        <w:rFonts w:ascii="Arial Black" w:hAnsi="Arial Black" w:hint="default"/>
        <w:sz w:val="20"/>
      </w:rPr>
    </w:lvl>
  </w:abstractNum>
  <w:abstractNum w:abstractNumId="11" w15:restartNumberingAfterBreak="0">
    <w:nsid w:val="045E487E"/>
    <w:multiLevelType w:val="hybridMultilevel"/>
    <w:tmpl w:val="A7026ABC"/>
    <w:lvl w:ilvl="0" w:tplc="10607D3C">
      <w:start w:val="1"/>
      <w:numFmt w:val="decimal"/>
      <w:lvlText w:val="%1."/>
      <w:lvlJc w:val="left"/>
      <w:pPr>
        <w:ind w:left="36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86A73E4"/>
    <w:multiLevelType w:val="hybridMultilevel"/>
    <w:tmpl w:val="B3009B82"/>
    <w:lvl w:ilvl="0" w:tplc="1B54BA96">
      <w:start w:val="1"/>
      <w:numFmt w:val="bullet"/>
      <w:pStyle w:val="List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FC6FF9"/>
    <w:multiLevelType w:val="hybridMultilevel"/>
    <w:tmpl w:val="688E7436"/>
    <w:lvl w:ilvl="0" w:tplc="C12C6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965EA"/>
    <w:multiLevelType w:val="hybridMultilevel"/>
    <w:tmpl w:val="020AA54A"/>
    <w:lvl w:ilvl="0" w:tplc="50203A98">
      <w:start w:val="1"/>
      <w:numFmt w:val="decimal"/>
      <w:pStyle w:val="FigureCaption"/>
      <w:suff w:val="space"/>
      <w:lvlText w:val="Figure %1: "/>
      <w:lvlJc w:val="left"/>
      <w:pPr>
        <w:ind w:left="2835" w:hanging="1134"/>
      </w:pPr>
      <w:rPr>
        <w:rFonts w:ascii="Times New Roman" w:hAnsi="Times New Roman" w:hint="default"/>
        <w:b w:val="0"/>
        <w:i w:val="0"/>
        <w:sz w:val="20"/>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15" w15:restartNumberingAfterBreak="0">
    <w:nsid w:val="1BEC5ABC"/>
    <w:multiLevelType w:val="hybridMultilevel"/>
    <w:tmpl w:val="2F16C148"/>
    <w:lvl w:ilvl="0" w:tplc="81D07C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6236AB"/>
    <w:multiLevelType w:val="hybridMultilevel"/>
    <w:tmpl w:val="BF7455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AA61AF"/>
    <w:multiLevelType w:val="hybridMultilevel"/>
    <w:tmpl w:val="3D1499FC"/>
    <w:lvl w:ilvl="0" w:tplc="DE42201A">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2C601B34"/>
    <w:multiLevelType w:val="hybridMultilevel"/>
    <w:tmpl w:val="5C3026C4"/>
    <w:lvl w:ilvl="0" w:tplc="71901206">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B5905"/>
    <w:multiLevelType w:val="hybridMultilevel"/>
    <w:tmpl w:val="8DBAC3C2"/>
    <w:lvl w:ilvl="0" w:tplc="7E3079B2">
      <w:start w:val="1"/>
      <w:numFmt w:val="lowerLetter"/>
      <w:pStyle w:val="ListLett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197A92"/>
    <w:multiLevelType w:val="hybridMultilevel"/>
    <w:tmpl w:val="246EFC40"/>
    <w:lvl w:ilvl="0" w:tplc="D65AD452">
      <w:start w:val="1"/>
      <w:numFmt w:val="decimal"/>
      <w:pStyle w:val="ReferencesCitation"/>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52693D"/>
    <w:multiLevelType w:val="multilevel"/>
    <w:tmpl w:val="395CCD86"/>
    <w:lvl w:ilvl="0">
      <w:start w:val="1"/>
      <w:numFmt w:val="decimal"/>
      <w:pStyle w:val="TableCaption"/>
      <w:suff w:val="space"/>
      <w:lvlText w:val="Table %1: "/>
      <w:lvlJc w:val="left"/>
      <w:pPr>
        <w:ind w:left="6048" w:hanging="1134"/>
      </w:pPr>
      <w:rPr>
        <w:rFonts w:hint="default"/>
      </w:rPr>
    </w:lvl>
    <w:lvl w:ilvl="1">
      <w:start w:val="1"/>
      <w:numFmt w:val="lowerLetter"/>
      <w:lvlText w:val="%2."/>
      <w:lvlJc w:val="left"/>
      <w:pPr>
        <w:tabs>
          <w:tab w:val="num" w:pos="4653"/>
        </w:tabs>
        <w:ind w:left="4653" w:hanging="360"/>
      </w:pPr>
      <w:rPr>
        <w:rFonts w:hint="default"/>
      </w:rPr>
    </w:lvl>
    <w:lvl w:ilvl="2">
      <w:start w:val="1"/>
      <w:numFmt w:val="lowerRoman"/>
      <w:lvlText w:val="%3."/>
      <w:lvlJc w:val="right"/>
      <w:pPr>
        <w:tabs>
          <w:tab w:val="num" w:pos="5373"/>
        </w:tabs>
        <w:ind w:left="5373" w:hanging="180"/>
      </w:pPr>
      <w:rPr>
        <w:rFonts w:hint="default"/>
      </w:rPr>
    </w:lvl>
    <w:lvl w:ilvl="3">
      <w:start w:val="1"/>
      <w:numFmt w:val="decimal"/>
      <w:lvlText w:val="%4."/>
      <w:lvlJc w:val="left"/>
      <w:pPr>
        <w:tabs>
          <w:tab w:val="num" w:pos="6093"/>
        </w:tabs>
        <w:ind w:left="6093" w:hanging="360"/>
      </w:pPr>
      <w:rPr>
        <w:rFonts w:hint="default"/>
      </w:rPr>
    </w:lvl>
    <w:lvl w:ilvl="4">
      <w:start w:val="1"/>
      <w:numFmt w:val="lowerLetter"/>
      <w:lvlText w:val="%5."/>
      <w:lvlJc w:val="left"/>
      <w:pPr>
        <w:tabs>
          <w:tab w:val="num" w:pos="6813"/>
        </w:tabs>
        <w:ind w:left="6813" w:hanging="360"/>
      </w:pPr>
      <w:rPr>
        <w:rFonts w:hint="default"/>
      </w:rPr>
    </w:lvl>
    <w:lvl w:ilvl="5">
      <w:start w:val="1"/>
      <w:numFmt w:val="lowerRoman"/>
      <w:lvlText w:val="%6."/>
      <w:lvlJc w:val="right"/>
      <w:pPr>
        <w:tabs>
          <w:tab w:val="num" w:pos="7533"/>
        </w:tabs>
        <w:ind w:left="7533" w:hanging="180"/>
      </w:pPr>
      <w:rPr>
        <w:rFonts w:hint="default"/>
      </w:rPr>
    </w:lvl>
    <w:lvl w:ilvl="6">
      <w:start w:val="1"/>
      <w:numFmt w:val="decimal"/>
      <w:lvlText w:val="%7."/>
      <w:lvlJc w:val="left"/>
      <w:pPr>
        <w:tabs>
          <w:tab w:val="num" w:pos="8253"/>
        </w:tabs>
        <w:ind w:left="8253" w:hanging="360"/>
      </w:pPr>
      <w:rPr>
        <w:rFonts w:hint="default"/>
      </w:rPr>
    </w:lvl>
    <w:lvl w:ilvl="7">
      <w:start w:val="1"/>
      <w:numFmt w:val="lowerLetter"/>
      <w:lvlText w:val="%8."/>
      <w:lvlJc w:val="left"/>
      <w:pPr>
        <w:tabs>
          <w:tab w:val="num" w:pos="8973"/>
        </w:tabs>
        <w:ind w:left="8973" w:hanging="360"/>
      </w:pPr>
      <w:rPr>
        <w:rFonts w:hint="default"/>
      </w:rPr>
    </w:lvl>
    <w:lvl w:ilvl="8">
      <w:start w:val="1"/>
      <w:numFmt w:val="lowerRoman"/>
      <w:lvlText w:val="%9."/>
      <w:lvlJc w:val="right"/>
      <w:pPr>
        <w:tabs>
          <w:tab w:val="num" w:pos="9693"/>
        </w:tabs>
        <w:ind w:left="9693" w:hanging="180"/>
      </w:pPr>
      <w:rPr>
        <w:rFonts w:hint="default"/>
      </w:rPr>
    </w:lvl>
  </w:abstractNum>
  <w:abstractNum w:abstractNumId="22" w15:restartNumberingAfterBreak="0">
    <w:nsid w:val="56F00FC9"/>
    <w:multiLevelType w:val="hybridMultilevel"/>
    <w:tmpl w:val="3BAC8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3A7D78"/>
    <w:multiLevelType w:val="multilevel"/>
    <w:tmpl w:val="94A04F3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73C29A0"/>
    <w:multiLevelType w:val="hybridMultilevel"/>
    <w:tmpl w:val="AD004A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A7B30F7"/>
    <w:multiLevelType w:val="hybridMultilevel"/>
    <w:tmpl w:val="97507990"/>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79120553"/>
    <w:multiLevelType w:val="hybridMultilevel"/>
    <w:tmpl w:val="07525288"/>
    <w:lvl w:ilvl="0" w:tplc="808CF9B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456F2"/>
    <w:multiLevelType w:val="hybridMultilevel"/>
    <w:tmpl w:val="A6A81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0B2683"/>
    <w:multiLevelType w:val="hybridMultilevel"/>
    <w:tmpl w:val="2D5ED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1"/>
  </w:num>
  <w:num w:numId="4">
    <w:abstractNumId w:val="20"/>
  </w:num>
  <w:num w:numId="5">
    <w:abstractNumId w:val="2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1"/>
  </w:num>
  <w:num w:numId="18">
    <w:abstractNumId w:val="27"/>
  </w:num>
  <w:num w:numId="19">
    <w:abstractNumId w:val="19"/>
  </w:num>
  <w:num w:numId="20">
    <w:abstractNumId w:val="13"/>
  </w:num>
  <w:num w:numId="21">
    <w:abstractNumId w:val="17"/>
  </w:num>
  <w:num w:numId="22">
    <w:abstractNumId w:val="12"/>
  </w:num>
  <w:num w:numId="23">
    <w:abstractNumId w:val="18"/>
  </w:num>
  <w:num w:numId="24">
    <w:abstractNumId w:val="26"/>
  </w:num>
  <w:num w:numId="25">
    <w:abstractNumId w:val="18"/>
    <w:lvlOverride w:ilvl="0">
      <w:startOverride w:val="1"/>
    </w:lvlOverride>
  </w:num>
  <w:num w:numId="26">
    <w:abstractNumId w:val="16"/>
  </w:num>
  <w:num w:numId="27">
    <w:abstractNumId w:val="25"/>
  </w:num>
  <w:num w:numId="28">
    <w:abstractNumId w:val="24"/>
  </w:num>
  <w:num w:numId="29">
    <w:abstractNumId w:val="28"/>
  </w:num>
  <w:num w:numId="30">
    <w:abstractNumId w:val="22"/>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trackRevisions/>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1B"/>
    <w:rsid w:val="00005522"/>
    <w:rsid w:val="000071F7"/>
    <w:rsid w:val="00010695"/>
    <w:rsid w:val="00011BC4"/>
    <w:rsid w:val="0001377E"/>
    <w:rsid w:val="00013E19"/>
    <w:rsid w:val="0001513B"/>
    <w:rsid w:val="0001769B"/>
    <w:rsid w:val="00023336"/>
    <w:rsid w:val="000308B5"/>
    <w:rsid w:val="00030E5F"/>
    <w:rsid w:val="000317A1"/>
    <w:rsid w:val="00034F26"/>
    <w:rsid w:val="00043072"/>
    <w:rsid w:val="00047137"/>
    <w:rsid w:val="00052390"/>
    <w:rsid w:val="00054954"/>
    <w:rsid w:val="0005681D"/>
    <w:rsid w:val="00076886"/>
    <w:rsid w:val="000839F0"/>
    <w:rsid w:val="00093B0A"/>
    <w:rsid w:val="000A163A"/>
    <w:rsid w:val="000A2A7B"/>
    <w:rsid w:val="000A3212"/>
    <w:rsid w:val="000B061E"/>
    <w:rsid w:val="000B5014"/>
    <w:rsid w:val="000B5632"/>
    <w:rsid w:val="000B6AF6"/>
    <w:rsid w:val="000B6E67"/>
    <w:rsid w:val="000C1DD5"/>
    <w:rsid w:val="000C2343"/>
    <w:rsid w:val="000C300F"/>
    <w:rsid w:val="000C4D27"/>
    <w:rsid w:val="000C4EE7"/>
    <w:rsid w:val="000C4FE6"/>
    <w:rsid w:val="000C7193"/>
    <w:rsid w:val="000C72D9"/>
    <w:rsid w:val="000D168B"/>
    <w:rsid w:val="000E11F9"/>
    <w:rsid w:val="000E36FE"/>
    <w:rsid w:val="000E3A86"/>
    <w:rsid w:val="000E42E6"/>
    <w:rsid w:val="000E65C0"/>
    <w:rsid w:val="000F1192"/>
    <w:rsid w:val="000F1A0D"/>
    <w:rsid w:val="0010159F"/>
    <w:rsid w:val="00104DFA"/>
    <w:rsid w:val="001111A3"/>
    <w:rsid w:val="00124BE5"/>
    <w:rsid w:val="00125654"/>
    <w:rsid w:val="00132D20"/>
    <w:rsid w:val="00133990"/>
    <w:rsid w:val="001342EA"/>
    <w:rsid w:val="001378D1"/>
    <w:rsid w:val="00142E46"/>
    <w:rsid w:val="001436FB"/>
    <w:rsid w:val="00145668"/>
    <w:rsid w:val="00150F4C"/>
    <w:rsid w:val="0015167A"/>
    <w:rsid w:val="00156F51"/>
    <w:rsid w:val="00157D48"/>
    <w:rsid w:val="00157E11"/>
    <w:rsid w:val="00160D1C"/>
    <w:rsid w:val="001713A6"/>
    <w:rsid w:val="00172769"/>
    <w:rsid w:val="00174EE1"/>
    <w:rsid w:val="001770EA"/>
    <w:rsid w:val="001772D6"/>
    <w:rsid w:val="00177FEE"/>
    <w:rsid w:val="0018051E"/>
    <w:rsid w:val="00180843"/>
    <w:rsid w:val="00183ABF"/>
    <w:rsid w:val="00184D99"/>
    <w:rsid w:val="00185DB9"/>
    <w:rsid w:val="00191870"/>
    <w:rsid w:val="001943D2"/>
    <w:rsid w:val="001946B6"/>
    <w:rsid w:val="0019510E"/>
    <w:rsid w:val="00195610"/>
    <w:rsid w:val="0019663C"/>
    <w:rsid w:val="00196CE4"/>
    <w:rsid w:val="001A47DC"/>
    <w:rsid w:val="001B0486"/>
    <w:rsid w:val="001C0C7E"/>
    <w:rsid w:val="001C16CC"/>
    <w:rsid w:val="001C2EC5"/>
    <w:rsid w:val="001C3154"/>
    <w:rsid w:val="001C675E"/>
    <w:rsid w:val="001C749F"/>
    <w:rsid w:val="001D0096"/>
    <w:rsid w:val="001D0887"/>
    <w:rsid w:val="001D3583"/>
    <w:rsid w:val="001D35D5"/>
    <w:rsid w:val="001D3805"/>
    <w:rsid w:val="001E174F"/>
    <w:rsid w:val="001E1DF6"/>
    <w:rsid w:val="001E227D"/>
    <w:rsid w:val="001E22DA"/>
    <w:rsid w:val="001E3981"/>
    <w:rsid w:val="001E73E5"/>
    <w:rsid w:val="001F2B9F"/>
    <w:rsid w:val="001F2FE8"/>
    <w:rsid w:val="00202316"/>
    <w:rsid w:val="002040A0"/>
    <w:rsid w:val="00204A2A"/>
    <w:rsid w:val="002075CC"/>
    <w:rsid w:val="002112E0"/>
    <w:rsid w:val="00212DF1"/>
    <w:rsid w:val="002210DE"/>
    <w:rsid w:val="00222B57"/>
    <w:rsid w:val="00230241"/>
    <w:rsid w:val="00230B5C"/>
    <w:rsid w:val="00230ED8"/>
    <w:rsid w:val="00234484"/>
    <w:rsid w:val="0023638C"/>
    <w:rsid w:val="0023773A"/>
    <w:rsid w:val="00242A2D"/>
    <w:rsid w:val="00244875"/>
    <w:rsid w:val="002700A6"/>
    <w:rsid w:val="00280575"/>
    <w:rsid w:val="00280DC1"/>
    <w:rsid w:val="00283A90"/>
    <w:rsid w:val="00283E71"/>
    <w:rsid w:val="00285423"/>
    <w:rsid w:val="00292400"/>
    <w:rsid w:val="00297924"/>
    <w:rsid w:val="002A2356"/>
    <w:rsid w:val="002A421E"/>
    <w:rsid w:val="002A4326"/>
    <w:rsid w:val="002B0EDF"/>
    <w:rsid w:val="002B22B6"/>
    <w:rsid w:val="002C092A"/>
    <w:rsid w:val="002C0B87"/>
    <w:rsid w:val="002C2B16"/>
    <w:rsid w:val="002C424C"/>
    <w:rsid w:val="002C65E4"/>
    <w:rsid w:val="002C6BC7"/>
    <w:rsid w:val="002D0150"/>
    <w:rsid w:val="002D06E6"/>
    <w:rsid w:val="002D0B16"/>
    <w:rsid w:val="002D3427"/>
    <w:rsid w:val="002D3F01"/>
    <w:rsid w:val="002D4530"/>
    <w:rsid w:val="002E76FE"/>
    <w:rsid w:val="002E779A"/>
    <w:rsid w:val="002E77FB"/>
    <w:rsid w:val="002F381E"/>
    <w:rsid w:val="002F5D1B"/>
    <w:rsid w:val="002F69E7"/>
    <w:rsid w:val="003008C5"/>
    <w:rsid w:val="003033FD"/>
    <w:rsid w:val="003042AD"/>
    <w:rsid w:val="003111F7"/>
    <w:rsid w:val="003121BC"/>
    <w:rsid w:val="00314D74"/>
    <w:rsid w:val="00320951"/>
    <w:rsid w:val="00323502"/>
    <w:rsid w:val="00323CD7"/>
    <w:rsid w:val="003256BA"/>
    <w:rsid w:val="003269A5"/>
    <w:rsid w:val="00330C4A"/>
    <w:rsid w:val="00330CEB"/>
    <w:rsid w:val="0033180E"/>
    <w:rsid w:val="00331812"/>
    <w:rsid w:val="0033486C"/>
    <w:rsid w:val="003375A9"/>
    <w:rsid w:val="0035231B"/>
    <w:rsid w:val="00352546"/>
    <w:rsid w:val="00352D39"/>
    <w:rsid w:val="003548F3"/>
    <w:rsid w:val="00356E2D"/>
    <w:rsid w:val="00357C0D"/>
    <w:rsid w:val="00361595"/>
    <w:rsid w:val="003623BA"/>
    <w:rsid w:val="003629F7"/>
    <w:rsid w:val="003648D7"/>
    <w:rsid w:val="003649AD"/>
    <w:rsid w:val="003662A2"/>
    <w:rsid w:val="00367DC6"/>
    <w:rsid w:val="00367EC3"/>
    <w:rsid w:val="003710A6"/>
    <w:rsid w:val="003728F5"/>
    <w:rsid w:val="00380918"/>
    <w:rsid w:val="0038120F"/>
    <w:rsid w:val="003831EC"/>
    <w:rsid w:val="00384170"/>
    <w:rsid w:val="00386EDC"/>
    <w:rsid w:val="003941B4"/>
    <w:rsid w:val="003962EE"/>
    <w:rsid w:val="00397049"/>
    <w:rsid w:val="00397696"/>
    <w:rsid w:val="003A5D9C"/>
    <w:rsid w:val="003A6927"/>
    <w:rsid w:val="003A7128"/>
    <w:rsid w:val="003B096B"/>
    <w:rsid w:val="003B0B08"/>
    <w:rsid w:val="003B0CF8"/>
    <w:rsid w:val="003B7FDC"/>
    <w:rsid w:val="003C2979"/>
    <w:rsid w:val="003D0064"/>
    <w:rsid w:val="003D2FE9"/>
    <w:rsid w:val="003E0E69"/>
    <w:rsid w:val="003E2A89"/>
    <w:rsid w:val="003F097B"/>
    <w:rsid w:val="003F13B1"/>
    <w:rsid w:val="003F1F13"/>
    <w:rsid w:val="003F5A2A"/>
    <w:rsid w:val="003F5FBC"/>
    <w:rsid w:val="00402211"/>
    <w:rsid w:val="00405894"/>
    <w:rsid w:val="0040691A"/>
    <w:rsid w:val="00410668"/>
    <w:rsid w:val="0041071C"/>
    <w:rsid w:val="00410749"/>
    <w:rsid w:val="00411C54"/>
    <w:rsid w:val="00414BD2"/>
    <w:rsid w:val="00415F0E"/>
    <w:rsid w:val="004245AB"/>
    <w:rsid w:val="00426A8C"/>
    <w:rsid w:val="00430263"/>
    <w:rsid w:val="00433740"/>
    <w:rsid w:val="00436648"/>
    <w:rsid w:val="00436871"/>
    <w:rsid w:val="0043749A"/>
    <w:rsid w:val="0044189A"/>
    <w:rsid w:val="00445FF1"/>
    <w:rsid w:val="004462E2"/>
    <w:rsid w:val="004541A4"/>
    <w:rsid w:val="00455DBA"/>
    <w:rsid w:val="0045627C"/>
    <w:rsid w:val="004662A4"/>
    <w:rsid w:val="00471B4C"/>
    <w:rsid w:val="0047370C"/>
    <w:rsid w:val="00476610"/>
    <w:rsid w:val="00476BF9"/>
    <w:rsid w:val="00484461"/>
    <w:rsid w:val="004935DE"/>
    <w:rsid w:val="004A1F46"/>
    <w:rsid w:val="004A38FC"/>
    <w:rsid w:val="004A4128"/>
    <w:rsid w:val="004A4BAD"/>
    <w:rsid w:val="004A6661"/>
    <w:rsid w:val="004B13D6"/>
    <w:rsid w:val="004B2ED7"/>
    <w:rsid w:val="004B5B7B"/>
    <w:rsid w:val="004C12DC"/>
    <w:rsid w:val="004D3056"/>
    <w:rsid w:val="004D4CCA"/>
    <w:rsid w:val="004D5DFF"/>
    <w:rsid w:val="004D67A0"/>
    <w:rsid w:val="004E0D6A"/>
    <w:rsid w:val="004E121E"/>
    <w:rsid w:val="004E485B"/>
    <w:rsid w:val="004F4161"/>
    <w:rsid w:val="004F4723"/>
    <w:rsid w:val="004F5DDF"/>
    <w:rsid w:val="004F6909"/>
    <w:rsid w:val="004F73DC"/>
    <w:rsid w:val="0050394F"/>
    <w:rsid w:val="0050580E"/>
    <w:rsid w:val="00510AE6"/>
    <w:rsid w:val="00510C7E"/>
    <w:rsid w:val="0051211B"/>
    <w:rsid w:val="00521909"/>
    <w:rsid w:val="00524E19"/>
    <w:rsid w:val="00525589"/>
    <w:rsid w:val="00527F4B"/>
    <w:rsid w:val="00530025"/>
    <w:rsid w:val="00530B9D"/>
    <w:rsid w:val="0053429F"/>
    <w:rsid w:val="0054356F"/>
    <w:rsid w:val="00547150"/>
    <w:rsid w:val="00554F83"/>
    <w:rsid w:val="00557CC2"/>
    <w:rsid w:val="005628C3"/>
    <w:rsid w:val="005638BF"/>
    <w:rsid w:val="005656B6"/>
    <w:rsid w:val="00565B1B"/>
    <w:rsid w:val="00566863"/>
    <w:rsid w:val="005847A1"/>
    <w:rsid w:val="005871B1"/>
    <w:rsid w:val="00590095"/>
    <w:rsid w:val="005902B2"/>
    <w:rsid w:val="00592823"/>
    <w:rsid w:val="00595B60"/>
    <w:rsid w:val="005A0104"/>
    <w:rsid w:val="005A32F2"/>
    <w:rsid w:val="005A54E1"/>
    <w:rsid w:val="005B4BAA"/>
    <w:rsid w:val="005B4C0F"/>
    <w:rsid w:val="005B4C7E"/>
    <w:rsid w:val="005B6071"/>
    <w:rsid w:val="005C6C41"/>
    <w:rsid w:val="005D2E18"/>
    <w:rsid w:val="005D67AC"/>
    <w:rsid w:val="005D7419"/>
    <w:rsid w:val="005D7ED2"/>
    <w:rsid w:val="005E0BF4"/>
    <w:rsid w:val="005E4765"/>
    <w:rsid w:val="005E5334"/>
    <w:rsid w:val="005E6906"/>
    <w:rsid w:val="005F0B91"/>
    <w:rsid w:val="005F1328"/>
    <w:rsid w:val="005F7B63"/>
    <w:rsid w:val="00606305"/>
    <w:rsid w:val="00615132"/>
    <w:rsid w:val="00621FA4"/>
    <w:rsid w:val="0062640C"/>
    <w:rsid w:val="00632D21"/>
    <w:rsid w:val="006409CB"/>
    <w:rsid w:val="00641CAD"/>
    <w:rsid w:val="00645CF8"/>
    <w:rsid w:val="006461AE"/>
    <w:rsid w:val="00646869"/>
    <w:rsid w:val="00651F26"/>
    <w:rsid w:val="006531E7"/>
    <w:rsid w:val="006553DD"/>
    <w:rsid w:val="00656516"/>
    <w:rsid w:val="00662947"/>
    <w:rsid w:val="006634AD"/>
    <w:rsid w:val="006638AD"/>
    <w:rsid w:val="00665B11"/>
    <w:rsid w:val="006673AB"/>
    <w:rsid w:val="00674FF1"/>
    <w:rsid w:val="00676B57"/>
    <w:rsid w:val="00677232"/>
    <w:rsid w:val="0068390C"/>
    <w:rsid w:val="0069043A"/>
    <w:rsid w:val="00692D30"/>
    <w:rsid w:val="006A1466"/>
    <w:rsid w:val="006A44B9"/>
    <w:rsid w:val="006A65FC"/>
    <w:rsid w:val="006B1AAE"/>
    <w:rsid w:val="006B4078"/>
    <w:rsid w:val="006B4AD0"/>
    <w:rsid w:val="006B76B0"/>
    <w:rsid w:val="006B781F"/>
    <w:rsid w:val="006C0026"/>
    <w:rsid w:val="006C276C"/>
    <w:rsid w:val="006D2C1E"/>
    <w:rsid w:val="006D5C93"/>
    <w:rsid w:val="006E1BBE"/>
    <w:rsid w:val="006E2268"/>
    <w:rsid w:val="006E5945"/>
    <w:rsid w:val="006F12EA"/>
    <w:rsid w:val="006F6117"/>
    <w:rsid w:val="00711D9A"/>
    <w:rsid w:val="00711FA9"/>
    <w:rsid w:val="00715E2E"/>
    <w:rsid w:val="0072038B"/>
    <w:rsid w:val="007210F6"/>
    <w:rsid w:val="00723385"/>
    <w:rsid w:val="007233D6"/>
    <w:rsid w:val="0072559F"/>
    <w:rsid w:val="00725DDC"/>
    <w:rsid w:val="00726CDC"/>
    <w:rsid w:val="00735C54"/>
    <w:rsid w:val="00737839"/>
    <w:rsid w:val="00741BF0"/>
    <w:rsid w:val="007422D7"/>
    <w:rsid w:val="007430E2"/>
    <w:rsid w:val="00743A93"/>
    <w:rsid w:val="00744AB0"/>
    <w:rsid w:val="007451DF"/>
    <w:rsid w:val="00746A7A"/>
    <w:rsid w:val="00753F6A"/>
    <w:rsid w:val="00754D4D"/>
    <w:rsid w:val="00754E4A"/>
    <w:rsid w:val="00755145"/>
    <w:rsid w:val="00755351"/>
    <w:rsid w:val="007576DE"/>
    <w:rsid w:val="00757C62"/>
    <w:rsid w:val="00763CA3"/>
    <w:rsid w:val="00770424"/>
    <w:rsid w:val="00770F12"/>
    <w:rsid w:val="007807C5"/>
    <w:rsid w:val="0078573B"/>
    <w:rsid w:val="00787A54"/>
    <w:rsid w:val="007A242D"/>
    <w:rsid w:val="007B2D31"/>
    <w:rsid w:val="007B35F7"/>
    <w:rsid w:val="007B376F"/>
    <w:rsid w:val="007B6392"/>
    <w:rsid w:val="007C16E0"/>
    <w:rsid w:val="007C6A6B"/>
    <w:rsid w:val="007C6DD2"/>
    <w:rsid w:val="007C700D"/>
    <w:rsid w:val="007D2766"/>
    <w:rsid w:val="007D5710"/>
    <w:rsid w:val="007D74AA"/>
    <w:rsid w:val="007E0A49"/>
    <w:rsid w:val="007E3746"/>
    <w:rsid w:val="007E515E"/>
    <w:rsid w:val="007F1353"/>
    <w:rsid w:val="007F1852"/>
    <w:rsid w:val="007F7A2E"/>
    <w:rsid w:val="0080359F"/>
    <w:rsid w:val="008042BC"/>
    <w:rsid w:val="00807E6D"/>
    <w:rsid w:val="008101EA"/>
    <w:rsid w:val="00812241"/>
    <w:rsid w:val="00812A40"/>
    <w:rsid w:val="00814427"/>
    <w:rsid w:val="008166DE"/>
    <w:rsid w:val="00820F4A"/>
    <w:rsid w:val="00822BBE"/>
    <w:rsid w:val="00822BF2"/>
    <w:rsid w:val="008238F7"/>
    <w:rsid w:val="008250F8"/>
    <w:rsid w:val="00825A75"/>
    <w:rsid w:val="0083078B"/>
    <w:rsid w:val="0083148D"/>
    <w:rsid w:val="008334A9"/>
    <w:rsid w:val="00834E9A"/>
    <w:rsid w:val="00836CC5"/>
    <w:rsid w:val="00841682"/>
    <w:rsid w:val="00841B65"/>
    <w:rsid w:val="008429CC"/>
    <w:rsid w:val="008460E5"/>
    <w:rsid w:val="00852F68"/>
    <w:rsid w:val="0085381C"/>
    <w:rsid w:val="008614DF"/>
    <w:rsid w:val="0086175C"/>
    <w:rsid w:val="008729AF"/>
    <w:rsid w:val="00873659"/>
    <w:rsid w:val="0087789F"/>
    <w:rsid w:val="00880492"/>
    <w:rsid w:val="008809DC"/>
    <w:rsid w:val="008809FD"/>
    <w:rsid w:val="008816B4"/>
    <w:rsid w:val="0088177D"/>
    <w:rsid w:val="0088319A"/>
    <w:rsid w:val="00891703"/>
    <w:rsid w:val="0089476E"/>
    <w:rsid w:val="00895693"/>
    <w:rsid w:val="008957CB"/>
    <w:rsid w:val="00897CB5"/>
    <w:rsid w:val="008A4A4F"/>
    <w:rsid w:val="008C23BF"/>
    <w:rsid w:val="008C2FE5"/>
    <w:rsid w:val="008C6641"/>
    <w:rsid w:val="008D044B"/>
    <w:rsid w:val="008D1C9F"/>
    <w:rsid w:val="008D2850"/>
    <w:rsid w:val="008D291A"/>
    <w:rsid w:val="008D2F37"/>
    <w:rsid w:val="008D3170"/>
    <w:rsid w:val="008E0233"/>
    <w:rsid w:val="008E2BAF"/>
    <w:rsid w:val="008E416C"/>
    <w:rsid w:val="008E5FB1"/>
    <w:rsid w:val="008F0EB0"/>
    <w:rsid w:val="008F23A0"/>
    <w:rsid w:val="008F443A"/>
    <w:rsid w:val="008F5FBD"/>
    <w:rsid w:val="0090308C"/>
    <w:rsid w:val="00904673"/>
    <w:rsid w:val="00913617"/>
    <w:rsid w:val="0091586E"/>
    <w:rsid w:val="00915E47"/>
    <w:rsid w:val="00916052"/>
    <w:rsid w:val="00921604"/>
    <w:rsid w:val="00922E52"/>
    <w:rsid w:val="00926348"/>
    <w:rsid w:val="00931305"/>
    <w:rsid w:val="009322C8"/>
    <w:rsid w:val="00934E61"/>
    <w:rsid w:val="009363B5"/>
    <w:rsid w:val="00940681"/>
    <w:rsid w:val="00945532"/>
    <w:rsid w:val="009476CD"/>
    <w:rsid w:val="00950D94"/>
    <w:rsid w:val="0095535E"/>
    <w:rsid w:val="009637D7"/>
    <w:rsid w:val="00964FAB"/>
    <w:rsid w:val="00965603"/>
    <w:rsid w:val="00965A9A"/>
    <w:rsid w:val="00967B40"/>
    <w:rsid w:val="00971F56"/>
    <w:rsid w:val="009724A0"/>
    <w:rsid w:val="009751A7"/>
    <w:rsid w:val="00980FB8"/>
    <w:rsid w:val="00982A21"/>
    <w:rsid w:val="00984350"/>
    <w:rsid w:val="00986397"/>
    <w:rsid w:val="00994174"/>
    <w:rsid w:val="009A0A54"/>
    <w:rsid w:val="009A109C"/>
    <w:rsid w:val="009A56A8"/>
    <w:rsid w:val="009A65B3"/>
    <w:rsid w:val="009A67D2"/>
    <w:rsid w:val="009B0052"/>
    <w:rsid w:val="009B0A50"/>
    <w:rsid w:val="009B4B01"/>
    <w:rsid w:val="009B4C6E"/>
    <w:rsid w:val="009B744D"/>
    <w:rsid w:val="009C4A06"/>
    <w:rsid w:val="009C6D04"/>
    <w:rsid w:val="009F2908"/>
    <w:rsid w:val="009F3ECB"/>
    <w:rsid w:val="009F45E7"/>
    <w:rsid w:val="009F63C8"/>
    <w:rsid w:val="00A01E25"/>
    <w:rsid w:val="00A03D02"/>
    <w:rsid w:val="00A1545A"/>
    <w:rsid w:val="00A16999"/>
    <w:rsid w:val="00A213AF"/>
    <w:rsid w:val="00A26072"/>
    <w:rsid w:val="00A26731"/>
    <w:rsid w:val="00A27C10"/>
    <w:rsid w:val="00A27EFA"/>
    <w:rsid w:val="00A30A40"/>
    <w:rsid w:val="00A31D35"/>
    <w:rsid w:val="00A326FC"/>
    <w:rsid w:val="00A36D63"/>
    <w:rsid w:val="00A37AC8"/>
    <w:rsid w:val="00A4196F"/>
    <w:rsid w:val="00A4263A"/>
    <w:rsid w:val="00A44A0B"/>
    <w:rsid w:val="00A55B4F"/>
    <w:rsid w:val="00A574AB"/>
    <w:rsid w:val="00A638F5"/>
    <w:rsid w:val="00A66E20"/>
    <w:rsid w:val="00A67602"/>
    <w:rsid w:val="00A70343"/>
    <w:rsid w:val="00A70CFF"/>
    <w:rsid w:val="00A807DA"/>
    <w:rsid w:val="00A83DBC"/>
    <w:rsid w:val="00A84AD6"/>
    <w:rsid w:val="00A84F9B"/>
    <w:rsid w:val="00A878F8"/>
    <w:rsid w:val="00A906F8"/>
    <w:rsid w:val="00A9564A"/>
    <w:rsid w:val="00AA0416"/>
    <w:rsid w:val="00AA57A2"/>
    <w:rsid w:val="00AA57DC"/>
    <w:rsid w:val="00AB0330"/>
    <w:rsid w:val="00AB57F9"/>
    <w:rsid w:val="00AC1256"/>
    <w:rsid w:val="00AD21E9"/>
    <w:rsid w:val="00AD4D28"/>
    <w:rsid w:val="00AD64BD"/>
    <w:rsid w:val="00AD6A11"/>
    <w:rsid w:val="00AE0F88"/>
    <w:rsid w:val="00AE1D37"/>
    <w:rsid w:val="00AF05B2"/>
    <w:rsid w:val="00AF1337"/>
    <w:rsid w:val="00AF4BFA"/>
    <w:rsid w:val="00AF4F74"/>
    <w:rsid w:val="00AF5155"/>
    <w:rsid w:val="00AF5D17"/>
    <w:rsid w:val="00AF7E81"/>
    <w:rsid w:val="00B00796"/>
    <w:rsid w:val="00B00DD6"/>
    <w:rsid w:val="00B016B3"/>
    <w:rsid w:val="00B02C02"/>
    <w:rsid w:val="00B0696A"/>
    <w:rsid w:val="00B10606"/>
    <w:rsid w:val="00B12DB8"/>
    <w:rsid w:val="00B13E5F"/>
    <w:rsid w:val="00B14B2E"/>
    <w:rsid w:val="00B15728"/>
    <w:rsid w:val="00B1642A"/>
    <w:rsid w:val="00B17F2E"/>
    <w:rsid w:val="00B229F3"/>
    <w:rsid w:val="00B23E72"/>
    <w:rsid w:val="00B2523A"/>
    <w:rsid w:val="00B26638"/>
    <w:rsid w:val="00B3510C"/>
    <w:rsid w:val="00B356C9"/>
    <w:rsid w:val="00B3778F"/>
    <w:rsid w:val="00B4203A"/>
    <w:rsid w:val="00B42252"/>
    <w:rsid w:val="00B42CE6"/>
    <w:rsid w:val="00B46F0B"/>
    <w:rsid w:val="00B47130"/>
    <w:rsid w:val="00B5219D"/>
    <w:rsid w:val="00B53717"/>
    <w:rsid w:val="00B55A06"/>
    <w:rsid w:val="00B642B2"/>
    <w:rsid w:val="00B64951"/>
    <w:rsid w:val="00B66650"/>
    <w:rsid w:val="00B71EAE"/>
    <w:rsid w:val="00B734D1"/>
    <w:rsid w:val="00B7626B"/>
    <w:rsid w:val="00B83E73"/>
    <w:rsid w:val="00B84AB6"/>
    <w:rsid w:val="00B85137"/>
    <w:rsid w:val="00B85584"/>
    <w:rsid w:val="00B91D7D"/>
    <w:rsid w:val="00B92BCA"/>
    <w:rsid w:val="00B93997"/>
    <w:rsid w:val="00BA0789"/>
    <w:rsid w:val="00BA0A15"/>
    <w:rsid w:val="00BA4580"/>
    <w:rsid w:val="00BA6D35"/>
    <w:rsid w:val="00BA78EE"/>
    <w:rsid w:val="00BB17B3"/>
    <w:rsid w:val="00BB3C49"/>
    <w:rsid w:val="00BB5F15"/>
    <w:rsid w:val="00BB710E"/>
    <w:rsid w:val="00BC0AFF"/>
    <w:rsid w:val="00BC21EE"/>
    <w:rsid w:val="00BC5B49"/>
    <w:rsid w:val="00BC69B5"/>
    <w:rsid w:val="00BC72B0"/>
    <w:rsid w:val="00BD0B85"/>
    <w:rsid w:val="00BD36F4"/>
    <w:rsid w:val="00BD3E36"/>
    <w:rsid w:val="00BD4C44"/>
    <w:rsid w:val="00BD5731"/>
    <w:rsid w:val="00BD5B41"/>
    <w:rsid w:val="00BD5C03"/>
    <w:rsid w:val="00BE14F1"/>
    <w:rsid w:val="00BE36B2"/>
    <w:rsid w:val="00BE7ED3"/>
    <w:rsid w:val="00BF03AD"/>
    <w:rsid w:val="00BF065D"/>
    <w:rsid w:val="00BF16AC"/>
    <w:rsid w:val="00BF1EE4"/>
    <w:rsid w:val="00BF74F6"/>
    <w:rsid w:val="00C03A43"/>
    <w:rsid w:val="00C061AD"/>
    <w:rsid w:val="00C129FC"/>
    <w:rsid w:val="00C175D5"/>
    <w:rsid w:val="00C23078"/>
    <w:rsid w:val="00C24D2E"/>
    <w:rsid w:val="00C2583E"/>
    <w:rsid w:val="00C25AE0"/>
    <w:rsid w:val="00C3098E"/>
    <w:rsid w:val="00C32EA1"/>
    <w:rsid w:val="00C32ECE"/>
    <w:rsid w:val="00C36F5E"/>
    <w:rsid w:val="00C405FA"/>
    <w:rsid w:val="00C422F5"/>
    <w:rsid w:val="00C45228"/>
    <w:rsid w:val="00C45C66"/>
    <w:rsid w:val="00C462A0"/>
    <w:rsid w:val="00C474EC"/>
    <w:rsid w:val="00C64DA7"/>
    <w:rsid w:val="00C72791"/>
    <w:rsid w:val="00C739EA"/>
    <w:rsid w:val="00C73C76"/>
    <w:rsid w:val="00C763F3"/>
    <w:rsid w:val="00C80D4E"/>
    <w:rsid w:val="00C82985"/>
    <w:rsid w:val="00C923F8"/>
    <w:rsid w:val="00C967A3"/>
    <w:rsid w:val="00CA21B8"/>
    <w:rsid w:val="00CA24DC"/>
    <w:rsid w:val="00CA29D7"/>
    <w:rsid w:val="00CA53A9"/>
    <w:rsid w:val="00CA5B4B"/>
    <w:rsid w:val="00CA7DDE"/>
    <w:rsid w:val="00CA7E4A"/>
    <w:rsid w:val="00CB3DEB"/>
    <w:rsid w:val="00CB456D"/>
    <w:rsid w:val="00CB5121"/>
    <w:rsid w:val="00CC46B0"/>
    <w:rsid w:val="00CD2421"/>
    <w:rsid w:val="00CD4273"/>
    <w:rsid w:val="00CE2117"/>
    <w:rsid w:val="00CE411F"/>
    <w:rsid w:val="00CE694A"/>
    <w:rsid w:val="00CF039E"/>
    <w:rsid w:val="00CF1D03"/>
    <w:rsid w:val="00CF2154"/>
    <w:rsid w:val="00CF2333"/>
    <w:rsid w:val="00CF2D5D"/>
    <w:rsid w:val="00CF3959"/>
    <w:rsid w:val="00CF3B78"/>
    <w:rsid w:val="00CF564A"/>
    <w:rsid w:val="00CF79D5"/>
    <w:rsid w:val="00D04299"/>
    <w:rsid w:val="00D068AD"/>
    <w:rsid w:val="00D10177"/>
    <w:rsid w:val="00D21FDA"/>
    <w:rsid w:val="00D24451"/>
    <w:rsid w:val="00D30EA3"/>
    <w:rsid w:val="00D33A8D"/>
    <w:rsid w:val="00D37895"/>
    <w:rsid w:val="00D37A11"/>
    <w:rsid w:val="00D409BF"/>
    <w:rsid w:val="00D44B64"/>
    <w:rsid w:val="00D51037"/>
    <w:rsid w:val="00D52186"/>
    <w:rsid w:val="00D53803"/>
    <w:rsid w:val="00D54FE3"/>
    <w:rsid w:val="00D56DB2"/>
    <w:rsid w:val="00D611B1"/>
    <w:rsid w:val="00D611C1"/>
    <w:rsid w:val="00D62BF8"/>
    <w:rsid w:val="00D63539"/>
    <w:rsid w:val="00D63756"/>
    <w:rsid w:val="00D67069"/>
    <w:rsid w:val="00D706F4"/>
    <w:rsid w:val="00D7258A"/>
    <w:rsid w:val="00D73A82"/>
    <w:rsid w:val="00D752BE"/>
    <w:rsid w:val="00D75440"/>
    <w:rsid w:val="00D768E7"/>
    <w:rsid w:val="00D9040D"/>
    <w:rsid w:val="00D96061"/>
    <w:rsid w:val="00DA2EAA"/>
    <w:rsid w:val="00DB1866"/>
    <w:rsid w:val="00DB3674"/>
    <w:rsid w:val="00DB5BDC"/>
    <w:rsid w:val="00DB5BF7"/>
    <w:rsid w:val="00DB5C31"/>
    <w:rsid w:val="00DB78ED"/>
    <w:rsid w:val="00DC0E9A"/>
    <w:rsid w:val="00DC2977"/>
    <w:rsid w:val="00DD46A4"/>
    <w:rsid w:val="00DD5542"/>
    <w:rsid w:val="00DD60A9"/>
    <w:rsid w:val="00DE024B"/>
    <w:rsid w:val="00DE1DAC"/>
    <w:rsid w:val="00DE37C3"/>
    <w:rsid w:val="00DE439C"/>
    <w:rsid w:val="00DE55BA"/>
    <w:rsid w:val="00DF7F2E"/>
    <w:rsid w:val="00E00118"/>
    <w:rsid w:val="00E00603"/>
    <w:rsid w:val="00E06D7F"/>
    <w:rsid w:val="00E138D8"/>
    <w:rsid w:val="00E23423"/>
    <w:rsid w:val="00E25499"/>
    <w:rsid w:val="00E304F7"/>
    <w:rsid w:val="00E306FD"/>
    <w:rsid w:val="00E3103D"/>
    <w:rsid w:val="00E31C7C"/>
    <w:rsid w:val="00E3239D"/>
    <w:rsid w:val="00E33A22"/>
    <w:rsid w:val="00E36421"/>
    <w:rsid w:val="00E36E42"/>
    <w:rsid w:val="00E404BD"/>
    <w:rsid w:val="00E47771"/>
    <w:rsid w:val="00E50826"/>
    <w:rsid w:val="00E55CAB"/>
    <w:rsid w:val="00E6213C"/>
    <w:rsid w:val="00E630BD"/>
    <w:rsid w:val="00E67713"/>
    <w:rsid w:val="00E70095"/>
    <w:rsid w:val="00E71B31"/>
    <w:rsid w:val="00E757DA"/>
    <w:rsid w:val="00E86C4B"/>
    <w:rsid w:val="00E90209"/>
    <w:rsid w:val="00E91AAE"/>
    <w:rsid w:val="00E91B4C"/>
    <w:rsid w:val="00E922D6"/>
    <w:rsid w:val="00E9275E"/>
    <w:rsid w:val="00E92A50"/>
    <w:rsid w:val="00E9367B"/>
    <w:rsid w:val="00E93ACC"/>
    <w:rsid w:val="00E94B4E"/>
    <w:rsid w:val="00E94D67"/>
    <w:rsid w:val="00EA1FDB"/>
    <w:rsid w:val="00EA5547"/>
    <w:rsid w:val="00EA6923"/>
    <w:rsid w:val="00EA69FC"/>
    <w:rsid w:val="00EA6B36"/>
    <w:rsid w:val="00EA6B7F"/>
    <w:rsid w:val="00EB4A4F"/>
    <w:rsid w:val="00EB5D50"/>
    <w:rsid w:val="00EB6339"/>
    <w:rsid w:val="00EB678E"/>
    <w:rsid w:val="00EC581F"/>
    <w:rsid w:val="00EC58EE"/>
    <w:rsid w:val="00ED0C12"/>
    <w:rsid w:val="00ED2C2D"/>
    <w:rsid w:val="00ED5D86"/>
    <w:rsid w:val="00ED6A64"/>
    <w:rsid w:val="00ED7167"/>
    <w:rsid w:val="00EE0574"/>
    <w:rsid w:val="00EE45D6"/>
    <w:rsid w:val="00EE51CB"/>
    <w:rsid w:val="00EE760A"/>
    <w:rsid w:val="00EF10ED"/>
    <w:rsid w:val="00EF1D23"/>
    <w:rsid w:val="00EF36B9"/>
    <w:rsid w:val="00EF6EA7"/>
    <w:rsid w:val="00EF7165"/>
    <w:rsid w:val="00F01B28"/>
    <w:rsid w:val="00F01E2D"/>
    <w:rsid w:val="00F10D58"/>
    <w:rsid w:val="00F13C27"/>
    <w:rsid w:val="00F1754C"/>
    <w:rsid w:val="00F2178F"/>
    <w:rsid w:val="00F22702"/>
    <w:rsid w:val="00F25AB6"/>
    <w:rsid w:val="00F26AE1"/>
    <w:rsid w:val="00F41A6D"/>
    <w:rsid w:val="00F4232D"/>
    <w:rsid w:val="00F433A2"/>
    <w:rsid w:val="00F4770D"/>
    <w:rsid w:val="00F54FB4"/>
    <w:rsid w:val="00F601A3"/>
    <w:rsid w:val="00F6329F"/>
    <w:rsid w:val="00F643BC"/>
    <w:rsid w:val="00F65784"/>
    <w:rsid w:val="00F65F04"/>
    <w:rsid w:val="00F666FA"/>
    <w:rsid w:val="00F67163"/>
    <w:rsid w:val="00F7072C"/>
    <w:rsid w:val="00F718C2"/>
    <w:rsid w:val="00F73C98"/>
    <w:rsid w:val="00F7626A"/>
    <w:rsid w:val="00F83878"/>
    <w:rsid w:val="00F847CE"/>
    <w:rsid w:val="00F916A6"/>
    <w:rsid w:val="00F91D29"/>
    <w:rsid w:val="00F94A34"/>
    <w:rsid w:val="00FA052C"/>
    <w:rsid w:val="00FA2D9F"/>
    <w:rsid w:val="00FB0CB2"/>
    <w:rsid w:val="00FB1069"/>
    <w:rsid w:val="00FB5D48"/>
    <w:rsid w:val="00FB67BD"/>
    <w:rsid w:val="00FB7B6B"/>
    <w:rsid w:val="00FC030A"/>
    <w:rsid w:val="00FC0F09"/>
    <w:rsid w:val="00FC1BA2"/>
    <w:rsid w:val="00FC62F4"/>
    <w:rsid w:val="00FD7403"/>
    <w:rsid w:val="00FE17F6"/>
    <w:rsid w:val="00FF214A"/>
    <w:rsid w:val="00FF4731"/>
    <w:rsid w:val="00FF52AC"/>
    <w:rsid w:val="00FF5402"/>
    <w:rsid w:val="00FF6F04"/>
    <w:rsid w:val="00FF72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F8662"/>
  <w15:docId w15:val="{4BFF58EB-888F-4C1B-B00A-CC90A03F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D4273"/>
    <w:pPr>
      <w:jc w:val="both"/>
    </w:pPr>
    <w:rPr>
      <w:szCs w:val="24"/>
      <w:lang w:eastAsia="en-US"/>
    </w:rPr>
  </w:style>
  <w:style w:type="paragraph" w:styleId="Heading1">
    <w:name w:val="heading 1"/>
    <w:next w:val="Normal"/>
    <w:uiPriority w:val="4"/>
    <w:qFormat/>
    <w:rsid w:val="00E3239D"/>
    <w:pPr>
      <w:keepNext/>
      <w:numPr>
        <w:numId w:val="1"/>
      </w:numPr>
      <w:spacing w:before="200"/>
      <w:jc w:val="center"/>
      <w:outlineLvl w:val="0"/>
    </w:pPr>
    <w:rPr>
      <w:rFonts w:cs="Arial"/>
      <w:bCs/>
      <w:caps/>
      <w:kern w:val="32"/>
      <w:szCs w:val="32"/>
      <w:lang w:eastAsia="en-US"/>
    </w:rPr>
  </w:style>
  <w:style w:type="paragraph" w:styleId="Heading2">
    <w:name w:val="heading 2"/>
    <w:next w:val="Normal"/>
    <w:uiPriority w:val="5"/>
    <w:qFormat/>
    <w:rsid w:val="004D67A0"/>
    <w:pPr>
      <w:keepNext/>
      <w:numPr>
        <w:ilvl w:val="1"/>
        <w:numId w:val="1"/>
      </w:numPr>
      <w:spacing w:before="200" w:after="200"/>
      <w:outlineLvl w:val="1"/>
    </w:pPr>
    <w:rPr>
      <w:rFonts w:cs="Arial"/>
      <w:bCs/>
      <w:iCs/>
      <w:szCs w:val="28"/>
      <w:lang w:eastAsia="en-US"/>
    </w:rPr>
  </w:style>
  <w:style w:type="paragraph" w:styleId="Heading3">
    <w:name w:val="heading 3"/>
    <w:next w:val="Normal"/>
    <w:uiPriority w:val="6"/>
    <w:qFormat/>
    <w:rsid w:val="004D67A0"/>
    <w:pPr>
      <w:keepNext/>
      <w:numPr>
        <w:ilvl w:val="2"/>
        <w:numId w:val="1"/>
      </w:numPr>
      <w:spacing w:before="200"/>
      <w:outlineLvl w:val="2"/>
    </w:pPr>
    <w:rPr>
      <w:rFonts w:cs="Arial"/>
      <w:bCs/>
      <w:szCs w:val="26"/>
      <w:lang w:eastAsia="en-US"/>
    </w:rPr>
  </w:style>
  <w:style w:type="paragraph" w:styleId="Heading4">
    <w:name w:val="heading 4"/>
    <w:basedOn w:val="Normal"/>
    <w:next w:val="Normal"/>
    <w:uiPriority w:val="98"/>
    <w:semiHidden/>
    <w:rsid w:val="00180843"/>
    <w:pPr>
      <w:keepNext/>
      <w:numPr>
        <w:ilvl w:val="3"/>
        <w:numId w:val="1"/>
      </w:numPr>
      <w:spacing w:before="240" w:after="60"/>
      <w:outlineLvl w:val="3"/>
    </w:pPr>
    <w:rPr>
      <w:b/>
      <w:bCs/>
      <w:sz w:val="28"/>
      <w:szCs w:val="28"/>
    </w:rPr>
  </w:style>
  <w:style w:type="paragraph" w:styleId="Heading5">
    <w:name w:val="heading 5"/>
    <w:basedOn w:val="Normal"/>
    <w:next w:val="Normal"/>
    <w:uiPriority w:val="98"/>
    <w:semiHidden/>
    <w:rsid w:val="00180843"/>
    <w:pPr>
      <w:numPr>
        <w:ilvl w:val="4"/>
        <w:numId w:val="1"/>
      </w:numPr>
      <w:spacing w:before="240" w:after="60"/>
      <w:outlineLvl w:val="4"/>
    </w:pPr>
    <w:rPr>
      <w:b/>
      <w:bCs/>
      <w:i/>
      <w:iCs/>
      <w:sz w:val="26"/>
      <w:szCs w:val="26"/>
    </w:rPr>
  </w:style>
  <w:style w:type="paragraph" w:styleId="Heading6">
    <w:name w:val="heading 6"/>
    <w:basedOn w:val="Normal"/>
    <w:next w:val="Normal"/>
    <w:uiPriority w:val="98"/>
    <w:semiHidden/>
    <w:rsid w:val="00180843"/>
    <w:pPr>
      <w:numPr>
        <w:ilvl w:val="5"/>
        <w:numId w:val="1"/>
      </w:numPr>
      <w:spacing w:before="240" w:after="60"/>
      <w:outlineLvl w:val="5"/>
    </w:pPr>
    <w:rPr>
      <w:b/>
      <w:bCs/>
      <w:sz w:val="22"/>
      <w:szCs w:val="22"/>
    </w:rPr>
  </w:style>
  <w:style w:type="paragraph" w:styleId="Heading7">
    <w:name w:val="heading 7"/>
    <w:basedOn w:val="Normal"/>
    <w:next w:val="Normal"/>
    <w:uiPriority w:val="98"/>
    <w:semiHidden/>
    <w:rsid w:val="00180843"/>
    <w:pPr>
      <w:numPr>
        <w:ilvl w:val="6"/>
        <w:numId w:val="1"/>
      </w:numPr>
      <w:spacing w:before="240" w:after="60"/>
      <w:outlineLvl w:val="6"/>
    </w:pPr>
  </w:style>
  <w:style w:type="paragraph" w:styleId="Heading8">
    <w:name w:val="heading 8"/>
    <w:basedOn w:val="Normal"/>
    <w:next w:val="Normal"/>
    <w:uiPriority w:val="98"/>
    <w:semiHidden/>
    <w:rsid w:val="00180843"/>
    <w:pPr>
      <w:numPr>
        <w:ilvl w:val="7"/>
        <w:numId w:val="1"/>
      </w:numPr>
      <w:spacing w:before="240" w:after="60"/>
      <w:outlineLvl w:val="7"/>
    </w:pPr>
    <w:rPr>
      <w:i/>
      <w:iCs/>
    </w:rPr>
  </w:style>
  <w:style w:type="paragraph" w:styleId="Heading9">
    <w:name w:val="heading 9"/>
    <w:basedOn w:val="Normal"/>
    <w:next w:val="Normal"/>
    <w:uiPriority w:val="98"/>
    <w:semiHidden/>
    <w:rsid w:val="0018084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next w:val="PaperAuthor"/>
    <w:qFormat/>
    <w:rsid w:val="00177FEE"/>
    <w:pPr>
      <w:widowControl w:val="0"/>
      <w:spacing w:before="560" w:after="200"/>
      <w:jc w:val="center"/>
      <w:outlineLvl w:val="0"/>
    </w:pPr>
    <w:rPr>
      <w:caps/>
      <w:sz w:val="28"/>
      <w:lang w:eastAsia="en-US"/>
    </w:rPr>
  </w:style>
  <w:style w:type="paragraph" w:customStyle="1" w:styleId="PaperAuthor">
    <w:name w:val="Paper Author"/>
    <w:next w:val="PaperAffliation"/>
    <w:uiPriority w:val="9"/>
    <w:qFormat/>
    <w:rsid w:val="00755351"/>
    <w:pPr>
      <w:widowControl w:val="0"/>
      <w:jc w:val="center"/>
      <w:outlineLvl w:val="1"/>
    </w:pPr>
    <w:rPr>
      <w:caps/>
      <w:sz w:val="16"/>
      <w:lang w:eastAsia="en-US"/>
    </w:rPr>
  </w:style>
  <w:style w:type="paragraph" w:customStyle="1" w:styleId="PaperAffliation">
    <w:name w:val="Paper Affliation"/>
    <w:next w:val="AbstractTitle"/>
    <w:uiPriority w:val="10"/>
    <w:qFormat/>
    <w:rsid w:val="00C45C66"/>
    <w:pPr>
      <w:widowControl w:val="0"/>
      <w:jc w:val="center"/>
      <w:outlineLvl w:val="1"/>
    </w:pPr>
    <w:rPr>
      <w:sz w:val="16"/>
      <w:lang w:eastAsia="en-US"/>
    </w:rPr>
  </w:style>
  <w:style w:type="paragraph" w:customStyle="1" w:styleId="AbstractTitle">
    <w:name w:val="Abstract Title"/>
    <w:next w:val="AbstractText"/>
    <w:uiPriority w:val="7"/>
    <w:qFormat/>
    <w:rsid w:val="005847A1"/>
    <w:pPr>
      <w:widowControl w:val="0"/>
      <w:spacing w:before="200"/>
      <w:jc w:val="center"/>
      <w:outlineLvl w:val="0"/>
    </w:pPr>
    <w:rPr>
      <w:caps/>
      <w:sz w:val="18"/>
      <w:lang w:eastAsia="en-US"/>
    </w:rPr>
  </w:style>
  <w:style w:type="paragraph" w:customStyle="1" w:styleId="AbstractText">
    <w:name w:val="Abstract Text"/>
    <w:next w:val="Keywords"/>
    <w:uiPriority w:val="8"/>
    <w:qFormat/>
    <w:rsid w:val="005847A1"/>
    <w:pPr>
      <w:widowControl w:val="0"/>
      <w:jc w:val="both"/>
      <w:outlineLvl w:val="1"/>
    </w:pPr>
    <w:rPr>
      <w:sz w:val="18"/>
      <w:lang w:eastAsia="en-US"/>
    </w:rPr>
  </w:style>
  <w:style w:type="paragraph" w:customStyle="1" w:styleId="Keywords">
    <w:name w:val="Keywords"/>
    <w:basedOn w:val="AbstractText"/>
    <w:next w:val="Heading1"/>
    <w:rsid w:val="005847A1"/>
    <w:rPr>
      <w:i/>
    </w:rPr>
  </w:style>
  <w:style w:type="paragraph" w:customStyle="1" w:styleId="FigureCaption">
    <w:name w:val="Figure Caption"/>
    <w:next w:val="Normal"/>
    <w:uiPriority w:val="13"/>
    <w:qFormat/>
    <w:rsid w:val="00047137"/>
    <w:pPr>
      <w:numPr>
        <w:numId w:val="2"/>
      </w:numPr>
      <w:spacing w:before="200" w:after="400"/>
      <w:jc w:val="center"/>
    </w:pPr>
    <w:rPr>
      <w:lang w:eastAsia="en-US"/>
    </w:rPr>
  </w:style>
  <w:style w:type="paragraph" w:customStyle="1" w:styleId="TableCaption">
    <w:name w:val="Table Caption"/>
    <w:next w:val="Normal"/>
    <w:uiPriority w:val="14"/>
    <w:qFormat/>
    <w:rsid w:val="00047137"/>
    <w:pPr>
      <w:numPr>
        <w:numId w:val="3"/>
      </w:numPr>
      <w:spacing w:before="200" w:after="200"/>
      <w:ind w:left="0" w:firstLine="0"/>
      <w:jc w:val="center"/>
    </w:pPr>
    <w:rPr>
      <w:lang w:eastAsia="en-US"/>
    </w:rPr>
  </w:style>
  <w:style w:type="paragraph" w:customStyle="1" w:styleId="ReferencesTitle">
    <w:name w:val="References Title"/>
    <w:next w:val="ReferencesCitation"/>
    <w:uiPriority w:val="17"/>
    <w:qFormat/>
    <w:rsid w:val="004D4CCA"/>
    <w:pPr>
      <w:keepNext/>
      <w:spacing w:before="200"/>
      <w:jc w:val="center"/>
      <w:outlineLvl w:val="0"/>
    </w:pPr>
    <w:rPr>
      <w:caps/>
      <w:lang w:eastAsia="en-US"/>
    </w:rPr>
  </w:style>
  <w:style w:type="paragraph" w:customStyle="1" w:styleId="ReferencesCitation">
    <w:name w:val="References Citation"/>
    <w:uiPriority w:val="18"/>
    <w:qFormat/>
    <w:rsid w:val="00047137"/>
    <w:pPr>
      <w:numPr>
        <w:numId w:val="4"/>
      </w:numPr>
      <w:tabs>
        <w:tab w:val="clear" w:pos="360"/>
      </w:tabs>
      <w:ind w:left="397" w:hanging="397"/>
      <w:jc w:val="both"/>
    </w:pPr>
    <w:rPr>
      <w:lang w:eastAsia="en-US"/>
    </w:rPr>
  </w:style>
  <w:style w:type="character" w:styleId="PlaceholderText">
    <w:name w:val="Placeholder Text"/>
    <w:basedOn w:val="DefaultParagraphFont"/>
    <w:uiPriority w:val="99"/>
    <w:semiHidden/>
    <w:rsid w:val="00D63539"/>
    <w:rPr>
      <w:color w:val="808080"/>
    </w:rPr>
  </w:style>
  <w:style w:type="paragraph" w:customStyle="1" w:styleId="ListNumbered">
    <w:name w:val="List Numbered"/>
    <w:basedOn w:val="Normal"/>
    <w:next w:val="Normal"/>
    <w:rsid w:val="007233D6"/>
    <w:pPr>
      <w:numPr>
        <w:numId w:val="23"/>
      </w:numPr>
      <w:spacing w:before="200" w:after="200"/>
      <w:ind w:left="680" w:hanging="340"/>
      <w:contextualSpacing/>
    </w:pPr>
  </w:style>
  <w:style w:type="paragraph" w:customStyle="1" w:styleId="ListLetters">
    <w:name w:val="List Letters"/>
    <w:basedOn w:val="Normal"/>
    <w:rsid w:val="00047137"/>
    <w:pPr>
      <w:numPr>
        <w:numId w:val="19"/>
      </w:numPr>
      <w:ind w:left="340" w:hanging="340"/>
    </w:pPr>
  </w:style>
  <w:style w:type="paragraph" w:customStyle="1" w:styleId="ListBullets">
    <w:name w:val="List Bullets"/>
    <w:basedOn w:val="Normal"/>
    <w:rsid w:val="008D2F37"/>
    <w:pPr>
      <w:numPr>
        <w:numId w:val="22"/>
      </w:numPr>
      <w:spacing w:before="200" w:after="200"/>
      <w:contextualSpacing/>
    </w:pPr>
  </w:style>
  <w:style w:type="table" w:styleId="TableGrid">
    <w:name w:val="Table Grid"/>
    <w:basedOn w:val="TableNormal"/>
    <w:uiPriority w:val="39"/>
    <w:unhideWhenUsed/>
    <w:rsid w:val="00E3239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E7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60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05681D"/>
    <w:rPr>
      <w:sz w:val="16"/>
      <w:szCs w:val="16"/>
    </w:rPr>
  </w:style>
  <w:style w:type="paragraph" w:styleId="CommentText">
    <w:name w:val="annotation text"/>
    <w:basedOn w:val="Normal"/>
    <w:link w:val="CommentTextChar"/>
    <w:uiPriority w:val="99"/>
    <w:unhideWhenUsed/>
    <w:rsid w:val="0005681D"/>
    <w:rPr>
      <w:szCs w:val="20"/>
    </w:rPr>
  </w:style>
  <w:style w:type="character" w:customStyle="1" w:styleId="CommentTextChar">
    <w:name w:val="Comment Text Char"/>
    <w:basedOn w:val="DefaultParagraphFont"/>
    <w:link w:val="CommentText"/>
    <w:uiPriority w:val="99"/>
    <w:rsid w:val="0005681D"/>
    <w:rPr>
      <w:lang w:eastAsia="en-US"/>
    </w:rPr>
  </w:style>
  <w:style w:type="paragraph" w:styleId="CommentSubject">
    <w:name w:val="annotation subject"/>
    <w:basedOn w:val="CommentText"/>
    <w:next w:val="CommentText"/>
    <w:link w:val="CommentSubjectChar"/>
    <w:uiPriority w:val="99"/>
    <w:semiHidden/>
    <w:unhideWhenUsed/>
    <w:rsid w:val="0005681D"/>
    <w:rPr>
      <w:b/>
      <w:bCs/>
    </w:rPr>
  </w:style>
  <w:style w:type="character" w:customStyle="1" w:styleId="CommentSubjectChar">
    <w:name w:val="Comment Subject Char"/>
    <w:basedOn w:val="CommentTextChar"/>
    <w:link w:val="CommentSubject"/>
    <w:uiPriority w:val="99"/>
    <w:semiHidden/>
    <w:rsid w:val="0005681D"/>
    <w:rPr>
      <w:b/>
      <w:bCs/>
      <w:lang w:eastAsia="en-US"/>
    </w:rPr>
  </w:style>
  <w:style w:type="character" w:styleId="Hyperlink">
    <w:name w:val="Hyperlink"/>
    <w:basedOn w:val="DefaultParagraphFont"/>
    <w:uiPriority w:val="99"/>
    <w:unhideWhenUsed/>
    <w:rsid w:val="005F7B63"/>
    <w:rPr>
      <w:color w:val="0000FF" w:themeColor="hyperlink"/>
      <w:u w:val="single"/>
    </w:rPr>
  </w:style>
  <w:style w:type="character" w:customStyle="1" w:styleId="UnresolvedMention1">
    <w:name w:val="Unresolved Mention1"/>
    <w:basedOn w:val="DefaultParagraphFont"/>
    <w:uiPriority w:val="99"/>
    <w:semiHidden/>
    <w:unhideWhenUsed/>
    <w:rsid w:val="005F7B63"/>
    <w:rPr>
      <w:color w:val="605E5C"/>
      <w:shd w:val="clear" w:color="auto" w:fill="E1DFDD"/>
    </w:rPr>
  </w:style>
  <w:style w:type="character" w:styleId="FollowedHyperlink">
    <w:name w:val="FollowedHyperlink"/>
    <w:basedOn w:val="DefaultParagraphFont"/>
    <w:uiPriority w:val="99"/>
    <w:semiHidden/>
    <w:unhideWhenUsed/>
    <w:rsid w:val="00184D99"/>
    <w:rPr>
      <w:color w:val="800080" w:themeColor="followedHyperlink"/>
      <w:u w:val="single"/>
    </w:rPr>
  </w:style>
  <w:style w:type="paragraph" w:styleId="ListParagraph">
    <w:name w:val="List Paragraph"/>
    <w:basedOn w:val="Normal"/>
    <w:uiPriority w:val="34"/>
    <w:qFormat/>
    <w:rsid w:val="00922E52"/>
    <w:pPr>
      <w:ind w:left="720"/>
      <w:contextualSpacing/>
    </w:pPr>
  </w:style>
  <w:style w:type="paragraph" w:styleId="FootnoteText">
    <w:name w:val="footnote text"/>
    <w:basedOn w:val="Normal"/>
    <w:link w:val="FootnoteTextChar"/>
    <w:uiPriority w:val="99"/>
    <w:semiHidden/>
    <w:unhideWhenUsed/>
    <w:rsid w:val="00FB0CB2"/>
    <w:rPr>
      <w:szCs w:val="20"/>
    </w:rPr>
  </w:style>
  <w:style w:type="character" w:customStyle="1" w:styleId="FootnoteTextChar">
    <w:name w:val="Footnote Text Char"/>
    <w:basedOn w:val="DefaultParagraphFont"/>
    <w:link w:val="FootnoteText"/>
    <w:uiPriority w:val="99"/>
    <w:semiHidden/>
    <w:rsid w:val="00FB0CB2"/>
    <w:rPr>
      <w:lang w:eastAsia="en-US"/>
    </w:rPr>
  </w:style>
  <w:style w:type="character" w:styleId="FootnoteReference">
    <w:name w:val="footnote reference"/>
    <w:basedOn w:val="DefaultParagraphFont"/>
    <w:uiPriority w:val="99"/>
    <w:semiHidden/>
    <w:unhideWhenUsed/>
    <w:rsid w:val="00FB0CB2"/>
    <w:rPr>
      <w:vertAlign w:val="superscript"/>
    </w:rPr>
  </w:style>
  <w:style w:type="paragraph" w:styleId="Revision">
    <w:name w:val="Revision"/>
    <w:hidden/>
    <w:uiPriority w:val="99"/>
    <w:semiHidden/>
    <w:rsid w:val="00EE0574"/>
    <w:rPr>
      <w:szCs w:val="24"/>
      <w:lang w:eastAsia="en-US"/>
    </w:rPr>
  </w:style>
  <w:style w:type="character" w:styleId="UnresolvedMention">
    <w:name w:val="Unresolved Mention"/>
    <w:basedOn w:val="DefaultParagraphFont"/>
    <w:uiPriority w:val="99"/>
    <w:semiHidden/>
    <w:unhideWhenUsed/>
    <w:rsid w:val="00530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portal.orr.gov.uk/media/1486/passenger-train-kilometres-by-operator-table-1213.xlsx" TargetMode="External"/><Relationship Id="rId18" Type="http://schemas.openxmlformats.org/officeDocument/2006/relationships/hyperlink" Target="https://doi.org/10.2495/CR18041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doi.org/10.2495/CR180191"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t2f.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rack21.org.uk/" TargetMode="External"/><Relationship Id="rId20" Type="http://schemas.openxmlformats.org/officeDocument/2006/relationships/hyperlink" Target="https://www.gov.uk/government/publications/the-magenta-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afni.ac.uk/" TargetMode="External"/><Relationship Id="rId5" Type="http://schemas.openxmlformats.org/officeDocument/2006/relationships/numbering" Target="numbering.xml"/><Relationship Id="rId15" Type="http://schemas.openxmlformats.org/officeDocument/2006/relationships/hyperlink" Target="https://doi.org/10.1680/jtran.19.00045" TargetMode="External"/><Relationship Id="rId23" Type="http://schemas.openxmlformats.org/officeDocument/2006/relationships/hyperlink" Target="https://doi.org/10.1061/AJRUA6.0000859" TargetMode="External"/><Relationship Id="rId10" Type="http://schemas.openxmlformats.org/officeDocument/2006/relationships/endnotes" Target="endnotes.xml"/><Relationship Id="rId19" Type="http://schemas.openxmlformats.org/officeDocument/2006/relationships/hyperlink" Target="https://doi.org/10.2495/TDI-V3-N1-15-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portal.orr.gov.uk/media/1459/freight-train-kilometres-by-operator-table-1325.xlsx" TargetMode="External"/><Relationship Id="rId22" Type="http://schemas.openxmlformats.org/officeDocument/2006/relationships/hyperlink" Target="https://www.gov.uk/guidance/transport-analysis-guidance-webta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3\Downloads\CONFERENCE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B2F5927F6948FCBC9D966A2B1C02C5"/>
        <w:category>
          <w:name w:val="General"/>
          <w:gallery w:val="placeholder"/>
        </w:category>
        <w:types>
          <w:type w:val="bbPlcHdr"/>
        </w:types>
        <w:behaviors>
          <w:behavior w:val="content"/>
        </w:behaviors>
        <w:guid w:val="{6FACF766-8DF1-4652-BB46-EFBE86C4F88B}"/>
      </w:docPartPr>
      <w:docPartBody>
        <w:p w:rsidR="00674EFC" w:rsidRDefault="00862D1C">
          <w:pPr>
            <w:pStyle w:val="D8B2F5927F6948FCBC9D966A2B1C02C5"/>
          </w:pPr>
          <w:r w:rsidRPr="00C914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1C"/>
    <w:rsid w:val="00320D3D"/>
    <w:rsid w:val="00366CF1"/>
    <w:rsid w:val="0044773F"/>
    <w:rsid w:val="00674EFC"/>
    <w:rsid w:val="00862D1C"/>
    <w:rsid w:val="00CC17CA"/>
    <w:rsid w:val="00F308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B2F5927F6948FCBC9D966A2B1C02C5">
    <w:name w:val="D8B2F5927F6948FCBC9D966A2B1C0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D33CC0844034C82D796224E36D5F4" ma:contentTypeVersion="10" ma:contentTypeDescription="Create a new document." ma:contentTypeScope="" ma:versionID="6b53073d877adf7b5c0e810b2ac97f4f">
  <xsd:schema xmlns:xsd="http://www.w3.org/2001/XMLSchema" xmlns:xs="http://www.w3.org/2001/XMLSchema" xmlns:p="http://schemas.microsoft.com/office/2006/metadata/properties" xmlns:ns3="f039318f-eaa5-4a47-b2e6-6e3b64ec7162" targetNamespace="http://schemas.microsoft.com/office/2006/metadata/properties" ma:root="true" ma:fieldsID="30c19df8cce6a3d3cc1678ff2f94361e" ns3:_="">
    <xsd:import namespace="f039318f-eaa5-4a47-b2e6-6e3b64ec71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9318f-eaa5-4a47-b2e6-6e3b64ec7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481A0-ED26-4B3B-A188-D64D33AA28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861A33-50CF-4C1A-A21E-DFD9293FC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9318f-eaa5-4a47-b2e6-6e3b64ec7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71D2B-3120-4D5E-BD2B-E3C99E3B5B4D}">
  <ds:schemaRefs>
    <ds:schemaRef ds:uri="http://schemas.microsoft.com/sharepoint/v3/contenttype/forms"/>
  </ds:schemaRefs>
</ds:datastoreItem>
</file>

<file path=customXml/itemProps4.xml><?xml version="1.0" encoding="utf-8"?>
<ds:datastoreItem xmlns:ds="http://schemas.openxmlformats.org/officeDocument/2006/customXml" ds:itemID="{2ECD7FC6-AB6B-4ACA-BB1F-DCF97869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CONFERENCE_template (1).dotx</Template>
  <TotalTime>27</TotalTime>
  <Pages>12</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[Click here are type Paper Title]</vt:lpstr>
    </vt:vector>
  </TitlesOfParts>
  <Company>Wessex Institute of Technology</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are type Paper Title]</dc:title>
  <dc:subject/>
  <dc:creator>Armstrong J.</dc:creator>
  <cp:keywords/>
  <dc:description/>
  <cp:lastModifiedBy>Armstrong J.</cp:lastModifiedBy>
  <cp:revision>9</cp:revision>
  <cp:lastPrinted>2020-03-19T10:10:00Z</cp:lastPrinted>
  <dcterms:created xsi:type="dcterms:W3CDTF">2020-04-12T08:13:00Z</dcterms:created>
  <dcterms:modified xsi:type="dcterms:W3CDTF">2020-06-22T10:58:00Z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0x010100405D33CC0844034C82D796224E36D5F4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http://www.zotero.org/styles/computers-in-industry</vt:lpwstr>
  </property>
  <property fmtid="{D5CDD505-2E9C-101B-9397-08002B2CF9AE}" pid="12" name="Mendeley Recent Style Name 4_1">
    <vt:lpwstr>Computers in Industry</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http://www.zotero.org/styles/harvard-university-of-birmingham</vt:lpwstr>
  </property>
  <property fmtid="{D5CDD505-2E9C-101B-9397-08002B2CF9AE}" pid="20" name="Mendeley Recent Style Name 8_1">
    <vt:lpwstr>University of Birmingham - Harvard</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