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2F9A1" w14:textId="0008C365" w:rsidR="0039651F" w:rsidRPr="00B7083C" w:rsidRDefault="006F09AE" w:rsidP="003E2B6B">
      <w:pPr>
        <w:spacing w:after="120" w:line="360" w:lineRule="auto"/>
        <w:jc w:val="both"/>
      </w:pPr>
      <w:r w:rsidRPr="00B7083C">
        <w:rPr>
          <w:b/>
        </w:rPr>
        <w:t xml:space="preserve">Myo-inositol, Probiotics and Micronutrient Supplementation from Preconception for </w:t>
      </w:r>
      <w:r w:rsidR="00824DC0" w:rsidRPr="00B7083C">
        <w:rPr>
          <w:b/>
        </w:rPr>
        <w:t>Glycemia</w:t>
      </w:r>
      <w:r w:rsidRPr="00B7083C">
        <w:rPr>
          <w:b/>
        </w:rPr>
        <w:t xml:space="preserve"> in Pregnancy: </w:t>
      </w:r>
      <w:proofErr w:type="spellStart"/>
      <w:r w:rsidRPr="00B7083C">
        <w:rPr>
          <w:b/>
        </w:rPr>
        <w:t>NiPPeR</w:t>
      </w:r>
      <w:proofErr w:type="spellEnd"/>
      <w:r w:rsidRPr="00B7083C">
        <w:rPr>
          <w:b/>
        </w:rPr>
        <w:t xml:space="preserve"> </w:t>
      </w:r>
      <w:r w:rsidR="00260596" w:rsidRPr="00B7083C">
        <w:rPr>
          <w:rFonts w:eastAsia="Calibri"/>
          <w:b/>
        </w:rPr>
        <w:t>International Multi-</w:t>
      </w:r>
      <w:proofErr w:type="spellStart"/>
      <w:r w:rsidR="00824DC0" w:rsidRPr="00B7083C">
        <w:rPr>
          <w:rFonts w:eastAsia="Calibri"/>
          <w:b/>
        </w:rPr>
        <w:t>center</w:t>
      </w:r>
      <w:proofErr w:type="spellEnd"/>
      <w:r w:rsidR="00260596" w:rsidRPr="00B7083C">
        <w:rPr>
          <w:rFonts w:eastAsia="Calibri"/>
          <w:b/>
        </w:rPr>
        <w:t xml:space="preserve"> </w:t>
      </w:r>
      <w:r w:rsidRPr="00B7083C">
        <w:rPr>
          <w:b/>
        </w:rPr>
        <w:t>Double-blind Randomi</w:t>
      </w:r>
      <w:r w:rsidR="00824DC0" w:rsidRPr="00B7083C">
        <w:rPr>
          <w:b/>
        </w:rPr>
        <w:t>z</w:t>
      </w:r>
      <w:r w:rsidRPr="00B7083C">
        <w:rPr>
          <w:b/>
        </w:rPr>
        <w:t>ed Controlled Trial</w:t>
      </w:r>
    </w:p>
    <w:p w14:paraId="015F64BA" w14:textId="3AA39F14" w:rsidR="00126A57" w:rsidRPr="00B7083C" w:rsidRDefault="00824DC0" w:rsidP="00755E35">
      <w:pPr>
        <w:spacing w:after="120" w:line="480" w:lineRule="auto"/>
        <w:jc w:val="both"/>
      </w:pPr>
      <w:r w:rsidRPr="00B7083C">
        <w:rPr>
          <w:b/>
        </w:rPr>
        <w:t xml:space="preserve">Short running title: </w:t>
      </w:r>
      <w:proofErr w:type="spellStart"/>
      <w:r w:rsidRPr="00B7083C">
        <w:rPr>
          <w:rFonts w:eastAsiaTheme="minorHAnsi"/>
        </w:rPr>
        <w:t>NiPPeR</w:t>
      </w:r>
      <w:proofErr w:type="spellEnd"/>
      <w:r w:rsidRPr="00B7083C">
        <w:rPr>
          <w:rFonts w:eastAsiaTheme="minorHAnsi"/>
        </w:rPr>
        <w:t xml:space="preserve"> supplement: preconception and pregnancy</w:t>
      </w:r>
    </w:p>
    <w:p w14:paraId="1B3704E5" w14:textId="1C1F8C8B"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rPr>
        <w:t>Keith M Godfrey</w:t>
      </w:r>
      <w:r w:rsidRPr="00B7083C">
        <w:rPr>
          <w:b w:val="0"/>
          <w:sz w:val="24"/>
          <w:szCs w:val="24"/>
          <w:vertAlign w:val="superscript"/>
        </w:rPr>
        <w:t>1,2</w:t>
      </w:r>
      <w:r w:rsidRPr="00B7083C">
        <w:rPr>
          <w:b w:val="0"/>
          <w:sz w:val="24"/>
          <w:szCs w:val="24"/>
        </w:rPr>
        <w:tab/>
      </w:r>
      <w:r w:rsidRPr="00B7083C">
        <w:rPr>
          <w:b w:val="0"/>
          <w:sz w:val="24"/>
          <w:szCs w:val="24"/>
        </w:rPr>
        <w:tab/>
      </w:r>
      <w:r w:rsidRPr="00B7083C">
        <w:rPr>
          <w:b w:val="0"/>
          <w:sz w:val="24"/>
          <w:szCs w:val="24"/>
        </w:rPr>
        <w:tab/>
      </w:r>
      <w:proofErr w:type="spellStart"/>
      <w:r w:rsidRPr="00B7083C">
        <w:rPr>
          <w:b w:val="0"/>
          <w:sz w:val="24"/>
          <w:szCs w:val="24"/>
        </w:rPr>
        <w:t>FMedSci</w:t>
      </w:r>
      <w:proofErr w:type="spellEnd"/>
      <w:r w:rsidRPr="00B7083C">
        <w:rPr>
          <w:b w:val="0"/>
          <w:sz w:val="24"/>
          <w:szCs w:val="24"/>
        </w:rPr>
        <w:tab/>
      </w:r>
    </w:p>
    <w:p w14:paraId="28C38721"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rPr>
        <w:t>Sheila J Barton</w:t>
      </w:r>
      <w:r w:rsidRPr="00B7083C">
        <w:rPr>
          <w:b w:val="0"/>
          <w:sz w:val="24"/>
          <w:szCs w:val="24"/>
          <w:vertAlign w:val="superscript"/>
        </w:rPr>
        <w:t>1</w:t>
      </w:r>
      <w:r w:rsidRPr="00B7083C">
        <w:rPr>
          <w:b w:val="0"/>
          <w:sz w:val="24"/>
          <w:szCs w:val="24"/>
        </w:rPr>
        <w:t xml:space="preserve"> </w:t>
      </w:r>
      <w:r w:rsidRPr="00B7083C">
        <w:rPr>
          <w:b w:val="0"/>
          <w:sz w:val="24"/>
          <w:szCs w:val="24"/>
        </w:rPr>
        <w:tab/>
      </w:r>
      <w:r w:rsidRPr="00B7083C">
        <w:rPr>
          <w:b w:val="0"/>
          <w:sz w:val="24"/>
          <w:szCs w:val="24"/>
        </w:rPr>
        <w:tab/>
      </w:r>
      <w:r w:rsidRPr="00B7083C">
        <w:rPr>
          <w:b w:val="0"/>
          <w:sz w:val="24"/>
          <w:szCs w:val="24"/>
        </w:rPr>
        <w:tab/>
        <w:t>PhD</w:t>
      </w:r>
    </w:p>
    <w:p w14:paraId="7023D0D5" w14:textId="16D84F31"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rPr>
        <w:t>Sarah El-Heis</w:t>
      </w:r>
      <w:r w:rsidRPr="00B7083C">
        <w:rPr>
          <w:b w:val="0"/>
          <w:sz w:val="24"/>
          <w:szCs w:val="24"/>
          <w:vertAlign w:val="superscript"/>
        </w:rPr>
        <w:t>1</w:t>
      </w:r>
      <w:r w:rsidRPr="00B7083C">
        <w:rPr>
          <w:b w:val="0"/>
          <w:sz w:val="24"/>
          <w:szCs w:val="24"/>
        </w:rPr>
        <w:tab/>
      </w:r>
      <w:r w:rsidRPr="00B7083C">
        <w:rPr>
          <w:b w:val="0"/>
          <w:sz w:val="24"/>
          <w:szCs w:val="24"/>
        </w:rPr>
        <w:tab/>
      </w:r>
      <w:r w:rsidRPr="00B7083C">
        <w:rPr>
          <w:b w:val="0"/>
          <w:sz w:val="24"/>
          <w:szCs w:val="24"/>
        </w:rPr>
        <w:tab/>
      </w:r>
      <w:r w:rsidRPr="00B7083C">
        <w:rPr>
          <w:b w:val="0"/>
          <w:sz w:val="24"/>
          <w:szCs w:val="24"/>
        </w:rPr>
        <w:tab/>
        <w:t>DM</w:t>
      </w:r>
      <w:r w:rsidRPr="00B7083C">
        <w:rPr>
          <w:b w:val="0"/>
          <w:sz w:val="24"/>
          <w:szCs w:val="24"/>
        </w:rPr>
        <w:tab/>
      </w:r>
      <w:r w:rsidRPr="00B7083C">
        <w:rPr>
          <w:b w:val="0"/>
          <w:sz w:val="24"/>
          <w:szCs w:val="24"/>
        </w:rPr>
        <w:tab/>
      </w:r>
    </w:p>
    <w:p w14:paraId="290F5F09"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rPr>
        <w:t>Timothy Kenealy</w:t>
      </w:r>
      <w:r w:rsidRPr="00B7083C">
        <w:rPr>
          <w:b w:val="0"/>
          <w:sz w:val="24"/>
          <w:szCs w:val="24"/>
          <w:vertAlign w:val="superscript"/>
        </w:rPr>
        <w:t>3</w:t>
      </w:r>
      <w:r w:rsidRPr="00B7083C">
        <w:rPr>
          <w:b w:val="0"/>
          <w:sz w:val="24"/>
          <w:szCs w:val="24"/>
        </w:rPr>
        <w:t xml:space="preserve"> </w:t>
      </w:r>
      <w:r w:rsidRPr="00B7083C">
        <w:rPr>
          <w:b w:val="0"/>
          <w:sz w:val="24"/>
          <w:szCs w:val="24"/>
        </w:rPr>
        <w:tab/>
      </w:r>
      <w:r w:rsidRPr="00B7083C">
        <w:rPr>
          <w:b w:val="0"/>
          <w:sz w:val="24"/>
          <w:szCs w:val="24"/>
        </w:rPr>
        <w:tab/>
      </w:r>
      <w:r w:rsidRPr="00B7083C">
        <w:rPr>
          <w:b w:val="0"/>
          <w:sz w:val="24"/>
          <w:szCs w:val="24"/>
        </w:rPr>
        <w:tab/>
        <w:t>PhD</w:t>
      </w:r>
    </w:p>
    <w:p w14:paraId="4DBDA639"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rPr>
        <w:t>Heidi Nield</w:t>
      </w:r>
      <w:r w:rsidRPr="00B7083C">
        <w:rPr>
          <w:b w:val="0"/>
          <w:sz w:val="24"/>
          <w:szCs w:val="24"/>
          <w:vertAlign w:val="superscript"/>
        </w:rPr>
        <w:t>1</w:t>
      </w:r>
      <w:r w:rsidRPr="00B7083C">
        <w:rPr>
          <w:b w:val="0"/>
          <w:sz w:val="24"/>
          <w:szCs w:val="24"/>
        </w:rPr>
        <w:tab/>
      </w:r>
      <w:r w:rsidRPr="00B7083C">
        <w:rPr>
          <w:b w:val="0"/>
          <w:sz w:val="24"/>
          <w:szCs w:val="24"/>
        </w:rPr>
        <w:tab/>
      </w:r>
      <w:r w:rsidRPr="00B7083C">
        <w:rPr>
          <w:b w:val="0"/>
          <w:sz w:val="24"/>
          <w:szCs w:val="24"/>
        </w:rPr>
        <w:tab/>
      </w:r>
      <w:r w:rsidRPr="00B7083C">
        <w:rPr>
          <w:b w:val="0"/>
          <w:sz w:val="24"/>
          <w:szCs w:val="24"/>
        </w:rPr>
        <w:tab/>
        <w:t>BSc</w:t>
      </w:r>
    </w:p>
    <w:p w14:paraId="7F9EBD42"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rPr>
        <w:t>Philip N Baker</w:t>
      </w:r>
      <w:r w:rsidRPr="00B7083C">
        <w:rPr>
          <w:b w:val="0"/>
          <w:sz w:val="24"/>
          <w:szCs w:val="24"/>
          <w:vertAlign w:val="superscript"/>
        </w:rPr>
        <w:t>4</w:t>
      </w:r>
      <w:r w:rsidRPr="00B7083C">
        <w:rPr>
          <w:b w:val="0"/>
          <w:sz w:val="24"/>
          <w:szCs w:val="24"/>
        </w:rPr>
        <w:tab/>
      </w:r>
      <w:r w:rsidRPr="00B7083C">
        <w:rPr>
          <w:b w:val="0"/>
          <w:sz w:val="24"/>
          <w:szCs w:val="24"/>
        </w:rPr>
        <w:tab/>
      </w:r>
      <w:r w:rsidRPr="00B7083C">
        <w:rPr>
          <w:b w:val="0"/>
          <w:sz w:val="24"/>
          <w:szCs w:val="24"/>
        </w:rPr>
        <w:tab/>
      </w:r>
      <w:proofErr w:type="spellStart"/>
      <w:r w:rsidRPr="00B7083C">
        <w:rPr>
          <w:b w:val="0"/>
          <w:sz w:val="24"/>
          <w:szCs w:val="24"/>
        </w:rPr>
        <w:t>FMedSci</w:t>
      </w:r>
      <w:proofErr w:type="spellEnd"/>
    </w:p>
    <w:p w14:paraId="07CF840B"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rPr>
        <w:t>Yap Seng Chong</w:t>
      </w:r>
      <w:r w:rsidRPr="00B7083C">
        <w:rPr>
          <w:b w:val="0"/>
          <w:sz w:val="24"/>
          <w:szCs w:val="24"/>
          <w:vertAlign w:val="superscript"/>
        </w:rPr>
        <w:t>5,6</w:t>
      </w:r>
      <w:r w:rsidRPr="00B7083C">
        <w:rPr>
          <w:b w:val="0"/>
          <w:sz w:val="24"/>
          <w:szCs w:val="24"/>
        </w:rPr>
        <w:tab/>
      </w:r>
      <w:r w:rsidRPr="00B7083C">
        <w:rPr>
          <w:b w:val="0"/>
          <w:sz w:val="24"/>
          <w:szCs w:val="24"/>
        </w:rPr>
        <w:tab/>
      </w:r>
      <w:r w:rsidRPr="00B7083C">
        <w:rPr>
          <w:b w:val="0"/>
          <w:sz w:val="24"/>
          <w:szCs w:val="24"/>
        </w:rPr>
        <w:tab/>
        <w:t>MD</w:t>
      </w:r>
    </w:p>
    <w:p w14:paraId="3F093F3C"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w:t>
      </w:r>
      <w:r w:rsidRPr="00B7083C">
        <w:rPr>
          <w:b w:val="0"/>
          <w:sz w:val="24"/>
          <w:szCs w:val="24"/>
        </w:rPr>
        <w:t>Wayne Cutfield</w:t>
      </w:r>
      <w:r w:rsidRPr="00B7083C">
        <w:rPr>
          <w:b w:val="0"/>
          <w:sz w:val="24"/>
          <w:szCs w:val="24"/>
          <w:vertAlign w:val="superscript"/>
        </w:rPr>
        <w:t>3,7</w:t>
      </w:r>
      <w:r w:rsidRPr="00B7083C">
        <w:rPr>
          <w:b w:val="0"/>
          <w:sz w:val="24"/>
          <w:szCs w:val="24"/>
          <w:vertAlign w:val="superscript"/>
        </w:rPr>
        <w:tab/>
      </w:r>
      <w:r w:rsidRPr="00B7083C">
        <w:rPr>
          <w:b w:val="0"/>
          <w:sz w:val="24"/>
          <w:szCs w:val="24"/>
        </w:rPr>
        <w:tab/>
      </w:r>
      <w:r w:rsidRPr="00B7083C">
        <w:rPr>
          <w:b w:val="0"/>
          <w:sz w:val="24"/>
          <w:szCs w:val="24"/>
        </w:rPr>
        <w:tab/>
        <w:t>MD</w:t>
      </w:r>
    </w:p>
    <w:p w14:paraId="60CBC533"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w:t>
      </w:r>
      <w:r w:rsidRPr="00B7083C">
        <w:rPr>
          <w:b w:val="0"/>
          <w:sz w:val="24"/>
          <w:szCs w:val="24"/>
        </w:rPr>
        <w:t>Shiao-Yng Chan</w:t>
      </w:r>
      <w:r w:rsidRPr="00B7083C">
        <w:rPr>
          <w:b w:val="0"/>
          <w:sz w:val="24"/>
          <w:szCs w:val="24"/>
          <w:vertAlign w:val="superscript"/>
        </w:rPr>
        <w:t>5,6</w:t>
      </w:r>
      <w:r w:rsidRPr="00B7083C">
        <w:rPr>
          <w:b w:val="0"/>
          <w:sz w:val="24"/>
          <w:szCs w:val="24"/>
          <w:vertAlign w:val="superscript"/>
        </w:rPr>
        <w:tab/>
      </w:r>
      <w:r w:rsidRPr="00B7083C">
        <w:rPr>
          <w:b w:val="0"/>
          <w:sz w:val="24"/>
          <w:szCs w:val="24"/>
        </w:rPr>
        <w:tab/>
      </w:r>
      <w:r w:rsidRPr="00B7083C">
        <w:rPr>
          <w:b w:val="0"/>
          <w:sz w:val="24"/>
          <w:szCs w:val="24"/>
        </w:rPr>
        <w:tab/>
        <w:t>PhD</w:t>
      </w:r>
    </w:p>
    <w:p w14:paraId="6B42B7D6" w14:textId="33C745B9" w:rsidR="00634FDA" w:rsidRPr="00B7083C" w:rsidRDefault="00126A57" w:rsidP="003E2B6B">
      <w:pPr>
        <w:pStyle w:val="Heading3"/>
        <w:spacing w:before="0" w:beforeAutospacing="0" w:after="120" w:afterAutospacing="0" w:line="360" w:lineRule="auto"/>
        <w:jc w:val="both"/>
        <w:rPr>
          <w:b w:val="0"/>
          <w:sz w:val="24"/>
          <w:szCs w:val="24"/>
        </w:rPr>
      </w:pPr>
      <w:r w:rsidRPr="00B7083C">
        <w:rPr>
          <w:b w:val="0"/>
          <w:sz w:val="24"/>
          <w:szCs w:val="24"/>
          <w:vertAlign w:val="superscript"/>
        </w:rPr>
        <w:t>**</w:t>
      </w:r>
      <w:proofErr w:type="spellStart"/>
      <w:r w:rsidRPr="00B7083C">
        <w:rPr>
          <w:b w:val="0"/>
          <w:sz w:val="24"/>
          <w:szCs w:val="24"/>
        </w:rPr>
        <w:t>NiPPeR</w:t>
      </w:r>
      <w:proofErr w:type="spellEnd"/>
      <w:r w:rsidRPr="00B7083C">
        <w:rPr>
          <w:b w:val="0"/>
          <w:sz w:val="24"/>
          <w:szCs w:val="24"/>
        </w:rPr>
        <w:t xml:space="preserve"> Study Group </w:t>
      </w:r>
    </w:p>
    <w:p w14:paraId="3A883A2C" w14:textId="083B30CE" w:rsidR="006F09AE" w:rsidRPr="00B7083C" w:rsidRDefault="006F09AE" w:rsidP="00755E35">
      <w:pPr>
        <w:pStyle w:val="Heading3"/>
        <w:spacing w:before="0" w:beforeAutospacing="0" w:after="240" w:afterAutospacing="0"/>
        <w:jc w:val="both"/>
        <w:rPr>
          <w:b w:val="0"/>
          <w:i/>
          <w:sz w:val="24"/>
          <w:szCs w:val="24"/>
        </w:rPr>
      </w:pPr>
      <w:r w:rsidRPr="00B7083C">
        <w:rPr>
          <w:b w:val="0"/>
          <w:i/>
          <w:sz w:val="24"/>
          <w:szCs w:val="24"/>
          <w:vertAlign w:val="superscript"/>
        </w:rPr>
        <w:t>*</w:t>
      </w:r>
      <w:proofErr w:type="spellStart"/>
      <w:r w:rsidRPr="00B7083C">
        <w:rPr>
          <w:b w:val="0"/>
          <w:i/>
          <w:sz w:val="24"/>
          <w:szCs w:val="24"/>
        </w:rPr>
        <w:t>Drs.</w:t>
      </w:r>
      <w:proofErr w:type="spellEnd"/>
      <w:r w:rsidRPr="00B7083C">
        <w:rPr>
          <w:b w:val="0"/>
          <w:i/>
          <w:sz w:val="24"/>
          <w:szCs w:val="24"/>
        </w:rPr>
        <w:t xml:space="preserve"> Cutfield and Chan contributed equally to this article; </w:t>
      </w:r>
      <w:r w:rsidRPr="00B7083C">
        <w:rPr>
          <w:b w:val="0"/>
          <w:i/>
          <w:sz w:val="24"/>
          <w:szCs w:val="24"/>
          <w:vertAlign w:val="superscript"/>
        </w:rPr>
        <w:t>**</w:t>
      </w:r>
      <w:r w:rsidRPr="00B7083C">
        <w:rPr>
          <w:b w:val="0"/>
          <w:i/>
          <w:sz w:val="24"/>
          <w:szCs w:val="24"/>
        </w:rPr>
        <w:t xml:space="preserve">Members of the </w:t>
      </w:r>
      <w:proofErr w:type="spellStart"/>
      <w:r w:rsidRPr="00B7083C">
        <w:rPr>
          <w:b w:val="0"/>
          <w:i/>
          <w:sz w:val="24"/>
          <w:szCs w:val="24"/>
        </w:rPr>
        <w:t>NiPPeR</w:t>
      </w:r>
      <w:proofErr w:type="spellEnd"/>
      <w:r w:rsidRPr="00B7083C">
        <w:rPr>
          <w:b w:val="0"/>
          <w:i/>
          <w:sz w:val="24"/>
          <w:szCs w:val="24"/>
        </w:rPr>
        <w:t xml:space="preserve"> Study Group authors for the Medline citation are listed in the Acknowledgements</w:t>
      </w:r>
    </w:p>
    <w:p w14:paraId="0AF3B582"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1</w:t>
      </w:r>
      <w:r w:rsidRPr="00B7083C">
        <w:rPr>
          <w:b w:val="0"/>
          <w:sz w:val="24"/>
          <w:szCs w:val="24"/>
        </w:rPr>
        <w:t xml:space="preserve"> MRC Lifecourse Epidemiology Unit, University of Southampton, Southampton UK</w:t>
      </w:r>
    </w:p>
    <w:p w14:paraId="4286F7A5"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2</w:t>
      </w:r>
      <w:r w:rsidRPr="00B7083C">
        <w:rPr>
          <w:b w:val="0"/>
          <w:sz w:val="24"/>
          <w:szCs w:val="24"/>
        </w:rPr>
        <w:t xml:space="preserve"> NIHR Southampton Biomedical Research Centre, University Hospital Southampton, NHS Foundation Trust, Southampton, UK</w:t>
      </w:r>
    </w:p>
    <w:p w14:paraId="4ED7505A"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3</w:t>
      </w:r>
      <w:r w:rsidRPr="00B7083C">
        <w:rPr>
          <w:b w:val="0"/>
          <w:sz w:val="24"/>
          <w:szCs w:val="24"/>
        </w:rPr>
        <w:t xml:space="preserve"> Liggins Institute, University of Auckland, Auckland, New Zealand </w:t>
      </w:r>
    </w:p>
    <w:p w14:paraId="35327D9D"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4</w:t>
      </w:r>
      <w:r w:rsidRPr="00B7083C">
        <w:rPr>
          <w:b w:val="0"/>
          <w:sz w:val="24"/>
          <w:szCs w:val="24"/>
        </w:rPr>
        <w:t xml:space="preserve"> College of Life Sciences, Biological Sciences and Psychology, University of Leicester, Leicester, UK</w:t>
      </w:r>
    </w:p>
    <w:p w14:paraId="6D09BF9B"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5</w:t>
      </w:r>
      <w:r w:rsidRPr="00B7083C">
        <w:rPr>
          <w:b w:val="0"/>
          <w:sz w:val="24"/>
          <w:szCs w:val="24"/>
        </w:rPr>
        <w:t xml:space="preserve"> Department of Obstetrics and Gynaecology, Yong Loo Lin School of Medicine, National University of Singapore and National University Health System, Singapore  </w:t>
      </w:r>
    </w:p>
    <w:p w14:paraId="2A0899C4" w14:textId="77777777" w:rsidR="00126A57" w:rsidRPr="00B7083C" w:rsidRDefault="00126A57" w:rsidP="003E2B6B">
      <w:pPr>
        <w:pStyle w:val="Heading3"/>
        <w:spacing w:before="0" w:beforeAutospacing="0" w:after="0" w:afterAutospacing="0" w:line="360" w:lineRule="auto"/>
        <w:rPr>
          <w:b w:val="0"/>
          <w:sz w:val="24"/>
          <w:szCs w:val="24"/>
        </w:rPr>
      </w:pPr>
      <w:r w:rsidRPr="00B7083C">
        <w:rPr>
          <w:b w:val="0"/>
          <w:sz w:val="24"/>
          <w:szCs w:val="24"/>
          <w:vertAlign w:val="superscript"/>
        </w:rPr>
        <w:t>6</w:t>
      </w:r>
      <w:r w:rsidRPr="00B7083C">
        <w:rPr>
          <w:b w:val="0"/>
          <w:sz w:val="24"/>
          <w:szCs w:val="24"/>
        </w:rPr>
        <w:t xml:space="preserve"> Singapore Institute for Clinical Sciences, Agency for Science, Technology and Research, Singapore </w:t>
      </w:r>
    </w:p>
    <w:p w14:paraId="7942E84B" w14:textId="576EB4BD" w:rsidR="0039651F" w:rsidRPr="00B7083C" w:rsidRDefault="00126A57" w:rsidP="003E2B6B">
      <w:pPr>
        <w:pStyle w:val="Heading3"/>
        <w:spacing w:before="0" w:beforeAutospacing="0" w:after="120" w:afterAutospacing="0" w:line="360" w:lineRule="auto"/>
        <w:rPr>
          <w:b w:val="0"/>
          <w:sz w:val="24"/>
          <w:szCs w:val="24"/>
        </w:rPr>
      </w:pPr>
      <w:r w:rsidRPr="00B7083C">
        <w:rPr>
          <w:b w:val="0"/>
          <w:sz w:val="24"/>
          <w:szCs w:val="24"/>
          <w:vertAlign w:val="superscript"/>
        </w:rPr>
        <w:t>7</w:t>
      </w:r>
      <w:r w:rsidRPr="00B7083C">
        <w:rPr>
          <w:b w:val="0"/>
          <w:sz w:val="24"/>
          <w:szCs w:val="24"/>
        </w:rPr>
        <w:t xml:space="preserve"> A Better Start, New Zealand National Science Challenge, Auckland, New Zealand</w:t>
      </w:r>
    </w:p>
    <w:p w14:paraId="5E821059" w14:textId="3D90C322" w:rsidR="002963D1" w:rsidRPr="00B7083C" w:rsidRDefault="00213811" w:rsidP="003E2B6B">
      <w:pPr>
        <w:pStyle w:val="Heading3"/>
        <w:spacing w:before="0" w:beforeAutospacing="0" w:after="120" w:afterAutospacing="0" w:line="360" w:lineRule="auto"/>
        <w:rPr>
          <w:sz w:val="24"/>
          <w:szCs w:val="24"/>
        </w:rPr>
      </w:pPr>
      <w:r w:rsidRPr="00B7083C">
        <w:rPr>
          <w:sz w:val="24"/>
          <w:szCs w:val="24"/>
        </w:rPr>
        <w:t>Correspond</w:t>
      </w:r>
      <w:r w:rsidR="00126A57" w:rsidRPr="00B7083C">
        <w:rPr>
          <w:sz w:val="24"/>
          <w:szCs w:val="24"/>
        </w:rPr>
        <w:t>ing author</w:t>
      </w:r>
      <w:r w:rsidRPr="00B7083C">
        <w:rPr>
          <w:sz w:val="24"/>
          <w:szCs w:val="24"/>
        </w:rPr>
        <w:t xml:space="preserve">: </w:t>
      </w:r>
      <w:r w:rsidRPr="00B7083C">
        <w:rPr>
          <w:b w:val="0"/>
          <w:sz w:val="24"/>
          <w:szCs w:val="24"/>
        </w:rPr>
        <w:t xml:space="preserve">Professor Keith Godfrey, MRC Lifecourse Epidemiology Unit (University of Southampton), University Hospital Southampton, </w:t>
      </w:r>
      <w:proofErr w:type="spellStart"/>
      <w:r w:rsidRPr="00B7083C">
        <w:rPr>
          <w:b w:val="0"/>
          <w:sz w:val="24"/>
          <w:szCs w:val="24"/>
        </w:rPr>
        <w:t>Mailpoint</w:t>
      </w:r>
      <w:proofErr w:type="spellEnd"/>
      <w:r w:rsidRPr="00B7083C">
        <w:rPr>
          <w:b w:val="0"/>
          <w:sz w:val="24"/>
          <w:szCs w:val="24"/>
        </w:rPr>
        <w:t xml:space="preserve"> 95, Southampton SO16 6YD, UK; </w:t>
      </w:r>
      <w:proofErr w:type="spellStart"/>
      <w:r w:rsidRPr="00B7083C">
        <w:rPr>
          <w:b w:val="0"/>
          <w:sz w:val="24"/>
          <w:szCs w:val="24"/>
        </w:rPr>
        <w:t>tel</w:t>
      </w:r>
      <w:proofErr w:type="spellEnd"/>
      <w:r w:rsidRPr="00B7083C">
        <w:rPr>
          <w:b w:val="0"/>
          <w:sz w:val="24"/>
          <w:szCs w:val="24"/>
        </w:rPr>
        <w:t>: +44 (0)23 80777624; email</w:t>
      </w:r>
      <w:r w:rsidR="00076243" w:rsidRPr="00B7083C">
        <w:rPr>
          <w:b w:val="0"/>
          <w:sz w:val="24"/>
          <w:szCs w:val="24"/>
        </w:rPr>
        <w:t xml:space="preserve">: kmg@mrc.soton.ac.uk </w:t>
      </w:r>
    </w:p>
    <w:p w14:paraId="5B2E8D3B" w14:textId="680B8DEE" w:rsidR="00F8781D" w:rsidRPr="00B7083C" w:rsidRDefault="00F8781D" w:rsidP="00126A57">
      <w:pPr>
        <w:spacing w:line="480" w:lineRule="auto"/>
      </w:pPr>
      <w:r w:rsidRPr="00B7083C">
        <w:rPr>
          <w:b/>
        </w:rPr>
        <w:t>Word count total</w:t>
      </w:r>
      <w:r w:rsidR="007F11B0" w:rsidRPr="00B7083C">
        <w:rPr>
          <w:b/>
        </w:rPr>
        <w:t>:</w:t>
      </w:r>
      <w:r w:rsidR="00683B2C" w:rsidRPr="00B7083C">
        <w:rPr>
          <w:b/>
        </w:rPr>
        <w:t xml:space="preserve"> </w:t>
      </w:r>
      <w:r w:rsidR="007F11B0" w:rsidRPr="00B7083C">
        <w:t>36</w:t>
      </w:r>
      <w:r w:rsidR="00B7083C">
        <w:t>99</w:t>
      </w:r>
    </w:p>
    <w:p w14:paraId="5C38C120" w14:textId="7DEAF917" w:rsidR="002963D1" w:rsidRPr="00B7083C" w:rsidRDefault="00126A57" w:rsidP="00126A57">
      <w:pPr>
        <w:spacing w:after="160" w:line="480" w:lineRule="auto"/>
        <w:rPr>
          <w:b/>
          <w:bCs/>
          <w:lang w:eastAsia="en-GB"/>
        </w:rPr>
      </w:pPr>
      <w:r w:rsidRPr="00B7083C">
        <w:rPr>
          <w:b/>
          <w:bCs/>
          <w:lang w:eastAsia="en-GB"/>
        </w:rPr>
        <w:t>Number of tables</w:t>
      </w:r>
      <w:r w:rsidRPr="00B7083C">
        <w:rPr>
          <w:bCs/>
          <w:lang w:eastAsia="en-GB"/>
        </w:rPr>
        <w:t>: 3;</w:t>
      </w:r>
      <w:r w:rsidRPr="00B7083C">
        <w:rPr>
          <w:b/>
          <w:bCs/>
          <w:lang w:eastAsia="en-GB"/>
        </w:rPr>
        <w:t xml:space="preserve"> Number of figures</w:t>
      </w:r>
      <w:r w:rsidRPr="00B7083C">
        <w:rPr>
          <w:bCs/>
          <w:lang w:eastAsia="en-GB"/>
        </w:rPr>
        <w:t>: 1</w:t>
      </w:r>
      <w:r w:rsidR="00DF2A8F" w:rsidRPr="00B7083C">
        <w:rPr>
          <w:bCs/>
          <w:lang w:eastAsia="en-GB"/>
        </w:rPr>
        <w:t xml:space="preserve">; </w:t>
      </w:r>
      <w:r w:rsidR="00DF2A8F" w:rsidRPr="00B7083C">
        <w:rPr>
          <w:b/>
          <w:bCs/>
          <w:lang w:eastAsia="en-GB"/>
        </w:rPr>
        <w:t>Supplementa</w:t>
      </w:r>
      <w:r w:rsidR="00042C4F" w:rsidRPr="00B7083C">
        <w:rPr>
          <w:b/>
          <w:bCs/>
          <w:lang w:eastAsia="en-GB"/>
        </w:rPr>
        <w:t>l</w:t>
      </w:r>
      <w:r w:rsidR="00DF2A8F" w:rsidRPr="00B7083C">
        <w:rPr>
          <w:b/>
          <w:bCs/>
          <w:lang w:eastAsia="en-GB"/>
        </w:rPr>
        <w:t xml:space="preserve"> tables:</w:t>
      </w:r>
      <w:r w:rsidR="00DF2A8F" w:rsidRPr="00B7083C">
        <w:rPr>
          <w:bCs/>
          <w:lang w:eastAsia="en-GB"/>
        </w:rPr>
        <w:t xml:space="preserve"> 3</w:t>
      </w:r>
    </w:p>
    <w:p w14:paraId="22A399E9" w14:textId="2F797E0B" w:rsidR="004F232C" w:rsidRPr="00B7083C" w:rsidRDefault="004F232C" w:rsidP="007C7563">
      <w:pPr>
        <w:spacing w:line="480" w:lineRule="auto"/>
        <w:ind w:right="176"/>
        <w:jc w:val="both"/>
        <w:rPr>
          <w:bCs/>
          <w:lang w:eastAsia="en-GB"/>
        </w:rPr>
      </w:pPr>
      <w:r w:rsidRPr="00B7083C">
        <w:rPr>
          <w:b/>
          <w:bCs/>
          <w:lang w:eastAsia="en-GB"/>
        </w:rPr>
        <w:lastRenderedPageBreak/>
        <w:t>Abstract</w:t>
      </w:r>
      <w:r w:rsidR="001D6908" w:rsidRPr="00B7083C">
        <w:rPr>
          <w:b/>
          <w:bCs/>
          <w:lang w:eastAsia="en-GB"/>
        </w:rPr>
        <w:t xml:space="preserve"> </w:t>
      </w:r>
    </w:p>
    <w:p w14:paraId="7185AFA0" w14:textId="077D4565" w:rsidR="002B60AF" w:rsidRPr="00B7083C" w:rsidRDefault="002D4ECA" w:rsidP="007C7563">
      <w:pPr>
        <w:spacing w:line="480" w:lineRule="auto"/>
        <w:ind w:right="176"/>
        <w:jc w:val="both"/>
        <w:rPr>
          <w:bCs/>
          <w:iCs/>
        </w:rPr>
      </w:pPr>
      <w:r w:rsidRPr="00B7083C">
        <w:rPr>
          <w:b/>
          <w:bCs/>
          <w:iCs/>
        </w:rPr>
        <w:t>Objective</w:t>
      </w:r>
      <w:r w:rsidR="007C7563" w:rsidRPr="00B7083C">
        <w:rPr>
          <w:b/>
          <w:bCs/>
          <w:iCs/>
        </w:rPr>
        <w:t>:</w:t>
      </w:r>
      <w:r w:rsidR="007C7563" w:rsidRPr="00B7083C">
        <w:rPr>
          <w:bCs/>
          <w:iCs/>
        </w:rPr>
        <w:t xml:space="preserve"> </w:t>
      </w:r>
      <w:r w:rsidR="002B60AF" w:rsidRPr="00B7083C">
        <w:rPr>
          <w:bCs/>
          <w:iCs/>
        </w:rPr>
        <w:t xml:space="preserve">Better preconception metabolic and nutritional health are </w:t>
      </w:r>
      <w:r w:rsidRPr="00B7083C">
        <w:rPr>
          <w:bCs/>
          <w:iCs/>
        </w:rPr>
        <w:t xml:space="preserve">hypothesized </w:t>
      </w:r>
      <w:r w:rsidR="002B60AF" w:rsidRPr="00B7083C">
        <w:rPr>
          <w:bCs/>
          <w:iCs/>
        </w:rPr>
        <w:t>to promote gestational normo</w:t>
      </w:r>
      <w:r w:rsidR="00824DC0" w:rsidRPr="00B7083C">
        <w:rPr>
          <w:bCs/>
          <w:iCs/>
        </w:rPr>
        <w:t>glycemia</w:t>
      </w:r>
      <w:r w:rsidR="002B60AF" w:rsidRPr="00B7083C">
        <w:rPr>
          <w:bCs/>
          <w:iCs/>
        </w:rPr>
        <w:t xml:space="preserve"> and reduce preterm birth, but evidence supporting improved outcomes with nutritional supplementation starting preconception is limited.</w:t>
      </w:r>
    </w:p>
    <w:p w14:paraId="7328F51E" w14:textId="06A48F3A" w:rsidR="002B60AF" w:rsidRPr="00B7083C" w:rsidRDefault="00042C4F" w:rsidP="007C7563">
      <w:pPr>
        <w:spacing w:line="480" w:lineRule="auto"/>
        <w:ind w:right="176"/>
        <w:jc w:val="both"/>
      </w:pPr>
      <w:r w:rsidRPr="00B7083C">
        <w:rPr>
          <w:b/>
          <w:bCs/>
          <w:lang w:eastAsia="en-GB"/>
        </w:rPr>
        <w:t xml:space="preserve">Research Design and </w:t>
      </w:r>
      <w:r w:rsidR="002B60AF" w:rsidRPr="00B7083C">
        <w:rPr>
          <w:b/>
          <w:bCs/>
          <w:lang w:eastAsia="en-GB"/>
        </w:rPr>
        <w:t>Methods</w:t>
      </w:r>
      <w:r w:rsidR="007C7563" w:rsidRPr="00B7083C">
        <w:rPr>
          <w:b/>
          <w:bCs/>
          <w:lang w:eastAsia="en-GB"/>
        </w:rPr>
        <w:t>:</w:t>
      </w:r>
      <w:r w:rsidR="007C7563" w:rsidRPr="00B7083C">
        <w:t xml:space="preserve"> </w:t>
      </w:r>
      <w:r w:rsidR="006318F8" w:rsidRPr="00B7083C">
        <w:t>D</w:t>
      </w:r>
      <w:r w:rsidR="002B60AF" w:rsidRPr="00B7083C">
        <w:t xml:space="preserve">ouble-blind </w:t>
      </w:r>
      <w:r w:rsidR="00824DC0" w:rsidRPr="00B7083C">
        <w:t>randomized</w:t>
      </w:r>
      <w:r w:rsidR="002B60AF" w:rsidRPr="00B7083C">
        <w:t xml:space="preserve"> controlled trial recruited </w:t>
      </w:r>
      <w:r w:rsidR="0018763D" w:rsidRPr="00B7083C">
        <w:t xml:space="preserve">from the community </w:t>
      </w:r>
      <w:r w:rsidR="002B60AF" w:rsidRPr="00B7083C">
        <w:t xml:space="preserve">1729 UK, Singapore and New Zealand women aged 18-38 years planning </w:t>
      </w:r>
      <w:r w:rsidR="006B217B" w:rsidRPr="00B7083C">
        <w:t>conception</w:t>
      </w:r>
      <w:r w:rsidR="002B60AF" w:rsidRPr="00B7083C">
        <w:t>. We investigated if a nutritional formulation</w:t>
      </w:r>
      <w:r w:rsidR="002B60AF" w:rsidRPr="00B7083C">
        <w:rPr>
          <w:bCs/>
          <w:iCs/>
        </w:rPr>
        <w:t xml:space="preserve"> </w:t>
      </w:r>
      <w:r w:rsidR="00F85361" w:rsidRPr="00B7083C">
        <w:rPr>
          <w:bCs/>
          <w:iCs/>
        </w:rPr>
        <w:t>containing</w:t>
      </w:r>
      <w:r w:rsidR="002B60AF" w:rsidRPr="00B7083C">
        <w:rPr>
          <w:bCs/>
          <w:iCs/>
        </w:rPr>
        <w:t xml:space="preserve"> myo-inositol, probiotics and multiple micronutrients</w:t>
      </w:r>
      <w:r w:rsidR="00760C8C" w:rsidRPr="00B7083C">
        <w:rPr>
          <w:bCs/>
          <w:iCs/>
        </w:rPr>
        <w:t xml:space="preserve"> (intervention)</w:t>
      </w:r>
      <w:r w:rsidR="002B60AF" w:rsidRPr="00B7083C">
        <w:rPr>
          <w:bCs/>
          <w:iCs/>
        </w:rPr>
        <w:t xml:space="preserve">, compared with a standard </w:t>
      </w:r>
      <w:r w:rsidR="005822EB" w:rsidRPr="00B7083C">
        <w:rPr>
          <w:rFonts w:eastAsia="Calibri"/>
        </w:rPr>
        <w:t>micronutrient</w:t>
      </w:r>
      <w:r w:rsidR="002B60AF" w:rsidRPr="00B7083C">
        <w:rPr>
          <w:bCs/>
          <w:iCs/>
        </w:rPr>
        <w:t xml:space="preserve"> supplement</w:t>
      </w:r>
      <w:r w:rsidR="00760C8C" w:rsidRPr="00B7083C">
        <w:rPr>
          <w:bCs/>
          <w:iCs/>
        </w:rPr>
        <w:t xml:space="preserve"> (control)</w:t>
      </w:r>
      <w:r w:rsidR="002B60AF" w:rsidRPr="00B7083C">
        <w:rPr>
          <w:bCs/>
          <w:iCs/>
        </w:rPr>
        <w:t xml:space="preserve">, taken preconception and throughout pregnancy, could improve </w:t>
      </w:r>
      <w:r w:rsidR="002B60AF" w:rsidRPr="00B7083C">
        <w:t>pregnancy outcomes</w:t>
      </w:r>
      <w:r w:rsidR="002B60AF" w:rsidRPr="00B7083C">
        <w:rPr>
          <w:bCs/>
          <w:iCs/>
        </w:rPr>
        <w:t xml:space="preserve">. The primary outcome was combined fasting, </w:t>
      </w:r>
      <w:r w:rsidR="002B60AF" w:rsidRPr="00B7083C">
        <w:t>1-hour</w:t>
      </w:r>
      <w:r w:rsidR="002B60AF" w:rsidRPr="00B7083C">
        <w:rPr>
          <w:bCs/>
          <w:iCs/>
        </w:rPr>
        <w:t xml:space="preserve"> and </w:t>
      </w:r>
      <w:r w:rsidR="002B60AF" w:rsidRPr="00B7083C">
        <w:t>2-hour</w:t>
      </w:r>
      <w:r w:rsidR="002B60AF" w:rsidRPr="00B7083C">
        <w:rPr>
          <w:bCs/>
          <w:iCs/>
        </w:rPr>
        <w:t xml:space="preserve"> post-load </w:t>
      </w:r>
      <w:r w:rsidR="00824DC0" w:rsidRPr="00B7083C">
        <w:rPr>
          <w:bCs/>
          <w:iCs/>
        </w:rPr>
        <w:t>glycemia</w:t>
      </w:r>
      <w:r w:rsidR="002B60AF" w:rsidRPr="00B7083C">
        <w:rPr>
          <w:bCs/>
          <w:iCs/>
        </w:rPr>
        <w:t xml:space="preserve"> (</w:t>
      </w:r>
      <w:r w:rsidR="00F85361" w:rsidRPr="00B7083C">
        <w:rPr>
          <w:bCs/>
          <w:iCs/>
        </w:rPr>
        <w:t xml:space="preserve">28 </w:t>
      </w:r>
      <w:r w:rsidR="00F85361" w:rsidRPr="00B7083C">
        <w:t>weeks’ gestation</w:t>
      </w:r>
      <w:r w:rsidR="00F85361" w:rsidRPr="00B7083C">
        <w:rPr>
          <w:bCs/>
          <w:iCs/>
        </w:rPr>
        <w:t xml:space="preserve"> </w:t>
      </w:r>
      <w:r w:rsidR="002B60AF" w:rsidRPr="00B7083C">
        <w:rPr>
          <w:bCs/>
          <w:iCs/>
        </w:rPr>
        <w:t>oral glucose tolerance test</w:t>
      </w:r>
      <w:r w:rsidR="002B60AF" w:rsidRPr="00B7083C">
        <w:t>).</w:t>
      </w:r>
    </w:p>
    <w:p w14:paraId="78D06BF8" w14:textId="19B19FBF" w:rsidR="002B60AF" w:rsidRPr="00B7083C" w:rsidRDefault="00042C4F" w:rsidP="007C7563">
      <w:pPr>
        <w:spacing w:line="480" w:lineRule="auto"/>
        <w:ind w:right="176"/>
        <w:jc w:val="both"/>
        <w:rPr>
          <w:bCs/>
          <w:iCs/>
        </w:rPr>
      </w:pPr>
      <w:r w:rsidRPr="00B7083C">
        <w:rPr>
          <w:b/>
          <w:bCs/>
          <w:iCs/>
        </w:rPr>
        <w:t>Results</w:t>
      </w:r>
      <w:r w:rsidR="007C7563" w:rsidRPr="00B7083C">
        <w:rPr>
          <w:bCs/>
          <w:iCs/>
        </w:rPr>
        <w:t xml:space="preserve">: </w:t>
      </w:r>
      <w:r w:rsidR="002B60AF" w:rsidRPr="00B7083C">
        <w:rPr>
          <w:bCs/>
          <w:iCs/>
        </w:rPr>
        <w:t xml:space="preserve">Between 2015-2017, participants were </w:t>
      </w:r>
      <w:r w:rsidR="00824DC0" w:rsidRPr="00B7083C">
        <w:rPr>
          <w:bCs/>
          <w:iCs/>
        </w:rPr>
        <w:t>randomized</w:t>
      </w:r>
      <w:r w:rsidR="002B60AF" w:rsidRPr="00B7083C">
        <w:rPr>
          <w:bCs/>
          <w:iCs/>
        </w:rPr>
        <w:t xml:space="preserve"> to control (n=859) or intervention (n=870); 585 conceived within 1-year and completed the primary outcome (295 intervention, 290 control). In an intention-to-treat analysis </w:t>
      </w:r>
      <w:r w:rsidR="002B60AF" w:rsidRPr="00B7083C">
        <w:rPr>
          <w:rFonts w:eastAsia="Calibri"/>
          <w:bCs/>
          <w:iCs/>
        </w:rPr>
        <w:t xml:space="preserve">adjusting for site, ethnicity and preconception </w:t>
      </w:r>
      <w:r w:rsidR="00824DC0" w:rsidRPr="00B7083C">
        <w:rPr>
          <w:rFonts w:eastAsia="Calibri"/>
          <w:bCs/>
          <w:iCs/>
        </w:rPr>
        <w:t>glycemia</w:t>
      </w:r>
      <w:r w:rsidR="002B60AF" w:rsidRPr="00B7083C">
        <w:rPr>
          <w:rFonts w:eastAsia="Calibri"/>
          <w:bCs/>
          <w:iCs/>
        </w:rPr>
        <w:t xml:space="preserve"> with</w:t>
      </w:r>
      <w:r w:rsidR="002B60AF" w:rsidRPr="00B7083C">
        <w:rPr>
          <w:bCs/>
          <w:iCs/>
        </w:rPr>
        <w:t xml:space="preserve"> pre-specified p&lt;0.017 for multiplicity</w:t>
      </w:r>
      <w:r w:rsidR="002B60AF" w:rsidRPr="00B7083C">
        <w:rPr>
          <w:rFonts w:eastAsia="Calibri"/>
          <w:bCs/>
          <w:iCs/>
        </w:rPr>
        <w:t xml:space="preserve">, </w:t>
      </w:r>
      <w:r w:rsidR="002B60AF" w:rsidRPr="00B7083C">
        <w:rPr>
          <w:bCs/>
          <w:iCs/>
        </w:rPr>
        <w:t xml:space="preserve">there were no </w:t>
      </w:r>
      <w:r w:rsidR="002B60AF" w:rsidRPr="00B7083C">
        <w:rPr>
          <w:rFonts w:eastAsia="Calibri"/>
          <w:bCs/>
          <w:iCs/>
        </w:rPr>
        <w:t xml:space="preserve">differences in gestational fasting, </w:t>
      </w:r>
      <w:r w:rsidR="002B60AF" w:rsidRPr="00B7083C">
        <w:rPr>
          <w:bCs/>
          <w:iCs/>
        </w:rPr>
        <w:t>1-hour</w:t>
      </w:r>
      <w:r w:rsidR="002B60AF" w:rsidRPr="00B7083C">
        <w:rPr>
          <w:rFonts w:eastAsia="Calibri"/>
          <w:bCs/>
          <w:iCs/>
        </w:rPr>
        <w:t xml:space="preserve"> and </w:t>
      </w:r>
      <w:r w:rsidR="002B60AF" w:rsidRPr="00B7083C">
        <w:rPr>
          <w:bCs/>
          <w:iCs/>
        </w:rPr>
        <w:t>2-hour</w:t>
      </w:r>
      <w:r w:rsidR="002B60AF" w:rsidRPr="00B7083C">
        <w:rPr>
          <w:rFonts w:eastAsia="Calibri"/>
          <w:bCs/>
          <w:iCs/>
        </w:rPr>
        <w:t xml:space="preserve"> </w:t>
      </w:r>
      <w:r w:rsidR="00824DC0" w:rsidRPr="00B7083C">
        <w:rPr>
          <w:rFonts w:eastAsia="Calibri"/>
          <w:bCs/>
          <w:iCs/>
        </w:rPr>
        <w:t>glycemia</w:t>
      </w:r>
      <w:r w:rsidR="002B60AF" w:rsidRPr="00B7083C">
        <w:rPr>
          <w:bCs/>
          <w:iCs/>
        </w:rPr>
        <w:t xml:space="preserve"> between groups </w:t>
      </w:r>
      <w:r w:rsidR="002B60AF" w:rsidRPr="00B7083C">
        <w:rPr>
          <w:rFonts w:eastAsia="Calibri"/>
          <w:bCs/>
          <w:iCs/>
        </w:rPr>
        <w:t>(β [95%CI] log</w:t>
      </w:r>
      <w:r w:rsidR="002B60AF" w:rsidRPr="00B7083C">
        <w:rPr>
          <w:rFonts w:eastAsia="Calibri"/>
          <w:bCs/>
          <w:iCs/>
          <w:vertAlign w:val="subscript"/>
        </w:rPr>
        <w:t>e</w:t>
      </w:r>
      <w:r w:rsidR="002B60AF" w:rsidRPr="00B7083C">
        <w:rPr>
          <w:rFonts w:eastAsia="Calibri"/>
          <w:bCs/>
          <w:iCs/>
        </w:rPr>
        <w:t xml:space="preserve"> mmol/L intervention </w:t>
      </w:r>
      <w:r w:rsidR="004448FB" w:rsidRPr="00B7083C">
        <w:rPr>
          <w:bCs/>
          <w:iCs/>
        </w:rPr>
        <w:t>versus</w:t>
      </w:r>
      <w:r w:rsidR="002B60AF" w:rsidRPr="00B7083C">
        <w:rPr>
          <w:rFonts w:eastAsia="Calibri"/>
          <w:bCs/>
          <w:iCs/>
        </w:rPr>
        <w:t xml:space="preserve"> control: -0</w:t>
      </w:r>
      <w:r w:rsidR="00893B11" w:rsidRPr="00B7083C">
        <w:rPr>
          <w:rFonts w:eastAsia="Calibri"/>
          <w:bCs/>
          <w:iCs/>
        </w:rPr>
        <w:t>·</w:t>
      </w:r>
      <w:r w:rsidR="002B60AF" w:rsidRPr="00B7083C">
        <w:rPr>
          <w:rFonts w:eastAsia="Calibri"/>
          <w:bCs/>
          <w:iCs/>
        </w:rPr>
        <w:t>004 [-0</w:t>
      </w:r>
      <w:r w:rsidR="00893B11" w:rsidRPr="00B7083C">
        <w:rPr>
          <w:rFonts w:eastAsia="Calibri"/>
          <w:bCs/>
          <w:iCs/>
        </w:rPr>
        <w:t>·</w:t>
      </w:r>
      <w:r w:rsidR="002B60AF" w:rsidRPr="00B7083C">
        <w:rPr>
          <w:rFonts w:eastAsia="Calibri"/>
          <w:bCs/>
          <w:iCs/>
        </w:rPr>
        <w:t>018, 0</w:t>
      </w:r>
      <w:r w:rsidR="00286755" w:rsidRPr="00B7083C">
        <w:rPr>
          <w:rFonts w:eastAsia="Calibri"/>
          <w:bCs/>
          <w:iCs/>
        </w:rPr>
        <w:t>·</w:t>
      </w:r>
      <w:r w:rsidR="002B60AF" w:rsidRPr="00B7083C">
        <w:rPr>
          <w:rFonts w:eastAsia="Calibri"/>
          <w:bCs/>
          <w:iCs/>
        </w:rPr>
        <w:t>011], 0</w:t>
      </w:r>
      <w:r w:rsidR="00893B11" w:rsidRPr="00B7083C">
        <w:rPr>
          <w:rFonts w:eastAsia="Calibri"/>
          <w:bCs/>
          <w:iCs/>
        </w:rPr>
        <w:t>·</w:t>
      </w:r>
      <w:r w:rsidR="002B60AF" w:rsidRPr="00B7083C">
        <w:rPr>
          <w:rFonts w:eastAsia="Calibri"/>
          <w:bCs/>
          <w:iCs/>
        </w:rPr>
        <w:t>025 [-0</w:t>
      </w:r>
      <w:r w:rsidR="00893B11" w:rsidRPr="00B7083C">
        <w:rPr>
          <w:rFonts w:eastAsia="Calibri"/>
          <w:bCs/>
          <w:iCs/>
        </w:rPr>
        <w:t>·</w:t>
      </w:r>
      <w:r w:rsidR="002B60AF" w:rsidRPr="00B7083C">
        <w:rPr>
          <w:rFonts w:eastAsia="Calibri"/>
          <w:bCs/>
          <w:iCs/>
        </w:rPr>
        <w:t>014, 0</w:t>
      </w:r>
      <w:r w:rsidR="00893B11" w:rsidRPr="00B7083C">
        <w:rPr>
          <w:rFonts w:eastAsia="Calibri"/>
          <w:bCs/>
          <w:iCs/>
        </w:rPr>
        <w:t>·</w:t>
      </w:r>
      <w:r w:rsidR="002B60AF" w:rsidRPr="00B7083C">
        <w:rPr>
          <w:rFonts w:eastAsia="Calibri"/>
          <w:bCs/>
          <w:iCs/>
        </w:rPr>
        <w:t>064]</w:t>
      </w:r>
      <w:r w:rsidR="00BC15A2" w:rsidRPr="00B7083C">
        <w:rPr>
          <w:rFonts w:eastAsia="Calibri"/>
          <w:bCs/>
          <w:iCs/>
        </w:rPr>
        <w:t>,</w:t>
      </w:r>
      <w:r w:rsidR="002B60AF" w:rsidRPr="00B7083C">
        <w:rPr>
          <w:rFonts w:eastAsia="Calibri"/>
          <w:bCs/>
          <w:iCs/>
        </w:rPr>
        <w:t xml:space="preserve"> 0</w:t>
      </w:r>
      <w:r w:rsidR="00893B11" w:rsidRPr="00B7083C">
        <w:rPr>
          <w:rFonts w:eastAsia="Calibri"/>
          <w:bCs/>
          <w:iCs/>
        </w:rPr>
        <w:t>·</w:t>
      </w:r>
      <w:r w:rsidR="002B60AF" w:rsidRPr="00B7083C">
        <w:rPr>
          <w:rFonts w:eastAsia="Calibri"/>
          <w:bCs/>
          <w:iCs/>
        </w:rPr>
        <w:t>040 [0</w:t>
      </w:r>
      <w:r w:rsidR="00893B11" w:rsidRPr="00B7083C">
        <w:rPr>
          <w:rFonts w:eastAsia="Calibri"/>
          <w:bCs/>
          <w:iCs/>
        </w:rPr>
        <w:t>·</w:t>
      </w:r>
      <w:r w:rsidR="002B60AF" w:rsidRPr="00B7083C">
        <w:rPr>
          <w:rFonts w:eastAsia="Calibri"/>
          <w:bCs/>
          <w:iCs/>
        </w:rPr>
        <w:t>004, 0</w:t>
      </w:r>
      <w:r w:rsidR="00893B11" w:rsidRPr="00B7083C">
        <w:rPr>
          <w:rFonts w:eastAsia="Calibri"/>
          <w:bCs/>
          <w:iCs/>
        </w:rPr>
        <w:t>·</w:t>
      </w:r>
      <w:r w:rsidR="002B60AF" w:rsidRPr="00B7083C">
        <w:rPr>
          <w:rFonts w:eastAsia="Calibri"/>
          <w:bCs/>
          <w:iCs/>
        </w:rPr>
        <w:t xml:space="preserve">077], respectively). </w:t>
      </w:r>
      <w:r w:rsidR="002D4ECA" w:rsidRPr="00B7083C">
        <w:rPr>
          <w:rFonts w:eastAsia="Calibri"/>
          <w:bCs/>
          <w:iCs/>
        </w:rPr>
        <w:t>B</w:t>
      </w:r>
      <w:r w:rsidR="002B60AF" w:rsidRPr="00B7083C">
        <w:rPr>
          <w:rFonts w:eastAsia="Calibri"/>
          <w:bCs/>
          <w:iCs/>
        </w:rPr>
        <w:t xml:space="preserve">etween </w:t>
      </w:r>
      <w:r w:rsidR="002B60AF" w:rsidRPr="00B7083C">
        <w:rPr>
          <w:bCs/>
          <w:iCs/>
        </w:rPr>
        <w:t>the intervention and control groups</w:t>
      </w:r>
      <w:r w:rsidR="002B60AF" w:rsidRPr="00B7083C">
        <w:rPr>
          <w:rFonts w:eastAsia="Calibri"/>
          <w:bCs/>
          <w:iCs/>
        </w:rPr>
        <w:t xml:space="preserve"> there were no significant differences in g</w:t>
      </w:r>
      <w:r w:rsidR="002B60AF" w:rsidRPr="00B7083C">
        <w:rPr>
          <w:bCs/>
          <w:iCs/>
        </w:rPr>
        <w:t>estational diabetes (24</w:t>
      </w:r>
      <w:r w:rsidR="00893B11" w:rsidRPr="00B7083C">
        <w:rPr>
          <w:rFonts w:eastAsia="Calibri"/>
          <w:bCs/>
          <w:iCs/>
        </w:rPr>
        <w:t>·</w:t>
      </w:r>
      <w:r w:rsidR="002B60AF" w:rsidRPr="00B7083C">
        <w:rPr>
          <w:bCs/>
          <w:iCs/>
        </w:rPr>
        <w:t xml:space="preserve">8% </w:t>
      </w:r>
      <w:r w:rsidR="004448FB" w:rsidRPr="00B7083C">
        <w:rPr>
          <w:bCs/>
          <w:iCs/>
        </w:rPr>
        <w:t>versus</w:t>
      </w:r>
      <w:r w:rsidR="002B60AF" w:rsidRPr="00B7083C">
        <w:rPr>
          <w:bCs/>
          <w:iCs/>
        </w:rPr>
        <w:t xml:space="preserve"> 22</w:t>
      </w:r>
      <w:r w:rsidR="00893B11" w:rsidRPr="00B7083C">
        <w:rPr>
          <w:rFonts w:eastAsia="Calibri"/>
          <w:bCs/>
          <w:iCs/>
        </w:rPr>
        <w:t>·</w:t>
      </w:r>
      <w:r w:rsidR="002B60AF" w:rsidRPr="00B7083C">
        <w:rPr>
          <w:bCs/>
          <w:iCs/>
        </w:rPr>
        <w:t xml:space="preserve">6%, adjusted risk ratio </w:t>
      </w:r>
      <w:proofErr w:type="spellStart"/>
      <w:r w:rsidR="002B60AF" w:rsidRPr="00B7083C">
        <w:rPr>
          <w:bCs/>
          <w:iCs/>
        </w:rPr>
        <w:t>aRR</w:t>
      </w:r>
      <w:proofErr w:type="spellEnd"/>
      <w:r w:rsidR="00A45339" w:rsidRPr="00B7083C">
        <w:rPr>
          <w:bCs/>
          <w:iCs/>
        </w:rPr>
        <w:t>=</w:t>
      </w:r>
      <w:r w:rsidR="002B60AF" w:rsidRPr="00B7083C">
        <w:rPr>
          <w:bCs/>
          <w:iCs/>
        </w:rPr>
        <w:t>1</w:t>
      </w:r>
      <w:r w:rsidR="00893B11" w:rsidRPr="00B7083C">
        <w:rPr>
          <w:rFonts w:eastAsia="Calibri"/>
          <w:bCs/>
          <w:iCs/>
        </w:rPr>
        <w:t>·</w:t>
      </w:r>
      <w:r w:rsidR="002B60AF" w:rsidRPr="00B7083C">
        <w:rPr>
          <w:bCs/>
          <w:iCs/>
        </w:rPr>
        <w:t>22 [0</w:t>
      </w:r>
      <w:r w:rsidR="00893B11" w:rsidRPr="00B7083C">
        <w:rPr>
          <w:rFonts w:eastAsia="Calibri"/>
          <w:bCs/>
          <w:iCs/>
        </w:rPr>
        <w:t>·</w:t>
      </w:r>
      <w:r w:rsidR="002B60AF" w:rsidRPr="00B7083C">
        <w:rPr>
          <w:bCs/>
          <w:iCs/>
        </w:rPr>
        <w:t>92</w:t>
      </w:r>
      <w:r w:rsidR="00893B11" w:rsidRPr="00B7083C">
        <w:rPr>
          <w:bCs/>
          <w:iCs/>
        </w:rPr>
        <w:t>, 1</w:t>
      </w:r>
      <w:r w:rsidR="00893B11" w:rsidRPr="00B7083C">
        <w:rPr>
          <w:rFonts w:eastAsia="Calibri"/>
          <w:bCs/>
          <w:iCs/>
        </w:rPr>
        <w:t>·</w:t>
      </w:r>
      <w:r w:rsidR="002B60AF" w:rsidRPr="00B7083C">
        <w:rPr>
          <w:bCs/>
          <w:iCs/>
        </w:rPr>
        <w:t>62])</w:t>
      </w:r>
      <w:r w:rsidR="006318F8" w:rsidRPr="00B7083C">
        <w:rPr>
          <w:bCs/>
          <w:iCs/>
        </w:rPr>
        <w:t xml:space="preserve">, </w:t>
      </w:r>
      <w:r w:rsidR="006318F8" w:rsidRPr="00B7083C">
        <w:rPr>
          <w:rFonts w:eastAsia="Calibri"/>
          <w:bCs/>
          <w:iCs/>
        </w:rPr>
        <w:t>b</w:t>
      </w:r>
      <w:r w:rsidR="006318F8" w:rsidRPr="00B7083C">
        <w:rPr>
          <w:bCs/>
          <w:iCs/>
        </w:rPr>
        <w:t xml:space="preserve">irthweight (adjusted </w:t>
      </w:r>
      <w:r w:rsidR="006318F8" w:rsidRPr="00B7083C">
        <w:rPr>
          <w:rFonts w:eastAsia="Calibri"/>
          <w:bCs/>
          <w:iCs/>
        </w:rPr>
        <w:t>β=0·05kg [-0·03, 0·13])</w:t>
      </w:r>
      <w:r w:rsidR="00BA78B0" w:rsidRPr="00B7083C">
        <w:rPr>
          <w:rFonts w:eastAsia="Calibri"/>
          <w:bCs/>
          <w:iCs/>
        </w:rPr>
        <w:t>, or</w:t>
      </w:r>
      <w:r w:rsidR="00BA78B0" w:rsidRPr="00B7083C">
        <w:rPr>
          <w:bCs/>
          <w:iCs/>
        </w:rPr>
        <w:t xml:space="preserve"> gestational age at birth (mean 39.</w:t>
      </w:r>
      <w:r w:rsidR="006B217B" w:rsidRPr="00B7083C">
        <w:rPr>
          <w:bCs/>
          <w:iCs/>
        </w:rPr>
        <w:t>3</w:t>
      </w:r>
      <w:r w:rsidR="00BA78B0" w:rsidRPr="00B7083C">
        <w:rPr>
          <w:bCs/>
          <w:iCs/>
        </w:rPr>
        <w:t xml:space="preserve"> versus 39.</w:t>
      </w:r>
      <w:r w:rsidR="006B217B" w:rsidRPr="00B7083C">
        <w:rPr>
          <w:bCs/>
          <w:iCs/>
        </w:rPr>
        <w:t>2</w:t>
      </w:r>
      <w:r w:rsidR="00BA78B0" w:rsidRPr="00B7083C">
        <w:rPr>
          <w:bCs/>
          <w:iCs/>
        </w:rPr>
        <w:t xml:space="preserve"> weeks, adjusted </w:t>
      </w:r>
      <w:r w:rsidR="00BA78B0" w:rsidRPr="00B7083C">
        <w:rPr>
          <w:rFonts w:eastAsia="Calibri"/>
          <w:bCs/>
          <w:iCs/>
        </w:rPr>
        <w:t>β=0·20 [-0·06, 0·46])</w:t>
      </w:r>
      <w:r w:rsidR="00A45339" w:rsidRPr="00B7083C">
        <w:rPr>
          <w:rFonts w:eastAsia="Calibri"/>
          <w:bCs/>
          <w:iCs/>
        </w:rPr>
        <w:t>, but</w:t>
      </w:r>
      <w:r w:rsidR="00A45339" w:rsidRPr="00B7083C">
        <w:rPr>
          <w:bCs/>
          <w:iCs/>
        </w:rPr>
        <w:t xml:space="preserve"> t</w:t>
      </w:r>
      <w:r w:rsidR="002B60AF" w:rsidRPr="00B7083C">
        <w:rPr>
          <w:bCs/>
          <w:iCs/>
        </w:rPr>
        <w:t>here w</w:t>
      </w:r>
      <w:r w:rsidR="00A45339" w:rsidRPr="00B7083C">
        <w:rPr>
          <w:bCs/>
          <w:iCs/>
        </w:rPr>
        <w:t>ere</w:t>
      </w:r>
      <w:r w:rsidR="002B60AF" w:rsidRPr="00B7083C">
        <w:rPr>
          <w:bCs/>
          <w:iCs/>
        </w:rPr>
        <w:t xml:space="preserve"> </w:t>
      </w:r>
      <w:r w:rsidR="00BA78B0" w:rsidRPr="00B7083C">
        <w:rPr>
          <w:bCs/>
          <w:iCs/>
        </w:rPr>
        <w:t>fewer</w:t>
      </w:r>
      <w:r w:rsidR="002B60AF" w:rsidRPr="00B7083C">
        <w:rPr>
          <w:bCs/>
          <w:iCs/>
        </w:rPr>
        <w:t xml:space="preserve"> preterm birth</w:t>
      </w:r>
      <w:r w:rsidR="00A45339" w:rsidRPr="00B7083C">
        <w:rPr>
          <w:bCs/>
          <w:iCs/>
        </w:rPr>
        <w:t>s</w:t>
      </w:r>
      <w:r w:rsidR="002B60AF" w:rsidRPr="00B7083C">
        <w:rPr>
          <w:bCs/>
          <w:iCs/>
        </w:rPr>
        <w:t xml:space="preserve"> (5</w:t>
      </w:r>
      <w:r w:rsidR="00893B11" w:rsidRPr="00B7083C">
        <w:rPr>
          <w:rFonts w:eastAsia="Calibri"/>
          <w:bCs/>
          <w:iCs/>
        </w:rPr>
        <w:t>·</w:t>
      </w:r>
      <w:r w:rsidR="002B60AF" w:rsidRPr="00B7083C">
        <w:rPr>
          <w:bCs/>
          <w:iCs/>
        </w:rPr>
        <w:t>8% v</w:t>
      </w:r>
      <w:r w:rsidR="004448FB" w:rsidRPr="00B7083C">
        <w:rPr>
          <w:bCs/>
          <w:iCs/>
        </w:rPr>
        <w:t>ersu</w:t>
      </w:r>
      <w:r w:rsidR="002B60AF" w:rsidRPr="00B7083C">
        <w:rPr>
          <w:bCs/>
          <w:iCs/>
        </w:rPr>
        <w:t>s 9</w:t>
      </w:r>
      <w:r w:rsidR="00893B11" w:rsidRPr="00B7083C">
        <w:rPr>
          <w:rFonts w:eastAsia="Calibri"/>
          <w:bCs/>
          <w:iCs/>
        </w:rPr>
        <w:t>·</w:t>
      </w:r>
      <w:r w:rsidR="002B60AF" w:rsidRPr="00B7083C">
        <w:rPr>
          <w:bCs/>
          <w:iCs/>
        </w:rPr>
        <w:t>2%</w:t>
      </w:r>
      <w:r w:rsidR="00B51E3D" w:rsidRPr="00B7083C">
        <w:rPr>
          <w:bCs/>
          <w:iCs/>
        </w:rPr>
        <w:t>,</w:t>
      </w:r>
      <w:r w:rsidR="002B60AF" w:rsidRPr="00B7083C">
        <w:rPr>
          <w:bCs/>
          <w:iCs/>
        </w:rPr>
        <w:t xml:space="preserve"> </w:t>
      </w:r>
      <w:proofErr w:type="spellStart"/>
      <w:r w:rsidR="002B60AF" w:rsidRPr="00B7083C">
        <w:rPr>
          <w:bCs/>
          <w:iCs/>
        </w:rPr>
        <w:t>aRR</w:t>
      </w:r>
      <w:proofErr w:type="spellEnd"/>
      <w:r w:rsidR="00A45339" w:rsidRPr="00B7083C">
        <w:rPr>
          <w:bCs/>
          <w:iCs/>
        </w:rPr>
        <w:t>=</w:t>
      </w:r>
      <w:r w:rsidR="002B60AF" w:rsidRPr="00B7083C">
        <w:rPr>
          <w:bCs/>
          <w:iCs/>
        </w:rPr>
        <w:t>0</w:t>
      </w:r>
      <w:r w:rsidR="00893B11" w:rsidRPr="00B7083C">
        <w:rPr>
          <w:rFonts w:eastAsia="Calibri"/>
          <w:bCs/>
          <w:iCs/>
        </w:rPr>
        <w:t>·</w:t>
      </w:r>
      <w:r w:rsidR="002B60AF" w:rsidRPr="00B7083C">
        <w:rPr>
          <w:bCs/>
          <w:iCs/>
        </w:rPr>
        <w:t>4</w:t>
      </w:r>
      <w:r w:rsidR="00973531" w:rsidRPr="00B7083C">
        <w:rPr>
          <w:bCs/>
          <w:iCs/>
        </w:rPr>
        <w:t>3</w:t>
      </w:r>
      <w:r w:rsidR="002B60AF" w:rsidRPr="00B7083C">
        <w:rPr>
          <w:bCs/>
          <w:iCs/>
        </w:rPr>
        <w:t xml:space="preserve"> [0</w:t>
      </w:r>
      <w:r w:rsidR="00893B11" w:rsidRPr="00B7083C">
        <w:rPr>
          <w:rFonts w:eastAsia="Calibri"/>
          <w:bCs/>
          <w:iCs/>
        </w:rPr>
        <w:t>·</w:t>
      </w:r>
      <w:r w:rsidR="002B60AF" w:rsidRPr="00B7083C">
        <w:rPr>
          <w:bCs/>
          <w:iCs/>
        </w:rPr>
        <w:t>2</w:t>
      </w:r>
      <w:r w:rsidR="00973531" w:rsidRPr="00B7083C">
        <w:rPr>
          <w:bCs/>
          <w:iCs/>
        </w:rPr>
        <w:t>2</w:t>
      </w:r>
      <w:r w:rsidR="002B60AF" w:rsidRPr="00B7083C">
        <w:rPr>
          <w:bCs/>
          <w:iCs/>
        </w:rPr>
        <w:t>, 0</w:t>
      </w:r>
      <w:r w:rsidR="00893B11" w:rsidRPr="00B7083C">
        <w:rPr>
          <w:rFonts w:eastAsia="Calibri"/>
          <w:bCs/>
          <w:iCs/>
        </w:rPr>
        <w:t>·</w:t>
      </w:r>
      <w:r w:rsidR="00973531" w:rsidRPr="00B7083C">
        <w:rPr>
          <w:bCs/>
          <w:iCs/>
        </w:rPr>
        <w:t>82</w:t>
      </w:r>
      <w:r w:rsidR="002B60AF" w:rsidRPr="00B7083C">
        <w:rPr>
          <w:bCs/>
          <w:iCs/>
        </w:rPr>
        <w:t>]</w:t>
      </w:r>
      <w:r w:rsidR="00B51E3D" w:rsidRPr="00B7083C">
        <w:rPr>
          <w:bCs/>
          <w:iCs/>
        </w:rPr>
        <w:t>)</w:t>
      </w:r>
      <w:r w:rsidR="00F60039" w:rsidRPr="00B7083C">
        <w:rPr>
          <w:bCs/>
          <w:iCs/>
        </w:rPr>
        <w:t xml:space="preserve"> </w:t>
      </w:r>
      <w:r w:rsidR="00F60039" w:rsidRPr="00B7083C">
        <w:rPr>
          <w:rFonts w:eastAsia="Calibri"/>
          <w:bCs/>
          <w:iCs/>
        </w:rPr>
        <w:t xml:space="preserve">adjusting for </w:t>
      </w:r>
      <w:r w:rsidR="00F60039" w:rsidRPr="00B7083C">
        <w:rPr>
          <w:bCs/>
          <w:iCs/>
        </w:rPr>
        <w:t>pre-specified covariates.</w:t>
      </w:r>
    </w:p>
    <w:p w14:paraId="740AE7CE" w14:textId="5B05E636" w:rsidR="002B60AF" w:rsidRPr="00B7083C" w:rsidRDefault="00042C4F" w:rsidP="007C7563">
      <w:pPr>
        <w:spacing w:line="480" w:lineRule="auto"/>
        <w:ind w:right="176"/>
        <w:jc w:val="both"/>
        <w:rPr>
          <w:lang w:eastAsia="en-GB"/>
        </w:rPr>
      </w:pPr>
      <w:r w:rsidRPr="00B7083C">
        <w:rPr>
          <w:b/>
          <w:bCs/>
          <w:iCs/>
        </w:rPr>
        <w:t>Conclusions</w:t>
      </w:r>
      <w:r w:rsidR="007C7563" w:rsidRPr="00B7083C">
        <w:rPr>
          <w:b/>
          <w:bCs/>
          <w:iCs/>
        </w:rPr>
        <w:t xml:space="preserve">: </w:t>
      </w:r>
      <w:r w:rsidR="002B60AF" w:rsidRPr="00B7083C">
        <w:rPr>
          <w:lang w:eastAsia="en-GB"/>
        </w:rPr>
        <w:t xml:space="preserve">Supplementation with myo-inositol, probiotics and micronutrients preconception and in pregnancy did not lower gestational </w:t>
      </w:r>
      <w:r w:rsidR="00824DC0" w:rsidRPr="00B7083C">
        <w:rPr>
          <w:lang w:eastAsia="en-GB"/>
        </w:rPr>
        <w:t>glycemia</w:t>
      </w:r>
      <w:r w:rsidR="002B60AF" w:rsidRPr="00B7083C">
        <w:rPr>
          <w:lang w:eastAsia="en-GB"/>
        </w:rPr>
        <w:t xml:space="preserve">, but did reduce preterm birth. </w:t>
      </w:r>
    </w:p>
    <w:p w14:paraId="108A4C17" w14:textId="5784DBAA" w:rsidR="00F6154E" w:rsidRPr="00B7083C" w:rsidRDefault="00974B34" w:rsidP="007C7563">
      <w:pPr>
        <w:spacing w:after="160" w:line="480" w:lineRule="auto"/>
        <w:jc w:val="both"/>
        <w:rPr>
          <w:lang w:val="en"/>
        </w:rPr>
      </w:pPr>
      <w:r w:rsidRPr="00B7083C">
        <w:rPr>
          <w:lang w:val="it-CH"/>
        </w:rPr>
        <w:br w:type="page"/>
      </w:r>
      <w:r w:rsidR="00142BCF" w:rsidRPr="00B7083C">
        <w:rPr>
          <w:bCs/>
          <w:iCs/>
        </w:rPr>
        <w:lastRenderedPageBreak/>
        <w:t xml:space="preserve">Sub-optimal metabolic and nutritional health </w:t>
      </w:r>
      <w:r w:rsidR="00142BCF" w:rsidRPr="00B7083C">
        <w:t xml:space="preserve">around conception and during pregnancy </w:t>
      </w:r>
      <w:r w:rsidR="00142BCF" w:rsidRPr="00B7083C">
        <w:rPr>
          <w:lang w:val="en"/>
        </w:rPr>
        <w:t xml:space="preserve">have important implications for pregnancy outcomes, fetal growth, adiposity and long-term offspring health (1). Adverse effects of higher maternal glucose concentrations increase across the continuum of maternal glycemia (2,3) and </w:t>
      </w:r>
      <w:r w:rsidR="00142BCF" w:rsidRPr="00B7083C">
        <w:rPr>
          <w:bCs/>
          <w:iCs/>
        </w:rPr>
        <w:t>micronutrient insufficiency is highly prevalent in women.</w:t>
      </w:r>
      <w:r w:rsidR="00142BCF" w:rsidRPr="00B7083C">
        <w:rPr>
          <w:lang w:val="en"/>
        </w:rPr>
        <w:t xml:space="preserve"> Interventions that optimize glycemia and nutritional status are thought to improve pregnancy and offspring outcomes but supportive evidence from intervention studies is sparse. </w:t>
      </w:r>
    </w:p>
    <w:p w14:paraId="7697B74D" w14:textId="4E72D5BC" w:rsidR="00F6154E" w:rsidRPr="00B7083C" w:rsidRDefault="00142BCF" w:rsidP="00AD6903">
      <w:pPr>
        <w:spacing w:after="240" w:line="480" w:lineRule="auto"/>
        <w:jc w:val="both"/>
      </w:pPr>
      <w:r w:rsidRPr="00B7083C">
        <w:t xml:space="preserve">Pregnancy is a state of relative maternal insulin resistance, promoting glucose transfer to the </w:t>
      </w:r>
      <w:proofErr w:type="spellStart"/>
      <w:r w:rsidRPr="00B7083C">
        <w:t>fetus</w:t>
      </w:r>
      <w:proofErr w:type="spellEnd"/>
      <w:r w:rsidRPr="00B7083C">
        <w:t xml:space="preserve"> (4).  Physiological insulin resistance and impaired insulin secretion can be accentuated by individual genetic and environmental vulnerabilities, and lead to gestational diabetes mellitus (GDM) (5). The</w:t>
      </w:r>
      <w:r w:rsidRPr="00B7083C">
        <w:rPr>
          <w:rFonts w:eastAsiaTheme="minorHAnsi"/>
          <w:lang w:val="en-NZ"/>
        </w:rPr>
        <w:t xml:space="preserve"> global GDM incidence is rising, recently estimated at 14% (6). </w:t>
      </w:r>
      <w:r w:rsidRPr="00B7083C">
        <w:t xml:space="preserve">Following GDM diagnosis, lifestyle changes, oral </w:t>
      </w:r>
      <w:proofErr w:type="spellStart"/>
      <w:r w:rsidRPr="00B7083C">
        <w:t>hypoglycemic</w:t>
      </w:r>
      <w:proofErr w:type="spellEnd"/>
      <w:r w:rsidRPr="00B7083C">
        <w:t xml:space="preserve"> drugs and insulin can improve some short-term obstetric outcomes (7) but cannot fully mitigate pregnancy and offspring adversity (8). Risk reduction strategies have thus shifted towards GDM prevention. However,</w:t>
      </w:r>
      <w:r w:rsidRPr="00B7083C">
        <w:rPr>
          <w:lang w:val="en"/>
        </w:rPr>
        <w:t xml:space="preserve"> population trials of dietary, physical activity or combined lifestyle measures, </w:t>
      </w:r>
      <w:r w:rsidRPr="00B7083C">
        <w:t xml:space="preserve">mostly beginning in the first half of gestation, </w:t>
      </w:r>
      <w:r w:rsidRPr="00B7083C">
        <w:rPr>
          <w:lang w:val="en"/>
        </w:rPr>
        <w:t>have had limited impact on preventing GDM (9,10).</w:t>
      </w:r>
      <w:r w:rsidRPr="00B7083C">
        <w:t xml:space="preserve"> This has led to postulations that preconception interventions could be more effective and that alternative approaches are required.</w:t>
      </w:r>
    </w:p>
    <w:p w14:paraId="669A476B" w14:textId="4388736D" w:rsidR="00F6154E" w:rsidRPr="00B7083C" w:rsidRDefault="00142BCF" w:rsidP="00AD6903">
      <w:pPr>
        <w:spacing w:after="240" w:line="480" w:lineRule="auto"/>
        <w:jc w:val="both"/>
      </w:pPr>
      <w:r w:rsidRPr="00B7083C">
        <w:t>Small clinical trials suggest that supplementation with myo-inositol or probiotics</w:t>
      </w:r>
      <w:r w:rsidRPr="00B7083C">
        <w:rPr>
          <w:i/>
        </w:rPr>
        <w:t xml:space="preserve"> </w:t>
      </w:r>
      <w:r w:rsidRPr="00B7083C">
        <w:t>from early pregnancy may be beneficial</w:t>
      </w:r>
      <w:r w:rsidR="00DF7254" w:rsidRPr="00B7083C">
        <w:t xml:space="preserve">; myo-inositol is a naturally-occurring 6-carbon polyol with insulin sensitizing actions arising from functions relating to many second messenger </w:t>
      </w:r>
      <w:proofErr w:type="spellStart"/>
      <w:r w:rsidR="00DF7254" w:rsidRPr="00B7083C">
        <w:t>signaling</w:t>
      </w:r>
      <w:proofErr w:type="spellEnd"/>
      <w:r w:rsidR="00DF7254" w:rsidRPr="00B7083C">
        <w:t xml:space="preserve"> pathways and endogenous insulin-mimetic factors (11)</w:t>
      </w:r>
      <w:r w:rsidRPr="00B7083C">
        <w:t>. Meta-analysis of women given myo-inositol supplementation from the end of the first</w:t>
      </w:r>
      <w:r w:rsidRPr="00B7083C" w:rsidDel="001A3A17">
        <w:t xml:space="preserve"> </w:t>
      </w:r>
      <w:r w:rsidRPr="00B7083C">
        <w:t>trimester reported reductions in GDM</w:t>
      </w:r>
      <w:r w:rsidR="000522B1" w:rsidRPr="00B7083C">
        <w:t>, gestational glycemia</w:t>
      </w:r>
      <w:r w:rsidRPr="00B7083C">
        <w:t xml:space="preserve"> and preterm birth (12). Similarly, meta-analysis of studies of probiotics (Lactobacillus and/or Bifidobacterium species) from early pregnancy showed improved insulin sensitivity (13). </w:t>
      </w:r>
      <w:r w:rsidRPr="00B7083C">
        <w:rPr>
          <w:lang w:val="en" w:eastAsia="en-NZ"/>
        </w:rPr>
        <w:t xml:space="preserve">One trial of probiotics </w:t>
      </w:r>
      <w:r w:rsidRPr="00B7083C">
        <w:t xml:space="preserve">taken from the first trimester </w:t>
      </w:r>
      <w:r w:rsidRPr="00B7083C">
        <w:rPr>
          <w:lang w:val="en" w:eastAsia="en-NZ"/>
        </w:rPr>
        <w:t xml:space="preserve">reported improved glucose </w:t>
      </w:r>
      <w:r w:rsidRPr="00B7083C">
        <w:rPr>
          <w:lang w:val="en" w:eastAsia="en-NZ"/>
        </w:rPr>
        <w:lastRenderedPageBreak/>
        <w:t>tolerance</w:t>
      </w:r>
      <w:r w:rsidRPr="00B7083C">
        <w:rPr>
          <w:vertAlign w:val="superscript"/>
          <w:lang w:val="en" w:eastAsia="en-NZ"/>
        </w:rPr>
        <w:t xml:space="preserve"> </w:t>
      </w:r>
      <w:r w:rsidRPr="00B7083C">
        <w:t>and reduced GDM</w:t>
      </w:r>
      <w:r w:rsidRPr="00B7083C">
        <w:rPr>
          <w:lang w:val="en" w:eastAsia="en-NZ"/>
        </w:rPr>
        <w:t xml:space="preserve"> (</w:t>
      </w:r>
      <w:r w:rsidRPr="00B7083C">
        <w:rPr>
          <w:lang w:val="en"/>
        </w:rPr>
        <w:t>14).</w:t>
      </w:r>
      <w:r w:rsidRPr="00B7083C">
        <w:rPr>
          <w:vertAlign w:val="superscript"/>
          <w:lang w:val="en"/>
        </w:rPr>
        <w:t xml:space="preserve"> </w:t>
      </w:r>
      <w:r w:rsidRPr="00B7083C">
        <w:t>Low intakes and insufficiencies of several micronutrients (vitamins B6, B12, riboflavin, zinc) are prevalent in pregnancy and have been linked with glucose intolerance and pregnancy outcomes (15-17), but there are few intervention studies (18). Vitamin D deficiency has also been linked with GDM and preterm birth (19), but a trial of Vitamin D supplementation</w:t>
      </w:r>
      <w:r w:rsidR="001F6D56" w:rsidRPr="00B7083C">
        <w:t xml:space="preserve"> starting in early pregnancy</w:t>
      </w:r>
      <w:r w:rsidRPr="00B7083C">
        <w:t xml:space="preserve"> showed no preventive effects on pregnancy complications (20). </w:t>
      </w:r>
      <w:r w:rsidR="00094F3C" w:rsidRPr="00B7083C">
        <w:t xml:space="preserve">Another trial of a nutritional supplement (containing protein, polyunsaturated fatty acids and micronutrients without </w:t>
      </w:r>
      <w:proofErr w:type="spellStart"/>
      <w:r w:rsidR="00094F3C" w:rsidRPr="00B7083C">
        <w:t>inositols</w:t>
      </w:r>
      <w:proofErr w:type="spellEnd"/>
      <w:r w:rsidR="00094F3C" w:rsidRPr="00B7083C">
        <w:t xml:space="preserve"> or probiotics) in low resource settings showed improved birth length but no difference in preterm birth compared with no supplementation, with no difference between the group starting supplementation preconception compared with those starting in early pregnancy; glycemia outcomes were, however, not reported (21).</w:t>
      </w:r>
    </w:p>
    <w:p w14:paraId="328B352A" w14:textId="2CA208C7" w:rsidR="00142BCF" w:rsidRPr="00B7083C" w:rsidRDefault="00142BCF" w:rsidP="003177D5">
      <w:pPr>
        <w:keepNext/>
        <w:spacing w:line="480" w:lineRule="auto"/>
        <w:jc w:val="both"/>
      </w:pPr>
      <w:proofErr w:type="spellStart"/>
      <w:r w:rsidRPr="00B7083C">
        <w:t>Dysglycemia</w:t>
      </w:r>
      <w:proofErr w:type="spellEnd"/>
      <w:r w:rsidRPr="00B7083C">
        <w:t xml:space="preserve"> and maternal micronutrient insufficiency preconception or in early pregnancy are common in the general population and thought to influence the risk of adverse pregnancy outcomes (1,5,17,2</w:t>
      </w:r>
      <w:r w:rsidR="005C7A5C" w:rsidRPr="00B7083C">
        <w:t>2</w:t>
      </w:r>
      <w:r w:rsidRPr="00B7083C">
        <w:t xml:space="preserve">). We hypothesized that </w:t>
      </w:r>
      <w:r w:rsidRPr="00B7083C">
        <w:rPr>
          <w:rFonts w:eastAsia="Calibri"/>
        </w:rPr>
        <w:t xml:space="preserve">a myo-inositol, probiotic and micronutrient nutritional supplement </w:t>
      </w:r>
      <w:r w:rsidRPr="00B7083C">
        <w:t xml:space="preserve">commencing before pregnancy could collectively lower maternal glycemia and improve pregnancy outcomes across the general population. </w:t>
      </w:r>
      <w:r w:rsidRPr="00B7083C">
        <w:rPr>
          <w:rFonts w:eastAsia="Calibri"/>
        </w:rPr>
        <w:t>We therefore undertook an international multi-</w:t>
      </w:r>
      <w:proofErr w:type="spellStart"/>
      <w:r w:rsidRPr="00B7083C">
        <w:rPr>
          <w:rFonts w:eastAsia="Calibri"/>
        </w:rPr>
        <w:t>center</w:t>
      </w:r>
      <w:proofErr w:type="spellEnd"/>
      <w:r w:rsidRPr="00B7083C">
        <w:rPr>
          <w:rFonts w:eastAsia="Calibri"/>
        </w:rPr>
        <w:t>, double-blind randomized controlled trial [</w:t>
      </w:r>
      <w:r w:rsidRPr="00B7083C">
        <w:rPr>
          <w:rFonts w:eastAsia="Calibri"/>
          <w:u w:val="single"/>
        </w:rPr>
        <w:t>N</w:t>
      </w:r>
      <w:r w:rsidRPr="00B7083C">
        <w:rPr>
          <w:rFonts w:eastAsia="Calibri"/>
        </w:rPr>
        <w:t xml:space="preserve">utritional </w:t>
      </w:r>
      <w:r w:rsidRPr="00B7083C">
        <w:rPr>
          <w:rFonts w:eastAsia="Calibri"/>
          <w:u w:val="single"/>
        </w:rPr>
        <w:t>I</w:t>
      </w:r>
      <w:r w:rsidRPr="00B7083C">
        <w:rPr>
          <w:rFonts w:eastAsia="Calibri"/>
        </w:rPr>
        <w:t xml:space="preserve">ntervention </w:t>
      </w:r>
      <w:r w:rsidRPr="00B7083C">
        <w:rPr>
          <w:rFonts w:eastAsia="Calibri"/>
          <w:u w:val="single"/>
        </w:rPr>
        <w:t>P</w:t>
      </w:r>
      <w:r w:rsidRPr="00B7083C">
        <w:rPr>
          <w:rFonts w:eastAsia="Calibri"/>
        </w:rPr>
        <w:t xml:space="preserve">reconception and During </w:t>
      </w:r>
      <w:r w:rsidRPr="00B7083C">
        <w:rPr>
          <w:rFonts w:eastAsia="Calibri"/>
          <w:u w:val="single"/>
        </w:rPr>
        <w:t>P</w:t>
      </w:r>
      <w:r w:rsidRPr="00B7083C">
        <w:rPr>
          <w:rFonts w:eastAsia="Calibri"/>
        </w:rPr>
        <w:t>regnancy to Maintain Healthy Glucos</w:t>
      </w:r>
      <w:r w:rsidRPr="00B7083C">
        <w:rPr>
          <w:rFonts w:eastAsia="Calibri"/>
          <w:u w:val="single"/>
        </w:rPr>
        <w:t>e</w:t>
      </w:r>
      <w:r w:rsidRPr="00B7083C">
        <w:rPr>
          <w:rFonts w:eastAsia="Calibri"/>
        </w:rPr>
        <w:t xml:space="preserve"> Metabolism and Offsp</w:t>
      </w:r>
      <w:r w:rsidRPr="00B7083C">
        <w:rPr>
          <w:rFonts w:eastAsia="Calibri"/>
          <w:u w:val="single"/>
        </w:rPr>
        <w:t>r</w:t>
      </w:r>
      <w:r w:rsidRPr="00B7083C">
        <w:rPr>
          <w:rFonts w:eastAsia="Calibri"/>
        </w:rPr>
        <w:t>ing Health (</w:t>
      </w:r>
      <w:proofErr w:type="spellStart"/>
      <w:r w:rsidRPr="00B7083C">
        <w:rPr>
          <w:rFonts w:eastAsia="Calibri"/>
        </w:rPr>
        <w:t>NiPPeR</w:t>
      </w:r>
      <w:proofErr w:type="spellEnd"/>
      <w:r w:rsidRPr="00B7083C">
        <w:rPr>
          <w:rFonts w:eastAsia="Calibri"/>
        </w:rPr>
        <w:t>) study (2</w:t>
      </w:r>
      <w:r w:rsidR="005C7A5C" w:rsidRPr="00B7083C">
        <w:rPr>
          <w:rFonts w:eastAsia="Calibri"/>
        </w:rPr>
        <w:t>3</w:t>
      </w:r>
      <w:r w:rsidRPr="00B7083C">
        <w:rPr>
          <w:rFonts w:eastAsia="Calibri"/>
        </w:rPr>
        <w:t xml:space="preserve">)] to investigate whether intervention with a nutritional supplement containing myo-inositol, probiotics and additional micronutrients (vitamins D, B6, B12, riboflavin and zinc), compared with a standard preconception micronutrient supplement, taken prior to and during pregnancy, would promote improved maternal pregnancy glycemia and outcomes. </w:t>
      </w:r>
    </w:p>
    <w:p w14:paraId="30D2D223" w14:textId="2C9A47FD" w:rsidR="001A3A17" w:rsidRPr="00B7083C" w:rsidRDefault="001A3A17" w:rsidP="003177D5">
      <w:pPr>
        <w:spacing w:after="160" w:line="480" w:lineRule="auto"/>
        <w:jc w:val="both"/>
        <w:rPr>
          <w:b/>
          <w:lang w:val="it-CH"/>
        </w:rPr>
      </w:pPr>
    </w:p>
    <w:p w14:paraId="35C89199" w14:textId="77777777" w:rsidR="00812E48" w:rsidRPr="00B7083C" w:rsidRDefault="00812E48" w:rsidP="003177D5">
      <w:pPr>
        <w:spacing w:after="160" w:line="480" w:lineRule="auto"/>
        <w:jc w:val="both"/>
        <w:rPr>
          <w:b/>
          <w:lang w:val="it-CH"/>
        </w:rPr>
      </w:pPr>
    </w:p>
    <w:p w14:paraId="1D6A2458" w14:textId="624520E4" w:rsidR="00CC0A86" w:rsidRPr="00B7083C" w:rsidRDefault="00042C4F" w:rsidP="00A265B6">
      <w:pPr>
        <w:spacing w:line="480" w:lineRule="auto"/>
        <w:jc w:val="both"/>
        <w:rPr>
          <w:lang w:val="it-CH"/>
        </w:rPr>
      </w:pPr>
      <w:r w:rsidRPr="00B7083C">
        <w:rPr>
          <w:b/>
          <w:lang w:val="it-CH"/>
        </w:rPr>
        <w:lastRenderedPageBreak/>
        <w:t xml:space="preserve">Research Design and </w:t>
      </w:r>
      <w:r w:rsidR="00F617A3" w:rsidRPr="00B7083C">
        <w:rPr>
          <w:b/>
          <w:lang w:val="it-CH"/>
        </w:rPr>
        <w:t>Methods</w:t>
      </w:r>
      <w:r w:rsidR="00F07256" w:rsidRPr="00B7083C">
        <w:rPr>
          <w:b/>
          <w:lang w:val="it-CH"/>
        </w:rPr>
        <w:t xml:space="preserve"> </w:t>
      </w:r>
    </w:p>
    <w:p w14:paraId="625D8F1C" w14:textId="688797CD" w:rsidR="00B271C4" w:rsidRPr="00B7083C" w:rsidRDefault="00D9129E" w:rsidP="00A265B6">
      <w:pPr>
        <w:spacing w:after="240" w:line="480" w:lineRule="auto"/>
        <w:jc w:val="both"/>
        <w:rPr>
          <w:lang w:eastAsia="en-GB"/>
        </w:rPr>
      </w:pPr>
      <w:r w:rsidRPr="00B7083C">
        <w:rPr>
          <w:lang w:eastAsia="en-GB"/>
        </w:rPr>
        <w:t xml:space="preserve">This </w:t>
      </w:r>
      <w:r w:rsidR="001E37B8" w:rsidRPr="00B7083C">
        <w:rPr>
          <w:rFonts w:eastAsia="Calibri"/>
        </w:rPr>
        <w:t>international multi-</w:t>
      </w:r>
      <w:proofErr w:type="spellStart"/>
      <w:r w:rsidR="00824DC0" w:rsidRPr="00B7083C">
        <w:rPr>
          <w:rFonts w:eastAsia="Calibri"/>
        </w:rPr>
        <w:t>center</w:t>
      </w:r>
      <w:proofErr w:type="spellEnd"/>
      <w:r w:rsidR="001E37B8" w:rsidRPr="00B7083C">
        <w:rPr>
          <w:rFonts w:eastAsia="Calibri"/>
        </w:rPr>
        <w:t xml:space="preserve">, double-blind </w:t>
      </w:r>
      <w:r w:rsidR="00824DC0" w:rsidRPr="00B7083C">
        <w:rPr>
          <w:lang w:eastAsia="en-GB"/>
        </w:rPr>
        <w:t>randomized</w:t>
      </w:r>
      <w:r w:rsidRPr="00B7083C">
        <w:rPr>
          <w:lang w:eastAsia="en-GB"/>
        </w:rPr>
        <w:t xml:space="preserve"> controlled trial recruited women who were planning to conceive within the next 6 months</w:t>
      </w:r>
      <w:r w:rsidR="00DE58A7" w:rsidRPr="00B7083C">
        <w:rPr>
          <w:lang w:eastAsia="en-GB"/>
        </w:rPr>
        <w:t xml:space="preserve">. </w:t>
      </w:r>
      <w:r w:rsidRPr="00B7083C">
        <w:rPr>
          <w:lang w:eastAsia="en-GB"/>
        </w:rPr>
        <w:t>Women were recruited in Singapore, Auckland (New Zealand) and Southampton (UK)</w:t>
      </w:r>
      <w:r w:rsidR="00020EB9" w:rsidRPr="00B7083C">
        <w:rPr>
          <w:lang w:eastAsia="en-GB"/>
        </w:rPr>
        <w:t xml:space="preserve"> </w:t>
      </w:r>
      <w:r w:rsidR="00DE58A7" w:rsidRPr="00B7083C">
        <w:rPr>
          <w:lang w:eastAsia="en-GB"/>
        </w:rPr>
        <w:t>primarily from the community</w:t>
      </w:r>
      <w:r w:rsidR="008206FE" w:rsidRPr="00B7083C">
        <w:rPr>
          <w:lang w:eastAsia="en-GB"/>
        </w:rPr>
        <w:t xml:space="preserve"> (Figure 1)</w:t>
      </w:r>
      <w:r w:rsidR="00DE58A7" w:rsidRPr="00B7083C">
        <w:rPr>
          <w:lang w:eastAsia="en-GB"/>
        </w:rPr>
        <w:t xml:space="preserve">. </w:t>
      </w:r>
      <w:r w:rsidR="00BA21A9" w:rsidRPr="00B7083C">
        <w:rPr>
          <w:lang w:eastAsia="en-GB"/>
        </w:rPr>
        <w:t xml:space="preserve">Our trial was approved by the United Kingdom, Singapore and New Zealand research ethics services at each site </w:t>
      </w:r>
      <w:r w:rsidR="00BA21A9" w:rsidRPr="00B7083C">
        <w:t>(Southampton: Health Research Authority NRES Committee South Central Research Ethics Committee (REC) reference 15/SC/0142, the National Healthcare Group Domain Specific Review Board (NHG DSRB) Singapore reference 2015/00205, and the Health and Disability Ethics Committee (HDEC) New Zealand reference 15/NTA/21)</w:t>
      </w:r>
      <w:r w:rsidR="00BA21A9" w:rsidRPr="00B7083C">
        <w:rPr>
          <w:lang w:eastAsia="en-GB"/>
        </w:rPr>
        <w:t xml:space="preserve">, </w:t>
      </w:r>
      <w:r w:rsidR="00DD23A1" w:rsidRPr="00B7083C">
        <w:rPr>
          <w:lang w:eastAsia="en-GB"/>
        </w:rPr>
        <w:t xml:space="preserve">with confirmation </w:t>
      </w:r>
      <w:r w:rsidR="001A3A17" w:rsidRPr="00B7083C">
        <w:rPr>
          <w:lang w:eastAsia="en-GB"/>
        </w:rPr>
        <w:t xml:space="preserve">from </w:t>
      </w:r>
      <w:r w:rsidR="00DD23A1" w:rsidRPr="00B7083C">
        <w:rPr>
          <w:lang w:eastAsia="en-GB"/>
        </w:rPr>
        <w:t xml:space="preserve">the relevant regulatory authorities that the formulation was not an investigational medicinal product. </w:t>
      </w:r>
      <w:r w:rsidR="003578E6" w:rsidRPr="00B7083C">
        <w:rPr>
          <w:lang w:eastAsia="en-GB"/>
        </w:rPr>
        <w:t xml:space="preserve">Trial oversight and monitoring were provided by an independent data and safety monitoring committee. </w:t>
      </w:r>
      <w:r w:rsidR="002D263A" w:rsidRPr="00B7083C">
        <w:rPr>
          <w:lang w:eastAsia="en-GB"/>
        </w:rPr>
        <w:t xml:space="preserve">This </w:t>
      </w:r>
      <w:r w:rsidR="002D263A" w:rsidRPr="00B7083C">
        <w:rPr>
          <w:lang w:val="it-CH"/>
        </w:rPr>
        <w:t>trial was prospectively registered at ClinicalTrials.gov NCT02509988, UTN U1111-1171-8056.</w:t>
      </w:r>
    </w:p>
    <w:p w14:paraId="7E8C129D" w14:textId="3DDCA069" w:rsidR="00DD23A1" w:rsidRPr="00B7083C" w:rsidRDefault="00DD23A1" w:rsidP="00B271C4">
      <w:pPr>
        <w:spacing w:line="480" w:lineRule="auto"/>
        <w:jc w:val="both"/>
        <w:rPr>
          <w:b/>
          <w:i/>
          <w:lang w:eastAsia="en-GB"/>
        </w:rPr>
      </w:pPr>
      <w:r w:rsidRPr="00B7083C">
        <w:rPr>
          <w:b/>
          <w:i/>
          <w:lang w:eastAsia="en-GB"/>
        </w:rPr>
        <w:t>Participants</w:t>
      </w:r>
    </w:p>
    <w:p w14:paraId="0DFE9792" w14:textId="5AAD193C" w:rsidR="00DA7EBC" w:rsidRPr="00B7083C" w:rsidRDefault="009137AE" w:rsidP="00B271C4">
      <w:pPr>
        <w:spacing w:after="160" w:line="480" w:lineRule="auto"/>
        <w:jc w:val="both"/>
        <w:rPr>
          <w:lang w:eastAsia="en-GB"/>
        </w:rPr>
      </w:pPr>
      <w:r w:rsidRPr="00B7083C">
        <w:rPr>
          <w:lang w:eastAsia="en-GB"/>
        </w:rPr>
        <w:t>Based on our previous population-based Southampton Women’s Survey our initial target was 1800 recruits</w:t>
      </w:r>
      <w:r w:rsidR="00FF1839" w:rsidRPr="00B7083C">
        <w:rPr>
          <w:lang w:eastAsia="en-GB"/>
        </w:rPr>
        <w:t xml:space="preserve"> to have 600 </w:t>
      </w:r>
      <w:r w:rsidR="00A16F25" w:rsidRPr="00B7083C">
        <w:rPr>
          <w:lang w:eastAsia="en-GB"/>
        </w:rPr>
        <w:t xml:space="preserve">established </w:t>
      </w:r>
      <w:r w:rsidR="00FF1839" w:rsidRPr="00B7083C">
        <w:rPr>
          <w:lang w:eastAsia="en-GB"/>
        </w:rPr>
        <w:t>pregnancies to study</w:t>
      </w:r>
      <w:r w:rsidRPr="00B7083C">
        <w:rPr>
          <w:lang w:eastAsia="en-GB"/>
        </w:rPr>
        <w:t>; in the event pregnanc</w:t>
      </w:r>
      <w:r w:rsidR="008B6316" w:rsidRPr="00B7083C">
        <w:rPr>
          <w:lang w:eastAsia="en-GB"/>
        </w:rPr>
        <w:t>y</w:t>
      </w:r>
      <w:r w:rsidRPr="00B7083C">
        <w:rPr>
          <w:lang w:eastAsia="en-GB"/>
        </w:rPr>
        <w:t xml:space="preserve"> rates were higher and recruitment was stopped at 1729 women when it </w:t>
      </w:r>
      <w:r w:rsidR="005D56BB" w:rsidRPr="00B7083C">
        <w:rPr>
          <w:lang w:eastAsia="en-GB"/>
        </w:rPr>
        <w:t xml:space="preserve">was </w:t>
      </w:r>
      <w:r w:rsidR="00112058" w:rsidRPr="00B7083C">
        <w:rPr>
          <w:lang w:eastAsia="en-GB"/>
        </w:rPr>
        <w:t xml:space="preserve">clear </w:t>
      </w:r>
      <w:r w:rsidRPr="00B7083C">
        <w:rPr>
          <w:lang w:eastAsia="en-GB"/>
        </w:rPr>
        <w:t>that</w:t>
      </w:r>
      <w:r w:rsidR="008B6316" w:rsidRPr="00B7083C">
        <w:rPr>
          <w:lang w:eastAsia="en-GB"/>
        </w:rPr>
        <w:t xml:space="preserve"> the projected</w:t>
      </w:r>
      <w:r w:rsidRPr="00B7083C">
        <w:rPr>
          <w:lang w:eastAsia="en-GB"/>
        </w:rPr>
        <w:t xml:space="preserve"> </w:t>
      </w:r>
      <w:r w:rsidR="00FF1839" w:rsidRPr="00B7083C">
        <w:rPr>
          <w:lang w:eastAsia="en-GB"/>
        </w:rPr>
        <w:t xml:space="preserve">number of </w:t>
      </w:r>
      <w:r w:rsidRPr="00B7083C">
        <w:rPr>
          <w:lang w:eastAsia="en-GB"/>
        </w:rPr>
        <w:t xml:space="preserve">pregnancies would </w:t>
      </w:r>
      <w:r w:rsidR="00A16F25" w:rsidRPr="00B7083C">
        <w:rPr>
          <w:lang w:eastAsia="en-GB"/>
        </w:rPr>
        <w:t xml:space="preserve">exceed our target (final </w:t>
      </w:r>
      <w:r w:rsidR="006A2484" w:rsidRPr="00B7083C">
        <w:rPr>
          <w:lang w:eastAsia="en-GB"/>
        </w:rPr>
        <w:t xml:space="preserve">conceptions </w:t>
      </w:r>
      <w:r w:rsidR="00A16F25" w:rsidRPr="00B7083C">
        <w:rPr>
          <w:lang w:eastAsia="en-GB"/>
        </w:rPr>
        <w:t>n=</w:t>
      </w:r>
      <w:r w:rsidR="006A2484" w:rsidRPr="00B7083C">
        <w:rPr>
          <w:lang w:eastAsia="en-GB"/>
        </w:rPr>
        <w:t>725</w:t>
      </w:r>
      <w:r w:rsidR="00A16F25" w:rsidRPr="00B7083C">
        <w:rPr>
          <w:lang w:eastAsia="en-GB"/>
        </w:rPr>
        <w:t>, Figure 1)</w:t>
      </w:r>
      <w:r w:rsidRPr="00B7083C">
        <w:rPr>
          <w:lang w:eastAsia="en-GB"/>
        </w:rPr>
        <w:t>.</w:t>
      </w:r>
    </w:p>
    <w:p w14:paraId="0B4E3457" w14:textId="1343836D" w:rsidR="00B271C4" w:rsidRPr="00B7083C" w:rsidRDefault="00DD23A1" w:rsidP="00A265B6">
      <w:pPr>
        <w:spacing w:after="240" w:line="480" w:lineRule="auto"/>
        <w:jc w:val="both"/>
        <w:rPr>
          <w:lang w:eastAsia="en-GB"/>
        </w:rPr>
      </w:pPr>
      <w:r w:rsidRPr="00B7083C">
        <w:rPr>
          <w:lang w:eastAsia="en-GB"/>
        </w:rPr>
        <w:t xml:space="preserve">Women were eligible for </w:t>
      </w:r>
      <w:r w:rsidR="00CB2FD0" w:rsidRPr="00B7083C">
        <w:rPr>
          <w:lang w:eastAsia="en-GB"/>
        </w:rPr>
        <w:t xml:space="preserve">trial </w:t>
      </w:r>
      <w:r w:rsidRPr="00B7083C">
        <w:rPr>
          <w:lang w:eastAsia="en-GB"/>
        </w:rPr>
        <w:t xml:space="preserve">enrolment if they were </w:t>
      </w:r>
      <w:r w:rsidR="005D56BB" w:rsidRPr="00B7083C">
        <w:rPr>
          <w:lang w:eastAsia="en-GB"/>
        </w:rPr>
        <w:t xml:space="preserve">aged </w:t>
      </w:r>
      <w:r w:rsidRPr="00B7083C">
        <w:rPr>
          <w:lang w:eastAsia="en-GB"/>
        </w:rPr>
        <w:t>1</w:t>
      </w:r>
      <w:r w:rsidR="003760EC" w:rsidRPr="00B7083C">
        <w:rPr>
          <w:lang w:eastAsia="en-GB"/>
        </w:rPr>
        <w:t xml:space="preserve">8-38 </w:t>
      </w:r>
      <w:r w:rsidRPr="00B7083C">
        <w:rPr>
          <w:lang w:eastAsia="en-GB"/>
        </w:rPr>
        <w:t>years,</w:t>
      </w:r>
      <w:r w:rsidR="003760EC" w:rsidRPr="00B7083C">
        <w:rPr>
          <w:lang w:eastAsia="en-GB"/>
        </w:rPr>
        <w:t xml:space="preserve"> planning to conceive within 6 months and have future maternity care at the recruiting </w:t>
      </w:r>
      <w:proofErr w:type="spellStart"/>
      <w:r w:rsidR="00824DC0" w:rsidRPr="00B7083C">
        <w:rPr>
          <w:lang w:eastAsia="en-GB"/>
        </w:rPr>
        <w:t>center</w:t>
      </w:r>
      <w:r w:rsidR="00EE1289" w:rsidRPr="00B7083C">
        <w:rPr>
          <w:lang w:eastAsia="en-GB"/>
        </w:rPr>
        <w:t>s</w:t>
      </w:r>
      <w:proofErr w:type="spellEnd"/>
      <w:r w:rsidR="00CB2FD0" w:rsidRPr="00B7083C">
        <w:rPr>
          <w:lang w:eastAsia="en-GB"/>
        </w:rPr>
        <w:t xml:space="preserve">. In Singapore, women </w:t>
      </w:r>
      <w:r w:rsidR="004413D5" w:rsidRPr="00B7083C">
        <w:rPr>
          <w:lang w:eastAsia="en-GB"/>
        </w:rPr>
        <w:t>had to be</w:t>
      </w:r>
      <w:r w:rsidR="00CB2FD0" w:rsidRPr="00B7083C">
        <w:rPr>
          <w:lang w:eastAsia="en-GB"/>
        </w:rPr>
        <w:t xml:space="preserve"> </w:t>
      </w:r>
      <w:r w:rsidR="003A556D" w:rsidRPr="00B7083C">
        <w:rPr>
          <w:lang w:eastAsia="en-GB"/>
        </w:rPr>
        <w:t xml:space="preserve">of </w:t>
      </w:r>
      <w:r w:rsidR="00CB2FD0" w:rsidRPr="00B7083C">
        <w:rPr>
          <w:lang w:eastAsia="en-GB"/>
        </w:rPr>
        <w:t>homogeneous</w:t>
      </w:r>
      <w:r w:rsidR="00B75CD1" w:rsidRPr="00B7083C">
        <w:rPr>
          <w:lang w:eastAsia="en-GB"/>
        </w:rPr>
        <w:t xml:space="preserve"> or </w:t>
      </w:r>
      <w:r w:rsidR="00CB2FD0" w:rsidRPr="00B7083C">
        <w:rPr>
          <w:lang w:eastAsia="en-GB"/>
        </w:rPr>
        <w:t>mixed Chinese, Malay or Indian ethnicity</w:t>
      </w:r>
      <w:r w:rsidR="003A556D" w:rsidRPr="00B7083C">
        <w:rPr>
          <w:lang w:eastAsia="en-GB"/>
        </w:rPr>
        <w:t xml:space="preserve">. </w:t>
      </w:r>
      <w:r w:rsidR="003A556D" w:rsidRPr="00B7083C">
        <w:rPr>
          <w:i/>
          <w:lang w:eastAsia="en-GB"/>
        </w:rPr>
        <w:t>A</w:t>
      </w:r>
      <w:r w:rsidR="00D143B3" w:rsidRPr="00B7083C">
        <w:rPr>
          <w:i/>
          <w:lang w:eastAsia="en-GB"/>
        </w:rPr>
        <w:t xml:space="preserve"> priori</w:t>
      </w:r>
      <w:r w:rsidR="001E2A08" w:rsidRPr="00B7083C">
        <w:rPr>
          <w:lang w:eastAsia="en-GB"/>
        </w:rPr>
        <w:t>, w</w:t>
      </w:r>
      <w:r w:rsidR="005337DE" w:rsidRPr="00B7083C">
        <w:rPr>
          <w:lang w:eastAsia="en-GB"/>
        </w:rPr>
        <w:t xml:space="preserve">omen conceiving within a year were followed through pregnancy and beyond. </w:t>
      </w:r>
      <w:r w:rsidRPr="00B7083C">
        <w:rPr>
          <w:lang w:eastAsia="en-GB"/>
        </w:rPr>
        <w:t xml:space="preserve">Women were excluded if they were </w:t>
      </w:r>
      <w:r w:rsidR="00D143B3" w:rsidRPr="00B7083C">
        <w:rPr>
          <w:lang w:eastAsia="en-GB"/>
        </w:rPr>
        <w:t xml:space="preserve">pregnant or lactating at recruitment, undergoing assisted conception (apart from taking clomiphene or letrozole alone), had known serious food allergy or pre-existing type-1 or type-2 diabetes, were using oral, implanted or intra-uterine contraception or taking </w:t>
      </w:r>
      <w:r w:rsidR="00D143B3" w:rsidRPr="00B7083C">
        <w:rPr>
          <w:lang w:eastAsia="en-GB"/>
        </w:rPr>
        <w:lastRenderedPageBreak/>
        <w:t xml:space="preserve">metformin, systemic steroids, anticonvulsants or treatment for HIV, Hepatitis B or C in the </w:t>
      </w:r>
      <w:r w:rsidR="003A556D" w:rsidRPr="00B7083C">
        <w:rPr>
          <w:lang w:eastAsia="en-GB"/>
        </w:rPr>
        <w:t>p</w:t>
      </w:r>
      <w:r w:rsidR="00D143B3" w:rsidRPr="00B7083C">
        <w:rPr>
          <w:lang w:eastAsia="en-GB"/>
        </w:rPr>
        <w:t>ast month</w:t>
      </w:r>
      <w:r w:rsidRPr="00B7083C">
        <w:rPr>
          <w:lang w:eastAsia="en-GB"/>
        </w:rPr>
        <w:t>.</w:t>
      </w:r>
      <w:r w:rsidR="003578E6" w:rsidRPr="00B7083C">
        <w:rPr>
          <w:lang w:eastAsia="en-GB"/>
        </w:rPr>
        <w:t xml:space="preserve"> </w:t>
      </w:r>
      <w:r w:rsidR="002110EE" w:rsidRPr="00B7083C">
        <w:rPr>
          <w:lang w:eastAsia="en-GB"/>
        </w:rPr>
        <w:t>P</w:t>
      </w:r>
      <w:r w:rsidR="003578E6" w:rsidRPr="00B7083C">
        <w:rPr>
          <w:lang w:eastAsia="en-GB"/>
        </w:rPr>
        <w:t>articipants provided written informed consent.</w:t>
      </w:r>
    </w:p>
    <w:p w14:paraId="6A515674" w14:textId="77777777" w:rsidR="009B0D1B" w:rsidRPr="00B7083C" w:rsidRDefault="009B0D1B" w:rsidP="00B271C4">
      <w:pPr>
        <w:spacing w:line="480" w:lineRule="auto"/>
        <w:jc w:val="both"/>
        <w:rPr>
          <w:b/>
          <w:i/>
          <w:lang w:eastAsia="en-GB"/>
        </w:rPr>
      </w:pPr>
      <w:r w:rsidRPr="00B7083C">
        <w:rPr>
          <w:b/>
          <w:i/>
          <w:lang w:eastAsia="en-GB"/>
        </w:rPr>
        <w:t>The Formulation</w:t>
      </w:r>
    </w:p>
    <w:p w14:paraId="3FD2773F" w14:textId="58A781A9" w:rsidR="00B271C4" w:rsidRPr="00B7083C" w:rsidRDefault="009B0D1B" w:rsidP="00A265B6">
      <w:pPr>
        <w:spacing w:after="240" w:line="480" w:lineRule="auto"/>
        <w:jc w:val="both"/>
        <w:rPr>
          <w:lang w:eastAsia="en-GB"/>
        </w:rPr>
      </w:pPr>
      <w:r w:rsidRPr="00B7083C">
        <w:rPr>
          <w:lang w:eastAsia="en-GB"/>
        </w:rPr>
        <w:t>The intervention and control formulations were packaged as a powder in sachets</w:t>
      </w:r>
      <w:r w:rsidR="00F3008F" w:rsidRPr="00B7083C">
        <w:rPr>
          <w:lang w:eastAsia="en-GB"/>
        </w:rPr>
        <w:t xml:space="preserve"> and stored at 2-6</w:t>
      </w:r>
      <w:r w:rsidR="00BB5DE7" w:rsidRPr="00B7083C">
        <w:rPr>
          <w:rFonts w:ascii="degree" w:hAnsi="degree"/>
          <w:lang w:eastAsia="en-GB"/>
        </w:rPr>
        <w:t>°</w:t>
      </w:r>
      <w:r w:rsidR="00F3008F" w:rsidRPr="00B7083C">
        <w:rPr>
          <w:lang w:eastAsia="en-GB"/>
        </w:rPr>
        <w:t>C</w:t>
      </w:r>
      <w:r w:rsidRPr="00B7083C">
        <w:rPr>
          <w:lang w:eastAsia="en-GB"/>
        </w:rPr>
        <w:t xml:space="preserve"> </w:t>
      </w:r>
      <w:r w:rsidR="00F3008F" w:rsidRPr="00B7083C">
        <w:rPr>
          <w:lang w:eastAsia="en-GB"/>
        </w:rPr>
        <w:t>until</w:t>
      </w:r>
      <w:r w:rsidRPr="00B7083C">
        <w:rPr>
          <w:lang w:eastAsia="en-GB"/>
        </w:rPr>
        <w:t xml:space="preserve"> made up in water and taken twice daily, with similar sensory characteristics. Formulations were produced by SIIT (Italy). Ingredients common to control and intervention formulations were folic acid 400 µg/day, iron 12 mg/day, calcium 150 mg/day, iodine 150 µg/day and β-carotene 720 µg/day; the intervention additionally included myo-inositol 4 g/day, vitamin D 10 µg/day, riboflavin 1.8 mg/day, vitamin B6 2.6 mg/day, vitamin B12 5.2 µg/day, zinc 10 mg/day and probiotics [Lactobacillus </w:t>
      </w:r>
      <w:proofErr w:type="spellStart"/>
      <w:r w:rsidRPr="00B7083C">
        <w:rPr>
          <w:lang w:eastAsia="en-GB"/>
        </w:rPr>
        <w:t>rhamnosus</w:t>
      </w:r>
      <w:proofErr w:type="spellEnd"/>
      <w:r w:rsidRPr="00B7083C">
        <w:rPr>
          <w:lang w:eastAsia="en-GB"/>
        </w:rPr>
        <w:t xml:space="preserve"> NCC 4007 (CGMCC 1.3724; LPR) and Bifidobacterium </w:t>
      </w:r>
      <w:proofErr w:type="spellStart"/>
      <w:r w:rsidRPr="00B7083C">
        <w:rPr>
          <w:lang w:eastAsia="en-GB"/>
        </w:rPr>
        <w:t>animalis</w:t>
      </w:r>
      <w:proofErr w:type="spellEnd"/>
      <w:r w:rsidRPr="00B7083C">
        <w:rPr>
          <w:lang w:eastAsia="en-GB"/>
        </w:rPr>
        <w:t xml:space="preserve"> sp. lactis NCC 2818 (CNCM I-3446; Bl818)</w:t>
      </w:r>
      <w:r w:rsidR="00F3008F" w:rsidRPr="00B7083C">
        <w:rPr>
          <w:lang w:eastAsia="en-GB"/>
        </w:rPr>
        <w:t xml:space="preserve">; average survival counts remained within target over the shelf-life of the </w:t>
      </w:r>
      <w:proofErr w:type="spellStart"/>
      <w:r w:rsidR="00BB5DE7" w:rsidRPr="00B7083C">
        <w:rPr>
          <w:lang w:eastAsia="en-GB"/>
        </w:rPr>
        <w:t>refridgerated</w:t>
      </w:r>
      <w:proofErr w:type="spellEnd"/>
      <w:r w:rsidR="00BB5DE7" w:rsidRPr="00B7083C">
        <w:rPr>
          <w:lang w:eastAsia="en-GB"/>
        </w:rPr>
        <w:t xml:space="preserve"> </w:t>
      </w:r>
      <w:r w:rsidR="00F3008F" w:rsidRPr="00B7083C">
        <w:rPr>
          <w:lang w:eastAsia="en-GB"/>
        </w:rPr>
        <w:t>product</w:t>
      </w:r>
      <w:r w:rsidRPr="00B7083C">
        <w:rPr>
          <w:lang w:eastAsia="en-GB"/>
        </w:rPr>
        <w:t>] (2</w:t>
      </w:r>
      <w:r w:rsidR="005C7A5C" w:rsidRPr="00B7083C">
        <w:rPr>
          <w:lang w:eastAsia="en-GB"/>
        </w:rPr>
        <w:t>4</w:t>
      </w:r>
      <w:r w:rsidRPr="00B7083C">
        <w:rPr>
          <w:lang w:eastAsia="en-GB"/>
        </w:rPr>
        <w:t>).</w:t>
      </w:r>
      <w:r w:rsidRPr="00B7083C">
        <w:rPr>
          <w:vertAlign w:val="superscript"/>
          <w:lang w:eastAsia="en-GB"/>
        </w:rPr>
        <w:t xml:space="preserve"> </w:t>
      </w:r>
      <w:r w:rsidRPr="00B7083C">
        <w:rPr>
          <w:lang w:eastAsia="en-GB"/>
        </w:rPr>
        <w:t xml:space="preserve">Quantities were either standard amounts based on previous trials (myo-inositol, probiotics) (12,14), amounts enhanced above those available in over the counter products (vitamins B6, B12, riboflavin), UK recommended daily allowance amounts for pregnant women (vitamin D, zinc, folic acid, iodine) or minimal amounts for micronutrients linked with potential detrimental effects at higher doses (iron, β-carotene, calcium). </w:t>
      </w:r>
    </w:p>
    <w:p w14:paraId="0DB899E4" w14:textId="11393C96" w:rsidR="009B0D1B" w:rsidRPr="00B7083C" w:rsidRDefault="00A265B6" w:rsidP="009B0D1B">
      <w:pPr>
        <w:spacing w:line="480" w:lineRule="auto"/>
        <w:jc w:val="both"/>
        <w:rPr>
          <w:b/>
          <w:i/>
          <w:lang w:eastAsia="en-GB"/>
        </w:rPr>
      </w:pPr>
      <w:r w:rsidRPr="00B7083C">
        <w:rPr>
          <w:b/>
          <w:i/>
          <w:lang w:eastAsia="en-GB"/>
        </w:rPr>
        <w:t xml:space="preserve">Randomization and </w:t>
      </w:r>
      <w:r w:rsidR="009B0D1B" w:rsidRPr="00B7083C">
        <w:rPr>
          <w:b/>
          <w:i/>
          <w:lang w:eastAsia="en-GB"/>
        </w:rPr>
        <w:t>Procedures</w:t>
      </w:r>
    </w:p>
    <w:p w14:paraId="6248EF38" w14:textId="01EF4718" w:rsidR="00EC6AB2" w:rsidRPr="00B7083C" w:rsidRDefault="00DD23A1" w:rsidP="00B271C4">
      <w:pPr>
        <w:spacing w:after="160" w:line="480" w:lineRule="auto"/>
        <w:jc w:val="both"/>
        <w:rPr>
          <w:lang w:eastAsia="en-GB"/>
        </w:rPr>
      </w:pPr>
      <w:r w:rsidRPr="00B7083C">
        <w:rPr>
          <w:lang w:eastAsia="en-GB"/>
        </w:rPr>
        <w:t xml:space="preserve">Participants were randomly assigned in a 1:1 ratio </w:t>
      </w:r>
      <w:r w:rsidR="0075419D" w:rsidRPr="00B7083C">
        <w:rPr>
          <w:lang w:eastAsia="en-GB"/>
        </w:rPr>
        <w:t>to the control or intervention groups</w:t>
      </w:r>
      <w:r w:rsidR="00B10BB9" w:rsidRPr="00B7083C">
        <w:rPr>
          <w:lang w:eastAsia="en-GB"/>
        </w:rPr>
        <w:t xml:space="preserve"> </w:t>
      </w:r>
      <w:r w:rsidR="00B10BB9" w:rsidRPr="00B7083C">
        <w:t>via the electronic study database</w:t>
      </w:r>
      <w:r w:rsidR="009B0D1B" w:rsidRPr="00B7083C">
        <w:t xml:space="preserve"> (2</w:t>
      </w:r>
      <w:r w:rsidR="005C7A5C" w:rsidRPr="00B7083C">
        <w:t>3</w:t>
      </w:r>
      <w:r w:rsidR="009B0D1B" w:rsidRPr="00B7083C">
        <w:t>)</w:t>
      </w:r>
      <w:r w:rsidR="0075419D" w:rsidRPr="00B7083C">
        <w:rPr>
          <w:lang w:eastAsia="en-GB"/>
        </w:rPr>
        <w:t>,</w:t>
      </w:r>
      <w:r w:rsidR="00EC6AB2" w:rsidRPr="00B7083C">
        <w:rPr>
          <w:vertAlign w:val="superscript"/>
          <w:lang w:eastAsia="en-GB"/>
        </w:rPr>
        <w:t xml:space="preserve"> </w:t>
      </w:r>
      <w:r w:rsidR="0075419D" w:rsidRPr="00B7083C">
        <w:rPr>
          <w:lang w:eastAsia="en-GB"/>
        </w:rPr>
        <w:t xml:space="preserve">with </w:t>
      </w:r>
      <w:r w:rsidR="00727914" w:rsidRPr="00B7083C">
        <w:rPr>
          <w:lang w:eastAsia="en-GB"/>
        </w:rPr>
        <w:t>minimi</w:t>
      </w:r>
      <w:r w:rsidR="00895FE7" w:rsidRPr="00B7083C">
        <w:rPr>
          <w:lang w:eastAsia="en-GB"/>
        </w:rPr>
        <w:t>z</w:t>
      </w:r>
      <w:r w:rsidR="00727914" w:rsidRPr="00B7083C">
        <w:rPr>
          <w:lang w:eastAsia="en-GB"/>
        </w:rPr>
        <w:t xml:space="preserve">ation </w:t>
      </w:r>
      <w:r w:rsidR="0075419D" w:rsidRPr="00B7083C">
        <w:rPr>
          <w:lang w:eastAsia="en-GB"/>
        </w:rPr>
        <w:t xml:space="preserve">by site </w:t>
      </w:r>
      <w:r w:rsidR="00A85D68" w:rsidRPr="00B7083C">
        <w:rPr>
          <w:lang w:eastAsia="en-GB"/>
        </w:rPr>
        <w:t>and</w:t>
      </w:r>
      <w:r w:rsidR="0075419D" w:rsidRPr="00B7083C">
        <w:rPr>
          <w:lang w:eastAsia="en-GB"/>
        </w:rPr>
        <w:t xml:space="preserve"> ethnicity</w:t>
      </w:r>
      <w:r w:rsidR="004664E0" w:rsidRPr="00B7083C">
        <w:rPr>
          <w:lang w:eastAsia="en-GB"/>
        </w:rPr>
        <w:t xml:space="preserve"> to ensure balanced allocation to the groups</w:t>
      </w:r>
      <w:r w:rsidR="0075419D" w:rsidRPr="00B7083C">
        <w:rPr>
          <w:lang w:eastAsia="en-GB"/>
        </w:rPr>
        <w:t xml:space="preserve">. </w:t>
      </w:r>
      <w:r w:rsidR="005337DE" w:rsidRPr="00B7083C">
        <w:rPr>
          <w:lang w:eastAsia="en-GB"/>
        </w:rPr>
        <w:t xml:space="preserve">Throughout the </w:t>
      </w:r>
      <w:r w:rsidR="00A85D68" w:rsidRPr="00B7083C">
        <w:rPr>
          <w:lang w:eastAsia="en-GB"/>
        </w:rPr>
        <w:t>trial</w:t>
      </w:r>
      <w:r w:rsidR="005337DE" w:rsidRPr="00B7083C">
        <w:rPr>
          <w:lang w:eastAsia="en-GB"/>
        </w:rPr>
        <w:t xml:space="preserve"> participants, </w:t>
      </w:r>
      <w:r w:rsidR="000B3CE6" w:rsidRPr="00B7083C">
        <w:rPr>
          <w:lang w:eastAsia="en-GB"/>
        </w:rPr>
        <w:t xml:space="preserve">investigators, </w:t>
      </w:r>
      <w:r w:rsidR="005337DE" w:rsidRPr="00B7083C">
        <w:rPr>
          <w:lang w:eastAsia="en-GB"/>
        </w:rPr>
        <w:t xml:space="preserve">clinicians, and </w:t>
      </w:r>
      <w:r w:rsidR="005D56BB" w:rsidRPr="00B7083C">
        <w:rPr>
          <w:lang w:eastAsia="en-GB"/>
        </w:rPr>
        <w:t xml:space="preserve">fieldworkers </w:t>
      </w:r>
      <w:r w:rsidR="005337DE" w:rsidRPr="00B7083C">
        <w:rPr>
          <w:lang w:eastAsia="en-GB"/>
        </w:rPr>
        <w:t xml:space="preserve">were unaware of the trial-group assignments. </w:t>
      </w:r>
    </w:p>
    <w:p w14:paraId="3D9DDC80" w14:textId="6AD242B1" w:rsidR="00FD0624" w:rsidRPr="00B7083C" w:rsidRDefault="00E57356" w:rsidP="00B271C4">
      <w:pPr>
        <w:spacing w:after="160" w:line="480" w:lineRule="auto"/>
        <w:jc w:val="both"/>
        <w:rPr>
          <w:lang w:val="en-US"/>
        </w:rPr>
      </w:pPr>
      <w:r w:rsidRPr="00B7083C">
        <w:rPr>
          <w:lang w:eastAsia="en-GB"/>
        </w:rPr>
        <w:t xml:space="preserve">Following a baseline 75g oral glucose tolerance test (OGTT), anthropometric measurements and questionnaire ascertainment of the woman’s characteristics, </w:t>
      </w:r>
      <w:r w:rsidR="00DD23A1" w:rsidRPr="00B7083C">
        <w:rPr>
          <w:lang w:eastAsia="en-GB"/>
        </w:rPr>
        <w:t xml:space="preserve">trial </w:t>
      </w:r>
      <w:r w:rsidR="001E2A08" w:rsidRPr="00B7083C">
        <w:rPr>
          <w:lang w:eastAsia="en-GB"/>
        </w:rPr>
        <w:t xml:space="preserve">formulations </w:t>
      </w:r>
      <w:r w:rsidR="00DD23A1" w:rsidRPr="00B7083C">
        <w:rPr>
          <w:lang w:eastAsia="en-GB"/>
        </w:rPr>
        <w:t>w</w:t>
      </w:r>
      <w:r w:rsidR="008765B4" w:rsidRPr="00B7083C">
        <w:rPr>
          <w:lang w:eastAsia="en-GB"/>
        </w:rPr>
        <w:t>ere</w:t>
      </w:r>
      <w:r w:rsidR="00DD23A1" w:rsidRPr="00B7083C">
        <w:rPr>
          <w:lang w:eastAsia="en-GB"/>
        </w:rPr>
        <w:t xml:space="preserve"> initiated before conception </w:t>
      </w:r>
      <w:r w:rsidRPr="00B7083C">
        <w:rPr>
          <w:lang w:eastAsia="en-GB"/>
        </w:rPr>
        <w:t xml:space="preserve">and </w:t>
      </w:r>
      <w:r w:rsidR="00DD23A1" w:rsidRPr="00B7083C">
        <w:rPr>
          <w:lang w:eastAsia="en-GB"/>
        </w:rPr>
        <w:t xml:space="preserve">continued until the end of pregnancy. Participants were </w:t>
      </w:r>
      <w:r w:rsidR="00DD23A1" w:rsidRPr="00B7083C">
        <w:rPr>
          <w:lang w:eastAsia="en-GB"/>
        </w:rPr>
        <w:lastRenderedPageBreak/>
        <w:t>instructed to contact the trial team as soon as they had a positive urinary pregnancy test</w:t>
      </w:r>
      <w:r w:rsidRPr="00B7083C">
        <w:rPr>
          <w:lang w:eastAsia="en-GB"/>
        </w:rPr>
        <w:t>, which was then confirmed by an ultrasonographic examination at 6</w:t>
      </w:r>
      <w:r w:rsidR="005B5C62" w:rsidRPr="00B7083C">
        <w:rPr>
          <w:lang w:eastAsia="en-GB"/>
        </w:rPr>
        <w:t>-</w:t>
      </w:r>
      <w:r w:rsidRPr="00B7083C">
        <w:rPr>
          <w:lang w:eastAsia="en-GB"/>
        </w:rPr>
        <w:t>8 weeks</w:t>
      </w:r>
      <w:r w:rsidR="00682731" w:rsidRPr="00B7083C">
        <w:rPr>
          <w:lang w:eastAsia="en-GB"/>
        </w:rPr>
        <w:t>’ gestation</w:t>
      </w:r>
      <w:r w:rsidRPr="00B7083C">
        <w:rPr>
          <w:lang w:eastAsia="en-GB"/>
        </w:rPr>
        <w:t>.</w:t>
      </w:r>
      <w:r w:rsidR="00DD23A1" w:rsidRPr="00B7083C">
        <w:rPr>
          <w:lang w:eastAsia="en-GB"/>
        </w:rPr>
        <w:t xml:space="preserve"> Once pregnant, the women </w:t>
      </w:r>
      <w:r w:rsidR="000E3AB5" w:rsidRPr="00B7083C">
        <w:rPr>
          <w:lang w:eastAsia="en-GB"/>
        </w:rPr>
        <w:t>were followed-up</w:t>
      </w:r>
      <w:r w:rsidR="00043232" w:rsidRPr="00B7083C">
        <w:rPr>
          <w:lang w:eastAsia="en-GB"/>
        </w:rPr>
        <w:t xml:space="preserve"> with questionnaires,</w:t>
      </w:r>
      <w:r w:rsidR="000E3AB5" w:rsidRPr="00B7083C">
        <w:rPr>
          <w:lang w:eastAsia="en-GB"/>
        </w:rPr>
        <w:t xml:space="preserve"> for resupply of trial </w:t>
      </w:r>
      <w:r w:rsidR="00EF5089" w:rsidRPr="00B7083C">
        <w:rPr>
          <w:lang w:eastAsia="en-GB"/>
        </w:rPr>
        <w:t>formulations</w:t>
      </w:r>
      <w:r w:rsidR="00043232" w:rsidRPr="00B7083C">
        <w:rPr>
          <w:lang w:eastAsia="en-GB"/>
        </w:rPr>
        <w:t xml:space="preserve">, a </w:t>
      </w:r>
      <w:r w:rsidR="00EF5089" w:rsidRPr="00B7083C">
        <w:rPr>
          <w:lang w:eastAsia="en-GB"/>
        </w:rPr>
        <w:t>20</w:t>
      </w:r>
      <w:r w:rsidR="00BF735F" w:rsidRPr="00B7083C">
        <w:rPr>
          <w:lang w:eastAsia="en-GB"/>
        </w:rPr>
        <w:t>-</w:t>
      </w:r>
      <w:r w:rsidR="00EF5089" w:rsidRPr="00B7083C">
        <w:rPr>
          <w:lang w:eastAsia="en-GB"/>
        </w:rPr>
        <w:t xml:space="preserve">week </w:t>
      </w:r>
      <w:proofErr w:type="spellStart"/>
      <w:r w:rsidR="00043232" w:rsidRPr="00B7083C">
        <w:rPr>
          <w:lang w:eastAsia="en-GB"/>
        </w:rPr>
        <w:t>fetal</w:t>
      </w:r>
      <w:proofErr w:type="spellEnd"/>
      <w:r w:rsidR="00043232" w:rsidRPr="00B7083C">
        <w:rPr>
          <w:lang w:eastAsia="en-GB"/>
        </w:rPr>
        <w:t xml:space="preserve"> anomaly scan </w:t>
      </w:r>
      <w:r w:rsidR="000E3AB5" w:rsidRPr="00B7083C">
        <w:rPr>
          <w:lang w:eastAsia="en-GB"/>
        </w:rPr>
        <w:t xml:space="preserve">and a </w:t>
      </w:r>
      <w:r w:rsidR="00EF5089" w:rsidRPr="00B7083C">
        <w:rPr>
          <w:lang w:eastAsia="en-GB"/>
        </w:rPr>
        <w:t>28</w:t>
      </w:r>
      <w:r w:rsidR="002963D1" w:rsidRPr="00B7083C">
        <w:rPr>
          <w:lang w:eastAsia="en-GB"/>
        </w:rPr>
        <w:t>-</w:t>
      </w:r>
      <w:r w:rsidR="00EF5089" w:rsidRPr="00B7083C">
        <w:rPr>
          <w:lang w:eastAsia="en-GB"/>
        </w:rPr>
        <w:t xml:space="preserve">week </w:t>
      </w:r>
      <w:r w:rsidR="000E3AB5" w:rsidRPr="00B7083C">
        <w:rPr>
          <w:lang w:eastAsia="en-GB"/>
        </w:rPr>
        <w:t xml:space="preserve">OGTT. </w:t>
      </w:r>
      <w:r w:rsidR="00EC25BD" w:rsidRPr="00B7083C">
        <w:rPr>
          <w:lang w:eastAsia="en-GB"/>
        </w:rPr>
        <w:t>Plasma glucose was collected</w:t>
      </w:r>
      <w:r w:rsidR="00CE1435" w:rsidRPr="00B7083C">
        <w:rPr>
          <w:lang w:eastAsia="en-GB"/>
        </w:rPr>
        <w:t xml:space="preserve"> in </w:t>
      </w:r>
      <w:r w:rsidR="00270597" w:rsidRPr="00B7083C">
        <w:rPr>
          <w:lang w:eastAsia="en-GB"/>
        </w:rPr>
        <w:t>anti-glycolytic-buffered tubes and transported on an ice slurry to the laboratory within 30 minutes</w:t>
      </w:r>
      <w:r w:rsidR="00EC25BD" w:rsidRPr="00B7083C">
        <w:rPr>
          <w:lang w:eastAsia="en-GB"/>
        </w:rPr>
        <w:t xml:space="preserve"> using standardi</w:t>
      </w:r>
      <w:r w:rsidR="00C25338" w:rsidRPr="00B7083C">
        <w:rPr>
          <w:lang w:eastAsia="en-GB"/>
        </w:rPr>
        <w:t>z</w:t>
      </w:r>
      <w:r w:rsidR="00EC25BD" w:rsidRPr="00B7083C">
        <w:rPr>
          <w:lang w:eastAsia="en-GB"/>
        </w:rPr>
        <w:t>ed protocols</w:t>
      </w:r>
      <w:r w:rsidR="008B4B86" w:rsidRPr="00B7083C">
        <w:rPr>
          <w:lang w:eastAsia="en-GB"/>
        </w:rPr>
        <w:t xml:space="preserve"> across sites</w:t>
      </w:r>
      <w:r w:rsidR="00EC25BD" w:rsidRPr="00B7083C">
        <w:rPr>
          <w:lang w:eastAsia="en-GB"/>
        </w:rPr>
        <w:t xml:space="preserve">. </w:t>
      </w:r>
      <w:r w:rsidR="00A85D68" w:rsidRPr="00B7083C">
        <w:rPr>
          <w:lang w:eastAsia="en-GB"/>
        </w:rPr>
        <w:t>G</w:t>
      </w:r>
      <w:r w:rsidR="00EC25BD" w:rsidRPr="00B7083C">
        <w:rPr>
          <w:lang w:eastAsia="en-GB"/>
        </w:rPr>
        <w:t xml:space="preserve">lucose measurements </w:t>
      </w:r>
      <w:r w:rsidR="00270597" w:rsidRPr="00B7083C">
        <w:rPr>
          <w:lang w:eastAsia="en-GB"/>
        </w:rPr>
        <w:t xml:space="preserve">using the glucose oxidase method </w:t>
      </w:r>
      <w:r w:rsidR="00EC25BD" w:rsidRPr="00B7083C">
        <w:rPr>
          <w:lang w:eastAsia="en-GB"/>
        </w:rPr>
        <w:t>were undertaken by a single laboratory at each site, with uniform external quality assurance</w:t>
      </w:r>
      <w:r w:rsidR="00DF7254" w:rsidRPr="00B7083C">
        <w:rPr>
          <w:lang w:eastAsia="en-GB"/>
        </w:rPr>
        <w:t xml:space="preserve"> in the </w:t>
      </w:r>
      <w:r w:rsidR="000C34F2" w:rsidRPr="00B7083C">
        <w:t xml:space="preserve">Royal College of Pathologists of </w:t>
      </w:r>
      <w:r w:rsidR="00DF7254" w:rsidRPr="00B7083C">
        <w:t>Austral</w:t>
      </w:r>
      <w:r w:rsidR="000C34F2" w:rsidRPr="00B7083C">
        <w:t>asia (RCPA</w:t>
      </w:r>
      <w:r w:rsidR="00DF7254" w:rsidRPr="00B7083C">
        <w:t>) Quality Assurance Program</w:t>
      </w:r>
      <w:r w:rsidR="00EC25BD" w:rsidRPr="00B7083C">
        <w:rPr>
          <w:lang w:eastAsia="en-GB"/>
        </w:rPr>
        <w:t xml:space="preserve">. </w:t>
      </w:r>
      <w:r w:rsidR="00582EF3" w:rsidRPr="00B7083C">
        <w:rPr>
          <w:lang w:eastAsia="en-GB"/>
        </w:rPr>
        <w:t>P</w:t>
      </w:r>
      <w:r w:rsidR="00270597" w:rsidRPr="00B7083C">
        <w:rPr>
          <w:lang w:eastAsia="en-GB"/>
        </w:rPr>
        <w:t>lasma</w:t>
      </w:r>
      <w:r w:rsidR="008A1795" w:rsidRPr="00B7083C">
        <w:rPr>
          <w:lang w:eastAsia="en-GB"/>
        </w:rPr>
        <w:t xml:space="preserve"> </w:t>
      </w:r>
      <w:r w:rsidR="008A1795" w:rsidRPr="00B7083C">
        <w:rPr>
          <w:shd w:val="clear" w:color="auto" w:fill="FFFFFF"/>
        </w:rPr>
        <w:t>25-hydroxyvitamin D</w:t>
      </w:r>
      <w:r w:rsidR="00270597" w:rsidRPr="00B7083C">
        <w:rPr>
          <w:lang w:eastAsia="en-GB"/>
        </w:rPr>
        <w:t>, and serum insulin</w:t>
      </w:r>
      <w:r w:rsidR="00BB5DE7" w:rsidRPr="00B7083C">
        <w:rPr>
          <w:lang w:eastAsia="en-GB"/>
        </w:rPr>
        <w:t xml:space="preserve"> concentrations (</w:t>
      </w:r>
      <w:r w:rsidR="00270597" w:rsidRPr="00B7083C">
        <w:rPr>
          <w:lang w:eastAsia="en-GB"/>
        </w:rPr>
        <w:t>fasting, 30</w:t>
      </w:r>
      <w:r w:rsidR="00CA2205" w:rsidRPr="00B7083C">
        <w:rPr>
          <w:lang w:eastAsia="en-GB"/>
        </w:rPr>
        <w:t>-</w:t>
      </w:r>
      <w:r w:rsidR="00270597" w:rsidRPr="00B7083C">
        <w:rPr>
          <w:lang w:eastAsia="en-GB"/>
        </w:rPr>
        <w:t>min,</w:t>
      </w:r>
      <w:r w:rsidR="00582EF3" w:rsidRPr="00B7083C">
        <w:rPr>
          <w:lang w:eastAsia="en-GB"/>
        </w:rPr>
        <w:t xml:space="preserve"> 2</w:t>
      </w:r>
      <w:r w:rsidR="00CA2205" w:rsidRPr="00B7083C">
        <w:rPr>
          <w:lang w:eastAsia="en-GB"/>
        </w:rPr>
        <w:t>-</w:t>
      </w:r>
      <w:r w:rsidR="00582EF3" w:rsidRPr="00B7083C">
        <w:rPr>
          <w:lang w:eastAsia="en-GB"/>
        </w:rPr>
        <w:t>h</w:t>
      </w:r>
      <w:r w:rsidR="00CA2205" w:rsidRPr="00B7083C">
        <w:rPr>
          <w:lang w:eastAsia="en-GB"/>
        </w:rPr>
        <w:t>our</w:t>
      </w:r>
      <w:r w:rsidR="00582EF3" w:rsidRPr="00B7083C">
        <w:rPr>
          <w:lang w:eastAsia="en-GB"/>
        </w:rPr>
        <w:t xml:space="preserve"> at preconception baseline</w:t>
      </w:r>
      <w:r w:rsidR="00CA2205" w:rsidRPr="00B7083C">
        <w:rPr>
          <w:lang w:eastAsia="en-GB"/>
        </w:rPr>
        <w:t>;</w:t>
      </w:r>
      <w:r w:rsidR="00582EF3" w:rsidRPr="00B7083C">
        <w:rPr>
          <w:lang w:eastAsia="en-GB"/>
        </w:rPr>
        <w:t xml:space="preserve"> </w:t>
      </w:r>
      <w:r w:rsidR="00CA2205" w:rsidRPr="00B7083C">
        <w:rPr>
          <w:lang w:eastAsia="en-GB"/>
        </w:rPr>
        <w:t>fasting, 30-min, 1-</w:t>
      </w:r>
      <w:r w:rsidR="00270597" w:rsidRPr="00B7083C">
        <w:rPr>
          <w:lang w:eastAsia="en-GB"/>
        </w:rPr>
        <w:t>h</w:t>
      </w:r>
      <w:r w:rsidR="00CA2205" w:rsidRPr="00B7083C">
        <w:rPr>
          <w:lang w:eastAsia="en-GB"/>
        </w:rPr>
        <w:t xml:space="preserve">our, </w:t>
      </w:r>
      <w:r w:rsidR="00270597" w:rsidRPr="00B7083C">
        <w:rPr>
          <w:lang w:eastAsia="en-GB"/>
        </w:rPr>
        <w:t>90</w:t>
      </w:r>
      <w:r w:rsidR="00CA2205" w:rsidRPr="00B7083C">
        <w:rPr>
          <w:lang w:eastAsia="en-GB"/>
        </w:rPr>
        <w:t>-</w:t>
      </w:r>
      <w:r w:rsidR="00270597" w:rsidRPr="00B7083C">
        <w:rPr>
          <w:lang w:eastAsia="en-GB"/>
        </w:rPr>
        <w:t>min</w:t>
      </w:r>
      <w:r w:rsidR="00CA2205" w:rsidRPr="00B7083C">
        <w:rPr>
          <w:lang w:eastAsia="en-GB"/>
        </w:rPr>
        <w:t>, 2-hour</w:t>
      </w:r>
      <w:r w:rsidR="00582EF3" w:rsidRPr="00B7083C">
        <w:rPr>
          <w:lang w:eastAsia="en-GB"/>
        </w:rPr>
        <w:t xml:space="preserve"> </w:t>
      </w:r>
      <w:r w:rsidR="00270597" w:rsidRPr="00B7083C">
        <w:rPr>
          <w:lang w:eastAsia="en-GB"/>
        </w:rPr>
        <w:t>at the 28-week</w:t>
      </w:r>
      <w:r w:rsidR="00CA2205" w:rsidRPr="00B7083C">
        <w:rPr>
          <w:lang w:eastAsia="en-GB"/>
        </w:rPr>
        <w:t>s’</w:t>
      </w:r>
      <w:r w:rsidR="00270597" w:rsidRPr="00B7083C">
        <w:rPr>
          <w:lang w:eastAsia="en-GB"/>
        </w:rPr>
        <w:t xml:space="preserve"> OGTT</w:t>
      </w:r>
      <w:r w:rsidR="00582EF3" w:rsidRPr="00B7083C">
        <w:rPr>
          <w:lang w:eastAsia="en-GB"/>
        </w:rPr>
        <w:t>)</w:t>
      </w:r>
      <w:r w:rsidR="00270597" w:rsidRPr="00B7083C">
        <w:rPr>
          <w:lang w:eastAsia="en-GB"/>
        </w:rPr>
        <w:t>, were batch-</w:t>
      </w:r>
      <w:proofErr w:type="spellStart"/>
      <w:r w:rsidR="00270597" w:rsidRPr="00B7083C">
        <w:rPr>
          <w:lang w:eastAsia="en-GB"/>
        </w:rPr>
        <w:t>analyzed</w:t>
      </w:r>
      <w:proofErr w:type="spellEnd"/>
      <w:r w:rsidR="00210801" w:rsidRPr="00B7083C">
        <w:rPr>
          <w:lang w:eastAsia="en-GB"/>
        </w:rPr>
        <w:t xml:space="preserve"> by</w:t>
      </w:r>
      <w:r w:rsidR="008A1795" w:rsidRPr="00B7083C">
        <w:rPr>
          <w:lang w:eastAsia="en-GB"/>
        </w:rPr>
        <w:t xml:space="preserve"> liquid chromatography-tandem mass spectrometry</w:t>
      </w:r>
      <w:r w:rsidR="00210801" w:rsidRPr="00B7083C">
        <w:rPr>
          <w:lang w:eastAsia="en-GB"/>
        </w:rPr>
        <w:t xml:space="preserve"> </w:t>
      </w:r>
      <w:r w:rsidR="000C34F2" w:rsidRPr="00B7083C">
        <w:rPr>
          <w:shd w:val="clear" w:color="auto" w:fill="FFFFFF"/>
        </w:rPr>
        <w:t>(</w:t>
      </w:r>
      <w:proofErr w:type="spellStart"/>
      <w:r w:rsidR="000C34F2" w:rsidRPr="00B7083C">
        <w:rPr>
          <w:shd w:val="clear" w:color="auto" w:fill="FFFFFF"/>
        </w:rPr>
        <w:t>Bevital</w:t>
      </w:r>
      <w:proofErr w:type="spellEnd"/>
      <w:r w:rsidR="000C34F2" w:rsidRPr="00B7083C">
        <w:rPr>
          <w:shd w:val="clear" w:color="auto" w:fill="FFFFFF"/>
        </w:rPr>
        <w:t xml:space="preserve">, Bergen, Norway) </w:t>
      </w:r>
      <w:r w:rsidR="00210801" w:rsidRPr="00B7083C">
        <w:rPr>
          <w:shd w:val="clear" w:color="auto" w:fill="FFFFFF"/>
        </w:rPr>
        <w:t xml:space="preserve">and </w:t>
      </w:r>
      <w:r w:rsidR="0008479B" w:rsidRPr="00B7083C">
        <w:rPr>
          <w:shd w:val="clear" w:color="auto" w:fill="FFFFFF"/>
        </w:rPr>
        <w:t xml:space="preserve">an </w:t>
      </w:r>
      <w:r w:rsidR="00210801" w:rsidRPr="00B7083C">
        <w:rPr>
          <w:shd w:val="clear" w:color="auto" w:fill="FFFFFF"/>
        </w:rPr>
        <w:t>electrochemiluminescence immunoassay</w:t>
      </w:r>
      <w:r w:rsidR="0008479B" w:rsidRPr="00B7083C">
        <w:rPr>
          <w:shd w:val="clear" w:color="auto" w:fill="FFFFFF"/>
        </w:rPr>
        <w:t xml:space="preserve"> (Roche Cobas)</w:t>
      </w:r>
      <w:r w:rsidR="00210801" w:rsidRPr="00B7083C">
        <w:rPr>
          <w:shd w:val="clear" w:color="auto" w:fill="FFFFFF"/>
        </w:rPr>
        <w:t>, respectively.</w:t>
      </w:r>
      <w:r w:rsidR="00270597" w:rsidRPr="00B7083C">
        <w:rPr>
          <w:lang w:eastAsia="en-GB"/>
        </w:rPr>
        <w:t xml:space="preserve"> </w:t>
      </w:r>
      <w:r w:rsidR="00210801" w:rsidRPr="00B7083C">
        <w:rPr>
          <w:lang w:eastAsia="en-GB"/>
        </w:rPr>
        <w:t>T</w:t>
      </w:r>
      <w:r w:rsidR="00270597" w:rsidRPr="00B7083C">
        <w:rPr>
          <w:lang w:eastAsia="en-GB"/>
        </w:rPr>
        <w:t xml:space="preserve">he </w:t>
      </w:r>
      <w:r w:rsidR="0064718B" w:rsidRPr="00B7083C">
        <w:rPr>
          <w:shd w:val="clear" w:color="auto" w:fill="FFFFFF"/>
        </w:rPr>
        <w:t>homeostasis model assessment for insulin resistance (</w:t>
      </w:r>
      <w:r w:rsidR="0064718B" w:rsidRPr="00B7083C">
        <w:rPr>
          <w:rFonts w:eastAsia="SimSun"/>
          <w:lang w:eastAsia="zh-SG"/>
        </w:rPr>
        <w:t>HOMA2-IR</w:t>
      </w:r>
      <w:r w:rsidR="004B5922" w:rsidRPr="00B7083C">
        <w:rPr>
          <w:rFonts w:eastAsia="SimSun"/>
          <w:lang w:eastAsia="zh-SG"/>
        </w:rPr>
        <w:t xml:space="preserve">; </w:t>
      </w:r>
      <w:hyperlink r:id="rId8" w:history="1">
        <w:r w:rsidR="00BF4E34" w:rsidRPr="00B7083C">
          <w:rPr>
            <w:rStyle w:val="Hyperlink"/>
            <w:rFonts w:eastAsia="SimSun"/>
            <w:color w:val="auto"/>
            <w:lang w:eastAsia="zh-SG"/>
          </w:rPr>
          <w:t>www.OCDEM.ox.ac.uk</w:t>
        </w:r>
      </w:hyperlink>
      <w:r w:rsidR="0064718B" w:rsidRPr="00B7083C">
        <w:rPr>
          <w:rFonts w:eastAsia="SimSun"/>
          <w:lang w:eastAsia="zh-SG"/>
        </w:rPr>
        <w:t>)</w:t>
      </w:r>
      <w:r w:rsidR="004B5922" w:rsidRPr="00B7083C">
        <w:rPr>
          <w:rFonts w:eastAsia="SimSun"/>
          <w:lang w:eastAsia="zh-SG"/>
        </w:rPr>
        <w:t xml:space="preserve"> (2</w:t>
      </w:r>
      <w:r w:rsidR="005C7A5C" w:rsidRPr="00B7083C">
        <w:rPr>
          <w:rFonts w:eastAsia="SimSun"/>
          <w:lang w:eastAsia="zh-SG"/>
        </w:rPr>
        <w:t>5</w:t>
      </w:r>
      <w:r w:rsidR="004B5922" w:rsidRPr="00B7083C">
        <w:rPr>
          <w:rFonts w:eastAsia="SimSun"/>
          <w:lang w:eastAsia="zh-SG"/>
        </w:rPr>
        <w:t>)</w:t>
      </w:r>
      <w:r w:rsidR="0064718B" w:rsidRPr="00B7083C">
        <w:rPr>
          <w:rFonts w:eastAsia="SimSun"/>
          <w:lang w:eastAsia="zh-SG"/>
        </w:rPr>
        <w:t xml:space="preserve"> </w:t>
      </w:r>
      <w:r w:rsidR="0064718B" w:rsidRPr="00B7083C">
        <w:t xml:space="preserve">and Matsuda index </w:t>
      </w:r>
      <w:r w:rsidR="003F2791" w:rsidRPr="00B7083C">
        <w:t xml:space="preserve">measure </w:t>
      </w:r>
      <w:r w:rsidR="0064718B" w:rsidRPr="00B7083C">
        <w:t>of insulin sensitivity</w:t>
      </w:r>
      <w:r w:rsidR="0064718B" w:rsidRPr="00B7083C">
        <w:rPr>
          <w:lang w:val="en-US"/>
        </w:rPr>
        <w:t xml:space="preserve"> (</w:t>
      </w:r>
      <w:hyperlink r:id="rId9" w:history="1">
        <w:r w:rsidR="0064718B" w:rsidRPr="00B7083C">
          <w:rPr>
            <w:rStyle w:val="Hyperlink"/>
            <w:rFonts w:eastAsia="SimSun"/>
            <w:color w:val="auto"/>
            <w:lang w:eastAsia="zh-SG"/>
          </w:rPr>
          <w:t>http://mmatsuda.diabetes-smc.jp/xpoints.html</w:t>
        </w:r>
      </w:hyperlink>
      <w:r w:rsidR="0064718B" w:rsidRPr="00B7083C">
        <w:rPr>
          <w:lang w:val="en-US"/>
        </w:rPr>
        <w:t>.)</w:t>
      </w:r>
      <w:r w:rsidR="004B5922" w:rsidRPr="00B7083C">
        <w:rPr>
          <w:lang w:val="en-US"/>
        </w:rPr>
        <w:t xml:space="preserve"> (2</w:t>
      </w:r>
      <w:r w:rsidR="005C7A5C" w:rsidRPr="00B7083C">
        <w:rPr>
          <w:lang w:val="en-US"/>
        </w:rPr>
        <w:t>6</w:t>
      </w:r>
      <w:r w:rsidR="004B5922" w:rsidRPr="00B7083C">
        <w:rPr>
          <w:lang w:val="en-US"/>
        </w:rPr>
        <w:t>)</w:t>
      </w:r>
      <w:r w:rsidR="00877E04" w:rsidRPr="00B7083C">
        <w:rPr>
          <w:lang w:val="en-US"/>
        </w:rPr>
        <w:t xml:space="preserve"> were calculated</w:t>
      </w:r>
      <w:r w:rsidR="004B5922" w:rsidRPr="00B7083C">
        <w:rPr>
          <w:lang w:val="en-US"/>
        </w:rPr>
        <w:t>.</w:t>
      </w:r>
      <w:r w:rsidR="0064718B" w:rsidRPr="00B7083C">
        <w:rPr>
          <w:lang w:val="en-US"/>
        </w:rPr>
        <w:t xml:space="preserve"> </w:t>
      </w:r>
    </w:p>
    <w:p w14:paraId="78F82DCD" w14:textId="35194CA2" w:rsidR="00DD23A1" w:rsidRPr="00B7083C" w:rsidRDefault="001657AE" w:rsidP="00B271C4">
      <w:pPr>
        <w:spacing w:after="160" w:line="480" w:lineRule="auto"/>
        <w:jc w:val="both"/>
        <w:rPr>
          <w:lang w:eastAsia="en-GB"/>
        </w:rPr>
      </w:pPr>
      <w:r w:rsidRPr="00B7083C">
        <w:rPr>
          <w:lang w:eastAsia="en-GB"/>
        </w:rPr>
        <w:t>Antenatal, peri</w:t>
      </w:r>
      <w:r w:rsidR="008B4B86" w:rsidRPr="00B7083C">
        <w:rPr>
          <w:lang w:eastAsia="en-GB"/>
        </w:rPr>
        <w:t>-</w:t>
      </w:r>
      <w:r w:rsidRPr="00B7083C">
        <w:rPr>
          <w:lang w:eastAsia="en-GB"/>
        </w:rPr>
        <w:t xml:space="preserve">partum and neonatal outcomes were ascertained from medical records. </w:t>
      </w:r>
      <w:r w:rsidR="00DD23A1" w:rsidRPr="00B7083C">
        <w:rPr>
          <w:lang w:eastAsia="en-GB"/>
        </w:rPr>
        <w:t xml:space="preserve">Adherence to the trial </w:t>
      </w:r>
      <w:r w:rsidR="002110EE" w:rsidRPr="00B7083C">
        <w:rPr>
          <w:lang w:eastAsia="en-GB"/>
        </w:rPr>
        <w:t>formulation</w:t>
      </w:r>
      <w:r w:rsidR="00DD23A1" w:rsidRPr="00B7083C">
        <w:rPr>
          <w:lang w:eastAsia="en-GB"/>
        </w:rPr>
        <w:t xml:space="preserve"> was ascertained by sachet counting. Good adherence was defined </w:t>
      </w:r>
      <w:r w:rsidR="00DD23A1" w:rsidRPr="00B7083C">
        <w:rPr>
          <w:i/>
          <w:lang w:eastAsia="en-GB"/>
        </w:rPr>
        <w:t>a priori</w:t>
      </w:r>
      <w:r w:rsidR="00DD23A1" w:rsidRPr="00B7083C">
        <w:rPr>
          <w:lang w:eastAsia="en-GB"/>
        </w:rPr>
        <w:t xml:space="preserve"> </w:t>
      </w:r>
      <w:r w:rsidR="00114FA0" w:rsidRPr="00B7083C">
        <w:rPr>
          <w:lang w:eastAsia="en-GB"/>
        </w:rPr>
        <w:t>as</w:t>
      </w:r>
      <w:r w:rsidR="00DD23A1" w:rsidRPr="00B7083C">
        <w:rPr>
          <w:lang w:eastAsia="en-GB"/>
        </w:rPr>
        <w:t xml:space="preserve"> at least 60% of the sachets taken.</w:t>
      </w:r>
    </w:p>
    <w:p w14:paraId="6401FFB1" w14:textId="6C61017E" w:rsidR="00DD23A1" w:rsidRPr="00B7083C" w:rsidRDefault="007A3E1A" w:rsidP="00B271C4">
      <w:pPr>
        <w:keepNext/>
        <w:spacing w:line="480" w:lineRule="auto"/>
        <w:jc w:val="both"/>
        <w:rPr>
          <w:b/>
          <w:i/>
          <w:lang w:eastAsia="en-GB"/>
        </w:rPr>
      </w:pPr>
      <w:r w:rsidRPr="00B7083C">
        <w:rPr>
          <w:b/>
          <w:i/>
          <w:lang w:eastAsia="en-GB"/>
        </w:rPr>
        <w:t>Outcome</w:t>
      </w:r>
      <w:r w:rsidR="00DD23A1" w:rsidRPr="00B7083C">
        <w:rPr>
          <w:b/>
          <w:i/>
          <w:lang w:eastAsia="en-GB"/>
        </w:rPr>
        <w:t>s</w:t>
      </w:r>
    </w:p>
    <w:p w14:paraId="2BC3BF95" w14:textId="65223E5D" w:rsidR="00DD23A1" w:rsidRPr="00B7083C" w:rsidRDefault="009B0D1B" w:rsidP="00895FE7">
      <w:pPr>
        <w:spacing w:after="240" w:line="480" w:lineRule="auto"/>
        <w:jc w:val="both"/>
        <w:rPr>
          <w:vertAlign w:val="superscript"/>
          <w:lang w:eastAsia="en-GB"/>
        </w:rPr>
      </w:pPr>
      <w:r w:rsidRPr="00B7083C">
        <w:t>The primary outcome was fasting and/or 1-hour and/or 2-hour plasma glucose concentrations following a 75g OGTT at 28 weeks’ gestation (</w:t>
      </w:r>
      <w:r w:rsidRPr="00B7083C">
        <w:rPr>
          <w:i/>
        </w:rPr>
        <w:t>a priori</w:t>
      </w:r>
      <w:r w:rsidRPr="00B7083C">
        <w:t xml:space="preserve"> specification included all conducted between 24-32 weeks). Based on prior systematic reviews, principal pre-specified secondary outcomes were GDM (defined by IADPSG criteria (2</w:t>
      </w:r>
      <w:r w:rsidR="00D837D2" w:rsidRPr="00B7083C">
        <w:t>7</w:t>
      </w:r>
      <w:r w:rsidRPr="00B7083C">
        <w:t>)), large size-for-gestational age at birth (</w:t>
      </w:r>
      <w:r w:rsidRPr="00B7083C">
        <w:rPr>
          <w:lang w:eastAsia="en-GB"/>
        </w:rPr>
        <w:t>using sex- and gestational age- specific RCPCH 2009 UK-WHO growth charts (2</w:t>
      </w:r>
      <w:r w:rsidR="00D837D2" w:rsidRPr="00B7083C">
        <w:rPr>
          <w:lang w:eastAsia="en-GB"/>
        </w:rPr>
        <w:t>8</w:t>
      </w:r>
      <w:r w:rsidRPr="00B7083C">
        <w:rPr>
          <w:lang w:eastAsia="en-GB"/>
        </w:rPr>
        <w:t xml:space="preserve">)) </w:t>
      </w:r>
      <w:r w:rsidRPr="00B7083C">
        <w:t xml:space="preserve">and preterm birth; other secondary outcomes are shown in </w:t>
      </w:r>
      <w:r w:rsidR="0012593D" w:rsidRPr="00B7083C">
        <w:t xml:space="preserve">Table 3, and </w:t>
      </w:r>
      <w:r w:rsidR="004A7607" w:rsidRPr="00B7083C">
        <w:t>Supplemental Table S2</w:t>
      </w:r>
      <w:r w:rsidR="00FC1B98" w:rsidRPr="00B7083C">
        <w:t>.</w:t>
      </w:r>
      <w:r w:rsidR="001E2A08" w:rsidRPr="00B7083C">
        <w:t xml:space="preserve"> </w:t>
      </w:r>
      <w:r w:rsidRPr="00B7083C">
        <w:rPr>
          <w:lang w:eastAsia="en-GB"/>
        </w:rPr>
        <w:lastRenderedPageBreak/>
        <w:t>Gestational age was determined using a pre-specified algorithm (2</w:t>
      </w:r>
      <w:r w:rsidR="00D837D2" w:rsidRPr="00B7083C">
        <w:rPr>
          <w:lang w:eastAsia="en-GB"/>
        </w:rPr>
        <w:t>9</w:t>
      </w:r>
      <w:r w:rsidRPr="00B7083C">
        <w:rPr>
          <w:lang w:eastAsia="en-GB"/>
        </w:rPr>
        <w:t xml:space="preserve">) using menstrual data (date of last menstrual period (LMP), self-reported cycle regularity, mean cycle lengths in last 3 months), with first trimester </w:t>
      </w:r>
      <w:proofErr w:type="spellStart"/>
      <w:r w:rsidRPr="00B7083C">
        <w:rPr>
          <w:lang w:eastAsia="en-GB"/>
        </w:rPr>
        <w:t>fetal</w:t>
      </w:r>
      <w:proofErr w:type="spellEnd"/>
      <w:r w:rsidRPr="00B7083C">
        <w:rPr>
          <w:lang w:eastAsia="en-GB"/>
        </w:rPr>
        <w:t xml:space="preserve"> ultrasonographic crown-rump length measurement used if</w:t>
      </w:r>
      <w:r w:rsidRPr="00B7083C">
        <w:t xml:space="preserve"> &gt;7 days’ discrepancy between LMP and scan dates, uncertain LMP date, irregular cycles or hormonal contraception-use within last 3 months</w:t>
      </w:r>
      <w:r w:rsidRPr="00B7083C">
        <w:rPr>
          <w:lang w:eastAsia="en-GB"/>
        </w:rPr>
        <w:t>.</w:t>
      </w:r>
    </w:p>
    <w:p w14:paraId="0F997BFE" w14:textId="77777777" w:rsidR="00DD23A1" w:rsidRPr="00B7083C" w:rsidRDefault="00DD23A1" w:rsidP="00C25338">
      <w:pPr>
        <w:keepNext/>
        <w:spacing w:line="480" w:lineRule="auto"/>
        <w:jc w:val="both"/>
        <w:rPr>
          <w:b/>
          <w:i/>
          <w:lang w:eastAsia="en-GB"/>
        </w:rPr>
      </w:pPr>
      <w:r w:rsidRPr="00B7083C">
        <w:rPr>
          <w:b/>
          <w:i/>
          <w:lang w:eastAsia="en-GB"/>
        </w:rPr>
        <w:t>Statistical Analysis</w:t>
      </w:r>
    </w:p>
    <w:p w14:paraId="4CA1E842" w14:textId="6DBF5039" w:rsidR="009B0D1B" w:rsidRPr="00B7083C" w:rsidRDefault="009B0D1B" w:rsidP="00C25338">
      <w:pPr>
        <w:spacing w:after="160" w:line="480" w:lineRule="auto"/>
        <w:jc w:val="both"/>
        <w:rPr>
          <w:highlight w:val="yellow"/>
          <w:lang w:eastAsia="en-GB"/>
        </w:rPr>
      </w:pPr>
      <w:r w:rsidRPr="00B7083C">
        <w:t xml:space="preserve">Considering the composite multiple endpoint primary outcome of plasma glucose at three 75g OGTT time points, the pre-specified level of statistical significance was set as p&lt;0.017 (i.e. 0.05 divided by 3). With a sample size of 600 (300 in each group), a two-sided test with alpha 0.017 and 80% power, the detectable differences in fasting, 1-hour and 2-hour glucose concentrations between groups were 0.12, 0.45 and 0.34 mmol/L, respectively (each with </w:t>
      </w:r>
      <w:r w:rsidR="00C25338" w:rsidRPr="00B7083C">
        <w:t>a standardiz</w:t>
      </w:r>
      <w:r w:rsidRPr="00B7083C">
        <w:t>ed effect size of 0.265 standard deviations using values reported in the HAPO study (</w:t>
      </w:r>
      <w:r w:rsidR="00D837D2" w:rsidRPr="00B7083C">
        <w:t>30</w:t>
      </w:r>
      <w:r w:rsidRPr="00B7083C">
        <w:t>)).</w:t>
      </w:r>
      <w:r w:rsidRPr="00B7083C" w:rsidDel="003760EC">
        <w:rPr>
          <w:lang w:eastAsia="en-GB"/>
        </w:rPr>
        <w:t xml:space="preserve"> </w:t>
      </w:r>
      <w:r w:rsidR="00093ACF" w:rsidRPr="00B7083C">
        <w:rPr>
          <w:lang w:eastAsia="en-GB"/>
        </w:rPr>
        <w:t xml:space="preserve">Such magnitudes of </w:t>
      </w:r>
      <w:proofErr w:type="spellStart"/>
      <w:r w:rsidR="00093ACF" w:rsidRPr="00B7083C">
        <w:rPr>
          <w:lang w:eastAsia="en-GB"/>
        </w:rPr>
        <w:t>glycemic</w:t>
      </w:r>
      <w:proofErr w:type="spellEnd"/>
      <w:r w:rsidR="00093ACF" w:rsidRPr="00B7083C">
        <w:rPr>
          <w:lang w:eastAsia="en-GB"/>
        </w:rPr>
        <w:t xml:space="preserve"> change are expected to have clinically appreciable effects on neonatal size and adiposity, and longer term offspring health (2, 3). </w:t>
      </w:r>
    </w:p>
    <w:p w14:paraId="7FE47020" w14:textId="66EF92D7" w:rsidR="001E4F9B" w:rsidRPr="00B7083C" w:rsidRDefault="001F75FA" w:rsidP="00C25338">
      <w:pPr>
        <w:spacing w:after="160" w:line="480" w:lineRule="auto"/>
        <w:jc w:val="both"/>
        <w:rPr>
          <w:lang w:eastAsia="en-GB"/>
        </w:rPr>
      </w:pPr>
      <w:r w:rsidRPr="00B7083C">
        <w:t>G</w:t>
      </w:r>
      <w:r w:rsidR="004314B2" w:rsidRPr="00B7083C">
        <w:t>lucose values were log</w:t>
      </w:r>
      <w:r w:rsidR="004314B2" w:rsidRPr="00B7083C">
        <w:rPr>
          <w:vertAlign w:val="subscript"/>
        </w:rPr>
        <w:t>e</w:t>
      </w:r>
      <w:r w:rsidR="004314B2" w:rsidRPr="00B7083C">
        <w:t xml:space="preserve"> </w:t>
      </w:r>
      <w:r w:rsidR="00FB64B5" w:rsidRPr="00B7083C">
        <w:t>transformed</w:t>
      </w:r>
      <w:r w:rsidR="004314B2" w:rsidRPr="00B7083C">
        <w:t xml:space="preserve"> to achieve approximately Normal distribution</w:t>
      </w:r>
      <w:r w:rsidR="00C55108" w:rsidRPr="00B7083C">
        <w:t>s</w:t>
      </w:r>
      <w:r w:rsidR="004314B2" w:rsidRPr="00B7083C">
        <w:t xml:space="preserve"> before using these values for analysis. </w:t>
      </w:r>
      <w:r w:rsidR="00E57356" w:rsidRPr="00B7083C">
        <w:rPr>
          <w:lang w:eastAsia="en-GB"/>
        </w:rPr>
        <w:t xml:space="preserve">Analysis of the primary outcome </w:t>
      </w:r>
      <w:r w:rsidR="00E57356" w:rsidRPr="00B7083C">
        <w:t xml:space="preserve">used linear regression on the intention-to-treat dataset (all </w:t>
      </w:r>
      <w:r w:rsidR="00824DC0" w:rsidRPr="00B7083C">
        <w:t>randomized</w:t>
      </w:r>
      <w:r w:rsidR="00E57356" w:rsidRPr="00B7083C">
        <w:t xml:space="preserve"> participants who provided an OGTT at 24-32 weeks). Group (control or intervention) was included as a predictor and regressions adjusted for site, ethnicity and </w:t>
      </w:r>
      <w:r w:rsidR="007B06A5" w:rsidRPr="00B7083C">
        <w:t xml:space="preserve">corresponding </w:t>
      </w:r>
      <w:r w:rsidR="00E57356" w:rsidRPr="00B7083C">
        <w:t xml:space="preserve">preconception </w:t>
      </w:r>
      <w:r w:rsidR="00824DC0" w:rsidRPr="00B7083C">
        <w:t>glycemia</w:t>
      </w:r>
      <w:r w:rsidR="008B4B86" w:rsidRPr="00B7083C">
        <w:t xml:space="preserve"> </w:t>
      </w:r>
      <w:r w:rsidR="00E57356" w:rsidRPr="00B7083C">
        <w:t>to account for potential imbalance between treatment arms amongst pregnancies that reach</w:t>
      </w:r>
      <w:r w:rsidR="00C55108" w:rsidRPr="00B7083C">
        <w:t>ed</w:t>
      </w:r>
      <w:r w:rsidR="00E57356" w:rsidRPr="00B7083C">
        <w:t xml:space="preserve"> 24-32 weeks</w:t>
      </w:r>
      <w:r w:rsidR="004E1B45" w:rsidRPr="00B7083C">
        <w:t>’</w:t>
      </w:r>
      <w:r w:rsidR="00E57356" w:rsidRPr="00B7083C">
        <w:t xml:space="preserve"> gestation. </w:t>
      </w:r>
      <w:r w:rsidR="00F07256" w:rsidRPr="00B7083C">
        <w:t>Subsequent regression models were additionally adjusted for pre-specified factors thought to be important predictors of outcomes and for other factors not balanced across control and intervention groups and believed to be prognostic; these are listed in the relevant tables of results.</w:t>
      </w:r>
      <w:r w:rsidR="00FD0624" w:rsidRPr="00B7083C">
        <w:t xml:space="preserve"> </w:t>
      </w:r>
      <w:r w:rsidR="00F66DE7" w:rsidRPr="00B7083C">
        <w:t>Likewise</w:t>
      </w:r>
      <w:r w:rsidR="003017C5" w:rsidRPr="00B7083C">
        <w:t>,</w:t>
      </w:r>
      <w:r w:rsidR="00F66DE7" w:rsidRPr="00B7083C">
        <w:t xml:space="preserve"> </w:t>
      </w:r>
      <w:r w:rsidR="00FD0624" w:rsidRPr="00B7083C">
        <w:t xml:space="preserve">HOMA2-IR and Matsuda indices </w:t>
      </w:r>
      <w:r w:rsidR="00F66DE7" w:rsidRPr="00B7083C">
        <w:t>were log</w:t>
      </w:r>
      <w:r w:rsidR="00F66DE7" w:rsidRPr="00B7083C">
        <w:rPr>
          <w:vertAlign w:val="subscript"/>
        </w:rPr>
        <w:t>e</w:t>
      </w:r>
      <w:r w:rsidR="00F66DE7" w:rsidRPr="00B7083C">
        <w:t xml:space="preserve"> transformed and comparisons at</w:t>
      </w:r>
      <w:r w:rsidR="004011DB" w:rsidRPr="00B7083C">
        <w:t xml:space="preserve"> 28 weeks</w:t>
      </w:r>
      <w:r w:rsidR="00F66DE7" w:rsidRPr="00B7083C">
        <w:t>’</w:t>
      </w:r>
      <w:r w:rsidR="004011DB" w:rsidRPr="00B7083C">
        <w:t xml:space="preserve"> </w:t>
      </w:r>
      <w:r w:rsidR="00FD0624" w:rsidRPr="00B7083C">
        <w:t xml:space="preserve">were similarly adjusted but with corresponding preconception values instead of preconception </w:t>
      </w:r>
      <w:r w:rsidR="00FD0624" w:rsidRPr="00B7083C">
        <w:lastRenderedPageBreak/>
        <w:t>glycemia.</w:t>
      </w:r>
      <w:r w:rsidR="00F07256" w:rsidRPr="00B7083C">
        <w:t xml:space="preserve"> </w:t>
      </w:r>
      <w:r w:rsidR="00DD23A1" w:rsidRPr="00B7083C">
        <w:rPr>
          <w:lang w:eastAsia="en-GB"/>
        </w:rPr>
        <w:t>Estimates of differences</w:t>
      </w:r>
      <w:r w:rsidRPr="00B7083C">
        <w:rPr>
          <w:lang w:eastAsia="en-GB"/>
        </w:rPr>
        <w:t xml:space="preserve"> (beta)</w:t>
      </w:r>
      <w:r w:rsidR="00DD23A1" w:rsidRPr="00B7083C">
        <w:rPr>
          <w:lang w:eastAsia="en-GB"/>
        </w:rPr>
        <w:t xml:space="preserve"> between the groups are presented with 95% </w:t>
      </w:r>
      <w:r w:rsidR="006D284F" w:rsidRPr="00B7083C">
        <w:rPr>
          <w:lang w:eastAsia="en-GB"/>
        </w:rPr>
        <w:t>CI</w:t>
      </w:r>
      <w:r w:rsidR="00DD23A1" w:rsidRPr="00B7083C">
        <w:rPr>
          <w:lang w:eastAsia="en-GB"/>
        </w:rPr>
        <w:t>.</w:t>
      </w:r>
      <w:r w:rsidR="006D3F1F" w:rsidRPr="00B7083C">
        <w:rPr>
          <w:lang w:eastAsia="en-GB"/>
        </w:rPr>
        <w:t xml:space="preserve"> T-test</w:t>
      </w:r>
      <w:r w:rsidR="00D90C12" w:rsidRPr="00B7083C">
        <w:rPr>
          <w:lang w:eastAsia="en-GB"/>
        </w:rPr>
        <w:t>s</w:t>
      </w:r>
      <w:r w:rsidR="006D3F1F" w:rsidRPr="00B7083C">
        <w:rPr>
          <w:lang w:eastAsia="en-GB"/>
        </w:rPr>
        <w:t xml:space="preserve"> on </w:t>
      </w:r>
      <w:r w:rsidR="004314B2" w:rsidRPr="00B7083C">
        <w:t>log</w:t>
      </w:r>
      <w:r w:rsidR="004314B2" w:rsidRPr="00B7083C">
        <w:rPr>
          <w:vertAlign w:val="subscript"/>
        </w:rPr>
        <w:t>e</w:t>
      </w:r>
      <w:r w:rsidR="004314B2" w:rsidRPr="00B7083C">
        <w:t xml:space="preserve"> glucose </w:t>
      </w:r>
      <w:r w:rsidR="00D90C12" w:rsidRPr="00B7083C">
        <w:t>were</w:t>
      </w:r>
      <w:r w:rsidR="004314B2" w:rsidRPr="00B7083C">
        <w:t xml:space="preserve"> also conducted.</w:t>
      </w:r>
      <w:r w:rsidR="00DD23A1" w:rsidRPr="00B7083C">
        <w:rPr>
          <w:lang w:eastAsia="en-GB"/>
        </w:rPr>
        <w:t xml:space="preserve"> </w:t>
      </w:r>
      <w:r w:rsidR="004314B2" w:rsidRPr="00B7083C">
        <w:rPr>
          <w:lang w:eastAsia="en-GB"/>
        </w:rPr>
        <w:t>Group comparisons were performed in two p</w:t>
      </w:r>
      <w:r w:rsidR="00133293" w:rsidRPr="00B7083C">
        <w:rPr>
          <w:lang w:eastAsia="en-GB"/>
        </w:rPr>
        <w:t xml:space="preserve">re-specified special interest </w:t>
      </w:r>
      <w:r w:rsidR="00B259D7" w:rsidRPr="00B7083C">
        <w:rPr>
          <w:lang w:eastAsia="en-GB"/>
        </w:rPr>
        <w:t>sub</w:t>
      </w:r>
      <w:r w:rsidR="00133293" w:rsidRPr="00B7083C">
        <w:rPr>
          <w:lang w:eastAsia="en-GB"/>
        </w:rPr>
        <w:t>groups</w:t>
      </w:r>
      <w:r w:rsidR="008F0946" w:rsidRPr="00B7083C">
        <w:rPr>
          <w:lang w:eastAsia="en-GB"/>
        </w:rPr>
        <w:t>:</w:t>
      </w:r>
      <w:r w:rsidR="008A7E30" w:rsidRPr="00B7083C">
        <w:rPr>
          <w:lang w:eastAsia="en-GB"/>
        </w:rPr>
        <w:t xml:space="preserve"> </w:t>
      </w:r>
      <w:r w:rsidR="008F0946" w:rsidRPr="00B7083C">
        <w:rPr>
          <w:lang w:eastAsia="en-GB"/>
        </w:rPr>
        <w:t>women who were</w:t>
      </w:r>
      <w:r w:rsidR="004314B2" w:rsidRPr="00B7083C">
        <w:rPr>
          <w:lang w:eastAsia="en-GB"/>
        </w:rPr>
        <w:t xml:space="preserve"> overweight</w:t>
      </w:r>
      <w:r w:rsidR="008F0946" w:rsidRPr="00B7083C">
        <w:rPr>
          <w:lang w:eastAsia="en-GB"/>
        </w:rPr>
        <w:t xml:space="preserve"> or </w:t>
      </w:r>
      <w:r w:rsidR="004314B2" w:rsidRPr="00B7083C">
        <w:rPr>
          <w:lang w:eastAsia="en-GB"/>
        </w:rPr>
        <w:t>obes</w:t>
      </w:r>
      <w:r w:rsidR="008F0946" w:rsidRPr="00B7083C">
        <w:rPr>
          <w:lang w:eastAsia="en-GB"/>
        </w:rPr>
        <w:t>e</w:t>
      </w:r>
      <w:r w:rsidR="001E4F9B" w:rsidRPr="00B7083C">
        <w:rPr>
          <w:lang w:eastAsia="en-GB"/>
        </w:rPr>
        <w:t xml:space="preserve"> (</w:t>
      </w:r>
      <w:r w:rsidR="001E4F9B" w:rsidRPr="00B7083C">
        <w:t xml:space="preserve">defined using ethnic-specific thresholds of </w:t>
      </w:r>
      <w:r w:rsidR="002F6BC0" w:rsidRPr="00B7083C">
        <w:t>BMI</w:t>
      </w:r>
      <w:r w:rsidR="001E4F9B" w:rsidRPr="00B7083C">
        <w:t xml:space="preserve"> &gt;23 kg/m</w:t>
      </w:r>
      <w:r w:rsidR="001E4F9B" w:rsidRPr="00B7083C">
        <w:rPr>
          <w:vertAlign w:val="superscript"/>
        </w:rPr>
        <w:t>2</w:t>
      </w:r>
      <w:r w:rsidR="001E4F9B" w:rsidRPr="00B7083C">
        <w:t xml:space="preserve"> for Asians including Chinese, Indians, Pakistani, Bangladeshi, Malay, mixed Asian; &gt;25 kg/m</w:t>
      </w:r>
      <w:r w:rsidR="001E4F9B" w:rsidRPr="00B7083C">
        <w:rPr>
          <w:vertAlign w:val="superscript"/>
        </w:rPr>
        <w:t>2</w:t>
      </w:r>
      <w:r w:rsidR="001E4F9B" w:rsidRPr="00B7083C">
        <w:t xml:space="preserve"> for non-Asians including White Caucasian, Polynesian, Black, mixed Asian-non-Asian</w:t>
      </w:r>
      <w:r w:rsidR="002F6BC0" w:rsidRPr="00B7083C">
        <w:t>)</w:t>
      </w:r>
      <w:r w:rsidR="008A7E30" w:rsidRPr="00B7083C">
        <w:rPr>
          <w:lang w:eastAsia="en-GB"/>
        </w:rPr>
        <w:t>,</w:t>
      </w:r>
      <w:r w:rsidR="004314B2" w:rsidRPr="00B7083C">
        <w:rPr>
          <w:lang w:eastAsia="en-GB"/>
        </w:rPr>
        <w:t xml:space="preserve"> and </w:t>
      </w:r>
      <w:r w:rsidR="008F0946" w:rsidRPr="00B7083C">
        <w:rPr>
          <w:lang w:eastAsia="en-GB"/>
        </w:rPr>
        <w:t xml:space="preserve">women with </w:t>
      </w:r>
      <w:r w:rsidR="004314B2" w:rsidRPr="00B7083C">
        <w:rPr>
          <w:lang w:eastAsia="en-GB"/>
        </w:rPr>
        <w:t xml:space="preserve">documented </w:t>
      </w:r>
      <w:r w:rsidR="00AE4E9B" w:rsidRPr="00B7083C">
        <w:rPr>
          <w:lang w:eastAsia="en-GB"/>
        </w:rPr>
        <w:t xml:space="preserve">evidence of </w:t>
      </w:r>
      <w:proofErr w:type="spellStart"/>
      <w:r w:rsidR="004314B2" w:rsidRPr="00B7083C">
        <w:rPr>
          <w:lang w:eastAsia="en-GB"/>
        </w:rPr>
        <w:t>dys</w:t>
      </w:r>
      <w:r w:rsidR="00824DC0" w:rsidRPr="00B7083C">
        <w:rPr>
          <w:lang w:eastAsia="en-GB"/>
        </w:rPr>
        <w:t>glycemia</w:t>
      </w:r>
      <w:proofErr w:type="spellEnd"/>
      <w:r w:rsidR="00AE4E9B" w:rsidRPr="00B7083C">
        <w:rPr>
          <w:lang w:eastAsia="en-GB"/>
        </w:rPr>
        <w:t xml:space="preserve"> prior to conception defined </w:t>
      </w:r>
      <w:r w:rsidR="001E4F9B" w:rsidRPr="00B7083C">
        <w:t>as at least one of the following: GDM in a previous pregnancy</w:t>
      </w:r>
      <w:r w:rsidR="00974641" w:rsidRPr="00B7083C">
        <w:t>,</w:t>
      </w:r>
      <w:r w:rsidR="001E4F9B" w:rsidRPr="00B7083C">
        <w:t xml:space="preserve"> preconception baseline first visit raised HbA1C (≥5·7% (39</w:t>
      </w:r>
      <w:r w:rsidR="002F6BC0" w:rsidRPr="00B7083C">
        <w:t xml:space="preserve"> </w:t>
      </w:r>
      <w:r w:rsidR="001E4F9B" w:rsidRPr="00B7083C">
        <w:t>mmol/mol) or impaired fasting glucose (5·6 to 6·9 mmol/L) or impaired glucose tolerance (2-hour glucose 7·8 to 11·0 mmol/L)</w:t>
      </w:r>
      <w:r w:rsidR="002F6BC0" w:rsidRPr="00B7083C">
        <w:t xml:space="preserve"> (</w:t>
      </w:r>
      <w:r w:rsidR="00D837D2" w:rsidRPr="00B7083C">
        <w:t>31</w:t>
      </w:r>
      <w:r w:rsidR="002F6BC0" w:rsidRPr="00B7083C">
        <w:t>).</w:t>
      </w:r>
      <w:r w:rsidR="001E4F9B" w:rsidRPr="00B7083C">
        <w:rPr>
          <w:sz w:val="20"/>
          <w:szCs w:val="20"/>
        </w:rPr>
        <w:t xml:space="preserve"> </w:t>
      </w:r>
    </w:p>
    <w:p w14:paraId="4D0242FD" w14:textId="67C98F16" w:rsidR="001B2FB6" w:rsidRPr="00B7083C" w:rsidRDefault="00DD23A1" w:rsidP="00C25338">
      <w:pPr>
        <w:spacing w:after="160" w:line="480" w:lineRule="auto"/>
        <w:jc w:val="both"/>
        <w:rPr>
          <w:lang w:eastAsia="en-GB"/>
        </w:rPr>
      </w:pPr>
      <w:r w:rsidRPr="00B7083C">
        <w:rPr>
          <w:lang w:eastAsia="en-GB"/>
        </w:rPr>
        <w:t>The statistical analysis plan did not include correction for multiple comparisons for secondary or other outcomes. Therefore, results for these outcomes are reported as point estimates and 95%</w:t>
      </w:r>
      <w:r w:rsidR="008630CB" w:rsidRPr="00B7083C">
        <w:rPr>
          <w:lang w:eastAsia="en-GB"/>
        </w:rPr>
        <w:t>CI</w:t>
      </w:r>
      <w:r w:rsidR="00181977" w:rsidRPr="00B7083C">
        <w:rPr>
          <w:lang w:eastAsia="en-GB"/>
        </w:rPr>
        <w:t xml:space="preserve">, and </w:t>
      </w:r>
      <w:r w:rsidRPr="00B7083C">
        <w:rPr>
          <w:lang w:eastAsia="en-GB"/>
        </w:rPr>
        <w:t xml:space="preserve">should not be used to infer definitive treatment effects. Analyses were performed </w:t>
      </w:r>
      <w:r w:rsidR="00181977" w:rsidRPr="00B7083C">
        <w:rPr>
          <w:lang w:eastAsia="en-GB"/>
        </w:rPr>
        <w:t>using</w:t>
      </w:r>
      <w:r w:rsidRPr="00B7083C">
        <w:rPr>
          <w:lang w:eastAsia="en-GB"/>
        </w:rPr>
        <w:t xml:space="preserve"> </w:t>
      </w:r>
      <w:r w:rsidR="00F07256" w:rsidRPr="00B7083C">
        <w:rPr>
          <w:lang w:eastAsia="en-GB"/>
        </w:rPr>
        <w:t xml:space="preserve">Stata </w:t>
      </w:r>
      <w:r w:rsidRPr="00B7083C">
        <w:rPr>
          <w:lang w:eastAsia="en-GB"/>
        </w:rPr>
        <w:t>software</w:t>
      </w:r>
      <w:r w:rsidR="00555B76" w:rsidRPr="00B7083C">
        <w:rPr>
          <w:lang w:eastAsia="en-GB"/>
        </w:rPr>
        <w:t xml:space="preserve"> </w:t>
      </w:r>
      <w:r w:rsidR="00882AB8" w:rsidRPr="00B7083C">
        <w:rPr>
          <w:lang w:eastAsia="en-GB"/>
        </w:rPr>
        <w:t>v15</w:t>
      </w:r>
      <w:r w:rsidR="00C80C53" w:rsidRPr="00B7083C">
        <w:rPr>
          <w:lang w:eastAsia="en-GB"/>
        </w:rPr>
        <w:t>.1 (</w:t>
      </w:r>
      <w:proofErr w:type="spellStart"/>
      <w:r w:rsidR="00C80C53" w:rsidRPr="00B7083C">
        <w:rPr>
          <w:lang w:eastAsia="en-GB"/>
        </w:rPr>
        <w:t>StataCorp</w:t>
      </w:r>
      <w:proofErr w:type="spellEnd"/>
      <w:r w:rsidR="00C80C53" w:rsidRPr="00B7083C">
        <w:rPr>
          <w:lang w:eastAsia="en-GB"/>
        </w:rPr>
        <w:t>, College Station, TX, USA</w:t>
      </w:r>
      <w:r w:rsidRPr="00B7083C">
        <w:rPr>
          <w:lang w:eastAsia="en-GB"/>
        </w:rPr>
        <w:t>).</w:t>
      </w:r>
    </w:p>
    <w:p w14:paraId="3A831A41" w14:textId="77777777" w:rsidR="00C25338" w:rsidRPr="00B7083C" w:rsidRDefault="00C25338" w:rsidP="00C25338">
      <w:pPr>
        <w:spacing w:after="160" w:line="480" w:lineRule="auto"/>
        <w:jc w:val="both"/>
        <w:rPr>
          <w:b/>
          <w:lang w:eastAsia="en-GB"/>
        </w:rPr>
      </w:pPr>
    </w:p>
    <w:p w14:paraId="6C6035E0" w14:textId="63C9BA70" w:rsidR="00F617A3" w:rsidRPr="00B7083C" w:rsidRDefault="00F617A3" w:rsidP="00C25338">
      <w:pPr>
        <w:spacing w:after="160" w:line="480" w:lineRule="auto"/>
        <w:jc w:val="both"/>
        <w:rPr>
          <w:b/>
          <w:lang w:eastAsia="en-GB"/>
        </w:rPr>
      </w:pPr>
      <w:r w:rsidRPr="00B7083C">
        <w:rPr>
          <w:b/>
          <w:lang w:eastAsia="en-GB"/>
        </w:rPr>
        <w:t>Results</w:t>
      </w:r>
      <w:r w:rsidR="005E5D1C" w:rsidRPr="00B7083C">
        <w:rPr>
          <w:b/>
          <w:lang w:eastAsia="en-GB"/>
        </w:rPr>
        <w:t xml:space="preserve"> </w:t>
      </w:r>
      <w:r w:rsidR="0067352A" w:rsidRPr="00B7083C">
        <w:rPr>
          <w:lang w:eastAsia="en-GB"/>
        </w:rPr>
        <w:t xml:space="preserve"> </w:t>
      </w:r>
    </w:p>
    <w:p w14:paraId="1927EF94" w14:textId="297EA2E4" w:rsidR="00F228A2" w:rsidRPr="00B7083C" w:rsidRDefault="006C0658" w:rsidP="002F6BC0">
      <w:pPr>
        <w:spacing w:after="240" w:line="480" w:lineRule="auto"/>
        <w:jc w:val="both"/>
      </w:pPr>
      <w:r w:rsidRPr="00B7083C">
        <w:t xml:space="preserve">Between </w:t>
      </w:r>
      <w:r w:rsidR="00595A0A" w:rsidRPr="00B7083C">
        <w:t>3rd August</w:t>
      </w:r>
      <w:r w:rsidRPr="00B7083C">
        <w:t xml:space="preserve"> 2015 and </w:t>
      </w:r>
      <w:r w:rsidR="00595A0A" w:rsidRPr="00B7083C">
        <w:t xml:space="preserve">12th </w:t>
      </w:r>
      <w:r w:rsidRPr="00B7083C">
        <w:t xml:space="preserve">May 2017, </w:t>
      </w:r>
      <w:r w:rsidR="00F228A2" w:rsidRPr="00B7083C">
        <w:t xml:space="preserve">1729 women were recruited and </w:t>
      </w:r>
      <w:r w:rsidR="00F228A2" w:rsidRPr="00B7083C">
        <w:rPr>
          <w:rFonts w:eastAsia="Calibri"/>
          <w:shd w:val="clear" w:color="auto" w:fill="FFFFFF"/>
          <w:lang w:eastAsia="en-GB"/>
        </w:rPr>
        <w:t>randomly</w:t>
      </w:r>
      <w:r w:rsidR="00F228A2" w:rsidRPr="00B7083C">
        <w:rPr>
          <w:shd w:val="clear" w:color="auto" w:fill="FFFFFF"/>
          <w:lang w:eastAsia="en-GB"/>
        </w:rPr>
        <w:t xml:space="preserve"> </w:t>
      </w:r>
      <w:r w:rsidR="00F228A2" w:rsidRPr="00B7083C">
        <w:rPr>
          <w:rFonts w:eastAsia="Calibri"/>
          <w:shd w:val="clear" w:color="auto" w:fill="FFFFFF"/>
          <w:lang w:eastAsia="en-GB"/>
        </w:rPr>
        <w:t>assigned</w:t>
      </w:r>
      <w:r w:rsidR="00F228A2" w:rsidRPr="00B7083C">
        <w:rPr>
          <w:shd w:val="clear" w:color="auto" w:fill="FFFFFF"/>
          <w:lang w:eastAsia="en-GB"/>
        </w:rPr>
        <w:t xml:space="preserve"> </w:t>
      </w:r>
      <w:r w:rsidR="00F228A2" w:rsidRPr="00B7083C">
        <w:rPr>
          <w:rFonts w:eastAsia="Calibri"/>
          <w:shd w:val="clear" w:color="auto" w:fill="FFFFFF"/>
          <w:lang w:eastAsia="en-GB"/>
        </w:rPr>
        <w:t>to</w:t>
      </w:r>
      <w:r w:rsidR="00F228A2" w:rsidRPr="00B7083C">
        <w:rPr>
          <w:shd w:val="clear" w:color="auto" w:fill="FFFFFF"/>
          <w:lang w:eastAsia="en-GB"/>
        </w:rPr>
        <w:t xml:space="preserve"> </w:t>
      </w:r>
      <w:r w:rsidR="00F228A2" w:rsidRPr="00B7083C">
        <w:rPr>
          <w:rFonts w:eastAsia="Calibri"/>
          <w:shd w:val="clear" w:color="auto" w:fill="FFFFFF"/>
          <w:lang w:eastAsia="en-GB"/>
        </w:rPr>
        <w:t xml:space="preserve">either </w:t>
      </w:r>
      <w:r w:rsidR="008C4C3E" w:rsidRPr="00B7083C">
        <w:rPr>
          <w:rFonts w:eastAsia="Calibri"/>
          <w:shd w:val="clear" w:color="auto" w:fill="FFFFFF"/>
          <w:lang w:eastAsia="en-GB"/>
        </w:rPr>
        <w:t>control (n=859) or</w:t>
      </w:r>
      <w:r w:rsidR="008C4C3E" w:rsidRPr="00B7083C">
        <w:rPr>
          <w:shd w:val="clear" w:color="auto" w:fill="FFFFFF"/>
          <w:lang w:eastAsia="en-GB"/>
        </w:rPr>
        <w:t xml:space="preserve"> </w:t>
      </w:r>
      <w:r w:rsidR="00F228A2" w:rsidRPr="00B7083C">
        <w:rPr>
          <w:rFonts w:eastAsia="Calibri"/>
          <w:shd w:val="clear" w:color="auto" w:fill="FFFFFF"/>
          <w:lang w:eastAsia="en-GB"/>
        </w:rPr>
        <w:t>intervention (</w:t>
      </w:r>
      <w:r w:rsidR="006272DE" w:rsidRPr="00B7083C">
        <w:rPr>
          <w:rFonts w:eastAsia="Calibri"/>
          <w:shd w:val="clear" w:color="auto" w:fill="FFFFFF"/>
          <w:lang w:eastAsia="en-GB"/>
        </w:rPr>
        <w:t>n=</w:t>
      </w:r>
      <w:r w:rsidR="00F228A2" w:rsidRPr="00B7083C">
        <w:rPr>
          <w:rFonts w:eastAsia="Calibri"/>
          <w:shd w:val="clear" w:color="auto" w:fill="FFFFFF"/>
          <w:lang w:eastAsia="en-GB"/>
        </w:rPr>
        <w:t>870)</w:t>
      </w:r>
      <w:r w:rsidR="00F228A2" w:rsidRPr="00B7083C">
        <w:rPr>
          <w:shd w:val="clear" w:color="auto" w:fill="FFFFFF"/>
          <w:lang w:eastAsia="en-GB"/>
        </w:rPr>
        <w:t xml:space="preserve"> </w:t>
      </w:r>
      <w:r w:rsidR="00F228A2" w:rsidRPr="00B7083C">
        <w:rPr>
          <w:rFonts w:eastAsia="Calibri"/>
          <w:shd w:val="clear" w:color="auto" w:fill="FFFFFF"/>
          <w:lang w:eastAsia="en-GB"/>
        </w:rPr>
        <w:t>groups</w:t>
      </w:r>
      <w:r w:rsidR="00F228A2" w:rsidRPr="00B7083C">
        <w:rPr>
          <w:lang w:eastAsia="en-GB"/>
        </w:rPr>
        <w:t xml:space="preserve">. Pregnancies fulfilling the study criteria and </w:t>
      </w:r>
      <w:r w:rsidR="00F228A2" w:rsidRPr="00B7083C">
        <w:t xml:space="preserve">reaching </w:t>
      </w:r>
      <w:r w:rsidR="00F228A2" w:rsidRPr="00B7083C">
        <w:rPr>
          <w:rFonts w:eastAsiaTheme="minorHAnsi"/>
        </w:rPr>
        <w:t>28 weeks’ gestation</w:t>
      </w:r>
      <w:r w:rsidR="00F228A2" w:rsidRPr="00B7083C">
        <w:t xml:space="preserve"> were achieved in 588 women</w:t>
      </w:r>
      <w:r w:rsidR="00BF582C" w:rsidRPr="00B7083C">
        <w:t>,</w:t>
      </w:r>
      <w:r w:rsidR="00C80C53" w:rsidRPr="00B7083C">
        <w:t xml:space="preserve"> </w:t>
      </w:r>
      <w:r w:rsidR="008C4C3E" w:rsidRPr="00B7083C">
        <w:t xml:space="preserve">292/859 (34%) and </w:t>
      </w:r>
      <w:r w:rsidR="00F228A2" w:rsidRPr="00B7083C">
        <w:t>296/870 (34%)</w:t>
      </w:r>
      <w:r w:rsidR="00C80C53" w:rsidRPr="00B7083C">
        <w:t xml:space="preserve"> </w:t>
      </w:r>
      <w:r w:rsidR="00F228A2" w:rsidRPr="00B7083C">
        <w:rPr>
          <w:rFonts w:eastAsia="Calibri"/>
        </w:rPr>
        <w:t>in</w:t>
      </w:r>
      <w:r w:rsidR="00F228A2" w:rsidRPr="00B7083C">
        <w:t xml:space="preserve"> </w:t>
      </w:r>
      <w:r w:rsidR="00F228A2" w:rsidRPr="00B7083C">
        <w:rPr>
          <w:rFonts w:eastAsia="Calibri"/>
        </w:rPr>
        <w:t>the</w:t>
      </w:r>
      <w:r w:rsidR="00F228A2" w:rsidRPr="00B7083C">
        <w:t xml:space="preserve"> </w:t>
      </w:r>
      <w:r w:rsidR="008C4C3E" w:rsidRPr="00B7083C">
        <w:rPr>
          <w:rFonts w:eastAsia="Calibri"/>
        </w:rPr>
        <w:t>control</w:t>
      </w:r>
      <w:r w:rsidR="008C4C3E" w:rsidRPr="00B7083C">
        <w:t xml:space="preserve"> </w:t>
      </w:r>
      <w:r w:rsidR="008C4C3E" w:rsidRPr="00B7083C">
        <w:rPr>
          <w:rFonts w:eastAsia="Calibri"/>
        </w:rPr>
        <w:t>and</w:t>
      </w:r>
      <w:r w:rsidR="008C4C3E" w:rsidRPr="00B7083C">
        <w:t xml:space="preserve"> </w:t>
      </w:r>
      <w:r w:rsidR="00C80C53" w:rsidRPr="00B7083C">
        <w:rPr>
          <w:rFonts w:eastAsia="Calibri"/>
        </w:rPr>
        <w:t>intervention</w:t>
      </w:r>
      <w:r w:rsidR="00C80C53" w:rsidRPr="00B7083C">
        <w:t xml:space="preserve"> </w:t>
      </w:r>
      <w:r w:rsidR="00F228A2" w:rsidRPr="00B7083C">
        <w:rPr>
          <w:rFonts w:eastAsia="Calibri"/>
        </w:rPr>
        <w:t>group</w:t>
      </w:r>
      <w:r w:rsidR="00C80C53" w:rsidRPr="00B7083C">
        <w:rPr>
          <w:rFonts w:eastAsia="Calibri"/>
        </w:rPr>
        <w:t>s, respectively</w:t>
      </w:r>
      <w:r w:rsidR="00F228A2" w:rsidRPr="00B7083C">
        <w:t xml:space="preserve"> (</w:t>
      </w:r>
      <w:r w:rsidR="00F228A2" w:rsidRPr="00B7083C">
        <w:rPr>
          <w:rFonts w:eastAsia="Calibri"/>
        </w:rPr>
        <w:t xml:space="preserve">Figure </w:t>
      </w:r>
      <w:r w:rsidR="00F228A2" w:rsidRPr="00B7083C">
        <w:t xml:space="preserve">1); </w:t>
      </w:r>
      <w:r w:rsidR="00F228A2" w:rsidRPr="00B7083C">
        <w:rPr>
          <w:rFonts w:eastAsiaTheme="minorHAnsi"/>
        </w:rPr>
        <w:t>585/588 (99</w:t>
      </w:r>
      <w:r w:rsidR="006173D8" w:rsidRPr="00B7083C">
        <w:rPr>
          <w:rFonts w:eastAsiaTheme="minorHAnsi"/>
        </w:rPr>
        <w:t>·</w:t>
      </w:r>
      <w:r w:rsidR="00F228A2" w:rsidRPr="00B7083C">
        <w:rPr>
          <w:rFonts w:eastAsiaTheme="minorHAnsi"/>
        </w:rPr>
        <w:t xml:space="preserve">5%) had an OGTT and provided the primary outcome of </w:t>
      </w:r>
      <w:r w:rsidR="00824DC0" w:rsidRPr="00B7083C">
        <w:rPr>
          <w:rFonts w:eastAsiaTheme="minorHAnsi"/>
        </w:rPr>
        <w:t>glycemia</w:t>
      </w:r>
      <w:r w:rsidR="00F228A2" w:rsidRPr="00B7083C">
        <w:rPr>
          <w:rFonts w:eastAsiaTheme="minorHAnsi"/>
        </w:rPr>
        <w:t xml:space="preserve"> at 28 weeks’ gestation</w:t>
      </w:r>
      <w:r w:rsidR="006272DE" w:rsidRPr="00B7083C">
        <w:rPr>
          <w:rFonts w:eastAsiaTheme="minorHAnsi"/>
        </w:rPr>
        <w:t xml:space="preserve"> [</w:t>
      </w:r>
      <w:r w:rsidR="00F83FF2" w:rsidRPr="00B7083C">
        <w:rPr>
          <w:rFonts w:eastAsiaTheme="minorHAnsi"/>
        </w:rPr>
        <w:t xml:space="preserve">median </w:t>
      </w:r>
      <w:r w:rsidR="00C80C53" w:rsidRPr="00B7083C">
        <w:rPr>
          <w:rFonts w:eastAsiaTheme="minorHAnsi"/>
        </w:rPr>
        <w:t>(interquartile</w:t>
      </w:r>
      <w:r w:rsidR="00F83FF2" w:rsidRPr="00B7083C">
        <w:rPr>
          <w:rFonts w:eastAsiaTheme="minorHAnsi"/>
        </w:rPr>
        <w:t xml:space="preserve"> range</w:t>
      </w:r>
      <w:r w:rsidR="00C80C53" w:rsidRPr="00B7083C">
        <w:rPr>
          <w:rFonts w:eastAsiaTheme="minorHAnsi"/>
        </w:rPr>
        <w:t xml:space="preserve">) </w:t>
      </w:r>
      <w:r w:rsidR="00756AE0" w:rsidRPr="00B7083C">
        <w:rPr>
          <w:rFonts w:eastAsiaTheme="minorHAnsi"/>
        </w:rPr>
        <w:t>27</w:t>
      </w:r>
      <w:r w:rsidR="006173D8" w:rsidRPr="00B7083C">
        <w:rPr>
          <w:rFonts w:eastAsiaTheme="minorHAnsi"/>
        </w:rPr>
        <w:t>·</w:t>
      </w:r>
      <w:r w:rsidR="00756AE0" w:rsidRPr="00B7083C">
        <w:rPr>
          <w:rFonts w:eastAsiaTheme="minorHAnsi"/>
        </w:rPr>
        <w:t>7</w:t>
      </w:r>
      <w:r w:rsidR="00C80C53" w:rsidRPr="00B7083C">
        <w:rPr>
          <w:rFonts w:eastAsiaTheme="minorHAnsi"/>
        </w:rPr>
        <w:t xml:space="preserve"> (</w:t>
      </w:r>
      <w:r w:rsidR="00756AE0" w:rsidRPr="00B7083C">
        <w:rPr>
          <w:rFonts w:eastAsiaTheme="minorHAnsi"/>
        </w:rPr>
        <w:t>27</w:t>
      </w:r>
      <w:r w:rsidR="006173D8" w:rsidRPr="00B7083C">
        <w:rPr>
          <w:rFonts w:eastAsiaTheme="minorHAnsi"/>
        </w:rPr>
        <w:t>·</w:t>
      </w:r>
      <w:r w:rsidR="00756AE0" w:rsidRPr="00B7083C">
        <w:rPr>
          <w:rFonts w:eastAsiaTheme="minorHAnsi"/>
        </w:rPr>
        <w:t>2 to 28</w:t>
      </w:r>
      <w:r w:rsidR="006173D8" w:rsidRPr="00B7083C">
        <w:rPr>
          <w:rFonts w:eastAsiaTheme="minorHAnsi"/>
        </w:rPr>
        <w:t>·</w:t>
      </w:r>
      <w:r w:rsidR="00756AE0" w:rsidRPr="00B7083C">
        <w:rPr>
          <w:rFonts w:eastAsiaTheme="minorHAnsi"/>
        </w:rPr>
        <w:t>3</w:t>
      </w:r>
      <w:r w:rsidR="00C80C53" w:rsidRPr="00B7083C">
        <w:rPr>
          <w:rFonts w:eastAsiaTheme="minorHAnsi"/>
        </w:rPr>
        <w:t>) weeks</w:t>
      </w:r>
      <w:r w:rsidR="006272DE" w:rsidRPr="00B7083C">
        <w:rPr>
          <w:rFonts w:eastAsiaTheme="minorHAnsi"/>
        </w:rPr>
        <w:t>]</w:t>
      </w:r>
      <w:r w:rsidR="00F228A2" w:rsidRPr="00B7083C">
        <w:rPr>
          <w:rFonts w:eastAsiaTheme="minorHAnsi"/>
        </w:rPr>
        <w:t xml:space="preserve">. </w:t>
      </w:r>
      <w:r w:rsidR="005B5C62" w:rsidRPr="00B7083C">
        <w:rPr>
          <w:rFonts w:eastAsiaTheme="minorHAnsi"/>
        </w:rPr>
        <w:t>Median BMI and other b</w:t>
      </w:r>
      <w:r w:rsidR="00F228A2" w:rsidRPr="00B7083C">
        <w:rPr>
          <w:rFonts w:eastAsia="Calibri"/>
        </w:rPr>
        <w:t>aseline</w:t>
      </w:r>
      <w:r w:rsidR="00F228A2" w:rsidRPr="00B7083C">
        <w:t xml:space="preserve"> </w:t>
      </w:r>
      <w:r w:rsidR="00F228A2" w:rsidRPr="00B7083C">
        <w:rPr>
          <w:rFonts w:eastAsia="Calibri"/>
        </w:rPr>
        <w:t>characteristics</w:t>
      </w:r>
      <w:r w:rsidR="00F228A2" w:rsidRPr="00B7083C">
        <w:t xml:space="preserve"> </w:t>
      </w:r>
      <w:r w:rsidR="00F228A2" w:rsidRPr="00B7083C">
        <w:rPr>
          <w:rFonts w:eastAsia="Calibri"/>
        </w:rPr>
        <w:t>were</w:t>
      </w:r>
      <w:r w:rsidR="00F228A2" w:rsidRPr="00B7083C">
        <w:t xml:space="preserve"> similar in the two study groups providing the primary outcome, except </w:t>
      </w:r>
      <w:r w:rsidR="00C55108" w:rsidRPr="00B7083C">
        <w:t>fewer women</w:t>
      </w:r>
      <w:r w:rsidR="000430AF" w:rsidRPr="00B7083C">
        <w:t xml:space="preserve"> in</w:t>
      </w:r>
      <w:r w:rsidR="00C55108" w:rsidRPr="00B7083C">
        <w:t xml:space="preserve"> </w:t>
      </w:r>
      <w:r w:rsidR="00F228A2" w:rsidRPr="00B7083C">
        <w:t xml:space="preserve">the intervention group were </w:t>
      </w:r>
      <w:r w:rsidR="00580AFC" w:rsidRPr="00B7083C">
        <w:t xml:space="preserve">obese, </w:t>
      </w:r>
      <w:r w:rsidR="00F228A2" w:rsidRPr="00B7083C">
        <w:t xml:space="preserve">nulliparous or had a family history of diabetes (Table 1). </w:t>
      </w:r>
    </w:p>
    <w:p w14:paraId="7CC3061C" w14:textId="7ABD495E" w:rsidR="00F228A2" w:rsidRPr="00B7083C" w:rsidRDefault="00F228A2" w:rsidP="006419B2">
      <w:pPr>
        <w:spacing w:after="240" w:line="480" w:lineRule="auto"/>
        <w:jc w:val="both"/>
        <w:rPr>
          <w:rFonts w:eastAsiaTheme="minorHAnsi"/>
        </w:rPr>
      </w:pPr>
      <w:r w:rsidRPr="00B7083C">
        <w:rPr>
          <w:rFonts w:eastAsiaTheme="minorHAnsi"/>
        </w:rPr>
        <w:lastRenderedPageBreak/>
        <w:t xml:space="preserve">Comparisons of unadjusted plasma glucose values at the three OGTT time points between the </w:t>
      </w:r>
      <w:r w:rsidR="008C4C3E" w:rsidRPr="00B7083C">
        <w:rPr>
          <w:rFonts w:eastAsiaTheme="minorHAnsi"/>
        </w:rPr>
        <w:t xml:space="preserve">control and </w:t>
      </w:r>
      <w:r w:rsidRPr="00B7083C">
        <w:rPr>
          <w:rFonts w:eastAsiaTheme="minorHAnsi"/>
        </w:rPr>
        <w:t xml:space="preserve">intervention groups were not significantly different (Table 2). In the primary outcome intention-to-treat analysis </w:t>
      </w:r>
      <w:r w:rsidRPr="00B7083C">
        <w:t>adjusting for site, ethnicity and matched preconception glucose values (where available), plasma glucose values did not differ between study groups at each of the three</w:t>
      </w:r>
      <w:r w:rsidRPr="00B7083C">
        <w:rPr>
          <w:rFonts w:eastAsiaTheme="minorHAnsi"/>
        </w:rPr>
        <w:t xml:space="preserve"> </w:t>
      </w:r>
      <w:r w:rsidRPr="00B7083C">
        <w:t>time points</w:t>
      </w:r>
      <w:r w:rsidRPr="00B7083C">
        <w:rPr>
          <w:rFonts w:eastAsiaTheme="minorHAnsi"/>
        </w:rPr>
        <w:t xml:space="preserve"> </w:t>
      </w:r>
      <w:r w:rsidRPr="00B7083C">
        <w:t>(p&gt;0</w:t>
      </w:r>
      <w:r w:rsidR="00C25338" w:rsidRPr="00B7083C">
        <w:rPr>
          <w:rFonts w:eastAsiaTheme="minorHAnsi"/>
        </w:rPr>
        <w:t>·</w:t>
      </w:r>
      <w:r w:rsidRPr="00B7083C">
        <w:t xml:space="preserve">017) </w:t>
      </w:r>
      <w:r w:rsidRPr="00B7083C">
        <w:rPr>
          <w:rFonts w:eastAsiaTheme="minorHAnsi"/>
        </w:rPr>
        <w:t>(Table 2)</w:t>
      </w:r>
      <w:r w:rsidRPr="00B7083C">
        <w:t>. Full adjustment as pre-specified provided similar results (Table 2).</w:t>
      </w:r>
      <w:r w:rsidRPr="00B7083C">
        <w:rPr>
          <w:rFonts w:eastAsiaTheme="minorHAnsi"/>
        </w:rPr>
        <w:t xml:space="preserve"> The incidence of GDM was similar between study groups (Table 3). </w:t>
      </w:r>
      <w:r w:rsidRPr="00B7083C">
        <w:t xml:space="preserve">Sensitivity analyses excluding </w:t>
      </w:r>
      <w:r w:rsidR="003A15B3" w:rsidRPr="00B7083C">
        <w:t>32</w:t>
      </w:r>
      <w:r w:rsidR="00C80C53" w:rsidRPr="00B7083C">
        <w:t xml:space="preserve"> </w:t>
      </w:r>
      <w:r w:rsidRPr="00B7083C">
        <w:t xml:space="preserve">participants who were subsequently found not to fulfil the eligibility criteria or </w:t>
      </w:r>
      <w:r w:rsidR="00F60039" w:rsidRPr="00B7083C">
        <w:t xml:space="preserve">did not have good adherence </w:t>
      </w:r>
      <w:r w:rsidRPr="00B7083C">
        <w:rPr>
          <w:rFonts w:eastAsiaTheme="minorHAnsi"/>
        </w:rPr>
        <w:t>gave similar results (</w:t>
      </w:r>
      <w:r w:rsidR="004A7607" w:rsidRPr="00B7083C">
        <w:rPr>
          <w:rFonts w:eastAsiaTheme="minorHAnsi"/>
        </w:rPr>
        <w:t xml:space="preserve">Supplemental </w:t>
      </w:r>
      <w:r w:rsidRPr="00B7083C">
        <w:rPr>
          <w:rFonts w:eastAsiaTheme="minorHAnsi"/>
        </w:rPr>
        <w:t>Table S1).</w:t>
      </w:r>
      <w:r w:rsidR="006B5BE9" w:rsidRPr="00B7083C">
        <w:rPr>
          <w:rFonts w:eastAsiaTheme="minorHAnsi"/>
        </w:rPr>
        <w:t xml:space="preserve"> </w:t>
      </w:r>
    </w:p>
    <w:p w14:paraId="68F7ED2C" w14:textId="1511F598" w:rsidR="00F228A2" w:rsidRPr="00B7083C" w:rsidRDefault="00824DC0" w:rsidP="006419B2">
      <w:pPr>
        <w:spacing w:after="240" w:line="480" w:lineRule="auto"/>
        <w:jc w:val="both"/>
        <w:rPr>
          <w:rFonts w:eastAsiaTheme="minorHAnsi"/>
        </w:rPr>
      </w:pPr>
      <w:r w:rsidRPr="00B7083C">
        <w:rPr>
          <w:rFonts w:eastAsiaTheme="minorHAnsi"/>
        </w:rPr>
        <w:t>Glycemia</w:t>
      </w:r>
      <w:r w:rsidR="00F228A2" w:rsidRPr="00B7083C">
        <w:rPr>
          <w:rFonts w:eastAsiaTheme="minorHAnsi"/>
        </w:rPr>
        <w:t xml:space="preserve"> outcomes were examined in </w:t>
      </w:r>
      <w:r w:rsidR="00F228A2" w:rsidRPr="00B7083C">
        <w:t>two special interest</w:t>
      </w:r>
      <w:r w:rsidR="00F228A2" w:rsidRPr="00B7083C">
        <w:rPr>
          <w:rFonts w:eastAsiaTheme="minorHAnsi"/>
        </w:rPr>
        <w:t xml:space="preserve"> subgroups</w:t>
      </w:r>
      <w:r w:rsidR="00F228A2" w:rsidRPr="00B7083C">
        <w:rPr>
          <w:i/>
        </w:rPr>
        <w:t xml:space="preserve"> </w:t>
      </w:r>
      <w:r w:rsidR="00F228A2" w:rsidRPr="00B7083C">
        <w:t>specified</w:t>
      </w:r>
      <w:r w:rsidR="00F228A2" w:rsidRPr="00B7083C">
        <w:rPr>
          <w:i/>
        </w:rPr>
        <w:t xml:space="preserve"> a priori</w:t>
      </w:r>
      <w:r w:rsidR="00F228A2" w:rsidRPr="00B7083C">
        <w:t xml:space="preserve"> where it was hypothesised that the intervention could have a greater effect</w:t>
      </w:r>
      <w:r w:rsidR="00F228A2" w:rsidRPr="00B7083C">
        <w:rPr>
          <w:i/>
        </w:rPr>
        <w:t xml:space="preserve">. </w:t>
      </w:r>
      <w:r w:rsidR="00F228A2" w:rsidRPr="00B7083C">
        <w:t>Among women</w:t>
      </w:r>
      <w:r w:rsidR="00F228A2" w:rsidRPr="00B7083C">
        <w:rPr>
          <w:i/>
        </w:rPr>
        <w:t xml:space="preserve"> </w:t>
      </w:r>
      <w:r w:rsidR="00F228A2" w:rsidRPr="00B7083C">
        <w:t>who were overweight or obese prior to conception (n=</w:t>
      </w:r>
      <w:r w:rsidR="003622CF" w:rsidRPr="00B7083C">
        <w:t>258</w:t>
      </w:r>
      <w:r w:rsidR="00F228A2" w:rsidRPr="00B7083C">
        <w:t xml:space="preserve">), intervention did not alter fasting and </w:t>
      </w:r>
      <w:r w:rsidR="000E30F4" w:rsidRPr="00B7083C">
        <w:t>1-</w:t>
      </w:r>
      <w:r w:rsidR="00F228A2" w:rsidRPr="00B7083C">
        <w:t>h</w:t>
      </w:r>
      <w:r w:rsidR="000E30F4" w:rsidRPr="00B7083C">
        <w:t>our</w:t>
      </w:r>
      <w:r w:rsidR="00F228A2" w:rsidRPr="00B7083C">
        <w:t xml:space="preserve"> </w:t>
      </w:r>
      <w:r w:rsidRPr="00B7083C">
        <w:t>glycemia</w:t>
      </w:r>
      <w:r w:rsidR="008939FB" w:rsidRPr="00B7083C">
        <w:t>;</w:t>
      </w:r>
      <w:r w:rsidR="00F228A2" w:rsidRPr="00B7083C">
        <w:t xml:space="preserve"> 2</w:t>
      </w:r>
      <w:r w:rsidR="000E30F4" w:rsidRPr="00B7083C">
        <w:t>-</w:t>
      </w:r>
      <w:r w:rsidR="00F228A2" w:rsidRPr="00B7083C">
        <w:t>h</w:t>
      </w:r>
      <w:r w:rsidR="000E30F4" w:rsidRPr="00B7083C">
        <w:t>our</w:t>
      </w:r>
      <w:r w:rsidR="00F228A2" w:rsidRPr="00B7083C">
        <w:t xml:space="preserve"> </w:t>
      </w:r>
      <w:r w:rsidRPr="00B7083C">
        <w:t>glycemia</w:t>
      </w:r>
      <w:r w:rsidR="00F228A2" w:rsidRPr="00B7083C">
        <w:t xml:space="preserve"> was higher in the intervention group </w:t>
      </w:r>
      <w:r w:rsidR="000677FA" w:rsidRPr="00B7083C">
        <w:t>(</w:t>
      </w:r>
      <w:r w:rsidR="00380123" w:rsidRPr="00B7083C">
        <w:t xml:space="preserve">adjusted </w:t>
      </w:r>
      <w:r w:rsidR="001C118D" w:rsidRPr="00B7083C">
        <w:t>β=</w:t>
      </w:r>
      <w:r w:rsidR="00F228A2" w:rsidRPr="00B7083C">
        <w:t>0</w:t>
      </w:r>
      <w:r w:rsidR="009F4D7C" w:rsidRPr="00B7083C">
        <w:t>·</w:t>
      </w:r>
      <w:r w:rsidR="00F228A2" w:rsidRPr="00B7083C">
        <w:t>07</w:t>
      </w:r>
      <w:r w:rsidR="00FD10CA" w:rsidRPr="00B7083C">
        <w:t>6</w:t>
      </w:r>
      <w:r w:rsidR="00F228A2" w:rsidRPr="00B7083C">
        <w:t xml:space="preserve"> </w:t>
      </w:r>
      <w:r w:rsidR="000677FA" w:rsidRPr="00B7083C">
        <w:t>[</w:t>
      </w:r>
      <w:r w:rsidR="001C118D" w:rsidRPr="00B7083C">
        <w:t xml:space="preserve">95%CI </w:t>
      </w:r>
      <w:r w:rsidR="00F228A2" w:rsidRPr="00B7083C">
        <w:t>0</w:t>
      </w:r>
      <w:r w:rsidR="009F4D7C" w:rsidRPr="00B7083C">
        <w:t>·</w:t>
      </w:r>
      <w:r w:rsidR="00F228A2" w:rsidRPr="00B7083C">
        <w:t>02</w:t>
      </w:r>
      <w:r w:rsidR="00FD10CA" w:rsidRPr="00B7083C">
        <w:t>0</w:t>
      </w:r>
      <w:r w:rsidR="00F228A2" w:rsidRPr="00B7083C">
        <w:t>, 0</w:t>
      </w:r>
      <w:r w:rsidR="009F4D7C" w:rsidRPr="00B7083C">
        <w:t>·</w:t>
      </w:r>
      <w:r w:rsidR="00F228A2" w:rsidRPr="00B7083C">
        <w:t>13</w:t>
      </w:r>
      <w:r w:rsidR="00FD10CA" w:rsidRPr="00B7083C">
        <w:t>1</w:t>
      </w:r>
      <w:r w:rsidR="000677FA" w:rsidRPr="00B7083C">
        <w:t>]</w:t>
      </w:r>
      <w:r w:rsidR="00F228A2" w:rsidRPr="00B7083C">
        <w:t xml:space="preserve"> </w:t>
      </w:r>
      <w:r w:rsidR="002164F8" w:rsidRPr="00B7083C">
        <w:t>log</w:t>
      </w:r>
      <w:r w:rsidR="002164F8" w:rsidRPr="00B7083C">
        <w:rPr>
          <w:vertAlign w:val="subscript"/>
        </w:rPr>
        <w:t>e</w:t>
      </w:r>
      <w:r w:rsidR="002164F8" w:rsidRPr="00B7083C">
        <w:t xml:space="preserve"> </w:t>
      </w:r>
      <w:r w:rsidR="00F228A2" w:rsidRPr="00B7083C">
        <w:t>mmol/L</w:t>
      </w:r>
      <w:r w:rsidR="00760132" w:rsidRPr="00B7083C">
        <w:t xml:space="preserve">; equivalent to </w:t>
      </w:r>
      <w:r w:rsidR="00760132" w:rsidRPr="00B7083C">
        <w:rPr>
          <w:iCs/>
        </w:rPr>
        <w:t>0</w:t>
      </w:r>
      <w:r w:rsidR="006419B2" w:rsidRPr="00B7083C">
        <w:t>·</w:t>
      </w:r>
      <w:r w:rsidR="00760132" w:rsidRPr="00B7083C">
        <w:rPr>
          <w:iCs/>
        </w:rPr>
        <w:t>53 mmol/L glucose</w:t>
      </w:r>
      <w:r w:rsidR="000677FA" w:rsidRPr="00B7083C">
        <w:t>) but</w:t>
      </w:r>
      <w:r w:rsidR="00F228A2" w:rsidRPr="00B7083C">
        <w:t xml:space="preserve"> with</w:t>
      </w:r>
      <w:r w:rsidR="00A33478" w:rsidRPr="00B7083C">
        <w:t xml:space="preserve"> no increased</w:t>
      </w:r>
      <w:r w:rsidR="00F228A2" w:rsidRPr="00B7083C">
        <w:t xml:space="preserve"> </w:t>
      </w:r>
      <w:r w:rsidR="002C3978" w:rsidRPr="00B7083C">
        <w:t xml:space="preserve">risk </w:t>
      </w:r>
      <w:r w:rsidR="00F228A2" w:rsidRPr="00B7083C">
        <w:t>of GDM (</w:t>
      </w:r>
      <w:r w:rsidR="004A7607" w:rsidRPr="00B7083C">
        <w:rPr>
          <w:rFonts w:eastAsiaTheme="minorHAnsi"/>
        </w:rPr>
        <w:t>Supplemental Table S1</w:t>
      </w:r>
      <w:r w:rsidR="00F228A2" w:rsidRPr="00B7083C">
        <w:t>).</w:t>
      </w:r>
      <w:r w:rsidR="00F228A2" w:rsidRPr="00B7083C">
        <w:rPr>
          <w:b/>
        </w:rPr>
        <w:t xml:space="preserve"> </w:t>
      </w:r>
      <w:r w:rsidR="00F228A2" w:rsidRPr="00B7083C">
        <w:t xml:space="preserve">In women with documented </w:t>
      </w:r>
      <w:proofErr w:type="spellStart"/>
      <w:r w:rsidR="00F228A2" w:rsidRPr="00B7083C">
        <w:t>dys</w:t>
      </w:r>
      <w:r w:rsidRPr="00B7083C">
        <w:t>glycemia</w:t>
      </w:r>
      <w:proofErr w:type="spellEnd"/>
      <w:r w:rsidR="00F228A2" w:rsidRPr="00B7083C">
        <w:t xml:space="preserve"> prior to conception (n=</w:t>
      </w:r>
      <w:r w:rsidR="00387F25" w:rsidRPr="00B7083C">
        <w:t>94</w:t>
      </w:r>
      <w:r w:rsidR="00F228A2" w:rsidRPr="00B7083C">
        <w:t xml:space="preserve">), </w:t>
      </w:r>
      <w:r w:rsidRPr="00B7083C">
        <w:t>glycemia</w:t>
      </w:r>
      <w:r w:rsidR="00F228A2" w:rsidRPr="00B7083C">
        <w:t xml:space="preserve"> at </w:t>
      </w:r>
      <w:r w:rsidR="00F228A2" w:rsidRPr="00B7083C">
        <w:rPr>
          <w:rFonts w:eastAsiaTheme="minorHAnsi"/>
        </w:rPr>
        <w:t>28 weeks</w:t>
      </w:r>
      <w:r w:rsidR="00F228A2" w:rsidRPr="00B7083C">
        <w:t xml:space="preserve"> and GDM incidences were similar between study groups (</w:t>
      </w:r>
      <w:r w:rsidR="004A7607" w:rsidRPr="00B7083C">
        <w:rPr>
          <w:rFonts w:eastAsiaTheme="minorHAnsi"/>
        </w:rPr>
        <w:t>Supplemental Table S1</w:t>
      </w:r>
      <w:r w:rsidR="00F228A2" w:rsidRPr="00B7083C">
        <w:t xml:space="preserve">). Interaction terms in the fully adjusted models </w:t>
      </w:r>
      <w:r w:rsidR="00DD5B10" w:rsidRPr="00B7083C">
        <w:t xml:space="preserve">including all women </w:t>
      </w:r>
      <w:r w:rsidR="00F228A2" w:rsidRPr="00B7083C">
        <w:t>showed no evidence of differential effects on 28</w:t>
      </w:r>
      <w:r w:rsidR="00074952" w:rsidRPr="00B7083C">
        <w:t>-</w:t>
      </w:r>
      <w:r w:rsidR="00F228A2" w:rsidRPr="00B7083C">
        <w:t xml:space="preserve">week </w:t>
      </w:r>
      <w:r w:rsidRPr="00B7083C">
        <w:t>glycemia</w:t>
      </w:r>
      <w:r w:rsidR="00F228A2" w:rsidRPr="00B7083C">
        <w:t xml:space="preserve"> in response to the intervention between the three study sites and between ethnicities. </w:t>
      </w:r>
      <w:r w:rsidR="00DA2E03" w:rsidRPr="00B7083C">
        <w:rPr>
          <w:rFonts w:eastAsiaTheme="minorHAnsi"/>
        </w:rPr>
        <w:t xml:space="preserve">As measures of insulin resistance and insulin sensitivity, respectively, </w:t>
      </w:r>
      <w:r w:rsidR="00210E6A" w:rsidRPr="00B7083C">
        <w:rPr>
          <w:rFonts w:eastAsiaTheme="minorHAnsi"/>
        </w:rPr>
        <w:t xml:space="preserve">HOMA2-IR </w:t>
      </w:r>
      <w:r w:rsidR="00210E6A" w:rsidRPr="00B7083C">
        <w:t xml:space="preserve">(adjusted β -0·022 [95%CI -0·090, 0·046]) </w:t>
      </w:r>
      <w:r w:rsidR="00210E6A" w:rsidRPr="00B7083C">
        <w:rPr>
          <w:rFonts w:eastAsiaTheme="minorHAnsi"/>
        </w:rPr>
        <w:t xml:space="preserve">and Matsuda index </w:t>
      </w:r>
      <w:r w:rsidR="00210E6A" w:rsidRPr="00B7083C">
        <w:t>(adjusted β 0·001 [95%CI -0·068, 0·070]</w:t>
      </w:r>
      <w:r w:rsidR="00210E6A" w:rsidRPr="00B7083C">
        <w:rPr>
          <w:rFonts w:eastAsiaTheme="minorHAnsi"/>
        </w:rPr>
        <w:t xml:space="preserve"> at 28 weeks were also similar between study groups. </w:t>
      </w:r>
    </w:p>
    <w:p w14:paraId="209DF909" w14:textId="346E5DCE" w:rsidR="00F228A2" w:rsidRPr="00B7083C" w:rsidRDefault="00F228A2" w:rsidP="006419B2">
      <w:pPr>
        <w:spacing w:after="240" w:line="480" w:lineRule="auto"/>
        <w:jc w:val="both"/>
        <w:rPr>
          <w:rFonts w:eastAsiaTheme="minorHAnsi"/>
        </w:rPr>
      </w:pPr>
      <w:r w:rsidRPr="00B7083C">
        <w:rPr>
          <w:rFonts w:eastAsiaTheme="minorHAnsi"/>
        </w:rPr>
        <w:t>Adjusting for covariates, there was a lower incidence of preterm birth (&lt;37 weeks’ gestation) in the intervention group</w:t>
      </w:r>
      <w:r w:rsidR="000677FA" w:rsidRPr="00B7083C">
        <w:rPr>
          <w:rFonts w:eastAsiaTheme="minorHAnsi"/>
        </w:rPr>
        <w:t xml:space="preserve"> </w:t>
      </w:r>
      <w:r w:rsidR="00F60039" w:rsidRPr="00B7083C">
        <w:rPr>
          <w:rFonts w:eastAsiaTheme="minorHAnsi"/>
        </w:rPr>
        <w:t xml:space="preserve">(adjusted risk ratio </w:t>
      </w:r>
      <w:proofErr w:type="spellStart"/>
      <w:r w:rsidR="00F60039" w:rsidRPr="00B7083C">
        <w:rPr>
          <w:rFonts w:eastAsiaTheme="minorHAnsi"/>
        </w:rPr>
        <w:t>aRR</w:t>
      </w:r>
      <w:proofErr w:type="spellEnd"/>
      <w:r w:rsidR="00F60039" w:rsidRPr="00B7083C">
        <w:rPr>
          <w:rFonts w:eastAsiaTheme="minorHAnsi"/>
        </w:rPr>
        <w:t xml:space="preserve"> 0·43 [0·22, 0·82])</w:t>
      </w:r>
      <w:r w:rsidR="00F60039" w:rsidRPr="00B7083C" w:rsidDel="00E42E53">
        <w:rPr>
          <w:rFonts w:eastAsiaTheme="minorHAnsi"/>
        </w:rPr>
        <w:t xml:space="preserve"> </w:t>
      </w:r>
      <w:r w:rsidR="00F60039" w:rsidRPr="00B7083C">
        <w:rPr>
          <w:rFonts w:eastAsiaTheme="minorHAnsi"/>
        </w:rPr>
        <w:t xml:space="preserve">(Table </w:t>
      </w:r>
      <w:r w:rsidR="00E92E80" w:rsidRPr="00B7083C">
        <w:rPr>
          <w:rFonts w:eastAsiaTheme="minorHAnsi"/>
        </w:rPr>
        <w:t>3</w:t>
      </w:r>
      <w:r w:rsidR="00F60039" w:rsidRPr="00B7083C">
        <w:rPr>
          <w:rFonts w:eastAsiaTheme="minorHAnsi"/>
        </w:rPr>
        <w:t xml:space="preserve">). There were similar trends in both spontaneous and iatrogenic preterm births. The effect of the intervention </w:t>
      </w:r>
      <w:r w:rsidR="00F60039" w:rsidRPr="00B7083C">
        <w:rPr>
          <w:rFonts w:eastAsiaTheme="minorHAnsi"/>
        </w:rPr>
        <w:lastRenderedPageBreak/>
        <w:t xml:space="preserve">was principally observed for late preterm births (34-36 completed weeks’ gestation, </w:t>
      </w:r>
      <w:proofErr w:type="spellStart"/>
      <w:r w:rsidR="00F60039" w:rsidRPr="00B7083C">
        <w:rPr>
          <w:rFonts w:eastAsiaTheme="minorHAnsi"/>
        </w:rPr>
        <w:t>aRR</w:t>
      </w:r>
      <w:proofErr w:type="spellEnd"/>
      <w:r w:rsidR="00F60039" w:rsidRPr="00B7083C">
        <w:rPr>
          <w:rFonts w:eastAsiaTheme="minorHAnsi"/>
        </w:rPr>
        <w:t xml:space="preserve"> 0·41 [0·20, 0·85]) and preterm births associated with preterm pre</w:t>
      </w:r>
      <w:r w:rsidR="008A7081" w:rsidRPr="00B7083C">
        <w:rPr>
          <w:rFonts w:eastAsiaTheme="minorHAnsi"/>
        </w:rPr>
        <w:t>-</w:t>
      </w:r>
      <w:proofErr w:type="spellStart"/>
      <w:r w:rsidR="00A45121" w:rsidRPr="00B7083C">
        <w:rPr>
          <w:rFonts w:eastAsiaTheme="minorHAnsi"/>
        </w:rPr>
        <w:t>labor</w:t>
      </w:r>
      <w:proofErr w:type="spellEnd"/>
      <w:r w:rsidR="00F60039" w:rsidRPr="00B7083C">
        <w:rPr>
          <w:rFonts w:eastAsiaTheme="minorHAnsi"/>
        </w:rPr>
        <w:t xml:space="preserve"> rupture of membranes (PPROM, </w:t>
      </w:r>
      <w:proofErr w:type="spellStart"/>
      <w:r w:rsidR="00F60039" w:rsidRPr="00B7083C">
        <w:rPr>
          <w:rFonts w:eastAsiaTheme="minorHAnsi"/>
        </w:rPr>
        <w:t>aRR</w:t>
      </w:r>
      <w:proofErr w:type="spellEnd"/>
      <w:r w:rsidR="00F60039" w:rsidRPr="00B7083C">
        <w:rPr>
          <w:rFonts w:eastAsiaTheme="minorHAnsi"/>
        </w:rPr>
        <w:t xml:space="preserve"> 0·21 [0·06, 0·69]), with the incidence of PPROM itself also reduced (</w:t>
      </w:r>
      <w:proofErr w:type="spellStart"/>
      <w:r w:rsidR="00F60039" w:rsidRPr="00B7083C">
        <w:rPr>
          <w:rFonts w:eastAsiaTheme="minorHAnsi"/>
        </w:rPr>
        <w:t>aRR</w:t>
      </w:r>
      <w:proofErr w:type="spellEnd"/>
      <w:r w:rsidR="00F60039" w:rsidRPr="00B7083C">
        <w:rPr>
          <w:rFonts w:eastAsiaTheme="minorHAnsi"/>
        </w:rPr>
        <w:t xml:space="preserve"> 0·39 [0·16, 0·97]) (Table </w:t>
      </w:r>
      <w:r w:rsidR="00E92E80" w:rsidRPr="00B7083C">
        <w:rPr>
          <w:rFonts w:eastAsiaTheme="minorHAnsi"/>
        </w:rPr>
        <w:t>3</w:t>
      </w:r>
      <w:r w:rsidR="00F60039" w:rsidRPr="00B7083C">
        <w:rPr>
          <w:rFonts w:eastAsiaTheme="minorHAnsi"/>
        </w:rPr>
        <w:t xml:space="preserve">). </w:t>
      </w:r>
      <w:r w:rsidRPr="00B7083C">
        <w:rPr>
          <w:rFonts w:eastAsiaTheme="minorHAnsi"/>
        </w:rPr>
        <w:t xml:space="preserve">There were no differences in mean gestational age at delivery, neonatal unit admissions and neonatal </w:t>
      </w:r>
      <w:proofErr w:type="spellStart"/>
      <w:r w:rsidR="00BF5BF5" w:rsidRPr="00B7083C">
        <w:rPr>
          <w:rFonts w:eastAsiaTheme="minorHAnsi"/>
        </w:rPr>
        <w:t>septicemia</w:t>
      </w:r>
      <w:proofErr w:type="spellEnd"/>
      <w:r w:rsidRPr="00B7083C">
        <w:rPr>
          <w:rFonts w:eastAsiaTheme="minorHAnsi"/>
        </w:rPr>
        <w:t xml:space="preserve"> (Table </w:t>
      </w:r>
      <w:r w:rsidR="00E92E80" w:rsidRPr="00B7083C">
        <w:rPr>
          <w:rFonts w:eastAsiaTheme="minorHAnsi"/>
        </w:rPr>
        <w:t>3</w:t>
      </w:r>
      <w:r w:rsidRPr="00B7083C">
        <w:rPr>
          <w:rFonts w:eastAsiaTheme="minorHAnsi"/>
        </w:rPr>
        <w:t xml:space="preserve">). </w:t>
      </w:r>
    </w:p>
    <w:p w14:paraId="0B36938D" w14:textId="75D7F3AF" w:rsidR="00F228A2" w:rsidRPr="00B7083C" w:rsidRDefault="00F228A2" w:rsidP="006419B2">
      <w:pPr>
        <w:spacing w:after="240" w:line="480" w:lineRule="auto"/>
        <w:jc w:val="both"/>
        <w:rPr>
          <w:rFonts w:eastAsiaTheme="minorHAnsi"/>
        </w:rPr>
      </w:pPr>
      <w:r w:rsidRPr="00B7083C">
        <w:rPr>
          <w:rFonts w:eastAsiaTheme="minorHAnsi"/>
        </w:rPr>
        <w:t xml:space="preserve">The incidence of major post-partum </w:t>
      </w:r>
      <w:proofErr w:type="spellStart"/>
      <w:r w:rsidR="00AD6903" w:rsidRPr="00B7083C">
        <w:rPr>
          <w:rFonts w:eastAsiaTheme="minorHAnsi"/>
        </w:rPr>
        <w:t>hemorrhage</w:t>
      </w:r>
      <w:proofErr w:type="spellEnd"/>
      <w:r w:rsidRPr="00B7083C">
        <w:rPr>
          <w:rFonts w:eastAsiaTheme="minorHAnsi"/>
        </w:rPr>
        <w:t xml:space="preserve"> (&gt;1 </w:t>
      </w:r>
      <w:proofErr w:type="spellStart"/>
      <w:r w:rsidRPr="00B7083C">
        <w:rPr>
          <w:rFonts w:eastAsiaTheme="minorHAnsi"/>
        </w:rPr>
        <w:t>lite</w:t>
      </w:r>
      <w:r w:rsidR="002F6BC0" w:rsidRPr="00B7083C">
        <w:rPr>
          <w:rFonts w:eastAsiaTheme="minorHAnsi"/>
        </w:rPr>
        <w:t>r</w:t>
      </w:r>
      <w:proofErr w:type="spellEnd"/>
      <w:r w:rsidRPr="00B7083C">
        <w:rPr>
          <w:rFonts w:eastAsiaTheme="minorHAnsi"/>
        </w:rPr>
        <w:t xml:space="preserve"> blood loss) was lower in the intervention group</w:t>
      </w:r>
      <w:r w:rsidR="008A7081" w:rsidRPr="00B7083C">
        <w:rPr>
          <w:rFonts w:eastAsiaTheme="minorHAnsi"/>
        </w:rPr>
        <w:t xml:space="preserve"> (</w:t>
      </w:r>
      <w:proofErr w:type="spellStart"/>
      <w:r w:rsidR="008A7081" w:rsidRPr="00B7083C">
        <w:rPr>
          <w:rFonts w:eastAsiaTheme="minorHAnsi"/>
        </w:rPr>
        <w:t>aRR</w:t>
      </w:r>
      <w:proofErr w:type="spellEnd"/>
      <w:r w:rsidR="008A7081" w:rsidRPr="00B7083C">
        <w:rPr>
          <w:rFonts w:eastAsiaTheme="minorHAnsi"/>
        </w:rPr>
        <w:t xml:space="preserve"> 0·44 [0·20, 0·94])</w:t>
      </w:r>
      <w:r w:rsidRPr="00B7083C">
        <w:rPr>
          <w:rFonts w:eastAsiaTheme="minorHAnsi"/>
        </w:rPr>
        <w:t xml:space="preserve">; this reduction was not explained by </w:t>
      </w:r>
      <w:proofErr w:type="spellStart"/>
      <w:r w:rsidR="00BF5BF5" w:rsidRPr="00B7083C">
        <w:rPr>
          <w:rFonts w:eastAsiaTheme="minorHAnsi"/>
        </w:rPr>
        <w:t>cesarean</w:t>
      </w:r>
      <w:proofErr w:type="spellEnd"/>
      <w:r w:rsidRPr="00B7083C">
        <w:rPr>
          <w:rFonts w:eastAsiaTheme="minorHAnsi"/>
        </w:rPr>
        <w:t xml:space="preserve"> section delivery rates or birthweight, which were similar between study groups (Table </w:t>
      </w:r>
      <w:r w:rsidR="00E92E80" w:rsidRPr="00B7083C">
        <w:rPr>
          <w:rFonts w:eastAsiaTheme="minorHAnsi"/>
        </w:rPr>
        <w:t>3</w:t>
      </w:r>
      <w:r w:rsidRPr="00B7083C">
        <w:rPr>
          <w:rFonts w:eastAsiaTheme="minorHAnsi"/>
        </w:rPr>
        <w:t>). There were no differences between groups for the secondary outcomes of miscarriage, congenital anomaly, severe nausea and vomiting of pregnancy, hypertensive disorder</w:t>
      </w:r>
      <w:r w:rsidR="00A274FF" w:rsidRPr="00B7083C">
        <w:rPr>
          <w:rFonts w:eastAsiaTheme="minorHAnsi"/>
        </w:rPr>
        <w:t>s</w:t>
      </w:r>
      <w:r w:rsidRPr="00B7083C">
        <w:rPr>
          <w:rFonts w:eastAsiaTheme="minorHAnsi"/>
        </w:rPr>
        <w:t xml:space="preserve"> of pregnancy, intrauterine death, neonatal death, neonatal </w:t>
      </w:r>
      <w:proofErr w:type="spellStart"/>
      <w:r w:rsidRPr="00B7083C">
        <w:rPr>
          <w:rFonts w:eastAsiaTheme="minorHAnsi"/>
        </w:rPr>
        <w:t>hypo</w:t>
      </w:r>
      <w:r w:rsidR="00824DC0" w:rsidRPr="00B7083C">
        <w:rPr>
          <w:rFonts w:eastAsiaTheme="minorHAnsi"/>
        </w:rPr>
        <w:t>glycemia</w:t>
      </w:r>
      <w:proofErr w:type="spellEnd"/>
      <w:r w:rsidRPr="00B7083C">
        <w:rPr>
          <w:rFonts w:eastAsiaTheme="minorHAnsi"/>
        </w:rPr>
        <w:t xml:space="preserve"> and other neonatal complications (Table</w:t>
      </w:r>
      <w:r w:rsidR="000D1814" w:rsidRPr="00B7083C">
        <w:rPr>
          <w:rFonts w:eastAsiaTheme="minorHAnsi"/>
        </w:rPr>
        <w:t xml:space="preserve"> 3</w:t>
      </w:r>
      <w:r w:rsidR="006A1B2A" w:rsidRPr="00B7083C">
        <w:rPr>
          <w:rFonts w:eastAsiaTheme="minorHAnsi"/>
        </w:rPr>
        <w:t>,</w:t>
      </w:r>
      <w:r w:rsidRPr="00B7083C">
        <w:rPr>
          <w:rFonts w:eastAsiaTheme="minorHAnsi"/>
        </w:rPr>
        <w:t xml:space="preserve"> </w:t>
      </w:r>
      <w:r w:rsidR="004A7607" w:rsidRPr="00B7083C">
        <w:rPr>
          <w:rFonts w:eastAsiaTheme="minorHAnsi"/>
        </w:rPr>
        <w:t>Supplemental Table S2</w:t>
      </w:r>
      <w:r w:rsidRPr="00B7083C">
        <w:rPr>
          <w:rFonts w:eastAsiaTheme="minorHAnsi"/>
        </w:rPr>
        <w:t>).</w:t>
      </w:r>
    </w:p>
    <w:p w14:paraId="37DEF95C" w14:textId="0ED1B4C4" w:rsidR="001B2FB6" w:rsidRPr="00B7083C" w:rsidRDefault="0040041B" w:rsidP="006419B2">
      <w:pPr>
        <w:spacing w:line="480" w:lineRule="auto"/>
        <w:jc w:val="both"/>
        <w:rPr>
          <w:rFonts w:eastAsiaTheme="minorHAnsi"/>
        </w:rPr>
      </w:pPr>
      <w:r w:rsidRPr="00B7083C">
        <w:rPr>
          <w:rFonts w:eastAsiaTheme="minorHAnsi"/>
        </w:rPr>
        <w:t>Among women who provided the primary and birth outcomes, o</w:t>
      </w:r>
      <w:r w:rsidR="00F228A2" w:rsidRPr="00B7083C">
        <w:rPr>
          <w:rFonts w:eastAsiaTheme="minorHAnsi"/>
        </w:rPr>
        <w:t xml:space="preserve">verall </w:t>
      </w:r>
      <w:r w:rsidR="001505CC" w:rsidRPr="00B7083C">
        <w:rPr>
          <w:rFonts w:eastAsiaTheme="minorHAnsi"/>
        </w:rPr>
        <w:t xml:space="preserve">supplement adherence </w:t>
      </w:r>
      <w:r w:rsidR="00F228A2" w:rsidRPr="00B7083C">
        <w:rPr>
          <w:rFonts w:eastAsiaTheme="minorHAnsi"/>
        </w:rPr>
        <w:t xml:space="preserve">was good, with </w:t>
      </w:r>
      <w:r w:rsidR="00852ADB" w:rsidRPr="00B7083C">
        <w:rPr>
          <w:rFonts w:eastAsiaTheme="minorHAnsi"/>
        </w:rPr>
        <w:t>8</w:t>
      </w:r>
      <w:r w:rsidR="00B950C7" w:rsidRPr="00B7083C">
        <w:rPr>
          <w:rFonts w:eastAsiaTheme="minorHAnsi"/>
        </w:rPr>
        <w:t>0</w:t>
      </w:r>
      <w:r w:rsidR="00FD4875" w:rsidRPr="00B7083C">
        <w:rPr>
          <w:rFonts w:eastAsiaTheme="minorHAnsi"/>
        </w:rPr>
        <w:t>·</w:t>
      </w:r>
      <w:r w:rsidR="00B950C7" w:rsidRPr="00B7083C">
        <w:rPr>
          <w:rFonts w:eastAsiaTheme="minorHAnsi"/>
        </w:rPr>
        <w:t>7</w:t>
      </w:r>
      <w:r w:rsidR="00F228A2" w:rsidRPr="00B7083C">
        <w:rPr>
          <w:rFonts w:eastAsiaTheme="minorHAnsi"/>
        </w:rPr>
        <w:t xml:space="preserve">% having 80-100% </w:t>
      </w:r>
      <w:r w:rsidR="00002CA4" w:rsidRPr="00B7083C">
        <w:rPr>
          <w:rFonts w:eastAsiaTheme="minorHAnsi"/>
        </w:rPr>
        <w:t>adherence</w:t>
      </w:r>
      <w:r w:rsidR="00F228A2" w:rsidRPr="00B7083C">
        <w:rPr>
          <w:rFonts w:eastAsiaTheme="minorHAnsi"/>
        </w:rPr>
        <w:t xml:space="preserve">, </w:t>
      </w:r>
      <w:r w:rsidR="00852ADB" w:rsidRPr="00B7083C">
        <w:rPr>
          <w:rFonts w:eastAsiaTheme="minorHAnsi"/>
        </w:rPr>
        <w:t>15</w:t>
      </w:r>
      <w:r w:rsidR="00FD4875" w:rsidRPr="00B7083C">
        <w:rPr>
          <w:rFonts w:eastAsiaTheme="minorHAnsi"/>
        </w:rPr>
        <w:t>·</w:t>
      </w:r>
      <w:r w:rsidR="00002CA4" w:rsidRPr="00B7083C">
        <w:rPr>
          <w:rFonts w:eastAsiaTheme="minorHAnsi"/>
        </w:rPr>
        <w:t>9</w:t>
      </w:r>
      <w:r w:rsidR="00F228A2" w:rsidRPr="00B7083C">
        <w:rPr>
          <w:rFonts w:eastAsiaTheme="minorHAnsi"/>
        </w:rPr>
        <w:t xml:space="preserve">% 60-80% </w:t>
      </w:r>
      <w:r w:rsidR="00002CA4" w:rsidRPr="00B7083C">
        <w:rPr>
          <w:rFonts w:eastAsiaTheme="minorHAnsi"/>
        </w:rPr>
        <w:t>adherence</w:t>
      </w:r>
      <w:r w:rsidR="00F228A2" w:rsidRPr="00B7083C">
        <w:rPr>
          <w:rFonts w:eastAsiaTheme="minorHAnsi"/>
        </w:rPr>
        <w:t xml:space="preserve">, and only </w:t>
      </w:r>
      <w:r w:rsidR="00B950C7" w:rsidRPr="00B7083C">
        <w:rPr>
          <w:rFonts w:eastAsiaTheme="minorHAnsi"/>
        </w:rPr>
        <w:t>3</w:t>
      </w:r>
      <w:r w:rsidR="00FD4875" w:rsidRPr="00B7083C">
        <w:rPr>
          <w:rFonts w:eastAsiaTheme="minorHAnsi"/>
        </w:rPr>
        <w:t>·</w:t>
      </w:r>
      <w:r w:rsidR="00B950C7" w:rsidRPr="00B7083C">
        <w:rPr>
          <w:rFonts w:eastAsiaTheme="minorHAnsi"/>
        </w:rPr>
        <w:t>4</w:t>
      </w:r>
      <w:r w:rsidR="00F228A2" w:rsidRPr="00B7083C">
        <w:rPr>
          <w:rFonts w:eastAsiaTheme="minorHAnsi"/>
        </w:rPr>
        <w:t xml:space="preserve">% below 60% </w:t>
      </w:r>
      <w:r w:rsidR="00002CA4" w:rsidRPr="00B7083C">
        <w:rPr>
          <w:rFonts w:eastAsiaTheme="minorHAnsi"/>
        </w:rPr>
        <w:t xml:space="preserve">adherence </w:t>
      </w:r>
      <w:r w:rsidR="00F228A2" w:rsidRPr="00B7083C">
        <w:rPr>
          <w:rFonts w:eastAsiaTheme="minorHAnsi"/>
        </w:rPr>
        <w:t>averaged from recruitment to delivery</w:t>
      </w:r>
      <w:r w:rsidR="00900C12" w:rsidRPr="00B7083C">
        <w:rPr>
          <w:rFonts w:eastAsiaTheme="minorHAnsi"/>
        </w:rPr>
        <w:t xml:space="preserve">. Adherence was similar in the </w:t>
      </w:r>
      <w:r w:rsidR="00C53C20" w:rsidRPr="00B7083C">
        <w:rPr>
          <w:rFonts w:eastAsiaTheme="minorHAnsi"/>
        </w:rPr>
        <w:t xml:space="preserve">control and </w:t>
      </w:r>
      <w:r w:rsidR="00900C12" w:rsidRPr="00B7083C">
        <w:rPr>
          <w:rFonts w:eastAsiaTheme="minorHAnsi"/>
        </w:rPr>
        <w:t>intervention groups</w:t>
      </w:r>
      <w:r w:rsidR="005938C2" w:rsidRPr="00B7083C">
        <w:rPr>
          <w:rFonts w:eastAsiaTheme="minorHAnsi"/>
        </w:rPr>
        <w:t xml:space="preserve">. </w:t>
      </w:r>
      <w:r w:rsidR="00712CC9" w:rsidRPr="00B7083C">
        <w:rPr>
          <w:rFonts w:eastAsiaTheme="minorHAnsi"/>
        </w:rPr>
        <w:t>As</w:t>
      </w:r>
      <w:r w:rsidR="008A1795" w:rsidRPr="00B7083C">
        <w:rPr>
          <w:rFonts w:eastAsiaTheme="minorHAnsi"/>
        </w:rPr>
        <w:t xml:space="preserve"> a </w:t>
      </w:r>
      <w:r w:rsidR="008C26AD" w:rsidRPr="00B7083C">
        <w:rPr>
          <w:rFonts w:eastAsiaTheme="minorHAnsi"/>
        </w:rPr>
        <w:t>further</w:t>
      </w:r>
      <w:r w:rsidR="008A1795" w:rsidRPr="00B7083C">
        <w:rPr>
          <w:rFonts w:eastAsiaTheme="minorHAnsi"/>
        </w:rPr>
        <w:t xml:space="preserve"> indication</w:t>
      </w:r>
      <w:r w:rsidR="008C26AD" w:rsidRPr="00B7083C">
        <w:rPr>
          <w:rFonts w:eastAsiaTheme="minorHAnsi"/>
        </w:rPr>
        <w:t xml:space="preserve"> of good</w:t>
      </w:r>
      <w:r w:rsidR="00712CC9" w:rsidRPr="00B7083C">
        <w:rPr>
          <w:rFonts w:eastAsiaTheme="minorHAnsi"/>
        </w:rPr>
        <w:t xml:space="preserve"> </w:t>
      </w:r>
      <w:r w:rsidR="0087616C" w:rsidRPr="00B7083C">
        <w:rPr>
          <w:rFonts w:eastAsiaTheme="minorHAnsi"/>
        </w:rPr>
        <w:t>adherence</w:t>
      </w:r>
      <w:r w:rsidR="00712CC9" w:rsidRPr="00B7083C">
        <w:rPr>
          <w:rFonts w:eastAsiaTheme="minorHAnsi"/>
        </w:rPr>
        <w:t xml:space="preserve">, </w:t>
      </w:r>
      <w:r w:rsidR="008A1795" w:rsidRPr="00B7083C">
        <w:rPr>
          <w:rFonts w:eastAsiaTheme="minorHAnsi"/>
        </w:rPr>
        <w:t xml:space="preserve">25-hydroxyvitamin D concentrations in the intervention and control group were similar at the preconception baseline but higher in the intervention compared with the control group at the 28-week OGTT (median 92.8 versus 63.0 nmol/L). </w:t>
      </w:r>
      <w:r w:rsidR="00565F26" w:rsidRPr="00B7083C">
        <w:rPr>
          <w:rFonts w:eastAsiaTheme="minorHAnsi"/>
        </w:rPr>
        <w:t xml:space="preserve">Among all </w:t>
      </w:r>
      <w:r w:rsidR="00824DC0" w:rsidRPr="00B7083C">
        <w:rPr>
          <w:rFonts w:eastAsiaTheme="minorHAnsi"/>
        </w:rPr>
        <w:t>randomized</w:t>
      </w:r>
      <w:r w:rsidR="00FD4875" w:rsidRPr="00B7083C">
        <w:rPr>
          <w:rFonts w:eastAsiaTheme="minorHAnsi"/>
        </w:rPr>
        <w:t xml:space="preserve"> </w:t>
      </w:r>
      <w:r w:rsidR="00565F26" w:rsidRPr="00B7083C">
        <w:rPr>
          <w:rFonts w:eastAsiaTheme="minorHAnsi"/>
        </w:rPr>
        <w:t>women, w</w:t>
      </w:r>
      <w:r w:rsidR="00835F74" w:rsidRPr="00B7083C">
        <w:rPr>
          <w:rFonts w:eastAsiaTheme="minorHAnsi"/>
        </w:rPr>
        <w:t>ithdrawals due to perceived minor side-effects from the supplement were</w:t>
      </w:r>
      <w:r w:rsidR="00900C12" w:rsidRPr="00B7083C">
        <w:rPr>
          <w:rFonts w:eastAsiaTheme="minorHAnsi"/>
        </w:rPr>
        <w:t xml:space="preserve"> similar</w:t>
      </w:r>
      <w:r w:rsidR="00F228A2" w:rsidRPr="00B7083C">
        <w:rPr>
          <w:rFonts w:eastAsiaTheme="minorHAnsi"/>
        </w:rPr>
        <w:t xml:space="preserve"> </w:t>
      </w:r>
      <w:r w:rsidR="00835F74" w:rsidRPr="00B7083C">
        <w:rPr>
          <w:rFonts w:eastAsiaTheme="minorHAnsi"/>
        </w:rPr>
        <w:t>in</w:t>
      </w:r>
      <w:r w:rsidR="00F228A2" w:rsidRPr="00B7083C">
        <w:rPr>
          <w:rFonts w:eastAsiaTheme="minorHAnsi"/>
        </w:rPr>
        <w:t xml:space="preserve"> </w:t>
      </w:r>
      <w:r w:rsidR="00900C12" w:rsidRPr="00B7083C">
        <w:rPr>
          <w:rFonts w:eastAsiaTheme="minorHAnsi"/>
        </w:rPr>
        <w:t>both groups</w:t>
      </w:r>
      <w:r w:rsidR="00F228A2" w:rsidRPr="00B7083C">
        <w:rPr>
          <w:rFonts w:eastAsiaTheme="minorHAnsi"/>
        </w:rPr>
        <w:t xml:space="preserve"> </w:t>
      </w:r>
      <w:r w:rsidR="006A1B2A" w:rsidRPr="00B7083C">
        <w:rPr>
          <w:rFonts w:eastAsiaTheme="minorHAnsi"/>
        </w:rPr>
        <w:t>(</w:t>
      </w:r>
      <w:r w:rsidR="00C53C20" w:rsidRPr="00B7083C">
        <w:rPr>
          <w:rFonts w:eastAsiaTheme="minorHAnsi"/>
        </w:rPr>
        <w:t>8</w:t>
      </w:r>
      <w:r w:rsidR="006419B2" w:rsidRPr="00B7083C">
        <w:rPr>
          <w:rFonts w:eastAsiaTheme="minorHAnsi"/>
        </w:rPr>
        <w:t>·</w:t>
      </w:r>
      <w:r w:rsidR="00C53C20" w:rsidRPr="00B7083C">
        <w:rPr>
          <w:rFonts w:eastAsiaTheme="minorHAnsi"/>
        </w:rPr>
        <w:t xml:space="preserve">3% control, </w:t>
      </w:r>
      <w:r w:rsidR="006A1B2A" w:rsidRPr="00B7083C">
        <w:rPr>
          <w:rFonts w:eastAsiaTheme="minorHAnsi"/>
        </w:rPr>
        <w:t>7</w:t>
      </w:r>
      <w:r w:rsidR="006419B2" w:rsidRPr="00B7083C">
        <w:rPr>
          <w:rFonts w:eastAsiaTheme="minorHAnsi"/>
        </w:rPr>
        <w:t>·</w:t>
      </w:r>
      <w:r w:rsidR="006A1B2A" w:rsidRPr="00B7083C">
        <w:rPr>
          <w:rFonts w:eastAsiaTheme="minorHAnsi"/>
        </w:rPr>
        <w:t>5% intervention)</w:t>
      </w:r>
      <w:r w:rsidR="00C53C20" w:rsidRPr="00B7083C">
        <w:rPr>
          <w:rFonts w:eastAsiaTheme="minorHAnsi"/>
        </w:rPr>
        <w:t xml:space="preserve">, as were </w:t>
      </w:r>
      <w:r w:rsidR="00545D02" w:rsidRPr="00B7083C">
        <w:rPr>
          <w:rFonts w:eastAsiaTheme="minorHAnsi"/>
        </w:rPr>
        <w:t xml:space="preserve">other </w:t>
      </w:r>
      <w:r w:rsidR="00C53C20" w:rsidRPr="00B7083C">
        <w:rPr>
          <w:rFonts w:eastAsiaTheme="minorHAnsi"/>
        </w:rPr>
        <w:t>s</w:t>
      </w:r>
      <w:r w:rsidR="00F228A2" w:rsidRPr="00B7083C">
        <w:rPr>
          <w:rFonts w:eastAsiaTheme="minorHAnsi"/>
        </w:rPr>
        <w:t xml:space="preserve">erious adverse events </w:t>
      </w:r>
      <w:r w:rsidR="00C53C20" w:rsidRPr="00B7083C">
        <w:rPr>
          <w:rFonts w:eastAsiaTheme="minorHAnsi"/>
        </w:rPr>
        <w:t>(2</w:t>
      </w:r>
      <w:r w:rsidR="006419B2" w:rsidRPr="00B7083C">
        <w:rPr>
          <w:rFonts w:eastAsiaTheme="minorHAnsi"/>
        </w:rPr>
        <w:t>·</w:t>
      </w:r>
      <w:r w:rsidR="00C53C20" w:rsidRPr="00B7083C">
        <w:rPr>
          <w:rFonts w:eastAsiaTheme="minorHAnsi"/>
        </w:rPr>
        <w:t>3% control, 2</w:t>
      </w:r>
      <w:r w:rsidR="006419B2" w:rsidRPr="00B7083C">
        <w:rPr>
          <w:rFonts w:eastAsiaTheme="minorHAnsi"/>
        </w:rPr>
        <w:t>·</w:t>
      </w:r>
      <w:r w:rsidR="00C53C20" w:rsidRPr="00B7083C">
        <w:rPr>
          <w:rFonts w:eastAsiaTheme="minorHAnsi"/>
        </w:rPr>
        <w:t xml:space="preserve">8% </w:t>
      </w:r>
      <w:r w:rsidR="00F228A2" w:rsidRPr="00B7083C">
        <w:rPr>
          <w:rFonts w:eastAsiaTheme="minorHAnsi"/>
        </w:rPr>
        <w:t>intervention</w:t>
      </w:r>
      <w:r w:rsidR="00835F74" w:rsidRPr="00B7083C">
        <w:rPr>
          <w:rFonts w:eastAsiaTheme="minorHAnsi"/>
        </w:rPr>
        <w:t>)</w:t>
      </w:r>
      <w:r w:rsidR="008A7081" w:rsidRPr="00B7083C">
        <w:rPr>
          <w:rFonts w:eastAsiaTheme="minorHAnsi"/>
        </w:rPr>
        <w:t xml:space="preserve"> </w:t>
      </w:r>
      <w:r w:rsidR="00C53C20" w:rsidRPr="00B7083C">
        <w:rPr>
          <w:rFonts w:eastAsiaTheme="minorHAnsi"/>
        </w:rPr>
        <w:t>(</w:t>
      </w:r>
      <w:r w:rsidR="004A7607" w:rsidRPr="00B7083C">
        <w:rPr>
          <w:rFonts w:eastAsiaTheme="minorHAnsi"/>
        </w:rPr>
        <w:t>Supplemental Table S3</w:t>
      </w:r>
      <w:r w:rsidR="00C53C20" w:rsidRPr="00B7083C">
        <w:rPr>
          <w:rFonts w:eastAsiaTheme="minorHAnsi"/>
        </w:rPr>
        <w:t xml:space="preserve">). </w:t>
      </w:r>
    </w:p>
    <w:p w14:paraId="5EB4A457" w14:textId="77777777" w:rsidR="0087616C" w:rsidRPr="00B7083C" w:rsidRDefault="0087616C" w:rsidP="006419B2">
      <w:pPr>
        <w:spacing w:line="480" w:lineRule="auto"/>
        <w:jc w:val="both"/>
        <w:rPr>
          <w:lang w:eastAsia="en-GB"/>
        </w:rPr>
      </w:pPr>
    </w:p>
    <w:p w14:paraId="27C8F773" w14:textId="77777777" w:rsidR="001B2FB6" w:rsidRPr="00B7083C" w:rsidRDefault="001B2FB6" w:rsidP="006419B2">
      <w:pPr>
        <w:spacing w:line="480" w:lineRule="auto"/>
        <w:jc w:val="both"/>
        <w:rPr>
          <w:lang w:eastAsia="en-GB"/>
        </w:rPr>
      </w:pPr>
    </w:p>
    <w:p w14:paraId="1349FA32" w14:textId="77777777" w:rsidR="006419B2" w:rsidRPr="00B7083C" w:rsidRDefault="00042C4F" w:rsidP="008A1795">
      <w:pPr>
        <w:keepNext/>
        <w:spacing w:line="480" w:lineRule="auto"/>
        <w:jc w:val="both"/>
        <w:rPr>
          <w:lang w:eastAsia="en-GB"/>
        </w:rPr>
      </w:pPr>
      <w:r w:rsidRPr="00B7083C">
        <w:rPr>
          <w:b/>
          <w:lang w:eastAsia="en-GB"/>
        </w:rPr>
        <w:lastRenderedPageBreak/>
        <w:t>Conclusions</w:t>
      </w:r>
      <w:r w:rsidRPr="00B7083C">
        <w:rPr>
          <w:lang w:eastAsia="en-GB"/>
        </w:rPr>
        <w:t xml:space="preserve"> </w:t>
      </w:r>
    </w:p>
    <w:p w14:paraId="6C4FEE7D" w14:textId="39804215" w:rsidR="00CD4316" w:rsidRPr="00B7083C" w:rsidRDefault="00CD4316" w:rsidP="00542569">
      <w:pPr>
        <w:spacing w:after="240" w:line="480" w:lineRule="auto"/>
        <w:jc w:val="both"/>
        <w:rPr>
          <w:lang w:eastAsia="en-GB"/>
        </w:rPr>
      </w:pPr>
      <w:r w:rsidRPr="00B7083C">
        <w:rPr>
          <w:lang w:eastAsia="en-GB"/>
        </w:rPr>
        <w:t xml:space="preserve">In </w:t>
      </w:r>
      <w:r w:rsidR="009404AE" w:rsidRPr="00B7083C">
        <w:rPr>
          <w:lang w:eastAsia="en-GB"/>
        </w:rPr>
        <w:t>this</w:t>
      </w:r>
      <w:r w:rsidRPr="00B7083C">
        <w:rPr>
          <w:lang w:eastAsia="en-GB"/>
        </w:rPr>
        <w:t xml:space="preserve"> </w:t>
      </w:r>
      <w:r w:rsidR="001E13AB" w:rsidRPr="00B7083C">
        <w:rPr>
          <w:lang w:eastAsia="en-GB"/>
        </w:rPr>
        <w:t xml:space="preserve">international </w:t>
      </w:r>
      <w:r w:rsidRPr="00B7083C">
        <w:rPr>
          <w:lang w:eastAsia="en-GB"/>
        </w:rPr>
        <w:t>multi</w:t>
      </w:r>
      <w:r w:rsidR="00EA63C0" w:rsidRPr="00B7083C">
        <w:rPr>
          <w:lang w:eastAsia="en-GB"/>
        </w:rPr>
        <w:t>-</w:t>
      </w:r>
      <w:proofErr w:type="spellStart"/>
      <w:r w:rsidR="00824DC0" w:rsidRPr="00B7083C">
        <w:rPr>
          <w:lang w:eastAsia="en-GB"/>
        </w:rPr>
        <w:t>center</w:t>
      </w:r>
      <w:proofErr w:type="spellEnd"/>
      <w:r w:rsidRPr="00B7083C">
        <w:rPr>
          <w:lang w:eastAsia="en-GB"/>
        </w:rPr>
        <w:t xml:space="preserve"> </w:t>
      </w:r>
      <w:r w:rsidR="00824DC0" w:rsidRPr="00B7083C">
        <w:rPr>
          <w:lang w:eastAsia="en-GB"/>
        </w:rPr>
        <w:t>randomized</w:t>
      </w:r>
      <w:r w:rsidRPr="00B7083C">
        <w:rPr>
          <w:lang w:eastAsia="en-GB"/>
        </w:rPr>
        <w:t xml:space="preserve"> controlled trial, a nutritional formulation enriched with myo-inositol, probiotics and multiple micronutrients, commenced preconception and continued throughout pregnancy, did not result in</w:t>
      </w:r>
      <w:r w:rsidR="00E32E11" w:rsidRPr="00B7083C">
        <w:rPr>
          <w:lang w:eastAsia="en-GB"/>
        </w:rPr>
        <w:t xml:space="preserve"> lowered</w:t>
      </w:r>
      <w:r w:rsidR="00847969" w:rsidRPr="00B7083C">
        <w:rPr>
          <w:lang w:eastAsia="en-GB"/>
        </w:rPr>
        <w:t xml:space="preserve"> </w:t>
      </w:r>
      <w:r w:rsidRPr="00B7083C">
        <w:rPr>
          <w:lang w:eastAsia="en-GB"/>
        </w:rPr>
        <w:t xml:space="preserve">maternal </w:t>
      </w:r>
      <w:r w:rsidR="00824DC0" w:rsidRPr="00B7083C">
        <w:rPr>
          <w:lang w:eastAsia="en-GB"/>
        </w:rPr>
        <w:t>glycemia</w:t>
      </w:r>
      <w:r w:rsidRPr="00B7083C">
        <w:rPr>
          <w:lang w:eastAsia="en-GB"/>
        </w:rPr>
        <w:t xml:space="preserve"> at 28 weeks’ gestation. </w:t>
      </w:r>
      <w:r w:rsidR="001C45D0" w:rsidRPr="00B7083C">
        <w:rPr>
          <w:lang w:eastAsia="en-GB"/>
        </w:rPr>
        <w:t>T</w:t>
      </w:r>
      <w:r w:rsidRPr="00B7083C">
        <w:rPr>
          <w:lang w:eastAsia="en-GB"/>
        </w:rPr>
        <w:t xml:space="preserve">here were no significant effects on the incidence of </w:t>
      </w:r>
      <w:r w:rsidR="00EA63C0" w:rsidRPr="00B7083C">
        <w:rPr>
          <w:lang w:eastAsia="en-GB"/>
        </w:rPr>
        <w:t>GDM</w:t>
      </w:r>
      <w:r w:rsidRPr="00B7083C">
        <w:rPr>
          <w:lang w:eastAsia="en-GB"/>
        </w:rPr>
        <w:t xml:space="preserve"> and large-for-gestational-age infant</w:t>
      </w:r>
      <w:r w:rsidR="001A62C7" w:rsidRPr="00B7083C">
        <w:rPr>
          <w:lang w:eastAsia="en-GB"/>
        </w:rPr>
        <w:t>s</w:t>
      </w:r>
      <w:r w:rsidR="00664F8D" w:rsidRPr="00B7083C">
        <w:rPr>
          <w:lang w:eastAsia="en-GB"/>
        </w:rPr>
        <w:t xml:space="preserve">. </w:t>
      </w:r>
      <w:r w:rsidR="00E32E11" w:rsidRPr="00B7083C">
        <w:rPr>
          <w:lang w:eastAsia="en-GB"/>
        </w:rPr>
        <w:t>Intervention reduced preterm birth,</w:t>
      </w:r>
      <w:r w:rsidR="00E32E11" w:rsidRPr="00B7083C" w:rsidDel="00E32E11">
        <w:rPr>
          <w:lang w:eastAsia="en-GB"/>
        </w:rPr>
        <w:t xml:space="preserve"> </w:t>
      </w:r>
      <w:r w:rsidR="00E32E11" w:rsidRPr="00B7083C">
        <w:rPr>
          <w:lang w:eastAsia="en-GB"/>
        </w:rPr>
        <w:t>affirming</w:t>
      </w:r>
      <w:r w:rsidR="00664F8D" w:rsidRPr="00B7083C">
        <w:rPr>
          <w:lang w:eastAsia="en-GB"/>
        </w:rPr>
        <w:t xml:space="preserve"> findings </w:t>
      </w:r>
      <w:r w:rsidR="00E32E11" w:rsidRPr="00B7083C">
        <w:rPr>
          <w:lang w:eastAsia="en-GB"/>
        </w:rPr>
        <w:t xml:space="preserve">from </w:t>
      </w:r>
      <w:r w:rsidR="00664F8D" w:rsidRPr="00B7083C">
        <w:rPr>
          <w:lang w:eastAsia="en-GB"/>
        </w:rPr>
        <w:t xml:space="preserve">previous </w:t>
      </w:r>
      <w:r w:rsidR="001E13AB" w:rsidRPr="00B7083C">
        <w:rPr>
          <w:lang w:eastAsia="en-GB"/>
        </w:rPr>
        <w:t>myo</w:t>
      </w:r>
      <w:r w:rsidR="00985839" w:rsidRPr="00B7083C">
        <w:rPr>
          <w:lang w:eastAsia="en-GB"/>
        </w:rPr>
        <w:t>-</w:t>
      </w:r>
      <w:r w:rsidR="001E13AB" w:rsidRPr="00B7083C">
        <w:rPr>
          <w:lang w:eastAsia="en-GB"/>
        </w:rPr>
        <w:t xml:space="preserve">inositol </w:t>
      </w:r>
      <w:r w:rsidR="00664F8D" w:rsidRPr="00B7083C">
        <w:rPr>
          <w:lang w:eastAsia="en-GB"/>
        </w:rPr>
        <w:t>trials</w:t>
      </w:r>
      <w:r w:rsidR="001E13AB" w:rsidRPr="00B7083C">
        <w:rPr>
          <w:lang w:eastAsia="en-GB"/>
        </w:rPr>
        <w:t>.</w:t>
      </w:r>
      <w:r w:rsidRPr="00B7083C">
        <w:rPr>
          <w:lang w:eastAsia="en-GB"/>
        </w:rPr>
        <w:t xml:space="preserve"> </w:t>
      </w:r>
      <w:r w:rsidR="001E13AB" w:rsidRPr="00B7083C">
        <w:rPr>
          <w:lang w:eastAsia="en-GB"/>
        </w:rPr>
        <w:t>W</w:t>
      </w:r>
      <w:r w:rsidR="0036479A" w:rsidRPr="00B7083C">
        <w:rPr>
          <w:lang w:eastAsia="en-GB"/>
        </w:rPr>
        <w:t>e</w:t>
      </w:r>
      <w:r w:rsidR="00664F8D" w:rsidRPr="00B7083C">
        <w:rPr>
          <w:lang w:eastAsia="en-GB"/>
        </w:rPr>
        <w:t xml:space="preserve"> also </w:t>
      </w:r>
      <w:r w:rsidR="0036479A" w:rsidRPr="00B7083C">
        <w:rPr>
          <w:lang w:eastAsia="en-GB"/>
        </w:rPr>
        <w:t xml:space="preserve">found </w:t>
      </w:r>
      <w:r w:rsidR="00664F8D" w:rsidRPr="00B7083C">
        <w:rPr>
          <w:lang w:eastAsia="en-GB"/>
        </w:rPr>
        <w:t xml:space="preserve">a reduction in </w:t>
      </w:r>
      <w:r w:rsidR="00731B98" w:rsidRPr="00B7083C">
        <w:rPr>
          <w:lang w:eastAsia="en-GB"/>
        </w:rPr>
        <w:t xml:space="preserve">the incidence of </w:t>
      </w:r>
      <w:r w:rsidRPr="00B7083C">
        <w:rPr>
          <w:lang w:eastAsia="en-GB"/>
        </w:rPr>
        <w:t xml:space="preserve">major post-partum </w:t>
      </w:r>
      <w:proofErr w:type="spellStart"/>
      <w:r w:rsidR="00AD6903" w:rsidRPr="00B7083C">
        <w:rPr>
          <w:lang w:eastAsia="en-GB"/>
        </w:rPr>
        <w:t>hemorrhage</w:t>
      </w:r>
      <w:proofErr w:type="spellEnd"/>
      <w:r w:rsidRPr="00B7083C">
        <w:rPr>
          <w:lang w:eastAsia="en-GB"/>
        </w:rPr>
        <w:t xml:space="preserve">. </w:t>
      </w:r>
    </w:p>
    <w:p w14:paraId="09B30216" w14:textId="6AB3DD50" w:rsidR="00B53EB0" w:rsidRPr="00B7083C" w:rsidRDefault="004A7607" w:rsidP="00E31B7B">
      <w:pPr>
        <w:autoSpaceDE w:val="0"/>
        <w:autoSpaceDN w:val="0"/>
        <w:adjustRightInd w:val="0"/>
        <w:spacing w:after="240" w:line="480" w:lineRule="auto"/>
        <w:jc w:val="both"/>
      </w:pPr>
      <w:r w:rsidRPr="00B7083C">
        <w:rPr>
          <w:lang w:eastAsia="en-GB"/>
        </w:rPr>
        <w:t>Three previous trials of open label myo-inositol taken from early pregnancy to prevent GDM in women in Italy</w:t>
      </w:r>
      <w:r w:rsidRPr="00B7083C">
        <w:rPr>
          <w:vertAlign w:val="superscript"/>
          <w:lang w:eastAsia="en-GB"/>
        </w:rPr>
        <w:t xml:space="preserve"> </w:t>
      </w:r>
      <w:r w:rsidRPr="00B7083C">
        <w:rPr>
          <w:lang w:eastAsia="en-GB"/>
        </w:rPr>
        <w:t xml:space="preserve">focused on discrete high risk groups for </w:t>
      </w:r>
      <w:proofErr w:type="spellStart"/>
      <w:r w:rsidRPr="00B7083C">
        <w:rPr>
          <w:lang w:eastAsia="en-GB"/>
        </w:rPr>
        <w:t>dysglycemia</w:t>
      </w:r>
      <w:proofErr w:type="spellEnd"/>
      <w:r w:rsidRPr="00B7083C">
        <w:rPr>
          <w:lang w:eastAsia="en-GB"/>
        </w:rPr>
        <w:t>, namely those who were overweight or obese, or with a family history of type 2 diabetes mellitus (</w:t>
      </w:r>
      <w:r w:rsidR="000876CF" w:rsidRPr="00B7083C">
        <w:rPr>
          <w:lang w:eastAsia="en-GB"/>
        </w:rPr>
        <w:t>32</w:t>
      </w:r>
      <w:r w:rsidRPr="00B7083C">
        <w:rPr>
          <w:lang w:eastAsia="en-GB"/>
        </w:rPr>
        <w:t xml:space="preserve">). All </w:t>
      </w:r>
      <w:r w:rsidRPr="00B7083C">
        <w:rPr>
          <w:lang w:val="en" w:eastAsia="en-NZ"/>
        </w:rPr>
        <w:t>showed a similar reduction in GDM, with an overall odds ratio (OR) of 0.34</w:t>
      </w:r>
      <w:r w:rsidR="008B6DAC" w:rsidRPr="00B7083C">
        <w:rPr>
          <w:lang w:val="en" w:eastAsia="en-NZ"/>
        </w:rPr>
        <w:t>, as well as lower fasting, 1-hour- and 2-hour glycemia in a 24-28-week OGTT</w:t>
      </w:r>
      <w:r w:rsidRPr="00B7083C">
        <w:rPr>
          <w:lang w:val="en" w:eastAsia="en-NZ"/>
        </w:rPr>
        <w:t xml:space="preserve"> (</w:t>
      </w:r>
      <w:r w:rsidR="000876CF" w:rsidRPr="00B7083C">
        <w:rPr>
          <w:lang w:val="en" w:eastAsia="en-NZ"/>
        </w:rPr>
        <w:t>32</w:t>
      </w:r>
      <w:r w:rsidRPr="00B7083C">
        <w:rPr>
          <w:lang w:val="en" w:eastAsia="en-NZ"/>
        </w:rPr>
        <w:t>). A further small trial among women with impaired fasting glycemia in early pregnancy reported a large reduction in GDM risk (RR 0.127)</w:t>
      </w:r>
      <w:r w:rsidR="008B6DAC" w:rsidRPr="00B7083C">
        <w:rPr>
          <w:lang w:val="en" w:eastAsia="en-NZ"/>
        </w:rPr>
        <w:t xml:space="preserve"> alongside lower fasting and 1-hour glycemia</w:t>
      </w:r>
      <w:r w:rsidRPr="00B7083C">
        <w:rPr>
          <w:lang w:val="en" w:eastAsia="en-NZ"/>
        </w:rPr>
        <w:t xml:space="preserve"> (</w:t>
      </w:r>
      <w:r w:rsidR="000876CF" w:rsidRPr="00B7083C">
        <w:rPr>
          <w:lang w:val="en" w:eastAsia="en-NZ"/>
        </w:rPr>
        <w:t>33</w:t>
      </w:r>
      <w:r w:rsidRPr="00B7083C">
        <w:rPr>
          <w:lang w:val="en" w:eastAsia="en-NZ"/>
        </w:rPr>
        <w:t xml:space="preserve">). </w:t>
      </w:r>
      <w:r w:rsidR="00CD4316" w:rsidRPr="00B7083C">
        <w:rPr>
          <w:lang w:val="en" w:eastAsia="en-NZ"/>
        </w:rPr>
        <w:t xml:space="preserve">These observations </w:t>
      </w:r>
      <w:r w:rsidR="00506C1D" w:rsidRPr="00B7083C">
        <w:rPr>
          <w:lang w:val="en" w:eastAsia="en-NZ"/>
        </w:rPr>
        <w:t>contrast</w:t>
      </w:r>
      <w:r w:rsidR="00CD4316" w:rsidRPr="00B7083C">
        <w:rPr>
          <w:lang w:val="en" w:eastAsia="en-NZ"/>
        </w:rPr>
        <w:t xml:space="preserve"> </w:t>
      </w:r>
      <w:r w:rsidR="00E25399" w:rsidRPr="00B7083C">
        <w:rPr>
          <w:lang w:val="en" w:eastAsia="en-NZ"/>
        </w:rPr>
        <w:t>with</w:t>
      </w:r>
      <w:r w:rsidR="00CD4316" w:rsidRPr="00B7083C">
        <w:rPr>
          <w:lang w:val="en" w:eastAsia="en-NZ"/>
        </w:rPr>
        <w:t xml:space="preserve"> </w:t>
      </w:r>
      <w:r w:rsidR="00985839" w:rsidRPr="00B7083C">
        <w:rPr>
          <w:lang w:val="en" w:eastAsia="en-NZ"/>
        </w:rPr>
        <w:t xml:space="preserve">the </w:t>
      </w:r>
      <w:r w:rsidR="00CD4316" w:rsidRPr="00B7083C">
        <w:rPr>
          <w:lang w:val="en" w:eastAsia="en-NZ"/>
        </w:rPr>
        <w:t xml:space="preserve">finding of no difference in </w:t>
      </w:r>
      <w:r w:rsidR="00824DC0" w:rsidRPr="00B7083C">
        <w:rPr>
          <w:lang w:val="en" w:eastAsia="en-NZ"/>
        </w:rPr>
        <w:t>glycemia</w:t>
      </w:r>
      <w:r w:rsidR="00CD4316" w:rsidRPr="00B7083C">
        <w:rPr>
          <w:lang w:val="en" w:eastAsia="en-NZ"/>
        </w:rPr>
        <w:t xml:space="preserve"> at 28 weeks</w:t>
      </w:r>
      <w:r w:rsidR="008F3BB7" w:rsidRPr="00B7083C">
        <w:rPr>
          <w:lang w:val="en" w:eastAsia="en-NZ"/>
        </w:rPr>
        <w:t>’</w:t>
      </w:r>
      <w:r w:rsidR="00CD4316" w:rsidRPr="00B7083C">
        <w:rPr>
          <w:lang w:val="en" w:eastAsia="en-NZ"/>
        </w:rPr>
        <w:t xml:space="preserve"> gestation with </w:t>
      </w:r>
      <w:r w:rsidR="00506C1D" w:rsidRPr="00B7083C">
        <w:rPr>
          <w:lang w:val="en" w:eastAsia="en-NZ"/>
        </w:rPr>
        <w:t>our intervention</w:t>
      </w:r>
      <w:r w:rsidR="00CD4316" w:rsidRPr="00B7083C">
        <w:rPr>
          <w:lang w:val="en" w:eastAsia="en-NZ"/>
        </w:rPr>
        <w:t xml:space="preserve">. However, </w:t>
      </w:r>
      <w:r w:rsidR="006B4A0A" w:rsidRPr="00B7083C">
        <w:rPr>
          <w:lang w:val="en" w:eastAsia="en-NZ"/>
        </w:rPr>
        <w:t>our study intervention was administered double-blinded over two important periods, preconception and pregnancy, in</w:t>
      </w:r>
      <w:r w:rsidR="00CD4316" w:rsidRPr="00B7083C">
        <w:rPr>
          <w:lang w:val="en" w:eastAsia="en-NZ"/>
        </w:rPr>
        <w:t xml:space="preserve"> a general population of women planning pregnancy across multiple </w:t>
      </w:r>
      <w:r w:rsidR="00824DC0" w:rsidRPr="00B7083C">
        <w:rPr>
          <w:lang w:val="en" w:eastAsia="en-NZ"/>
        </w:rPr>
        <w:t>center</w:t>
      </w:r>
      <w:r w:rsidR="00CD4316" w:rsidRPr="00B7083C">
        <w:rPr>
          <w:lang w:val="en" w:eastAsia="en-NZ"/>
        </w:rPr>
        <w:t>s and ethnicities</w:t>
      </w:r>
      <w:r w:rsidR="00ED13FD" w:rsidRPr="00B7083C">
        <w:rPr>
          <w:lang w:val="en" w:eastAsia="en-NZ"/>
        </w:rPr>
        <w:t>, exclud</w:t>
      </w:r>
      <w:r w:rsidR="0062696F" w:rsidRPr="00B7083C">
        <w:rPr>
          <w:lang w:val="en" w:eastAsia="en-NZ"/>
        </w:rPr>
        <w:t>ing</w:t>
      </w:r>
      <w:r w:rsidR="00ED13FD" w:rsidRPr="00B7083C">
        <w:rPr>
          <w:lang w:val="en" w:eastAsia="en-NZ"/>
        </w:rPr>
        <w:t xml:space="preserve"> </w:t>
      </w:r>
      <w:r w:rsidR="006B4A0A" w:rsidRPr="00B7083C">
        <w:rPr>
          <w:lang w:val="en" w:eastAsia="en-NZ"/>
        </w:rPr>
        <w:t xml:space="preserve">those </w:t>
      </w:r>
      <w:r w:rsidR="0062696F" w:rsidRPr="00B7083C">
        <w:rPr>
          <w:lang w:val="en" w:eastAsia="en-NZ"/>
        </w:rPr>
        <w:t>with existing or newly-diagnosed</w:t>
      </w:r>
      <w:r w:rsidR="00ED13FD" w:rsidRPr="00B7083C">
        <w:rPr>
          <w:lang w:val="en" w:eastAsia="en-NZ"/>
        </w:rPr>
        <w:t xml:space="preserve"> </w:t>
      </w:r>
      <w:r w:rsidR="00961888" w:rsidRPr="00B7083C">
        <w:rPr>
          <w:lang w:val="en" w:eastAsia="en-NZ"/>
        </w:rPr>
        <w:t>t</w:t>
      </w:r>
      <w:r w:rsidR="00ED13FD" w:rsidRPr="00B7083C">
        <w:rPr>
          <w:lang w:val="en" w:eastAsia="en-NZ"/>
        </w:rPr>
        <w:t xml:space="preserve">ype 1 </w:t>
      </w:r>
      <w:r w:rsidR="0062696F" w:rsidRPr="00B7083C">
        <w:rPr>
          <w:lang w:val="en" w:eastAsia="en-NZ"/>
        </w:rPr>
        <w:t xml:space="preserve">or </w:t>
      </w:r>
      <w:r w:rsidR="00ED13FD" w:rsidRPr="00B7083C">
        <w:rPr>
          <w:lang w:val="en" w:eastAsia="en-NZ"/>
        </w:rPr>
        <w:t>2 diabetes mellitus</w:t>
      </w:r>
      <w:r w:rsidR="0062696F" w:rsidRPr="00B7083C">
        <w:rPr>
          <w:lang w:val="en" w:eastAsia="en-NZ"/>
        </w:rPr>
        <w:t xml:space="preserve"> preconception</w:t>
      </w:r>
      <w:r w:rsidR="00ED13FD" w:rsidRPr="00B7083C">
        <w:rPr>
          <w:lang w:val="en" w:eastAsia="en-NZ"/>
        </w:rPr>
        <w:t xml:space="preserve">. </w:t>
      </w:r>
      <w:r w:rsidR="00EF4F24" w:rsidRPr="00B7083C">
        <w:rPr>
          <w:lang w:val="en" w:eastAsia="en-NZ"/>
        </w:rPr>
        <w:t>Subgroup a</w:t>
      </w:r>
      <w:r w:rsidR="00CD4316" w:rsidRPr="00B7083C">
        <w:rPr>
          <w:lang w:val="en" w:eastAsia="en-NZ"/>
        </w:rPr>
        <w:t>nalysis of overweight and obese women</w:t>
      </w:r>
      <w:r w:rsidR="00EF4F24" w:rsidRPr="00B7083C">
        <w:rPr>
          <w:lang w:val="en" w:eastAsia="en-NZ"/>
        </w:rPr>
        <w:t xml:space="preserve"> or those with documented </w:t>
      </w:r>
      <w:proofErr w:type="spellStart"/>
      <w:r w:rsidR="00EF4F24" w:rsidRPr="00B7083C">
        <w:rPr>
          <w:lang w:val="en" w:eastAsia="en-NZ"/>
        </w:rPr>
        <w:t>dys</w:t>
      </w:r>
      <w:r w:rsidR="00824DC0" w:rsidRPr="00B7083C">
        <w:rPr>
          <w:lang w:val="en" w:eastAsia="en-NZ"/>
        </w:rPr>
        <w:t>glycemia</w:t>
      </w:r>
      <w:proofErr w:type="spellEnd"/>
      <w:r w:rsidR="00CD4316" w:rsidRPr="00B7083C">
        <w:rPr>
          <w:lang w:val="en" w:eastAsia="en-NZ"/>
        </w:rPr>
        <w:t xml:space="preserve"> did not show any benefit of </w:t>
      </w:r>
      <w:r w:rsidR="001E13AB" w:rsidRPr="00B7083C">
        <w:rPr>
          <w:lang w:val="en" w:eastAsia="en-NZ"/>
        </w:rPr>
        <w:t>our</w:t>
      </w:r>
      <w:r w:rsidR="009E0B12" w:rsidRPr="00B7083C">
        <w:rPr>
          <w:lang w:val="en" w:eastAsia="en-NZ"/>
        </w:rPr>
        <w:t xml:space="preserve"> intervention</w:t>
      </w:r>
      <w:r w:rsidR="00CD4316" w:rsidRPr="00B7083C">
        <w:rPr>
          <w:lang w:val="en" w:eastAsia="en-NZ"/>
        </w:rPr>
        <w:t xml:space="preserve"> on </w:t>
      </w:r>
      <w:r w:rsidR="00824DC0" w:rsidRPr="00B7083C">
        <w:rPr>
          <w:lang w:val="en" w:eastAsia="en-NZ"/>
        </w:rPr>
        <w:t>glycemia</w:t>
      </w:r>
      <w:r w:rsidR="00EF4F24" w:rsidRPr="00B7083C">
        <w:rPr>
          <w:lang w:val="en" w:eastAsia="en-NZ"/>
        </w:rPr>
        <w:t xml:space="preserve">, although </w:t>
      </w:r>
      <w:r w:rsidR="009E4A78" w:rsidRPr="00B7083C">
        <w:rPr>
          <w:lang w:val="en" w:eastAsia="en-NZ"/>
        </w:rPr>
        <w:t xml:space="preserve">the trial was not </w:t>
      </w:r>
      <w:r w:rsidR="00EF4F24" w:rsidRPr="00B7083C">
        <w:rPr>
          <w:lang w:val="en" w:eastAsia="en-NZ"/>
        </w:rPr>
        <w:t>powered to do so</w:t>
      </w:r>
      <w:r w:rsidR="00CD4316" w:rsidRPr="00B7083C">
        <w:rPr>
          <w:lang w:val="en" w:eastAsia="en-NZ"/>
        </w:rPr>
        <w:t xml:space="preserve">. </w:t>
      </w:r>
      <w:r w:rsidRPr="00B7083C">
        <w:rPr>
          <w:lang w:val="en" w:eastAsia="en-NZ"/>
        </w:rPr>
        <w:t xml:space="preserve">Our results, however, are consistent with an Irish trial of a </w:t>
      </w:r>
      <w:r w:rsidRPr="00B7083C">
        <w:t>lower dose of myo-inositol combined with D-chiro-inositol in women with a family history of type 1 or 2 diabetes, which showed no impact on glycemia (</w:t>
      </w:r>
      <w:r w:rsidR="002F6BC0" w:rsidRPr="00B7083C">
        <w:t>3</w:t>
      </w:r>
      <w:r w:rsidR="000876CF" w:rsidRPr="00B7083C">
        <w:t>4</w:t>
      </w:r>
      <w:r w:rsidRPr="00B7083C">
        <w:t xml:space="preserve">). </w:t>
      </w:r>
    </w:p>
    <w:p w14:paraId="5C9D2675" w14:textId="02316032" w:rsidR="00AD6903" w:rsidRPr="00B7083C" w:rsidRDefault="004A7607" w:rsidP="00E31B7B">
      <w:pPr>
        <w:autoSpaceDE w:val="0"/>
        <w:autoSpaceDN w:val="0"/>
        <w:adjustRightInd w:val="0"/>
        <w:spacing w:after="240" w:line="480" w:lineRule="auto"/>
        <w:jc w:val="both"/>
        <w:rPr>
          <w:rFonts w:ascii="Arial" w:hAnsi="Arial" w:cs="Arial"/>
          <w:lang w:val="en" w:eastAsia="en-NZ"/>
        </w:rPr>
      </w:pPr>
      <w:r w:rsidRPr="00B7083C">
        <w:rPr>
          <w:lang w:val="en" w:eastAsia="en-NZ"/>
        </w:rPr>
        <w:t>In another small trial, dietary counselling and probiotics in pregnant women improved glycemia (OR for elevated glucose 0.31)</w:t>
      </w:r>
      <w:r w:rsidRPr="00B7083C">
        <w:rPr>
          <w:lang w:val="en"/>
        </w:rPr>
        <w:t xml:space="preserve"> and insulin sensitivity (</w:t>
      </w:r>
      <w:r w:rsidRPr="00B7083C">
        <w:rPr>
          <w:lang w:val="en" w:eastAsia="en-NZ"/>
        </w:rPr>
        <w:t xml:space="preserve">14); these findings are </w:t>
      </w:r>
      <w:r w:rsidRPr="00B7083C">
        <w:rPr>
          <w:lang w:val="en" w:eastAsia="en-NZ"/>
        </w:rPr>
        <w:lastRenderedPageBreak/>
        <w:t>discordant with ours despite using the same probiotic combination.</w:t>
      </w:r>
      <w:r w:rsidRPr="00B7083C">
        <w:rPr>
          <w:rFonts w:ascii="Arial" w:hAnsi="Arial" w:cs="Arial"/>
          <w:lang w:val="en" w:eastAsia="en-NZ"/>
        </w:rPr>
        <w:t xml:space="preserve"> </w:t>
      </w:r>
      <w:r w:rsidR="000760AD" w:rsidRPr="00B7083C">
        <w:rPr>
          <w:lang w:val="en" w:eastAsia="en-NZ"/>
        </w:rPr>
        <w:t>However, a</w:t>
      </w:r>
      <w:r w:rsidR="00B53EB0" w:rsidRPr="00B7083C">
        <w:rPr>
          <w:lang w:val="en" w:eastAsia="en-NZ"/>
        </w:rPr>
        <w:t xml:space="preserve"> meta-analys</w:t>
      </w:r>
      <w:r w:rsidR="003017C5" w:rsidRPr="00B7083C">
        <w:rPr>
          <w:lang w:val="en" w:eastAsia="en-NZ"/>
        </w:rPr>
        <w:t>i</w:t>
      </w:r>
      <w:r w:rsidR="00B53EB0" w:rsidRPr="00B7083C">
        <w:rPr>
          <w:lang w:val="en" w:eastAsia="en-NZ"/>
        </w:rPr>
        <w:t xml:space="preserve">s of ten trials of probiotic supplementation in pregnancy found no difference in fasting glycemia </w:t>
      </w:r>
      <w:r w:rsidR="000760AD" w:rsidRPr="00B7083C">
        <w:rPr>
          <w:lang w:val="en" w:eastAsia="en-NZ"/>
        </w:rPr>
        <w:t xml:space="preserve">(despite a reduction in HOMA-IR) </w:t>
      </w:r>
      <w:r w:rsidR="00B53EB0" w:rsidRPr="00B7083C">
        <w:rPr>
          <w:lang w:val="en" w:eastAsia="en-NZ"/>
        </w:rPr>
        <w:t>(</w:t>
      </w:r>
      <w:r w:rsidR="006706A2" w:rsidRPr="00B7083C">
        <w:rPr>
          <w:lang w:val="en" w:eastAsia="en-NZ"/>
        </w:rPr>
        <w:t>13</w:t>
      </w:r>
      <w:r w:rsidR="00B53EB0" w:rsidRPr="00B7083C">
        <w:rPr>
          <w:lang w:val="en" w:eastAsia="en-NZ"/>
        </w:rPr>
        <w:t>)</w:t>
      </w:r>
      <w:r w:rsidR="000760AD" w:rsidRPr="00B7083C">
        <w:rPr>
          <w:lang w:val="en" w:eastAsia="en-NZ"/>
        </w:rPr>
        <w:t xml:space="preserve"> and </w:t>
      </w:r>
      <w:r w:rsidR="00B53EB0" w:rsidRPr="00B7083C">
        <w:rPr>
          <w:lang w:val="en" w:eastAsia="en-NZ"/>
        </w:rPr>
        <w:t xml:space="preserve">a </w:t>
      </w:r>
      <w:r w:rsidR="000760AD" w:rsidRPr="00B7083C">
        <w:rPr>
          <w:lang w:val="en" w:eastAsia="en-NZ"/>
        </w:rPr>
        <w:t>recently completed trial showed no difference in GDM rates, with slightly higher fasting glycemia (</w:t>
      </w:r>
      <w:r w:rsidR="007F07FC" w:rsidRPr="00B7083C">
        <w:rPr>
          <w:lang w:val="en" w:eastAsia="en-NZ"/>
        </w:rPr>
        <w:t>35</w:t>
      </w:r>
      <w:r w:rsidR="000760AD" w:rsidRPr="00B7083C">
        <w:rPr>
          <w:lang w:val="en" w:eastAsia="en-NZ"/>
        </w:rPr>
        <w:t>).</w:t>
      </w:r>
      <w:r w:rsidR="00870558" w:rsidRPr="00B7083C">
        <w:rPr>
          <w:lang w:val="en" w:eastAsia="en-NZ"/>
        </w:rPr>
        <w:t xml:space="preserve"> Inconsistent findings may be attributable to different populations and concurrent use of different combinations of prenatal supplements.</w:t>
      </w:r>
    </w:p>
    <w:p w14:paraId="1E09F2D6" w14:textId="62B7F9C7" w:rsidR="004A7607" w:rsidRPr="00B7083C" w:rsidRDefault="004A7607" w:rsidP="00E31B7B">
      <w:pPr>
        <w:autoSpaceDE w:val="0"/>
        <w:autoSpaceDN w:val="0"/>
        <w:adjustRightInd w:val="0"/>
        <w:spacing w:after="240" w:line="480" w:lineRule="auto"/>
        <w:jc w:val="both"/>
        <w:rPr>
          <w:rFonts w:ascii="Arial" w:hAnsi="Arial" w:cs="Arial"/>
          <w:lang w:eastAsia="en-GB"/>
        </w:rPr>
      </w:pPr>
      <w:r w:rsidRPr="00B7083C">
        <w:rPr>
          <w:lang w:val="en" w:eastAsia="en-NZ"/>
        </w:rPr>
        <w:t>Meta-analysis of the group of three Italian myo-inositol studies found a reduction in fetal macrosomia (OR 0.38) and large-for-gestational age (OR 0.52) (</w:t>
      </w:r>
      <w:r w:rsidR="000876CF" w:rsidRPr="00B7083C">
        <w:rPr>
          <w:lang w:val="en" w:eastAsia="en-NZ"/>
        </w:rPr>
        <w:t>32</w:t>
      </w:r>
      <w:r w:rsidRPr="00B7083C">
        <w:rPr>
          <w:lang w:val="en" w:eastAsia="en-NZ"/>
        </w:rPr>
        <w:t>), in contrast to the finding of no difference with our intervention. The same meta-analysis also found a reduction in preterm birth (OR 0.44) (</w:t>
      </w:r>
      <w:r w:rsidR="000876CF" w:rsidRPr="00B7083C">
        <w:rPr>
          <w:lang w:val="en" w:eastAsia="en-NZ"/>
        </w:rPr>
        <w:t>32</w:t>
      </w:r>
      <w:r w:rsidRPr="00B7083C">
        <w:rPr>
          <w:lang w:val="en" w:eastAsia="en-NZ"/>
        </w:rPr>
        <w:t>)</w:t>
      </w:r>
      <w:r w:rsidR="006706A2" w:rsidRPr="00B7083C">
        <w:rPr>
          <w:lang w:val="en" w:eastAsia="en-NZ"/>
        </w:rPr>
        <w:t>,</w:t>
      </w:r>
      <w:r w:rsidR="00870558" w:rsidRPr="00B7083C">
        <w:rPr>
          <w:lang w:val="en" w:eastAsia="en-NZ"/>
        </w:rPr>
        <w:t xml:space="preserve"> </w:t>
      </w:r>
      <w:r w:rsidR="00662649" w:rsidRPr="00B7083C">
        <w:rPr>
          <w:lang w:val="en" w:eastAsia="en-NZ"/>
        </w:rPr>
        <w:t>with the</w:t>
      </w:r>
      <w:r w:rsidR="0087616C" w:rsidRPr="00B7083C">
        <w:rPr>
          <w:lang w:val="en" w:eastAsia="en-NZ"/>
        </w:rPr>
        <w:t xml:space="preserve"> separate</w:t>
      </w:r>
      <w:r w:rsidR="00662649" w:rsidRPr="00B7083C">
        <w:rPr>
          <w:lang w:val="en" w:eastAsia="en-NZ"/>
        </w:rPr>
        <w:t xml:space="preserve"> Irish inositol trial </w:t>
      </w:r>
      <w:r w:rsidR="0087616C" w:rsidRPr="00B7083C">
        <w:rPr>
          <w:lang w:val="en" w:eastAsia="en-NZ"/>
        </w:rPr>
        <w:t xml:space="preserve">of </w:t>
      </w:r>
      <w:r w:rsidR="004E5F28" w:rsidRPr="00B7083C">
        <w:rPr>
          <w:lang w:val="en" w:eastAsia="en-NZ"/>
        </w:rPr>
        <w:t xml:space="preserve">a lower myo-inositol dose </w:t>
      </w:r>
      <w:r w:rsidR="00662649" w:rsidRPr="00B7083C">
        <w:rPr>
          <w:lang w:val="en" w:eastAsia="en-NZ"/>
        </w:rPr>
        <w:t>observing a non</w:t>
      </w:r>
      <w:r w:rsidR="00F205C9" w:rsidRPr="00B7083C">
        <w:rPr>
          <w:lang w:val="en" w:eastAsia="en-NZ"/>
        </w:rPr>
        <w:t>-</w:t>
      </w:r>
      <w:r w:rsidR="00662649" w:rsidRPr="00B7083C">
        <w:rPr>
          <w:lang w:val="en" w:eastAsia="en-NZ"/>
        </w:rPr>
        <w:t xml:space="preserve">statistically significant trend of fewer preterm births in the intervention group </w:t>
      </w:r>
      <w:r w:rsidR="00F205C9" w:rsidRPr="00B7083C">
        <w:rPr>
          <w:lang w:val="en" w:eastAsia="en-NZ"/>
        </w:rPr>
        <w:t>(2% v</w:t>
      </w:r>
      <w:r w:rsidR="00BC37E9" w:rsidRPr="00B7083C">
        <w:rPr>
          <w:lang w:val="en" w:eastAsia="en-NZ"/>
        </w:rPr>
        <w:t>ersu</w:t>
      </w:r>
      <w:r w:rsidR="00F205C9" w:rsidRPr="00B7083C">
        <w:rPr>
          <w:lang w:val="en" w:eastAsia="en-NZ"/>
        </w:rPr>
        <w:t xml:space="preserve">s 7%, p=0.11) </w:t>
      </w:r>
      <w:r w:rsidR="00662649" w:rsidRPr="00B7083C">
        <w:rPr>
          <w:lang w:val="en" w:eastAsia="en-NZ"/>
        </w:rPr>
        <w:t>(34)</w:t>
      </w:r>
      <w:r w:rsidRPr="00B7083C">
        <w:rPr>
          <w:lang w:val="en" w:eastAsia="en-NZ"/>
        </w:rPr>
        <w:t xml:space="preserve">. </w:t>
      </w:r>
      <w:r w:rsidRPr="00B7083C">
        <w:rPr>
          <w:lang w:eastAsia="en-GB"/>
        </w:rPr>
        <w:t>Another meta-analysis of trials of multiple micronutrient supplements concluded they probably also lead to a slight reduction in preterm birth [</w:t>
      </w:r>
      <w:proofErr w:type="spellStart"/>
      <w:r w:rsidRPr="00B7083C">
        <w:rPr>
          <w:lang w:eastAsia="en-GB"/>
        </w:rPr>
        <w:t>aRR</w:t>
      </w:r>
      <w:proofErr w:type="spellEnd"/>
      <w:r w:rsidRPr="00B7083C">
        <w:rPr>
          <w:lang w:eastAsia="en-GB"/>
        </w:rPr>
        <w:t xml:space="preserve"> 0.95 (0.90-1.01)] (3</w:t>
      </w:r>
      <w:r w:rsidR="000876CF" w:rsidRPr="00B7083C">
        <w:rPr>
          <w:lang w:eastAsia="en-GB"/>
        </w:rPr>
        <w:t>6</w:t>
      </w:r>
      <w:r w:rsidRPr="00B7083C">
        <w:rPr>
          <w:lang w:eastAsia="en-GB"/>
        </w:rPr>
        <w:t>).</w:t>
      </w:r>
      <w:r w:rsidRPr="00B7083C">
        <w:rPr>
          <w:rFonts w:ascii="Arial" w:hAnsi="Arial" w:cs="Arial"/>
          <w:vertAlign w:val="superscript"/>
          <w:lang w:eastAsia="en-GB"/>
        </w:rPr>
        <w:t xml:space="preserve"> </w:t>
      </w:r>
      <w:r w:rsidR="009E4A40" w:rsidRPr="00B7083C">
        <w:rPr>
          <w:vertAlign w:val="superscript"/>
          <w:lang w:eastAsia="en-GB"/>
        </w:rPr>
        <w:t xml:space="preserve"> </w:t>
      </w:r>
      <w:r w:rsidR="006706A2" w:rsidRPr="00B7083C">
        <w:rPr>
          <w:lang w:eastAsia="en-GB"/>
        </w:rPr>
        <w:t>In contrast, none of the probiotic trials reported a change in preterm birth rates. Nonetheless, f</w:t>
      </w:r>
      <w:r w:rsidR="009E4A40" w:rsidRPr="00B7083C">
        <w:rPr>
          <w:lang w:eastAsia="en-GB"/>
        </w:rPr>
        <w:t>indings</w:t>
      </w:r>
      <w:r w:rsidR="006706A2" w:rsidRPr="00B7083C">
        <w:rPr>
          <w:lang w:eastAsia="en-GB"/>
        </w:rPr>
        <w:t xml:space="preserve"> of a meta-analysis</w:t>
      </w:r>
      <w:r w:rsidR="009E4A40" w:rsidRPr="00B7083C">
        <w:rPr>
          <w:lang w:eastAsia="en-GB"/>
        </w:rPr>
        <w:t xml:space="preserve"> </w:t>
      </w:r>
      <w:r w:rsidR="006706A2" w:rsidRPr="00B7083C">
        <w:rPr>
          <w:lang w:eastAsia="en-GB"/>
        </w:rPr>
        <w:t>of myo-inositol trials (</w:t>
      </w:r>
      <w:r w:rsidR="006706A2" w:rsidRPr="00B7083C">
        <w:rPr>
          <w:lang w:val="en" w:eastAsia="en-NZ"/>
        </w:rPr>
        <w:t xml:space="preserve">12) </w:t>
      </w:r>
      <w:r w:rsidR="009E4A40" w:rsidRPr="00B7083C">
        <w:rPr>
          <w:lang w:eastAsia="en-GB"/>
        </w:rPr>
        <w:t xml:space="preserve">are </w:t>
      </w:r>
      <w:r w:rsidR="00CD4316" w:rsidRPr="00B7083C">
        <w:rPr>
          <w:lang w:val="en" w:eastAsia="en-NZ"/>
        </w:rPr>
        <w:t>consistent with our</w:t>
      </w:r>
      <w:r w:rsidR="00961888" w:rsidRPr="00B7083C">
        <w:rPr>
          <w:lang w:val="en" w:eastAsia="en-NZ"/>
        </w:rPr>
        <w:t xml:space="preserve"> demonstration </w:t>
      </w:r>
      <w:r w:rsidR="009E4A40" w:rsidRPr="00B7083C">
        <w:rPr>
          <w:lang w:val="en" w:eastAsia="en-NZ"/>
        </w:rPr>
        <w:t>of a reduction in preterm birth</w:t>
      </w:r>
      <w:r w:rsidR="00CD4316" w:rsidRPr="00B7083C">
        <w:rPr>
          <w:lang w:val="en" w:eastAsia="en-NZ"/>
        </w:rPr>
        <w:t>.</w:t>
      </w:r>
      <w:r w:rsidR="005E6D11" w:rsidRPr="00B7083C">
        <w:rPr>
          <w:lang w:eastAsia="en-GB"/>
        </w:rPr>
        <w:t xml:space="preserve"> </w:t>
      </w:r>
      <w:r w:rsidR="00CD4316" w:rsidRPr="00B7083C">
        <w:rPr>
          <w:lang w:val="en" w:eastAsia="en-NZ"/>
        </w:rPr>
        <w:t xml:space="preserve">Furthermore, </w:t>
      </w:r>
      <w:r w:rsidR="00847969" w:rsidRPr="00B7083C">
        <w:rPr>
          <w:lang w:val="en" w:eastAsia="en-NZ"/>
        </w:rPr>
        <w:t>our</w:t>
      </w:r>
      <w:r w:rsidR="00CD4316" w:rsidRPr="00B7083C">
        <w:rPr>
          <w:rFonts w:eastAsiaTheme="minorHAnsi"/>
          <w:lang w:val="en-NZ"/>
        </w:rPr>
        <w:t xml:space="preserve"> finding of a reduction</w:t>
      </w:r>
      <w:r w:rsidR="00223FDC" w:rsidRPr="00B7083C">
        <w:rPr>
          <w:rFonts w:eastAsiaTheme="minorHAnsi"/>
          <w:lang w:val="en-NZ"/>
        </w:rPr>
        <w:t xml:space="preserve"> particularly</w:t>
      </w:r>
      <w:r w:rsidR="00CD4316" w:rsidRPr="00B7083C">
        <w:rPr>
          <w:rFonts w:eastAsiaTheme="minorHAnsi"/>
          <w:lang w:val="en-NZ"/>
        </w:rPr>
        <w:t xml:space="preserve"> in</w:t>
      </w:r>
      <w:r w:rsidR="00A44DF1" w:rsidRPr="00B7083C">
        <w:rPr>
          <w:rFonts w:eastAsiaTheme="minorHAnsi"/>
          <w:lang w:val="en-NZ"/>
        </w:rPr>
        <w:t xml:space="preserve"> PPROM and</w:t>
      </w:r>
      <w:r w:rsidR="00CD4316" w:rsidRPr="00B7083C">
        <w:rPr>
          <w:rFonts w:eastAsiaTheme="minorHAnsi"/>
          <w:lang w:val="en-NZ"/>
        </w:rPr>
        <w:t xml:space="preserve"> </w:t>
      </w:r>
      <w:r w:rsidR="006E2F75" w:rsidRPr="00B7083C">
        <w:rPr>
          <w:rFonts w:eastAsiaTheme="minorHAnsi"/>
          <w:lang w:val="en-NZ"/>
        </w:rPr>
        <w:t>PPROM-associated preterm birth</w:t>
      </w:r>
      <w:r w:rsidR="003077F7" w:rsidRPr="00B7083C">
        <w:rPr>
          <w:rFonts w:eastAsiaTheme="minorHAnsi"/>
          <w:lang w:val="en-NZ"/>
        </w:rPr>
        <w:t>s</w:t>
      </w:r>
      <w:r w:rsidR="00CD4316" w:rsidRPr="00B7083C">
        <w:rPr>
          <w:rFonts w:eastAsiaTheme="minorHAnsi"/>
          <w:lang w:val="en-NZ"/>
        </w:rPr>
        <w:t xml:space="preserve"> </w:t>
      </w:r>
      <w:r w:rsidR="00393FB6" w:rsidRPr="00B7083C">
        <w:rPr>
          <w:rFonts w:eastAsiaTheme="minorHAnsi"/>
          <w:lang w:val="en-NZ"/>
        </w:rPr>
        <w:t xml:space="preserve">in the </w:t>
      </w:r>
      <w:r w:rsidR="00CD4316" w:rsidRPr="00B7083C">
        <w:rPr>
          <w:rFonts w:eastAsiaTheme="minorHAnsi"/>
          <w:lang w:val="en-NZ"/>
        </w:rPr>
        <w:t xml:space="preserve">intervention </w:t>
      </w:r>
      <w:r w:rsidR="00393FB6" w:rsidRPr="00B7083C">
        <w:rPr>
          <w:rFonts w:eastAsiaTheme="minorHAnsi"/>
          <w:lang w:val="en-NZ"/>
        </w:rPr>
        <w:t xml:space="preserve">group </w:t>
      </w:r>
      <w:r w:rsidR="00CD4316" w:rsidRPr="00B7083C">
        <w:rPr>
          <w:rFonts w:eastAsiaTheme="minorHAnsi"/>
          <w:lang w:val="en-NZ"/>
        </w:rPr>
        <w:t xml:space="preserve">indicates that this is the likely explanation </w:t>
      </w:r>
      <w:r w:rsidR="006E2F75" w:rsidRPr="00B7083C">
        <w:rPr>
          <w:rFonts w:eastAsiaTheme="minorHAnsi"/>
          <w:lang w:val="en-NZ"/>
        </w:rPr>
        <w:t xml:space="preserve">for reduced </w:t>
      </w:r>
      <w:r w:rsidR="00CD4316" w:rsidRPr="00B7083C">
        <w:rPr>
          <w:rFonts w:eastAsiaTheme="minorHAnsi"/>
          <w:lang w:val="en-NZ"/>
        </w:rPr>
        <w:t>prematurity.</w:t>
      </w:r>
      <w:r w:rsidR="00CD4316" w:rsidRPr="00B7083C">
        <w:rPr>
          <w:lang w:eastAsia="en-GB"/>
        </w:rPr>
        <w:t xml:space="preserve"> </w:t>
      </w:r>
      <w:r w:rsidR="0073554B" w:rsidRPr="00B7083C">
        <w:rPr>
          <w:lang w:eastAsia="en-GB"/>
        </w:rPr>
        <w:t>A</w:t>
      </w:r>
      <w:r w:rsidR="00C66C20" w:rsidRPr="00B7083C">
        <w:rPr>
          <w:lang w:eastAsia="en-GB"/>
        </w:rPr>
        <w:t>pproximately</w:t>
      </w:r>
      <w:r w:rsidR="0073554B" w:rsidRPr="00B7083C">
        <w:rPr>
          <w:lang w:eastAsia="en-GB"/>
        </w:rPr>
        <w:t xml:space="preserve"> </w:t>
      </w:r>
      <w:r w:rsidR="00C66C20" w:rsidRPr="00B7083C">
        <w:rPr>
          <w:lang w:eastAsia="en-GB"/>
        </w:rPr>
        <w:t>30%</w:t>
      </w:r>
      <w:r w:rsidR="0073554B" w:rsidRPr="00B7083C">
        <w:rPr>
          <w:lang w:eastAsia="en-GB"/>
        </w:rPr>
        <w:t xml:space="preserve"> of preterm births are preceded by PPROM</w:t>
      </w:r>
      <w:r w:rsidR="00C66C20" w:rsidRPr="00B7083C">
        <w:rPr>
          <w:lang w:eastAsia="en-GB"/>
        </w:rPr>
        <w:t xml:space="preserve">, of which 60-70% occur </w:t>
      </w:r>
      <w:r w:rsidR="009B0207" w:rsidRPr="00B7083C">
        <w:rPr>
          <w:lang w:eastAsia="en-GB"/>
        </w:rPr>
        <w:t xml:space="preserve">late preterm </w:t>
      </w:r>
      <w:r w:rsidR="00C66C20" w:rsidRPr="00B7083C">
        <w:rPr>
          <w:lang w:eastAsia="en-GB"/>
        </w:rPr>
        <w:t>after 34 weeks’ gestation</w:t>
      </w:r>
      <w:r w:rsidR="0073554B" w:rsidRPr="00B7083C">
        <w:rPr>
          <w:lang w:eastAsia="en-GB"/>
        </w:rPr>
        <w:t xml:space="preserve"> (</w:t>
      </w:r>
      <w:r w:rsidR="00AB723D" w:rsidRPr="00B7083C">
        <w:rPr>
          <w:lang w:eastAsia="en-GB"/>
        </w:rPr>
        <w:t>37</w:t>
      </w:r>
      <w:r w:rsidR="0073554B" w:rsidRPr="00B7083C">
        <w:rPr>
          <w:lang w:eastAsia="en-GB"/>
        </w:rPr>
        <w:t>)</w:t>
      </w:r>
      <w:r w:rsidR="009B0207" w:rsidRPr="00B7083C">
        <w:rPr>
          <w:lang w:eastAsia="en-GB"/>
        </w:rPr>
        <w:t>. PPROM is postulated to break</w:t>
      </w:r>
      <w:r w:rsidR="00E071F8" w:rsidRPr="00B7083C">
        <w:rPr>
          <w:lang w:eastAsia="en-GB"/>
        </w:rPr>
        <w:t xml:space="preserve"> </w:t>
      </w:r>
      <w:r w:rsidR="009B0207" w:rsidRPr="00B7083C">
        <w:rPr>
          <w:lang w:eastAsia="en-GB"/>
        </w:rPr>
        <w:t xml:space="preserve">down the barrier to ascending pathogens resulting in intrauterine infection, increased inflammation and the triggering of preterm </w:t>
      </w:r>
      <w:proofErr w:type="spellStart"/>
      <w:r w:rsidR="009B0207" w:rsidRPr="00B7083C">
        <w:rPr>
          <w:lang w:eastAsia="en-GB"/>
        </w:rPr>
        <w:t>labor</w:t>
      </w:r>
      <w:proofErr w:type="spellEnd"/>
      <w:r w:rsidR="009B0207" w:rsidRPr="00B7083C">
        <w:rPr>
          <w:lang w:eastAsia="en-GB"/>
        </w:rPr>
        <w:t xml:space="preserve">. In our trial there was only a reduction in preterm births </w:t>
      </w:r>
      <w:r w:rsidR="00093ACF" w:rsidRPr="00B7083C">
        <w:rPr>
          <w:lang w:eastAsia="en-GB"/>
        </w:rPr>
        <w:t xml:space="preserve">with intervention </w:t>
      </w:r>
      <w:r w:rsidR="009B0207" w:rsidRPr="00B7083C">
        <w:rPr>
          <w:lang w:eastAsia="en-GB"/>
        </w:rPr>
        <w:t>without any associated difference in clinically detectable infections between study groups.</w:t>
      </w:r>
      <w:r w:rsidR="0073554B" w:rsidRPr="00B7083C">
        <w:rPr>
          <w:lang w:eastAsia="en-GB"/>
        </w:rPr>
        <w:t xml:space="preserve"> </w:t>
      </w:r>
      <w:r w:rsidRPr="00B7083C">
        <w:rPr>
          <w:lang w:eastAsia="en-GB"/>
        </w:rPr>
        <w:t xml:space="preserve">Potential mechanisms for </w:t>
      </w:r>
      <w:r w:rsidR="00E071F8" w:rsidRPr="00B7083C">
        <w:rPr>
          <w:lang w:eastAsia="en-GB"/>
        </w:rPr>
        <w:t>a</w:t>
      </w:r>
      <w:r w:rsidRPr="00B7083C">
        <w:rPr>
          <w:lang w:eastAsia="en-GB"/>
        </w:rPr>
        <w:t xml:space="preserve"> preventive effect</w:t>
      </w:r>
      <w:r w:rsidR="009B0207" w:rsidRPr="00B7083C">
        <w:rPr>
          <w:lang w:eastAsia="en-GB"/>
        </w:rPr>
        <w:t xml:space="preserve"> on PPRO</w:t>
      </w:r>
      <w:r w:rsidR="00093ACF" w:rsidRPr="00B7083C">
        <w:rPr>
          <w:lang w:eastAsia="en-GB"/>
        </w:rPr>
        <w:t>M</w:t>
      </w:r>
      <w:r w:rsidR="009B0207" w:rsidRPr="00B7083C">
        <w:rPr>
          <w:lang w:eastAsia="en-GB"/>
        </w:rPr>
        <w:t>-associated preterm births</w:t>
      </w:r>
      <w:r w:rsidRPr="00B7083C">
        <w:rPr>
          <w:lang w:eastAsia="en-GB"/>
        </w:rPr>
        <w:t xml:space="preserve"> </w:t>
      </w:r>
      <w:r w:rsidR="009B0207" w:rsidRPr="00B7083C">
        <w:rPr>
          <w:lang w:eastAsia="en-GB"/>
        </w:rPr>
        <w:t xml:space="preserve">in our study </w:t>
      </w:r>
      <w:r w:rsidRPr="00B7083C">
        <w:rPr>
          <w:lang w:eastAsia="en-GB"/>
        </w:rPr>
        <w:t>may</w:t>
      </w:r>
      <w:r w:rsidR="009B0207" w:rsidRPr="00B7083C">
        <w:rPr>
          <w:lang w:eastAsia="en-GB"/>
        </w:rPr>
        <w:t xml:space="preserve"> </w:t>
      </w:r>
      <w:r w:rsidRPr="00B7083C">
        <w:rPr>
          <w:lang w:eastAsia="en-GB"/>
        </w:rPr>
        <w:t>include anti-inflammatory effects of myo-inositol (3</w:t>
      </w:r>
      <w:r w:rsidR="000876CF" w:rsidRPr="00B7083C">
        <w:rPr>
          <w:lang w:eastAsia="en-GB"/>
        </w:rPr>
        <w:t>8</w:t>
      </w:r>
      <w:r w:rsidRPr="00B7083C">
        <w:rPr>
          <w:lang w:eastAsia="en-GB"/>
        </w:rPr>
        <w:t xml:space="preserve">) and a contribution from the </w:t>
      </w:r>
      <w:r w:rsidR="00A75EDD" w:rsidRPr="00B7083C">
        <w:rPr>
          <w:lang w:eastAsia="en-GB"/>
        </w:rPr>
        <w:t xml:space="preserve">potential synergistic effect of </w:t>
      </w:r>
      <w:r w:rsidRPr="00B7083C">
        <w:rPr>
          <w:lang w:eastAsia="en-GB"/>
        </w:rPr>
        <w:t xml:space="preserve">micronutrients </w:t>
      </w:r>
      <w:r w:rsidR="00A75EDD" w:rsidRPr="00B7083C">
        <w:rPr>
          <w:lang w:eastAsia="en-GB"/>
        </w:rPr>
        <w:lastRenderedPageBreak/>
        <w:t xml:space="preserve">including zinc and vitamin D </w:t>
      </w:r>
      <w:r w:rsidRPr="00B7083C">
        <w:rPr>
          <w:lang w:eastAsia="en-GB"/>
        </w:rPr>
        <w:t>(3</w:t>
      </w:r>
      <w:r w:rsidR="000876CF" w:rsidRPr="00B7083C">
        <w:rPr>
          <w:lang w:eastAsia="en-GB"/>
        </w:rPr>
        <w:t>9</w:t>
      </w:r>
      <w:r w:rsidRPr="00B7083C">
        <w:rPr>
          <w:lang w:eastAsia="en-GB"/>
        </w:rPr>
        <w:t>).</w:t>
      </w:r>
      <w:r w:rsidR="00220B01" w:rsidRPr="00B7083C">
        <w:rPr>
          <w:lang w:eastAsia="en-GB"/>
        </w:rPr>
        <w:t xml:space="preserve"> Our results of </w:t>
      </w:r>
      <w:r w:rsidR="00DA1EE7" w:rsidRPr="00B7083C">
        <w:rPr>
          <w:lang w:eastAsia="en-GB"/>
        </w:rPr>
        <w:t>specifically a reduction in late preterm births is still clinically significant since prematurity survivors in this group constitute the majority of cases of neurodevelopmental disability associated with preterm delivery (</w:t>
      </w:r>
      <w:r w:rsidR="00FE78B6" w:rsidRPr="00B7083C">
        <w:rPr>
          <w:lang w:eastAsia="en-GB"/>
        </w:rPr>
        <w:t>40</w:t>
      </w:r>
      <w:r w:rsidR="00DA1EE7" w:rsidRPr="00B7083C">
        <w:rPr>
          <w:lang w:eastAsia="en-GB"/>
        </w:rPr>
        <w:t>)</w:t>
      </w:r>
      <w:r w:rsidR="001A0E10" w:rsidRPr="00B7083C">
        <w:rPr>
          <w:lang w:eastAsia="en-GB"/>
        </w:rPr>
        <w:t xml:space="preserve">, thus, </w:t>
      </w:r>
      <w:r w:rsidR="00DF7254" w:rsidRPr="00B7083C">
        <w:rPr>
          <w:lang w:eastAsia="en-GB"/>
        </w:rPr>
        <w:t xml:space="preserve">the </w:t>
      </w:r>
      <w:r w:rsidR="001A0E10" w:rsidRPr="00B7083C">
        <w:rPr>
          <w:lang w:eastAsia="en-GB"/>
        </w:rPr>
        <w:t>supplement could potentially</w:t>
      </w:r>
      <w:r w:rsidR="008A1795" w:rsidRPr="00B7083C">
        <w:rPr>
          <w:lang w:eastAsia="en-GB"/>
        </w:rPr>
        <w:t xml:space="preserve"> be impactful</w:t>
      </w:r>
      <w:r w:rsidR="001A0E10" w:rsidRPr="00B7083C">
        <w:rPr>
          <w:lang w:eastAsia="en-GB"/>
        </w:rPr>
        <w:t>.</w:t>
      </w:r>
    </w:p>
    <w:p w14:paraId="3625F535" w14:textId="583B6BC7" w:rsidR="002F33D1" w:rsidRPr="00B7083C" w:rsidRDefault="00CD4316" w:rsidP="00E31B7B">
      <w:pPr>
        <w:autoSpaceDE w:val="0"/>
        <w:autoSpaceDN w:val="0"/>
        <w:adjustRightInd w:val="0"/>
        <w:spacing w:after="240" w:line="480" w:lineRule="auto"/>
        <w:jc w:val="both"/>
        <w:rPr>
          <w:lang w:val="en" w:eastAsia="en-NZ"/>
        </w:rPr>
      </w:pPr>
      <w:r w:rsidRPr="00B7083C" w:rsidDel="00EB679B">
        <w:rPr>
          <w:rFonts w:eastAsiaTheme="minorHAnsi"/>
          <w:lang w:val="en-NZ"/>
        </w:rPr>
        <w:t xml:space="preserve">Our observation that intervention was associated with a reduction in </w:t>
      </w:r>
      <w:r w:rsidR="006D1674" w:rsidRPr="00B7083C" w:rsidDel="00EB679B">
        <w:rPr>
          <w:rFonts w:eastAsiaTheme="minorHAnsi"/>
          <w:lang w:val="en-NZ"/>
        </w:rPr>
        <w:t xml:space="preserve">major </w:t>
      </w:r>
      <w:r w:rsidRPr="00B7083C" w:rsidDel="00EB679B">
        <w:rPr>
          <w:rFonts w:eastAsiaTheme="minorHAnsi"/>
          <w:lang w:val="en-NZ"/>
        </w:rPr>
        <w:t xml:space="preserve">post-partum </w:t>
      </w:r>
      <w:proofErr w:type="spellStart"/>
      <w:r w:rsidR="00AD6903" w:rsidRPr="00B7083C">
        <w:rPr>
          <w:rFonts w:eastAsiaTheme="minorHAnsi"/>
          <w:lang w:val="en-NZ"/>
        </w:rPr>
        <w:t>hemorrhage</w:t>
      </w:r>
      <w:proofErr w:type="spellEnd"/>
      <w:r w:rsidRPr="00B7083C" w:rsidDel="00EB679B">
        <w:rPr>
          <w:rFonts w:eastAsiaTheme="minorHAnsi"/>
          <w:lang w:val="en-NZ"/>
        </w:rPr>
        <w:t xml:space="preserve"> </w:t>
      </w:r>
      <w:r w:rsidR="00393FB6" w:rsidRPr="00B7083C">
        <w:rPr>
          <w:rFonts w:eastAsiaTheme="minorHAnsi"/>
          <w:lang w:val="en-NZ"/>
        </w:rPr>
        <w:t xml:space="preserve">is </w:t>
      </w:r>
      <w:r w:rsidR="00393FB6" w:rsidRPr="00B7083C" w:rsidDel="00EB679B">
        <w:rPr>
          <w:rFonts w:eastAsiaTheme="minorHAnsi"/>
          <w:lang w:val="en-NZ"/>
        </w:rPr>
        <w:t xml:space="preserve">novel </w:t>
      </w:r>
      <w:r w:rsidR="00393FB6" w:rsidRPr="00B7083C">
        <w:rPr>
          <w:rFonts w:eastAsiaTheme="minorHAnsi"/>
          <w:lang w:val="en-NZ"/>
        </w:rPr>
        <w:t xml:space="preserve">and </w:t>
      </w:r>
      <w:r w:rsidRPr="00B7083C" w:rsidDel="00EB679B">
        <w:rPr>
          <w:rFonts w:eastAsiaTheme="minorHAnsi"/>
          <w:lang w:val="en-NZ"/>
        </w:rPr>
        <w:t>has not previously been reported with myo</w:t>
      </w:r>
      <w:r w:rsidR="002762BB" w:rsidRPr="00B7083C">
        <w:rPr>
          <w:rFonts w:eastAsiaTheme="minorHAnsi"/>
          <w:lang w:val="en-NZ"/>
        </w:rPr>
        <w:t>-</w:t>
      </w:r>
      <w:r w:rsidRPr="00B7083C" w:rsidDel="00EB679B">
        <w:rPr>
          <w:rFonts w:eastAsiaTheme="minorHAnsi"/>
          <w:lang w:val="en-NZ"/>
        </w:rPr>
        <w:t>inositol</w:t>
      </w:r>
      <w:r w:rsidR="006D1674" w:rsidRPr="00B7083C" w:rsidDel="00EB679B">
        <w:rPr>
          <w:rFonts w:eastAsiaTheme="minorHAnsi"/>
          <w:lang w:val="en-NZ"/>
        </w:rPr>
        <w:t>,</w:t>
      </w:r>
      <w:r w:rsidRPr="00B7083C" w:rsidDel="00EB679B">
        <w:rPr>
          <w:rFonts w:eastAsiaTheme="minorHAnsi"/>
          <w:lang w:val="en-NZ"/>
        </w:rPr>
        <w:t xml:space="preserve"> probiotics</w:t>
      </w:r>
      <w:r w:rsidR="006D1674" w:rsidRPr="00B7083C" w:rsidDel="00EB679B">
        <w:rPr>
          <w:rFonts w:eastAsiaTheme="minorHAnsi"/>
          <w:lang w:val="en-NZ"/>
        </w:rPr>
        <w:t xml:space="preserve"> or the micronutrients enriched in </w:t>
      </w:r>
      <w:r w:rsidR="00393FB6" w:rsidRPr="00B7083C">
        <w:rPr>
          <w:rFonts w:eastAsiaTheme="minorHAnsi"/>
          <w:lang w:val="en-NZ"/>
        </w:rPr>
        <w:t>the</w:t>
      </w:r>
      <w:r w:rsidR="00393FB6" w:rsidRPr="00B7083C" w:rsidDel="00EB679B">
        <w:rPr>
          <w:rFonts w:eastAsiaTheme="minorHAnsi"/>
          <w:lang w:val="en-NZ"/>
        </w:rPr>
        <w:t xml:space="preserve"> </w:t>
      </w:r>
      <w:r w:rsidR="006D1674" w:rsidRPr="00B7083C" w:rsidDel="00EB679B">
        <w:rPr>
          <w:rFonts w:eastAsiaTheme="minorHAnsi"/>
          <w:lang w:val="en-NZ"/>
        </w:rPr>
        <w:t>supplement</w:t>
      </w:r>
      <w:r w:rsidRPr="00B7083C" w:rsidDel="00EB679B">
        <w:rPr>
          <w:rFonts w:eastAsiaTheme="minorHAnsi"/>
          <w:lang w:val="en-NZ"/>
        </w:rPr>
        <w:t xml:space="preserve"> </w:t>
      </w:r>
      <w:r w:rsidR="00393FB6" w:rsidRPr="00B7083C">
        <w:rPr>
          <w:rFonts w:eastAsiaTheme="minorHAnsi"/>
          <w:lang w:val="en-NZ"/>
        </w:rPr>
        <w:t>used</w:t>
      </w:r>
      <w:r w:rsidRPr="00B7083C" w:rsidDel="00EB679B">
        <w:rPr>
          <w:rFonts w:eastAsiaTheme="minorHAnsi"/>
          <w:lang w:val="en-NZ"/>
        </w:rPr>
        <w:t>.</w:t>
      </w:r>
      <w:r w:rsidR="00984DE2" w:rsidRPr="00B7083C">
        <w:rPr>
          <w:rFonts w:eastAsiaTheme="minorHAnsi"/>
          <w:lang w:val="en-NZ"/>
        </w:rPr>
        <w:t xml:space="preserve"> Since this observation is not explained by differences in </w:t>
      </w:r>
      <w:proofErr w:type="spellStart"/>
      <w:r w:rsidR="00984DE2" w:rsidRPr="00B7083C">
        <w:rPr>
          <w:rFonts w:eastAsiaTheme="minorHAnsi"/>
          <w:lang w:val="en-NZ"/>
        </w:rPr>
        <w:t>cesarean</w:t>
      </w:r>
      <w:proofErr w:type="spellEnd"/>
      <w:r w:rsidR="00984DE2" w:rsidRPr="00B7083C">
        <w:rPr>
          <w:rFonts w:eastAsiaTheme="minorHAnsi"/>
          <w:lang w:val="en-NZ"/>
        </w:rPr>
        <w:t xml:space="preserve"> section rates</w:t>
      </w:r>
      <w:r w:rsidR="008A1795" w:rsidRPr="00B7083C">
        <w:rPr>
          <w:rFonts w:eastAsiaTheme="minorHAnsi"/>
          <w:lang w:val="en-NZ"/>
        </w:rPr>
        <w:t>, parity</w:t>
      </w:r>
      <w:r w:rsidR="00984DE2" w:rsidRPr="00B7083C">
        <w:rPr>
          <w:rFonts w:eastAsiaTheme="minorHAnsi"/>
          <w:lang w:val="en-NZ"/>
        </w:rPr>
        <w:t xml:space="preserve"> or birth size, this effect may be mediated by other factors such as </w:t>
      </w:r>
      <w:r w:rsidR="00A47BC4" w:rsidRPr="00B7083C">
        <w:rPr>
          <w:rFonts w:eastAsiaTheme="minorHAnsi"/>
          <w:lang w:val="en-NZ"/>
        </w:rPr>
        <w:t>length of</w:t>
      </w:r>
      <w:r w:rsidR="00984DE2" w:rsidRPr="00B7083C">
        <w:rPr>
          <w:rFonts w:eastAsiaTheme="minorHAnsi"/>
          <w:lang w:val="en-NZ"/>
        </w:rPr>
        <w:t xml:space="preserve"> labour, myometrial contractility or blood coagulation, which remains to be ex</w:t>
      </w:r>
      <w:r w:rsidR="00A47BC4" w:rsidRPr="00B7083C">
        <w:rPr>
          <w:rFonts w:eastAsiaTheme="minorHAnsi"/>
          <w:lang w:val="en-NZ"/>
        </w:rPr>
        <w:t>amin</w:t>
      </w:r>
      <w:r w:rsidR="00984DE2" w:rsidRPr="00B7083C">
        <w:rPr>
          <w:rFonts w:eastAsiaTheme="minorHAnsi"/>
          <w:lang w:val="en-NZ"/>
        </w:rPr>
        <w:t>ed. Of note, our study found no difference in hypertensive disorders of pregnancy, which is in contrast to a probiotic trial reporting an increased trend of pre-eclampsia (</w:t>
      </w:r>
      <w:r w:rsidR="00E071F8" w:rsidRPr="00B7083C">
        <w:rPr>
          <w:rFonts w:eastAsiaTheme="minorHAnsi"/>
          <w:lang w:val="en-NZ"/>
        </w:rPr>
        <w:t>35</w:t>
      </w:r>
      <w:r w:rsidR="00984DE2" w:rsidRPr="00B7083C">
        <w:rPr>
          <w:rFonts w:eastAsiaTheme="minorHAnsi"/>
          <w:lang w:val="en-NZ"/>
        </w:rPr>
        <w:t>),</w:t>
      </w:r>
      <w:r w:rsidR="000522B1" w:rsidRPr="00B7083C">
        <w:rPr>
          <w:rFonts w:eastAsiaTheme="minorHAnsi"/>
          <w:lang w:val="en-NZ"/>
        </w:rPr>
        <w:t xml:space="preserve"> possibly due to counteraction by other components in our intervention. However, our result of a lack of effect on hypertensive disorders</w:t>
      </w:r>
      <w:r w:rsidR="00984DE2" w:rsidRPr="00B7083C">
        <w:rPr>
          <w:rFonts w:eastAsiaTheme="minorHAnsi"/>
          <w:lang w:val="en-NZ"/>
        </w:rPr>
        <w:t xml:space="preserve"> is consistent with the </w:t>
      </w:r>
      <w:r w:rsidR="00ED6FA4" w:rsidRPr="00B7083C">
        <w:rPr>
          <w:rFonts w:eastAsiaTheme="minorHAnsi"/>
          <w:lang w:val="en-NZ"/>
        </w:rPr>
        <w:t>myo-inositol trials and</w:t>
      </w:r>
      <w:r w:rsidR="00E071F8" w:rsidRPr="00B7083C">
        <w:rPr>
          <w:rFonts w:eastAsiaTheme="minorHAnsi"/>
          <w:lang w:val="en-NZ"/>
        </w:rPr>
        <w:t xml:space="preserve"> a</w:t>
      </w:r>
      <w:r w:rsidR="00ED6FA4" w:rsidRPr="00B7083C">
        <w:rPr>
          <w:rFonts w:eastAsiaTheme="minorHAnsi"/>
          <w:lang w:val="en-NZ"/>
        </w:rPr>
        <w:t xml:space="preserve"> </w:t>
      </w:r>
      <w:r w:rsidR="00D42D9D" w:rsidRPr="00B7083C">
        <w:rPr>
          <w:rFonts w:eastAsiaTheme="minorHAnsi"/>
          <w:lang w:val="en-NZ"/>
        </w:rPr>
        <w:t>v</w:t>
      </w:r>
      <w:r w:rsidR="00984DE2" w:rsidRPr="00B7083C">
        <w:rPr>
          <w:rFonts w:eastAsiaTheme="minorHAnsi"/>
          <w:lang w:val="en-NZ"/>
        </w:rPr>
        <w:t xml:space="preserve">itamin D trial </w:t>
      </w:r>
      <w:r w:rsidR="00ED6FA4" w:rsidRPr="00B7083C">
        <w:rPr>
          <w:rFonts w:eastAsiaTheme="minorHAnsi"/>
          <w:lang w:val="en-NZ"/>
        </w:rPr>
        <w:t xml:space="preserve">(20) </w:t>
      </w:r>
      <w:r w:rsidR="00984DE2" w:rsidRPr="00B7083C">
        <w:rPr>
          <w:rFonts w:eastAsiaTheme="minorHAnsi"/>
          <w:lang w:val="en-NZ"/>
        </w:rPr>
        <w:t>that also reported no difference</w:t>
      </w:r>
      <w:r w:rsidR="005229E4" w:rsidRPr="00B7083C">
        <w:rPr>
          <w:rFonts w:eastAsiaTheme="minorHAnsi"/>
          <w:lang w:val="en-NZ"/>
        </w:rPr>
        <w:t>.</w:t>
      </w:r>
    </w:p>
    <w:p w14:paraId="34DF19EC" w14:textId="534732F5" w:rsidR="00CD4316" w:rsidRPr="00B7083C" w:rsidRDefault="00657802" w:rsidP="00E31B7B">
      <w:pPr>
        <w:shd w:val="clear" w:color="auto" w:fill="FFFFFF"/>
        <w:spacing w:after="240" w:line="480" w:lineRule="auto"/>
        <w:jc w:val="both"/>
        <w:rPr>
          <w:lang w:val="en" w:eastAsia="en-NZ"/>
        </w:rPr>
      </w:pPr>
      <w:r w:rsidRPr="00B7083C">
        <w:rPr>
          <w:lang w:val="en" w:eastAsia="en-NZ"/>
        </w:rPr>
        <w:t xml:space="preserve">Collectively </w:t>
      </w:r>
      <w:r w:rsidR="00630BC9" w:rsidRPr="00B7083C">
        <w:rPr>
          <w:lang w:val="en" w:eastAsia="en-NZ"/>
        </w:rPr>
        <w:t xml:space="preserve">available data </w:t>
      </w:r>
      <w:r w:rsidRPr="00B7083C">
        <w:rPr>
          <w:lang w:val="en" w:eastAsia="en-NZ"/>
        </w:rPr>
        <w:t>suggest further stud</w:t>
      </w:r>
      <w:r w:rsidR="001A36B9" w:rsidRPr="00B7083C">
        <w:rPr>
          <w:lang w:val="en" w:eastAsia="en-NZ"/>
        </w:rPr>
        <w:t>ies are required</w:t>
      </w:r>
      <w:r w:rsidRPr="00B7083C">
        <w:rPr>
          <w:lang w:val="en" w:eastAsia="en-NZ"/>
        </w:rPr>
        <w:t xml:space="preserve"> to </w:t>
      </w:r>
      <w:r w:rsidR="00932935" w:rsidRPr="00B7083C">
        <w:rPr>
          <w:lang w:val="en" w:eastAsia="en-NZ"/>
        </w:rPr>
        <w:t>determine if</w:t>
      </w:r>
      <w:r w:rsidRPr="00B7083C">
        <w:rPr>
          <w:lang w:val="en" w:eastAsia="en-NZ"/>
        </w:rPr>
        <w:t xml:space="preserve"> the</w:t>
      </w:r>
      <w:r w:rsidR="00932935" w:rsidRPr="00B7083C">
        <w:rPr>
          <w:lang w:val="en" w:eastAsia="en-NZ"/>
        </w:rPr>
        <w:t>re are</w:t>
      </w:r>
      <w:r w:rsidRPr="00B7083C">
        <w:rPr>
          <w:lang w:val="en" w:eastAsia="en-NZ"/>
        </w:rPr>
        <w:t xml:space="preserve"> </w:t>
      </w:r>
      <w:r w:rsidR="00961888" w:rsidRPr="00B7083C">
        <w:rPr>
          <w:lang w:val="en" w:eastAsia="en-NZ"/>
        </w:rPr>
        <w:t>sub-</w:t>
      </w:r>
      <w:r w:rsidRPr="00B7083C">
        <w:rPr>
          <w:lang w:val="en" w:eastAsia="en-NZ"/>
        </w:rPr>
        <w:t>population</w:t>
      </w:r>
      <w:r w:rsidR="00961888" w:rsidRPr="00B7083C">
        <w:rPr>
          <w:lang w:val="en" w:eastAsia="en-NZ"/>
        </w:rPr>
        <w:t>s</w:t>
      </w:r>
      <w:r w:rsidR="00F12D5C" w:rsidRPr="00B7083C">
        <w:rPr>
          <w:lang w:val="en" w:eastAsia="en-NZ"/>
        </w:rPr>
        <w:t>, dose regime</w:t>
      </w:r>
      <w:r w:rsidR="00961888" w:rsidRPr="00B7083C">
        <w:rPr>
          <w:lang w:val="en" w:eastAsia="en-NZ"/>
        </w:rPr>
        <w:t>n</w:t>
      </w:r>
      <w:r w:rsidR="00F12D5C" w:rsidRPr="00B7083C">
        <w:rPr>
          <w:lang w:val="en" w:eastAsia="en-NZ"/>
        </w:rPr>
        <w:t>s</w:t>
      </w:r>
      <w:r w:rsidR="00932935" w:rsidRPr="00B7083C">
        <w:rPr>
          <w:lang w:val="en" w:eastAsia="en-NZ"/>
        </w:rPr>
        <w:t xml:space="preserve"> </w:t>
      </w:r>
      <w:r w:rsidR="001A36B9" w:rsidRPr="00B7083C">
        <w:rPr>
          <w:lang w:val="en" w:eastAsia="en-NZ"/>
        </w:rPr>
        <w:t xml:space="preserve">or intervention </w:t>
      </w:r>
      <w:r w:rsidR="00961888" w:rsidRPr="00B7083C">
        <w:rPr>
          <w:lang w:val="en" w:eastAsia="en-NZ"/>
        </w:rPr>
        <w:t xml:space="preserve">commencement </w:t>
      </w:r>
      <w:r w:rsidR="001A36B9" w:rsidRPr="00B7083C">
        <w:rPr>
          <w:lang w:val="en" w:eastAsia="en-NZ"/>
        </w:rPr>
        <w:t xml:space="preserve">time points when myo-inositol and probiotics </w:t>
      </w:r>
      <w:r w:rsidRPr="00B7083C">
        <w:rPr>
          <w:lang w:val="en" w:eastAsia="en-NZ"/>
        </w:rPr>
        <w:t xml:space="preserve">may </w:t>
      </w:r>
      <w:r w:rsidR="00901228" w:rsidRPr="00B7083C">
        <w:rPr>
          <w:lang w:val="en" w:eastAsia="en-NZ"/>
        </w:rPr>
        <w:t>lower</w:t>
      </w:r>
      <w:r w:rsidRPr="00B7083C">
        <w:rPr>
          <w:lang w:val="en" w:eastAsia="en-NZ"/>
        </w:rPr>
        <w:t xml:space="preserve"> maternal </w:t>
      </w:r>
      <w:r w:rsidR="00824DC0" w:rsidRPr="00B7083C">
        <w:rPr>
          <w:lang w:val="en" w:eastAsia="en-NZ"/>
        </w:rPr>
        <w:t>glycemia</w:t>
      </w:r>
      <w:r w:rsidRPr="00B7083C">
        <w:rPr>
          <w:lang w:val="en" w:eastAsia="en-NZ"/>
        </w:rPr>
        <w:t xml:space="preserve">. Conversely, there appear to be </w:t>
      </w:r>
      <w:r w:rsidR="00A41892" w:rsidRPr="00B7083C">
        <w:rPr>
          <w:lang w:val="en" w:eastAsia="en-NZ"/>
        </w:rPr>
        <w:t xml:space="preserve">potential </w:t>
      </w:r>
      <w:r w:rsidRPr="00B7083C">
        <w:rPr>
          <w:lang w:val="en" w:eastAsia="en-NZ"/>
        </w:rPr>
        <w:t>benefit of myo</w:t>
      </w:r>
      <w:r w:rsidR="00987D80" w:rsidRPr="00B7083C">
        <w:rPr>
          <w:lang w:val="en" w:eastAsia="en-NZ"/>
        </w:rPr>
        <w:t>-</w:t>
      </w:r>
      <w:r w:rsidRPr="00B7083C">
        <w:rPr>
          <w:lang w:val="en" w:eastAsia="en-NZ"/>
        </w:rPr>
        <w:t>inositol</w:t>
      </w:r>
      <w:r w:rsidR="00932935" w:rsidRPr="00B7083C">
        <w:rPr>
          <w:lang w:val="en" w:eastAsia="en-NZ"/>
        </w:rPr>
        <w:t xml:space="preserve"> containing supplements</w:t>
      </w:r>
      <w:r w:rsidRPr="00B7083C">
        <w:rPr>
          <w:lang w:val="en" w:eastAsia="en-NZ"/>
        </w:rPr>
        <w:t xml:space="preserve"> in reducing preterm birth. </w:t>
      </w:r>
      <w:r w:rsidR="00A41892" w:rsidRPr="00B7083C">
        <w:rPr>
          <w:lang w:val="en" w:eastAsia="en-NZ"/>
        </w:rPr>
        <w:t xml:space="preserve">Whether the other components of our intervention could play an additive role in preterm birth reduction is unclear. Assessment of longitudinal changes in levels of myo-inositol and the </w:t>
      </w:r>
      <w:r w:rsidR="00E071F8" w:rsidRPr="00B7083C">
        <w:rPr>
          <w:lang w:val="en" w:eastAsia="en-NZ"/>
        </w:rPr>
        <w:t>other</w:t>
      </w:r>
      <w:r w:rsidR="00A41892" w:rsidRPr="00B7083C">
        <w:rPr>
          <w:lang w:val="en" w:eastAsia="en-NZ"/>
        </w:rPr>
        <w:t xml:space="preserve"> components may shed further light on potential pathways of effect</w:t>
      </w:r>
      <w:r w:rsidR="00067490" w:rsidRPr="00B7083C">
        <w:rPr>
          <w:lang w:val="en" w:eastAsia="en-NZ"/>
        </w:rPr>
        <w:t>, which may pave the way for the design of more definitive trials in future</w:t>
      </w:r>
      <w:r w:rsidR="00A41892" w:rsidRPr="00B7083C">
        <w:rPr>
          <w:lang w:val="en" w:eastAsia="en-NZ"/>
        </w:rPr>
        <w:t>.</w:t>
      </w:r>
    </w:p>
    <w:p w14:paraId="7188811F" w14:textId="2DA85B8B" w:rsidR="00CD4316" w:rsidRPr="00B7083C" w:rsidRDefault="00B46781" w:rsidP="00E31B7B">
      <w:pPr>
        <w:shd w:val="clear" w:color="auto" w:fill="FFFFFF"/>
        <w:spacing w:line="480" w:lineRule="auto"/>
        <w:jc w:val="both"/>
      </w:pPr>
      <w:r w:rsidRPr="00B7083C">
        <w:rPr>
          <w:lang w:eastAsia="en-GB"/>
        </w:rPr>
        <w:t xml:space="preserve">In contrast to </w:t>
      </w:r>
      <w:r w:rsidR="00460FF2" w:rsidRPr="00B7083C">
        <w:rPr>
          <w:lang w:eastAsia="en-GB"/>
        </w:rPr>
        <w:t xml:space="preserve">most </w:t>
      </w:r>
      <w:r w:rsidRPr="00B7083C">
        <w:rPr>
          <w:lang w:eastAsia="en-GB"/>
        </w:rPr>
        <w:t xml:space="preserve">previously published myo-inositol and probiotic trials, major strengths of our study are its double-blind design, and inclusion of multi-ethnic women from three different continents. </w:t>
      </w:r>
      <w:r w:rsidR="00094F3C" w:rsidRPr="00B7083C">
        <w:rPr>
          <w:lang w:eastAsia="en-GB"/>
        </w:rPr>
        <w:t xml:space="preserve">Nevertheless, generalizability is limited by the lack of Latina and native American </w:t>
      </w:r>
      <w:r w:rsidR="00094F3C" w:rsidRPr="00B7083C">
        <w:rPr>
          <w:lang w:eastAsia="en-GB"/>
        </w:rPr>
        <w:lastRenderedPageBreak/>
        <w:t>Indians, and only a few Black and Polynesian participants, and with less than half of participants being overweight/obese unlike typical US and Western populations, alongside our trial being conducted in high resource settings</w:t>
      </w:r>
      <w:r w:rsidR="00A41892" w:rsidRPr="00B7083C">
        <w:rPr>
          <w:lang w:eastAsia="en-GB"/>
        </w:rPr>
        <w:t>.</w:t>
      </w:r>
      <w:r w:rsidR="008A1795" w:rsidRPr="00B7083C">
        <w:t xml:space="preserve"> </w:t>
      </w:r>
      <w:r w:rsidR="008A1795" w:rsidRPr="00B7083C">
        <w:rPr>
          <w:lang w:eastAsia="en-GB"/>
        </w:rPr>
        <w:t xml:space="preserve">Microbiome data were not available to confirm viability of the probiotic in participant samples and sachet counts provide a limited measure of adherence to the intervention; good adherence is, however, suggested by higher plasma 25-hydroxyvitamin D concentrations in the intervention group at 28-weeks’ gestation. </w:t>
      </w:r>
      <w:r w:rsidR="00A41892" w:rsidRPr="00B7083C">
        <w:rPr>
          <w:lang w:eastAsia="en-GB"/>
        </w:rPr>
        <w:t xml:space="preserve"> </w:t>
      </w:r>
      <w:r w:rsidR="00CD4316" w:rsidRPr="00B7083C">
        <w:rPr>
          <w:lang w:eastAsia="en-GB"/>
        </w:rPr>
        <w:t>A</w:t>
      </w:r>
      <w:r w:rsidR="004E747F" w:rsidRPr="00B7083C">
        <w:rPr>
          <w:lang w:eastAsia="en-GB"/>
        </w:rPr>
        <w:t>nother</w:t>
      </w:r>
      <w:r w:rsidR="00CD4316" w:rsidRPr="00B7083C">
        <w:rPr>
          <w:lang w:eastAsia="en-GB"/>
        </w:rPr>
        <w:t xml:space="preserve"> limitation is that we studied a combination of myo</w:t>
      </w:r>
      <w:r w:rsidR="00987D80" w:rsidRPr="00B7083C">
        <w:rPr>
          <w:lang w:eastAsia="en-GB"/>
        </w:rPr>
        <w:t>-</w:t>
      </w:r>
      <w:r w:rsidR="00CD4316" w:rsidRPr="00B7083C">
        <w:rPr>
          <w:lang w:eastAsia="en-GB"/>
        </w:rPr>
        <w:t>inositol and probiotics with micronutrients</w:t>
      </w:r>
      <w:r w:rsidR="00987D80" w:rsidRPr="00B7083C">
        <w:rPr>
          <w:lang w:eastAsia="en-GB"/>
        </w:rPr>
        <w:t>.</w:t>
      </w:r>
      <w:r w:rsidR="00CD4316" w:rsidRPr="00B7083C">
        <w:rPr>
          <w:lang w:eastAsia="en-GB"/>
        </w:rPr>
        <w:t xml:space="preserve"> </w:t>
      </w:r>
      <w:r w:rsidR="004A7607" w:rsidRPr="00B7083C">
        <w:rPr>
          <w:lang w:eastAsia="en-GB"/>
        </w:rPr>
        <w:t xml:space="preserve">Previous studies have generally examined these individually or as a less complex formulation (e.g. myo-inositol with vitamin D) (12). </w:t>
      </w:r>
      <w:r w:rsidRPr="00B7083C">
        <w:t xml:space="preserve">We cannot exclude the possibility that constituents of the supplement may have </w:t>
      </w:r>
      <w:r w:rsidR="00EA41A7" w:rsidRPr="00B7083C">
        <w:t xml:space="preserve">moderated individual effects </w:t>
      </w:r>
      <w:r w:rsidRPr="00B7083C">
        <w:t xml:space="preserve">in lowering maternal </w:t>
      </w:r>
      <w:r w:rsidR="00824DC0" w:rsidRPr="00B7083C">
        <w:t>glycemia</w:t>
      </w:r>
      <w:r w:rsidR="002555ED" w:rsidRPr="00B7083C">
        <w:t xml:space="preserve">, </w:t>
      </w:r>
      <w:r w:rsidR="003D0CC5" w:rsidRPr="00B7083C">
        <w:t>or that intervening in the general population</w:t>
      </w:r>
      <w:r w:rsidR="004E747F" w:rsidRPr="00B7083C">
        <w:t xml:space="preserve"> (versus a high risk population)</w:t>
      </w:r>
      <w:r w:rsidR="003D0CC5" w:rsidRPr="00B7083C">
        <w:t xml:space="preserve">, </w:t>
      </w:r>
      <w:r w:rsidR="002555ED" w:rsidRPr="00B7083C">
        <w:t xml:space="preserve">or </w:t>
      </w:r>
      <w:r w:rsidR="00402050" w:rsidRPr="00B7083C">
        <w:t xml:space="preserve">commencing intervention preconception </w:t>
      </w:r>
      <w:r w:rsidR="002555ED" w:rsidRPr="00B7083C">
        <w:t>(</w:t>
      </w:r>
      <w:r w:rsidR="00EA25E6" w:rsidRPr="00B7083C">
        <w:t>versus</w:t>
      </w:r>
      <w:r w:rsidR="00402050" w:rsidRPr="00B7083C">
        <w:t xml:space="preserve"> </w:t>
      </w:r>
      <w:r w:rsidR="002555ED" w:rsidRPr="00B7083C">
        <w:t>early</w:t>
      </w:r>
      <w:r w:rsidR="00402050" w:rsidRPr="00B7083C">
        <w:t xml:space="preserve"> pregnancy</w:t>
      </w:r>
      <w:r w:rsidR="002555ED" w:rsidRPr="00B7083C">
        <w:t>)</w:t>
      </w:r>
      <w:r w:rsidR="00402050" w:rsidRPr="00B7083C">
        <w:t xml:space="preserve"> altered the impact on gestational </w:t>
      </w:r>
      <w:r w:rsidR="00824DC0" w:rsidRPr="00B7083C">
        <w:t>glycemia</w:t>
      </w:r>
      <w:r w:rsidR="00402050" w:rsidRPr="00B7083C">
        <w:t>.</w:t>
      </w:r>
    </w:p>
    <w:p w14:paraId="160E50C9" w14:textId="0BBD997C" w:rsidR="00494427" w:rsidRPr="00B7083C" w:rsidRDefault="00CD4316" w:rsidP="00D75C51">
      <w:pPr>
        <w:spacing w:before="100" w:beforeAutospacing="1" w:after="100" w:afterAutospacing="1" w:line="480" w:lineRule="auto"/>
        <w:jc w:val="both"/>
        <w:rPr>
          <w:lang w:eastAsia="en-GB"/>
        </w:rPr>
      </w:pPr>
      <w:r w:rsidRPr="00B7083C">
        <w:rPr>
          <w:lang w:eastAsia="en-GB"/>
        </w:rPr>
        <w:t xml:space="preserve">In conclusion, our trial showed that supplementation with myo-inositol, probiotics and multiple micronutrients preconception and in pregnancy did not </w:t>
      </w:r>
      <w:r w:rsidR="00901228" w:rsidRPr="00B7083C">
        <w:rPr>
          <w:lang w:eastAsia="en-GB"/>
        </w:rPr>
        <w:t xml:space="preserve">lower </w:t>
      </w:r>
      <w:r w:rsidRPr="00B7083C">
        <w:rPr>
          <w:lang w:eastAsia="en-GB"/>
        </w:rPr>
        <w:t xml:space="preserve">gestational </w:t>
      </w:r>
      <w:r w:rsidR="00824DC0" w:rsidRPr="00B7083C">
        <w:rPr>
          <w:lang w:eastAsia="en-GB"/>
        </w:rPr>
        <w:t>glycemia</w:t>
      </w:r>
      <w:r w:rsidRPr="00B7083C">
        <w:rPr>
          <w:lang w:eastAsia="en-GB"/>
        </w:rPr>
        <w:t xml:space="preserve">, but did reduce preterm </w:t>
      </w:r>
      <w:r w:rsidR="00053365" w:rsidRPr="00B7083C">
        <w:rPr>
          <w:lang w:eastAsia="en-GB"/>
        </w:rPr>
        <w:t>birth</w:t>
      </w:r>
      <w:r w:rsidRPr="00B7083C">
        <w:rPr>
          <w:lang w:eastAsia="en-GB"/>
        </w:rPr>
        <w:t>.</w:t>
      </w:r>
    </w:p>
    <w:p w14:paraId="23907DD4" w14:textId="77777777" w:rsidR="00663E4A" w:rsidRPr="00B7083C" w:rsidRDefault="00663E4A" w:rsidP="00D75C51">
      <w:pPr>
        <w:spacing w:line="480" w:lineRule="auto"/>
        <w:rPr>
          <w:b/>
        </w:rPr>
      </w:pPr>
    </w:p>
    <w:p w14:paraId="22777033" w14:textId="77777777" w:rsidR="00E31B7B" w:rsidRPr="00B7083C" w:rsidRDefault="00663E4A" w:rsidP="00E31B7B">
      <w:pPr>
        <w:spacing w:line="480" w:lineRule="auto"/>
        <w:rPr>
          <w:b/>
        </w:rPr>
      </w:pPr>
      <w:r w:rsidRPr="00B7083C">
        <w:rPr>
          <w:b/>
        </w:rPr>
        <w:t>Acknowledgements</w:t>
      </w:r>
    </w:p>
    <w:p w14:paraId="7B52FBF4" w14:textId="77777777" w:rsidR="0044436D" w:rsidRPr="003017C5" w:rsidRDefault="00D75C51" w:rsidP="0044436D">
      <w:pPr>
        <w:spacing w:after="240" w:line="480" w:lineRule="auto"/>
        <w:jc w:val="both"/>
        <w:rPr>
          <w:b/>
        </w:rPr>
      </w:pPr>
      <w:r w:rsidRPr="00B7083C">
        <w:rPr>
          <w:lang w:eastAsia="en-GB"/>
        </w:rPr>
        <w:t xml:space="preserve">Author Contributions: </w:t>
      </w:r>
      <w:r w:rsidRPr="00B7083C">
        <w:rPr>
          <w:lang w:val="en"/>
        </w:rPr>
        <w:t>KG, PB and YSC conceptuali</w:t>
      </w:r>
      <w:r w:rsidR="00B9030F" w:rsidRPr="00B7083C">
        <w:rPr>
          <w:lang w:val="en"/>
        </w:rPr>
        <w:t>z</w:t>
      </w:r>
      <w:r w:rsidRPr="00B7083C">
        <w:rPr>
          <w:lang w:val="en"/>
        </w:rPr>
        <w:t xml:space="preserve">ed and designed the study. </w:t>
      </w:r>
      <w:r w:rsidRPr="00B7083C">
        <w:t xml:space="preserve">KG, SB, SE, TK, HN, WC and SC contributed to data collection and assimilation. KG, SB, WC and SC contributed to statistical analysis. KG, WC and SC led the writing of the article. </w:t>
      </w:r>
      <w:r w:rsidRPr="00B7083C">
        <w:rPr>
          <w:lang w:val="en"/>
        </w:rPr>
        <w:t>All authors contributed to interpretation of the data, critical revision of the manuscript, and approval of the final manuscript for submission.</w:t>
      </w:r>
      <w:r w:rsidRPr="00B7083C">
        <w:rPr>
          <w:lang w:eastAsia="en-GB"/>
        </w:rPr>
        <w:t xml:space="preserve"> The first two and last two authors vouch for the accuracy and completeness of the data and analyses, and for th</w:t>
      </w:r>
      <w:r w:rsidRPr="0044436D">
        <w:rPr>
          <w:lang w:eastAsia="en-GB"/>
        </w:rPr>
        <w:t>e fidelity of the trial to the protocol.</w:t>
      </w:r>
      <w:r w:rsidR="0044436D" w:rsidRPr="0044436D">
        <w:rPr>
          <w:lang w:eastAsia="en-GB"/>
        </w:rPr>
        <w:t xml:space="preserve"> </w:t>
      </w:r>
      <w:r w:rsidR="0044436D" w:rsidRPr="0044436D">
        <w:t xml:space="preserve">Professor Keith Godfrey and </w:t>
      </w:r>
      <w:r w:rsidR="0044436D" w:rsidRPr="0044436D">
        <w:rPr>
          <w:lang w:eastAsia="en-GB"/>
        </w:rPr>
        <w:t xml:space="preserve">Dr Sheila Barton are the guarantors of this work and, as such, had full access </w:t>
      </w:r>
      <w:r w:rsidR="0044436D" w:rsidRPr="0044436D">
        <w:rPr>
          <w:lang w:eastAsia="en-GB"/>
        </w:rPr>
        <w:lastRenderedPageBreak/>
        <w:t>to all the data in the study and take responsibility for the integrity of the data and the accuracy of the data analysis.</w:t>
      </w:r>
    </w:p>
    <w:p w14:paraId="71EB9D3C" w14:textId="7A8349FE" w:rsidR="00E30571" w:rsidRPr="00B7083C" w:rsidRDefault="00B9030F" w:rsidP="00B9030F">
      <w:pPr>
        <w:spacing w:after="240" w:line="480" w:lineRule="auto"/>
        <w:jc w:val="both"/>
        <w:rPr>
          <w:lang w:val="en"/>
        </w:rPr>
      </w:pPr>
      <w:r w:rsidRPr="00B7083C">
        <w:t>We thank the participants and their families for their enthusiastic involvement in the study; the study research staff</w:t>
      </w:r>
      <w:r w:rsidR="009973B4" w:rsidRPr="00B7083C">
        <w:t xml:space="preserve"> and hospital clinical staff</w:t>
      </w:r>
      <w:r w:rsidRPr="00B7083C">
        <w:t xml:space="preserve"> at participating </w:t>
      </w:r>
      <w:proofErr w:type="spellStart"/>
      <w:r w:rsidRPr="00B7083C">
        <w:t>centers</w:t>
      </w:r>
      <w:proofErr w:type="spellEnd"/>
      <w:r w:rsidR="009973B4" w:rsidRPr="00B7083C">
        <w:t>,</w:t>
      </w:r>
      <w:r w:rsidRPr="00B7083C">
        <w:t xml:space="preserve"> and operational support staff for their contributions to the trial; and the members of the Independent Data Monitoring and Safety Committee for their invaluable contributions and for overseeing the conduct of the trial.</w:t>
      </w:r>
    </w:p>
    <w:p w14:paraId="14B7A5AD" w14:textId="5B1009C7" w:rsidR="00D75C51" w:rsidRPr="00B7083C" w:rsidRDefault="00D75C51" w:rsidP="00D75C51">
      <w:pPr>
        <w:spacing w:after="160" w:line="480" w:lineRule="auto"/>
        <w:jc w:val="both"/>
      </w:pPr>
      <w:r w:rsidRPr="00B7083C">
        <w:t xml:space="preserve">Public good funding for this investigator-led study is through the UK Medical Research Council (as part of an MRC award to the MRC Lifecourse Epidemiology Unit (MC_UU_12011/4)); the Singapore National Research Foundation, National Medical Research Council (NMRC, NMRC/TCR/012-NUHS/2014); the National University of Singapore (NUS) and the Agency of Science, Technology and Research (as part of the Growth, Development and Metabolism Programme of the Singapore Institute for Clinical Sciences (SICS) (H17/01/a0/005); and as part of Gravida, a New Zealand Government Centre of Research Excellence. Funding for provision of the intervention and control drinks and to cover aspects of the fieldwork for the study has been provided by </w:t>
      </w:r>
      <w:r w:rsidR="006C1859" w:rsidRPr="00B7083C">
        <w:rPr>
          <w:spacing w:val="-2"/>
        </w:rPr>
        <w:t xml:space="preserve">Société Des </w:t>
      </w:r>
      <w:proofErr w:type="spellStart"/>
      <w:r w:rsidR="006C1859" w:rsidRPr="00B7083C">
        <w:rPr>
          <w:spacing w:val="-2"/>
        </w:rPr>
        <w:t>Produits</w:t>
      </w:r>
      <w:proofErr w:type="spellEnd"/>
      <w:r w:rsidR="006C1859" w:rsidRPr="00B7083C">
        <w:rPr>
          <w:spacing w:val="-2"/>
        </w:rPr>
        <w:t xml:space="preserve"> Nestlé S.A</w:t>
      </w:r>
      <w:r w:rsidRPr="00B7083C">
        <w:t xml:space="preserve"> under a Research Agreement with the University of Southampton, Auckland </w:t>
      </w:r>
      <w:proofErr w:type="spellStart"/>
      <w:r w:rsidRPr="00B7083C">
        <w:t>UniServices</w:t>
      </w:r>
      <w:proofErr w:type="spellEnd"/>
      <w:r w:rsidRPr="00B7083C">
        <w:t xml:space="preserve"> Ltd, SICS, National University Hospital Singapore PTE Ltd and NUS. KMG is supported by the National Institute for Health Research (NIHR Senior Investigator (NF-SI-0515-10042), NIHR Southampton 1000DaysPlus Global Nutrition Research Group (17/63/154) and NIHR Southampton Biomedical Research Center (IS-BRC-1215-20004)), British Heart Foundation (RG/15/17/3174) and the European Union (Erasmus+ Programme Early Nutrition eAcademy Southeast Asia-573651-EPP-1-2016-1-DE-EPPKA2-CBHE-JP and </w:t>
      </w:r>
      <w:proofErr w:type="spellStart"/>
      <w:r w:rsidRPr="00B7083C">
        <w:t>ImpENSA</w:t>
      </w:r>
      <w:proofErr w:type="spellEnd"/>
      <w:r w:rsidRPr="00B7083C">
        <w:t xml:space="preserve"> 598488-EPP-1-2018-1-DE-EPPKA2-CBHE-JP). SYC is supported by a Singapore NMRC Clinician </w:t>
      </w:r>
      <w:r w:rsidRPr="00B7083C">
        <w:lastRenderedPageBreak/>
        <w:t>Scientist Award (NMRC/CSA-INV/0010/2016).</w:t>
      </w:r>
      <w:r w:rsidR="004A7607" w:rsidRPr="00B7083C">
        <w:rPr>
          <w:rFonts w:ascii="Arial" w:hAnsi="Arial" w:cs="Arial"/>
          <w:bCs/>
          <w:spacing w:val="-2"/>
        </w:rPr>
        <w:t xml:space="preserve"> </w:t>
      </w:r>
      <w:r w:rsidR="004A7607" w:rsidRPr="00B7083C">
        <w:rPr>
          <w:bCs/>
          <w:spacing w:val="-2"/>
        </w:rPr>
        <w:t>The funders had no role in the data collection and analysis</w:t>
      </w:r>
      <w:r w:rsidR="00B9030F" w:rsidRPr="00B7083C">
        <w:rPr>
          <w:bCs/>
          <w:spacing w:val="-2"/>
        </w:rPr>
        <w:t>,</w:t>
      </w:r>
      <w:r w:rsidR="004A7607" w:rsidRPr="00B7083C">
        <w:rPr>
          <w:bCs/>
          <w:spacing w:val="-2"/>
        </w:rPr>
        <w:t xml:space="preserve"> </w:t>
      </w:r>
      <w:r w:rsidR="004A7607" w:rsidRPr="00B7083C">
        <w:t>and the decision to submit for publication</w:t>
      </w:r>
      <w:r w:rsidR="004A7607" w:rsidRPr="00B7083C">
        <w:rPr>
          <w:bCs/>
          <w:spacing w:val="-2"/>
        </w:rPr>
        <w:t>.</w:t>
      </w:r>
    </w:p>
    <w:p w14:paraId="39CB6908" w14:textId="17ABD172" w:rsidR="00E30571" w:rsidRPr="00B7083C" w:rsidRDefault="00E30571" w:rsidP="00D75C51">
      <w:pPr>
        <w:spacing w:line="480" w:lineRule="auto"/>
        <w:jc w:val="both"/>
      </w:pPr>
      <w:r w:rsidRPr="00B7083C">
        <w:t>Declaration of interests</w:t>
      </w:r>
      <w:r w:rsidR="00D75C51" w:rsidRPr="00B7083C">
        <w:t xml:space="preserve">: </w:t>
      </w:r>
      <w:r w:rsidRPr="00B7083C">
        <w:t xml:space="preserve">KG, YSC, WC and SC report grants from Société Des </w:t>
      </w:r>
      <w:proofErr w:type="spellStart"/>
      <w:r w:rsidRPr="00B7083C">
        <w:t>Produits</w:t>
      </w:r>
      <w:proofErr w:type="spellEnd"/>
      <w:r w:rsidRPr="00B7083C">
        <w:t xml:space="preserve"> Nestlé S.A. during the conduct of the study, and are co-inventors on patent filings by Nestlé S.A. relating to the </w:t>
      </w:r>
      <w:proofErr w:type="spellStart"/>
      <w:r w:rsidRPr="00B7083C">
        <w:t>NiPPeR</w:t>
      </w:r>
      <w:proofErr w:type="spellEnd"/>
      <w:r w:rsidRPr="00B7083C">
        <w:t xml:space="preserve"> intervention or its components. KG, SB, YSC, WC and SC are part of an academic consortium that has received grants from Abbott Nutrition, Nestlé S.A., Danone and </w:t>
      </w:r>
      <w:proofErr w:type="spellStart"/>
      <w:r w:rsidRPr="00B7083C">
        <w:t>BenevolentAI</w:t>
      </w:r>
      <w:proofErr w:type="spellEnd"/>
      <w:r w:rsidRPr="00B7083C">
        <w:t xml:space="preserve"> Bio Ltd outside the submitted work. KG has received reimbursement for speaking at conferences sponsored by companies selling nutritional products. SC has received reimbursement and honoraria into her research funds from </w:t>
      </w:r>
      <w:r w:rsidRPr="00B7083C">
        <w:rPr>
          <w:spacing w:val="-2"/>
        </w:rPr>
        <w:t>Nestlé S.A</w:t>
      </w:r>
      <w:r w:rsidRPr="00B7083C">
        <w:rPr>
          <w:bCs/>
          <w:spacing w:val="-2"/>
        </w:rPr>
        <w:t xml:space="preserve">. </w:t>
      </w:r>
      <w:r w:rsidRPr="00B7083C">
        <w:t xml:space="preserve">for a half-day consultancy and for speaking at a conference. </w:t>
      </w:r>
      <w:r w:rsidRPr="00B7083C">
        <w:rPr>
          <w:lang w:val="en"/>
        </w:rPr>
        <w:t>All other authors declare no competing interests.</w:t>
      </w:r>
    </w:p>
    <w:p w14:paraId="5AFB05E6" w14:textId="77777777" w:rsidR="00494427" w:rsidRDefault="00494427" w:rsidP="00D75C51">
      <w:pPr>
        <w:spacing w:after="160" w:line="480" w:lineRule="auto"/>
        <w:rPr>
          <w:strike/>
        </w:rPr>
      </w:pPr>
    </w:p>
    <w:p w14:paraId="03D48E2E" w14:textId="77777777" w:rsidR="005C39AA" w:rsidRDefault="005C39AA" w:rsidP="005C39AA">
      <w:pPr>
        <w:spacing w:after="240" w:line="480" w:lineRule="auto"/>
        <w:jc w:val="both"/>
      </w:pPr>
      <w:r w:rsidRPr="003017C5">
        <w:t xml:space="preserve">The </w:t>
      </w:r>
      <w:proofErr w:type="spellStart"/>
      <w:r w:rsidRPr="003017C5">
        <w:t>NiPPeR</w:t>
      </w:r>
      <w:proofErr w:type="spellEnd"/>
      <w:r w:rsidRPr="003017C5">
        <w:t xml:space="preserve"> Study Group authors for the Medline citation comprises: Veronica Boyle (v.boyle@auckland.ac.nz), Shirong Cai (obgcais@nus.edu.sg), Ryan Carvalho (Ryan.Carvalho@nestle.com), Julie Ann </w:t>
      </w:r>
      <w:proofErr w:type="spellStart"/>
      <w:r w:rsidRPr="003017C5">
        <w:t>Guiao</w:t>
      </w:r>
      <w:proofErr w:type="spellEnd"/>
      <w:r w:rsidRPr="003017C5">
        <w:t xml:space="preserve"> Castro (julie_castro@nuhs.edu.sg), Mary Cavanagh (m.cavanagh@auckland.ac.nz), Hsin Fang Chang (hsin_fang_chang@nuhs.edu.sg), Claudia Chi (drclaudiachi@gmail.com), Caroline E Childs (C.E.Childs@soton.ac.uk), Mary F Chong (mary_chong@nus.edu.sg), Cathryn Conlon (C.Conlon@massey.ac.nz), Cyrus Cooper (cc@mrc.soton.ac.uk), Paula Costello (pc@mrc.soton.ac.uk), Vanessa Cox (vac@mrc.soton.ac.uk), Marilou Ebreo (</w:t>
      </w:r>
      <w:hyperlink r:id="rId10" w:history="1">
        <w:r>
          <w:rPr>
            <w:rStyle w:val="Hyperlink"/>
          </w:rPr>
          <w:t>docmlou2001@gmail.com</w:t>
        </w:r>
      </w:hyperlink>
      <w:r w:rsidRPr="003017C5">
        <w:t>), Judith Hammond (j.hammond@auckland.ac.nz), Nicholas C Harvey (nch@mrc.soton.ac.uk), Richard Holt (</w:t>
      </w:r>
      <w:hyperlink r:id="rId11" w:history="1">
        <w:r w:rsidRPr="003017C5">
          <w:rPr>
            <w:rStyle w:val="Hyperlink"/>
          </w:rPr>
          <w:t>R.I.G.Holt@soton.ac.uk</w:t>
        </w:r>
      </w:hyperlink>
      <w:r w:rsidRPr="003017C5">
        <w:t xml:space="preserve">), Hazel M Inskip (hmi@mrc.soton.ac.uk), </w:t>
      </w:r>
      <w:proofErr w:type="spellStart"/>
      <w:r w:rsidRPr="003017C5">
        <w:t>Mrunalini</w:t>
      </w:r>
      <w:proofErr w:type="spellEnd"/>
      <w:r w:rsidRPr="003017C5">
        <w:t xml:space="preserve"> Jagtap (mrunalini_jagtap@sics.a-star.edu.sg), Neerja Karnani (neerja_karnani@sics.a-star.edu.sg), Gene Jeon (Gene.Jeon@middlemore.co.nz), Yung Seng Lee (paeleeys@nus.edu.sg), Karen Lillycrop (K.A.Lillycrop@soton.ac.uk), See Ling Loy (Loy.See.Ling@kkh.com.sg), Pamela A Mahon (pam@mrc.soton.ac.uk), Chiara </w:t>
      </w:r>
      <w:proofErr w:type="spellStart"/>
      <w:r w:rsidRPr="003017C5">
        <w:t>Nembrini</w:t>
      </w:r>
      <w:proofErr w:type="spellEnd"/>
      <w:r w:rsidRPr="003017C5">
        <w:t xml:space="preserve"> (Chiara.Nembrini@rdls.nestle.com), </w:t>
      </w:r>
      <w:r w:rsidRPr="003017C5">
        <w:lastRenderedPageBreak/>
        <w:t>Sharon Ng (sharon.ng.kmu@gmail.com), Justin M O’Sullivan (justin.osullivan@auckland.ac.nz), Judith Ong (judith_ong@nuhs.edu.sg), Gernalia Satianegara (gernalia_satianegara@sics.a-star.edu.sg), Lynette Pei-Chi Shek (lynette_shek@nuhs.edu.sg), Shu E Soh (shu_e_soh@nuhs.edu.sg), Irma Silva-</w:t>
      </w:r>
      <w:proofErr w:type="spellStart"/>
      <w:r w:rsidRPr="003017C5">
        <w:t>Zolezzi</w:t>
      </w:r>
      <w:proofErr w:type="spellEnd"/>
      <w:r w:rsidRPr="003017C5">
        <w:t xml:space="preserve"> (Irma.SilvaZolezzi@rdls.nestle.com), Karen Tan (karen_tan@sics.a-star.edu.sg), Vicky Tay (hktay@sics.a-star.edu.sg), Rachael Taylor (rachael.taylor@otago.ac.nz), Elizabeth Tham (elizabeth_tham@nuhs.edu.sg), Mya Thway Tint (obgmtt@nus.edu.sg), Mark Vickers (m.vickers@auckland.ac.nz), Clare Wall (c.wall@auckland.ac.nz), Gladys </w:t>
      </w:r>
      <w:proofErr w:type="spellStart"/>
      <w:r w:rsidRPr="003017C5">
        <w:t>Woon</w:t>
      </w:r>
      <w:proofErr w:type="spellEnd"/>
      <w:r w:rsidRPr="003017C5">
        <w:t xml:space="preserve"> (</w:t>
      </w:r>
      <w:hyperlink r:id="rId12" w:history="1">
        <w:r w:rsidRPr="003017C5">
          <w:rPr>
            <w:rStyle w:val="Hyperlink"/>
          </w:rPr>
          <w:t>gladys_woon@nuhs.edu.sg</w:t>
        </w:r>
      </w:hyperlink>
      <w:r w:rsidRPr="003017C5">
        <w:t xml:space="preserve">), Wong </w:t>
      </w:r>
      <w:proofErr w:type="spellStart"/>
      <w:r w:rsidRPr="003017C5">
        <w:t>Jui</w:t>
      </w:r>
      <w:proofErr w:type="spellEnd"/>
      <w:r w:rsidRPr="003017C5">
        <w:t>-Tsung Ray (ray_wong@</w:t>
      </w:r>
      <w:r w:rsidRPr="003017C5">
        <w:rPr>
          <w:lang w:eastAsia="en-GB"/>
        </w:rPr>
        <w:t>sics.a-star.edu.sg),</w:t>
      </w:r>
      <w:r w:rsidRPr="003017C5">
        <w:t xml:space="preserve"> Wei Ying (</w:t>
      </w:r>
      <w:hyperlink r:id="rId13" w:history="1">
        <w:r>
          <w:rPr>
            <w:rStyle w:val="Hyperlink"/>
          </w:rPr>
          <w:t>weiying11099@hotmail.com</w:t>
        </w:r>
      </w:hyperlink>
      <w:r w:rsidRPr="003017C5">
        <w:t>), Mei Ling Chang (</w:t>
      </w:r>
      <w:hyperlink r:id="rId14" w:history="1">
        <w:r w:rsidRPr="003017C5">
          <w:rPr>
            <w:rStyle w:val="Hyperlink"/>
          </w:rPr>
          <w:t>changmeiling86@gmail.com</w:t>
        </w:r>
      </w:hyperlink>
      <w:r w:rsidRPr="003017C5">
        <w:t>)</w:t>
      </w:r>
      <w:r w:rsidRPr="003017C5">
        <w:rPr>
          <w:lang w:eastAsia="en-GB"/>
        </w:rPr>
        <w:t>, Hannah Yong (hannah_yong@sics.a-star.edu.sg).</w:t>
      </w:r>
    </w:p>
    <w:p w14:paraId="0E202FC0" w14:textId="77777777" w:rsidR="005C39AA" w:rsidRPr="00B7083C" w:rsidRDefault="005C39AA" w:rsidP="00D75C51">
      <w:pPr>
        <w:spacing w:after="160" w:line="480" w:lineRule="auto"/>
        <w:rPr>
          <w:strike/>
        </w:rPr>
      </w:pPr>
    </w:p>
    <w:p w14:paraId="4742E482" w14:textId="5C788F94" w:rsidR="00C57B55" w:rsidRPr="00B7083C" w:rsidRDefault="00F617A3" w:rsidP="00E31B7B">
      <w:pPr>
        <w:spacing w:after="120"/>
        <w:jc w:val="both"/>
        <w:rPr>
          <w:b/>
        </w:rPr>
      </w:pPr>
      <w:r w:rsidRPr="00B7083C">
        <w:rPr>
          <w:b/>
        </w:rPr>
        <w:t>References</w:t>
      </w:r>
    </w:p>
    <w:p w14:paraId="6B0E5D47" w14:textId="7D02BD96" w:rsidR="00142BCF" w:rsidRPr="00B7083C" w:rsidRDefault="00142BCF" w:rsidP="00E31B7B">
      <w:pPr>
        <w:autoSpaceDE w:val="0"/>
        <w:autoSpaceDN w:val="0"/>
        <w:adjustRightInd w:val="0"/>
        <w:spacing w:after="120"/>
        <w:jc w:val="both"/>
        <w:rPr>
          <w:szCs w:val="22"/>
          <w:lang w:val="en"/>
        </w:rPr>
      </w:pPr>
      <w:r w:rsidRPr="00B7083C">
        <w:rPr>
          <w:szCs w:val="22"/>
        </w:rPr>
        <w:t>1. Farrar D, Simmonds M, Bryant M, et al. Hyperglycaemia and risk of adverse perinatal outcomes: systematic review and meta-analysis. BMJ 2016;</w:t>
      </w:r>
      <w:r w:rsidR="00A909FC" w:rsidRPr="00B7083C">
        <w:rPr>
          <w:szCs w:val="22"/>
        </w:rPr>
        <w:t xml:space="preserve"> </w:t>
      </w:r>
      <w:r w:rsidRPr="00B7083C">
        <w:rPr>
          <w:szCs w:val="22"/>
        </w:rPr>
        <w:t xml:space="preserve">354: i4694. </w:t>
      </w:r>
    </w:p>
    <w:p w14:paraId="211D58D7" w14:textId="6D30189A" w:rsidR="00142BCF" w:rsidRPr="00B7083C" w:rsidRDefault="00142BCF" w:rsidP="00E31B7B">
      <w:pPr>
        <w:pStyle w:val="EndNoteBibliography"/>
        <w:spacing w:after="120"/>
        <w:jc w:val="both"/>
        <w:rPr>
          <w:rFonts w:ascii="Times New Roman" w:hAnsi="Times New Roman" w:cs="Times New Roman"/>
          <w:sz w:val="24"/>
        </w:rPr>
      </w:pPr>
      <w:r w:rsidRPr="00B7083C">
        <w:rPr>
          <w:rFonts w:ascii="Times New Roman" w:hAnsi="Times New Roman" w:cs="Times New Roman"/>
          <w:sz w:val="24"/>
        </w:rPr>
        <w:t>2. Metzger BE, Lowe LP, Dyer AR, et al. Hyperglycemia and adverse pregnancy outcomes. N Engl J Med</w:t>
      </w:r>
      <w:r w:rsidRPr="00B7083C" w:rsidDel="00887866">
        <w:rPr>
          <w:rFonts w:ascii="Times New Roman" w:hAnsi="Times New Roman" w:cs="Times New Roman"/>
          <w:sz w:val="24"/>
        </w:rPr>
        <w:t xml:space="preserve"> </w:t>
      </w:r>
      <w:r w:rsidRPr="00B7083C">
        <w:rPr>
          <w:rFonts w:ascii="Times New Roman" w:hAnsi="Times New Roman" w:cs="Times New Roman"/>
          <w:sz w:val="24"/>
        </w:rPr>
        <w:t>2008;</w:t>
      </w:r>
      <w:r w:rsidR="00A909FC" w:rsidRPr="00B7083C">
        <w:rPr>
          <w:rFonts w:ascii="Times New Roman" w:hAnsi="Times New Roman" w:cs="Times New Roman"/>
          <w:sz w:val="24"/>
        </w:rPr>
        <w:t xml:space="preserve"> </w:t>
      </w:r>
      <w:r w:rsidRPr="00B7083C">
        <w:rPr>
          <w:rFonts w:ascii="Times New Roman" w:hAnsi="Times New Roman" w:cs="Times New Roman"/>
          <w:sz w:val="24"/>
        </w:rPr>
        <w:t xml:space="preserve">358(19): 1991-2002. </w:t>
      </w:r>
    </w:p>
    <w:p w14:paraId="7DE6073E" w14:textId="692CC88D" w:rsidR="00142BCF" w:rsidRPr="00B7083C" w:rsidRDefault="00142BCF" w:rsidP="00E31B7B">
      <w:pPr>
        <w:pStyle w:val="EndNoteBibliography"/>
        <w:spacing w:after="120"/>
        <w:jc w:val="both"/>
        <w:rPr>
          <w:rFonts w:ascii="Times New Roman" w:hAnsi="Times New Roman" w:cs="Times New Roman"/>
          <w:sz w:val="24"/>
        </w:rPr>
      </w:pPr>
      <w:r w:rsidRPr="00B7083C">
        <w:rPr>
          <w:rFonts w:ascii="Times New Roman" w:hAnsi="Times New Roman" w:cs="Times New Roman"/>
          <w:sz w:val="24"/>
        </w:rPr>
        <w:t>3. Lowe WL, Lowe LP, Kuang A, et al. Maternal glucose levels during pregnancy and childhood adiposity in the Hyperglycemia and Adverse Pregnancy Outcome Follow-up Study. Diabetologia 2019;</w:t>
      </w:r>
      <w:r w:rsidR="00A909FC" w:rsidRPr="00B7083C">
        <w:rPr>
          <w:rFonts w:ascii="Times New Roman" w:hAnsi="Times New Roman" w:cs="Times New Roman"/>
          <w:sz w:val="24"/>
        </w:rPr>
        <w:t xml:space="preserve"> </w:t>
      </w:r>
      <w:r w:rsidRPr="00B7083C">
        <w:rPr>
          <w:rFonts w:ascii="Times New Roman" w:hAnsi="Times New Roman" w:cs="Times New Roman"/>
          <w:sz w:val="24"/>
        </w:rPr>
        <w:t xml:space="preserve">62(4): 598-610. </w:t>
      </w:r>
    </w:p>
    <w:p w14:paraId="7CB0DF3D" w14:textId="77777777" w:rsidR="00142BCF" w:rsidRPr="00B7083C" w:rsidRDefault="00142BCF" w:rsidP="00E31B7B">
      <w:pPr>
        <w:autoSpaceDE w:val="0"/>
        <w:autoSpaceDN w:val="0"/>
        <w:adjustRightInd w:val="0"/>
        <w:spacing w:after="120"/>
        <w:jc w:val="both"/>
        <w:rPr>
          <w:szCs w:val="22"/>
          <w:lang w:val="en"/>
        </w:rPr>
      </w:pPr>
      <w:r w:rsidRPr="00B7083C">
        <w:rPr>
          <w:bCs/>
          <w:szCs w:val="22"/>
          <w:lang w:eastAsia="zh-CN"/>
        </w:rPr>
        <w:t xml:space="preserve">4. Lain KY, Catalano PM. Metabolic changes in pregnancy. Clin </w:t>
      </w:r>
      <w:proofErr w:type="spellStart"/>
      <w:r w:rsidRPr="00B7083C">
        <w:rPr>
          <w:bCs/>
          <w:szCs w:val="22"/>
          <w:lang w:eastAsia="zh-CN"/>
        </w:rPr>
        <w:t>Obstet</w:t>
      </w:r>
      <w:proofErr w:type="spellEnd"/>
      <w:r w:rsidRPr="00B7083C">
        <w:rPr>
          <w:bCs/>
          <w:szCs w:val="22"/>
          <w:lang w:eastAsia="zh-CN"/>
        </w:rPr>
        <w:t xml:space="preserve"> </w:t>
      </w:r>
      <w:proofErr w:type="spellStart"/>
      <w:r w:rsidRPr="00B7083C">
        <w:rPr>
          <w:bCs/>
          <w:szCs w:val="22"/>
          <w:lang w:eastAsia="zh-CN"/>
        </w:rPr>
        <w:t>Gynecol</w:t>
      </w:r>
      <w:proofErr w:type="spellEnd"/>
      <w:r w:rsidRPr="00B7083C">
        <w:rPr>
          <w:bCs/>
          <w:szCs w:val="22"/>
          <w:lang w:eastAsia="zh-CN"/>
        </w:rPr>
        <w:t xml:space="preserve"> 2007; 50:938-948.</w:t>
      </w:r>
    </w:p>
    <w:p w14:paraId="287121F8" w14:textId="5A4ECC71" w:rsidR="00142BCF" w:rsidRPr="00B7083C" w:rsidRDefault="00142BCF" w:rsidP="00E31B7B">
      <w:pPr>
        <w:spacing w:after="120"/>
        <w:jc w:val="both"/>
        <w:rPr>
          <w:rFonts w:eastAsiaTheme="minorHAnsi"/>
          <w:szCs w:val="22"/>
          <w:lang w:val="en-NZ"/>
        </w:rPr>
      </w:pPr>
      <w:r w:rsidRPr="00B7083C">
        <w:rPr>
          <w:rFonts w:eastAsiaTheme="minorHAnsi"/>
          <w:szCs w:val="22"/>
          <w:lang w:val="en-NZ"/>
        </w:rPr>
        <w:t xml:space="preserve">5. Sacks DA, Hadden DR, </w:t>
      </w:r>
      <w:proofErr w:type="spellStart"/>
      <w:r w:rsidRPr="00B7083C">
        <w:rPr>
          <w:rFonts w:eastAsiaTheme="minorHAnsi"/>
          <w:szCs w:val="22"/>
          <w:lang w:val="en-NZ"/>
        </w:rPr>
        <w:t>Maresh</w:t>
      </w:r>
      <w:proofErr w:type="spellEnd"/>
      <w:r w:rsidRPr="00B7083C">
        <w:rPr>
          <w:rFonts w:eastAsiaTheme="minorHAnsi"/>
          <w:szCs w:val="22"/>
          <w:lang w:val="en-NZ"/>
        </w:rPr>
        <w:t xml:space="preserve"> M, et al. Frequency of gestational diabetes mellitus at collaborating </w:t>
      </w:r>
      <w:proofErr w:type="spellStart"/>
      <w:r w:rsidRPr="00B7083C">
        <w:rPr>
          <w:rFonts w:eastAsiaTheme="minorHAnsi"/>
          <w:szCs w:val="22"/>
          <w:lang w:val="en-NZ"/>
        </w:rPr>
        <w:t>centers</w:t>
      </w:r>
      <w:proofErr w:type="spellEnd"/>
      <w:r w:rsidRPr="00B7083C">
        <w:rPr>
          <w:rFonts w:eastAsiaTheme="minorHAnsi"/>
          <w:szCs w:val="22"/>
          <w:lang w:val="en-NZ"/>
        </w:rPr>
        <w:t xml:space="preserve"> based on IADPSG consensus panel-recommended criteria: the </w:t>
      </w:r>
      <w:proofErr w:type="spellStart"/>
      <w:r w:rsidRPr="00B7083C">
        <w:rPr>
          <w:rFonts w:eastAsiaTheme="minorHAnsi"/>
          <w:szCs w:val="22"/>
          <w:lang w:val="en-NZ"/>
        </w:rPr>
        <w:t>Hyperglycemia</w:t>
      </w:r>
      <w:proofErr w:type="spellEnd"/>
      <w:r w:rsidRPr="00B7083C">
        <w:rPr>
          <w:rFonts w:eastAsiaTheme="minorHAnsi"/>
          <w:szCs w:val="22"/>
          <w:lang w:val="en-NZ"/>
        </w:rPr>
        <w:t xml:space="preserve"> and Adverse Pregnancy Outcome (HAPO) Study. Diabetes Care 2012;</w:t>
      </w:r>
      <w:r w:rsidR="00A909FC" w:rsidRPr="00B7083C">
        <w:rPr>
          <w:rFonts w:eastAsiaTheme="minorHAnsi"/>
          <w:szCs w:val="22"/>
          <w:lang w:val="en-NZ"/>
        </w:rPr>
        <w:t xml:space="preserve"> </w:t>
      </w:r>
      <w:r w:rsidRPr="00B7083C">
        <w:rPr>
          <w:rFonts w:eastAsiaTheme="minorHAnsi"/>
          <w:szCs w:val="22"/>
          <w:lang w:val="en-NZ"/>
        </w:rPr>
        <w:t>35</w:t>
      </w:r>
      <w:r w:rsidR="00A909FC" w:rsidRPr="00B7083C">
        <w:rPr>
          <w:rFonts w:eastAsiaTheme="minorHAnsi"/>
          <w:szCs w:val="22"/>
          <w:lang w:val="en-NZ"/>
        </w:rPr>
        <w:t>:</w:t>
      </w:r>
      <w:r w:rsidRPr="00B7083C">
        <w:rPr>
          <w:rFonts w:eastAsiaTheme="minorHAnsi"/>
          <w:szCs w:val="22"/>
          <w:lang w:val="en-NZ"/>
        </w:rPr>
        <w:t xml:space="preserve"> 526–528</w:t>
      </w:r>
    </w:p>
    <w:p w14:paraId="1730F5D9" w14:textId="77777777" w:rsidR="00142BCF" w:rsidRPr="00B7083C" w:rsidRDefault="00142BCF" w:rsidP="00E31B7B">
      <w:pPr>
        <w:autoSpaceDE w:val="0"/>
        <w:autoSpaceDN w:val="0"/>
        <w:adjustRightInd w:val="0"/>
        <w:spacing w:after="120"/>
        <w:jc w:val="both"/>
        <w:rPr>
          <w:rFonts w:eastAsiaTheme="minorHAnsi"/>
          <w:szCs w:val="22"/>
          <w:lang w:val="en-NZ"/>
        </w:rPr>
      </w:pPr>
      <w:r w:rsidRPr="00B7083C">
        <w:rPr>
          <w:szCs w:val="22"/>
          <w:lang w:val="en"/>
        </w:rPr>
        <w:t>6</w:t>
      </w:r>
      <w:r w:rsidRPr="00B7083C">
        <w:rPr>
          <w:rFonts w:eastAsiaTheme="minorHAnsi"/>
          <w:szCs w:val="22"/>
          <w:lang w:val="en-NZ"/>
        </w:rPr>
        <w:t xml:space="preserve">. International Diabetes Federation. IDF Diabetes Atlas 2017. (8th </w:t>
      </w:r>
      <w:proofErr w:type="spellStart"/>
      <w:r w:rsidRPr="00B7083C">
        <w:rPr>
          <w:rFonts w:eastAsiaTheme="minorHAnsi"/>
          <w:szCs w:val="22"/>
          <w:lang w:val="en-NZ"/>
        </w:rPr>
        <w:t>edn</w:t>
      </w:r>
      <w:proofErr w:type="spellEnd"/>
      <w:r w:rsidRPr="00B7083C">
        <w:rPr>
          <w:rFonts w:eastAsiaTheme="minorHAnsi"/>
          <w:szCs w:val="22"/>
          <w:lang w:val="en-NZ"/>
        </w:rPr>
        <w:t xml:space="preserve">), International Diabetes Federation. </w:t>
      </w:r>
    </w:p>
    <w:p w14:paraId="4C5435A3" w14:textId="1C05FD8B" w:rsidR="00142BCF" w:rsidRPr="00B7083C" w:rsidRDefault="00142BCF" w:rsidP="00E31B7B">
      <w:pPr>
        <w:autoSpaceDE w:val="0"/>
        <w:autoSpaceDN w:val="0"/>
        <w:adjustRightInd w:val="0"/>
        <w:spacing w:after="120"/>
        <w:jc w:val="both"/>
        <w:rPr>
          <w:szCs w:val="22"/>
        </w:rPr>
      </w:pPr>
      <w:r w:rsidRPr="00B7083C">
        <w:rPr>
          <w:szCs w:val="22"/>
        </w:rPr>
        <w:t xml:space="preserve">7. Crowther CA, Hiller JE, Moss JR, </w:t>
      </w:r>
      <w:r w:rsidRPr="00B7083C">
        <w:rPr>
          <w:rFonts w:eastAsiaTheme="minorHAnsi"/>
          <w:szCs w:val="22"/>
          <w:lang w:val="en-NZ"/>
        </w:rPr>
        <w:t>et al.</w:t>
      </w:r>
      <w:r w:rsidRPr="00B7083C">
        <w:rPr>
          <w:szCs w:val="22"/>
        </w:rPr>
        <w:t xml:space="preserve"> Effect of treatment of gestational diabetes mellitus on pregnancy outcomes. N </w:t>
      </w:r>
      <w:proofErr w:type="spellStart"/>
      <w:r w:rsidRPr="00B7083C">
        <w:rPr>
          <w:szCs w:val="22"/>
        </w:rPr>
        <w:t>Engl</w:t>
      </w:r>
      <w:proofErr w:type="spellEnd"/>
      <w:r w:rsidRPr="00B7083C">
        <w:rPr>
          <w:szCs w:val="22"/>
        </w:rPr>
        <w:t xml:space="preserve"> J Med. 2005</w:t>
      </w:r>
      <w:r w:rsidR="00A909FC" w:rsidRPr="00B7083C">
        <w:rPr>
          <w:szCs w:val="22"/>
        </w:rPr>
        <w:t xml:space="preserve">; </w:t>
      </w:r>
      <w:r w:rsidRPr="00B7083C">
        <w:rPr>
          <w:szCs w:val="22"/>
        </w:rPr>
        <w:t>352:</w:t>
      </w:r>
      <w:r w:rsidR="00A909FC" w:rsidRPr="00B7083C">
        <w:rPr>
          <w:szCs w:val="22"/>
        </w:rPr>
        <w:t xml:space="preserve"> </w:t>
      </w:r>
      <w:r w:rsidRPr="00B7083C">
        <w:rPr>
          <w:szCs w:val="22"/>
        </w:rPr>
        <w:t xml:space="preserve">2477-86. </w:t>
      </w:r>
    </w:p>
    <w:p w14:paraId="559A83B5" w14:textId="2CDC85F4" w:rsidR="00142BCF" w:rsidRPr="00B7083C" w:rsidRDefault="00142BCF" w:rsidP="00E31B7B">
      <w:pPr>
        <w:autoSpaceDE w:val="0"/>
        <w:autoSpaceDN w:val="0"/>
        <w:adjustRightInd w:val="0"/>
        <w:spacing w:after="120"/>
        <w:jc w:val="both"/>
        <w:rPr>
          <w:szCs w:val="22"/>
          <w:lang w:val="en"/>
        </w:rPr>
      </w:pPr>
      <w:r w:rsidRPr="00B7083C">
        <w:rPr>
          <w:szCs w:val="22"/>
        </w:rPr>
        <w:t xml:space="preserve">8. </w:t>
      </w:r>
      <w:proofErr w:type="spellStart"/>
      <w:r w:rsidRPr="00B7083C">
        <w:rPr>
          <w:szCs w:val="22"/>
        </w:rPr>
        <w:t>Damm</w:t>
      </w:r>
      <w:proofErr w:type="spellEnd"/>
      <w:r w:rsidRPr="00B7083C">
        <w:rPr>
          <w:szCs w:val="22"/>
        </w:rPr>
        <w:t xml:space="preserve"> P, Houshmand-</w:t>
      </w:r>
      <w:proofErr w:type="spellStart"/>
      <w:r w:rsidRPr="00B7083C">
        <w:rPr>
          <w:szCs w:val="22"/>
        </w:rPr>
        <w:t>Oeregaard</w:t>
      </w:r>
      <w:proofErr w:type="spellEnd"/>
      <w:r w:rsidRPr="00B7083C">
        <w:rPr>
          <w:szCs w:val="22"/>
        </w:rPr>
        <w:t xml:space="preserve"> A, </w:t>
      </w:r>
      <w:proofErr w:type="spellStart"/>
      <w:r w:rsidRPr="00B7083C">
        <w:rPr>
          <w:szCs w:val="22"/>
        </w:rPr>
        <w:t>Kelstrup</w:t>
      </w:r>
      <w:proofErr w:type="spellEnd"/>
      <w:r w:rsidRPr="00B7083C">
        <w:rPr>
          <w:szCs w:val="22"/>
        </w:rPr>
        <w:t xml:space="preserve"> L, </w:t>
      </w:r>
      <w:r w:rsidRPr="00B7083C">
        <w:rPr>
          <w:rFonts w:eastAsiaTheme="minorHAnsi"/>
          <w:szCs w:val="22"/>
          <w:lang w:val="en-NZ"/>
        </w:rPr>
        <w:t>et al.</w:t>
      </w:r>
      <w:r w:rsidRPr="00B7083C">
        <w:rPr>
          <w:szCs w:val="22"/>
        </w:rPr>
        <w:t xml:space="preserve"> Gestational diabetes mellitus and long-term consequences for mother and offspring: a view from Denmark. </w:t>
      </w:r>
      <w:proofErr w:type="spellStart"/>
      <w:r w:rsidRPr="00B7083C">
        <w:rPr>
          <w:szCs w:val="22"/>
        </w:rPr>
        <w:t>Diabetologia</w:t>
      </w:r>
      <w:proofErr w:type="spellEnd"/>
      <w:r w:rsidRPr="00B7083C">
        <w:rPr>
          <w:szCs w:val="22"/>
        </w:rPr>
        <w:t xml:space="preserve"> </w:t>
      </w:r>
      <w:r w:rsidRPr="00B7083C">
        <w:rPr>
          <w:noProof/>
          <w:szCs w:val="22"/>
        </w:rPr>
        <w:t>2016;</w:t>
      </w:r>
      <w:r w:rsidR="00A909FC" w:rsidRPr="00B7083C">
        <w:rPr>
          <w:noProof/>
          <w:szCs w:val="22"/>
        </w:rPr>
        <w:t xml:space="preserve"> </w:t>
      </w:r>
      <w:r w:rsidRPr="00B7083C">
        <w:rPr>
          <w:szCs w:val="22"/>
        </w:rPr>
        <w:t>59</w:t>
      </w:r>
      <w:r w:rsidR="00A909FC" w:rsidRPr="00B7083C">
        <w:rPr>
          <w:szCs w:val="22"/>
        </w:rPr>
        <w:t>:</w:t>
      </w:r>
      <w:r w:rsidRPr="00B7083C">
        <w:rPr>
          <w:szCs w:val="22"/>
        </w:rPr>
        <w:t xml:space="preserve"> 1396-1399.</w:t>
      </w:r>
    </w:p>
    <w:p w14:paraId="23BB9A43" w14:textId="52F2F2CB" w:rsidR="00142BCF" w:rsidRPr="00B7083C" w:rsidRDefault="00142BCF" w:rsidP="00E31B7B">
      <w:pPr>
        <w:autoSpaceDE w:val="0"/>
        <w:autoSpaceDN w:val="0"/>
        <w:adjustRightInd w:val="0"/>
        <w:spacing w:after="120"/>
        <w:jc w:val="both"/>
        <w:rPr>
          <w:szCs w:val="22"/>
          <w:lang w:val="en"/>
        </w:rPr>
      </w:pPr>
      <w:r w:rsidRPr="00B7083C">
        <w:rPr>
          <w:szCs w:val="22"/>
          <w:lang w:val="en"/>
        </w:rPr>
        <w:lastRenderedPageBreak/>
        <w:t xml:space="preserve">9. Poston L, Bell R, Croker H, et al. Effect of a </w:t>
      </w:r>
      <w:proofErr w:type="spellStart"/>
      <w:r w:rsidRPr="00B7083C">
        <w:rPr>
          <w:szCs w:val="22"/>
          <w:lang w:val="en"/>
        </w:rPr>
        <w:t>behavioural</w:t>
      </w:r>
      <w:proofErr w:type="spellEnd"/>
      <w:r w:rsidRPr="00B7083C">
        <w:rPr>
          <w:szCs w:val="22"/>
          <w:lang w:val="en"/>
        </w:rPr>
        <w:t xml:space="preserve"> intervention in obese pregnant women (the UPBEAT study): a </w:t>
      </w:r>
      <w:proofErr w:type="spellStart"/>
      <w:r w:rsidRPr="00B7083C">
        <w:rPr>
          <w:szCs w:val="22"/>
          <w:lang w:val="en"/>
        </w:rPr>
        <w:t>multicentre</w:t>
      </w:r>
      <w:proofErr w:type="spellEnd"/>
      <w:r w:rsidRPr="00B7083C">
        <w:rPr>
          <w:szCs w:val="22"/>
          <w:lang w:val="en"/>
        </w:rPr>
        <w:t xml:space="preserve">, </w:t>
      </w:r>
      <w:proofErr w:type="spellStart"/>
      <w:r w:rsidRPr="00B7083C">
        <w:rPr>
          <w:szCs w:val="22"/>
          <w:lang w:val="en"/>
        </w:rPr>
        <w:t>randomised</w:t>
      </w:r>
      <w:proofErr w:type="spellEnd"/>
      <w:r w:rsidRPr="00B7083C">
        <w:rPr>
          <w:szCs w:val="22"/>
          <w:lang w:val="en"/>
        </w:rPr>
        <w:t xml:space="preserve"> controlled trial. The Lancet Diabetes Endocrinol. 2015;</w:t>
      </w:r>
      <w:r w:rsidR="00A909FC" w:rsidRPr="00B7083C">
        <w:rPr>
          <w:szCs w:val="22"/>
          <w:lang w:val="en"/>
        </w:rPr>
        <w:t xml:space="preserve"> </w:t>
      </w:r>
      <w:r w:rsidRPr="00B7083C">
        <w:rPr>
          <w:szCs w:val="22"/>
          <w:lang w:val="en"/>
        </w:rPr>
        <w:t>3:</w:t>
      </w:r>
      <w:r w:rsidR="00A909FC" w:rsidRPr="00B7083C">
        <w:rPr>
          <w:szCs w:val="22"/>
          <w:lang w:val="en"/>
        </w:rPr>
        <w:t xml:space="preserve"> </w:t>
      </w:r>
      <w:r w:rsidRPr="00B7083C">
        <w:rPr>
          <w:szCs w:val="22"/>
          <w:lang w:val="en"/>
        </w:rPr>
        <w:t>767-77.</w:t>
      </w:r>
      <w:r w:rsidRPr="00B7083C" w:rsidDel="00887866">
        <w:rPr>
          <w:szCs w:val="22"/>
          <w:lang w:val="en"/>
        </w:rPr>
        <w:t xml:space="preserve"> </w:t>
      </w:r>
    </w:p>
    <w:p w14:paraId="6F19B834" w14:textId="74D35903" w:rsidR="00142BCF" w:rsidRPr="00B7083C" w:rsidRDefault="00142BCF" w:rsidP="00D42D9D">
      <w:pPr>
        <w:autoSpaceDE w:val="0"/>
        <w:autoSpaceDN w:val="0"/>
        <w:adjustRightInd w:val="0"/>
        <w:spacing w:after="120"/>
        <w:jc w:val="both"/>
        <w:rPr>
          <w:szCs w:val="22"/>
          <w:lang w:val="en"/>
        </w:rPr>
      </w:pPr>
      <w:r w:rsidRPr="00B7083C">
        <w:rPr>
          <w:szCs w:val="22"/>
          <w:lang w:val="en"/>
        </w:rPr>
        <w:t xml:space="preserve">10. </w:t>
      </w:r>
      <w:proofErr w:type="spellStart"/>
      <w:r w:rsidRPr="00B7083C">
        <w:rPr>
          <w:szCs w:val="22"/>
          <w:lang w:val="en"/>
        </w:rPr>
        <w:t>Rönö</w:t>
      </w:r>
      <w:proofErr w:type="spellEnd"/>
      <w:r w:rsidRPr="00B7083C">
        <w:rPr>
          <w:szCs w:val="22"/>
          <w:lang w:val="en"/>
        </w:rPr>
        <w:t xml:space="preserve"> K, </w:t>
      </w:r>
      <w:proofErr w:type="spellStart"/>
      <w:r w:rsidRPr="00B7083C">
        <w:rPr>
          <w:szCs w:val="22"/>
          <w:lang w:val="en"/>
        </w:rPr>
        <w:t>Grotenfelt</w:t>
      </w:r>
      <w:proofErr w:type="spellEnd"/>
      <w:r w:rsidRPr="00B7083C">
        <w:rPr>
          <w:szCs w:val="22"/>
          <w:lang w:val="en"/>
        </w:rPr>
        <w:t xml:space="preserve"> NE, </w:t>
      </w:r>
      <w:proofErr w:type="spellStart"/>
      <w:r w:rsidRPr="00B7083C">
        <w:rPr>
          <w:szCs w:val="22"/>
          <w:lang w:val="en"/>
        </w:rPr>
        <w:t>Klemetti</w:t>
      </w:r>
      <w:proofErr w:type="spellEnd"/>
      <w:r w:rsidRPr="00B7083C">
        <w:rPr>
          <w:szCs w:val="22"/>
          <w:lang w:val="en"/>
        </w:rPr>
        <w:t xml:space="preserve"> MM, et al. Effect of a lifestyle intervention during pregnancy-findings from the Finnish gestational diabetes prevention trial (RADIEL). J </w:t>
      </w:r>
      <w:proofErr w:type="spellStart"/>
      <w:r w:rsidRPr="00B7083C">
        <w:rPr>
          <w:szCs w:val="22"/>
          <w:lang w:val="en"/>
        </w:rPr>
        <w:t>Perinatol</w:t>
      </w:r>
      <w:proofErr w:type="spellEnd"/>
      <w:r w:rsidRPr="00B7083C">
        <w:rPr>
          <w:szCs w:val="22"/>
          <w:lang w:val="en"/>
        </w:rPr>
        <w:t>. 2018;</w:t>
      </w:r>
      <w:r w:rsidR="00A909FC" w:rsidRPr="00B7083C">
        <w:rPr>
          <w:szCs w:val="22"/>
          <w:lang w:val="en"/>
        </w:rPr>
        <w:t xml:space="preserve"> </w:t>
      </w:r>
      <w:r w:rsidRPr="00B7083C">
        <w:rPr>
          <w:szCs w:val="22"/>
          <w:lang w:val="en"/>
        </w:rPr>
        <w:t>38:</w:t>
      </w:r>
      <w:r w:rsidR="00A909FC" w:rsidRPr="00B7083C">
        <w:rPr>
          <w:szCs w:val="22"/>
          <w:lang w:val="en"/>
        </w:rPr>
        <w:t xml:space="preserve"> </w:t>
      </w:r>
      <w:r w:rsidRPr="00B7083C">
        <w:rPr>
          <w:szCs w:val="22"/>
          <w:lang w:val="en"/>
        </w:rPr>
        <w:t>1157-1164.</w:t>
      </w:r>
      <w:r w:rsidRPr="00B7083C" w:rsidDel="00887866">
        <w:rPr>
          <w:szCs w:val="22"/>
          <w:lang w:val="en"/>
        </w:rPr>
        <w:t xml:space="preserve"> </w:t>
      </w:r>
    </w:p>
    <w:p w14:paraId="2096D5B1" w14:textId="4B06C0D0" w:rsidR="003751FD" w:rsidRPr="00B7083C" w:rsidRDefault="00A00D64" w:rsidP="00D42D9D">
      <w:pPr>
        <w:spacing w:after="120"/>
        <w:jc w:val="both"/>
      </w:pPr>
      <w:r w:rsidRPr="00B7083C">
        <w:t xml:space="preserve">11. </w:t>
      </w:r>
      <w:r w:rsidR="003751FD" w:rsidRPr="00B7083C">
        <w:t>Watkins</w:t>
      </w:r>
      <w:r w:rsidRPr="00B7083C">
        <w:t xml:space="preserve"> OC</w:t>
      </w:r>
      <w:r w:rsidR="003751FD" w:rsidRPr="00B7083C">
        <w:t>, Yong</w:t>
      </w:r>
      <w:r w:rsidRPr="00B7083C">
        <w:t xml:space="preserve"> HEJ</w:t>
      </w:r>
      <w:r w:rsidR="003751FD" w:rsidRPr="00B7083C">
        <w:t>, Sharma</w:t>
      </w:r>
      <w:r w:rsidRPr="00B7083C">
        <w:t xml:space="preserve"> N</w:t>
      </w:r>
      <w:r w:rsidR="003751FD" w:rsidRPr="00B7083C">
        <w:t xml:space="preserve">, </w:t>
      </w:r>
      <w:r w:rsidR="003751FD" w:rsidRPr="00B7083C">
        <w:rPr>
          <w:shd w:val="clear" w:color="auto" w:fill="FFFFFF"/>
        </w:rPr>
        <w:t>Chan</w:t>
      </w:r>
      <w:r w:rsidRPr="00B7083C">
        <w:rPr>
          <w:shd w:val="clear" w:color="auto" w:fill="FFFFFF"/>
        </w:rPr>
        <w:t xml:space="preserve"> SY</w:t>
      </w:r>
      <w:r w:rsidR="00F97E28" w:rsidRPr="00B7083C">
        <w:rPr>
          <w:shd w:val="clear" w:color="auto" w:fill="FFFFFF"/>
        </w:rPr>
        <w:t xml:space="preserve">. </w:t>
      </w:r>
      <w:r w:rsidR="00F97E28" w:rsidRPr="00B7083C">
        <w:rPr>
          <w:bCs/>
        </w:rPr>
        <w:t xml:space="preserve">A review of the role of </w:t>
      </w:r>
      <w:proofErr w:type="spellStart"/>
      <w:r w:rsidR="00F97E28" w:rsidRPr="00B7083C">
        <w:rPr>
          <w:bCs/>
        </w:rPr>
        <w:t>inositols</w:t>
      </w:r>
      <w:proofErr w:type="spellEnd"/>
      <w:r w:rsidR="00F97E28" w:rsidRPr="00B7083C">
        <w:rPr>
          <w:bCs/>
        </w:rPr>
        <w:t xml:space="preserve"> in conditions of insulin dysregulation and in uncomplicated and pathological pregnancy. </w:t>
      </w:r>
      <w:r w:rsidR="003751FD" w:rsidRPr="00B7083C">
        <w:rPr>
          <w:lang w:val="en"/>
        </w:rPr>
        <w:t>Critical Reviews in Food Science and Nutrition</w:t>
      </w:r>
      <w:r w:rsidR="00D42D9D" w:rsidRPr="00B7083C">
        <w:rPr>
          <w:lang w:val="en"/>
        </w:rPr>
        <w:t xml:space="preserve"> 2020</w:t>
      </w:r>
      <w:r w:rsidR="003751FD" w:rsidRPr="00B7083C">
        <w:rPr>
          <w:lang w:val="en"/>
        </w:rPr>
        <w:t xml:space="preserve"> </w:t>
      </w:r>
      <w:r w:rsidR="00D42D9D" w:rsidRPr="00B7083C">
        <w:rPr>
          <w:shd w:val="clear" w:color="auto" w:fill="FFFFFF"/>
        </w:rPr>
        <w:t>Dec 7:</w:t>
      </w:r>
      <w:r w:rsidR="007A5579" w:rsidRPr="00B7083C">
        <w:rPr>
          <w:shd w:val="clear" w:color="auto" w:fill="FFFFFF"/>
        </w:rPr>
        <w:t xml:space="preserve"> </w:t>
      </w:r>
      <w:r w:rsidR="00D42D9D" w:rsidRPr="00B7083C">
        <w:rPr>
          <w:shd w:val="clear" w:color="auto" w:fill="FFFFFF"/>
        </w:rPr>
        <w:t xml:space="preserve">1-49. </w:t>
      </w:r>
      <w:r w:rsidR="00A909FC" w:rsidRPr="00B7083C">
        <w:rPr>
          <w:shd w:val="clear" w:color="auto" w:fill="FFFFFF"/>
        </w:rPr>
        <w:t>doi</w:t>
      </w:r>
      <w:r w:rsidR="00FB617C" w:rsidRPr="00B7083C">
        <w:rPr>
          <w:shd w:val="clear" w:color="auto" w:fill="FFFFFF"/>
        </w:rPr>
        <w:t>:10.1080/10408398.2020.1845604</w:t>
      </w:r>
    </w:p>
    <w:p w14:paraId="088A38E1" w14:textId="238C8413" w:rsidR="00142BCF" w:rsidRPr="00B7083C" w:rsidRDefault="00142BCF" w:rsidP="00E31B7B">
      <w:pPr>
        <w:autoSpaceDE w:val="0"/>
        <w:autoSpaceDN w:val="0"/>
        <w:adjustRightInd w:val="0"/>
        <w:spacing w:after="120"/>
        <w:jc w:val="both"/>
        <w:rPr>
          <w:szCs w:val="22"/>
          <w:lang w:val="en"/>
        </w:rPr>
      </w:pPr>
      <w:r w:rsidRPr="00B7083C">
        <w:rPr>
          <w:szCs w:val="22"/>
        </w:rPr>
        <w:t>12. Zhang H, Lv Y, Li Z, et al. The efficacy of myo-inositol supplementation to prevent gestational diabetes onset: a meta-analysis of randomized controlled trials. J Maternal-</w:t>
      </w:r>
      <w:proofErr w:type="spellStart"/>
      <w:r w:rsidRPr="00B7083C">
        <w:rPr>
          <w:szCs w:val="22"/>
        </w:rPr>
        <w:t>fetal</w:t>
      </w:r>
      <w:proofErr w:type="spellEnd"/>
      <w:r w:rsidRPr="00B7083C">
        <w:rPr>
          <w:szCs w:val="22"/>
        </w:rPr>
        <w:t xml:space="preserve"> &amp; Neonatal Medicine 2019;</w:t>
      </w:r>
      <w:r w:rsidR="00A909FC" w:rsidRPr="00B7083C">
        <w:rPr>
          <w:szCs w:val="22"/>
        </w:rPr>
        <w:t xml:space="preserve"> </w:t>
      </w:r>
      <w:r w:rsidRPr="00B7083C">
        <w:rPr>
          <w:szCs w:val="22"/>
        </w:rPr>
        <w:t>32(13):</w:t>
      </w:r>
      <w:r w:rsidR="00A909FC" w:rsidRPr="00B7083C">
        <w:rPr>
          <w:szCs w:val="22"/>
        </w:rPr>
        <w:t xml:space="preserve"> </w:t>
      </w:r>
      <w:r w:rsidRPr="00B7083C">
        <w:rPr>
          <w:szCs w:val="22"/>
        </w:rPr>
        <w:t>2249-55.</w:t>
      </w:r>
    </w:p>
    <w:p w14:paraId="39B4C922" w14:textId="619B978C" w:rsidR="00142BCF" w:rsidRPr="00B7083C" w:rsidRDefault="00142BCF" w:rsidP="00E31B7B">
      <w:pPr>
        <w:autoSpaceDE w:val="0"/>
        <w:autoSpaceDN w:val="0"/>
        <w:adjustRightInd w:val="0"/>
        <w:spacing w:after="120"/>
        <w:jc w:val="both"/>
        <w:rPr>
          <w:szCs w:val="22"/>
        </w:rPr>
      </w:pPr>
      <w:r w:rsidRPr="00B7083C">
        <w:rPr>
          <w:szCs w:val="22"/>
        </w:rPr>
        <w:t>13. Zheng J, Feng Q, Zheng S, et al. The effects of probiotics supplementation on metabolic health in pregnant women: An evidence based meta-analysis. PLoS One. 2018;</w:t>
      </w:r>
      <w:r w:rsidR="00A909FC" w:rsidRPr="00B7083C">
        <w:rPr>
          <w:szCs w:val="22"/>
        </w:rPr>
        <w:t xml:space="preserve"> </w:t>
      </w:r>
      <w:r w:rsidRPr="00B7083C">
        <w:rPr>
          <w:szCs w:val="22"/>
        </w:rPr>
        <w:t>13(5):</w:t>
      </w:r>
      <w:r w:rsidR="00A909FC" w:rsidRPr="00B7083C">
        <w:rPr>
          <w:szCs w:val="22"/>
        </w:rPr>
        <w:t xml:space="preserve"> </w:t>
      </w:r>
      <w:r w:rsidRPr="00B7083C">
        <w:rPr>
          <w:szCs w:val="22"/>
        </w:rPr>
        <w:t xml:space="preserve">e0197771. </w:t>
      </w:r>
    </w:p>
    <w:p w14:paraId="6794FC6F" w14:textId="27ADAAC5" w:rsidR="00142BCF" w:rsidRPr="00B7083C" w:rsidRDefault="00142BCF" w:rsidP="00E31B7B">
      <w:pPr>
        <w:spacing w:after="120"/>
        <w:jc w:val="both"/>
        <w:outlineLvl w:val="2"/>
        <w:rPr>
          <w:szCs w:val="22"/>
          <w:lang w:val="en"/>
        </w:rPr>
      </w:pPr>
      <w:r w:rsidRPr="00B7083C">
        <w:rPr>
          <w:szCs w:val="22"/>
          <w:lang w:val="en-US"/>
        </w:rPr>
        <w:t xml:space="preserve">14. </w:t>
      </w:r>
      <w:proofErr w:type="spellStart"/>
      <w:r w:rsidRPr="00B7083C">
        <w:rPr>
          <w:szCs w:val="22"/>
          <w:lang w:val="en-US"/>
        </w:rPr>
        <w:t>Laitinen</w:t>
      </w:r>
      <w:proofErr w:type="spellEnd"/>
      <w:r w:rsidRPr="00B7083C">
        <w:rPr>
          <w:szCs w:val="22"/>
          <w:lang w:val="en-US"/>
        </w:rPr>
        <w:t xml:space="preserve"> K, </w:t>
      </w:r>
      <w:proofErr w:type="spellStart"/>
      <w:r w:rsidRPr="00B7083C">
        <w:rPr>
          <w:szCs w:val="22"/>
          <w:lang w:val="en-US"/>
        </w:rPr>
        <w:t>Poussa</w:t>
      </w:r>
      <w:proofErr w:type="spellEnd"/>
      <w:r w:rsidRPr="00B7083C">
        <w:rPr>
          <w:szCs w:val="22"/>
          <w:lang w:val="en-US"/>
        </w:rPr>
        <w:t xml:space="preserve"> T, </w:t>
      </w:r>
      <w:proofErr w:type="spellStart"/>
      <w:r w:rsidRPr="00B7083C">
        <w:rPr>
          <w:szCs w:val="22"/>
          <w:lang w:val="en-US"/>
        </w:rPr>
        <w:t>Isolauri</w:t>
      </w:r>
      <w:proofErr w:type="spellEnd"/>
      <w:r w:rsidRPr="00B7083C">
        <w:rPr>
          <w:szCs w:val="22"/>
          <w:lang w:val="en-US"/>
        </w:rPr>
        <w:t xml:space="preserve"> E. </w:t>
      </w:r>
      <w:r w:rsidRPr="00B7083C">
        <w:rPr>
          <w:rStyle w:val="citation-title"/>
          <w:szCs w:val="22"/>
          <w:lang w:val="en-US"/>
        </w:rPr>
        <w:t xml:space="preserve">Probiotics and dietary counselling contribute to glucose regulation during and after pregnancy: a </w:t>
      </w:r>
      <w:proofErr w:type="spellStart"/>
      <w:r w:rsidRPr="00B7083C">
        <w:rPr>
          <w:rStyle w:val="citation-title"/>
          <w:szCs w:val="22"/>
          <w:lang w:val="en-US"/>
        </w:rPr>
        <w:t>randomised</w:t>
      </w:r>
      <w:proofErr w:type="spellEnd"/>
      <w:r w:rsidRPr="00B7083C">
        <w:rPr>
          <w:rStyle w:val="citation-title"/>
          <w:szCs w:val="22"/>
          <w:lang w:val="en-US"/>
        </w:rPr>
        <w:t xml:space="preserve"> controlled trial</w:t>
      </w:r>
      <w:r w:rsidRPr="00B7083C">
        <w:rPr>
          <w:szCs w:val="22"/>
          <w:lang w:val="en-US"/>
        </w:rPr>
        <w:t xml:space="preserve">. </w:t>
      </w:r>
      <w:r w:rsidRPr="00B7083C">
        <w:rPr>
          <w:rStyle w:val="citation2"/>
          <w:szCs w:val="22"/>
          <w:lang w:val="en-US"/>
        </w:rPr>
        <w:t xml:space="preserve">Br J Nutr </w:t>
      </w:r>
      <w:r w:rsidRPr="00B7083C">
        <w:rPr>
          <w:rStyle w:val="pubyear"/>
          <w:szCs w:val="22"/>
          <w:lang w:val="en-US"/>
        </w:rPr>
        <w:t>2009</w:t>
      </w:r>
      <w:r w:rsidRPr="00B7083C">
        <w:rPr>
          <w:szCs w:val="22"/>
          <w:lang w:val="en-US"/>
        </w:rPr>
        <w:t>;</w:t>
      </w:r>
      <w:r w:rsidR="00A909FC" w:rsidRPr="00B7083C">
        <w:rPr>
          <w:szCs w:val="22"/>
          <w:lang w:val="en-US"/>
        </w:rPr>
        <w:t xml:space="preserve"> </w:t>
      </w:r>
      <w:r w:rsidRPr="00B7083C">
        <w:rPr>
          <w:rStyle w:val="volume"/>
          <w:szCs w:val="22"/>
          <w:lang w:val="en-US"/>
        </w:rPr>
        <w:t>101</w:t>
      </w:r>
      <w:r w:rsidRPr="00B7083C">
        <w:rPr>
          <w:szCs w:val="22"/>
          <w:lang w:val="en-US"/>
        </w:rPr>
        <w:t>:</w:t>
      </w:r>
      <w:r w:rsidR="00A909FC" w:rsidRPr="00B7083C">
        <w:rPr>
          <w:szCs w:val="22"/>
          <w:lang w:val="en-US"/>
        </w:rPr>
        <w:t xml:space="preserve"> </w:t>
      </w:r>
      <w:r w:rsidRPr="00B7083C">
        <w:rPr>
          <w:szCs w:val="22"/>
          <w:lang w:val="en-US"/>
        </w:rPr>
        <w:t>1679‐87</w:t>
      </w:r>
      <w:r w:rsidRPr="00B7083C">
        <w:rPr>
          <w:szCs w:val="22"/>
          <w:lang w:val="en"/>
        </w:rPr>
        <w:t>.</w:t>
      </w:r>
    </w:p>
    <w:p w14:paraId="59A51B6B" w14:textId="7321D65F" w:rsidR="00142BCF" w:rsidRPr="00B7083C" w:rsidRDefault="00142BCF" w:rsidP="00E31B7B">
      <w:pPr>
        <w:spacing w:after="120"/>
        <w:jc w:val="both"/>
        <w:outlineLvl w:val="2"/>
        <w:rPr>
          <w:szCs w:val="22"/>
          <w:lang w:val="en"/>
        </w:rPr>
      </w:pPr>
      <w:r w:rsidRPr="00B7083C">
        <w:rPr>
          <w:szCs w:val="22"/>
          <w:lang w:val="en"/>
        </w:rPr>
        <w:t>15. Chen Q, Feng Y, Yang H, et al. A vitamin pattern diet is associated with decreased risk of gestational diabetes mellitus in Chinese women: results from a case control study in Taiyuan, China. J Diabetes Res. 2019;</w:t>
      </w:r>
      <w:r w:rsidR="00A909FC" w:rsidRPr="00B7083C">
        <w:rPr>
          <w:szCs w:val="22"/>
          <w:lang w:val="en"/>
        </w:rPr>
        <w:t xml:space="preserve"> </w:t>
      </w:r>
      <w:r w:rsidRPr="00B7083C">
        <w:rPr>
          <w:szCs w:val="22"/>
          <w:lang w:val="en"/>
        </w:rPr>
        <w:t>2019:</w:t>
      </w:r>
      <w:r w:rsidR="00A909FC" w:rsidRPr="00B7083C">
        <w:rPr>
          <w:szCs w:val="22"/>
          <w:lang w:val="en"/>
        </w:rPr>
        <w:t xml:space="preserve"> </w:t>
      </w:r>
      <w:r w:rsidRPr="00B7083C">
        <w:rPr>
          <w:szCs w:val="22"/>
          <w:lang w:val="en"/>
        </w:rPr>
        <w:t>5232308.</w:t>
      </w:r>
    </w:p>
    <w:p w14:paraId="2E19C3B2" w14:textId="065F3471" w:rsidR="00142BCF" w:rsidRPr="00B7083C" w:rsidRDefault="00142BCF" w:rsidP="00E31B7B">
      <w:pPr>
        <w:spacing w:after="120"/>
        <w:jc w:val="both"/>
        <w:outlineLvl w:val="2"/>
        <w:rPr>
          <w:szCs w:val="22"/>
          <w:lang w:val="en"/>
        </w:rPr>
      </w:pPr>
      <w:r w:rsidRPr="00B7083C">
        <w:rPr>
          <w:szCs w:val="22"/>
          <w:lang w:val="en"/>
        </w:rPr>
        <w:t>16. Lai JS, Pang WW, Cai S, et al. High folate and low vitamin B12 status during pregnancy is associated with gestational diabetes mellitus. Clin Nutr. 2018;</w:t>
      </w:r>
      <w:r w:rsidR="00A909FC" w:rsidRPr="00B7083C">
        <w:rPr>
          <w:szCs w:val="22"/>
          <w:lang w:val="en"/>
        </w:rPr>
        <w:t xml:space="preserve"> </w:t>
      </w:r>
      <w:r w:rsidRPr="00B7083C">
        <w:rPr>
          <w:szCs w:val="22"/>
          <w:lang w:val="en"/>
        </w:rPr>
        <w:t>37:</w:t>
      </w:r>
      <w:r w:rsidR="00A909FC" w:rsidRPr="00B7083C">
        <w:rPr>
          <w:szCs w:val="22"/>
          <w:lang w:val="en"/>
        </w:rPr>
        <w:t xml:space="preserve"> </w:t>
      </w:r>
      <w:r w:rsidRPr="00B7083C">
        <w:rPr>
          <w:szCs w:val="22"/>
          <w:lang w:val="en"/>
        </w:rPr>
        <w:t>940-947.</w:t>
      </w:r>
    </w:p>
    <w:p w14:paraId="2D7545C1" w14:textId="7284AA29" w:rsidR="00142BCF" w:rsidRPr="00B7083C" w:rsidRDefault="00142BCF" w:rsidP="00E31B7B">
      <w:pPr>
        <w:spacing w:after="120"/>
        <w:jc w:val="both"/>
        <w:outlineLvl w:val="2"/>
        <w:rPr>
          <w:szCs w:val="22"/>
          <w:lang w:val="en"/>
        </w:rPr>
      </w:pPr>
      <w:r w:rsidRPr="00B7083C">
        <w:rPr>
          <w:szCs w:val="22"/>
          <w:lang w:val="en"/>
        </w:rPr>
        <w:t>17. Rogne T, Tielemans MJ, Chong MF, et al. Associations of maternal vitamin B12 concentration in pregnancy with the risks of preterm birth and low birth weight: a systematic review and meta-analysis of individual participant data. Am J Epidemiol. 2017;</w:t>
      </w:r>
      <w:r w:rsidR="00A909FC" w:rsidRPr="00B7083C">
        <w:rPr>
          <w:szCs w:val="22"/>
          <w:lang w:val="en"/>
        </w:rPr>
        <w:t xml:space="preserve"> </w:t>
      </w:r>
      <w:r w:rsidRPr="00B7083C">
        <w:rPr>
          <w:szCs w:val="22"/>
          <w:lang w:val="en"/>
        </w:rPr>
        <w:t>185:</w:t>
      </w:r>
      <w:r w:rsidR="00A909FC" w:rsidRPr="00B7083C">
        <w:rPr>
          <w:szCs w:val="22"/>
          <w:lang w:val="en"/>
        </w:rPr>
        <w:t xml:space="preserve"> </w:t>
      </w:r>
      <w:r w:rsidRPr="00B7083C">
        <w:rPr>
          <w:szCs w:val="22"/>
          <w:lang w:val="en"/>
        </w:rPr>
        <w:t>212-223.</w:t>
      </w:r>
    </w:p>
    <w:p w14:paraId="0701B889" w14:textId="75CD6E43" w:rsidR="00142BCF" w:rsidRPr="00B7083C" w:rsidRDefault="00142BCF" w:rsidP="00E31B7B">
      <w:pPr>
        <w:spacing w:after="120"/>
        <w:jc w:val="both"/>
        <w:outlineLvl w:val="2"/>
        <w:rPr>
          <w:szCs w:val="22"/>
          <w:lang w:val="en"/>
        </w:rPr>
      </w:pPr>
      <w:r w:rsidRPr="00B7083C">
        <w:rPr>
          <w:szCs w:val="22"/>
          <w:lang w:val="en"/>
        </w:rPr>
        <w:t xml:space="preserve">18. </w:t>
      </w:r>
      <w:proofErr w:type="spellStart"/>
      <w:r w:rsidRPr="00B7083C">
        <w:rPr>
          <w:szCs w:val="22"/>
          <w:lang w:val="en"/>
        </w:rPr>
        <w:t>Sahariah</w:t>
      </w:r>
      <w:proofErr w:type="spellEnd"/>
      <w:r w:rsidRPr="00B7083C">
        <w:rPr>
          <w:szCs w:val="22"/>
          <w:lang w:val="en"/>
        </w:rPr>
        <w:t xml:space="preserve"> SA, </w:t>
      </w:r>
      <w:proofErr w:type="spellStart"/>
      <w:r w:rsidRPr="00B7083C">
        <w:rPr>
          <w:szCs w:val="22"/>
          <w:lang w:val="en"/>
        </w:rPr>
        <w:t>Potdar</w:t>
      </w:r>
      <w:proofErr w:type="spellEnd"/>
      <w:r w:rsidRPr="00B7083C">
        <w:rPr>
          <w:szCs w:val="22"/>
          <w:lang w:val="en"/>
        </w:rPr>
        <w:t xml:space="preserve"> RD, Gandhi M, et al. A daily snack containing leafy green vegetables, fruit, and milk before and during pregnancy prevents gestational diabetes in a randomized, controlled trial in Mumbai, India. J Nutr. 2016;</w:t>
      </w:r>
      <w:r w:rsidR="00A909FC" w:rsidRPr="00B7083C">
        <w:rPr>
          <w:szCs w:val="22"/>
          <w:lang w:val="en"/>
        </w:rPr>
        <w:t xml:space="preserve"> </w:t>
      </w:r>
      <w:r w:rsidRPr="00B7083C">
        <w:rPr>
          <w:szCs w:val="22"/>
          <w:lang w:val="en"/>
        </w:rPr>
        <w:t>146:</w:t>
      </w:r>
      <w:r w:rsidR="00A909FC" w:rsidRPr="00B7083C">
        <w:rPr>
          <w:szCs w:val="22"/>
          <w:lang w:val="en"/>
        </w:rPr>
        <w:t xml:space="preserve"> </w:t>
      </w:r>
      <w:r w:rsidRPr="00B7083C">
        <w:rPr>
          <w:szCs w:val="22"/>
          <w:lang w:val="en"/>
        </w:rPr>
        <w:t>1453S-60S.</w:t>
      </w:r>
    </w:p>
    <w:p w14:paraId="681114D1" w14:textId="18DC81E7" w:rsidR="00142BCF" w:rsidRPr="00B7083C" w:rsidRDefault="00142BCF" w:rsidP="00E31B7B">
      <w:pPr>
        <w:spacing w:after="120"/>
        <w:jc w:val="both"/>
        <w:outlineLvl w:val="2"/>
        <w:rPr>
          <w:szCs w:val="22"/>
        </w:rPr>
      </w:pPr>
      <w:r w:rsidRPr="00B7083C">
        <w:rPr>
          <w:szCs w:val="22"/>
        </w:rPr>
        <w:t xml:space="preserve">19. Zhang Y, Gong Y, </w:t>
      </w:r>
      <w:proofErr w:type="spellStart"/>
      <w:r w:rsidRPr="00B7083C">
        <w:rPr>
          <w:szCs w:val="22"/>
        </w:rPr>
        <w:t>Xue</w:t>
      </w:r>
      <w:proofErr w:type="spellEnd"/>
      <w:r w:rsidRPr="00B7083C">
        <w:rPr>
          <w:szCs w:val="22"/>
        </w:rPr>
        <w:t xml:space="preserve"> H, et al. Vitamin D and gestational diabetes mellitus: a systematic review based on data free of Hawthorne effect. BJOG. 2018;</w:t>
      </w:r>
      <w:r w:rsidR="00A909FC" w:rsidRPr="00B7083C">
        <w:rPr>
          <w:szCs w:val="22"/>
        </w:rPr>
        <w:t xml:space="preserve"> </w:t>
      </w:r>
      <w:r w:rsidRPr="00B7083C">
        <w:rPr>
          <w:szCs w:val="22"/>
        </w:rPr>
        <w:t>125:</w:t>
      </w:r>
      <w:r w:rsidR="00A909FC" w:rsidRPr="00B7083C">
        <w:rPr>
          <w:szCs w:val="22"/>
        </w:rPr>
        <w:t xml:space="preserve"> </w:t>
      </w:r>
      <w:r w:rsidRPr="00B7083C">
        <w:rPr>
          <w:szCs w:val="22"/>
        </w:rPr>
        <w:t>784-793.</w:t>
      </w:r>
    </w:p>
    <w:p w14:paraId="725886D7" w14:textId="12E098BF" w:rsidR="00142BCF" w:rsidRPr="00B7083C" w:rsidRDefault="00142BCF" w:rsidP="00E31B7B">
      <w:pPr>
        <w:spacing w:after="120"/>
        <w:jc w:val="both"/>
        <w:outlineLvl w:val="2"/>
        <w:rPr>
          <w:szCs w:val="22"/>
        </w:rPr>
      </w:pPr>
      <w:r w:rsidRPr="00B7083C">
        <w:rPr>
          <w:szCs w:val="22"/>
        </w:rPr>
        <w:t xml:space="preserve">20. </w:t>
      </w:r>
      <w:proofErr w:type="spellStart"/>
      <w:r w:rsidRPr="00B7083C">
        <w:rPr>
          <w:szCs w:val="22"/>
        </w:rPr>
        <w:t>Corcoy</w:t>
      </w:r>
      <w:proofErr w:type="spellEnd"/>
      <w:r w:rsidRPr="00B7083C">
        <w:rPr>
          <w:szCs w:val="22"/>
        </w:rPr>
        <w:t xml:space="preserve"> R, Mendoza LC, Simmons D, et al. The DALI vitamin D randomized controlled trial for gestational diabetes mellitus prevention: No major benefit shown besides vitamin D sufficiency. Clin Nutr. 2019 Apr 11. </w:t>
      </w:r>
      <w:proofErr w:type="spellStart"/>
      <w:r w:rsidRPr="00B7083C">
        <w:rPr>
          <w:szCs w:val="22"/>
        </w:rPr>
        <w:t>pii</w:t>
      </w:r>
      <w:proofErr w:type="spellEnd"/>
      <w:r w:rsidRPr="00B7083C">
        <w:rPr>
          <w:szCs w:val="22"/>
        </w:rPr>
        <w:t>: S0261-5614(19)30161-X.</w:t>
      </w:r>
    </w:p>
    <w:p w14:paraId="4D50A4DD" w14:textId="68F9255D" w:rsidR="0097791B" w:rsidRPr="00B7083C" w:rsidRDefault="000D5521" w:rsidP="00D54022">
      <w:pPr>
        <w:spacing w:after="120"/>
      </w:pPr>
      <w:r w:rsidRPr="00B7083C">
        <w:t xml:space="preserve">21. </w:t>
      </w:r>
      <w:proofErr w:type="spellStart"/>
      <w:r w:rsidR="0097791B" w:rsidRPr="00B7083C">
        <w:t>Hambidge</w:t>
      </w:r>
      <w:proofErr w:type="spellEnd"/>
      <w:r w:rsidR="00A909FC" w:rsidRPr="00B7083C">
        <w:t xml:space="preserve"> KM, Westcott JE, </w:t>
      </w:r>
      <w:hyperlink r:id="rId15" w:history="1">
        <w:proofErr w:type="spellStart"/>
        <w:r w:rsidR="00A909FC" w:rsidRPr="00B7083C">
          <w:rPr>
            <w:rStyle w:val="Hyperlink"/>
            <w:color w:val="auto"/>
          </w:rPr>
          <w:t>Garcés</w:t>
        </w:r>
        <w:proofErr w:type="spellEnd"/>
      </w:hyperlink>
      <w:r w:rsidR="00A909FC" w:rsidRPr="00B7083C">
        <w:rPr>
          <w:rStyle w:val="author-sup-separator"/>
          <w:vertAlign w:val="superscript"/>
        </w:rPr>
        <w:t> </w:t>
      </w:r>
      <w:r w:rsidR="00A909FC" w:rsidRPr="00B7083C">
        <w:rPr>
          <w:rStyle w:val="author-sup-separator"/>
        </w:rPr>
        <w:t>A,</w:t>
      </w:r>
      <w:r w:rsidR="00A909FC" w:rsidRPr="00B7083C">
        <w:t xml:space="preserve"> et al. A </w:t>
      </w:r>
      <w:proofErr w:type="spellStart"/>
      <w:r w:rsidR="00A909FC" w:rsidRPr="00B7083C">
        <w:t>multicountry</w:t>
      </w:r>
      <w:proofErr w:type="spellEnd"/>
      <w:r w:rsidR="00A909FC" w:rsidRPr="00B7083C">
        <w:t xml:space="preserve"> randomized controlled trial of comprehensive maternal nutrition supplementation initiated before conception: the Women First trial. </w:t>
      </w:r>
      <w:r w:rsidR="0097791B" w:rsidRPr="00B7083C">
        <w:t>Am J Clin Nutri</w:t>
      </w:r>
      <w:r w:rsidR="00A909FC" w:rsidRPr="00B7083C">
        <w:t>.</w:t>
      </w:r>
      <w:r w:rsidR="0097791B" w:rsidRPr="00B7083C">
        <w:t xml:space="preserve"> 2019</w:t>
      </w:r>
      <w:r w:rsidR="00A909FC" w:rsidRPr="00B7083C">
        <w:rPr>
          <w:shd w:val="clear" w:color="auto" w:fill="FFFFFF"/>
        </w:rPr>
        <w:t xml:space="preserve">; 109(2): 457-469. </w:t>
      </w:r>
    </w:p>
    <w:p w14:paraId="4939DC0B" w14:textId="2CBE1FF6" w:rsidR="00142BCF" w:rsidRPr="00B7083C" w:rsidRDefault="00142BCF" w:rsidP="00E31B7B">
      <w:pPr>
        <w:spacing w:after="120"/>
        <w:jc w:val="both"/>
        <w:outlineLvl w:val="2"/>
        <w:rPr>
          <w:szCs w:val="22"/>
        </w:rPr>
      </w:pPr>
      <w:r w:rsidRPr="00B7083C">
        <w:rPr>
          <w:szCs w:val="22"/>
        </w:rPr>
        <w:t>2</w:t>
      </w:r>
      <w:r w:rsidR="000D5521" w:rsidRPr="00B7083C">
        <w:rPr>
          <w:szCs w:val="22"/>
        </w:rPr>
        <w:t>2</w:t>
      </w:r>
      <w:r w:rsidRPr="00B7083C">
        <w:rPr>
          <w:szCs w:val="22"/>
        </w:rPr>
        <w:t>. Stephenson J, Vogel C, Hall J, et al. Preconception health in England: a proposal for annual reporting with core metrics. The Lancet 2019; 393: 2262–71.</w:t>
      </w:r>
    </w:p>
    <w:p w14:paraId="4BBB683D" w14:textId="14DCF6B0" w:rsidR="00142BCF" w:rsidRPr="00B7083C" w:rsidRDefault="00142BCF" w:rsidP="00E31B7B">
      <w:pPr>
        <w:spacing w:after="120"/>
        <w:jc w:val="both"/>
        <w:outlineLvl w:val="2"/>
        <w:rPr>
          <w:szCs w:val="22"/>
        </w:rPr>
      </w:pPr>
      <w:r w:rsidRPr="00B7083C">
        <w:rPr>
          <w:szCs w:val="22"/>
        </w:rPr>
        <w:t>2</w:t>
      </w:r>
      <w:r w:rsidR="000D5521" w:rsidRPr="00B7083C">
        <w:rPr>
          <w:szCs w:val="22"/>
        </w:rPr>
        <w:t>3</w:t>
      </w:r>
      <w:r w:rsidRPr="00B7083C">
        <w:rPr>
          <w:szCs w:val="22"/>
        </w:rPr>
        <w:t>. Godfrey KM, Cutfield W, Chan SY, et al. Nutritional Intervention Preconception and During Pregnancy to Maintain Healthy Glucose Metabolism and Offspring Health ("</w:t>
      </w:r>
      <w:proofErr w:type="spellStart"/>
      <w:r w:rsidRPr="00B7083C">
        <w:rPr>
          <w:szCs w:val="22"/>
        </w:rPr>
        <w:t>NiPPeR</w:t>
      </w:r>
      <w:proofErr w:type="spellEnd"/>
      <w:r w:rsidRPr="00B7083C">
        <w:rPr>
          <w:szCs w:val="22"/>
        </w:rPr>
        <w:t>"): study protocol for a randomised controlled trial. Trials. 2017;</w:t>
      </w:r>
      <w:r w:rsidR="0024714C" w:rsidRPr="00B7083C">
        <w:rPr>
          <w:szCs w:val="22"/>
        </w:rPr>
        <w:t xml:space="preserve"> </w:t>
      </w:r>
      <w:r w:rsidRPr="00B7083C">
        <w:rPr>
          <w:szCs w:val="22"/>
        </w:rPr>
        <w:t>18:</w:t>
      </w:r>
      <w:r w:rsidR="0024714C" w:rsidRPr="00B7083C">
        <w:rPr>
          <w:szCs w:val="22"/>
        </w:rPr>
        <w:t xml:space="preserve"> </w:t>
      </w:r>
      <w:r w:rsidRPr="00B7083C">
        <w:rPr>
          <w:szCs w:val="22"/>
        </w:rPr>
        <w:t>131.</w:t>
      </w:r>
    </w:p>
    <w:p w14:paraId="0F65EB8F" w14:textId="17D1A42A" w:rsidR="005C7A5C" w:rsidRPr="00B7083C" w:rsidRDefault="000D5521" w:rsidP="005C7A5C">
      <w:pPr>
        <w:spacing w:after="120"/>
        <w:jc w:val="both"/>
        <w:outlineLvl w:val="2"/>
        <w:rPr>
          <w:szCs w:val="22"/>
          <w:lang w:val="en"/>
        </w:rPr>
      </w:pPr>
      <w:r w:rsidRPr="00B7083C">
        <w:rPr>
          <w:rFonts w:eastAsia="SimSun"/>
          <w:lang w:eastAsia="zh-SG"/>
        </w:rPr>
        <w:t xml:space="preserve">24. </w:t>
      </w:r>
      <w:proofErr w:type="spellStart"/>
      <w:r w:rsidR="005C7A5C" w:rsidRPr="00B7083C">
        <w:rPr>
          <w:szCs w:val="22"/>
          <w:lang w:val="en"/>
        </w:rPr>
        <w:t>Luoto</w:t>
      </w:r>
      <w:proofErr w:type="spellEnd"/>
      <w:r w:rsidR="005C7A5C" w:rsidRPr="00B7083C">
        <w:rPr>
          <w:szCs w:val="22"/>
          <w:lang w:val="en"/>
        </w:rPr>
        <w:t xml:space="preserve"> R, </w:t>
      </w:r>
      <w:proofErr w:type="spellStart"/>
      <w:r w:rsidR="005C7A5C" w:rsidRPr="00B7083C">
        <w:rPr>
          <w:szCs w:val="22"/>
          <w:lang w:val="en"/>
        </w:rPr>
        <w:t>Laitinen</w:t>
      </w:r>
      <w:proofErr w:type="spellEnd"/>
      <w:r w:rsidR="005C7A5C" w:rsidRPr="00B7083C">
        <w:rPr>
          <w:szCs w:val="22"/>
          <w:lang w:val="en"/>
        </w:rPr>
        <w:t xml:space="preserve"> K, </w:t>
      </w:r>
      <w:proofErr w:type="spellStart"/>
      <w:r w:rsidR="005C7A5C" w:rsidRPr="00B7083C">
        <w:rPr>
          <w:szCs w:val="22"/>
          <w:lang w:val="en"/>
        </w:rPr>
        <w:t>Nermes</w:t>
      </w:r>
      <w:proofErr w:type="spellEnd"/>
      <w:r w:rsidR="005C7A5C" w:rsidRPr="00B7083C">
        <w:rPr>
          <w:szCs w:val="22"/>
          <w:lang w:val="en"/>
        </w:rPr>
        <w:t xml:space="preserve"> M, </w:t>
      </w:r>
      <w:r w:rsidR="005C7A5C" w:rsidRPr="00B7083C">
        <w:rPr>
          <w:szCs w:val="22"/>
        </w:rPr>
        <w:t xml:space="preserve">et al. </w:t>
      </w:r>
      <w:r w:rsidR="005C7A5C" w:rsidRPr="00B7083C">
        <w:rPr>
          <w:szCs w:val="22"/>
          <w:lang w:val="en"/>
        </w:rPr>
        <w:t>Impact of maternal probiotic-supplemented dietary counselling on pregnancy outcome and prenatal and postnatal growth: a double-blind, placebo-controlled study. Br J Nutr 2010; 103: 1792-1799.</w:t>
      </w:r>
    </w:p>
    <w:p w14:paraId="20D9001E" w14:textId="4CF408BD" w:rsidR="0064718B" w:rsidRPr="00B7083C" w:rsidRDefault="005C7A5C" w:rsidP="00E31B7B">
      <w:pPr>
        <w:spacing w:after="120"/>
        <w:jc w:val="both"/>
        <w:outlineLvl w:val="2"/>
      </w:pPr>
      <w:r w:rsidRPr="00B7083C">
        <w:lastRenderedPageBreak/>
        <w:t xml:space="preserve">25. </w:t>
      </w:r>
      <w:r w:rsidR="0064718B" w:rsidRPr="00B7083C">
        <w:t xml:space="preserve">Levy JC, Matthews DR, </w:t>
      </w:r>
      <w:proofErr w:type="spellStart"/>
      <w:r w:rsidR="0064718B" w:rsidRPr="00B7083C">
        <w:t>Hermans</w:t>
      </w:r>
      <w:proofErr w:type="spellEnd"/>
      <w:r w:rsidR="0064718B" w:rsidRPr="00B7083C">
        <w:t xml:space="preserve"> MP</w:t>
      </w:r>
      <w:r w:rsidR="00C60282" w:rsidRPr="00B7083C">
        <w:t>.</w:t>
      </w:r>
      <w:r w:rsidR="0064718B" w:rsidRPr="00B7083C">
        <w:t xml:space="preserve"> Correct homeostasis model assessment (HOMA) evaluation uses the computer program. </w:t>
      </w:r>
      <w:r w:rsidR="0064718B" w:rsidRPr="00B7083C">
        <w:rPr>
          <w:iCs/>
        </w:rPr>
        <w:t>Diabetes Care</w:t>
      </w:r>
      <w:r w:rsidR="00C60282" w:rsidRPr="00B7083C">
        <w:rPr>
          <w:iCs/>
        </w:rPr>
        <w:t xml:space="preserve"> 1998;</w:t>
      </w:r>
      <w:r w:rsidR="0064718B" w:rsidRPr="00B7083C">
        <w:rPr>
          <w:iCs/>
        </w:rPr>
        <w:t xml:space="preserve"> </w:t>
      </w:r>
      <w:r w:rsidR="0064718B" w:rsidRPr="00B7083C">
        <w:t>21</w:t>
      </w:r>
      <w:r w:rsidR="00C60282" w:rsidRPr="00B7083C">
        <w:t>(12)</w:t>
      </w:r>
      <w:r w:rsidR="0064718B" w:rsidRPr="00B7083C">
        <w:t>:</w:t>
      </w:r>
      <w:r w:rsidR="00C60282" w:rsidRPr="00B7083C">
        <w:t xml:space="preserve"> </w:t>
      </w:r>
      <w:r w:rsidR="0064718B" w:rsidRPr="00B7083C">
        <w:t>2191–2192</w:t>
      </w:r>
      <w:r w:rsidR="00C60282" w:rsidRPr="00B7083C">
        <w:t>.</w:t>
      </w:r>
    </w:p>
    <w:p w14:paraId="60FFCE04" w14:textId="571BAE3E" w:rsidR="00C60282" w:rsidRPr="00B7083C" w:rsidRDefault="000D5521" w:rsidP="00D54022">
      <w:pPr>
        <w:spacing w:after="120"/>
        <w:jc w:val="both"/>
      </w:pPr>
      <w:r w:rsidRPr="00B7083C">
        <w:rPr>
          <w:lang w:val="en-US"/>
        </w:rPr>
        <w:t>2</w:t>
      </w:r>
      <w:r w:rsidR="005C7A5C" w:rsidRPr="00B7083C">
        <w:rPr>
          <w:lang w:val="en-US"/>
        </w:rPr>
        <w:t>6</w:t>
      </w:r>
      <w:r w:rsidRPr="00B7083C">
        <w:rPr>
          <w:lang w:val="en-US"/>
        </w:rPr>
        <w:t xml:space="preserve">. </w:t>
      </w:r>
      <w:r w:rsidR="00BB5DE7" w:rsidRPr="00B7083C">
        <w:rPr>
          <w:lang w:val="en-US"/>
        </w:rPr>
        <w:t xml:space="preserve">De </w:t>
      </w:r>
      <w:proofErr w:type="spellStart"/>
      <w:r w:rsidR="00BB5DE7" w:rsidRPr="00B7083C">
        <w:rPr>
          <w:lang w:val="en-US"/>
        </w:rPr>
        <w:t>Fronzo</w:t>
      </w:r>
      <w:proofErr w:type="spellEnd"/>
      <w:r w:rsidR="00BB5DE7" w:rsidRPr="00B7083C">
        <w:rPr>
          <w:lang w:val="en-US"/>
        </w:rPr>
        <w:t xml:space="preserve"> R</w:t>
      </w:r>
      <w:r w:rsidR="00C60282" w:rsidRPr="00B7083C">
        <w:rPr>
          <w:lang w:val="en-US"/>
        </w:rPr>
        <w:t>A</w:t>
      </w:r>
      <w:r w:rsidR="00BB5DE7" w:rsidRPr="00B7083C">
        <w:rPr>
          <w:lang w:val="en-US"/>
        </w:rPr>
        <w:t>,</w:t>
      </w:r>
      <w:r w:rsidR="00C60282" w:rsidRPr="00B7083C">
        <w:rPr>
          <w:lang w:val="en-US"/>
        </w:rPr>
        <w:t xml:space="preserve"> Matsuda M.</w:t>
      </w:r>
      <w:r w:rsidR="00FF3028" w:rsidRPr="00B7083C">
        <w:rPr>
          <w:lang w:val="en-US"/>
        </w:rPr>
        <w:t xml:space="preserve"> Reduced time point</w:t>
      </w:r>
      <w:r w:rsidR="00C872C3" w:rsidRPr="00B7083C">
        <w:rPr>
          <w:lang w:val="en-US"/>
        </w:rPr>
        <w:t>s</w:t>
      </w:r>
      <w:r w:rsidR="00FF3028" w:rsidRPr="00B7083C">
        <w:rPr>
          <w:lang w:val="en-US"/>
        </w:rPr>
        <w:t xml:space="preserve"> to calculate the composite index.</w:t>
      </w:r>
      <w:r w:rsidR="00C60282" w:rsidRPr="00B7083C">
        <w:rPr>
          <w:lang w:val="en-US"/>
        </w:rPr>
        <w:t xml:space="preserve"> </w:t>
      </w:r>
      <w:r w:rsidR="00BB5DE7" w:rsidRPr="00B7083C">
        <w:rPr>
          <w:lang w:val="en-US"/>
        </w:rPr>
        <w:t>Diabetes Care 2010</w:t>
      </w:r>
      <w:r w:rsidR="00C60282" w:rsidRPr="00B7083C">
        <w:rPr>
          <w:lang w:val="en-US"/>
        </w:rPr>
        <w:t xml:space="preserve">; </w:t>
      </w:r>
      <w:r w:rsidR="00C60282" w:rsidRPr="00B7083C">
        <w:t>33(7):</w:t>
      </w:r>
      <w:r w:rsidR="0028432A" w:rsidRPr="00B7083C">
        <w:t xml:space="preserve"> </w:t>
      </w:r>
      <w:r w:rsidR="00C60282" w:rsidRPr="00B7083C">
        <w:t>e93.</w:t>
      </w:r>
    </w:p>
    <w:p w14:paraId="200F5B26" w14:textId="680AA04E" w:rsidR="00142BCF" w:rsidRPr="00B7083C" w:rsidRDefault="00142BCF" w:rsidP="00E31B7B">
      <w:pPr>
        <w:spacing w:after="120"/>
        <w:jc w:val="both"/>
        <w:outlineLvl w:val="2"/>
        <w:rPr>
          <w:szCs w:val="22"/>
          <w:lang w:val="en"/>
        </w:rPr>
      </w:pPr>
      <w:r w:rsidRPr="00B7083C">
        <w:rPr>
          <w:szCs w:val="22"/>
          <w:lang w:val="en"/>
        </w:rPr>
        <w:t>2</w:t>
      </w:r>
      <w:r w:rsidR="000D5521" w:rsidRPr="00B7083C">
        <w:rPr>
          <w:szCs w:val="22"/>
          <w:lang w:val="en"/>
        </w:rPr>
        <w:t>7</w:t>
      </w:r>
      <w:r w:rsidRPr="00B7083C">
        <w:rPr>
          <w:szCs w:val="22"/>
          <w:lang w:val="en"/>
        </w:rPr>
        <w:t>. International Association of Diabetes and Pregnancy Study Groups Consensus Panel. International Association of Diabetes and Pregnancy Study Groups recommendations on the diagnosis and classification of hyperglycemia in pregnancy. Diabetes Care 2010;</w:t>
      </w:r>
      <w:r w:rsidR="0024714C" w:rsidRPr="00B7083C">
        <w:rPr>
          <w:szCs w:val="22"/>
          <w:lang w:val="en"/>
        </w:rPr>
        <w:t xml:space="preserve"> </w:t>
      </w:r>
      <w:r w:rsidRPr="00B7083C">
        <w:rPr>
          <w:szCs w:val="22"/>
          <w:lang w:val="en"/>
        </w:rPr>
        <w:t>33: 676-682.</w:t>
      </w:r>
    </w:p>
    <w:p w14:paraId="08287D20" w14:textId="5D525D05" w:rsidR="00142BCF" w:rsidRPr="00B7083C" w:rsidRDefault="00142BCF" w:rsidP="00E31B7B">
      <w:pPr>
        <w:spacing w:after="120"/>
        <w:jc w:val="both"/>
        <w:outlineLvl w:val="2"/>
        <w:rPr>
          <w:szCs w:val="22"/>
          <w:lang w:val="en"/>
        </w:rPr>
      </w:pPr>
      <w:r w:rsidRPr="00B7083C">
        <w:rPr>
          <w:szCs w:val="22"/>
          <w:lang w:val="en"/>
        </w:rPr>
        <w:t>2</w:t>
      </w:r>
      <w:r w:rsidR="000D5521" w:rsidRPr="00B7083C">
        <w:rPr>
          <w:szCs w:val="22"/>
          <w:lang w:val="en"/>
        </w:rPr>
        <w:t>8</w:t>
      </w:r>
      <w:r w:rsidRPr="00B7083C">
        <w:rPr>
          <w:szCs w:val="22"/>
          <w:lang w:val="en"/>
        </w:rPr>
        <w:t xml:space="preserve">. Cole TJ, Williams AF, Wright CM, </w:t>
      </w:r>
      <w:r w:rsidRPr="00B7083C">
        <w:rPr>
          <w:szCs w:val="22"/>
        </w:rPr>
        <w:t>et al</w:t>
      </w:r>
      <w:r w:rsidRPr="00B7083C">
        <w:rPr>
          <w:szCs w:val="22"/>
          <w:lang w:val="en"/>
        </w:rPr>
        <w:t>. Revised birth centiles for weight, length and head circumference in the UK-WHO growth charts. Ann Hum Biol. 2011;</w:t>
      </w:r>
      <w:r w:rsidR="0024714C" w:rsidRPr="00B7083C">
        <w:rPr>
          <w:szCs w:val="22"/>
          <w:lang w:val="en"/>
        </w:rPr>
        <w:t xml:space="preserve"> </w:t>
      </w:r>
      <w:r w:rsidRPr="00B7083C">
        <w:rPr>
          <w:szCs w:val="22"/>
          <w:lang w:val="en"/>
        </w:rPr>
        <w:t>38:</w:t>
      </w:r>
      <w:r w:rsidR="0024714C" w:rsidRPr="00B7083C">
        <w:rPr>
          <w:szCs w:val="22"/>
          <w:lang w:val="en"/>
        </w:rPr>
        <w:t xml:space="preserve"> </w:t>
      </w:r>
      <w:r w:rsidRPr="00B7083C">
        <w:rPr>
          <w:szCs w:val="22"/>
          <w:lang w:val="en"/>
        </w:rPr>
        <w:t>7-11.</w:t>
      </w:r>
    </w:p>
    <w:p w14:paraId="1454F092" w14:textId="05E4CD7B" w:rsidR="00142BCF" w:rsidRPr="00B7083C" w:rsidRDefault="00142BCF" w:rsidP="00E31B7B">
      <w:pPr>
        <w:spacing w:after="120"/>
        <w:jc w:val="both"/>
        <w:outlineLvl w:val="2"/>
        <w:rPr>
          <w:szCs w:val="22"/>
          <w:lang w:val="en"/>
        </w:rPr>
      </w:pPr>
      <w:r w:rsidRPr="00B7083C">
        <w:rPr>
          <w:szCs w:val="22"/>
          <w:lang w:val="en"/>
        </w:rPr>
        <w:t>2</w:t>
      </w:r>
      <w:r w:rsidR="000D5521" w:rsidRPr="00B7083C">
        <w:rPr>
          <w:szCs w:val="22"/>
          <w:lang w:val="en"/>
        </w:rPr>
        <w:t>9</w:t>
      </w:r>
      <w:r w:rsidRPr="00B7083C">
        <w:rPr>
          <w:szCs w:val="22"/>
          <w:lang w:val="en"/>
        </w:rPr>
        <w:t>. Pike KC, Crozier SR, Lucas JSA, et al. Patterns of fetal and infant growth are related to atopy and wheezing disorders at age 3 years. Thorax 2010;</w:t>
      </w:r>
      <w:r w:rsidR="0024714C" w:rsidRPr="00B7083C">
        <w:rPr>
          <w:szCs w:val="22"/>
          <w:lang w:val="en"/>
        </w:rPr>
        <w:t xml:space="preserve"> </w:t>
      </w:r>
      <w:r w:rsidRPr="00B7083C">
        <w:rPr>
          <w:szCs w:val="22"/>
          <w:lang w:val="en"/>
        </w:rPr>
        <w:t>65:</w:t>
      </w:r>
      <w:r w:rsidR="0024714C" w:rsidRPr="00B7083C">
        <w:rPr>
          <w:szCs w:val="22"/>
          <w:lang w:val="en"/>
        </w:rPr>
        <w:t xml:space="preserve"> </w:t>
      </w:r>
      <w:r w:rsidRPr="00B7083C">
        <w:rPr>
          <w:szCs w:val="22"/>
          <w:lang w:val="en"/>
        </w:rPr>
        <w:t>1099-1106.</w:t>
      </w:r>
    </w:p>
    <w:p w14:paraId="199DD082" w14:textId="35AB9D42" w:rsidR="00142BCF" w:rsidRPr="00B7083C" w:rsidRDefault="000D5521" w:rsidP="00E31B7B">
      <w:pPr>
        <w:spacing w:after="120"/>
        <w:jc w:val="both"/>
        <w:outlineLvl w:val="2"/>
        <w:rPr>
          <w:szCs w:val="22"/>
          <w:lang w:val="en"/>
        </w:rPr>
      </w:pPr>
      <w:r w:rsidRPr="00B7083C">
        <w:rPr>
          <w:szCs w:val="22"/>
          <w:lang w:val="en"/>
        </w:rPr>
        <w:t>30</w:t>
      </w:r>
      <w:r w:rsidR="00142BCF" w:rsidRPr="00B7083C">
        <w:rPr>
          <w:szCs w:val="22"/>
          <w:lang w:val="en"/>
        </w:rPr>
        <w:t>. Lowe LP, Metzger BE, Dyer AR, et al. Hyperglycemia and Adverse Pregnancy Outcome (HAPO) Study: associations of maternal A1C and glucose with pregnancy outcomes. Diabetes Care. 2012;</w:t>
      </w:r>
      <w:r w:rsidR="0024714C" w:rsidRPr="00B7083C">
        <w:rPr>
          <w:szCs w:val="22"/>
          <w:lang w:val="en"/>
        </w:rPr>
        <w:t xml:space="preserve"> </w:t>
      </w:r>
      <w:r w:rsidR="00142BCF" w:rsidRPr="00B7083C">
        <w:rPr>
          <w:szCs w:val="22"/>
          <w:lang w:val="en"/>
        </w:rPr>
        <w:t>35:</w:t>
      </w:r>
      <w:r w:rsidR="0024714C" w:rsidRPr="00B7083C">
        <w:rPr>
          <w:szCs w:val="22"/>
          <w:lang w:val="en"/>
        </w:rPr>
        <w:t xml:space="preserve"> </w:t>
      </w:r>
      <w:r w:rsidR="00142BCF" w:rsidRPr="00B7083C">
        <w:rPr>
          <w:szCs w:val="22"/>
          <w:lang w:val="en"/>
        </w:rPr>
        <w:t>574-80.</w:t>
      </w:r>
    </w:p>
    <w:p w14:paraId="321E4827" w14:textId="13BCC1F3" w:rsidR="002F6BC0" w:rsidRPr="00B7083C" w:rsidRDefault="000D5521" w:rsidP="00E31B7B">
      <w:pPr>
        <w:spacing w:after="120"/>
        <w:jc w:val="both"/>
        <w:rPr>
          <w:szCs w:val="22"/>
          <w:lang w:val="en"/>
        </w:rPr>
      </w:pPr>
      <w:r w:rsidRPr="00B7083C">
        <w:rPr>
          <w:szCs w:val="22"/>
          <w:lang w:val="en"/>
        </w:rPr>
        <w:t>31</w:t>
      </w:r>
      <w:r w:rsidR="00142BCF" w:rsidRPr="00B7083C">
        <w:rPr>
          <w:szCs w:val="22"/>
          <w:lang w:val="en"/>
        </w:rPr>
        <w:t xml:space="preserve">. </w:t>
      </w:r>
      <w:r w:rsidR="002F6BC0" w:rsidRPr="00B7083C">
        <w:rPr>
          <w:szCs w:val="22"/>
          <w:lang w:val="en"/>
        </w:rPr>
        <w:t>American Diabetes Association. 2. Classification and diagnosis of diabetes: standards of medical care in Diabetes-2019. Diabetes Care. 2019; 42:</w:t>
      </w:r>
      <w:r w:rsidR="0024714C" w:rsidRPr="00B7083C">
        <w:rPr>
          <w:szCs w:val="22"/>
          <w:lang w:val="en"/>
        </w:rPr>
        <w:t xml:space="preserve"> </w:t>
      </w:r>
      <w:r w:rsidR="002F6BC0" w:rsidRPr="00B7083C">
        <w:rPr>
          <w:szCs w:val="22"/>
          <w:lang w:val="en"/>
        </w:rPr>
        <w:t>S13–28.</w:t>
      </w:r>
    </w:p>
    <w:p w14:paraId="40BB5116" w14:textId="42FD26F5" w:rsidR="00701AC2" w:rsidRPr="00B7083C" w:rsidRDefault="000D5521" w:rsidP="00D54022">
      <w:pPr>
        <w:autoSpaceDE w:val="0"/>
        <w:autoSpaceDN w:val="0"/>
        <w:adjustRightInd w:val="0"/>
        <w:spacing w:after="120"/>
        <w:jc w:val="both"/>
        <w:rPr>
          <w:szCs w:val="22"/>
          <w:lang w:val="en"/>
        </w:rPr>
      </w:pPr>
      <w:r w:rsidRPr="00B7083C">
        <w:rPr>
          <w:szCs w:val="22"/>
          <w:lang w:val="en"/>
        </w:rPr>
        <w:t>32</w:t>
      </w:r>
      <w:r w:rsidR="00701AC2" w:rsidRPr="00B7083C">
        <w:rPr>
          <w:szCs w:val="22"/>
          <w:lang w:val="en"/>
        </w:rPr>
        <w:t xml:space="preserve">. </w:t>
      </w:r>
      <w:r w:rsidR="00701AC2" w:rsidRPr="00B7083C">
        <w:rPr>
          <w:szCs w:val="22"/>
        </w:rPr>
        <w:t xml:space="preserve">Santamaria A, Alibrandi A, Di Benedetto A, et al. Clinical and metabolic outcomes in pregnant women at risk for gestational diabetes mellitus supplemented with myo-inositol: a secondary analysis from 3 RCTs. Am J </w:t>
      </w:r>
      <w:proofErr w:type="spellStart"/>
      <w:r w:rsidR="00701AC2" w:rsidRPr="00B7083C">
        <w:rPr>
          <w:szCs w:val="22"/>
        </w:rPr>
        <w:t>Obstet</w:t>
      </w:r>
      <w:proofErr w:type="spellEnd"/>
      <w:r w:rsidR="00701AC2" w:rsidRPr="00B7083C">
        <w:rPr>
          <w:szCs w:val="22"/>
        </w:rPr>
        <w:t xml:space="preserve"> Gynecol. 2018;</w:t>
      </w:r>
      <w:r w:rsidR="0024714C" w:rsidRPr="00B7083C">
        <w:rPr>
          <w:szCs w:val="22"/>
        </w:rPr>
        <w:t xml:space="preserve"> </w:t>
      </w:r>
      <w:r w:rsidR="00701AC2" w:rsidRPr="00B7083C">
        <w:rPr>
          <w:szCs w:val="22"/>
        </w:rPr>
        <w:t>219:</w:t>
      </w:r>
      <w:r w:rsidR="0024714C" w:rsidRPr="00B7083C">
        <w:rPr>
          <w:szCs w:val="22"/>
        </w:rPr>
        <w:t xml:space="preserve"> </w:t>
      </w:r>
      <w:r w:rsidR="00701AC2" w:rsidRPr="00B7083C">
        <w:rPr>
          <w:szCs w:val="22"/>
        </w:rPr>
        <w:t>300.e1-300.e6.</w:t>
      </w:r>
    </w:p>
    <w:p w14:paraId="5654B8EF" w14:textId="4B693A01" w:rsidR="00142BCF" w:rsidRPr="00B7083C" w:rsidRDefault="000D5521" w:rsidP="00E31B7B">
      <w:pPr>
        <w:spacing w:after="120"/>
        <w:jc w:val="both"/>
        <w:rPr>
          <w:szCs w:val="22"/>
          <w:lang w:val="en"/>
        </w:rPr>
      </w:pPr>
      <w:r w:rsidRPr="00B7083C">
        <w:rPr>
          <w:szCs w:val="22"/>
          <w:lang w:val="en"/>
        </w:rPr>
        <w:t>33</w:t>
      </w:r>
      <w:r w:rsidR="002F6BC0" w:rsidRPr="00B7083C">
        <w:rPr>
          <w:szCs w:val="22"/>
          <w:lang w:val="en"/>
        </w:rPr>
        <w:t xml:space="preserve">. </w:t>
      </w:r>
      <w:proofErr w:type="spellStart"/>
      <w:r w:rsidR="00142BCF" w:rsidRPr="00B7083C">
        <w:rPr>
          <w:szCs w:val="22"/>
          <w:lang w:val="en"/>
        </w:rPr>
        <w:t>Matarrelli</w:t>
      </w:r>
      <w:proofErr w:type="spellEnd"/>
      <w:r w:rsidR="00142BCF" w:rsidRPr="00B7083C">
        <w:rPr>
          <w:szCs w:val="22"/>
          <w:lang w:val="en"/>
        </w:rPr>
        <w:t xml:space="preserve"> B, </w:t>
      </w:r>
      <w:proofErr w:type="spellStart"/>
      <w:r w:rsidR="00142BCF" w:rsidRPr="00B7083C">
        <w:rPr>
          <w:szCs w:val="22"/>
          <w:lang w:val="en"/>
        </w:rPr>
        <w:t>Vitacolonna</w:t>
      </w:r>
      <w:proofErr w:type="spellEnd"/>
      <w:r w:rsidR="00142BCF" w:rsidRPr="00B7083C">
        <w:rPr>
          <w:szCs w:val="22"/>
          <w:lang w:val="en"/>
        </w:rPr>
        <w:t xml:space="preserve"> E, D'Angelo M, et al. Effect of dietary myo-inositol supplementation in pregnancy on the incidence of maternal gestational diabetes mellitus and fetal outcomes: a randomized controlled trial. J Matern Fetal Neonatal Med. </w:t>
      </w:r>
      <w:proofErr w:type="gramStart"/>
      <w:r w:rsidR="00142BCF" w:rsidRPr="00B7083C">
        <w:rPr>
          <w:szCs w:val="22"/>
          <w:lang w:val="en"/>
        </w:rPr>
        <w:t>2013;26:967</w:t>
      </w:r>
      <w:proofErr w:type="gramEnd"/>
      <w:r w:rsidR="00142BCF" w:rsidRPr="00B7083C">
        <w:rPr>
          <w:szCs w:val="22"/>
          <w:lang w:val="en"/>
        </w:rPr>
        <w:t>-72.</w:t>
      </w:r>
    </w:p>
    <w:p w14:paraId="0B477B06" w14:textId="1EE31115" w:rsidR="00142BCF" w:rsidRPr="00B7083C" w:rsidRDefault="002F6BC0" w:rsidP="00E31B7B">
      <w:pPr>
        <w:spacing w:after="120"/>
        <w:jc w:val="both"/>
        <w:rPr>
          <w:szCs w:val="22"/>
          <w:lang w:val="en"/>
        </w:rPr>
      </w:pPr>
      <w:r w:rsidRPr="00B7083C">
        <w:rPr>
          <w:szCs w:val="22"/>
          <w:lang w:val="en"/>
        </w:rPr>
        <w:t>3</w:t>
      </w:r>
      <w:r w:rsidR="000D5521" w:rsidRPr="00B7083C">
        <w:rPr>
          <w:szCs w:val="22"/>
          <w:lang w:val="en"/>
        </w:rPr>
        <w:t>4</w:t>
      </w:r>
      <w:r w:rsidRPr="00B7083C">
        <w:rPr>
          <w:szCs w:val="22"/>
          <w:lang w:val="en"/>
        </w:rPr>
        <w:t xml:space="preserve">. </w:t>
      </w:r>
      <w:r w:rsidR="00142BCF" w:rsidRPr="00B7083C">
        <w:rPr>
          <w:szCs w:val="22"/>
          <w:lang w:val="en"/>
        </w:rPr>
        <w:t xml:space="preserve">Farren M, Daly N, McKeating A, </w:t>
      </w:r>
      <w:r w:rsidR="00142BCF" w:rsidRPr="00B7083C">
        <w:rPr>
          <w:szCs w:val="22"/>
        </w:rPr>
        <w:t xml:space="preserve">et al. </w:t>
      </w:r>
      <w:r w:rsidR="00142BCF" w:rsidRPr="00B7083C">
        <w:rPr>
          <w:szCs w:val="22"/>
          <w:lang w:val="en"/>
        </w:rPr>
        <w:t xml:space="preserve"> The prevention of gestational diabetes mellitus with antenatal oral inositol supplementation: a randomized controlled trial. Diabetes Care 2017;</w:t>
      </w:r>
      <w:r w:rsidR="0024714C" w:rsidRPr="00B7083C">
        <w:rPr>
          <w:szCs w:val="22"/>
          <w:lang w:val="en"/>
        </w:rPr>
        <w:t xml:space="preserve"> </w:t>
      </w:r>
      <w:r w:rsidR="00142BCF" w:rsidRPr="00B7083C">
        <w:rPr>
          <w:szCs w:val="22"/>
          <w:lang w:val="en"/>
        </w:rPr>
        <w:t>40:</w:t>
      </w:r>
      <w:r w:rsidR="0024714C" w:rsidRPr="00B7083C">
        <w:rPr>
          <w:szCs w:val="22"/>
          <w:lang w:val="en"/>
        </w:rPr>
        <w:t xml:space="preserve"> </w:t>
      </w:r>
      <w:r w:rsidR="00142BCF" w:rsidRPr="00B7083C">
        <w:rPr>
          <w:szCs w:val="22"/>
          <w:lang w:val="en"/>
        </w:rPr>
        <w:t>759-763.</w:t>
      </w:r>
    </w:p>
    <w:p w14:paraId="3155DB4A" w14:textId="2A177EDB" w:rsidR="000760AD" w:rsidRPr="00B7083C" w:rsidRDefault="000D5521" w:rsidP="00D54022">
      <w:pPr>
        <w:pStyle w:val="Heading1"/>
        <w:spacing w:before="0" w:after="120"/>
        <w:rPr>
          <w:bCs/>
          <w:color w:val="auto"/>
          <w:kern w:val="36"/>
          <w:szCs w:val="24"/>
        </w:rPr>
      </w:pPr>
      <w:r w:rsidRPr="00B7083C">
        <w:rPr>
          <w:rFonts w:ascii="Times New Roman" w:eastAsia="Times New Roman" w:hAnsi="Times New Roman" w:cs="Times New Roman"/>
          <w:color w:val="auto"/>
          <w:sz w:val="24"/>
          <w:szCs w:val="24"/>
          <w:lang w:val="en" w:eastAsia="en-NZ"/>
        </w:rPr>
        <w:t xml:space="preserve">35. </w:t>
      </w:r>
      <w:r w:rsidR="000760AD" w:rsidRPr="00B7083C">
        <w:rPr>
          <w:rFonts w:ascii="Times New Roman" w:eastAsia="Times New Roman" w:hAnsi="Times New Roman" w:cs="Times New Roman"/>
          <w:color w:val="auto"/>
          <w:sz w:val="24"/>
          <w:szCs w:val="24"/>
          <w:lang w:val="en" w:eastAsia="en-NZ"/>
        </w:rPr>
        <w:t>Callaway</w:t>
      </w:r>
      <w:r w:rsidR="00D14749" w:rsidRPr="00B7083C">
        <w:rPr>
          <w:rFonts w:ascii="Times New Roman" w:hAnsi="Times New Roman" w:cs="Times New Roman"/>
          <w:color w:val="auto"/>
          <w:sz w:val="24"/>
          <w:szCs w:val="24"/>
          <w:lang w:val="en" w:eastAsia="en-NZ"/>
        </w:rPr>
        <w:t xml:space="preserve"> LK, McIntyre DH, Barrett HL,</w:t>
      </w:r>
      <w:r w:rsidR="00D14749" w:rsidRPr="00B7083C">
        <w:rPr>
          <w:rFonts w:ascii="Times New Roman" w:hAnsi="Times New Roman" w:cs="Times New Roman"/>
          <w:color w:val="auto"/>
          <w:sz w:val="24"/>
          <w:szCs w:val="24"/>
        </w:rPr>
        <w:t xml:space="preserve"> et al. </w:t>
      </w:r>
      <w:r w:rsidR="00D14749" w:rsidRPr="00B7083C">
        <w:rPr>
          <w:rFonts w:ascii="Times New Roman" w:eastAsia="Times New Roman" w:hAnsi="Times New Roman" w:cs="Times New Roman"/>
          <w:bCs/>
          <w:color w:val="auto"/>
          <w:kern w:val="36"/>
          <w:sz w:val="24"/>
          <w:szCs w:val="24"/>
        </w:rPr>
        <w:t xml:space="preserve">Probiotics for the </w:t>
      </w:r>
      <w:r w:rsidR="00FE4485" w:rsidRPr="00B7083C">
        <w:rPr>
          <w:rFonts w:ascii="Times New Roman" w:eastAsia="Times New Roman" w:hAnsi="Times New Roman" w:cs="Times New Roman"/>
          <w:bCs/>
          <w:color w:val="auto"/>
          <w:kern w:val="36"/>
          <w:sz w:val="24"/>
          <w:szCs w:val="24"/>
        </w:rPr>
        <w:t>p</w:t>
      </w:r>
      <w:r w:rsidR="00D14749" w:rsidRPr="00B7083C">
        <w:rPr>
          <w:rFonts w:ascii="Times New Roman" w:eastAsia="Times New Roman" w:hAnsi="Times New Roman" w:cs="Times New Roman"/>
          <w:bCs/>
          <w:color w:val="auto"/>
          <w:kern w:val="36"/>
          <w:sz w:val="24"/>
          <w:szCs w:val="24"/>
        </w:rPr>
        <w:t>revention of</w:t>
      </w:r>
      <w:r w:rsidR="00FE4485" w:rsidRPr="00B7083C">
        <w:rPr>
          <w:rFonts w:ascii="Times New Roman" w:eastAsia="Times New Roman" w:hAnsi="Times New Roman" w:cs="Times New Roman"/>
          <w:bCs/>
          <w:color w:val="auto"/>
          <w:kern w:val="36"/>
          <w:sz w:val="24"/>
          <w:szCs w:val="24"/>
        </w:rPr>
        <w:t xml:space="preserve"> g</w:t>
      </w:r>
      <w:r w:rsidR="00D14749" w:rsidRPr="00B7083C">
        <w:rPr>
          <w:rFonts w:ascii="Times New Roman" w:eastAsia="Times New Roman" w:hAnsi="Times New Roman" w:cs="Times New Roman"/>
          <w:bCs/>
          <w:color w:val="auto"/>
          <w:kern w:val="36"/>
          <w:sz w:val="24"/>
          <w:szCs w:val="24"/>
        </w:rPr>
        <w:t xml:space="preserve">estational </w:t>
      </w:r>
      <w:r w:rsidR="00FE4485" w:rsidRPr="00B7083C">
        <w:rPr>
          <w:rFonts w:ascii="Times New Roman" w:eastAsia="Times New Roman" w:hAnsi="Times New Roman" w:cs="Times New Roman"/>
          <w:bCs/>
          <w:color w:val="auto"/>
          <w:kern w:val="36"/>
          <w:sz w:val="24"/>
          <w:szCs w:val="24"/>
        </w:rPr>
        <w:t>d</w:t>
      </w:r>
      <w:r w:rsidR="00D14749" w:rsidRPr="00B7083C">
        <w:rPr>
          <w:rFonts w:ascii="Times New Roman" w:eastAsia="Times New Roman" w:hAnsi="Times New Roman" w:cs="Times New Roman"/>
          <w:bCs/>
          <w:color w:val="auto"/>
          <w:kern w:val="36"/>
          <w:sz w:val="24"/>
          <w:szCs w:val="24"/>
        </w:rPr>
        <w:t xml:space="preserve">iabetes </w:t>
      </w:r>
      <w:r w:rsidR="00FE4485" w:rsidRPr="00B7083C">
        <w:rPr>
          <w:rFonts w:ascii="Times New Roman" w:eastAsia="Times New Roman" w:hAnsi="Times New Roman" w:cs="Times New Roman"/>
          <w:bCs/>
          <w:color w:val="auto"/>
          <w:kern w:val="36"/>
          <w:sz w:val="24"/>
          <w:szCs w:val="24"/>
        </w:rPr>
        <w:t>m</w:t>
      </w:r>
      <w:r w:rsidR="00D14749" w:rsidRPr="00B7083C">
        <w:rPr>
          <w:rFonts w:ascii="Times New Roman" w:eastAsia="Times New Roman" w:hAnsi="Times New Roman" w:cs="Times New Roman"/>
          <w:bCs/>
          <w:color w:val="auto"/>
          <w:kern w:val="36"/>
          <w:sz w:val="24"/>
          <w:szCs w:val="24"/>
        </w:rPr>
        <w:t xml:space="preserve">ellitus in </w:t>
      </w:r>
      <w:r w:rsidR="00FE4485" w:rsidRPr="00B7083C">
        <w:rPr>
          <w:rFonts w:ascii="Times New Roman" w:eastAsia="Times New Roman" w:hAnsi="Times New Roman" w:cs="Times New Roman"/>
          <w:bCs/>
          <w:color w:val="auto"/>
          <w:kern w:val="36"/>
          <w:sz w:val="24"/>
          <w:szCs w:val="24"/>
        </w:rPr>
        <w:t>o</w:t>
      </w:r>
      <w:r w:rsidR="00D14749" w:rsidRPr="00B7083C">
        <w:rPr>
          <w:rFonts w:ascii="Times New Roman" w:eastAsia="Times New Roman" w:hAnsi="Times New Roman" w:cs="Times New Roman"/>
          <w:bCs/>
          <w:color w:val="auto"/>
          <w:kern w:val="36"/>
          <w:sz w:val="24"/>
          <w:szCs w:val="24"/>
        </w:rPr>
        <w:t xml:space="preserve">verweight and </w:t>
      </w:r>
      <w:r w:rsidR="00FE4485" w:rsidRPr="00B7083C">
        <w:rPr>
          <w:rFonts w:ascii="Times New Roman" w:eastAsia="Times New Roman" w:hAnsi="Times New Roman" w:cs="Times New Roman"/>
          <w:bCs/>
          <w:color w:val="auto"/>
          <w:kern w:val="36"/>
          <w:sz w:val="24"/>
          <w:szCs w:val="24"/>
        </w:rPr>
        <w:t>o</w:t>
      </w:r>
      <w:r w:rsidR="00D14749" w:rsidRPr="00B7083C">
        <w:rPr>
          <w:rFonts w:ascii="Times New Roman" w:eastAsia="Times New Roman" w:hAnsi="Times New Roman" w:cs="Times New Roman"/>
          <w:bCs/>
          <w:color w:val="auto"/>
          <w:kern w:val="36"/>
          <w:sz w:val="24"/>
          <w:szCs w:val="24"/>
        </w:rPr>
        <w:t xml:space="preserve">bese </w:t>
      </w:r>
      <w:r w:rsidR="00FE4485" w:rsidRPr="00B7083C">
        <w:rPr>
          <w:rFonts w:ascii="Times New Roman" w:eastAsia="Times New Roman" w:hAnsi="Times New Roman" w:cs="Times New Roman"/>
          <w:bCs/>
          <w:color w:val="auto"/>
          <w:kern w:val="36"/>
          <w:sz w:val="24"/>
          <w:szCs w:val="24"/>
        </w:rPr>
        <w:t>w</w:t>
      </w:r>
      <w:r w:rsidR="00D14749" w:rsidRPr="00B7083C">
        <w:rPr>
          <w:rFonts w:ascii="Times New Roman" w:eastAsia="Times New Roman" w:hAnsi="Times New Roman" w:cs="Times New Roman"/>
          <w:bCs/>
          <w:color w:val="auto"/>
          <w:kern w:val="36"/>
          <w:sz w:val="24"/>
          <w:szCs w:val="24"/>
        </w:rPr>
        <w:t xml:space="preserve">omen: </w:t>
      </w:r>
      <w:r w:rsidR="00FE4485" w:rsidRPr="00B7083C">
        <w:rPr>
          <w:rFonts w:ascii="Times New Roman" w:eastAsia="Times New Roman" w:hAnsi="Times New Roman" w:cs="Times New Roman"/>
          <w:bCs/>
          <w:color w:val="auto"/>
          <w:kern w:val="36"/>
          <w:sz w:val="24"/>
          <w:szCs w:val="24"/>
        </w:rPr>
        <w:t>f</w:t>
      </w:r>
      <w:r w:rsidR="00D14749" w:rsidRPr="00B7083C">
        <w:rPr>
          <w:rFonts w:ascii="Times New Roman" w:eastAsia="Times New Roman" w:hAnsi="Times New Roman" w:cs="Times New Roman"/>
          <w:bCs/>
          <w:color w:val="auto"/>
          <w:kern w:val="36"/>
          <w:sz w:val="24"/>
          <w:szCs w:val="24"/>
        </w:rPr>
        <w:t xml:space="preserve">indings </w:t>
      </w:r>
      <w:r w:rsidR="00FE4485" w:rsidRPr="00B7083C">
        <w:rPr>
          <w:rFonts w:ascii="Times New Roman" w:eastAsia="Times New Roman" w:hAnsi="Times New Roman" w:cs="Times New Roman"/>
          <w:bCs/>
          <w:color w:val="auto"/>
          <w:kern w:val="36"/>
          <w:sz w:val="24"/>
          <w:szCs w:val="24"/>
        </w:rPr>
        <w:t>f</w:t>
      </w:r>
      <w:r w:rsidR="00D14749" w:rsidRPr="00B7083C">
        <w:rPr>
          <w:rFonts w:ascii="Times New Roman" w:eastAsia="Times New Roman" w:hAnsi="Times New Roman" w:cs="Times New Roman"/>
          <w:bCs/>
          <w:color w:val="auto"/>
          <w:kern w:val="36"/>
          <w:sz w:val="24"/>
          <w:szCs w:val="24"/>
        </w:rPr>
        <w:t xml:space="preserve">rom the SPRING </w:t>
      </w:r>
      <w:r w:rsidR="00FE4485" w:rsidRPr="00B7083C">
        <w:rPr>
          <w:rFonts w:ascii="Times New Roman" w:eastAsia="Times New Roman" w:hAnsi="Times New Roman" w:cs="Times New Roman"/>
          <w:bCs/>
          <w:color w:val="auto"/>
          <w:kern w:val="36"/>
          <w:sz w:val="24"/>
          <w:szCs w:val="24"/>
        </w:rPr>
        <w:t>d</w:t>
      </w:r>
      <w:r w:rsidR="00D14749" w:rsidRPr="00B7083C">
        <w:rPr>
          <w:rFonts w:ascii="Times New Roman" w:eastAsia="Times New Roman" w:hAnsi="Times New Roman" w:cs="Times New Roman"/>
          <w:bCs/>
          <w:color w:val="auto"/>
          <w:kern w:val="36"/>
          <w:sz w:val="24"/>
          <w:szCs w:val="24"/>
        </w:rPr>
        <w:t>ouble-</w:t>
      </w:r>
      <w:r w:rsidR="00FE4485" w:rsidRPr="00B7083C">
        <w:rPr>
          <w:rFonts w:ascii="Times New Roman" w:eastAsia="Times New Roman" w:hAnsi="Times New Roman" w:cs="Times New Roman"/>
          <w:bCs/>
          <w:color w:val="auto"/>
          <w:kern w:val="36"/>
          <w:sz w:val="24"/>
          <w:szCs w:val="24"/>
        </w:rPr>
        <w:t>b</w:t>
      </w:r>
      <w:r w:rsidR="00D14749" w:rsidRPr="00B7083C">
        <w:rPr>
          <w:rFonts w:ascii="Times New Roman" w:eastAsia="Times New Roman" w:hAnsi="Times New Roman" w:cs="Times New Roman"/>
          <w:bCs/>
          <w:color w:val="auto"/>
          <w:kern w:val="36"/>
          <w:sz w:val="24"/>
          <w:szCs w:val="24"/>
        </w:rPr>
        <w:t xml:space="preserve">lind </w:t>
      </w:r>
      <w:r w:rsidR="00FE4485" w:rsidRPr="00B7083C">
        <w:rPr>
          <w:rFonts w:ascii="Times New Roman" w:eastAsia="Times New Roman" w:hAnsi="Times New Roman" w:cs="Times New Roman"/>
          <w:bCs/>
          <w:color w:val="auto"/>
          <w:kern w:val="36"/>
          <w:sz w:val="24"/>
          <w:szCs w:val="24"/>
        </w:rPr>
        <w:t>r</w:t>
      </w:r>
      <w:r w:rsidR="00D14749" w:rsidRPr="00B7083C">
        <w:rPr>
          <w:rFonts w:ascii="Times New Roman" w:eastAsia="Times New Roman" w:hAnsi="Times New Roman" w:cs="Times New Roman"/>
          <w:bCs/>
          <w:color w:val="auto"/>
          <w:kern w:val="36"/>
          <w:sz w:val="24"/>
          <w:szCs w:val="24"/>
        </w:rPr>
        <w:t xml:space="preserve">andomized </w:t>
      </w:r>
      <w:r w:rsidR="00FE4485" w:rsidRPr="00B7083C">
        <w:rPr>
          <w:rFonts w:ascii="Times New Roman" w:eastAsia="Times New Roman" w:hAnsi="Times New Roman" w:cs="Times New Roman"/>
          <w:bCs/>
          <w:color w:val="auto"/>
          <w:kern w:val="36"/>
          <w:sz w:val="24"/>
          <w:szCs w:val="24"/>
        </w:rPr>
        <w:t>c</w:t>
      </w:r>
      <w:r w:rsidR="00D14749" w:rsidRPr="00B7083C">
        <w:rPr>
          <w:rFonts w:ascii="Times New Roman" w:eastAsia="Times New Roman" w:hAnsi="Times New Roman" w:cs="Times New Roman"/>
          <w:bCs/>
          <w:color w:val="auto"/>
          <w:kern w:val="36"/>
          <w:sz w:val="24"/>
          <w:szCs w:val="24"/>
        </w:rPr>
        <w:t xml:space="preserve">ontrolled </w:t>
      </w:r>
      <w:r w:rsidR="00FE4485" w:rsidRPr="00B7083C">
        <w:rPr>
          <w:rFonts w:ascii="Times New Roman" w:eastAsia="Times New Roman" w:hAnsi="Times New Roman" w:cs="Times New Roman"/>
          <w:bCs/>
          <w:color w:val="auto"/>
          <w:kern w:val="36"/>
          <w:sz w:val="24"/>
          <w:szCs w:val="24"/>
        </w:rPr>
        <w:t>t</w:t>
      </w:r>
      <w:r w:rsidR="00D14749" w:rsidRPr="00B7083C">
        <w:rPr>
          <w:rFonts w:ascii="Times New Roman" w:eastAsia="Times New Roman" w:hAnsi="Times New Roman" w:cs="Times New Roman"/>
          <w:bCs/>
          <w:color w:val="auto"/>
          <w:kern w:val="36"/>
          <w:sz w:val="24"/>
          <w:szCs w:val="24"/>
        </w:rPr>
        <w:t>rial</w:t>
      </w:r>
      <w:r w:rsidR="00FE4485" w:rsidRPr="00B7083C">
        <w:rPr>
          <w:rFonts w:ascii="Times New Roman" w:eastAsia="Times New Roman" w:hAnsi="Times New Roman" w:cs="Times New Roman"/>
          <w:bCs/>
          <w:color w:val="auto"/>
          <w:kern w:val="36"/>
          <w:sz w:val="24"/>
          <w:szCs w:val="24"/>
        </w:rPr>
        <w:t>.</w:t>
      </w:r>
      <w:r w:rsidR="00D14749" w:rsidRPr="00B7083C">
        <w:rPr>
          <w:rFonts w:ascii="Times New Roman" w:eastAsia="Times New Roman" w:hAnsi="Times New Roman" w:cs="Times New Roman"/>
          <w:bCs/>
          <w:color w:val="auto"/>
          <w:kern w:val="36"/>
          <w:sz w:val="24"/>
          <w:szCs w:val="24"/>
        </w:rPr>
        <w:t xml:space="preserve"> </w:t>
      </w:r>
      <w:r w:rsidR="000760AD" w:rsidRPr="00B7083C">
        <w:rPr>
          <w:rFonts w:ascii="Times New Roman" w:eastAsia="Times New Roman" w:hAnsi="Times New Roman" w:cs="Times New Roman"/>
          <w:color w:val="auto"/>
          <w:sz w:val="24"/>
          <w:szCs w:val="24"/>
          <w:lang w:val="en" w:eastAsia="en-NZ"/>
        </w:rPr>
        <w:t>Diabetes Care 2019</w:t>
      </w:r>
      <w:r w:rsidR="00D14749" w:rsidRPr="00B7083C">
        <w:rPr>
          <w:rFonts w:ascii="Times New Roman" w:eastAsia="Times New Roman" w:hAnsi="Times New Roman" w:cs="Times New Roman"/>
          <w:color w:val="auto"/>
          <w:sz w:val="24"/>
          <w:szCs w:val="24"/>
          <w:lang w:val="en" w:eastAsia="en-NZ"/>
        </w:rPr>
        <w:t>;</w:t>
      </w:r>
      <w:r w:rsidR="000760AD" w:rsidRPr="00B7083C">
        <w:rPr>
          <w:rFonts w:ascii="Times New Roman" w:eastAsia="Times New Roman" w:hAnsi="Times New Roman" w:cs="Times New Roman"/>
          <w:color w:val="auto"/>
          <w:sz w:val="24"/>
          <w:szCs w:val="24"/>
          <w:lang w:val="en" w:eastAsia="en-NZ"/>
        </w:rPr>
        <w:t xml:space="preserve"> 42</w:t>
      </w:r>
      <w:r w:rsidR="00D14749" w:rsidRPr="00B7083C">
        <w:rPr>
          <w:rFonts w:ascii="Times New Roman" w:eastAsia="Times New Roman" w:hAnsi="Times New Roman" w:cs="Times New Roman"/>
          <w:color w:val="auto"/>
          <w:sz w:val="24"/>
          <w:szCs w:val="24"/>
          <w:lang w:val="en" w:eastAsia="en-NZ"/>
        </w:rPr>
        <w:t>(3)</w:t>
      </w:r>
      <w:r w:rsidR="000760AD" w:rsidRPr="00B7083C">
        <w:rPr>
          <w:rFonts w:ascii="Times New Roman" w:eastAsia="Times New Roman" w:hAnsi="Times New Roman" w:cs="Times New Roman"/>
          <w:color w:val="auto"/>
          <w:sz w:val="24"/>
          <w:szCs w:val="24"/>
          <w:lang w:val="en" w:eastAsia="en-NZ"/>
        </w:rPr>
        <w:t>:</w:t>
      </w:r>
      <w:r w:rsidR="00D14749" w:rsidRPr="00B7083C">
        <w:rPr>
          <w:rFonts w:ascii="Times New Roman" w:eastAsia="Times New Roman" w:hAnsi="Times New Roman" w:cs="Times New Roman"/>
          <w:color w:val="auto"/>
          <w:sz w:val="24"/>
          <w:szCs w:val="24"/>
          <w:lang w:val="en" w:eastAsia="en-NZ"/>
        </w:rPr>
        <w:t xml:space="preserve"> </w:t>
      </w:r>
      <w:r w:rsidR="000760AD" w:rsidRPr="00B7083C">
        <w:rPr>
          <w:rFonts w:ascii="Times New Roman" w:eastAsia="Times New Roman" w:hAnsi="Times New Roman" w:cs="Times New Roman"/>
          <w:color w:val="auto"/>
          <w:sz w:val="24"/>
          <w:szCs w:val="24"/>
          <w:lang w:val="en" w:eastAsia="en-NZ"/>
        </w:rPr>
        <w:t>364</w:t>
      </w:r>
      <w:r w:rsidR="00D14749" w:rsidRPr="00B7083C">
        <w:rPr>
          <w:rFonts w:ascii="Times New Roman" w:eastAsia="Times New Roman" w:hAnsi="Times New Roman" w:cs="Times New Roman"/>
          <w:color w:val="auto"/>
          <w:sz w:val="24"/>
          <w:szCs w:val="24"/>
          <w:lang w:val="en" w:eastAsia="en-NZ"/>
        </w:rPr>
        <w:t>-371.</w:t>
      </w:r>
    </w:p>
    <w:p w14:paraId="5047529F" w14:textId="273D7CA0" w:rsidR="00142BCF" w:rsidRPr="00B7083C" w:rsidRDefault="002F6BC0" w:rsidP="00E31B7B">
      <w:pPr>
        <w:spacing w:after="120"/>
        <w:jc w:val="both"/>
        <w:rPr>
          <w:szCs w:val="22"/>
          <w:lang w:val="en"/>
        </w:rPr>
      </w:pPr>
      <w:r w:rsidRPr="00B7083C">
        <w:rPr>
          <w:szCs w:val="22"/>
          <w:lang w:val="en"/>
        </w:rPr>
        <w:t>3</w:t>
      </w:r>
      <w:r w:rsidR="000D5521" w:rsidRPr="00B7083C">
        <w:rPr>
          <w:szCs w:val="22"/>
          <w:lang w:val="en"/>
        </w:rPr>
        <w:t>6</w:t>
      </w:r>
      <w:r w:rsidRPr="00B7083C">
        <w:rPr>
          <w:szCs w:val="22"/>
          <w:lang w:val="en"/>
        </w:rPr>
        <w:t xml:space="preserve">. </w:t>
      </w:r>
      <w:r w:rsidR="00142BCF" w:rsidRPr="00B7083C">
        <w:rPr>
          <w:szCs w:val="22"/>
          <w:lang w:val="en"/>
        </w:rPr>
        <w:t xml:space="preserve">Keats EC, Haider BA, Tam E, </w:t>
      </w:r>
      <w:r w:rsidR="00142BCF" w:rsidRPr="00B7083C">
        <w:rPr>
          <w:szCs w:val="22"/>
        </w:rPr>
        <w:t xml:space="preserve">et al. </w:t>
      </w:r>
      <w:r w:rsidR="00142BCF" w:rsidRPr="00B7083C">
        <w:rPr>
          <w:szCs w:val="22"/>
          <w:lang w:val="en"/>
        </w:rPr>
        <w:t>Multiple-micronutrient supplementation for women during pregnancy. Cochrane Database Syst Rev. 2019;</w:t>
      </w:r>
      <w:r w:rsidR="0024714C" w:rsidRPr="00B7083C">
        <w:rPr>
          <w:szCs w:val="22"/>
          <w:lang w:val="en"/>
        </w:rPr>
        <w:t xml:space="preserve"> </w:t>
      </w:r>
      <w:r w:rsidR="00142BCF" w:rsidRPr="00B7083C">
        <w:rPr>
          <w:szCs w:val="22"/>
          <w:lang w:val="en"/>
        </w:rPr>
        <w:t xml:space="preserve">3:CD004905. </w:t>
      </w:r>
    </w:p>
    <w:p w14:paraId="38F5A609" w14:textId="33D92F6E" w:rsidR="00C66C20" w:rsidRPr="00B7083C" w:rsidRDefault="000D5521" w:rsidP="00E31B7B">
      <w:pPr>
        <w:spacing w:after="120"/>
        <w:jc w:val="both"/>
        <w:rPr>
          <w:szCs w:val="22"/>
          <w:lang w:val="en"/>
        </w:rPr>
      </w:pPr>
      <w:r w:rsidRPr="00B7083C">
        <w:rPr>
          <w:lang w:eastAsia="en-GB"/>
        </w:rPr>
        <w:t xml:space="preserve">37. </w:t>
      </w:r>
      <w:r w:rsidR="00C66C20" w:rsidRPr="00B7083C">
        <w:rPr>
          <w:lang w:eastAsia="en-GB"/>
        </w:rPr>
        <w:t>Goldenberg</w:t>
      </w:r>
      <w:r w:rsidR="00951C28" w:rsidRPr="00B7083C">
        <w:rPr>
          <w:lang w:eastAsia="en-GB"/>
        </w:rPr>
        <w:t xml:space="preserve"> RL, Culhane JF, </w:t>
      </w:r>
      <w:proofErr w:type="spellStart"/>
      <w:r w:rsidR="00951C28" w:rsidRPr="00B7083C">
        <w:rPr>
          <w:lang w:eastAsia="en-GB"/>
        </w:rPr>
        <w:t>Iams</w:t>
      </w:r>
      <w:proofErr w:type="spellEnd"/>
      <w:r w:rsidR="00951C28" w:rsidRPr="00B7083C">
        <w:rPr>
          <w:lang w:eastAsia="en-GB"/>
        </w:rPr>
        <w:t xml:space="preserve"> JD,</w:t>
      </w:r>
      <w:r w:rsidR="00C66C20" w:rsidRPr="00B7083C">
        <w:rPr>
          <w:lang w:eastAsia="en-GB"/>
        </w:rPr>
        <w:t xml:space="preserve"> </w:t>
      </w:r>
      <w:r w:rsidR="00951C28" w:rsidRPr="00B7083C">
        <w:t xml:space="preserve">et al. Epidemiology and causes of preterm birth. </w:t>
      </w:r>
      <w:r w:rsidR="00C66C20" w:rsidRPr="00B7083C">
        <w:rPr>
          <w:lang w:eastAsia="en-GB"/>
        </w:rPr>
        <w:t>Lancet 2008</w:t>
      </w:r>
      <w:r w:rsidR="00951C28" w:rsidRPr="00B7083C">
        <w:rPr>
          <w:lang w:eastAsia="en-GB"/>
        </w:rPr>
        <w:t>; 371(9606): 75-84.</w:t>
      </w:r>
      <w:r w:rsidR="00C66C20" w:rsidRPr="00B7083C">
        <w:rPr>
          <w:lang w:eastAsia="en-GB"/>
        </w:rPr>
        <w:t xml:space="preserve"> </w:t>
      </w:r>
    </w:p>
    <w:p w14:paraId="5B397580" w14:textId="7CE2C5F6" w:rsidR="00142BCF" w:rsidRPr="00B7083C" w:rsidRDefault="002F6BC0" w:rsidP="00E31B7B">
      <w:pPr>
        <w:spacing w:after="120"/>
        <w:jc w:val="both"/>
        <w:rPr>
          <w:szCs w:val="22"/>
          <w:lang w:val="en"/>
        </w:rPr>
      </w:pPr>
      <w:r w:rsidRPr="00B7083C">
        <w:rPr>
          <w:szCs w:val="22"/>
          <w:lang w:val="en"/>
        </w:rPr>
        <w:t>3</w:t>
      </w:r>
      <w:r w:rsidR="000D5521" w:rsidRPr="00B7083C">
        <w:rPr>
          <w:szCs w:val="22"/>
          <w:lang w:val="en"/>
        </w:rPr>
        <w:t>8</w:t>
      </w:r>
      <w:r w:rsidRPr="00B7083C">
        <w:rPr>
          <w:szCs w:val="22"/>
          <w:lang w:val="en"/>
        </w:rPr>
        <w:t xml:space="preserve">. </w:t>
      </w:r>
      <w:r w:rsidR="00142BCF" w:rsidRPr="00B7083C">
        <w:rPr>
          <w:szCs w:val="22"/>
          <w:lang w:val="en"/>
        </w:rPr>
        <w:t xml:space="preserve">Unver N, Delgado O, </w:t>
      </w:r>
      <w:proofErr w:type="spellStart"/>
      <w:r w:rsidR="00142BCF" w:rsidRPr="00B7083C">
        <w:rPr>
          <w:szCs w:val="22"/>
          <w:lang w:val="en"/>
        </w:rPr>
        <w:t>Zeleke</w:t>
      </w:r>
      <w:proofErr w:type="spellEnd"/>
      <w:r w:rsidR="00142BCF" w:rsidRPr="00B7083C">
        <w:rPr>
          <w:szCs w:val="22"/>
          <w:lang w:val="en"/>
        </w:rPr>
        <w:t xml:space="preserve"> K, et al. Reduced IL-6 levels and tumor-associated phospho-STAT3 are associated with reduced tumor development in a mouse model of lung cancer chemoprevention with myo-inositol. Int J Cancer 2018;</w:t>
      </w:r>
      <w:r w:rsidR="00E071F8" w:rsidRPr="00B7083C">
        <w:rPr>
          <w:szCs w:val="22"/>
          <w:lang w:val="en"/>
        </w:rPr>
        <w:t xml:space="preserve"> </w:t>
      </w:r>
      <w:r w:rsidR="00142BCF" w:rsidRPr="00B7083C">
        <w:rPr>
          <w:szCs w:val="22"/>
          <w:lang w:val="en"/>
        </w:rPr>
        <w:t>142:</w:t>
      </w:r>
      <w:r w:rsidR="00E071F8" w:rsidRPr="00B7083C">
        <w:rPr>
          <w:szCs w:val="22"/>
          <w:lang w:val="en"/>
        </w:rPr>
        <w:t xml:space="preserve"> </w:t>
      </w:r>
      <w:r w:rsidR="00142BCF" w:rsidRPr="00B7083C">
        <w:rPr>
          <w:szCs w:val="22"/>
          <w:lang w:val="en"/>
        </w:rPr>
        <w:t>1405-17.</w:t>
      </w:r>
    </w:p>
    <w:p w14:paraId="465DA43D" w14:textId="041B6AF9" w:rsidR="00142BCF" w:rsidRPr="00B7083C" w:rsidRDefault="002F6BC0" w:rsidP="001E4F9B">
      <w:pPr>
        <w:spacing w:after="120"/>
        <w:jc w:val="both"/>
        <w:rPr>
          <w:szCs w:val="22"/>
          <w:lang w:val="en"/>
        </w:rPr>
      </w:pPr>
      <w:r w:rsidRPr="00B7083C">
        <w:rPr>
          <w:szCs w:val="22"/>
          <w:lang w:val="en"/>
        </w:rPr>
        <w:t>3</w:t>
      </w:r>
      <w:r w:rsidR="000D5521" w:rsidRPr="00B7083C">
        <w:rPr>
          <w:szCs w:val="22"/>
          <w:lang w:val="en"/>
        </w:rPr>
        <w:t>9</w:t>
      </w:r>
      <w:r w:rsidRPr="00B7083C">
        <w:rPr>
          <w:szCs w:val="22"/>
          <w:lang w:val="en"/>
        </w:rPr>
        <w:t xml:space="preserve">. </w:t>
      </w:r>
      <w:proofErr w:type="spellStart"/>
      <w:r w:rsidR="00142BCF" w:rsidRPr="00B7083C">
        <w:rPr>
          <w:szCs w:val="22"/>
          <w:lang w:val="en"/>
        </w:rPr>
        <w:t>Kucukaydin</w:t>
      </w:r>
      <w:proofErr w:type="spellEnd"/>
      <w:r w:rsidR="00142BCF" w:rsidRPr="00B7083C">
        <w:rPr>
          <w:szCs w:val="22"/>
          <w:lang w:val="en"/>
        </w:rPr>
        <w:t xml:space="preserve"> Z, </w:t>
      </w:r>
      <w:proofErr w:type="spellStart"/>
      <w:r w:rsidR="00142BCF" w:rsidRPr="00B7083C">
        <w:rPr>
          <w:szCs w:val="22"/>
          <w:lang w:val="en"/>
        </w:rPr>
        <w:t>Kurdoglu</w:t>
      </w:r>
      <w:proofErr w:type="spellEnd"/>
      <w:r w:rsidR="00142BCF" w:rsidRPr="00B7083C">
        <w:rPr>
          <w:szCs w:val="22"/>
          <w:lang w:val="en"/>
        </w:rPr>
        <w:t xml:space="preserve"> M, </w:t>
      </w:r>
      <w:proofErr w:type="spellStart"/>
      <w:r w:rsidR="00142BCF" w:rsidRPr="00B7083C">
        <w:rPr>
          <w:szCs w:val="22"/>
          <w:lang w:val="en"/>
        </w:rPr>
        <w:t>Kurdoglu</w:t>
      </w:r>
      <w:proofErr w:type="spellEnd"/>
      <w:r w:rsidR="00142BCF" w:rsidRPr="00B7083C">
        <w:rPr>
          <w:szCs w:val="22"/>
          <w:lang w:val="en"/>
        </w:rPr>
        <w:t xml:space="preserve"> Z, </w:t>
      </w:r>
      <w:r w:rsidR="00142BCF" w:rsidRPr="00B7083C">
        <w:rPr>
          <w:szCs w:val="22"/>
        </w:rPr>
        <w:t xml:space="preserve">et al. </w:t>
      </w:r>
      <w:r w:rsidR="00142BCF" w:rsidRPr="00B7083C">
        <w:rPr>
          <w:szCs w:val="22"/>
          <w:lang w:val="en"/>
        </w:rPr>
        <w:t xml:space="preserve">Selected maternal, fetal and placental trace element and heavy metal and maternal vitamin levels in preterm deliveries with or without preterm premature rupture of membranes. J </w:t>
      </w:r>
      <w:proofErr w:type="spellStart"/>
      <w:r w:rsidR="00142BCF" w:rsidRPr="00B7083C">
        <w:rPr>
          <w:szCs w:val="22"/>
          <w:lang w:val="en"/>
        </w:rPr>
        <w:t>Obstet</w:t>
      </w:r>
      <w:proofErr w:type="spellEnd"/>
      <w:r w:rsidR="00142BCF" w:rsidRPr="00B7083C">
        <w:rPr>
          <w:szCs w:val="22"/>
          <w:lang w:val="en"/>
        </w:rPr>
        <w:t xml:space="preserve"> </w:t>
      </w:r>
      <w:proofErr w:type="spellStart"/>
      <w:r w:rsidR="00142BCF" w:rsidRPr="00B7083C">
        <w:rPr>
          <w:szCs w:val="22"/>
          <w:lang w:val="en"/>
        </w:rPr>
        <w:t>Gynaecol</w:t>
      </w:r>
      <w:proofErr w:type="spellEnd"/>
      <w:r w:rsidR="00142BCF" w:rsidRPr="00B7083C">
        <w:rPr>
          <w:szCs w:val="22"/>
          <w:lang w:val="en"/>
        </w:rPr>
        <w:t xml:space="preserve"> Res. </w:t>
      </w:r>
      <w:proofErr w:type="gramStart"/>
      <w:r w:rsidR="00142BCF" w:rsidRPr="00B7083C">
        <w:rPr>
          <w:szCs w:val="22"/>
          <w:lang w:val="en"/>
        </w:rPr>
        <w:t>2018;</w:t>
      </w:r>
      <w:r w:rsidR="00E071F8" w:rsidRPr="00B7083C">
        <w:rPr>
          <w:szCs w:val="22"/>
          <w:lang w:val="en"/>
        </w:rPr>
        <w:t xml:space="preserve">  </w:t>
      </w:r>
      <w:r w:rsidR="00142BCF" w:rsidRPr="00B7083C">
        <w:rPr>
          <w:szCs w:val="22"/>
          <w:lang w:val="en"/>
        </w:rPr>
        <w:t>44</w:t>
      </w:r>
      <w:proofErr w:type="gramEnd"/>
      <w:r w:rsidR="00142BCF" w:rsidRPr="00B7083C">
        <w:rPr>
          <w:szCs w:val="22"/>
          <w:lang w:val="en"/>
        </w:rPr>
        <w:t>:</w:t>
      </w:r>
      <w:r w:rsidR="00E071F8" w:rsidRPr="00B7083C">
        <w:rPr>
          <w:szCs w:val="22"/>
          <w:lang w:val="en"/>
        </w:rPr>
        <w:t xml:space="preserve"> </w:t>
      </w:r>
      <w:r w:rsidR="00142BCF" w:rsidRPr="00B7083C">
        <w:rPr>
          <w:szCs w:val="22"/>
          <w:lang w:val="en"/>
        </w:rPr>
        <w:t>880-889.</w:t>
      </w:r>
    </w:p>
    <w:p w14:paraId="670D0165" w14:textId="31D0D975" w:rsidR="00FE4485" w:rsidRPr="00B7083C" w:rsidRDefault="00FE4485" w:rsidP="00FE4485">
      <w:r w:rsidRPr="00B7083C">
        <w:rPr>
          <w:lang w:eastAsia="en-GB"/>
        </w:rPr>
        <w:t xml:space="preserve">40. </w:t>
      </w:r>
      <w:proofErr w:type="spellStart"/>
      <w:r w:rsidRPr="00B7083C">
        <w:rPr>
          <w:lang w:eastAsia="en-GB"/>
        </w:rPr>
        <w:t>Blencowe</w:t>
      </w:r>
      <w:proofErr w:type="spellEnd"/>
      <w:r w:rsidRPr="00B7083C">
        <w:rPr>
          <w:lang w:eastAsia="en-GB"/>
        </w:rPr>
        <w:t xml:space="preserve"> H, Lee AC, Cousens S, et al.  </w:t>
      </w:r>
      <w:r w:rsidRPr="00B7083C">
        <w:rPr>
          <w:shd w:val="clear" w:color="auto" w:fill="FFFFFF"/>
        </w:rPr>
        <w:t xml:space="preserve">Preterm birth associated neurodevelopmental impairment estimates at regional and global level for 2010. </w:t>
      </w:r>
      <w:proofErr w:type="spellStart"/>
      <w:r w:rsidRPr="00B7083C">
        <w:rPr>
          <w:lang w:eastAsia="en-GB"/>
        </w:rPr>
        <w:t>Pediatric</w:t>
      </w:r>
      <w:proofErr w:type="spellEnd"/>
      <w:r w:rsidRPr="00B7083C">
        <w:rPr>
          <w:lang w:eastAsia="en-GB"/>
        </w:rPr>
        <w:t xml:space="preserve"> Research </w:t>
      </w:r>
      <w:proofErr w:type="gramStart"/>
      <w:r w:rsidRPr="00B7083C">
        <w:rPr>
          <w:lang w:eastAsia="en-GB"/>
        </w:rPr>
        <w:t xml:space="preserve">2013; </w:t>
      </w:r>
      <w:r w:rsidRPr="00B7083C">
        <w:rPr>
          <w:rStyle w:val="cit"/>
        </w:rPr>
        <w:t xml:space="preserve"> 74</w:t>
      </w:r>
      <w:proofErr w:type="gramEnd"/>
      <w:r w:rsidRPr="00B7083C">
        <w:rPr>
          <w:rStyle w:val="cit"/>
        </w:rPr>
        <w:t xml:space="preserve"> Suppl. 1(Suppl. 1):</w:t>
      </w:r>
      <w:r w:rsidR="008B579F" w:rsidRPr="00B7083C">
        <w:rPr>
          <w:rStyle w:val="cit"/>
        </w:rPr>
        <w:t xml:space="preserve"> </w:t>
      </w:r>
      <w:r w:rsidRPr="00B7083C">
        <w:rPr>
          <w:rStyle w:val="cit"/>
        </w:rPr>
        <w:t>17-34.</w:t>
      </w:r>
      <w:r w:rsidRPr="00B7083C">
        <w:t xml:space="preserve"> </w:t>
      </w:r>
    </w:p>
    <w:p w14:paraId="2AE394C5" w14:textId="77777777" w:rsidR="00FE4485" w:rsidRPr="00B7083C" w:rsidRDefault="00FE4485" w:rsidP="001E4F9B">
      <w:pPr>
        <w:spacing w:after="120"/>
        <w:jc w:val="both"/>
        <w:rPr>
          <w:szCs w:val="22"/>
          <w:lang w:val="en"/>
        </w:rPr>
      </w:pPr>
    </w:p>
    <w:p w14:paraId="54D447F3" w14:textId="286B9994" w:rsidR="001E4F9B" w:rsidRPr="00B7083C" w:rsidRDefault="001E4F9B" w:rsidP="002F6BC0">
      <w:pPr>
        <w:spacing w:after="120"/>
        <w:jc w:val="both"/>
        <w:rPr>
          <w:lang w:eastAsia="en-GB"/>
        </w:rPr>
      </w:pPr>
    </w:p>
    <w:p w14:paraId="6D710C5D" w14:textId="77777777" w:rsidR="000D169C" w:rsidRPr="00B7083C" w:rsidRDefault="000D169C" w:rsidP="002F6BC0">
      <w:pPr>
        <w:spacing w:after="120"/>
        <w:jc w:val="both"/>
        <w:rPr>
          <w:szCs w:val="22"/>
          <w:lang w:val="en"/>
        </w:rPr>
      </w:pPr>
    </w:p>
    <w:p w14:paraId="60929D82" w14:textId="0C9B6150" w:rsidR="00DB39C2" w:rsidRPr="00B7083C" w:rsidRDefault="00142BCF" w:rsidP="002702E9">
      <w:pPr>
        <w:rPr>
          <w:bCs/>
        </w:rPr>
      </w:pPr>
      <w:r w:rsidRPr="00B7083C">
        <w:rPr>
          <w:strike/>
          <w:lang w:val="en" w:eastAsia="en-NZ"/>
        </w:rPr>
        <w:br w:type="page"/>
      </w:r>
      <w:r w:rsidR="00DB39C2" w:rsidRPr="00B7083C">
        <w:rPr>
          <w:b/>
          <w:bCs/>
        </w:rPr>
        <w:lastRenderedPageBreak/>
        <w:t>Table 1:</w:t>
      </w:r>
      <w:r w:rsidR="00DB39C2" w:rsidRPr="00B7083C">
        <w:rPr>
          <w:bCs/>
        </w:rPr>
        <w:t xml:space="preserve"> </w:t>
      </w:r>
      <w:r w:rsidR="00DB39C2" w:rsidRPr="00B7083C">
        <w:rPr>
          <w:b/>
          <w:bCs/>
        </w:rPr>
        <w:t>Baseline pre-conception characteristics of women who provided a primary outcome.</w:t>
      </w:r>
      <w:r w:rsidR="00DB39C2" w:rsidRPr="00B7083C">
        <w:rPr>
          <w:bCs/>
        </w:rPr>
        <w:t xml:space="preserve"> </w:t>
      </w:r>
    </w:p>
    <w:p w14:paraId="61B2706C" w14:textId="77777777" w:rsidR="009E7753" w:rsidRPr="00B7083C" w:rsidRDefault="009E7753" w:rsidP="00E30571">
      <w:pPr>
        <w:spacing w:line="276" w:lineRule="auto"/>
        <w:rPr>
          <w:b/>
          <w:sz w:val="20"/>
          <w:szCs w:val="20"/>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2546"/>
        <w:gridCol w:w="2546"/>
      </w:tblGrid>
      <w:tr w:rsidR="00B7083C" w:rsidRPr="00B7083C" w14:paraId="073DDA0C" w14:textId="77777777" w:rsidTr="00B554B8">
        <w:trPr>
          <w:trHeight w:val="300"/>
        </w:trPr>
        <w:tc>
          <w:tcPr>
            <w:tcW w:w="3855" w:type="dxa"/>
            <w:shd w:val="clear" w:color="auto" w:fill="auto"/>
            <w:noWrap/>
            <w:vAlign w:val="bottom"/>
            <w:hideMark/>
          </w:tcPr>
          <w:p w14:paraId="73B169E7" w14:textId="77777777" w:rsidR="00DB39C2" w:rsidRPr="00B7083C" w:rsidRDefault="00DB39C2" w:rsidP="00E30571">
            <w:pPr>
              <w:spacing w:line="360" w:lineRule="auto"/>
              <w:rPr>
                <w:b/>
                <w:bCs/>
                <w:sz w:val="20"/>
                <w:szCs w:val="20"/>
              </w:rPr>
            </w:pPr>
          </w:p>
        </w:tc>
        <w:tc>
          <w:tcPr>
            <w:tcW w:w="2546" w:type="dxa"/>
            <w:shd w:val="clear" w:color="auto" w:fill="auto"/>
            <w:noWrap/>
            <w:vAlign w:val="bottom"/>
            <w:hideMark/>
          </w:tcPr>
          <w:p w14:paraId="7838AF69" w14:textId="77777777" w:rsidR="00DB39C2" w:rsidRPr="00B7083C" w:rsidRDefault="00DB39C2" w:rsidP="00E30571">
            <w:pPr>
              <w:spacing w:line="360" w:lineRule="auto"/>
              <w:jc w:val="center"/>
              <w:rPr>
                <w:b/>
                <w:bCs/>
                <w:sz w:val="20"/>
                <w:szCs w:val="20"/>
              </w:rPr>
            </w:pPr>
            <w:r w:rsidRPr="00B7083C">
              <w:rPr>
                <w:b/>
                <w:bCs/>
                <w:sz w:val="20"/>
                <w:szCs w:val="20"/>
              </w:rPr>
              <w:t>Control (N=290)</w:t>
            </w:r>
          </w:p>
        </w:tc>
        <w:tc>
          <w:tcPr>
            <w:tcW w:w="2546" w:type="dxa"/>
            <w:shd w:val="clear" w:color="auto" w:fill="auto"/>
            <w:noWrap/>
            <w:vAlign w:val="bottom"/>
            <w:hideMark/>
          </w:tcPr>
          <w:p w14:paraId="31AE4FF3" w14:textId="77777777" w:rsidR="00DB39C2" w:rsidRPr="00B7083C" w:rsidRDefault="00DB39C2" w:rsidP="00E30571">
            <w:pPr>
              <w:spacing w:line="360" w:lineRule="auto"/>
              <w:jc w:val="center"/>
              <w:rPr>
                <w:b/>
                <w:bCs/>
                <w:sz w:val="20"/>
                <w:szCs w:val="20"/>
              </w:rPr>
            </w:pPr>
            <w:r w:rsidRPr="00B7083C">
              <w:rPr>
                <w:b/>
                <w:bCs/>
                <w:sz w:val="20"/>
                <w:szCs w:val="20"/>
              </w:rPr>
              <w:t xml:space="preserve">Intervention (N=295) </w:t>
            </w:r>
          </w:p>
        </w:tc>
      </w:tr>
      <w:tr w:rsidR="00B7083C" w:rsidRPr="00B7083C" w14:paraId="2F5494E4" w14:textId="77777777" w:rsidTr="00B554B8">
        <w:trPr>
          <w:trHeight w:val="300"/>
        </w:trPr>
        <w:tc>
          <w:tcPr>
            <w:tcW w:w="3855" w:type="dxa"/>
            <w:shd w:val="clear" w:color="auto" w:fill="auto"/>
            <w:noWrap/>
            <w:vAlign w:val="bottom"/>
            <w:hideMark/>
          </w:tcPr>
          <w:p w14:paraId="6AE2BDBF" w14:textId="77777777" w:rsidR="00DB39C2" w:rsidRPr="00B7083C" w:rsidRDefault="00DB39C2" w:rsidP="00E30571">
            <w:pPr>
              <w:spacing w:line="360" w:lineRule="auto"/>
              <w:rPr>
                <w:sz w:val="20"/>
                <w:szCs w:val="20"/>
              </w:rPr>
            </w:pPr>
            <w:r w:rsidRPr="00B7083C">
              <w:rPr>
                <w:b/>
                <w:sz w:val="20"/>
                <w:szCs w:val="20"/>
              </w:rPr>
              <w:t>Age</w:t>
            </w:r>
            <w:r w:rsidRPr="00B7083C">
              <w:rPr>
                <w:sz w:val="20"/>
                <w:szCs w:val="20"/>
              </w:rPr>
              <w:t xml:space="preserve"> (years) </w:t>
            </w:r>
          </w:p>
        </w:tc>
        <w:tc>
          <w:tcPr>
            <w:tcW w:w="2546" w:type="dxa"/>
            <w:shd w:val="clear" w:color="auto" w:fill="auto"/>
            <w:noWrap/>
            <w:vAlign w:val="bottom"/>
            <w:hideMark/>
          </w:tcPr>
          <w:p w14:paraId="17963BDB" w14:textId="70688387" w:rsidR="00DB39C2" w:rsidRPr="00B7083C" w:rsidRDefault="00DB39C2" w:rsidP="00E30571">
            <w:pPr>
              <w:spacing w:line="360" w:lineRule="auto"/>
              <w:jc w:val="center"/>
              <w:rPr>
                <w:sz w:val="20"/>
                <w:szCs w:val="20"/>
              </w:rPr>
            </w:pPr>
            <w:r w:rsidRPr="00B7083C">
              <w:rPr>
                <w:sz w:val="20"/>
                <w:szCs w:val="20"/>
              </w:rPr>
              <w:t>30</w:t>
            </w:r>
            <w:r w:rsidR="00624EB0" w:rsidRPr="00B7083C">
              <w:rPr>
                <w:sz w:val="20"/>
                <w:szCs w:val="20"/>
              </w:rPr>
              <w:t>·</w:t>
            </w:r>
            <w:r w:rsidRPr="00B7083C">
              <w:rPr>
                <w:sz w:val="20"/>
                <w:szCs w:val="20"/>
              </w:rPr>
              <w:t>14 (3</w:t>
            </w:r>
            <w:r w:rsidR="00624EB0" w:rsidRPr="00B7083C">
              <w:rPr>
                <w:sz w:val="20"/>
                <w:szCs w:val="20"/>
              </w:rPr>
              <w:t>·</w:t>
            </w:r>
            <w:r w:rsidRPr="00B7083C">
              <w:rPr>
                <w:sz w:val="20"/>
                <w:szCs w:val="20"/>
              </w:rPr>
              <w:t>30)</w:t>
            </w:r>
          </w:p>
        </w:tc>
        <w:tc>
          <w:tcPr>
            <w:tcW w:w="2546" w:type="dxa"/>
            <w:shd w:val="clear" w:color="auto" w:fill="auto"/>
            <w:noWrap/>
            <w:vAlign w:val="bottom"/>
            <w:hideMark/>
          </w:tcPr>
          <w:p w14:paraId="7982F096" w14:textId="086F1D94" w:rsidR="00DB39C2" w:rsidRPr="00B7083C" w:rsidRDefault="00DB39C2" w:rsidP="00E30571">
            <w:pPr>
              <w:spacing w:line="360" w:lineRule="auto"/>
              <w:jc w:val="center"/>
              <w:rPr>
                <w:sz w:val="20"/>
                <w:szCs w:val="20"/>
              </w:rPr>
            </w:pPr>
            <w:r w:rsidRPr="00B7083C">
              <w:rPr>
                <w:sz w:val="20"/>
                <w:szCs w:val="20"/>
              </w:rPr>
              <w:t>30</w:t>
            </w:r>
            <w:r w:rsidR="00624EB0" w:rsidRPr="00B7083C">
              <w:rPr>
                <w:sz w:val="20"/>
                <w:szCs w:val="20"/>
              </w:rPr>
              <w:t>·</w:t>
            </w:r>
            <w:r w:rsidRPr="00B7083C">
              <w:rPr>
                <w:sz w:val="20"/>
                <w:szCs w:val="20"/>
              </w:rPr>
              <w:t>53 (3</w:t>
            </w:r>
            <w:r w:rsidR="00624EB0" w:rsidRPr="00B7083C">
              <w:rPr>
                <w:sz w:val="20"/>
                <w:szCs w:val="20"/>
              </w:rPr>
              <w:t>·</w:t>
            </w:r>
            <w:r w:rsidRPr="00B7083C">
              <w:rPr>
                <w:sz w:val="20"/>
                <w:szCs w:val="20"/>
              </w:rPr>
              <w:t>40)</w:t>
            </w:r>
          </w:p>
        </w:tc>
      </w:tr>
      <w:tr w:rsidR="00B7083C" w:rsidRPr="00B7083C" w14:paraId="2B8C77B8" w14:textId="77777777" w:rsidTr="00B554B8">
        <w:trPr>
          <w:trHeight w:val="345"/>
        </w:trPr>
        <w:tc>
          <w:tcPr>
            <w:tcW w:w="3855" w:type="dxa"/>
            <w:shd w:val="clear" w:color="auto" w:fill="auto"/>
            <w:noWrap/>
            <w:vAlign w:val="bottom"/>
            <w:hideMark/>
          </w:tcPr>
          <w:p w14:paraId="5AE0C5F8" w14:textId="77777777" w:rsidR="00DB39C2" w:rsidRPr="00B7083C" w:rsidRDefault="00DB39C2" w:rsidP="00E30571">
            <w:pPr>
              <w:spacing w:line="360" w:lineRule="auto"/>
              <w:rPr>
                <w:sz w:val="20"/>
                <w:szCs w:val="20"/>
              </w:rPr>
            </w:pPr>
            <w:r w:rsidRPr="00B7083C">
              <w:rPr>
                <w:b/>
                <w:sz w:val="20"/>
                <w:szCs w:val="20"/>
              </w:rPr>
              <w:t>BMI</w:t>
            </w:r>
            <w:r w:rsidRPr="00B7083C">
              <w:rPr>
                <w:sz w:val="20"/>
                <w:szCs w:val="20"/>
              </w:rPr>
              <w:t xml:space="preserve"> (kg/m</w:t>
            </w:r>
            <w:r w:rsidRPr="00B7083C">
              <w:rPr>
                <w:sz w:val="20"/>
                <w:szCs w:val="20"/>
                <w:vertAlign w:val="superscript"/>
              </w:rPr>
              <w:t>2</w:t>
            </w:r>
            <w:r w:rsidRPr="00B7083C">
              <w:rPr>
                <w:sz w:val="20"/>
                <w:szCs w:val="20"/>
              </w:rPr>
              <w:t>)</w:t>
            </w:r>
          </w:p>
        </w:tc>
        <w:tc>
          <w:tcPr>
            <w:tcW w:w="2546" w:type="dxa"/>
            <w:shd w:val="clear" w:color="auto" w:fill="auto"/>
            <w:noWrap/>
            <w:vAlign w:val="bottom"/>
            <w:hideMark/>
          </w:tcPr>
          <w:p w14:paraId="7C179E72" w14:textId="51F67427" w:rsidR="00DB39C2" w:rsidRPr="00B7083C" w:rsidRDefault="00DB39C2" w:rsidP="00E30571">
            <w:pPr>
              <w:spacing w:line="360" w:lineRule="auto"/>
              <w:jc w:val="center"/>
              <w:rPr>
                <w:sz w:val="20"/>
                <w:szCs w:val="20"/>
              </w:rPr>
            </w:pPr>
            <w:r w:rsidRPr="00B7083C">
              <w:rPr>
                <w:sz w:val="20"/>
                <w:szCs w:val="20"/>
              </w:rPr>
              <w:t>23</w:t>
            </w:r>
            <w:r w:rsidR="00624EB0" w:rsidRPr="00B7083C">
              <w:rPr>
                <w:sz w:val="20"/>
                <w:szCs w:val="20"/>
              </w:rPr>
              <w:t>·</w:t>
            </w:r>
            <w:r w:rsidRPr="00B7083C">
              <w:rPr>
                <w:sz w:val="20"/>
                <w:szCs w:val="20"/>
              </w:rPr>
              <w:t>75 ( 21</w:t>
            </w:r>
            <w:r w:rsidR="00624EB0" w:rsidRPr="00B7083C">
              <w:rPr>
                <w:sz w:val="20"/>
                <w:szCs w:val="20"/>
              </w:rPr>
              <w:t>·</w:t>
            </w:r>
            <w:r w:rsidRPr="00B7083C">
              <w:rPr>
                <w:sz w:val="20"/>
                <w:szCs w:val="20"/>
              </w:rPr>
              <w:t>34 to 27</w:t>
            </w:r>
            <w:r w:rsidR="00624EB0" w:rsidRPr="00B7083C">
              <w:rPr>
                <w:sz w:val="20"/>
                <w:szCs w:val="20"/>
              </w:rPr>
              <w:t>·</w:t>
            </w:r>
            <w:r w:rsidRPr="00B7083C">
              <w:rPr>
                <w:sz w:val="20"/>
                <w:szCs w:val="20"/>
              </w:rPr>
              <w:t>5)</w:t>
            </w:r>
          </w:p>
        </w:tc>
        <w:tc>
          <w:tcPr>
            <w:tcW w:w="2546" w:type="dxa"/>
            <w:shd w:val="clear" w:color="auto" w:fill="auto"/>
            <w:noWrap/>
            <w:vAlign w:val="bottom"/>
            <w:hideMark/>
          </w:tcPr>
          <w:p w14:paraId="31267613" w14:textId="76D2D601" w:rsidR="00DB39C2" w:rsidRPr="00B7083C" w:rsidRDefault="00DB39C2" w:rsidP="00E30571">
            <w:pPr>
              <w:spacing w:line="360" w:lineRule="auto"/>
              <w:jc w:val="center"/>
              <w:rPr>
                <w:sz w:val="20"/>
                <w:szCs w:val="20"/>
              </w:rPr>
            </w:pPr>
            <w:r w:rsidRPr="00B7083C">
              <w:rPr>
                <w:sz w:val="20"/>
                <w:szCs w:val="20"/>
              </w:rPr>
              <w:t>23</w:t>
            </w:r>
            <w:r w:rsidR="00624EB0" w:rsidRPr="00B7083C">
              <w:rPr>
                <w:sz w:val="20"/>
                <w:szCs w:val="20"/>
              </w:rPr>
              <w:t>·</w:t>
            </w:r>
            <w:r w:rsidRPr="00B7083C">
              <w:rPr>
                <w:sz w:val="20"/>
                <w:szCs w:val="20"/>
              </w:rPr>
              <w:t>65 (21</w:t>
            </w:r>
            <w:r w:rsidR="00624EB0" w:rsidRPr="00B7083C">
              <w:rPr>
                <w:sz w:val="20"/>
                <w:szCs w:val="20"/>
              </w:rPr>
              <w:t>·</w:t>
            </w:r>
            <w:r w:rsidRPr="00B7083C">
              <w:rPr>
                <w:sz w:val="20"/>
                <w:szCs w:val="20"/>
              </w:rPr>
              <w:t>16 to 26</w:t>
            </w:r>
            <w:r w:rsidR="00624EB0" w:rsidRPr="00B7083C">
              <w:rPr>
                <w:sz w:val="20"/>
                <w:szCs w:val="20"/>
              </w:rPr>
              <w:t>·</w:t>
            </w:r>
            <w:r w:rsidRPr="00B7083C">
              <w:rPr>
                <w:sz w:val="20"/>
                <w:szCs w:val="20"/>
              </w:rPr>
              <w:t>23)</w:t>
            </w:r>
          </w:p>
        </w:tc>
      </w:tr>
      <w:tr w:rsidR="00B7083C" w:rsidRPr="00B7083C" w14:paraId="226D758F" w14:textId="77777777" w:rsidTr="00B554B8">
        <w:trPr>
          <w:trHeight w:val="345"/>
        </w:trPr>
        <w:tc>
          <w:tcPr>
            <w:tcW w:w="3855" w:type="dxa"/>
            <w:shd w:val="clear" w:color="auto" w:fill="auto"/>
            <w:noWrap/>
            <w:vAlign w:val="bottom"/>
          </w:tcPr>
          <w:p w14:paraId="20C90161" w14:textId="5756BA25" w:rsidR="00431826" w:rsidRPr="00B7083C" w:rsidRDefault="00431826" w:rsidP="00B554B8">
            <w:pPr>
              <w:spacing w:line="360" w:lineRule="auto"/>
              <w:rPr>
                <w:b/>
                <w:i/>
                <w:sz w:val="20"/>
                <w:szCs w:val="20"/>
                <w:vertAlign w:val="superscript"/>
              </w:rPr>
            </w:pPr>
            <w:r w:rsidRPr="00B7083C">
              <w:rPr>
                <w:i/>
                <w:sz w:val="20"/>
                <w:szCs w:val="20"/>
              </w:rPr>
              <w:t>Overweight</w:t>
            </w:r>
            <w:r w:rsidR="00C75AB2" w:rsidRPr="00B7083C">
              <w:rPr>
                <w:i/>
                <w:sz w:val="20"/>
                <w:szCs w:val="20"/>
                <w:lang w:val="en-US"/>
              </w:rPr>
              <w:t>*</w:t>
            </w:r>
          </w:p>
        </w:tc>
        <w:tc>
          <w:tcPr>
            <w:tcW w:w="2546" w:type="dxa"/>
            <w:shd w:val="clear" w:color="auto" w:fill="auto"/>
            <w:noWrap/>
            <w:vAlign w:val="bottom"/>
          </w:tcPr>
          <w:p w14:paraId="5A46B5D0" w14:textId="007E0108" w:rsidR="00431826" w:rsidRPr="00B7083C" w:rsidRDefault="004D0025" w:rsidP="00E30571">
            <w:pPr>
              <w:spacing w:line="360" w:lineRule="auto"/>
              <w:jc w:val="center"/>
              <w:rPr>
                <w:sz w:val="20"/>
                <w:szCs w:val="20"/>
              </w:rPr>
            </w:pPr>
            <w:r w:rsidRPr="00B7083C">
              <w:rPr>
                <w:sz w:val="20"/>
                <w:szCs w:val="20"/>
              </w:rPr>
              <w:t>68</w:t>
            </w:r>
            <w:r w:rsidR="00431826" w:rsidRPr="00B7083C">
              <w:rPr>
                <w:sz w:val="20"/>
                <w:szCs w:val="20"/>
              </w:rPr>
              <w:t xml:space="preserve"> (</w:t>
            </w:r>
            <w:r w:rsidRPr="00B7083C">
              <w:rPr>
                <w:sz w:val="20"/>
                <w:szCs w:val="20"/>
              </w:rPr>
              <w:t>23</w:t>
            </w:r>
            <w:r w:rsidR="00624EB0" w:rsidRPr="00B7083C">
              <w:rPr>
                <w:sz w:val="20"/>
                <w:szCs w:val="20"/>
              </w:rPr>
              <w:t>·</w:t>
            </w:r>
            <w:r w:rsidRPr="00B7083C">
              <w:rPr>
                <w:sz w:val="20"/>
                <w:szCs w:val="20"/>
              </w:rPr>
              <w:t>5</w:t>
            </w:r>
            <w:r w:rsidR="00431826" w:rsidRPr="00B7083C">
              <w:rPr>
                <w:sz w:val="20"/>
                <w:szCs w:val="20"/>
              </w:rPr>
              <w:t>%)</w:t>
            </w:r>
          </w:p>
        </w:tc>
        <w:tc>
          <w:tcPr>
            <w:tcW w:w="2546" w:type="dxa"/>
            <w:shd w:val="clear" w:color="auto" w:fill="auto"/>
            <w:noWrap/>
            <w:vAlign w:val="bottom"/>
          </w:tcPr>
          <w:p w14:paraId="65B9C2A7" w14:textId="7CFA318C" w:rsidR="00431826" w:rsidRPr="00B7083C" w:rsidRDefault="004D0025" w:rsidP="00E30571">
            <w:pPr>
              <w:spacing w:line="360" w:lineRule="auto"/>
              <w:jc w:val="center"/>
              <w:rPr>
                <w:sz w:val="20"/>
                <w:szCs w:val="20"/>
              </w:rPr>
            </w:pPr>
            <w:r w:rsidRPr="00B7083C">
              <w:rPr>
                <w:sz w:val="20"/>
                <w:szCs w:val="20"/>
              </w:rPr>
              <w:t>89</w:t>
            </w:r>
            <w:r w:rsidR="00431826" w:rsidRPr="00B7083C">
              <w:rPr>
                <w:sz w:val="20"/>
                <w:szCs w:val="20"/>
              </w:rPr>
              <w:t xml:space="preserve"> (</w:t>
            </w:r>
            <w:r w:rsidRPr="00B7083C">
              <w:rPr>
                <w:sz w:val="20"/>
                <w:szCs w:val="20"/>
              </w:rPr>
              <w:t>30</w:t>
            </w:r>
            <w:r w:rsidR="00624EB0" w:rsidRPr="00B7083C">
              <w:rPr>
                <w:sz w:val="20"/>
                <w:szCs w:val="20"/>
              </w:rPr>
              <w:t>·</w:t>
            </w:r>
            <w:r w:rsidRPr="00B7083C">
              <w:rPr>
                <w:sz w:val="20"/>
                <w:szCs w:val="20"/>
              </w:rPr>
              <w:t>3</w:t>
            </w:r>
            <w:r w:rsidR="00431826" w:rsidRPr="00B7083C">
              <w:rPr>
                <w:sz w:val="20"/>
                <w:szCs w:val="20"/>
              </w:rPr>
              <w:t>%)</w:t>
            </w:r>
          </w:p>
        </w:tc>
      </w:tr>
      <w:tr w:rsidR="00B7083C" w:rsidRPr="00B7083C" w14:paraId="57F1914F" w14:textId="77777777" w:rsidTr="00B554B8">
        <w:trPr>
          <w:trHeight w:val="345"/>
        </w:trPr>
        <w:tc>
          <w:tcPr>
            <w:tcW w:w="3855" w:type="dxa"/>
            <w:shd w:val="clear" w:color="auto" w:fill="auto"/>
            <w:noWrap/>
            <w:vAlign w:val="bottom"/>
          </w:tcPr>
          <w:p w14:paraId="55153509" w14:textId="352FF9AE" w:rsidR="00431826" w:rsidRPr="00B7083C" w:rsidRDefault="004D0025" w:rsidP="00B554B8">
            <w:pPr>
              <w:spacing w:line="360" w:lineRule="auto"/>
              <w:rPr>
                <w:b/>
                <w:i/>
                <w:sz w:val="20"/>
                <w:szCs w:val="20"/>
              </w:rPr>
            </w:pPr>
            <w:r w:rsidRPr="00B7083C">
              <w:rPr>
                <w:i/>
                <w:sz w:val="20"/>
                <w:szCs w:val="20"/>
                <w:lang w:val="en-US"/>
              </w:rPr>
              <w:t>Obes</w:t>
            </w:r>
            <w:r w:rsidR="00182020" w:rsidRPr="00B7083C">
              <w:rPr>
                <w:i/>
                <w:sz w:val="20"/>
                <w:szCs w:val="20"/>
                <w:lang w:val="en-US"/>
              </w:rPr>
              <w:t>e</w:t>
            </w:r>
            <w:r w:rsidR="00C75AB2" w:rsidRPr="00B7083C">
              <w:rPr>
                <w:i/>
                <w:sz w:val="20"/>
                <w:szCs w:val="20"/>
                <w:lang w:val="en-US"/>
              </w:rPr>
              <w:t>*</w:t>
            </w:r>
          </w:p>
        </w:tc>
        <w:tc>
          <w:tcPr>
            <w:tcW w:w="2546" w:type="dxa"/>
            <w:shd w:val="clear" w:color="auto" w:fill="auto"/>
            <w:noWrap/>
            <w:vAlign w:val="bottom"/>
          </w:tcPr>
          <w:p w14:paraId="29A09095" w14:textId="254BB70E" w:rsidR="00431826" w:rsidRPr="00B7083C" w:rsidRDefault="004D0025" w:rsidP="00E30571">
            <w:pPr>
              <w:spacing w:line="360" w:lineRule="auto"/>
              <w:jc w:val="center"/>
              <w:rPr>
                <w:sz w:val="20"/>
                <w:szCs w:val="20"/>
              </w:rPr>
            </w:pPr>
            <w:r w:rsidRPr="00B7083C">
              <w:rPr>
                <w:sz w:val="20"/>
                <w:szCs w:val="20"/>
              </w:rPr>
              <w:t>61</w:t>
            </w:r>
            <w:r w:rsidR="00431826" w:rsidRPr="00B7083C">
              <w:rPr>
                <w:sz w:val="20"/>
                <w:szCs w:val="20"/>
              </w:rPr>
              <w:t xml:space="preserve"> (</w:t>
            </w:r>
            <w:r w:rsidRPr="00B7083C">
              <w:rPr>
                <w:sz w:val="20"/>
                <w:szCs w:val="20"/>
              </w:rPr>
              <w:t>21</w:t>
            </w:r>
            <w:r w:rsidR="00624EB0" w:rsidRPr="00B7083C">
              <w:rPr>
                <w:sz w:val="20"/>
                <w:szCs w:val="20"/>
              </w:rPr>
              <w:t>·</w:t>
            </w:r>
            <w:r w:rsidRPr="00B7083C">
              <w:rPr>
                <w:sz w:val="20"/>
                <w:szCs w:val="20"/>
              </w:rPr>
              <w:t>0</w:t>
            </w:r>
            <w:r w:rsidR="00431826" w:rsidRPr="00B7083C">
              <w:rPr>
                <w:sz w:val="20"/>
                <w:szCs w:val="20"/>
              </w:rPr>
              <w:t>%)</w:t>
            </w:r>
          </w:p>
        </w:tc>
        <w:tc>
          <w:tcPr>
            <w:tcW w:w="2546" w:type="dxa"/>
            <w:shd w:val="clear" w:color="auto" w:fill="auto"/>
            <w:noWrap/>
            <w:vAlign w:val="bottom"/>
          </w:tcPr>
          <w:p w14:paraId="0FD776B4" w14:textId="64BA6861" w:rsidR="00431826" w:rsidRPr="00B7083C" w:rsidRDefault="004D0025" w:rsidP="00E30571">
            <w:pPr>
              <w:spacing w:line="360" w:lineRule="auto"/>
              <w:jc w:val="center"/>
              <w:rPr>
                <w:sz w:val="20"/>
                <w:szCs w:val="20"/>
              </w:rPr>
            </w:pPr>
            <w:r w:rsidRPr="00B7083C">
              <w:rPr>
                <w:sz w:val="20"/>
                <w:szCs w:val="20"/>
              </w:rPr>
              <w:t>40</w:t>
            </w:r>
            <w:r w:rsidR="00431826" w:rsidRPr="00B7083C">
              <w:rPr>
                <w:sz w:val="20"/>
                <w:szCs w:val="20"/>
              </w:rPr>
              <w:t xml:space="preserve"> (</w:t>
            </w:r>
            <w:r w:rsidRPr="00B7083C">
              <w:rPr>
                <w:sz w:val="20"/>
                <w:szCs w:val="20"/>
              </w:rPr>
              <w:t>13</w:t>
            </w:r>
            <w:r w:rsidR="00624EB0" w:rsidRPr="00B7083C">
              <w:rPr>
                <w:sz w:val="20"/>
                <w:szCs w:val="20"/>
              </w:rPr>
              <w:t>·</w:t>
            </w:r>
            <w:r w:rsidRPr="00B7083C">
              <w:rPr>
                <w:sz w:val="20"/>
                <w:szCs w:val="20"/>
              </w:rPr>
              <w:t>6</w:t>
            </w:r>
            <w:r w:rsidR="00431826" w:rsidRPr="00B7083C">
              <w:rPr>
                <w:sz w:val="20"/>
                <w:szCs w:val="20"/>
              </w:rPr>
              <w:t>%)</w:t>
            </w:r>
          </w:p>
        </w:tc>
      </w:tr>
      <w:tr w:rsidR="00B7083C" w:rsidRPr="00B7083C" w14:paraId="5D39EE92" w14:textId="77777777" w:rsidTr="00B554B8">
        <w:trPr>
          <w:trHeight w:val="300"/>
        </w:trPr>
        <w:tc>
          <w:tcPr>
            <w:tcW w:w="3855" w:type="dxa"/>
            <w:shd w:val="clear" w:color="auto" w:fill="auto"/>
            <w:noWrap/>
            <w:vAlign w:val="bottom"/>
            <w:hideMark/>
          </w:tcPr>
          <w:p w14:paraId="46D985E4" w14:textId="77777777" w:rsidR="00431826" w:rsidRPr="00B7083C" w:rsidRDefault="00431826" w:rsidP="00E30571">
            <w:pPr>
              <w:spacing w:line="360" w:lineRule="auto"/>
              <w:rPr>
                <w:b/>
                <w:bCs/>
                <w:sz w:val="20"/>
                <w:szCs w:val="20"/>
              </w:rPr>
            </w:pPr>
            <w:r w:rsidRPr="00B7083C">
              <w:rPr>
                <w:b/>
                <w:bCs/>
                <w:sz w:val="20"/>
                <w:szCs w:val="20"/>
              </w:rPr>
              <w:t>Ethnic origin</w:t>
            </w:r>
          </w:p>
        </w:tc>
        <w:tc>
          <w:tcPr>
            <w:tcW w:w="2546" w:type="dxa"/>
            <w:shd w:val="clear" w:color="auto" w:fill="auto"/>
            <w:noWrap/>
            <w:vAlign w:val="bottom"/>
            <w:hideMark/>
          </w:tcPr>
          <w:p w14:paraId="21F25093" w14:textId="77777777" w:rsidR="00431826" w:rsidRPr="00B7083C" w:rsidRDefault="00431826" w:rsidP="00E30571">
            <w:pPr>
              <w:spacing w:line="360" w:lineRule="auto"/>
              <w:jc w:val="center"/>
              <w:rPr>
                <w:sz w:val="20"/>
                <w:szCs w:val="20"/>
              </w:rPr>
            </w:pPr>
            <w:r w:rsidRPr="00B7083C">
              <w:rPr>
                <w:sz w:val="20"/>
                <w:szCs w:val="20"/>
              </w:rPr>
              <w:t>…</w:t>
            </w:r>
          </w:p>
        </w:tc>
        <w:tc>
          <w:tcPr>
            <w:tcW w:w="2546" w:type="dxa"/>
            <w:shd w:val="clear" w:color="auto" w:fill="auto"/>
            <w:noWrap/>
            <w:vAlign w:val="bottom"/>
            <w:hideMark/>
          </w:tcPr>
          <w:p w14:paraId="6809DB96" w14:textId="77777777" w:rsidR="00431826" w:rsidRPr="00B7083C" w:rsidRDefault="00431826" w:rsidP="00E30571">
            <w:pPr>
              <w:spacing w:line="360" w:lineRule="auto"/>
              <w:jc w:val="center"/>
              <w:rPr>
                <w:sz w:val="20"/>
                <w:szCs w:val="20"/>
              </w:rPr>
            </w:pPr>
            <w:r w:rsidRPr="00B7083C">
              <w:rPr>
                <w:sz w:val="20"/>
                <w:szCs w:val="20"/>
              </w:rPr>
              <w:t>…</w:t>
            </w:r>
          </w:p>
        </w:tc>
      </w:tr>
      <w:tr w:rsidR="00B7083C" w:rsidRPr="00B7083C" w14:paraId="766C4B70" w14:textId="77777777" w:rsidTr="00B554B8">
        <w:trPr>
          <w:trHeight w:val="300"/>
        </w:trPr>
        <w:tc>
          <w:tcPr>
            <w:tcW w:w="3855" w:type="dxa"/>
            <w:shd w:val="clear" w:color="auto" w:fill="auto"/>
            <w:noWrap/>
            <w:vAlign w:val="bottom"/>
            <w:hideMark/>
          </w:tcPr>
          <w:p w14:paraId="12823228" w14:textId="77777777" w:rsidR="00431826" w:rsidRPr="00B7083C" w:rsidRDefault="00431826" w:rsidP="00B554B8">
            <w:pPr>
              <w:spacing w:line="360" w:lineRule="auto"/>
              <w:rPr>
                <w:i/>
                <w:sz w:val="20"/>
                <w:szCs w:val="20"/>
              </w:rPr>
            </w:pPr>
            <w:r w:rsidRPr="00B7083C">
              <w:rPr>
                <w:i/>
                <w:sz w:val="20"/>
                <w:szCs w:val="20"/>
              </w:rPr>
              <w:t>White Caucasian</w:t>
            </w:r>
          </w:p>
        </w:tc>
        <w:tc>
          <w:tcPr>
            <w:tcW w:w="2546" w:type="dxa"/>
            <w:shd w:val="clear" w:color="auto" w:fill="auto"/>
            <w:noWrap/>
            <w:vAlign w:val="bottom"/>
            <w:hideMark/>
          </w:tcPr>
          <w:p w14:paraId="27CAD737" w14:textId="57F0C2DC" w:rsidR="00431826" w:rsidRPr="00B7083C" w:rsidRDefault="00431826" w:rsidP="00E30571">
            <w:pPr>
              <w:spacing w:line="360" w:lineRule="auto"/>
              <w:jc w:val="center"/>
              <w:rPr>
                <w:sz w:val="20"/>
                <w:szCs w:val="20"/>
              </w:rPr>
            </w:pPr>
            <w:r w:rsidRPr="00B7083C">
              <w:rPr>
                <w:sz w:val="20"/>
                <w:szCs w:val="20"/>
              </w:rPr>
              <w:t>167 (57</w:t>
            </w:r>
            <w:r w:rsidR="00624EB0" w:rsidRPr="00B7083C">
              <w:rPr>
                <w:sz w:val="20"/>
                <w:szCs w:val="20"/>
              </w:rPr>
              <w:t>·</w:t>
            </w:r>
            <w:r w:rsidR="007A0A22" w:rsidRPr="00B7083C">
              <w:rPr>
                <w:sz w:val="20"/>
                <w:szCs w:val="20"/>
              </w:rPr>
              <w:t>6</w:t>
            </w:r>
            <w:r w:rsidRPr="00B7083C">
              <w:rPr>
                <w:sz w:val="20"/>
                <w:szCs w:val="20"/>
              </w:rPr>
              <w:t>%)</w:t>
            </w:r>
          </w:p>
        </w:tc>
        <w:tc>
          <w:tcPr>
            <w:tcW w:w="2546" w:type="dxa"/>
            <w:shd w:val="clear" w:color="auto" w:fill="auto"/>
            <w:noWrap/>
            <w:vAlign w:val="bottom"/>
            <w:hideMark/>
          </w:tcPr>
          <w:p w14:paraId="2BAF12AD" w14:textId="4A7047DD" w:rsidR="00431826" w:rsidRPr="00B7083C" w:rsidRDefault="00431826" w:rsidP="00E30571">
            <w:pPr>
              <w:spacing w:line="360" w:lineRule="auto"/>
              <w:jc w:val="center"/>
              <w:rPr>
                <w:sz w:val="20"/>
                <w:szCs w:val="20"/>
              </w:rPr>
            </w:pPr>
            <w:r w:rsidRPr="00B7083C">
              <w:rPr>
                <w:sz w:val="20"/>
                <w:szCs w:val="20"/>
              </w:rPr>
              <w:t>180 (61</w:t>
            </w:r>
            <w:r w:rsidR="00624EB0" w:rsidRPr="00B7083C">
              <w:rPr>
                <w:sz w:val="20"/>
                <w:szCs w:val="20"/>
              </w:rPr>
              <w:t>·</w:t>
            </w:r>
            <w:r w:rsidRPr="00B7083C">
              <w:rPr>
                <w:sz w:val="20"/>
                <w:szCs w:val="20"/>
              </w:rPr>
              <w:t>0%)</w:t>
            </w:r>
          </w:p>
        </w:tc>
      </w:tr>
      <w:tr w:rsidR="00B7083C" w:rsidRPr="00B7083C" w14:paraId="013E1A8F" w14:textId="77777777" w:rsidTr="00B554B8">
        <w:trPr>
          <w:trHeight w:val="300"/>
        </w:trPr>
        <w:tc>
          <w:tcPr>
            <w:tcW w:w="3855" w:type="dxa"/>
            <w:shd w:val="clear" w:color="auto" w:fill="auto"/>
            <w:noWrap/>
            <w:vAlign w:val="bottom"/>
            <w:hideMark/>
          </w:tcPr>
          <w:p w14:paraId="33970AAA" w14:textId="77777777" w:rsidR="00431826" w:rsidRPr="00B7083C" w:rsidRDefault="00431826" w:rsidP="00B554B8">
            <w:pPr>
              <w:spacing w:line="360" w:lineRule="auto"/>
              <w:rPr>
                <w:i/>
                <w:sz w:val="20"/>
                <w:szCs w:val="20"/>
              </w:rPr>
            </w:pPr>
            <w:r w:rsidRPr="00B7083C">
              <w:rPr>
                <w:i/>
                <w:sz w:val="20"/>
                <w:szCs w:val="20"/>
              </w:rPr>
              <w:t>Chinese</w:t>
            </w:r>
          </w:p>
        </w:tc>
        <w:tc>
          <w:tcPr>
            <w:tcW w:w="2546" w:type="dxa"/>
            <w:shd w:val="clear" w:color="auto" w:fill="auto"/>
            <w:noWrap/>
            <w:vAlign w:val="bottom"/>
            <w:hideMark/>
          </w:tcPr>
          <w:p w14:paraId="4480E2B7" w14:textId="5081D03C" w:rsidR="00431826" w:rsidRPr="00B7083C" w:rsidRDefault="00431826" w:rsidP="00E30571">
            <w:pPr>
              <w:spacing w:line="360" w:lineRule="auto"/>
              <w:jc w:val="center"/>
              <w:rPr>
                <w:sz w:val="20"/>
                <w:szCs w:val="20"/>
              </w:rPr>
            </w:pPr>
            <w:r w:rsidRPr="00B7083C">
              <w:rPr>
                <w:sz w:val="20"/>
                <w:szCs w:val="20"/>
              </w:rPr>
              <w:t>73 (25</w:t>
            </w:r>
            <w:r w:rsidR="00624EB0" w:rsidRPr="00B7083C">
              <w:rPr>
                <w:sz w:val="20"/>
                <w:szCs w:val="20"/>
              </w:rPr>
              <w:t>·</w:t>
            </w:r>
            <w:r w:rsidR="007A0A22" w:rsidRPr="00B7083C">
              <w:rPr>
                <w:sz w:val="20"/>
                <w:szCs w:val="20"/>
              </w:rPr>
              <w:t>2</w:t>
            </w:r>
            <w:r w:rsidRPr="00B7083C">
              <w:rPr>
                <w:sz w:val="20"/>
                <w:szCs w:val="20"/>
              </w:rPr>
              <w:t>%)</w:t>
            </w:r>
          </w:p>
        </w:tc>
        <w:tc>
          <w:tcPr>
            <w:tcW w:w="2546" w:type="dxa"/>
            <w:shd w:val="clear" w:color="auto" w:fill="auto"/>
            <w:noWrap/>
            <w:vAlign w:val="bottom"/>
            <w:hideMark/>
          </w:tcPr>
          <w:p w14:paraId="1F8660D9" w14:textId="1F1E7DAB" w:rsidR="00431826" w:rsidRPr="00B7083C" w:rsidRDefault="00431826" w:rsidP="00E30571">
            <w:pPr>
              <w:spacing w:line="360" w:lineRule="auto"/>
              <w:jc w:val="center"/>
              <w:rPr>
                <w:sz w:val="20"/>
                <w:szCs w:val="20"/>
              </w:rPr>
            </w:pPr>
            <w:r w:rsidRPr="00B7083C">
              <w:rPr>
                <w:sz w:val="20"/>
                <w:szCs w:val="20"/>
              </w:rPr>
              <w:t>72 (24</w:t>
            </w:r>
            <w:r w:rsidR="00624EB0" w:rsidRPr="00B7083C">
              <w:rPr>
                <w:sz w:val="20"/>
                <w:szCs w:val="20"/>
              </w:rPr>
              <w:t>·</w:t>
            </w:r>
            <w:r w:rsidRPr="00B7083C">
              <w:rPr>
                <w:sz w:val="20"/>
                <w:szCs w:val="20"/>
              </w:rPr>
              <w:t>4%)</w:t>
            </w:r>
          </w:p>
        </w:tc>
      </w:tr>
      <w:tr w:rsidR="00B7083C" w:rsidRPr="00B7083C" w14:paraId="01BEF97B" w14:textId="77777777" w:rsidTr="00B554B8">
        <w:trPr>
          <w:trHeight w:val="300"/>
        </w:trPr>
        <w:tc>
          <w:tcPr>
            <w:tcW w:w="3855" w:type="dxa"/>
            <w:shd w:val="clear" w:color="auto" w:fill="auto"/>
            <w:noWrap/>
            <w:vAlign w:val="bottom"/>
            <w:hideMark/>
          </w:tcPr>
          <w:p w14:paraId="468D9C7E" w14:textId="5F8F000C" w:rsidR="00431826" w:rsidRPr="00B7083C" w:rsidRDefault="00431826" w:rsidP="00B554B8">
            <w:pPr>
              <w:spacing w:line="360" w:lineRule="auto"/>
              <w:rPr>
                <w:i/>
                <w:sz w:val="20"/>
                <w:szCs w:val="20"/>
              </w:rPr>
            </w:pPr>
            <w:r w:rsidRPr="00B7083C">
              <w:rPr>
                <w:i/>
                <w:sz w:val="20"/>
                <w:szCs w:val="20"/>
              </w:rPr>
              <w:t>South Asian (Indian, Pakistani,</w:t>
            </w:r>
            <w:r w:rsidR="007C44B1" w:rsidRPr="00B7083C">
              <w:rPr>
                <w:i/>
                <w:sz w:val="20"/>
                <w:szCs w:val="20"/>
              </w:rPr>
              <w:t xml:space="preserve"> </w:t>
            </w:r>
            <w:r w:rsidRPr="00B7083C">
              <w:rPr>
                <w:i/>
                <w:sz w:val="20"/>
                <w:szCs w:val="20"/>
              </w:rPr>
              <w:t>Bangladeshi)</w:t>
            </w:r>
          </w:p>
        </w:tc>
        <w:tc>
          <w:tcPr>
            <w:tcW w:w="2546" w:type="dxa"/>
            <w:shd w:val="clear" w:color="auto" w:fill="auto"/>
            <w:noWrap/>
            <w:vAlign w:val="bottom"/>
            <w:hideMark/>
          </w:tcPr>
          <w:p w14:paraId="41B95E9F" w14:textId="6FC7C3DD" w:rsidR="00431826" w:rsidRPr="00B7083C" w:rsidRDefault="00431826" w:rsidP="00E30571">
            <w:pPr>
              <w:spacing w:line="360" w:lineRule="auto"/>
              <w:jc w:val="center"/>
              <w:rPr>
                <w:sz w:val="20"/>
                <w:szCs w:val="20"/>
              </w:rPr>
            </w:pPr>
            <w:r w:rsidRPr="00B7083C">
              <w:rPr>
                <w:sz w:val="20"/>
                <w:szCs w:val="20"/>
              </w:rPr>
              <w:t>15 (5</w:t>
            </w:r>
            <w:r w:rsidR="00624EB0" w:rsidRPr="00B7083C">
              <w:rPr>
                <w:sz w:val="20"/>
                <w:szCs w:val="20"/>
              </w:rPr>
              <w:t>·</w:t>
            </w:r>
            <w:r w:rsidR="007A0A22" w:rsidRPr="00B7083C">
              <w:rPr>
                <w:sz w:val="20"/>
                <w:szCs w:val="20"/>
              </w:rPr>
              <w:t>2</w:t>
            </w:r>
            <w:r w:rsidRPr="00B7083C">
              <w:rPr>
                <w:sz w:val="20"/>
                <w:szCs w:val="20"/>
              </w:rPr>
              <w:t>%)</w:t>
            </w:r>
          </w:p>
        </w:tc>
        <w:tc>
          <w:tcPr>
            <w:tcW w:w="2546" w:type="dxa"/>
            <w:shd w:val="clear" w:color="auto" w:fill="auto"/>
            <w:noWrap/>
            <w:vAlign w:val="bottom"/>
            <w:hideMark/>
          </w:tcPr>
          <w:p w14:paraId="7F6FDEB0" w14:textId="5DB1DEB5" w:rsidR="00431826" w:rsidRPr="00B7083C" w:rsidRDefault="00431826" w:rsidP="00E30571">
            <w:pPr>
              <w:spacing w:line="360" w:lineRule="auto"/>
              <w:jc w:val="center"/>
              <w:rPr>
                <w:sz w:val="20"/>
                <w:szCs w:val="20"/>
              </w:rPr>
            </w:pPr>
            <w:r w:rsidRPr="00B7083C">
              <w:rPr>
                <w:sz w:val="20"/>
                <w:szCs w:val="20"/>
              </w:rPr>
              <w:t>15 (5</w:t>
            </w:r>
            <w:r w:rsidR="00624EB0" w:rsidRPr="00B7083C">
              <w:rPr>
                <w:sz w:val="20"/>
                <w:szCs w:val="20"/>
              </w:rPr>
              <w:t>·</w:t>
            </w:r>
            <w:r w:rsidR="007A0A22" w:rsidRPr="00B7083C">
              <w:rPr>
                <w:sz w:val="20"/>
                <w:szCs w:val="20"/>
              </w:rPr>
              <w:t>1</w:t>
            </w:r>
            <w:r w:rsidRPr="00B7083C">
              <w:rPr>
                <w:sz w:val="20"/>
                <w:szCs w:val="20"/>
              </w:rPr>
              <w:t>%)</w:t>
            </w:r>
          </w:p>
        </w:tc>
      </w:tr>
      <w:tr w:rsidR="00B7083C" w:rsidRPr="00B7083C" w14:paraId="491DB96E" w14:textId="77777777" w:rsidTr="00B554B8">
        <w:trPr>
          <w:trHeight w:val="300"/>
        </w:trPr>
        <w:tc>
          <w:tcPr>
            <w:tcW w:w="3855" w:type="dxa"/>
            <w:shd w:val="clear" w:color="auto" w:fill="auto"/>
            <w:noWrap/>
            <w:vAlign w:val="bottom"/>
            <w:hideMark/>
          </w:tcPr>
          <w:p w14:paraId="16759AC2" w14:textId="77777777" w:rsidR="00431826" w:rsidRPr="00B7083C" w:rsidRDefault="00431826" w:rsidP="00B554B8">
            <w:pPr>
              <w:spacing w:line="360" w:lineRule="auto"/>
              <w:rPr>
                <w:i/>
                <w:sz w:val="20"/>
                <w:szCs w:val="20"/>
              </w:rPr>
            </w:pPr>
            <w:r w:rsidRPr="00B7083C">
              <w:rPr>
                <w:i/>
                <w:sz w:val="20"/>
                <w:szCs w:val="20"/>
              </w:rPr>
              <w:t>Malay</w:t>
            </w:r>
          </w:p>
        </w:tc>
        <w:tc>
          <w:tcPr>
            <w:tcW w:w="2546" w:type="dxa"/>
            <w:shd w:val="clear" w:color="auto" w:fill="auto"/>
            <w:noWrap/>
            <w:vAlign w:val="bottom"/>
            <w:hideMark/>
          </w:tcPr>
          <w:p w14:paraId="38BECB5D" w14:textId="0BB9B57A" w:rsidR="00431826" w:rsidRPr="00B7083C" w:rsidRDefault="00431826" w:rsidP="00E30571">
            <w:pPr>
              <w:spacing w:line="360" w:lineRule="auto"/>
              <w:jc w:val="center"/>
              <w:rPr>
                <w:sz w:val="20"/>
                <w:szCs w:val="20"/>
              </w:rPr>
            </w:pPr>
            <w:r w:rsidRPr="00B7083C">
              <w:rPr>
                <w:sz w:val="20"/>
                <w:szCs w:val="20"/>
              </w:rPr>
              <w:t>12 (4</w:t>
            </w:r>
            <w:r w:rsidR="00624EB0" w:rsidRPr="00B7083C">
              <w:rPr>
                <w:sz w:val="20"/>
                <w:szCs w:val="20"/>
              </w:rPr>
              <w:t>·</w:t>
            </w:r>
            <w:r w:rsidRPr="00B7083C">
              <w:rPr>
                <w:sz w:val="20"/>
                <w:szCs w:val="20"/>
              </w:rPr>
              <w:t>1%)</w:t>
            </w:r>
          </w:p>
        </w:tc>
        <w:tc>
          <w:tcPr>
            <w:tcW w:w="2546" w:type="dxa"/>
            <w:shd w:val="clear" w:color="auto" w:fill="auto"/>
            <w:noWrap/>
            <w:vAlign w:val="bottom"/>
            <w:hideMark/>
          </w:tcPr>
          <w:p w14:paraId="0A8C72D3" w14:textId="6E73B620" w:rsidR="00431826" w:rsidRPr="00B7083C" w:rsidRDefault="00431826" w:rsidP="00E30571">
            <w:pPr>
              <w:spacing w:line="360" w:lineRule="auto"/>
              <w:jc w:val="center"/>
              <w:rPr>
                <w:sz w:val="20"/>
                <w:szCs w:val="20"/>
              </w:rPr>
            </w:pPr>
            <w:r w:rsidRPr="00B7083C">
              <w:rPr>
                <w:sz w:val="20"/>
                <w:szCs w:val="20"/>
              </w:rPr>
              <w:t>11 (3</w:t>
            </w:r>
            <w:r w:rsidR="00624EB0" w:rsidRPr="00B7083C">
              <w:rPr>
                <w:sz w:val="20"/>
                <w:szCs w:val="20"/>
              </w:rPr>
              <w:t>·</w:t>
            </w:r>
            <w:r w:rsidRPr="00B7083C">
              <w:rPr>
                <w:sz w:val="20"/>
                <w:szCs w:val="20"/>
              </w:rPr>
              <w:t>7%)</w:t>
            </w:r>
          </w:p>
        </w:tc>
      </w:tr>
      <w:tr w:rsidR="00B7083C" w:rsidRPr="00B7083C" w14:paraId="064DE35C" w14:textId="77777777" w:rsidTr="00B554B8">
        <w:trPr>
          <w:trHeight w:val="300"/>
        </w:trPr>
        <w:tc>
          <w:tcPr>
            <w:tcW w:w="3855" w:type="dxa"/>
            <w:shd w:val="clear" w:color="auto" w:fill="auto"/>
            <w:noWrap/>
            <w:vAlign w:val="bottom"/>
            <w:hideMark/>
          </w:tcPr>
          <w:p w14:paraId="145F9452" w14:textId="77777777" w:rsidR="00431826" w:rsidRPr="00B7083C" w:rsidRDefault="00431826" w:rsidP="00B554B8">
            <w:pPr>
              <w:spacing w:line="360" w:lineRule="auto"/>
              <w:rPr>
                <w:i/>
                <w:sz w:val="20"/>
                <w:szCs w:val="20"/>
              </w:rPr>
            </w:pPr>
            <w:r w:rsidRPr="00B7083C">
              <w:rPr>
                <w:i/>
                <w:sz w:val="20"/>
                <w:szCs w:val="20"/>
              </w:rPr>
              <w:t>Other (Mixed, Black, Polynesian)</w:t>
            </w:r>
          </w:p>
        </w:tc>
        <w:tc>
          <w:tcPr>
            <w:tcW w:w="2546" w:type="dxa"/>
            <w:shd w:val="clear" w:color="auto" w:fill="auto"/>
            <w:noWrap/>
            <w:vAlign w:val="bottom"/>
            <w:hideMark/>
          </w:tcPr>
          <w:p w14:paraId="31C9BBB9" w14:textId="681EDB4A" w:rsidR="00431826" w:rsidRPr="00B7083C" w:rsidRDefault="00431826" w:rsidP="00E30571">
            <w:pPr>
              <w:spacing w:line="360" w:lineRule="auto"/>
              <w:jc w:val="center"/>
              <w:rPr>
                <w:sz w:val="20"/>
                <w:szCs w:val="20"/>
              </w:rPr>
            </w:pPr>
            <w:r w:rsidRPr="00B7083C">
              <w:rPr>
                <w:sz w:val="20"/>
                <w:szCs w:val="20"/>
              </w:rPr>
              <w:t>23 (7</w:t>
            </w:r>
            <w:r w:rsidR="00624EB0" w:rsidRPr="00B7083C">
              <w:rPr>
                <w:sz w:val="20"/>
                <w:szCs w:val="20"/>
              </w:rPr>
              <w:t>·</w:t>
            </w:r>
            <w:r w:rsidRPr="00B7083C">
              <w:rPr>
                <w:sz w:val="20"/>
                <w:szCs w:val="20"/>
              </w:rPr>
              <w:t>9%)</w:t>
            </w:r>
          </w:p>
        </w:tc>
        <w:tc>
          <w:tcPr>
            <w:tcW w:w="2546" w:type="dxa"/>
            <w:shd w:val="clear" w:color="auto" w:fill="auto"/>
            <w:noWrap/>
            <w:vAlign w:val="bottom"/>
            <w:hideMark/>
          </w:tcPr>
          <w:p w14:paraId="233368F2" w14:textId="02CF94DB" w:rsidR="00431826" w:rsidRPr="00B7083C" w:rsidRDefault="00431826" w:rsidP="00E30571">
            <w:pPr>
              <w:spacing w:line="360" w:lineRule="auto"/>
              <w:jc w:val="center"/>
              <w:rPr>
                <w:sz w:val="20"/>
                <w:szCs w:val="20"/>
              </w:rPr>
            </w:pPr>
            <w:r w:rsidRPr="00B7083C">
              <w:rPr>
                <w:sz w:val="20"/>
                <w:szCs w:val="20"/>
              </w:rPr>
              <w:t>17 (5</w:t>
            </w:r>
            <w:r w:rsidR="00624EB0" w:rsidRPr="00B7083C">
              <w:rPr>
                <w:sz w:val="20"/>
                <w:szCs w:val="20"/>
              </w:rPr>
              <w:t>·</w:t>
            </w:r>
            <w:r w:rsidR="007A0A22" w:rsidRPr="00B7083C">
              <w:rPr>
                <w:sz w:val="20"/>
                <w:szCs w:val="20"/>
              </w:rPr>
              <w:t>8</w:t>
            </w:r>
            <w:r w:rsidRPr="00B7083C">
              <w:rPr>
                <w:sz w:val="20"/>
                <w:szCs w:val="20"/>
              </w:rPr>
              <w:t>%)</w:t>
            </w:r>
          </w:p>
        </w:tc>
      </w:tr>
      <w:tr w:rsidR="00B7083C" w:rsidRPr="00B7083C" w14:paraId="790BFF60" w14:textId="77777777" w:rsidTr="00B554B8">
        <w:trPr>
          <w:trHeight w:val="300"/>
        </w:trPr>
        <w:tc>
          <w:tcPr>
            <w:tcW w:w="3855" w:type="dxa"/>
            <w:shd w:val="clear" w:color="auto" w:fill="auto"/>
            <w:noWrap/>
            <w:vAlign w:val="bottom"/>
          </w:tcPr>
          <w:p w14:paraId="13C5F41E" w14:textId="1FC9CCE1" w:rsidR="00431826" w:rsidRPr="00B7083C" w:rsidRDefault="00431826" w:rsidP="00E30571">
            <w:pPr>
              <w:spacing w:line="360" w:lineRule="auto"/>
              <w:rPr>
                <w:b/>
                <w:sz w:val="20"/>
                <w:szCs w:val="20"/>
              </w:rPr>
            </w:pPr>
            <w:r w:rsidRPr="00B7083C">
              <w:rPr>
                <w:b/>
                <w:sz w:val="20"/>
                <w:szCs w:val="20"/>
              </w:rPr>
              <w:t>Site</w:t>
            </w:r>
          </w:p>
        </w:tc>
        <w:tc>
          <w:tcPr>
            <w:tcW w:w="2546" w:type="dxa"/>
            <w:shd w:val="clear" w:color="auto" w:fill="auto"/>
            <w:noWrap/>
            <w:vAlign w:val="bottom"/>
          </w:tcPr>
          <w:p w14:paraId="2C32E091" w14:textId="5DF905DF" w:rsidR="00431826" w:rsidRPr="00B7083C" w:rsidRDefault="00431826" w:rsidP="00E30571">
            <w:pPr>
              <w:spacing w:line="360" w:lineRule="auto"/>
              <w:jc w:val="center"/>
              <w:rPr>
                <w:sz w:val="20"/>
                <w:szCs w:val="20"/>
              </w:rPr>
            </w:pPr>
            <w:r w:rsidRPr="00B7083C">
              <w:rPr>
                <w:sz w:val="20"/>
                <w:szCs w:val="20"/>
              </w:rPr>
              <w:t>…</w:t>
            </w:r>
          </w:p>
        </w:tc>
        <w:tc>
          <w:tcPr>
            <w:tcW w:w="2546" w:type="dxa"/>
            <w:shd w:val="clear" w:color="auto" w:fill="auto"/>
            <w:noWrap/>
            <w:vAlign w:val="bottom"/>
          </w:tcPr>
          <w:p w14:paraId="36DDE0F6" w14:textId="35632570" w:rsidR="00431826" w:rsidRPr="00B7083C" w:rsidRDefault="00431826" w:rsidP="00E30571">
            <w:pPr>
              <w:spacing w:line="360" w:lineRule="auto"/>
              <w:jc w:val="center"/>
              <w:rPr>
                <w:sz w:val="20"/>
                <w:szCs w:val="20"/>
              </w:rPr>
            </w:pPr>
            <w:r w:rsidRPr="00B7083C">
              <w:rPr>
                <w:sz w:val="20"/>
                <w:szCs w:val="20"/>
              </w:rPr>
              <w:t>…</w:t>
            </w:r>
          </w:p>
        </w:tc>
      </w:tr>
      <w:tr w:rsidR="00B7083C" w:rsidRPr="00B7083C" w14:paraId="5D1EA235" w14:textId="77777777" w:rsidTr="00B554B8">
        <w:trPr>
          <w:trHeight w:val="300"/>
        </w:trPr>
        <w:tc>
          <w:tcPr>
            <w:tcW w:w="3855" w:type="dxa"/>
            <w:shd w:val="clear" w:color="auto" w:fill="auto"/>
            <w:noWrap/>
            <w:vAlign w:val="bottom"/>
          </w:tcPr>
          <w:p w14:paraId="0DDE0CA1" w14:textId="03C9F572" w:rsidR="00431826" w:rsidRPr="00B7083C" w:rsidRDefault="00431826" w:rsidP="00B554B8">
            <w:pPr>
              <w:spacing w:line="360" w:lineRule="auto"/>
              <w:rPr>
                <w:i/>
                <w:sz w:val="20"/>
                <w:szCs w:val="20"/>
              </w:rPr>
            </w:pPr>
            <w:r w:rsidRPr="00B7083C">
              <w:rPr>
                <w:i/>
                <w:sz w:val="20"/>
                <w:szCs w:val="20"/>
              </w:rPr>
              <w:t>New Zealand</w:t>
            </w:r>
            <w:r w:rsidR="00DF7254" w:rsidRPr="00B7083C">
              <w:rPr>
                <w:i/>
                <w:sz w:val="20"/>
                <w:szCs w:val="20"/>
              </w:rPr>
              <w:t xml:space="preserve"> </w:t>
            </w:r>
            <w:r w:rsidR="0030334C" w:rsidRPr="00B7083C">
              <w:rPr>
                <w:rFonts w:ascii="Open Sans" w:hAnsi="Open Sans"/>
                <w:sz w:val="21"/>
                <w:szCs w:val="21"/>
                <w:vertAlign w:val="superscript"/>
              </w:rPr>
              <w:t>†</w:t>
            </w:r>
          </w:p>
        </w:tc>
        <w:tc>
          <w:tcPr>
            <w:tcW w:w="2546" w:type="dxa"/>
            <w:shd w:val="clear" w:color="auto" w:fill="auto"/>
            <w:noWrap/>
            <w:vAlign w:val="bottom"/>
          </w:tcPr>
          <w:p w14:paraId="1A9740D3" w14:textId="4918335E" w:rsidR="00431826" w:rsidRPr="00B7083C" w:rsidRDefault="00431826" w:rsidP="00E30571">
            <w:pPr>
              <w:spacing w:line="360" w:lineRule="auto"/>
              <w:jc w:val="center"/>
              <w:rPr>
                <w:sz w:val="20"/>
                <w:szCs w:val="20"/>
              </w:rPr>
            </w:pPr>
            <w:r w:rsidRPr="00B7083C">
              <w:rPr>
                <w:sz w:val="20"/>
                <w:szCs w:val="20"/>
              </w:rPr>
              <w:t>116 (</w:t>
            </w:r>
            <w:r w:rsidR="00182020" w:rsidRPr="00B7083C">
              <w:rPr>
                <w:sz w:val="20"/>
                <w:szCs w:val="20"/>
              </w:rPr>
              <w:t>40</w:t>
            </w:r>
            <w:r w:rsidR="00624EB0" w:rsidRPr="00B7083C">
              <w:rPr>
                <w:sz w:val="20"/>
                <w:szCs w:val="20"/>
              </w:rPr>
              <w:t>·</w:t>
            </w:r>
            <w:r w:rsidR="00182020" w:rsidRPr="00B7083C">
              <w:rPr>
                <w:sz w:val="20"/>
                <w:szCs w:val="20"/>
              </w:rPr>
              <w:t>0</w:t>
            </w:r>
            <w:r w:rsidRPr="00B7083C">
              <w:rPr>
                <w:sz w:val="20"/>
                <w:szCs w:val="20"/>
              </w:rPr>
              <w:t>%)</w:t>
            </w:r>
          </w:p>
        </w:tc>
        <w:tc>
          <w:tcPr>
            <w:tcW w:w="2546" w:type="dxa"/>
            <w:shd w:val="clear" w:color="auto" w:fill="auto"/>
            <w:noWrap/>
            <w:vAlign w:val="bottom"/>
          </w:tcPr>
          <w:p w14:paraId="379EAB4E" w14:textId="40776F32" w:rsidR="00431826" w:rsidRPr="00B7083C" w:rsidRDefault="00431826" w:rsidP="00E30571">
            <w:pPr>
              <w:spacing w:line="360" w:lineRule="auto"/>
              <w:jc w:val="center"/>
              <w:rPr>
                <w:sz w:val="20"/>
                <w:szCs w:val="20"/>
              </w:rPr>
            </w:pPr>
            <w:r w:rsidRPr="00B7083C">
              <w:rPr>
                <w:sz w:val="20"/>
                <w:szCs w:val="20"/>
              </w:rPr>
              <w:t>113 (</w:t>
            </w:r>
            <w:r w:rsidR="00182020" w:rsidRPr="00B7083C">
              <w:rPr>
                <w:sz w:val="20"/>
                <w:szCs w:val="20"/>
              </w:rPr>
              <w:t>38</w:t>
            </w:r>
            <w:r w:rsidR="00624EB0" w:rsidRPr="00B7083C">
              <w:rPr>
                <w:sz w:val="20"/>
                <w:szCs w:val="20"/>
              </w:rPr>
              <w:t>·</w:t>
            </w:r>
            <w:r w:rsidRPr="00B7083C">
              <w:rPr>
                <w:sz w:val="20"/>
                <w:szCs w:val="20"/>
              </w:rPr>
              <w:t>3%)</w:t>
            </w:r>
          </w:p>
        </w:tc>
      </w:tr>
      <w:tr w:rsidR="00B7083C" w:rsidRPr="00B7083C" w14:paraId="5703F307" w14:textId="77777777" w:rsidTr="00B554B8">
        <w:trPr>
          <w:trHeight w:val="300"/>
        </w:trPr>
        <w:tc>
          <w:tcPr>
            <w:tcW w:w="3855" w:type="dxa"/>
            <w:shd w:val="clear" w:color="auto" w:fill="auto"/>
            <w:noWrap/>
            <w:vAlign w:val="bottom"/>
          </w:tcPr>
          <w:p w14:paraId="081F4A20" w14:textId="0BF7161F" w:rsidR="00431826" w:rsidRPr="00B7083C" w:rsidRDefault="00431826" w:rsidP="00B554B8">
            <w:pPr>
              <w:spacing w:line="360" w:lineRule="auto"/>
              <w:rPr>
                <w:i/>
                <w:sz w:val="20"/>
                <w:szCs w:val="20"/>
              </w:rPr>
            </w:pPr>
            <w:r w:rsidRPr="00B7083C">
              <w:rPr>
                <w:i/>
                <w:sz w:val="20"/>
                <w:szCs w:val="20"/>
              </w:rPr>
              <w:t>Singapore</w:t>
            </w:r>
          </w:p>
        </w:tc>
        <w:tc>
          <w:tcPr>
            <w:tcW w:w="2546" w:type="dxa"/>
            <w:shd w:val="clear" w:color="auto" w:fill="auto"/>
            <w:noWrap/>
            <w:vAlign w:val="bottom"/>
          </w:tcPr>
          <w:p w14:paraId="336B5184" w14:textId="40F1B27F" w:rsidR="00431826" w:rsidRPr="00B7083C" w:rsidRDefault="00431826" w:rsidP="00E30571">
            <w:pPr>
              <w:spacing w:line="360" w:lineRule="auto"/>
              <w:jc w:val="center"/>
              <w:rPr>
                <w:sz w:val="20"/>
                <w:szCs w:val="20"/>
              </w:rPr>
            </w:pPr>
            <w:r w:rsidRPr="00B7083C">
              <w:rPr>
                <w:sz w:val="20"/>
                <w:szCs w:val="20"/>
              </w:rPr>
              <w:t>82 (</w:t>
            </w:r>
            <w:r w:rsidR="00182020" w:rsidRPr="00B7083C">
              <w:rPr>
                <w:sz w:val="20"/>
                <w:szCs w:val="20"/>
              </w:rPr>
              <w:t>28</w:t>
            </w:r>
            <w:r w:rsidR="00624EB0" w:rsidRPr="00B7083C">
              <w:rPr>
                <w:sz w:val="20"/>
                <w:szCs w:val="20"/>
              </w:rPr>
              <w:t>·</w:t>
            </w:r>
            <w:r w:rsidR="00182020" w:rsidRPr="00B7083C">
              <w:rPr>
                <w:sz w:val="20"/>
                <w:szCs w:val="20"/>
              </w:rPr>
              <w:t>3</w:t>
            </w:r>
            <w:r w:rsidRPr="00B7083C">
              <w:rPr>
                <w:sz w:val="20"/>
                <w:szCs w:val="20"/>
              </w:rPr>
              <w:t>%)</w:t>
            </w:r>
          </w:p>
        </w:tc>
        <w:tc>
          <w:tcPr>
            <w:tcW w:w="2546" w:type="dxa"/>
            <w:shd w:val="clear" w:color="auto" w:fill="auto"/>
            <w:noWrap/>
            <w:vAlign w:val="bottom"/>
          </w:tcPr>
          <w:p w14:paraId="37230F05" w14:textId="13598A1B" w:rsidR="00431826" w:rsidRPr="00B7083C" w:rsidRDefault="00431826" w:rsidP="00E30571">
            <w:pPr>
              <w:spacing w:line="360" w:lineRule="auto"/>
              <w:jc w:val="center"/>
              <w:rPr>
                <w:sz w:val="20"/>
                <w:szCs w:val="20"/>
              </w:rPr>
            </w:pPr>
            <w:r w:rsidRPr="00B7083C">
              <w:rPr>
                <w:sz w:val="20"/>
                <w:szCs w:val="20"/>
              </w:rPr>
              <w:t>84 (</w:t>
            </w:r>
            <w:r w:rsidR="00182020" w:rsidRPr="00B7083C">
              <w:rPr>
                <w:sz w:val="20"/>
                <w:szCs w:val="20"/>
              </w:rPr>
              <w:t>28</w:t>
            </w:r>
            <w:r w:rsidR="00624EB0" w:rsidRPr="00B7083C">
              <w:rPr>
                <w:sz w:val="20"/>
                <w:szCs w:val="20"/>
              </w:rPr>
              <w:t>·</w:t>
            </w:r>
            <w:r w:rsidR="00182020" w:rsidRPr="00B7083C">
              <w:rPr>
                <w:sz w:val="20"/>
                <w:szCs w:val="20"/>
              </w:rPr>
              <w:t>5</w:t>
            </w:r>
            <w:r w:rsidRPr="00B7083C">
              <w:rPr>
                <w:sz w:val="20"/>
                <w:szCs w:val="20"/>
              </w:rPr>
              <w:t>%)</w:t>
            </w:r>
          </w:p>
        </w:tc>
      </w:tr>
      <w:tr w:rsidR="00B7083C" w:rsidRPr="00B7083C" w14:paraId="323C0B90" w14:textId="77777777" w:rsidTr="00B554B8">
        <w:trPr>
          <w:trHeight w:val="300"/>
        </w:trPr>
        <w:tc>
          <w:tcPr>
            <w:tcW w:w="3855" w:type="dxa"/>
            <w:shd w:val="clear" w:color="auto" w:fill="auto"/>
            <w:noWrap/>
            <w:vAlign w:val="bottom"/>
          </w:tcPr>
          <w:p w14:paraId="19DA83A9" w14:textId="5E90F253" w:rsidR="00431826" w:rsidRPr="00B7083C" w:rsidRDefault="00431826" w:rsidP="00B554B8">
            <w:pPr>
              <w:spacing w:line="360" w:lineRule="auto"/>
              <w:rPr>
                <w:i/>
                <w:sz w:val="20"/>
                <w:szCs w:val="20"/>
              </w:rPr>
            </w:pPr>
            <w:r w:rsidRPr="00B7083C">
              <w:rPr>
                <w:i/>
                <w:sz w:val="20"/>
                <w:szCs w:val="20"/>
              </w:rPr>
              <w:t>United Kingdom</w:t>
            </w:r>
            <w:r w:rsidR="00DF7254" w:rsidRPr="00B7083C">
              <w:rPr>
                <w:i/>
                <w:sz w:val="20"/>
                <w:szCs w:val="20"/>
              </w:rPr>
              <w:t xml:space="preserve"> </w:t>
            </w:r>
            <w:r w:rsidR="007231C6" w:rsidRPr="00B7083C">
              <w:rPr>
                <w:rFonts w:ascii="Open Sans" w:hAnsi="Open Sans" w:hint="eastAsia"/>
                <w:sz w:val="21"/>
                <w:szCs w:val="21"/>
                <w:vertAlign w:val="superscript"/>
              </w:rPr>
              <w:t>‡</w:t>
            </w:r>
          </w:p>
        </w:tc>
        <w:tc>
          <w:tcPr>
            <w:tcW w:w="2546" w:type="dxa"/>
            <w:shd w:val="clear" w:color="auto" w:fill="auto"/>
            <w:noWrap/>
            <w:vAlign w:val="bottom"/>
          </w:tcPr>
          <w:p w14:paraId="6EF9AA88" w14:textId="6D13EAB9" w:rsidR="00431826" w:rsidRPr="00B7083C" w:rsidRDefault="00431826" w:rsidP="00E30571">
            <w:pPr>
              <w:spacing w:line="360" w:lineRule="auto"/>
              <w:jc w:val="center"/>
              <w:rPr>
                <w:sz w:val="20"/>
                <w:szCs w:val="20"/>
              </w:rPr>
            </w:pPr>
            <w:r w:rsidRPr="00B7083C">
              <w:rPr>
                <w:sz w:val="20"/>
                <w:szCs w:val="20"/>
              </w:rPr>
              <w:t>92 (</w:t>
            </w:r>
            <w:r w:rsidR="00182020" w:rsidRPr="00B7083C">
              <w:rPr>
                <w:sz w:val="20"/>
                <w:szCs w:val="20"/>
              </w:rPr>
              <w:t>31</w:t>
            </w:r>
            <w:r w:rsidR="00624EB0" w:rsidRPr="00B7083C">
              <w:rPr>
                <w:sz w:val="20"/>
                <w:szCs w:val="20"/>
              </w:rPr>
              <w:t>·</w:t>
            </w:r>
            <w:r w:rsidR="00182020" w:rsidRPr="00B7083C">
              <w:rPr>
                <w:sz w:val="20"/>
                <w:szCs w:val="20"/>
              </w:rPr>
              <w:t>7</w:t>
            </w:r>
            <w:r w:rsidRPr="00B7083C">
              <w:rPr>
                <w:sz w:val="20"/>
                <w:szCs w:val="20"/>
              </w:rPr>
              <w:t>%)</w:t>
            </w:r>
          </w:p>
        </w:tc>
        <w:tc>
          <w:tcPr>
            <w:tcW w:w="2546" w:type="dxa"/>
            <w:shd w:val="clear" w:color="auto" w:fill="auto"/>
            <w:noWrap/>
            <w:vAlign w:val="bottom"/>
          </w:tcPr>
          <w:p w14:paraId="7B100FD3" w14:textId="3020AEE6" w:rsidR="00431826" w:rsidRPr="00B7083C" w:rsidRDefault="00431826" w:rsidP="00E30571">
            <w:pPr>
              <w:spacing w:line="360" w:lineRule="auto"/>
              <w:jc w:val="center"/>
              <w:rPr>
                <w:sz w:val="20"/>
                <w:szCs w:val="20"/>
              </w:rPr>
            </w:pPr>
            <w:r w:rsidRPr="00B7083C">
              <w:rPr>
                <w:sz w:val="20"/>
                <w:szCs w:val="20"/>
              </w:rPr>
              <w:t>98 (</w:t>
            </w:r>
            <w:r w:rsidR="00182020" w:rsidRPr="00B7083C">
              <w:rPr>
                <w:sz w:val="20"/>
                <w:szCs w:val="20"/>
              </w:rPr>
              <w:t>33</w:t>
            </w:r>
            <w:r w:rsidR="00624EB0" w:rsidRPr="00B7083C">
              <w:rPr>
                <w:sz w:val="20"/>
                <w:szCs w:val="20"/>
              </w:rPr>
              <w:t>·</w:t>
            </w:r>
            <w:r w:rsidR="00182020" w:rsidRPr="00B7083C">
              <w:rPr>
                <w:sz w:val="20"/>
                <w:szCs w:val="20"/>
              </w:rPr>
              <w:t>2</w:t>
            </w:r>
            <w:r w:rsidRPr="00B7083C">
              <w:rPr>
                <w:sz w:val="20"/>
                <w:szCs w:val="20"/>
              </w:rPr>
              <w:t>%)</w:t>
            </w:r>
          </w:p>
        </w:tc>
      </w:tr>
      <w:tr w:rsidR="00B7083C" w:rsidRPr="00B7083C" w14:paraId="79E57C53" w14:textId="77777777" w:rsidTr="00B554B8">
        <w:trPr>
          <w:trHeight w:val="300"/>
        </w:trPr>
        <w:tc>
          <w:tcPr>
            <w:tcW w:w="3855" w:type="dxa"/>
            <w:shd w:val="clear" w:color="auto" w:fill="auto"/>
            <w:noWrap/>
            <w:vAlign w:val="bottom"/>
            <w:hideMark/>
          </w:tcPr>
          <w:p w14:paraId="7517F2EC" w14:textId="77777777" w:rsidR="00431826" w:rsidRPr="00B7083C" w:rsidRDefault="00431826" w:rsidP="00E30571">
            <w:pPr>
              <w:spacing w:line="360" w:lineRule="auto"/>
              <w:rPr>
                <w:b/>
                <w:sz w:val="20"/>
                <w:szCs w:val="20"/>
              </w:rPr>
            </w:pPr>
            <w:r w:rsidRPr="00B7083C">
              <w:rPr>
                <w:b/>
                <w:sz w:val="20"/>
                <w:szCs w:val="20"/>
              </w:rPr>
              <w:t>Nulliparous</w:t>
            </w:r>
          </w:p>
        </w:tc>
        <w:tc>
          <w:tcPr>
            <w:tcW w:w="2546" w:type="dxa"/>
            <w:shd w:val="clear" w:color="auto" w:fill="auto"/>
            <w:noWrap/>
            <w:vAlign w:val="bottom"/>
            <w:hideMark/>
          </w:tcPr>
          <w:p w14:paraId="32CF31E9" w14:textId="1DA30F4D" w:rsidR="00431826" w:rsidRPr="00B7083C" w:rsidRDefault="00431826" w:rsidP="00E30571">
            <w:pPr>
              <w:spacing w:line="360" w:lineRule="auto"/>
              <w:jc w:val="center"/>
              <w:rPr>
                <w:sz w:val="20"/>
                <w:szCs w:val="20"/>
              </w:rPr>
            </w:pPr>
            <w:r w:rsidRPr="00B7083C">
              <w:rPr>
                <w:sz w:val="20"/>
                <w:szCs w:val="20"/>
              </w:rPr>
              <w:t>200 (6</w:t>
            </w:r>
            <w:r w:rsidR="007A0A22" w:rsidRPr="00B7083C">
              <w:rPr>
                <w:sz w:val="20"/>
                <w:szCs w:val="20"/>
              </w:rPr>
              <w:t>9</w:t>
            </w:r>
            <w:r w:rsidR="00624EB0" w:rsidRPr="00B7083C">
              <w:rPr>
                <w:sz w:val="20"/>
                <w:szCs w:val="20"/>
              </w:rPr>
              <w:t>·</w:t>
            </w:r>
            <w:r w:rsidR="007A0A22" w:rsidRPr="00B7083C">
              <w:rPr>
                <w:sz w:val="20"/>
                <w:szCs w:val="20"/>
              </w:rPr>
              <w:t>0</w:t>
            </w:r>
            <w:r w:rsidRPr="00B7083C">
              <w:rPr>
                <w:sz w:val="20"/>
                <w:szCs w:val="20"/>
              </w:rPr>
              <w:t xml:space="preserve">%) </w:t>
            </w:r>
          </w:p>
        </w:tc>
        <w:tc>
          <w:tcPr>
            <w:tcW w:w="2546" w:type="dxa"/>
            <w:shd w:val="clear" w:color="auto" w:fill="auto"/>
            <w:noWrap/>
            <w:vAlign w:val="bottom"/>
            <w:hideMark/>
          </w:tcPr>
          <w:p w14:paraId="51BA79F5" w14:textId="645EBA16" w:rsidR="00431826" w:rsidRPr="00B7083C" w:rsidRDefault="00431826" w:rsidP="00E30571">
            <w:pPr>
              <w:spacing w:line="360" w:lineRule="auto"/>
              <w:jc w:val="center"/>
              <w:rPr>
                <w:sz w:val="20"/>
                <w:szCs w:val="20"/>
              </w:rPr>
            </w:pPr>
            <w:r w:rsidRPr="00B7083C">
              <w:rPr>
                <w:sz w:val="20"/>
                <w:szCs w:val="20"/>
              </w:rPr>
              <w:t>171 (5</w:t>
            </w:r>
            <w:r w:rsidR="007A0A22" w:rsidRPr="00B7083C">
              <w:rPr>
                <w:sz w:val="20"/>
                <w:szCs w:val="20"/>
              </w:rPr>
              <w:t>8</w:t>
            </w:r>
            <w:r w:rsidR="00624EB0" w:rsidRPr="00B7083C">
              <w:rPr>
                <w:sz w:val="20"/>
                <w:szCs w:val="20"/>
              </w:rPr>
              <w:t>·</w:t>
            </w:r>
            <w:r w:rsidR="007A0A22" w:rsidRPr="00B7083C">
              <w:rPr>
                <w:sz w:val="20"/>
                <w:szCs w:val="20"/>
              </w:rPr>
              <w:t>0</w:t>
            </w:r>
            <w:r w:rsidRPr="00B7083C">
              <w:rPr>
                <w:sz w:val="20"/>
                <w:szCs w:val="20"/>
              </w:rPr>
              <w:t xml:space="preserve">%) </w:t>
            </w:r>
          </w:p>
        </w:tc>
      </w:tr>
      <w:tr w:rsidR="00B7083C" w:rsidRPr="00B7083C" w14:paraId="090EEDF2" w14:textId="77777777" w:rsidTr="00B554B8">
        <w:trPr>
          <w:trHeight w:val="300"/>
        </w:trPr>
        <w:tc>
          <w:tcPr>
            <w:tcW w:w="3855" w:type="dxa"/>
            <w:shd w:val="clear" w:color="auto" w:fill="auto"/>
            <w:noWrap/>
            <w:vAlign w:val="bottom"/>
            <w:hideMark/>
          </w:tcPr>
          <w:p w14:paraId="73DF7190" w14:textId="77777777" w:rsidR="00431826" w:rsidRPr="00B7083C" w:rsidRDefault="00431826" w:rsidP="00E30571">
            <w:pPr>
              <w:spacing w:line="360" w:lineRule="auto"/>
              <w:rPr>
                <w:b/>
                <w:sz w:val="20"/>
                <w:szCs w:val="20"/>
              </w:rPr>
            </w:pPr>
            <w:r w:rsidRPr="00B7083C">
              <w:rPr>
                <w:b/>
                <w:sz w:val="20"/>
                <w:szCs w:val="20"/>
              </w:rPr>
              <w:t>Smoker</w:t>
            </w:r>
          </w:p>
        </w:tc>
        <w:tc>
          <w:tcPr>
            <w:tcW w:w="2546" w:type="dxa"/>
            <w:shd w:val="clear" w:color="auto" w:fill="auto"/>
            <w:noWrap/>
            <w:vAlign w:val="bottom"/>
            <w:hideMark/>
          </w:tcPr>
          <w:p w14:paraId="5E14936D" w14:textId="2115BF54" w:rsidR="00431826" w:rsidRPr="00B7083C" w:rsidRDefault="00431826" w:rsidP="00E30571">
            <w:pPr>
              <w:spacing w:line="360" w:lineRule="auto"/>
              <w:jc w:val="center"/>
              <w:rPr>
                <w:sz w:val="20"/>
                <w:szCs w:val="20"/>
              </w:rPr>
            </w:pPr>
            <w:r w:rsidRPr="00B7083C">
              <w:rPr>
                <w:sz w:val="20"/>
                <w:szCs w:val="20"/>
              </w:rPr>
              <w:t>12 (4</w:t>
            </w:r>
            <w:r w:rsidR="00624EB0" w:rsidRPr="00B7083C">
              <w:rPr>
                <w:sz w:val="20"/>
                <w:szCs w:val="20"/>
              </w:rPr>
              <w:t>·</w:t>
            </w:r>
            <w:r w:rsidR="007A0A22" w:rsidRPr="00B7083C">
              <w:rPr>
                <w:sz w:val="20"/>
                <w:szCs w:val="20"/>
              </w:rPr>
              <w:t>2</w:t>
            </w:r>
            <w:r w:rsidRPr="00B7083C">
              <w:rPr>
                <w:sz w:val="20"/>
                <w:szCs w:val="20"/>
              </w:rPr>
              <w:t xml:space="preserve">%) </w:t>
            </w:r>
          </w:p>
        </w:tc>
        <w:tc>
          <w:tcPr>
            <w:tcW w:w="2546" w:type="dxa"/>
            <w:shd w:val="clear" w:color="auto" w:fill="auto"/>
            <w:noWrap/>
            <w:vAlign w:val="bottom"/>
            <w:hideMark/>
          </w:tcPr>
          <w:p w14:paraId="5668AF03" w14:textId="5A59AB1E" w:rsidR="00431826" w:rsidRPr="00B7083C" w:rsidRDefault="00431826" w:rsidP="00E30571">
            <w:pPr>
              <w:spacing w:line="360" w:lineRule="auto"/>
              <w:jc w:val="center"/>
              <w:rPr>
                <w:sz w:val="20"/>
                <w:szCs w:val="20"/>
              </w:rPr>
            </w:pPr>
            <w:r w:rsidRPr="00B7083C">
              <w:rPr>
                <w:sz w:val="20"/>
                <w:szCs w:val="20"/>
              </w:rPr>
              <w:t>12 (4</w:t>
            </w:r>
            <w:r w:rsidR="00624EB0" w:rsidRPr="00B7083C">
              <w:rPr>
                <w:sz w:val="20"/>
                <w:szCs w:val="20"/>
              </w:rPr>
              <w:t>·</w:t>
            </w:r>
            <w:r w:rsidR="007A0A22" w:rsidRPr="00B7083C">
              <w:rPr>
                <w:sz w:val="20"/>
                <w:szCs w:val="20"/>
              </w:rPr>
              <w:t>1</w:t>
            </w:r>
            <w:r w:rsidRPr="00B7083C">
              <w:rPr>
                <w:sz w:val="20"/>
                <w:szCs w:val="20"/>
              </w:rPr>
              <w:t xml:space="preserve">%) </w:t>
            </w:r>
          </w:p>
        </w:tc>
      </w:tr>
      <w:tr w:rsidR="00B7083C" w:rsidRPr="00B7083C" w14:paraId="1DCF3402" w14:textId="77777777" w:rsidTr="00B554B8">
        <w:trPr>
          <w:trHeight w:val="300"/>
        </w:trPr>
        <w:tc>
          <w:tcPr>
            <w:tcW w:w="3855" w:type="dxa"/>
            <w:shd w:val="clear" w:color="auto" w:fill="auto"/>
            <w:noWrap/>
            <w:vAlign w:val="bottom"/>
            <w:hideMark/>
          </w:tcPr>
          <w:p w14:paraId="1CCB06F4" w14:textId="77777777" w:rsidR="00431826" w:rsidRPr="00B7083C" w:rsidRDefault="00431826" w:rsidP="00E30571">
            <w:pPr>
              <w:spacing w:line="360" w:lineRule="auto"/>
              <w:rPr>
                <w:b/>
                <w:sz w:val="20"/>
                <w:szCs w:val="20"/>
              </w:rPr>
            </w:pPr>
            <w:r w:rsidRPr="00B7083C">
              <w:rPr>
                <w:b/>
                <w:sz w:val="20"/>
                <w:szCs w:val="20"/>
              </w:rPr>
              <w:t>Family history of Type 2 diabetes</w:t>
            </w:r>
          </w:p>
        </w:tc>
        <w:tc>
          <w:tcPr>
            <w:tcW w:w="2546" w:type="dxa"/>
            <w:shd w:val="clear" w:color="auto" w:fill="auto"/>
            <w:noWrap/>
            <w:vAlign w:val="bottom"/>
            <w:hideMark/>
          </w:tcPr>
          <w:p w14:paraId="33D66E4C" w14:textId="3D06812E" w:rsidR="00431826" w:rsidRPr="00B7083C" w:rsidRDefault="00431826" w:rsidP="00E30571">
            <w:pPr>
              <w:spacing w:line="360" w:lineRule="auto"/>
              <w:jc w:val="center"/>
              <w:rPr>
                <w:sz w:val="20"/>
                <w:szCs w:val="20"/>
              </w:rPr>
            </w:pPr>
            <w:r w:rsidRPr="00B7083C">
              <w:rPr>
                <w:sz w:val="20"/>
                <w:szCs w:val="20"/>
              </w:rPr>
              <w:t>79 (27</w:t>
            </w:r>
            <w:r w:rsidR="00624EB0" w:rsidRPr="00B7083C">
              <w:rPr>
                <w:sz w:val="20"/>
                <w:szCs w:val="20"/>
              </w:rPr>
              <w:t>·</w:t>
            </w:r>
            <w:r w:rsidRPr="00B7083C">
              <w:rPr>
                <w:sz w:val="20"/>
                <w:szCs w:val="20"/>
              </w:rPr>
              <w:t xml:space="preserve">2%) </w:t>
            </w:r>
          </w:p>
        </w:tc>
        <w:tc>
          <w:tcPr>
            <w:tcW w:w="2546" w:type="dxa"/>
            <w:shd w:val="clear" w:color="auto" w:fill="auto"/>
            <w:noWrap/>
            <w:vAlign w:val="bottom"/>
            <w:hideMark/>
          </w:tcPr>
          <w:p w14:paraId="4452212A" w14:textId="3D968F0A" w:rsidR="00431826" w:rsidRPr="00B7083C" w:rsidRDefault="00431826" w:rsidP="00E30571">
            <w:pPr>
              <w:spacing w:line="360" w:lineRule="auto"/>
              <w:jc w:val="center"/>
              <w:rPr>
                <w:sz w:val="20"/>
                <w:szCs w:val="20"/>
              </w:rPr>
            </w:pPr>
            <w:r w:rsidRPr="00B7083C">
              <w:rPr>
                <w:sz w:val="20"/>
                <w:szCs w:val="20"/>
              </w:rPr>
              <w:t>56 (19</w:t>
            </w:r>
            <w:r w:rsidR="00624EB0" w:rsidRPr="00B7083C">
              <w:rPr>
                <w:sz w:val="20"/>
                <w:szCs w:val="20"/>
              </w:rPr>
              <w:t>·</w:t>
            </w:r>
            <w:r w:rsidR="007A0A22" w:rsidRPr="00B7083C">
              <w:rPr>
                <w:sz w:val="20"/>
                <w:szCs w:val="20"/>
              </w:rPr>
              <w:t>1</w:t>
            </w:r>
            <w:r w:rsidRPr="00B7083C">
              <w:rPr>
                <w:sz w:val="20"/>
                <w:szCs w:val="20"/>
              </w:rPr>
              <w:t xml:space="preserve">%) </w:t>
            </w:r>
          </w:p>
        </w:tc>
      </w:tr>
      <w:tr w:rsidR="00B7083C" w:rsidRPr="00B7083C" w14:paraId="24F0454D" w14:textId="77777777" w:rsidTr="00B554B8">
        <w:trPr>
          <w:trHeight w:val="300"/>
        </w:trPr>
        <w:tc>
          <w:tcPr>
            <w:tcW w:w="3855" w:type="dxa"/>
            <w:shd w:val="clear" w:color="auto" w:fill="auto"/>
            <w:noWrap/>
            <w:vAlign w:val="bottom"/>
            <w:hideMark/>
          </w:tcPr>
          <w:p w14:paraId="310AEBD9" w14:textId="77777777" w:rsidR="00431826" w:rsidRPr="00B7083C" w:rsidRDefault="00431826" w:rsidP="00E30571">
            <w:pPr>
              <w:spacing w:line="360" w:lineRule="auto"/>
              <w:rPr>
                <w:b/>
                <w:bCs/>
                <w:sz w:val="20"/>
                <w:szCs w:val="20"/>
              </w:rPr>
            </w:pPr>
            <w:r w:rsidRPr="00B7083C">
              <w:rPr>
                <w:b/>
                <w:bCs/>
                <w:sz w:val="20"/>
                <w:szCs w:val="20"/>
              </w:rPr>
              <w:t xml:space="preserve">Household Income quintile  </w:t>
            </w:r>
          </w:p>
        </w:tc>
        <w:tc>
          <w:tcPr>
            <w:tcW w:w="2546" w:type="dxa"/>
            <w:shd w:val="clear" w:color="auto" w:fill="auto"/>
            <w:noWrap/>
            <w:vAlign w:val="bottom"/>
            <w:hideMark/>
          </w:tcPr>
          <w:p w14:paraId="0B06A360" w14:textId="77777777" w:rsidR="00431826" w:rsidRPr="00B7083C" w:rsidRDefault="00431826" w:rsidP="00E30571">
            <w:pPr>
              <w:spacing w:line="360" w:lineRule="auto"/>
              <w:jc w:val="center"/>
              <w:rPr>
                <w:sz w:val="20"/>
                <w:szCs w:val="20"/>
              </w:rPr>
            </w:pPr>
            <w:r w:rsidRPr="00B7083C">
              <w:rPr>
                <w:sz w:val="20"/>
                <w:szCs w:val="20"/>
              </w:rPr>
              <w:t>…</w:t>
            </w:r>
          </w:p>
        </w:tc>
        <w:tc>
          <w:tcPr>
            <w:tcW w:w="2546" w:type="dxa"/>
            <w:shd w:val="clear" w:color="auto" w:fill="auto"/>
            <w:noWrap/>
            <w:vAlign w:val="bottom"/>
            <w:hideMark/>
          </w:tcPr>
          <w:p w14:paraId="18B64E8D" w14:textId="77777777" w:rsidR="00431826" w:rsidRPr="00B7083C" w:rsidRDefault="00431826" w:rsidP="00E30571">
            <w:pPr>
              <w:spacing w:line="360" w:lineRule="auto"/>
              <w:jc w:val="center"/>
              <w:rPr>
                <w:sz w:val="20"/>
                <w:szCs w:val="20"/>
              </w:rPr>
            </w:pPr>
            <w:r w:rsidRPr="00B7083C">
              <w:rPr>
                <w:sz w:val="20"/>
                <w:szCs w:val="20"/>
              </w:rPr>
              <w:t>…</w:t>
            </w:r>
          </w:p>
        </w:tc>
      </w:tr>
      <w:tr w:rsidR="00B7083C" w:rsidRPr="00B7083C" w14:paraId="127FD7E8" w14:textId="77777777" w:rsidTr="00B554B8">
        <w:trPr>
          <w:trHeight w:val="300"/>
        </w:trPr>
        <w:tc>
          <w:tcPr>
            <w:tcW w:w="3855" w:type="dxa"/>
            <w:shd w:val="clear" w:color="auto" w:fill="auto"/>
            <w:noWrap/>
            <w:vAlign w:val="bottom"/>
            <w:hideMark/>
          </w:tcPr>
          <w:p w14:paraId="309F58CA" w14:textId="77777777" w:rsidR="00431826" w:rsidRPr="00B7083C" w:rsidRDefault="00431826" w:rsidP="00B554B8">
            <w:pPr>
              <w:spacing w:line="360" w:lineRule="auto"/>
              <w:rPr>
                <w:i/>
                <w:sz w:val="20"/>
                <w:szCs w:val="20"/>
              </w:rPr>
            </w:pPr>
            <w:r w:rsidRPr="00B7083C">
              <w:rPr>
                <w:i/>
                <w:sz w:val="20"/>
                <w:szCs w:val="20"/>
              </w:rPr>
              <w:t>5 (lowest)</w:t>
            </w:r>
          </w:p>
        </w:tc>
        <w:tc>
          <w:tcPr>
            <w:tcW w:w="2546" w:type="dxa"/>
            <w:shd w:val="clear" w:color="auto" w:fill="auto"/>
            <w:noWrap/>
            <w:vAlign w:val="bottom"/>
            <w:hideMark/>
          </w:tcPr>
          <w:p w14:paraId="6C1E119A" w14:textId="53FA377E" w:rsidR="00431826" w:rsidRPr="00B7083C" w:rsidRDefault="00431826" w:rsidP="00E30571">
            <w:pPr>
              <w:spacing w:line="360" w:lineRule="auto"/>
              <w:jc w:val="center"/>
              <w:rPr>
                <w:sz w:val="20"/>
                <w:szCs w:val="20"/>
              </w:rPr>
            </w:pPr>
            <w:r w:rsidRPr="00B7083C">
              <w:rPr>
                <w:sz w:val="20"/>
                <w:szCs w:val="20"/>
              </w:rPr>
              <w:t>5 (1</w:t>
            </w:r>
            <w:r w:rsidR="00624EB0" w:rsidRPr="00B7083C">
              <w:rPr>
                <w:sz w:val="20"/>
                <w:szCs w:val="20"/>
              </w:rPr>
              <w:t>·</w:t>
            </w:r>
            <w:r w:rsidRPr="00B7083C">
              <w:rPr>
                <w:sz w:val="20"/>
                <w:szCs w:val="20"/>
              </w:rPr>
              <w:t>7%)</w:t>
            </w:r>
          </w:p>
        </w:tc>
        <w:tc>
          <w:tcPr>
            <w:tcW w:w="2546" w:type="dxa"/>
            <w:shd w:val="clear" w:color="auto" w:fill="auto"/>
            <w:noWrap/>
            <w:vAlign w:val="bottom"/>
            <w:hideMark/>
          </w:tcPr>
          <w:p w14:paraId="58962114" w14:textId="412FB3D7" w:rsidR="00431826" w:rsidRPr="00B7083C" w:rsidRDefault="00431826" w:rsidP="00E30571">
            <w:pPr>
              <w:spacing w:line="360" w:lineRule="auto"/>
              <w:jc w:val="center"/>
              <w:rPr>
                <w:sz w:val="20"/>
                <w:szCs w:val="20"/>
              </w:rPr>
            </w:pPr>
            <w:r w:rsidRPr="00B7083C">
              <w:rPr>
                <w:sz w:val="20"/>
                <w:szCs w:val="20"/>
              </w:rPr>
              <w:t>2 (0</w:t>
            </w:r>
            <w:r w:rsidR="00624EB0" w:rsidRPr="00B7083C">
              <w:rPr>
                <w:sz w:val="20"/>
                <w:szCs w:val="20"/>
              </w:rPr>
              <w:t>·</w:t>
            </w:r>
            <w:r w:rsidR="007A0A22" w:rsidRPr="00B7083C">
              <w:rPr>
                <w:sz w:val="20"/>
                <w:szCs w:val="20"/>
              </w:rPr>
              <w:t>7</w:t>
            </w:r>
            <w:r w:rsidRPr="00B7083C">
              <w:rPr>
                <w:sz w:val="20"/>
                <w:szCs w:val="20"/>
              </w:rPr>
              <w:t>%)</w:t>
            </w:r>
          </w:p>
        </w:tc>
      </w:tr>
      <w:tr w:rsidR="00B7083C" w:rsidRPr="00B7083C" w14:paraId="21CB2899" w14:textId="77777777" w:rsidTr="00B554B8">
        <w:trPr>
          <w:trHeight w:val="300"/>
        </w:trPr>
        <w:tc>
          <w:tcPr>
            <w:tcW w:w="3855" w:type="dxa"/>
            <w:shd w:val="clear" w:color="auto" w:fill="auto"/>
            <w:noWrap/>
            <w:vAlign w:val="bottom"/>
            <w:hideMark/>
          </w:tcPr>
          <w:p w14:paraId="4D8A9860" w14:textId="77777777" w:rsidR="00431826" w:rsidRPr="00B7083C" w:rsidRDefault="00431826" w:rsidP="00B554B8">
            <w:pPr>
              <w:spacing w:line="360" w:lineRule="auto"/>
              <w:rPr>
                <w:i/>
                <w:sz w:val="20"/>
                <w:szCs w:val="20"/>
              </w:rPr>
            </w:pPr>
            <w:r w:rsidRPr="00B7083C">
              <w:rPr>
                <w:i/>
                <w:sz w:val="20"/>
                <w:szCs w:val="20"/>
              </w:rPr>
              <w:t>4</w:t>
            </w:r>
          </w:p>
        </w:tc>
        <w:tc>
          <w:tcPr>
            <w:tcW w:w="2546" w:type="dxa"/>
            <w:shd w:val="clear" w:color="auto" w:fill="auto"/>
            <w:noWrap/>
            <w:vAlign w:val="bottom"/>
            <w:hideMark/>
          </w:tcPr>
          <w:p w14:paraId="59048473" w14:textId="5E131B7E" w:rsidR="00431826" w:rsidRPr="00B7083C" w:rsidRDefault="00431826" w:rsidP="00E30571">
            <w:pPr>
              <w:spacing w:line="360" w:lineRule="auto"/>
              <w:jc w:val="center"/>
              <w:rPr>
                <w:sz w:val="20"/>
                <w:szCs w:val="20"/>
              </w:rPr>
            </w:pPr>
            <w:r w:rsidRPr="00B7083C">
              <w:rPr>
                <w:sz w:val="20"/>
                <w:szCs w:val="20"/>
              </w:rPr>
              <w:t>20 (6</w:t>
            </w:r>
            <w:r w:rsidR="00624EB0" w:rsidRPr="00B7083C">
              <w:rPr>
                <w:sz w:val="20"/>
                <w:szCs w:val="20"/>
              </w:rPr>
              <w:t>·</w:t>
            </w:r>
            <w:r w:rsidRPr="00B7083C">
              <w:rPr>
                <w:sz w:val="20"/>
                <w:szCs w:val="20"/>
              </w:rPr>
              <w:t>9%)</w:t>
            </w:r>
          </w:p>
        </w:tc>
        <w:tc>
          <w:tcPr>
            <w:tcW w:w="2546" w:type="dxa"/>
            <w:shd w:val="clear" w:color="auto" w:fill="auto"/>
            <w:noWrap/>
            <w:vAlign w:val="bottom"/>
            <w:hideMark/>
          </w:tcPr>
          <w:p w14:paraId="1D5A06FF" w14:textId="1E128931" w:rsidR="00431826" w:rsidRPr="00B7083C" w:rsidRDefault="00431826" w:rsidP="00E30571">
            <w:pPr>
              <w:spacing w:line="360" w:lineRule="auto"/>
              <w:jc w:val="center"/>
              <w:rPr>
                <w:sz w:val="20"/>
                <w:szCs w:val="20"/>
              </w:rPr>
            </w:pPr>
            <w:r w:rsidRPr="00B7083C">
              <w:rPr>
                <w:sz w:val="20"/>
                <w:szCs w:val="20"/>
              </w:rPr>
              <w:t>24 (8</w:t>
            </w:r>
            <w:r w:rsidR="00624EB0" w:rsidRPr="00B7083C">
              <w:rPr>
                <w:sz w:val="20"/>
                <w:szCs w:val="20"/>
              </w:rPr>
              <w:t>·</w:t>
            </w:r>
            <w:r w:rsidRPr="00B7083C">
              <w:rPr>
                <w:sz w:val="20"/>
                <w:szCs w:val="20"/>
              </w:rPr>
              <w:t>1%)</w:t>
            </w:r>
          </w:p>
        </w:tc>
      </w:tr>
      <w:tr w:rsidR="00B7083C" w:rsidRPr="00B7083C" w14:paraId="6A2FBE8D" w14:textId="77777777" w:rsidTr="00B554B8">
        <w:trPr>
          <w:trHeight w:val="300"/>
        </w:trPr>
        <w:tc>
          <w:tcPr>
            <w:tcW w:w="3855" w:type="dxa"/>
            <w:shd w:val="clear" w:color="auto" w:fill="auto"/>
            <w:noWrap/>
            <w:vAlign w:val="bottom"/>
            <w:hideMark/>
          </w:tcPr>
          <w:p w14:paraId="09E145C2" w14:textId="77777777" w:rsidR="00431826" w:rsidRPr="00B7083C" w:rsidRDefault="00431826" w:rsidP="00B554B8">
            <w:pPr>
              <w:spacing w:line="360" w:lineRule="auto"/>
              <w:rPr>
                <w:i/>
                <w:sz w:val="20"/>
                <w:szCs w:val="20"/>
              </w:rPr>
            </w:pPr>
            <w:r w:rsidRPr="00B7083C">
              <w:rPr>
                <w:i/>
                <w:sz w:val="20"/>
                <w:szCs w:val="20"/>
              </w:rPr>
              <w:t>3</w:t>
            </w:r>
          </w:p>
        </w:tc>
        <w:tc>
          <w:tcPr>
            <w:tcW w:w="2546" w:type="dxa"/>
            <w:shd w:val="clear" w:color="auto" w:fill="auto"/>
            <w:noWrap/>
            <w:vAlign w:val="bottom"/>
            <w:hideMark/>
          </w:tcPr>
          <w:p w14:paraId="223DE497" w14:textId="4825DD2A" w:rsidR="00431826" w:rsidRPr="00B7083C" w:rsidRDefault="00431826" w:rsidP="00E30571">
            <w:pPr>
              <w:spacing w:line="360" w:lineRule="auto"/>
              <w:jc w:val="center"/>
              <w:rPr>
                <w:sz w:val="20"/>
                <w:szCs w:val="20"/>
              </w:rPr>
            </w:pPr>
            <w:r w:rsidRPr="00B7083C">
              <w:rPr>
                <w:sz w:val="20"/>
                <w:szCs w:val="20"/>
              </w:rPr>
              <w:t>69 (23</w:t>
            </w:r>
            <w:r w:rsidR="00624EB0" w:rsidRPr="00B7083C">
              <w:rPr>
                <w:sz w:val="20"/>
                <w:szCs w:val="20"/>
              </w:rPr>
              <w:t>·</w:t>
            </w:r>
            <w:r w:rsidR="007A0A22" w:rsidRPr="00B7083C">
              <w:rPr>
                <w:sz w:val="20"/>
                <w:szCs w:val="20"/>
              </w:rPr>
              <w:t>8</w:t>
            </w:r>
            <w:r w:rsidRPr="00B7083C">
              <w:rPr>
                <w:sz w:val="20"/>
                <w:szCs w:val="20"/>
              </w:rPr>
              <w:t>%)</w:t>
            </w:r>
          </w:p>
        </w:tc>
        <w:tc>
          <w:tcPr>
            <w:tcW w:w="2546" w:type="dxa"/>
            <w:shd w:val="clear" w:color="auto" w:fill="auto"/>
            <w:noWrap/>
            <w:vAlign w:val="bottom"/>
            <w:hideMark/>
          </w:tcPr>
          <w:p w14:paraId="3B7748C7" w14:textId="6FA26F38" w:rsidR="00431826" w:rsidRPr="00B7083C" w:rsidRDefault="00431826" w:rsidP="00E30571">
            <w:pPr>
              <w:spacing w:line="360" w:lineRule="auto"/>
              <w:jc w:val="center"/>
              <w:rPr>
                <w:sz w:val="20"/>
                <w:szCs w:val="20"/>
              </w:rPr>
            </w:pPr>
            <w:r w:rsidRPr="00B7083C">
              <w:rPr>
                <w:sz w:val="20"/>
                <w:szCs w:val="20"/>
              </w:rPr>
              <w:t>54 (18</w:t>
            </w:r>
            <w:r w:rsidR="00624EB0" w:rsidRPr="00B7083C">
              <w:rPr>
                <w:sz w:val="20"/>
                <w:szCs w:val="20"/>
              </w:rPr>
              <w:t>·</w:t>
            </w:r>
            <w:r w:rsidRPr="00B7083C">
              <w:rPr>
                <w:sz w:val="20"/>
                <w:szCs w:val="20"/>
              </w:rPr>
              <w:t>3%)</w:t>
            </w:r>
          </w:p>
        </w:tc>
      </w:tr>
      <w:tr w:rsidR="00B7083C" w:rsidRPr="00B7083C" w14:paraId="6007E22F" w14:textId="77777777" w:rsidTr="00B554B8">
        <w:trPr>
          <w:trHeight w:val="300"/>
        </w:trPr>
        <w:tc>
          <w:tcPr>
            <w:tcW w:w="3855" w:type="dxa"/>
            <w:shd w:val="clear" w:color="auto" w:fill="auto"/>
            <w:noWrap/>
            <w:vAlign w:val="bottom"/>
            <w:hideMark/>
          </w:tcPr>
          <w:p w14:paraId="44AE1345" w14:textId="77777777" w:rsidR="00431826" w:rsidRPr="00B7083C" w:rsidRDefault="00431826" w:rsidP="00B554B8">
            <w:pPr>
              <w:spacing w:line="360" w:lineRule="auto"/>
              <w:rPr>
                <w:i/>
                <w:sz w:val="20"/>
                <w:szCs w:val="20"/>
              </w:rPr>
            </w:pPr>
            <w:r w:rsidRPr="00B7083C">
              <w:rPr>
                <w:i/>
                <w:sz w:val="20"/>
                <w:szCs w:val="20"/>
              </w:rPr>
              <w:t>2</w:t>
            </w:r>
          </w:p>
        </w:tc>
        <w:tc>
          <w:tcPr>
            <w:tcW w:w="2546" w:type="dxa"/>
            <w:shd w:val="clear" w:color="auto" w:fill="auto"/>
            <w:noWrap/>
            <w:vAlign w:val="bottom"/>
            <w:hideMark/>
          </w:tcPr>
          <w:p w14:paraId="6526150E" w14:textId="4591A4D0" w:rsidR="00431826" w:rsidRPr="00B7083C" w:rsidRDefault="00431826" w:rsidP="00E30571">
            <w:pPr>
              <w:spacing w:line="360" w:lineRule="auto"/>
              <w:jc w:val="center"/>
              <w:rPr>
                <w:sz w:val="20"/>
                <w:szCs w:val="20"/>
              </w:rPr>
            </w:pPr>
            <w:r w:rsidRPr="00B7083C">
              <w:rPr>
                <w:sz w:val="20"/>
                <w:szCs w:val="20"/>
              </w:rPr>
              <w:t>95 (32</w:t>
            </w:r>
            <w:r w:rsidR="00624EB0" w:rsidRPr="00B7083C">
              <w:rPr>
                <w:sz w:val="20"/>
                <w:szCs w:val="20"/>
              </w:rPr>
              <w:t>·</w:t>
            </w:r>
            <w:r w:rsidR="007A0A22" w:rsidRPr="00B7083C">
              <w:rPr>
                <w:sz w:val="20"/>
                <w:szCs w:val="20"/>
              </w:rPr>
              <w:t>8</w:t>
            </w:r>
            <w:r w:rsidRPr="00B7083C">
              <w:rPr>
                <w:sz w:val="20"/>
                <w:szCs w:val="20"/>
              </w:rPr>
              <w:t>%)</w:t>
            </w:r>
          </w:p>
        </w:tc>
        <w:tc>
          <w:tcPr>
            <w:tcW w:w="2546" w:type="dxa"/>
            <w:shd w:val="clear" w:color="auto" w:fill="auto"/>
            <w:noWrap/>
            <w:vAlign w:val="bottom"/>
            <w:hideMark/>
          </w:tcPr>
          <w:p w14:paraId="0102B5DF" w14:textId="06737D01" w:rsidR="00431826" w:rsidRPr="00B7083C" w:rsidRDefault="00431826" w:rsidP="00E30571">
            <w:pPr>
              <w:spacing w:line="360" w:lineRule="auto"/>
              <w:jc w:val="center"/>
              <w:rPr>
                <w:sz w:val="20"/>
                <w:szCs w:val="20"/>
              </w:rPr>
            </w:pPr>
            <w:r w:rsidRPr="00B7083C">
              <w:rPr>
                <w:sz w:val="20"/>
                <w:szCs w:val="20"/>
              </w:rPr>
              <w:t>109 (3</w:t>
            </w:r>
            <w:r w:rsidR="007A0A22" w:rsidRPr="00B7083C">
              <w:rPr>
                <w:sz w:val="20"/>
                <w:szCs w:val="20"/>
              </w:rPr>
              <w:t>7</w:t>
            </w:r>
            <w:r w:rsidR="00624EB0" w:rsidRPr="00B7083C">
              <w:rPr>
                <w:sz w:val="20"/>
                <w:szCs w:val="20"/>
              </w:rPr>
              <w:t>·</w:t>
            </w:r>
            <w:r w:rsidR="007A0A22" w:rsidRPr="00B7083C">
              <w:rPr>
                <w:sz w:val="20"/>
                <w:szCs w:val="20"/>
              </w:rPr>
              <w:t>0</w:t>
            </w:r>
            <w:r w:rsidRPr="00B7083C">
              <w:rPr>
                <w:sz w:val="20"/>
                <w:szCs w:val="20"/>
              </w:rPr>
              <w:t>%)</w:t>
            </w:r>
          </w:p>
        </w:tc>
      </w:tr>
      <w:tr w:rsidR="00B7083C" w:rsidRPr="00B7083C" w14:paraId="6E80A14D" w14:textId="77777777" w:rsidTr="00B554B8">
        <w:trPr>
          <w:trHeight w:val="300"/>
        </w:trPr>
        <w:tc>
          <w:tcPr>
            <w:tcW w:w="3855" w:type="dxa"/>
            <w:shd w:val="clear" w:color="auto" w:fill="auto"/>
            <w:noWrap/>
            <w:vAlign w:val="bottom"/>
            <w:hideMark/>
          </w:tcPr>
          <w:p w14:paraId="297D0B6E" w14:textId="77777777" w:rsidR="00431826" w:rsidRPr="00B7083C" w:rsidRDefault="00431826" w:rsidP="00B554B8">
            <w:pPr>
              <w:spacing w:line="360" w:lineRule="auto"/>
              <w:rPr>
                <w:i/>
                <w:sz w:val="20"/>
                <w:szCs w:val="20"/>
              </w:rPr>
            </w:pPr>
            <w:r w:rsidRPr="00B7083C">
              <w:rPr>
                <w:i/>
                <w:sz w:val="20"/>
                <w:szCs w:val="20"/>
              </w:rPr>
              <w:t>1 (highest)</w:t>
            </w:r>
          </w:p>
        </w:tc>
        <w:tc>
          <w:tcPr>
            <w:tcW w:w="2546" w:type="dxa"/>
            <w:shd w:val="clear" w:color="auto" w:fill="auto"/>
            <w:noWrap/>
            <w:vAlign w:val="bottom"/>
            <w:hideMark/>
          </w:tcPr>
          <w:p w14:paraId="3D2C3E8C" w14:textId="178F4889" w:rsidR="00431826" w:rsidRPr="00B7083C" w:rsidRDefault="00431826" w:rsidP="00E30571">
            <w:pPr>
              <w:spacing w:line="360" w:lineRule="auto"/>
              <w:jc w:val="center"/>
              <w:rPr>
                <w:sz w:val="20"/>
                <w:szCs w:val="20"/>
              </w:rPr>
            </w:pPr>
            <w:r w:rsidRPr="00B7083C">
              <w:rPr>
                <w:sz w:val="20"/>
                <w:szCs w:val="20"/>
              </w:rPr>
              <w:t>91 (31</w:t>
            </w:r>
            <w:r w:rsidR="00624EB0" w:rsidRPr="00B7083C">
              <w:rPr>
                <w:sz w:val="20"/>
                <w:szCs w:val="20"/>
              </w:rPr>
              <w:t>·</w:t>
            </w:r>
            <w:r w:rsidR="007A0A22" w:rsidRPr="00B7083C">
              <w:rPr>
                <w:sz w:val="20"/>
                <w:szCs w:val="20"/>
              </w:rPr>
              <w:t>4</w:t>
            </w:r>
            <w:r w:rsidRPr="00B7083C">
              <w:rPr>
                <w:sz w:val="20"/>
                <w:szCs w:val="20"/>
              </w:rPr>
              <w:t>%)</w:t>
            </w:r>
          </w:p>
        </w:tc>
        <w:tc>
          <w:tcPr>
            <w:tcW w:w="2546" w:type="dxa"/>
            <w:shd w:val="clear" w:color="auto" w:fill="auto"/>
            <w:noWrap/>
            <w:vAlign w:val="bottom"/>
            <w:hideMark/>
          </w:tcPr>
          <w:p w14:paraId="6568548D" w14:textId="6EDE79F2" w:rsidR="00431826" w:rsidRPr="00B7083C" w:rsidRDefault="00431826" w:rsidP="00E30571">
            <w:pPr>
              <w:spacing w:line="360" w:lineRule="auto"/>
              <w:jc w:val="center"/>
              <w:rPr>
                <w:sz w:val="20"/>
                <w:szCs w:val="20"/>
              </w:rPr>
            </w:pPr>
            <w:r w:rsidRPr="00B7083C">
              <w:rPr>
                <w:sz w:val="20"/>
                <w:szCs w:val="20"/>
              </w:rPr>
              <w:t>92 (31</w:t>
            </w:r>
            <w:r w:rsidR="00624EB0" w:rsidRPr="00B7083C">
              <w:rPr>
                <w:sz w:val="20"/>
                <w:szCs w:val="20"/>
              </w:rPr>
              <w:t>·</w:t>
            </w:r>
            <w:r w:rsidR="007A0A22" w:rsidRPr="00B7083C">
              <w:rPr>
                <w:sz w:val="20"/>
                <w:szCs w:val="20"/>
              </w:rPr>
              <w:t>2</w:t>
            </w:r>
            <w:r w:rsidRPr="00B7083C">
              <w:rPr>
                <w:sz w:val="20"/>
                <w:szCs w:val="20"/>
              </w:rPr>
              <w:t>%)</w:t>
            </w:r>
          </w:p>
        </w:tc>
      </w:tr>
      <w:tr w:rsidR="00B7083C" w:rsidRPr="00B7083C" w14:paraId="37C25C6F" w14:textId="77777777" w:rsidTr="00B554B8">
        <w:trPr>
          <w:trHeight w:val="300"/>
        </w:trPr>
        <w:tc>
          <w:tcPr>
            <w:tcW w:w="3855" w:type="dxa"/>
            <w:shd w:val="clear" w:color="auto" w:fill="auto"/>
            <w:noWrap/>
            <w:vAlign w:val="bottom"/>
            <w:hideMark/>
          </w:tcPr>
          <w:p w14:paraId="57B8FF62" w14:textId="77777777" w:rsidR="00431826" w:rsidRPr="00B7083C" w:rsidRDefault="00431826" w:rsidP="00B554B8">
            <w:pPr>
              <w:spacing w:line="360" w:lineRule="auto"/>
              <w:rPr>
                <w:i/>
                <w:sz w:val="20"/>
                <w:szCs w:val="20"/>
              </w:rPr>
            </w:pPr>
            <w:r w:rsidRPr="00B7083C">
              <w:rPr>
                <w:i/>
                <w:sz w:val="20"/>
                <w:szCs w:val="20"/>
              </w:rPr>
              <w:t xml:space="preserve">Not available </w:t>
            </w:r>
          </w:p>
        </w:tc>
        <w:tc>
          <w:tcPr>
            <w:tcW w:w="2546" w:type="dxa"/>
            <w:shd w:val="clear" w:color="auto" w:fill="auto"/>
            <w:noWrap/>
            <w:vAlign w:val="bottom"/>
            <w:hideMark/>
          </w:tcPr>
          <w:p w14:paraId="6F2A288B" w14:textId="67F9325F" w:rsidR="00431826" w:rsidRPr="00B7083C" w:rsidRDefault="00431826" w:rsidP="00E30571">
            <w:pPr>
              <w:spacing w:line="360" w:lineRule="auto"/>
              <w:jc w:val="center"/>
              <w:rPr>
                <w:sz w:val="20"/>
                <w:szCs w:val="20"/>
              </w:rPr>
            </w:pPr>
            <w:r w:rsidRPr="00B7083C">
              <w:rPr>
                <w:sz w:val="20"/>
                <w:szCs w:val="20"/>
              </w:rPr>
              <w:t>10 (3</w:t>
            </w:r>
            <w:r w:rsidR="00624EB0" w:rsidRPr="00B7083C">
              <w:rPr>
                <w:sz w:val="20"/>
                <w:szCs w:val="20"/>
              </w:rPr>
              <w:t>·</w:t>
            </w:r>
            <w:r w:rsidRPr="00B7083C">
              <w:rPr>
                <w:sz w:val="20"/>
                <w:szCs w:val="20"/>
              </w:rPr>
              <w:t>5%)</w:t>
            </w:r>
          </w:p>
        </w:tc>
        <w:tc>
          <w:tcPr>
            <w:tcW w:w="2546" w:type="dxa"/>
            <w:shd w:val="clear" w:color="auto" w:fill="auto"/>
            <w:noWrap/>
            <w:vAlign w:val="bottom"/>
            <w:hideMark/>
          </w:tcPr>
          <w:p w14:paraId="3F624373" w14:textId="5E0E5148" w:rsidR="00431826" w:rsidRPr="00B7083C" w:rsidRDefault="00431826" w:rsidP="00E30571">
            <w:pPr>
              <w:spacing w:line="360" w:lineRule="auto"/>
              <w:jc w:val="center"/>
              <w:rPr>
                <w:sz w:val="20"/>
                <w:szCs w:val="20"/>
              </w:rPr>
            </w:pPr>
            <w:r w:rsidRPr="00B7083C">
              <w:rPr>
                <w:sz w:val="20"/>
                <w:szCs w:val="20"/>
              </w:rPr>
              <w:t>14 (4</w:t>
            </w:r>
            <w:r w:rsidR="00624EB0" w:rsidRPr="00B7083C">
              <w:rPr>
                <w:sz w:val="20"/>
                <w:szCs w:val="20"/>
              </w:rPr>
              <w:t>·</w:t>
            </w:r>
            <w:r w:rsidR="007A0A22" w:rsidRPr="00B7083C">
              <w:rPr>
                <w:sz w:val="20"/>
                <w:szCs w:val="20"/>
              </w:rPr>
              <w:t>8</w:t>
            </w:r>
            <w:r w:rsidRPr="00B7083C">
              <w:rPr>
                <w:sz w:val="20"/>
                <w:szCs w:val="20"/>
              </w:rPr>
              <w:t>%)</w:t>
            </w:r>
          </w:p>
        </w:tc>
      </w:tr>
      <w:tr w:rsidR="00B7083C" w:rsidRPr="00B7083C" w14:paraId="7ACCD5FC" w14:textId="77777777" w:rsidTr="00B554B8">
        <w:trPr>
          <w:trHeight w:val="300"/>
        </w:trPr>
        <w:tc>
          <w:tcPr>
            <w:tcW w:w="3855" w:type="dxa"/>
            <w:shd w:val="clear" w:color="auto" w:fill="auto"/>
            <w:noWrap/>
            <w:vAlign w:val="bottom"/>
          </w:tcPr>
          <w:p w14:paraId="3660D701" w14:textId="77777777" w:rsidR="004E22FA" w:rsidRPr="00B7083C" w:rsidRDefault="004E22FA" w:rsidP="00E30571">
            <w:pPr>
              <w:spacing w:line="360" w:lineRule="auto"/>
              <w:rPr>
                <w:b/>
                <w:sz w:val="20"/>
                <w:szCs w:val="20"/>
              </w:rPr>
            </w:pPr>
            <w:r w:rsidRPr="00B7083C">
              <w:rPr>
                <w:b/>
                <w:sz w:val="20"/>
                <w:szCs w:val="20"/>
              </w:rPr>
              <w:t>Preconception plasma glucose (OGTT)</w:t>
            </w:r>
          </w:p>
        </w:tc>
        <w:tc>
          <w:tcPr>
            <w:tcW w:w="2546" w:type="dxa"/>
            <w:shd w:val="clear" w:color="auto" w:fill="auto"/>
            <w:noWrap/>
            <w:vAlign w:val="bottom"/>
          </w:tcPr>
          <w:p w14:paraId="3C25228C" w14:textId="1F4BCF32" w:rsidR="004E22FA" w:rsidRPr="00B7083C" w:rsidRDefault="004E22FA" w:rsidP="00E30571">
            <w:pPr>
              <w:spacing w:line="360" w:lineRule="auto"/>
              <w:jc w:val="center"/>
              <w:rPr>
                <w:sz w:val="20"/>
                <w:szCs w:val="20"/>
              </w:rPr>
            </w:pPr>
            <w:r w:rsidRPr="00B7083C">
              <w:rPr>
                <w:sz w:val="20"/>
                <w:szCs w:val="20"/>
              </w:rPr>
              <w:t>…</w:t>
            </w:r>
          </w:p>
        </w:tc>
        <w:tc>
          <w:tcPr>
            <w:tcW w:w="2546" w:type="dxa"/>
            <w:shd w:val="clear" w:color="auto" w:fill="auto"/>
            <w:noWrap/>
            <w:vAlign w:val="bottom"/>
          </w:tcPr>
          <w:p w14:paraId="77AB1EE3" w14:textId="3A586ED5" w:rsidR="004E22FA" w:rsidRPr="00B7083C" w:rsidRDefault="004E22FA" w:rsidP="00E30571">
            <w:pPr>
              <w:spacing w:line="360" w:lineRule="auto"/>
              <w:jc w:val="center"/>
              <w:rPr>
                <w:sz w:val="20"/>
                <w:szCs w:val="20"/>
              </w:rPr>
            </w:pPr>
            <w:r w:rsidRPr="00B7083C">
              <w:rPr>
                <w:sz w:val="20"/>
                <w:szCs w:val="20"/>
              </w:rPr>
              <w:t>…</w:t>
            </w:r>
          </w:p>
        </w:tc>
      </w:tr>
      <w:tr w:rsidR="00B7083C" w:rsidRPr="00B7083C" w14:paraId="5315398E" w14:textId="77777777" w:rsidTr="00B554B8">
        <w:trPr>
          <w:trHeight w:val="300"/>
        </w:trPr>
        <w:tc>
          <w:tcPr>
            <w:tcW w:w="3855" w:type="dxa"/>
            <w:shd w:val="clear" w:color="auto" w:fill="auto"/>
            <w:noWrap/>
            <w:vAlign w:val="bottom"/>
          </w:tcPr>
          <w:p w14:paraId="1F3A1790" w14:textId="77777777" w:rsidR="004E22FA" w:rsidRPr="00B7083C" w:rsidRDefault="004E22FA" w:rsidP="00B554B8">
            <w:pPr>
              <w:spacing w:line="360" w:lineRule="auto"/>
              <w:rPr>
                <w:i/>
                <w:sz w:val="20"/>
                <w:szCs w:val="20"/>
              </w:rPr>
            </w:pPr>
            <w:r w:rsidRPr="00B7083C">
              <w:rPr>
                <w:i/>
                <w:sz w:val="20"/>
                <w:szCs w:val="20"/>
              </w:rPr>
              <w:t>Fasting (mmol/L)</w:t>
            </w:r>
          </w:p>
        </w:tc>
        <w:tc>
          <w:tcPr>
            <w:tcW w:w="2546" w:type="dxa"/>
            <w:shd w:val="clear" w:color="auto" w:fill="auto"/>
            <w:noWrap/>
            <w:vAlign w:val="bottom"/>
          </w:tcPr>
          <w:p w14:paraId="12A6C243" w14:textId="2C474E34" w:rsidR="004E22FA" w:rsidRPr="00B7083C" w:rsidRDefault="004E22FA" w:rsidP="00E30571">
            <w:pPr>
              <w:spacing w:line="360" w:lineRule="auto"/>
              <w:jc w:val="center"/>
              <w:rPr>
                <w:sz w:val="20"/>
                <w:szCs w:val="20"/>
              </w:rPr>
            </w:pPr>
            <w:r w:rsidRPr="00B7083C">
              <w:rPr>
                <w:sz w:val="20"/>
                <w:szCs w:val="20"/>
              </w:rPr>
              <w:t>4·85 (4·52 to 5·18)</w:t>
            </w:r>
          </w:p>
        </w:tc>
        <w:tc>
          <w:tcPr>
            <w:tcW w:w="2546" w:type="dxa"/>
            <w:shd w:val="clear" w:color="auto" w:fill="auto"/>
            <w:noWrap/>
            <w:vAlign w:val="bottom"/>
          </w:tcPr>
          <w:p w14:paraId="22773ABD" w14:textId="468FDC9C" w:rsidR="004E22FA" w:rsidRPr="00B7083C" w:rsidRDefault="004E22FA" w:rsidP="00E30571">
            <w:pPr>
              <w:spacing w:line="360" w:lineRule="auto"/>
              <w:jc w:val="center"/>
              <w:rPr>
                <w:sz w:val="20"/>
                <w:szCs w:val="20"/>
              </w:rPr>
            </w:pPr>
            <w:r w:rsidRPr="00B7083C">
              <w:rPr>
                <w:sz w:val="20"/>
                <w:szCs w:val="20"/>
              </w:rPr>
              <w:t>4·85 (4·63 to 5·18)</w:t>
            </w:r>
          </w:p>
        </w:tc>
      </w:tr>
      <w:tr w:rsidR="00B7083C" w:rsidRPr="00B7083C" w14:paraId="5B5D2ECA" w14:textId="77777777" w:rsidTr="00B554B8">
        <w:trPr>
          <w:trHeight w:val="300"/>
        </w:trPr>
        <w:tc>
          <w:tcPr>
            <w:tcW w:w="3855" w:type="dxa"/>
            <w:shd w:val="clear" w:color="auto" w:fill="auto"/>
            <w:noWrap/>
            <w:vAlign w:val="bottom"/>
          </w:tcPr>
          <w:p w14:paraId="704DCEB4" w14:textId="24BBDFE3" w:rsidR="004E22FA" w:rsidRPr="00B7083C" w:rsidRDefault="004E22FA" w:rsidP="00B554B8">
            <w:pPr>
              <w:spacing w:line="360" w:lineRule="auto"/>
              <w:rPr>
                <w:i/>
                <w:sz w:val="20"/>
                <w:szCs w:val="20"/>
              </w:rPr>
            </w:pPr>
            <w:r w:rsidRPr="00B7083C">
              <w:rPr>
                <w:i/>
                <w:sz w:val="20"/>
                <w:szCs w:val="20"/>
              </w:rPr>
              <w:t>30 minute (mmol/L)</w:t>
            </w:r>
          </w:p>
        </w:tc>
        <w:tc>
          <w:tcPr>
            <w:tcW w:w="2546" w:type="dxa"/>
            <w:shd w:val="clear" w:color="auto" w:fill="auto"/>
            <w:noWrap/>
            <w:vAlign w:val="bottom"/>
          </w:tcPr>
          <w:p w14:paraId="73FFD296" w14:textId="724932DE" w:rsidR="004E22FA" w:rsidRPr="00B7083C" w:rsidRDefault="004E22FA" w:rsidP="00E30571">
            <w:pPr>
              <w:spacing w:line="360" w:lineRule="auto"/>
              <w:jc w:val="center"/>
              <w:rPr>
                <w:sz w:val="20"/>
                <w:szCs w:val="20"/>
              </w:rPr>
            </w:pPr>
            <w:r w:rsidRPr="00B7083C">
              <w:rPr>
                <w:sz w:val="20"/>
                <w:szCs w:val="20"/>
              </w:rPr>
              <w:t>7·81 (6·71 to 8·90)</w:t>
            </w:r>
          </w:p>
        </w:tc>
        <w:tc>
          <w:tcPr>
            <w:tcW w:w="2546" w:type="dxa"/>
            <w:shd w:val="clear" w:color="auto" w:fill="auto"/>
            <w:noWrap/>
            <w:vAlign w:val="bottom"/>
          </w:tcPr>
          <w:p w14:paraId="383EC6CB" w14:textId="180F1D99" w:rsidR="004E22FA" w:rsidRPr="00B7083C" w:rsidRDefault="004E22FA" w:rsidP="00E30571">
            <w:pPr>
              <w:spacing w:line="360" w:lineRule="auto"/>
              <w:jc w:val="center"/>
              <w:rPr>
                <w:sz w:val="20"/>
                <w:szCs w:val="20"/>
              </w:rPr>
            </w:pPr>
            <w:r w:rsidRPr="00B7083C">
              <w:rPr>
                <w:sz w:val="20"/>
                <w:szCs w:val="20"/>
              </w:rPr>
              <w:t>7·70 (6·60 to 9·01)</w:t>
            </w:r>
          </w:p>
        </w:tc>
      </w:tr>
      <w:tr w:rsidR="004E22FA" w:rsidRPr="00B7083C" w14:paraId="5CB6EE8B" w14:textId="77777777" w:rsidTr="00B554B8">
        <w:trPr>
          <w:trHeight w:val="300"/>
        </w:trPr>
        <w:tc>
          <w:tcPr>
            <w:tcW w:w="3855" w:type="dxa"/>
            <w:shd w:val="clear" w:color="auto" w:fill="auto"/>
            <w:noWrap/>
            <w:vAlign w:val="bottom"/>
          </w:tcPr>
          <w:p w14:paraId="20D8DB71" w14:textId="59751ED2" w:rsidR="004E22FA" w:rsidRPr="00B7083C" w:rsidRDefault="004E22FA" w:rsidP="00B554B8">
            <w:pPr>
              <w:spacing w:line="360" w:lineRule="auto"/>
              <w:rPr>
                <w:i/>
                <w:sz w:val="20"/>
                <w:szCs w:val="20"/>
              </w:rPr>
            </w:pPr>
            <w:r w:rsidRPr="00B7083C">
              <w:rPr>
                <w:i/>
                <w:sz w:val="20"/>
                <w:szCs w:val="20"/>
              </w:rPr>
              <w:t>2 hour (mmol/L)</w:t>
            </w:r>
          </w:p>
        </w:tc>
        <w:tc>
          <w:tcPr>
            <w:tcW w:w="2546" w:type="dxa"/>
            <w:shd w:val="clear" w:color="auto" w:fill="auto"/>
            <w:noWrap/>
            <w:vAlign w:val="bottom"/>
          </w:tcPr>
          <w:p w14:paraId="3A6752A5" w14:textId="16EF30A7" w:rsidR="004E22FA" w:rsidRPr="00B7083C" w:rsidRDefault="004E22FA" w:rsidP="00E30571">
            <w:pPr>
              <w:spacing w:line="360" w:lineRule="auto"/>
              <w:jc w:val="center"/>
              <w:rPr>
                <w:sz w:val="20"/>
                <w:szCs w:val="20"/>
              </w:rPr>
            </w:pPr>
            <w:r w:rsidRPr="00B7083C">
              <w:rPr>
                <w:sz w:val="20"/>
                <w:szCs w:val="20"/>
              </w:rPr>
              <w:t>5·40 (4·41 to 6·38)</w:t>
            </w:r>
          </w:p>
        </w:tc>
        <w:tc>
          <w:tcPr>
            <w:tcW w:w="2546" w:type="dxa"/>
            <w:shd w:val="clear" w:color="auto" w:fill="auto"/>
            <w:noWrap/>
            <w:vAlign w:val="bottom"/>
          </w:tcPr>
          <w:p w14:paraId="28DA608E" w14:textId="1CE0EB93" w:rsidR="004E22FA" w:rsidRPr="00B7083C" w:rsidRDefault="004E22FA" w:rsidP="00E30571">
            <w:pPr>
              <w:spacing w:line="360" w:lineRule="auto"/>
              <w:jc w:val="center"/>
              <w:rPr>
                <w:sz w:val="20"/>
                <w:szCs w:val="20"/>
              </w:rPr>
            </w:pPr>
            <w:r w:rsidRPr="00B7083C">
              <w:rPr>
                <w:sz w:val="20"/>
                <w:szCs w:val="20"/>
              </w:rPr>
              <w:t xml:space="preserve">  5·51 (4·63 to 6·27)</w:t>
            </w:r>
          </w:p>
        </w:tc>
      </w:tr>
    </w:tbl>
    <w:p w14:paraId="54BCFDC2" w14:textId="77777777" w:rsidR="0022010D" w:rsidRPr="00B7083C" w:rsidRDefault="0022010D" w:rsidP="00E30571">
      <w:pPr>
        <w:rPr>
          <w:sz w:val="20"/>
          <w:szCs w:val="20"/>
          <w:lang w:val="en-US"/>
        </w:rPr>
      </w:pPr>
    </w:p>
    <w:p w14:paraId="01041945" w14:textId="77777777" w:rsidR="00EB1C8E" w:rsidRPr="00B7083C" w:rsidRDefault="00EB1C8E" w:rsidP="00E30571">
      <w:pPr>
        <w:jc w:val="both"/>
        <w:rPr>
          <w:sz w:val="20"/>
          <w:szCs w:val="20"/>
        </w:rPr>
      </w:pPr>
      <w:r w:rsidRPr="00B7083C">
        <w:rPr>
          <w:sz w:val="20"/>
          <w:szCs w:val="20"/>
        </w:rPr>
        <w:t>Data are mean (</w:t>
      </w:r>
      <w:proofErr w:type="spellStart"/>
      <w:r w:rsidRPr="00B7083C">
        <w:rPr>
          <w:sz w:val="20"/>
          <w:szCs w:val="20"/>
        </w:rPr>
        <w:t>sd</w:t>
      </w:r>
      <w:proofErr w:type="spellEnd"/>
      <w:r w:rsidRPr="00B7083C">
        <w:rPr>
          <w:sz w:val="20"/>
          <w:szCs w:val="20"/>
        </w:rPr>
        <w:t>), median (lower quartile to upper quartile), or number of women (%)</w:t>
      </w:r>
    </w:p>
    <w:p w14:paraId="715FD756" w14:textId="0795250D" w:rsidR="0022010D" w:rsidRPr="00B7083C" w:rsidRDefault="00C75AB2" w:rsidP="00E30571">
      <w:pPr>
        <w:jc w:val="both"/>
        <w:rPr>
          <w:lang w:val="en-US"/>
        </w:rPr>
      </w:pPr>
      <w:r w:rsidRPr="00B7083C">
        <w:rPr>
          <w:sz w:val="20"/>
          <w:szCs w:val="20"/>
          <w:lang w:val="en-US"/>
        </w:rPr>
        <w:t>*</w:t>
      </w:r>
      <w:r w:rsidR="00EB1C8E" w:rsidRPr="00B7083C">
        <w:rPr>
          <w:sz w:val="20"/>
          <w:szCs w:val="20"/>
        </w:rPr>
        <w:t xml:space="preserve">defined using ethnic-specific thresholds for overweight and obesity: </w:t>
      </w:r>
      <w:r w:rsidR="00324302" w:rsidRPr="00B7083C">
        <w:rPr>
          <w:sz w:val="20"/>
          <w:szCs w:val="20"/>
        </w:rPr>
        <w:t xml:space="preserve">BMI </w:t>
      </w:r>
      <w:r w:rsidR="00EB1C8E" w:rsidRPr="00B7083C">
        <w:rPr>
          <w:sz w:val="20"/>
          <w:szCs w:val="20"/>
        </w:rPr>
        <w:t>≥23 to &lt;27·5 and ≥27·5 kg/m</w:t>
      </w:r>
      <w:r w:rsidR="00EB1C8E" w:rsidRPr="00B7083C">
        <w:rPr>
          <w:sz w:val="20"/>
          <w:szCs w:val="20"/>
          <w:vertAlign w:val="superscript"/>
        </w:rPr>
        <w:t>2</w:t>
      </w:r>
      <w:r w:rsidR="00EB1C8E" w:rsidRPr="00B7083C">
        <w:rPr>
          <w:sz w:val="20"/>
          <w:szCs w:val="20"/>
        </w:rPr>
        <w:t xml:space="preserve">, respectively, for Asians including Chinese, Indians, Pakistani, Bangladeshi, Malay, mixed Asian; </w:t>
      </w:r>
      <w:r w:rsidR="00324302" w:rsidRPr="00B7083C">
        <w:rPr>
          <w:sz w:val="20"/>
          <w:szCs w:val="20"/>
        </w:rPr>
        <w:t xml:space="preserve">BMI </w:t>
      </w:r>
      <w:r w:rsidR="00EB1C8E" w:rsidRPr="00B7083C">
        <w:rPr>
          <w:sz w:val="20"/>
          <w:szCs w:val="20"/>
        </w:rPr>
        <w:t>≥25 to &lt;30 and ≥30 kg/m</w:t>
      </w:r>
      <w:r w:rsidR="00EB1C8E" w:rsidRPr="00B7083C">
        <w:rPr>
          <w:sz w:val="20"/>
          <w:szCs w:val="20"/>
          <w:vertAlign w:val="superscript"/>
        </w:rPr>
        <w:t>2</w:t>
      </w:r>
      <w:r w:rsidR="00EB1C8E" w:rsidRPr="00B7083C">
        <w:rPr>
          <w:sz w:val="20"/>
          <w:szCs w:val="20"/>
        </w:rPr>
        <w:t>, respectively, for non-Asians including White Caucasian, Polynesian, Black, mixed Asian-non-Asian.</w:t>
      </w:r>
    </w:p>
    <w:p w14:paraId="2B9D7B5B" w14:textId="0C7CBA59" w:rsidR="00C56D76" w:rsidRPr="00B7083C" w:rsidRDefault="00C56D76" w:rsidP="00373B6C">
      <w:pPr>
        <w:rPr>
          <w:lang w:val="en-US"/>
        </w:rPr>
      </w:pPr>
      <w:r w:rsidRPr="00B7083C">
        <w:rPr>
          <w:rFonts w:ascii="Open Sans" w:hAnsi="Open Sans"/>
          <w:sz w:val="21"/>
          <w:szCs w:val="21"/>
          <w:vertAlign w:val="superscript"/>
        </w:rPr>
        <w:t>†</w:t>
      </w:r>
      <w:r w:rsidRPr="00B7083C">
        <w:rPr>
          <w:sz w:val="20"/>
          <w:szCs w:val="20"/>
          <w:vertAlign w:val="superscript"/>
        </w:rPr>
        <w:t xml:space="preserve"> </w:t>
      </w:r>
      <w:r w:rsidR="00373B6C" w:rsidRPr="00B7083C">
        <w:rPr>
          <w:sz w:val="20"/>
          <w:szCs w:val="20"/>
        </w:rPr>
        <w:t>72.9% White Caucasian, 16.6% any Asian,</w:t>
      </w:r>
      <w:r w:rsidR="00DF7254" w:rsidRPr="00B7083C">
        <w:rPr>
          <w:sz w:val="20"/>
          <w:szCs w:val="20"/>
        </w:rPr>
        <w:t xml:space="preserve"> </w:t>
      </w:r>
      <w:r w:rsidR="00373B6C" w:rsidRPr="00B7083C">
        <w:rPr>
          <w:sz w:val="20"/>
          <w:szCs w:val="20"/>
        </w:rPr>
        <w:t>10.5% other</w:t>
      </w:r>
      <w:r w:rsidR="00373B6C" w:rsidRPr="00B7083C">
        <w:rPr>
          <w:lang w:val="en-US"/>
        </w:rPr>
        <w:t xml:space="preserve"> </w:t>
      </w:r>
    </w:p>
    <w:p w14:paraId="53921485" w14:textId="7C50E96B" w:rsidR="00C56D76" w:rsidRPr="00B7083C" w:rsidRDefault="00C56D76" w:rsidP="00C56D76">
      <w:pPr>
        <w:rPr>
          <w:sz w:val="20"/>
          <w:szCs w:val="20"/>
        </w:rPr>
      </w:pPr>
      <w:r w:rsidRPr="00B7083C">
        <w:rPr>
          <w:rFonts w:ascii="Open Sans" w:hAnsi="Open Sans"/>
          <w:sz w:val="21"/>
          <w:szCs w:val="21"/>
          <w:vertAlign w:val="superscript"/>
        </w:rPr>
        <w:t xml:space="preserve">‡ </w:t>
      </w:r>
      <w:r w:rsidRPr="00B7083C">
        <w:rPr>
          <w:sz w:val="20"/>
          <w:szCs w:val="20"/>
        </w:rPr>
        <w:t>94.8% White Caucasian, 2.6% any Asian, 2.6% other</w:t>
      </w:r>
    </w:p>
    <w:p w14:paraId="04D4F29C" w14:textId="717188E4" w:rsidR="0022010D" w:rsidRPr="00B7083C" w:rsidRDefault="0022010D" w:rsidP="00373B6C">
      <w:pPr>
        <w:rPr>
          <w:lang w:val="en-US"/>
        </w:rPr>
      </w:pPr>
      <w:r w:rsidRPr="00B7083C">
        <w:rPr>
          <w:lang w:val="en-US"/>
        </w:rPr>
        <w:br w:type="page"/>
      </w:r>
    </w:p>
    <w:p w14:paraId="3D8652BA" w14:textId="16C08761" w:rsidR="005660AE" w:rsidRPr="00B7083C" w:rsidRDefault="005660AE" w:rsidP="005660AE">
      <w:pPr>
        <w:jc w:val="both"/>
      </w:pPr>
      <w:r w:rsidRPr="00B7083C">
        <w:rPr>
          <w:b/>
        </w:rPr>
        <w:lastRenderedPageBreak/>
        <w:t>Table 2. Primary outcome of maternal oral glucose tolerance test (OGTT) plasma glucose values at 28 (24-32) weeks’ gestation.</w:t>
      </w:r>
      <w:r w:rsidRPr="00B7083C">
        <w:t xml:space="preserve"> </w:t>
      </w:r>
    </w:p>
    <w:p w14:paraId="6520831C" w14:textId="7927E29C" w:rsidR="005660AE" w:rsidRPr="00B7083C" w:rsidRDefault="005660AE" w:rsidP="005660AE">
      <w:pPr>
        <w:spacing w:line="360" w:lineRule="auto"/>
        <w:rPr>
          <w:rFonts w:ascii="Arial" w:hAnsi="Arial" w:cs="Arial"/>
          <w:b/>
        </w:rPr>
      </w:pPr>
    </w:p>
    <w:tbl>
      <w:tblPr>
        <w:tblStyle w:val="TableGrid"/>
        <w:tblW w:w="9417" w:type="dxa"/>
        <w:tblLayout w:type="fixed"/>
        <w:tblCellMar>
          <w:left w:w="57" w:type="dxa"/>
          <w:right w:w="57" w:type="dxa"/>
        </w:tblCellMar>
        <w:tblLook w:val="04A0" w:firstRow="1" w:lastRow="0" w:firstColumn="1" w:lastColumn="0" w:noHBand="0" w:noVBand="1"/>
      </w:tblPr>
      <w:tblGrid>
        <w:gridCol w:w="1644"/>
        <w:gridCol w:w="529"/>
        <w:gridCol w:w="1541"/>
        <w:gridCol w:w="533"/>
        <w:gridCol w:w="1542"/>
        <w:gridCol w:w="1814"/>
        <w:gridCol w:w="1814"/>
      </w:tblGrid>
      <w:tr w:rsidR="00B7083C" w:rsidRPr="00B7083C" w14:paraId="11B83FD1" w14:textId="77777777" w:rsidTr="002A0101">
        <w:tc>
          <w:tcPr>
            <w:tcW w:w="1644" w:type="dxa"/>
            <w:tcBorders>
              <w:bottom w:val="nil"/>
            </w:tcBorders>
          </w:tcPr>
          <w:p w14:paraId="25475AE3" w14:textId="61F74A10" w:rsidR="006C5F16" w:rsidRPr="00B7083C" w:rsidRDefault="006C5F16" w:rsidP="00C82B44">
            <w:pPr>
              <w:rPr>
                <w:b/>
                <w:sz w:val="20"/>
                <w:szCs w:val="20"/>
              </w:rPr>
            </w:pPr>
          </w:p>
        </w:tc>
        <w:tc>
          <w:tcPr>
            <w:tcW w:w="529" w:type="dxa"/>
            <w:tcBorders>
              <w:bottom w:val="nil"/>
            </w:tcBorders>
          </w:tcPr>
          <w:p w14:paraId="3D76715C" w14:textId="5C5DD1AF" w:rsidR="006C5F16" w:rsidRPr="00B7083C" w:rsidRDefault="006C5F16" w:rsidP="00C82B44">
            <w:pPr>
              <w:rPr>
                <w:b/>
                <w:sz w:val="20"/>
                <w:szCs w:val="20"/>
              </w:rPr>
            </w:pPr>
          </w:p>
        </w:tc>
        <w:tc>
          <w:tcPr>
            <w:tcW w:w="1541" w:type="dxa"/>
            <w:tcBorders>
              <w:bottom w:val="nil"/>
            </w:tcBorders>
          </w:tcPr>
          <w:p w14:paraId="03E7A76C" w14:textId="164204B0" w:rsidR="006C5F16" w:rsidRPr="00B7083C" w:rsidRDefault="006C5F16" w:rsidP="00C82B44">
            <w:pPr>
              <w:rPr>
                <w:b/>
                <w:sz w:val="20"/>
                <w:szCs w:val="20"/>
              </w:rPr>
            </w:pPr>
            <w:r w:rsidRPr="00B7083C">
              <w:rPr>
                <w:b/>
                <w:sz w:val="20"/>
                <w:szCs w:val="20"/>
              </w:rPr>
              <w:t>Control</w:t>
            </w:r>
          </w:p>
        </w:tc>
        <w:tc>
          <w:tcPr>
            <w:tcW w:w="533" w:type="dxa"/>
            <w:tcBorders>
              <w:bottom w:val="nil"/>
            </w:tcBorders>
          </w:tcPr>
          <w:p w14:paraId="690E9B45" w14:textId="042B05B4" w:rsidR="006C5F16" w:rsidRPr="00B7083C" w:rsidRDefault="006C5F16" w:rsidP="00C82B44">
            <w:pPr>
              <w:rPr>
                <w:b/>
                <w:sz w:val="20"/>
                <w:szCs w:val="20"/>
              </w:rPr>
            </w:pPr>
          </w:p>
        </w:tc>
        <w:tc>
          <w:tcPr>
            <w:tcW w:w="1542" w:type="dxa"/>
            <w:tcBorders>
              <w:bottom w:val="nil"/>
            </w:tcBorders>
          </w:tcPr>
          <w:p w14:paraId="70679961" w14:textId="2D923076" w:rsidR="006C5F16" w:rsidRPr="00B7083C" w:rsidRDefault="006C5F16" w:rsidP="00C82B44">
            <w:pPr>
              <w:rPr>
                <w:b/>
                <w:sz w:val="20"/>
                <w:szCs w:val="20"/>
              </w:rPr>
            </w:pPr>
            <w:r w:rsidRPr="00B7083C">
              <w:rPr>
                <w:b/>
                <w:sz w:val="20"/>
                <w:szCs w:val="20"/>
              </w:rPr>
              <w:t>Intervention</w:t>
            </w:r>
          </w:p>
        </w:tc>
        <w:tc>
          <w:tcPr>
            <w:tcW w:w="1814" w:type="dxa"/>
            <w:tcBorders>
              <w:bottom w:val="nil"/>
            </w:tcBorders>
          </w:tcPr>
          <w:p w14:paraId="51740CFB" w14:textId="6030999F" w:rsidR="006C5F16" w:rsidRPr="00B7083C" w:rsidRDefault="006C5F16" w:rsidP="0044436D">
            <w:pPr>
              <w:jc w:val="center"/>
              <w:rPr>
                <w:b/>
                <w:bCs/>
                <w:sz w:val="20"/>
                <w:szCs w:val="20"/>
              </w:rPr>
            </w:pPr>
            <w:r w:rsidRPr="00B7083C">
              <w:rPr>
                <w:b/>
                <w:bCs/>
                <w:sz w:val="20"/>
                <w:szCs w:val="20"/>
              </w:rPr>
              <w:t>Adjusted beta</w:t>
            </w:r>
            <w:r w:rsidR="0044436D">
              <w:rPr>
                <w:b/>
                <w:bCs/>
                <w:sz w:val="20"/>
                <w:szCs w:val="20"/>
              </w:rPr>
              <w:t xml:space="preserve"> </w:t>
            </w:r>
            <w:r w:rsidRPr="00B7083C">
              <w:rPr>
                <w:b/>
                <w:bCs/>
                <w:sz w:val="20"/>
                <w:szCs w:val="20"/>
              </w:rPr>
              <w:t>(95% CI)</w:t>
            </w:r>
          </w:p>
        </w:tc>
        <w:tc>
          <w:tcPr>
            <w:tcW w:w="1814" w:type="dxa"/>
            <w:tcBorders>
              <w:bottom w:val="nil"/>
            </w:tcBorders>
          </w:tcPr>
          <w:p w14:paraId="6C22E501" w14:textId="2CD64AE4" w:rsidR="006C5F16" w:rsidRPr="00B7083C" w:rsidRDefault="006C5F16" w:rsidP="0044436D">
            <w:pPr>
              <w:jc w:val="center"/>
              <w:rPr>
                <w:b/>
                <w:bCs/>
                <w:sz w:val="20"/>
                <w:szCs w:val="20"/>
              </w:rPr>
            </w:pPr>
            <w:r w:rsidRPr="00B7083C">
              <w:rPr>
                <w:b/>
                <w:bCs/>
                <w:sz w:val="20"/>
                <w:szCs w:val="20"/>
              </w:rPr>
              <w:t>Fully adjusted beta</w:t>
            </w:r>
            <w:r w:rsidR="0044436D">
              <w:rPr>
                <w:b/>
                <w:bCs/>
                <w:sz w:val="20"/>
                <w:szCs w:val="20"/>
              </w:rPr>
              <w:t xml:space="preserve"> </w:t>
            </w:r>
            <w:r w:rsidRPr="00B7083C">
              <w:rPr>
                <w:b/>
                <w:bCs/>
                <w:sz w:val="20"/>
                <w:szCs w:val="20"/>
              </w:rPr>
              <w:t>(95% CI)</w:t>
            </w:r>
          </w:p>
        </w:tc>
      </w:tr>
      <w:tr w:rsidR="00B7083C" w:rsidRPr="00B7083C" w14:paraId="4743B034" w14:textId="77777777" w:rsidTr="00FE7D72">
        <w:tc>
          <w:tcPr>
            <w:tcW w:w="1644" w:type="dxa"/>
            <w:tcBorders>
              <w:top w:val="nil"/>
              <w:bottom w:val="single" w:sz="4" w:space="0" w:color="auto"/>
            </w:tcBorders>
            <w:vAlign w:val="center"/>
          </w:tcPr>
          <w:p w14:paraId="4490CF93" w14:textId="7082B8C5" w:rsidR="006C5F16" w:rsidRPr="00B7083C" w:rsidRDefault="001960E7" w:rsidP="000E7320">
            <w:pPr>
              <w:rPr>
                <w:b/>
                <w:sz w:val="20"/>
                <w:szCs w:val="20"/>
              </w:rPr>
            </w:pPr>
            <w:r w:rsidRPr="00B7083C">
              <w:rPr>
                <w:b/>
                <w:sz w:val="20"/>
                <w:szCs w:val="20"/>
              </w:rPr>
              <w:t>OGTT time point</w:t>
            </w:r>
          </w:p>
        </w:tc>
        <w:tc>
          <w:tcPr>
            <w:tcW w:w="529" w:type="dxa"/>
            <w:tcBorders>
              <w:top w:val="nil"/>
              <w:bottom w:val="single" w:sz="4" w:space="0" w:color="auto"/>
            </w:tcBorders>
          </w:tcPr>
          <w:p w14:paraId="02781871" w14:textId="0ACB8AC5" w:rsidR="006C5F16" w:rsidRPr="00B7083C" w:rsidRDefault="006C5F16" w:rsidP="00C82B44">
            <w:pPr>
              <w:jc w:val="center"/>
              <w:rPr>
                <w:b/>
                <w:sz w:val="20"/>
                <w:szCs w:val="20"/>
              </w:rPr>
            </w:pPr>
            <w:r w:rsidRPr="00B7083C">
              <w:rPr>
                <w:b/>
                <w:sz w:val="20"/>
                <w:szCs w:val="20"/>
              </w:rPr>
              <w:t>N</w:t>
            </w:r>
          </w:p>
        </w:tc>
        <w:tc>
          <w:tcPr>
            <w:tcW w:w="1541" w:type="dxa"/>
            <w:tcBorders>
              <w:top w:val="nil"/>
              <w:bottom w:val="single" w:sz="4" w:space="0" w:color="auto"/>
            </w:tcBorders>
          </w:tcPr>
          <w:p w14:paraId="544E58F4" w14:textId="2461E445" w:rsidR="006C5F16" w:rsidRPr="00B7083C" w:rsidRDefault="006C5F16" w:rsidP="00C82B44">
            <w:pPr>
              <w:jc w:val="center"/>
              <w:rPr>
                <w:b/>
                <w:sz w:val="20"/>
                <w:szCs w:val="20"/>
              </w:rPr>
            </w:pPr>
            <w:r w:rsidRPr="00B7083C">
              <w:rPr>
                <w:b/>
                <w:sz w:val="20"/>
                <w:szCs w:val="20"/>
              </w:rPr>
              <w:t>Plasma glucose (mmol/L)</w:t>
            </w:r>
          </w:p>
        </w:tc>
        <w:tc>
          <w:tcPr>
            <w:tcW w:w="533" w:type="dxa"/>
            <w:tcBorders>
              <w:top w:val="nil"/>
              <w:bottom w:val="single" w:sz="4" w:space="0" w:color="auto"/>
            </w:tcBorders>
          </w:tcPr>
          <w:p w14:paraId="5CB7616E" w14:textId="5614B59F" w:rsidR="006C5F16" w:rsidRPr="00B7083C" w:rsidRDefault="006C5F16" w:rsidP="00C82B44">
            <w:pPr>
              <w:jc w:val="center"/>
              <w:rPr>
                <w:b/>
                <w:sz w:val="20"/>
                <w:szCs w:val="20"/>
              </w:rPr>
            </w:pPr>
            <w:r w:rsidRPr="00B7083C">
              <w:rPr>
                <w:b/>
                <w:sz w:val="20"/>
                <w:szCs w:val="20"/>
              </w:rPr>
              <w:t>N</w:t>
            </w:r>
          </w:p>
        </w:tc>
        <w:tc>
          <w:tcPr>
            <w:tcW w:w="1542" w:type="dxa"/>
            <w:tcBorders>
              <w:top w:val="nil"/>
              <w:bottom w:val="single" w:sz="4" w:space="0" w:color="auto"/>
            </w:tcBorders>
          </w:tcPr>
          <w:p w14:paraId="0221B32C" w14:textId="73886EAC" w:rsidR="006C5F16" w:rsidRPr="00B7083C" w:rsidRDefault="006C5F16" w:rsidP="00C82B44">
            <w:pPr>
              <w:jc w:val="center"/>
              <w:rPr>
                <w:b/>
                <w:sz w:val="20"/>
                <w:szCs w:val="20"/>
              </w:rPr>
            </w:pPr>
            <w:r w:rsidRPr="00B7083C">
              <w:rPr>
                <w:b/>
                <w:sz w:val="20"/>
                <w:szCs w:val="20"/>
              </w:rPr>
              <w:t>Plasma glucose (mmol/L)</w:t>
            </w:r>
          </w:p>
        </w:tc>
        <w:tc>
          <w:tcPr>
            <w:tcW w:w="1814" w:type="dxa"/>
            <w:tcBorders>
              <w:top w:val="nil"/>
              <w:bottom w:val="single" w:sz="4" w:space="0" w:color="auto"/>
            </w:tcBorders>
          </w:tcPr>
          <w:p w14:paraId="61E35C46" w14:textId="380CA31A" w:rsidR="006C5F16" w:rsidRPr="00B7083C" w:rsidRDefault="002A0101" w:rsidP="00C82B44">
            <w:pPr>
              <w:jc w:val="center"/>
              <w:rPr>
                <w:b/>
                <w:sz w:val="20"/>
                <w:szCs w:val="20"/>
              </w:rPr>
            </w:pPr>
            <w:r w:rsidRPr="00B7083C">
              <w:rPr>
                <w:b/>
                <w:bCs/>
                <w:sz w:val="20"/>
                <w:szCs w:val="20"/>
              </w:rPr>
              <w:t>for log</w:t>
            </w:r>
            <w:r w:rsidRPr="00B7083C">
              <w:rPr>
                <w:b/>
                <w:bCs/>
                <w:sz w:val="20"/>
                <w:szCs w:val="20"/>
                <w:vertAlign w:val="subscript"/>
              </w:rPr>
              <w:t xml:space="preserve">e </w:t>
            </w:r>
            <w:r w:rsidRPr="00B7083C">
              <w:rPr>
                <w:b/>
                <w:bCs/>
                <w:sz w:val="20"/>
                <w:szCs w:val="20"/>
              </w:rPr>
              <w:t xml:space="preserve">glucose* </w:t>
            </w:r>
            <w:r w:rsidR="006C5F16" w:rsidRPr="00B7083C">
              <w:rPr>
                <w:b/>
                <w:bCs/>
                <w:sz w:val="20"/>
                <w:szCs w:val="20"/>
              </w:rPr>
              <w:t>(log</w:t>
            </w:r>
            <w:r w:rsidR="006C5F16" w:rsidRPr="00B7083C">
              <w:rPr>
                <w:b/>
                <w:bCs/>
                <w:sz w:val="20"/>
                <w:szCs w:val="20"/>
                <w:vertAlign w:val="subscript"/>
              </w:rPr>
              <w:t>e</w:t>
            </w:r>
            <w:r w:rsidR="006C5F16" w:rsidRPr="00B7083C">
              <w:rPr>
                <w:b/>
                <w:bCs/>
                <w:sz w:val="20"/>
                <w:szCs w:val="20"/>
              </w:rPr>
              <w:t xml:space="preserve"> mmol/L)</w:t>
            </w:r>
          </w:p>
        </w:tc>
        <w:tc>
          <w:tcPr>
            <w:tcW w:w="1814" w:type="dxa"/>
            <w:tcBorders>
              <w:top w:val="nil"/>
              <w:bottom w:val="single" w:sz="4" w:space="0" w:color="auto"/>
            </w:tcBorders>
          </w:tcPr>
          <w:p w14:paraId="6A57D999" w14:textId="5372BFCF" w:rsidR="006C5F16" w:rsidRPr="00B7083C" w:rsidRDefault="002A0101" w:rsidP="00C82B44">
            <w:pPr>
              <w:jc w:val="center"/>
              <w:rPr>
                <w:b/>
                <w:sz w:val="20"/>
                <w:szCs w:val="20"/>
              </w:rPr>
            </w:pPr>
            <w:r w:rsidRPr="00B7083C">
              <w:rPr>
                <w:b/>
                <w:bCs/>
                <w:sz w:val="20"/>
                <w:szCs w:val="20"/>
              </w:rPr>
              <w:t>for log</w:t>
            </w:r>
            <w:r w:rsidRPr="00B7083C">
              <w:rPr>
                <w:b/>
                <w:bCs/>
                <w:sz w:val="20"/>
                <w:szCs w:val="20"/>
                <w:vertAlign w:val="subscript"/>
              </w:rPr>
              <w:t xml:space="preserve">e </w:t>
            </w:r>
            <w:r w:rsidRPr="00B7083C">
              <w:rPr>
                <w:b/>
                <w:bCs/>
                <w:sz w:val="20"/>
                <w:szCs w:val="20"/>
              </w:rPr>
              <w:t>glucose</w:t>
            </w:r>
            <w:r w:rsidRPr="00B7083C">
              <w:rPr>
                <w:sz w:val="20"/>
                <w:szCs w:val="20"/>
                <w:vertAlign w:val="superscript"/>
              </w:rPr>
              <w:t>†</w:t>
            </w:r>
            <w:r w:rsidRPr="00B7083C">
              <w:rPr>
                <w:b/>
                <w:bCs/>
                <w:sz w:val="20"/>
                <w:szCs w:val="20"/>
                <w:vertAlign w:val="superscript"/>
              </w:rPr>
              <w:t xml:space="preserve"> </w:t>
            </w:r>
            <w:r w:rsidR="006C5F16" w:rsidRPr="00B7083C">
              <w:rPr>
                <w:b/>
                <w:bCs/>
                <w:sz w:val="20"/>
                <w:szCs w:val="20"/>
              </w:rPr>
              <w:t>(log</w:t>
            </w:r>
            <w:r w:rsidR="006C5F16" w:rsidRPr="00B7083C">
              <w:rPr>
                <w:b/>
                <w:bCs/>
                <w:sz w:val="20"/>
                <w:szCs w:val="20"/>
                <w:vertAlign w:val="subscript"/>
              </w:rPr>
              <w:t>e</w:t>
            </w:r>
            <w:r w:rsidR="006C5F16" w:rsidRPr="00B7083C">
              <w:rPr>
                <w:b/>
                <w:bCs/>
                <w:sz w:val="20"/>
                <w:szCs w:val="20"/>
              </w:rPr>
              <w:t xml:space="preserve"> mmol/L)</w:t>
            </w:r>
          </w:p>
        </w:tc>
      </w:tr>
      <w:tr w:rsidR="00B7083C" w:rsidRPr="00B7083C" w14:paraId="12492220" w14:textId="77777777" w:rsidTr="002A0101">
        <w:trPr>
          <w:trHeight w:val="130"/>
        </w:trPr>
        <w:tc>
          <w:tcPr>
            <w:tcW w:w="1644" w:type="dxa"/>
            <w:tcBorders>
              <w:bottom w:val="nil"/>
            </w:tcBorders>
          </w:tcPr>
          <w:p w14:paraId="6474F07E" w14:textId="62BD3228" w:rsidR="00FB511C" w:rsidRPr="00B7083C" w:rsidRDefault="00FB511C" w:rsidP="00FB511C">
            <w:pPr>
              <w:spacing w:line="360" w:lineRule="auto"/>
              <w:rPr>
                <w:b/>
                <w:sz w:val="20"/>
                <w:szCs w:val="20"/>
              </w:rPr>
            </w:pPr>
            <w:r w:rsidRPr="00B7083C">
              <w:rPr>
                <w:b/>
                <w:sz w:val="20"/>
                <w:szCs w:val="20"/>
              </w:rPr>
              <w:t>Fasting</w:t>
            </w:r>
          </w:p>
        </w:tc>
        <w:tc>
          <w:tcPr>
            <w:tcW w:w="529" w:type="dxa"/>
            <w:tcBorders>
              <w:bottom w:val="nil"/>
            </w:tcBorders>
          </w:tcPr>
          <w:p w14:paraId="753AFB1F" w14:textId="03D67C07" w:rsidR="00FB511C" w:rsidRPr="00B7083C" w:rsidRDefault="00FB511C" w:rsidP="00C82B44">
            <w:pPr>
              <w:spacing w:line="360" w:lineRule="auto"/>
              <w:jc w:val="center"/>
              <w:rPr>
                <w:b/>
                <w:sz w:val="20"/>
                <w:szCs w:val="20"/>
              </w:rPr>
            </w:pPr>
            <w:r w:rsidRPr="00B7083C">
              <w:rPr>
                <w:sz w:val="20"/>
                <w:szCs w:val="20"/>
              </w:rPr>
              <w:t>290</w:t>
            </w:r>
          </w:p>
        </w:tc>
        <w:tc>
          <w:tcPr>
            <w:tcW w:w="1541" w:type="dxa"/>
            <w:tcBorders>
              <w:bottom w:val="nil"/>
            </w:tcBorders>
          </w:tcPr>
          <w:p w14:paraId="72C0BCEF" w14:textId="1CE46DC4" w:rsidR="00FB511C" w:rsidRPr="00B7083C" w:rsidRDefault="00FB511C" w:rsidP="00C82B44">
            <w:pPr>
              <w:spacing w:line="360" w:lineRule="auto"/>
              <w:jc w:val="center"/>
              <w:rPr>
                <w:b/>
                <w:sz w:val="20"/>
                <w:szCs w:val="20"/>
              </w:rPr>
            </w:pPr>
            <w:r w:rsidRPr="00B7083C">
              <w:rPr>
                <w:sz w:val="20"/>
                <w:szCs w:val="20"/>
              </w:rPr>
              <w:t>4·41</w:t>
            </w:r>
          </w:p>
        </w:tc>
        <w:tc>
          <w:tcPr>
            <w:tcW w:w="533" w:type="dxa"/>
            <w:tcBorders>
              <w:bottom w:val="nil"/>
            </w:tcBorders>
          </w:tcPr>
          <w:p w14:paraId="671D1395" w14:textId="692C9CFA" w:rsidR="00FB511C" w:rsidRPr="00B7083C" w:rsidRDefault="00FB511C" w:rsidP="00C82B44">
            <w:pPr>
              <w:spacing w:line="360" w:lineRule="auto"/>
              <w:jc w:val="center"/>
              <w:rPr>
                <w:b/>
                <w:sz w:val="20"/>
                <w:szCs w:val="20"/>
              </w:rPr>
            </w:pPr>
            <w:r w:rsidRPr="00B7083C">
              <w:rPr>
                <w:sz w:val="20"/>
                <w:szCs w:val="20"/>
              </w:rPr>
              <w:t>295</w:t>
            </w:r>
          </w:p>
        </w:tc>
        <w:tc>
          <w:tcPr>
            <w:tcW w:w="1542" w:type="dxa"/>
            <w:tcBorders>
              <w:bottom w:val="nil"/>
            </w:tcBorders>
          </w:tcPr>
          <w:p w14:paraId="61853795" w14:textId="63DBEB1B" w:rsidR="00FB511C" w:rsidRPr="00B7083C" w:rsidRDefault="00FB511C" w:rsidP="00C82B44">
            <w:pPr>
              <w:spacing w:line="360" w:lineRule="auto"/>
              <w:jc w:val="center"/>
              <w:rPr>
                <w:b/>
                <w:sz w:val="20"/>
                <w:szCs w:val="20"/>
              </w:rPr>
            </w:pPr>
            <w:r w:rsidRPr="00B7083C">
              <w:rPr>
                <w:sz w:val="20"/>
                <w:szCs w:val="20"/>
              </w:rPr>
              <w:t>4·30</w:t>
            </w:r>
          </w:p>
        </w:tc>
        <w:tc>
          <w:tcPr>
            <w:tcW w:w="1814" w:type="dxa"/>
            <w:tcBorders>
              <w:bottom w:val="nil"/>
            </w:tcBorders>
          </w:tcPr>
          <w:p w14:paraId="4EB24404" w14:textId="2EBA450A" w:rsidR="00FB511C" w:rsidRPr="00B7083C" w:rsidRDefault="00FB511C" w:rsidP="00C82B44">
            <w:pPr>
              <w:spacing w:line="360" w:lineRule="auto"/>
              <w:jc w:val="center"/>
              <w:rPr>
                <w:b/>
                <w:sz w:val="20"/>
                <w:szCs w:val="20"/>
              </w:rPr>
            </w:pPr>
            <w:r w:rsidRPr="00B7083C">
              <w:rPr>
                <w:sz w:val="20"/>
                <w:szCs w:val="20"/>
              </w:rPr>
              <w:t>-0·004</w:t>
            </w:r>
          </w:p>
        </w:tc>
        <w:tc>
          <w:tcPr>
            <w:tcW w:w="1814" w:type="dxa"/>
            <w:tcBorders>
              <w:bottom w:val="nil"/>
            </w:tcBorders>
          </w:tcPr>
          <w:p w14:paraId="27E83515" w14:textId="3FFBDE4B" w:rsidR="00FB511C" w:rsidRPr="00B7083C" w:rsidRDefault="00FB511C" w:rsidP="00C82B44">
            <w:pPr>
              <w:spacing w:line="360" w:lineRule="auto"/>
              <w:jc w:val="center"/>
              <w:rPr>
                <w:b/>
                <w:sz w:val="20"/>
                <w:szCs w:val="20"/>
              </w:rPr>
            </w:pPr>
            <w:r w:rsidRPr="00B7083C">
              <w:rPr>
                <w:sz w:val="20"/>
                <w:szCs w:val="20"/>
              </w:rPr>
              <w:t>0·0002</w:t>
            </w:r>
          </w:p>
        </w:tc>
      </w:tr>
      <w:tr w:rsidR="00B7083C" w:rsidRPr="00B7083C" w14:paraId="387E35B7" w14:textId="77777777" w:rsidTr="002A0101">
        <w:trPr>
          <w:trHeight w:val="369"/>
        </w:trPr>
        <w:tc>
          <w:tcPr>
            <w:tcW w:w="1644" w:type="dxa"/>
            <w:tcBorders>
              <w:top w:val="nil"/>
            </w:tcBorders>
          </w:tcPr>
          <w:p w14:paraId="3BEFC84A" w14:textId="21E6CB96" w:rsidR="00C82B44" w:rsidRPr="00B7083C" w:rsidRDefault="00C82B44" w:rsidP="000579B3">
            <w:pPr>
              <w:jc w:val="right"/>
              <w:rPr>
                <w:sz w:val="20"/>
                <w:szCs w:val="20"/>
              </w:rPr>
            </w:pPr>
          </w:p>
        </w:tc>
        <w:tc>
          <w:tcPr>
            <w:tcW w:w="529" w:type="dxa"/>
            <w:tcBorders>
              <w:top w:val="nil"/>
            </w:tcBorders>
          </w:tcPr>
          <w:p w14:paraId="78E38B02" w14:textId="77777777" w:rsidR="00C82B44" w:rsidRPr="00B7083C" w:rsidRDefault="00C82B44" w:rsidP="00C82B44">
            <w:pPr>
              <w:spacing w:line="360" w:lineRule="auto"/>
              <w:jc w:val="center"/>
              <w:rPr>
                <w:sz w:val="20"/>
                <w:szCs w:val="20"/>
              </w:rPr>
            </w:pPr>
          </w:p>
        </w:tc>
        <w:tc>
          <w:tcPr>
            <w:tcW w:w="1541" w:type="dxa"/>
            <w:tcBorders>
              <w:top w:val="nil"/>
            </w:tcBorders>
          </w:tcPr>
          <w:p w14:paraId="4C58BA8C" w14:textId="3888379A" w:rsidR="00C82B44" w:rsidRPr="00B7083C" w:rsidRDefault="00C82B44" w:rsidP="00FB511C">
            <w:pPr>
              <w:spacing w:line="360" w:lineRule="auto"/>
              <w:jc w:val="center"/>
              <w:rPr>
                <w:sz w:val="20"/>
                <w:szCs w:val="20"/>
              </w:rPr>
            </w:pPr>
            <w:r w:rsidRPr="00B7083C">
              <w:rPr>
                <w:sz w:val="20"/>
                <w:szCs w:val="20"/>
              </w:rPr>
              <w:t>(4·08 to 4·63)</w:t>
            </w:r>
          </w:p>
        </w:tc>
        <w:tc>
          <w:tcPr>
            <w:tcW w:w="533" w:type="dxa"/>
            <w:tcBorders>
              <w:top w:val="nil"/>
            </w:tcBorders>
          </w:tcPr>
          <w:p w14:paraId="02F95937" w14:textId="77777777" w:rsidR="00C82B44" w:rsidRPr="00B7083C" w:rsidRDefault="00C82B44" w:rsidP="00C82B44">
            <w:pPr>
              <w:spacing w:line="360" w:lineRule="auto"/>
              <w:jc w:val="center"/>
              <w:rPr>
                <w:sz w:val="20"/>
                <w:szCs w:val="20"/>
              </w:rPr>
            </w:pPr>
          </w:p>
        </w:tc>
        <w:tc>
          <w:tcPr>
            <w:tcW w:w="1542" w:type="dxa"/>
            <w:tcBorders>
              <w:top w:val="nil"/>
            </w:tcBorders>
          </w:tcPr>
          <w:p w14:paraId="32E049FB" w14:textId="00BADC82" w:rsidR="00C82B44" w:rsidRPr="00B7083C" w:rsidRDefault="00C82B44" w:rsidP="00FB511C">
            <w:pPr>
              <w:spacing w:line="360" w:lineRule="auto"/>
              <w:jc w:val="center"/>
              <w:rPr>
                <w:sz w:val="20"/>
                <w:szCs w:val="20"/>
              </w:rPr>
            </w:pPr>
            <w:r w:rsidRPr="00B7083C">
              <w:rPr>
                <w:sz w:val="20"/>
                <w:szCs w:val="20"/>
              </w:rPr>
              <w:t>(4·08 to 4·63)</w:t>
            </w:r>
          </w:p>
        </w:tc>
        <w:tc>
          <w:tcPr>
            <w:tcW w:w="1814" w:type="dxa"/>
            <w:tcBorders>
              <w:top w:val="nil"/>
            </w:tcBorders>
          </w:tcPr>
          <w:p w14:paraId="6182E219" w14:textId="20C4240D" w:rsidR="00C82B44" w:rsidRPr="00B7083C" w:rsidRDefault="00C82B44" w:rsidP="00C82B44">
            <w:pPr>
              <w:spacing w:line="360" w:lineRule="auto"/>
              <w:jc w:val="center"/>
              <w:rPr>
                <w:sz w:val="20"/>
                <w:szCs w:val="20"/>
              </w:rPr>
            </w:pPr>
            <w:r w:rsidRPr="00B7083C">
              <w:rPr>
                <w:sz w:val="20"/>
                <w:szCs w:val="20"/>
              </w:rPr>
              <w:t>(-0·018 to 0·011)</w:t>
            </w:r>
          </w:p>
        </w:tc>
        <w:tc>
          <w:tcPr>
            <w:tcW w:w="1814" w:type="dxa"/>
            <w:tcBorders>
              <w:top w:val="nil"/>
            </w:tcBorders>
          </w:tcPr>
          <w:p w14:paraId="7528C799" w14:textId="134679DD" w:rsidR="00C82B44" w:rsidRPr="00B7083C" w:rsidRDefault="00C82B44" w:rsidP="00FB511C">
            <w:pPr>
              <w:spacing w:line="360" w:lineRule="auto"/>
              <w:jc w:val="center"/>
              <w:rPr>
                <w:sz w:val="20"/>
                <w:szCs w:val="20"/>
              </w:rPr>
            </w:pPr>
            <w:r w:rsidRPr="00B7083C">
              <w:rPr>
                <w:sz w:val="20"/>
                <w:szCs w:val="20"/>
              </w:rPr>
              <w:t xml:space="preserve">(-0·014 to 0·014)   </w:t>
            </w:r>
          </w:p>
        </w:tc>
      </w:tr>
      <w:tr w:rsidR="00B7083C" w:rsidRPr="00B7083C" w14:paraId="29DAA42E" w14:textId="77777777" w:rsidTr="002A0101">
        <w:tc>
          <w:tcPr>
            <w:tcW w:w="1644" w:type="dxa"/>
            <w:tcBorders>
              <w:bottom w:val="single" w:sz="4" w:space="0" w:color="auto"/>
            </w:tcBorders>
          </w:tcPr>
          <w:p w14:paraId="1AAEE1A5" w14:textId="34DF6C72" w:rsidR="006C5F16" w:rsidRPr="00B7083C" w:rsidRDefault="006C5F16" w:rsidP="00C82B44">
            <w:pPr>
              <w:spacing w:line="360" w:lineRule="auto"/>
              <w:jc w:val="right"/>
              <w:rPr>
                <w:sz w:val="20"/>
                <w:szCs w:val="20"/>
              </w:rPr>
            </w:pPr>
            <w:r w:rsidRPr="00B7083C">
              <w:rPr>
                <w:sz w:val="20"/>
                <w:szCs w:val="20"/>
              </w:rPr>
              <w:t>p value</w:t>
            </w:r>
          </w:p>
        </w:tc>
        <w:tc>
          <w:tcPr>
            <w:tcW w:w="529" w:type="dxa"/>
            <w:tcBorders>
              <w:bottom w:val="single" w:sz="4" w:space="0" w:color="auto"/>
            </w:tcBorders>
          </w:tcPr>
          <w:p w14:paraId="42133D60" w14:textId="77777777" w:rsidR="006C5F16" w:rsidRPr="00B7083C" w:rsidRDefault="006C5F16" w:rsidP="00C82B44">
            <w:pPr>
              <w:jc w:val="center"/>
              <w:rPr>
                <w:sz w:val="20"/>
                <w:szCs w:val="20"/>
              </w:rPr>
            </w:pPr>
          </w:p>
        </w:tc>
        <w:tc>
          <w:tcPr>
            <w:tcW w:w="1541" w:type="dxa"/>
            <w:tcBorders>
              <w:bottom w:val="single" w:sz="4" w:space="0" w:color="auto"/>
            </w:tcBorders>
          </w:tcPr>
          <w:p w14:paraId="77265BD2" w14:textId="16F0EC64" w:rsidR="006C5F16" w:rsidRPr="00B7083C" w:rsidRDefault="006C5F16" w:rsidP="00C82B44">
            <w:pPr>
              <w:jc w:val="center"/>
              <w:rPr>
                <w:sz w:val="20"/>
                <w:szCs w:val="20"/>
              </w:rPr>
            </w:pPr>
            <w:r w:rsidRPr="00B7083C">
              <w:rPr>
                <w:sz w:val="20"/>
                <w:szCs w:val="20"/>
              </w:rPr>
              <w:t>…</w:t>
            </w:r>
          </w:p>
        </w:tc>
        <w:tc>
          <w:tcPr>
            <w:tcW w:w="533" w:type="dxa"/>
            <w:tcBorders>
              <w:bottom w:val="single" w:sz="4" w:space="0" w:color="auto"/>
            </w:tcBorders>
          </w:tcPr>
          <w:p w14:paraId="159D803A" w14:textId="77777777" w:rsidR="006C5F16" w:rsidRPr="00B7083C" w:rsidRDefault="006C5F16" w:rsidP="00C82B44">
            <w:pPr>
              <w:jc w:val="center"/>
              <w:rPr>
                <w:sz w:val="20"/>
                <w:szCs w:val="20"/>
              </w:rPr>
            </w:pPr>
          </w:p>
        </w:tc>
        <w:tc>
          <w:tcPr>
            <w:tcW w:w="1542" w:type="dxa"/>
            <w:tcBorders>
              <w:bottom w:val="single" w:sz="4" w:space="0" w:color="auto"/>
            </w:tcBorders>
          </w:tcPr>
          <w:p w14:paraId="564CEB24" w14:textId="02B300A4" w:rsidR="006C5F16" w:rsidRPr="00B7083C" w:rsidRDefault="006C5F16" w:rsidP="00C82B44">
            <w:pPr>
              <w:jc w:val="center"/>
              <w:rPr>
                <w:sz w:val="20"/>
                <w:szCs w:val="20"/>
              </w:rPr>
            </w:pPr>
            <w:r w:rsidRPr="00B7083C">
              <w:rPr>
                <w:sz w:val="20"/>
                <w:szCs w:val="20"/>
              </w:rPr>
              <w:t>p=0.55</w:t>
            </w:r>
          </w:p>
        </w:tc>
        <w:tc>
          <w:tcPr>
            <w:tcW w:w="1814" w:type="dxa"/>
            <w:tcBorders>
              <w:bottom w:val="single" w:sz="4" w:space="0" w:color="auto"/>
            </w:tcBorders>
          </w:tcPr>
          <w:p w14:paraId="5FE59526" w14:textId="0E1E3752" w:rsidR="006C5F16" w:rsidRPr="00B7083C" w:rsidRDefault="006C5F16" w:rsidP="00C82B44">
            <w:pPr>
              <w:jc w:val="center"/>
              <w:rPr>
                <w:sz w:val="20"/>
                <w:szCs w:val="20"/>
              </w:rPr>
            </w:pPr>
            <w:r w:rsidRPr="00B7083C">
              <w:rPr>
                <w:sz w:val="20"/>
                <w:szCs w:val="20"/>
              </w:rPr>
              <w:t>p=0.63</w:t>
            </w:r>
          </w:p>
        </w:tc>
        <w:tc>
          <w:tcPr>
            <w:tcW w:w="1814" w:type="dxa"/>
            <w:tcBorders>
              <w:bottom w:val="single" w:sz="4" w:space="0" w:color="auto"/>
            </w:tcBorders>
          </w:tcPr>
          <w:p w14:paraId="0597C12E" w14:textId="45010837" w:rsidR="006C5F16" w:rsidRPr="00B7083C" w:rsidRDefault="006C5F16" w:rsidP="00C82B44">
            <w:pPr>
              <w:jc w:val="center"/>
              <w:rPr>
                <w:sz w:val="20"/>
                <w:szCs w:val="20"/>
              </w:rPr>
            </w:pPr>
            <w:r w:rsidRPr="00B7083C">
              <w:rPr>
                <w:sz w:val="20"/>
                <w:szCs w:val="20"/>
              </w:rPr>
              <w:t>p=0.98</w:t>
            </w:r>
          </w:p>
        </w:tc>
      </w:tr>
      <w:tr w:rsidR="00B7083C" w:rsidRPr="00B7083C" w14:paraId="37081AB2" w14:textId="77777777" w:rsidTr="002A0101">
        <w:trPr>
          <w:trHeight w:val="130"/>
        </w:trPr>
        <w:tc>
          <w:tcPr>
            <w:tcW w:w="1644" w:type="dxa"/>
            <w:tcBorders>
              <w:bottom w:val="nil"/>
            </w:tcBorders>
          </w:tcPr>
          <w:p w14:paraId="43D94177" w14:textId="5A5B2541" w:rsidR="00FB511C" w:rsidRPr="00B7083C" w:rsidRDefault="00003DFC" w:rsidP="00FB511C">
            <w:pPr>
              <w:spacing w:line="360" w:lineRule="auto"/>
              <w:rPr>
                <w:b/>
                <w:sz w:val="20"/>
                <w:szCs w:val="20"/>
              </w:rPr>
            </w:pPr>
            <w:r w:rsidRPr="00B7083C">
              <w:rPr>
                <w:b/>
                <w:sz w:val="20"/>
                <w:szCs w:val="20"/>
              </w:rPr>
              <w:t>1-hour</w:t>
            </w:r>
          </w:p>
        </w:tc>
        <w:tc>
          <w:tcPr>
            <w:tcW w:w="529" w:type="dxa"/>
            <w:tcBorders>
              <w:bottom w:val="nil"/>
            </w:tcBorders>
          </w:tcPr>
          <w:p w14:paraId="00B15A63" w14:textId="0F0A761B" w:rsidR="00FB511C" w:rsidRPr="00B7083C" w:rsidRDefault="00FB511C" w:rsidP="00C82B44">
            <w:pPr>
              <w:jc w:val="center"/>
              <w:rPr>
                <w:b/>
                <w:sz w:val="20"/>
                <w:szCs w:val="20"/>
              </w:rPr>
            </w:pPr>
            <w:r w:rsidRPr="00B7083C">
              <w:rPr>
                <w:sz w:val="20"/>
                <w:szCs w:val="20"/>
              </w:rPr>
              <w:t>283</w:t>
            </w:r>
          </w:p>
        </w:tc>
        <w:tc>
          <w:tcPr>
            <w:tcW w:w="1541" w:type="dxa"/>
            <w:tcBorders>
              <w:bottom w:val="nil"/>
            </w:tcBorders>
          </w:tcPr>
          <w:p w14:paraId="2EE52783" w14:textId="269AA1FF" w:rsidR="00FB511C" w:rsidRPr="00B7083C" w:rsidRDefault="00FB511C" w:rsidP="00003DFC">
            <w:pPr>
              <w:spacing w:line="360" w:lineRule="auto"/>
              <w:jc w:val="center"/>
              <w:rPr>
                <w:b/>
                <w:sz w:val="20"/>
                <w:szCs w:val="20"/>
              </w:rPr>
            </w:pPr>
            <w:r w:rsidRPr="00B7083C">
              <w:rPr>
                <w:sz w:val="20"/>
                <w:szCs w:val="20"/>
              </w:rPr>
              <w:t>8·02</w:t>
            </w:r>
          </w:p>
        </w:tc>
        <w:tc>
          <w:tcPr>
            <w:tcW w:w="533" w:type="dxa"/>
            <w:tcBorders>
              <w:bottom w:val="nil"/>
            </w:tcBorders>
          </w:tcPr>
          <w:p w14:paraId="28299220" w14:textId="2C904DBD" w:rsidR="00FB511C" w:rsidRPr="00B7083C" w:rsidRDefault="00FB511C" w:rsidP="00C82B44">
            <w:pPr>
              <w:jc w:val="center"/>
              <w:rPr>
                <w:b/>
                <w:sz w:val="20"/>
                <w:szCs w:val="20"/>
              </w:rPr>
            </w:pPr>
            <w:r w:rsidRPr="00B7083C">
              <w:rPr>
                <w:sz w:val="20"/>
                <w:szCs w:val="20"/>
              </w:rPr>
              <w:t>294</w:t>
            </w:r>
          </w:p>
        </w:tc>
        <w:tc>
          <w:tcPr>
            <w:tcW w:w="1542" w:type="dxa"/>
            <w:tcBorders>
              <w:bottom w:val="nil"/>
            </w:tcBorders>
          </w:tcPr>
          <w:p w14:paraId="5DD7AA2E" w14:textId="7CE381B7" w:rsidR="00FB511C" w:rsidRPr="00B7083C" w:rsidRDefault="00FB511C" w:rsidP="00003DFC">
            <w:pPr>
              <w:spacing w:line="360" w:lineRule="auto"/>
              <w:jc w:val="center"/>
              <w:rPr>
                <w:b/>
                <w:sz w:val="20"/>
                <w:szCs w:val="20"/>
              </w:rPr>
            </w:pPr>
            <w:r w:rsidRPr="00B7083C">
              <w:rPr>
                <w:sz w:val="20"/>
                <w:szCs w:val="20"/>
              </w:rPr>
              <w:t>8·24</w:t>
            </w:r>
          </w:p>
        </w:tc>
        <w:tc>
          <w:tcPr>
            <w:tcW w:w="1814" w:type="dxa"/>
            <w:tcBorders>
              <w:bottom w:val="nil"/>
            </w:tcBorders>
          </w:tcPr>
          <w:p w14:paraId="35A89305" w14:textId="5C8186EB" w:rsidR="00FB511C" w:rsidRPr="00B7083C" w:rsidRDefault="00FB511C" w:rsidP="00003DFC">
            <w:pPr>
              <w:spacing w:line="360" w:lineRule="auto"/>
              <w:jc w:val="center"/>
              <w:rPr>
                <w:b/>
                <w:sz w:val="20"/>
                <w:szCs w:val="20"/>
              </w:rPr>
            </w:pPr>
            <w:r w:rsidRPr="00B7083C">
              <w:rPr>
                <w:sz w:val="20"/>
                <w:szCs w:val="20"/>
              </w:rPr>
              <w:t>0·025</w:t>
            </w:r>
          </w:p>
        </w:tc>
        <w:tc>
          <w:tcPr>
            <w:tcW w:w="1814" w:type="dxa"/>
            <w:tcBorders>
              <w:bottom w:val="nil"/>
            </w:tcBorders>
          </w:tcPr>
          <w:p w14:paraId="1F1D02FB" w14:textId="5B12DC61" w:rsidR="00FB511C" w:rsidRPr="00B7083C" w:rsidRDefault="00FB511C" w:rsidP="00003DFC">
            <w:pPr>
              <w:spacing w:line="360" w:lineRule="auto"/>
              <w:jc w:val="center"/>
              <w:rPr>
                <w:b/>
                <w:sz w:val="20"/>
                <w:szCs w:val="20"/>
              </w:rPr>
            </w:pPr>
            <w:r w:rsidRPr="00B7083C">
              <w:rPr>
                <w:sz w:val="20"/>
                <w:szCs w:val="20"/>
              </w:rPr>
              <w:t xml:space="preserve">0·036   </w:t>
            </w:r>
          </w:p>
        </w:tc>
      </w:tr>
      <w:tr w:rsidR="00B7083C" w:rsidRPr="00B7083C" w14:paraId="2EB05B4D" w14:textId="77777777" w:rsidTr="002A0101">
        <w:trPr>
          <w:trHeight w:val="369"/>
        </w:trPr>
        <w:tc>
          <w:tcPr>
            <w:tcW w:w="1644" w:type="dxa"/>
            <w:tcBorders>
              <w:top w:val="nil"/>
            </w:tcBorders>
          </w:tcPr>
          <w:p w14:paraId="0E6DFCF9" w14:textId="5CD94B2B" w:rsidR="00003DFC" w:rsidRPr="00B7083C" w:rsidRDefault="00003DFC" w:rsidP="00003DFC">
            <w:pPr>
              <w:jc w:val="right"/>
              <w:rPr>
                <w:sz w:val="20"/>
                <w:szCs w:val="20"/>
              </w:rPr>
            </w:pPr>
          </w:p>
        </w:tc>
        <w:tc>
          <w:tcPr>
            <w:tcW w:w="529" w:type="dxa"/>
            <w:tcBorders>
              <w:top w:val="nil"/>
            </w:tcBorders>
          </w:tcPr>
          <w:p w14:paraId="2C8E8D63" w14:textId="77777777" w:rsidR="00003DFC" w:rsidRPr="00B7083C" w:rsidRDefault="00003DFC" w:rsidP="00C82B44">
            <w:pPr>
              <w:jc w:val="center"/>
              <w:rPr>
                <w:b/>
                <w:sz w:val="20"/>
                <w:szCs w:val="20"/>
              </w:rPr>
            </w:pPr>
          </w:p>
        </w:tc>
        <w:tc>
          <w:tcPr>
            <w:tcW w:w="1541" w:type="dxa"/>
            <w:tcBorders>
              <w:top w:val="nil"/>
            </w:tcBorders>
          </w:tcPr>
          <w:p w14:paraId="73D2D9E4" w14:textId="50DBD674" w:rsidR="00003DFC" w:rsidRPr="00B7083C" w:rsidRDefault="00003DFC" w:rsidP="00C82B44">
            <w:pPr>
              <w:jc w:val="center"/>
              <w:rPr>
                <w:sz w:val="20"/>
                <w:szCs w:val="20"/>
              </w:rPr>
            </w:pPr>
            <w:r w:rsidRPr="00B7083C">
              <w:rPr>
                <w:sz w:val="20"/>
                <w:szCs w:val="20"/>
              </w:rPr>
              <w:t>(6·60 to 9·23)</w:t>
            </w:r>
          </w:p>
        </w:tc>
        <w:tc>
          <w:tcPr>
            <w:tcW w:w="533" w:type="dxa"/>
            <w:tcBorders>
              <w:top w:val="nil"/>
            </w:tcBorders>
          </w:tcPr>
          <w:p w14:paraId="7AFDF23E" w14:textId="77777777" w:rsidR="00003DFC" w:rsidRPr="00B7083C" w:rsidRDefault="00003DFC" w:rsidP="00C82B44">
            <w:pPr>
              <w:jc w:val="center"/>
              <w:rPr>
                <w:b/>
                <w:sz w:val="20"/>
                <w:szCs w:val="20"/>
              </w:rPr>
            </w:pPr>
          </w:p>
        </w:tc>
        <w:tc>
          <w:tcPr>
            <w:tcW w:w="1542" w:type="dxa"/>
            <w:tcBorders>
              <w:top w:val="nil"/>
            </w:tcBorders>
          </w:tcPr>
          <w:p w14:paraId="7B431C72" w14:textId="192FB4B5" w:rsidR="00003DFC" w:rsidRPr="00B7083C" w:rsidRDefault="00003DFC" w:rsidP="00C82B44">
            <w:pPr>
              <w:jc w:val="center"/>
              <w:rPr>
                <w:sz w:val="20"/>
                <w:szCs w:val="20"/>
              </w:rPr>
            </w:pPr>
            <w:r w:rsidRPr="00B7083C">
              <w:rPr>
                <w:sz w:val="20"/>
                <w:szCs w:val="20"/>
              </w:rPr>
              <w:t>(6·93 to 9·45)</w:t>
            </w:r>
          </w:p>
        </w:tc>
        <w:tc>
          <w:tcPr>
            <w:tcW w:w="1814" w:type="dxa"/>
            <w:tcBorders>
              <w:top w:val="nil"/>
            </w:tcBorders>
          </w:tcPr>
          <w:p w14:paraId="58A73F38" w14:textId="320DE37D" w:rsidR="00003DFC" w:rsidRPr="00B7083C" w:rsidRDefault="00003DFC" w:rsidP="00C82B44">
            <w:pPr>
              <w:jc w:val="center"/>
              <w:rPr>
                <w:sz w:val="20"/>
                <w:szCs w:val="20"/>
              </w:rPr>
            </w:pPr>
            <w:r w:rsidRPr="00B7083C">
              <w:rPr>
                <w:sz w:val="20"/>
                <w:szCs w:val="20"/>
              </w:rPr>
              <w:t>( -0·014 to 0·064)</w:t>
            </w:r>
          </w:p>
        </w:tc>
        <w:tc>
          <w:tcPr>
            <w:tcW w:w="1814" w:type="dxa"/>
            <w:tcBorders>
              <w:top w:val="nil"/>
            </w:tcBorders>
          </w:tcPr>
          <w:p w14:paraId="23312049" w14:textId="4C25EFE9" w:rsidR="00003DFC" w:rsidRPr="00B7083C" w:rsidRDefault="00003DFC" w:rsidP="00C82B44">
            <w:pPr>
              <w:jc w:val="center"/>
              <w:rPr>
                <w:sz w:val="20"/>
                <w:szCs w:val="20"/>
              </w:rPr>
            </w:pPr>
            <w:r w:rsidRPr="00B7083C">
              <w:rPr>
                <w:sz w:val="20"/>
                <w:szCs w:val="20"/>
              </w:rPr>
              <w:t xml:space="preserve">(-0·003 to 0·074)    </w:t>
            </w:r>
          </w:p>
        </w:tc>
      </w:tr>
      <w:tr w:rsidR="00B7083C" w:rsidRPr="00B7083C" w14:paraId="69C2D82E" w14:textId="77777777" w:rsidTr="002A0101">
        <w:tc>
          <w:tcPr>
            <w:tcW w:w="1644" w:type="dxa"/>
            <w:tcBorders>
              <w:bottom w:val="single" w:sz="4" w:space="0" w:color="auto"/>
            </w:tcBorders>
          </w:tcPr>
          <w:p w14:paraId="4CF4EB64" w14:textId="6D5F3366" w:rsidR="008F7077" w:rsidRPr="00B7083C" w:rsidRDefault="008F7077" w:rsidP="00C82B44">
            <w:pPr>
              <w:spacing w:line="360" w:lineRule="auto"/>
              <w:jc w:val="right"/>
              <w:rPr>
                <w:b/>
                <w:sz w:val="20"/>
                <w:szCs w:val="20"/>
              </w:rPr>
            </w:pPr>
            <w:r w:rsidRPr="00B7083C">
              <w:rPr>
                <w:sz w:val="20"/>
                <w:szCs w:val="20"/>
              </w:rPr>
              <w:t>p value</w:t>
            </w:r>
          </w:p>
        </w:tc>
        <w:tc>
          <w:tcPr>
            <w:tcW w:w="529" w:type="dxa"/>
            <w:tcBorders>
              <w:bottom w:val="single" w:sz="4" w:space="0" w:color="auto"/>
            </w:tcBorders>
          </w:tcPr>
          <w:p w14:paraId="6AF7352A" w14:textId="77777777" w:rsidR="008F7077" w:rsidRPr="00B7083C" w:rsidRDefault="008F7077" w:rsidP="00C82B44">
            <w:pPr>
              <w:jc w:val="center"/>
              <w:rPr>
                <w:b/>
                <w:sz w:val="20"/>
                <w:szCs w:val="20"/>
              </w:rPr>
            </w:pPr>
          </w:p>
        </w:tc>
        <w:tc>
          <w:tcPr>
            <w:tcW w:w="1541" w:type="dxa"/>
            <w:tcBorders>
              <w:bottom w:val="single" w:sz="4" w:space="0" w:color="auto"/>
            </w:tcBorders>
          </w:tcPr>
          <w:p w14:paraId="28BF844B" w14:textId="014312A3" w:rsidR="008F7077" w:rsidRPr="00B7083C" w:rsidRDefault="008F7077" w:rsidP="00C82B44">
            <w:pPr>
              <w:jc w:val="center"/>
              <w:rPr>
                <w:b/>
                <w:sz w:val="20"/>
                <w:szCs w:val="20"/>
              </w:rPr>
            </w:pPr>
            <w:r w:rsidRPr="00B7083C">
              <w:rPr>
                <w:sz w:val="20"/>
                <w:szCs w:val="20"/>
              </w:rPr>
              <w:t>…</w:t>
            </w:r>
          </w:p>
        </w:tc>
        <w:tc>
          <w:tcPr>
            <w:tcW w:w="533" w:type="dxa"/>
            <w:tcBorders>
              <w:bottom w:val="single" w:sz="4" w:space="0" w:color="auto"/>
            </w:tcBorders>
          </w:tcPr>
          <w:p w14:paraId="56430AC9" w14:textId="77777777" w:rsidR="008F7077" w:rsidRPr="00B7083C" w:rsidRDefault="008F7077" w:rsidP="00C82B44">
            <w:pPr>
              <w:jc w:val="center"/>
              <w:rPr>
                <w:b/>
                <w:sz w:val="20"/>
                <w:szCs w:val="20"/>
              </w:rPr>
            </w:pPr>
          </w:p>
        </w:tc>
        <w:tc>
          <w:tcPr>
            <w:tcW w:w="1542" w:type="dxa"/>
            <w:tcBorders>
              <w:bottom w:val="single" w:sz="4" w:space="0" w:color="auto"/>
            </w:tcBorders>
          </w:tcPr>
          <w:p w14:paraId="65019D2E" w14:textId="116105BB" w:rsidR="008F7077" w:rsidRPr="00B7083C" w:rsidRDefault="008F7077" w:rsidP="00C82B44">
            <w:pPr>
              <w:jc w:val="center"/>
              <w:rPr>
                <w:b/>
                <w:sz w:val="20"/>
                <w:szCs w:val="20"/>
              </w:rPr>
            </w:pPr>
            <w:r w:rsidRPr="00B7083C">
              <w:rPr>
                <w:sz w:val="20"/>
                <w:szCs w:val="20"/>
              </w:rPr>
              <w:t>p=0.26</w:t>
            </w:r>
          </w:p>
        </w:tc>
        <w:tc>
          <w:tcPr>
            <w:tcW w:w="1814" w:type="dxa"/>
            <w:tcBorders>
              <w:bottom w:val="single" w:sz="4" w:space="0" w:color="auto"/>
            </w:tcBorders>
          </w:tcPr>
          <w:p w14:paraId="09F7D797" w14:textId="535FACA2" w:rsidR="008F7077" w:rsidRPr="00B7083C" w:rsidRDefault="008F7077" w:rsidP="00C82B44">
            <w:pPr>
              <w:jc w:val="center"/>
              <w:rPr>
                <w:b/>
                <w:sz w:val="20"/>
                <w:szCs w:val="20"/>
              </w:rPr>
            </w:pPr>
            <w:r w:rsidRPr="00B7083C">
              <w:rPr>
                <w:sz w:val="20"/>
                <w:szCs w:val="20"/>
              </w:rPr>
              <w:t>p=0.22</w:t>
            </w:r>
          </w:p>
        </w:tc>
        <w:tc>
          <w:tcPr>
            <w:tcW w:w="1814" w:type="dxa"/>
            <w:tcBorders>
              <w:bottom w:val="single" w:sz="4" w:space="0" w:color="auto"/>
            </w:tcBorders>
          </w:tcPr>
          <w:p w14:paraId="04166239" w14:textId="1FE1E3EF" w:rsidR="008F7077" w:rsidRPr="00B7083C" w:rsidRDefault="008F7077" w:rsidP="00C82B44">
            <w:pPr>
              <w:jc w:val="center"/>
              <w:rPr>
                <w:b/>
                <w:sz w:val="20"/>
                <w:szCs w:val="20"/>
              </w:rPr>
            </w:pPr>
            <w:r w:rsidRPr="00B7083C">
              <w:rPr>
                <w:sz w:val="20"/>
                <w:szCs w:val="20"/>
              </w:rPr>
              <w:t>p=0.07</w:t>
            </w:r>
          </w:p>
        </w:tc>
      </w:tr>
      <w:tr w:rsidR="00B7083C" w:rsidRPr="00B7083C" w14:paraId="3ECB78B1" w14:textId="77777777" w:rsidTr="002A0101">
        <w:trPr>
          <w:trHeight w:val="130"/>
        </w:trPr>
        <w:tc>
          <w:tcPr>
            <w:tcW w:w="1644" w:type="dxa"/>
            <w:tcBorders>
              <w:bottom w:val="nil"/>
            </w:tcBorders>
          </w:tcPr>
          <w:p w14:paraId="72EC54BE" w14:textId="696266FA" w:rsidR="008F7077" w:rsidRPr="00B7083C" w:rsidRDefault="008F7077" w:rsidP="008F7077">
            <w:pPr>
              <w:spacing w:line="360" w:lineRule="auto"/>
              <w:rPr>
                <w:b/>
                <w:sz w:val="20"/>
                <w:szCs w:val="20"/>
              </w:rPr>
            </w:pPr>
            <w:r w:rsidRPr="00B7083C">
              <w:rPr>
                <w:b/>
                <w:sz w:val="20"/>
                <w:szCs w:val="20"/>
              </w:rPr>
              <w:t>2-hour</w:t>
            </w:r>
          </w:p>
        </w:tc>
        <w:tc>
          <w:tcPr>
            <w:tcW w:w="529" w:type="dxa"/>
            <w:tcBorders>
              <w:bottom w:val="nil"/>
            </w:tcBorders>
          </w:tcPr>
          <w:p w14:paraId="6F7BFCC6" w14:textId="7FB40CCF" w:rsidR="008F7077" w:rsidRPr="00B7083C" w:rsidRDefault="008F7077" w:rsidP="008F3DA7">
            <w:pPr>
              <w:spacing w:line="360" w:lineRule="auto"/>
              <w:jc w:val="center"/>
              <w:rPr>
                <w:b/>
                <w:sz w:val="20"/>
                <w:szCs w:val="20"/>
              </w:rPr>
            </w:pPr>
            <w:r w:rsidRPr="00B7083C">
              <w:rPr>
                <w:sz w:val="20"/>
                <w:szCs w:val="20"/>
              </w:rPr>
              <w:t>287</w:t>
            </w:r>
          </w:p>
        </w:tc>
        <w:tc>
          <w:tcPr>
            <w:tcW w:w="1541" w:type="dxa"/>
            <w:tcBorders>
              <w:bottom w:val="nil"/>
            </w:tcBorders>
          </w:tcPr>
          <w:p w14:paraId="029D2C99" w14:textId="3DFB0F54" w:rsidR="008F7077" w:rsidRPr="00B7083C" w:rsidRDefault="008F7077" w:rsidP="00003DFC">
            <w:pPr>
              <w:spacing w:line="360" w:lineRule="auto"/>
              <w:jc w:val="center"/>
              <w:rPr>
                <w:b/>
                <w:sz w:val="20"/>
                <w:szCs w:val="20"/>
              </w:rPr>
            </w:pPr>
            <w:r w:rsidRPr="00B7083C">
              <w:rPr>
                <w:sz w:val="20"/>
                <w:szCs w:val="20"/>
              </w:rPr>
              <w:t>6·49</w:t>
            </w:r>
          </w:p>
        </w:tc>
        <w:tc>
          <w:tcPr>
            <w:tcW w:w="533" w:type="dxa"/>
            <w:tcBorders>
              <w:bottom w:val="nil"/>
            </w:tcBorders>
          </w:tcPr>
          <w:p w14:paraId="62C49603" w14:textId="28C9EB62" w:rsidR="008F7077" w:rsidRPr="00B7083C" w:rsidRDefault="008F7077" w:rsidP="008F3DA7">
            <w:pPr>
              <w:spacing w:line="360" w:lineRule="auto"/>
              <w:jc w:val="center"/>
              <w:rPr>
                <w:b/>
                <w:sz w:val="20"/>
                <w:szCs w:val="20"/>
              </w:rPr>
            </w:pPr>
            <w:r w:rsidRPr="00B7083C">
              <w:rPr>
                <w:sz w:val="20"/>
                <w:szCs w:val="20"/>
              </w:rPr>
              <w:t>295</w:t>
            </w:r>
          </w:p>
        </w:tc>
        <w:tc>
          <w:tcPr>
            <w:tcW w:w="1542" w:type="dxa"/>
            <w:tcBorders>
              <w:bottom w:val="nil"/>
            </w:tcBorders>
          </w:tcPr>
          <w:p w14:paraId="2ABBE648" w14:textId="017DDCE2" w:rsidR="008F7077" w:rsidRPr="00B7083C" w:rsidRDefault="008F7077" w:rsidP="00003DFC">
            <w:pPr>
              <w:spacing w:line="360" w:lineRule="auto"/>
              <w:jc w:val="center"/>
              <w:rPr>
                <w:b/>
                <w:sz w:val="20"/>
                <w:szCs w:val="20"/>
              </w:rPr>
            </w:pPr>
            <w:r w:rsidRPr="00B7083C">
              <w:rPr>
                <w:sz w:val="20"/>
                <w:szCs w:val="20"/>
              </w:rPr>
              <w:t>6·60</w:t>
            </w:r>
          </w:p>
        </w:tc>
        <w:tc>
          <w:tcPr>
            <w:tcW w:w="1814" w:type="dxa"/>
            <w:tcBorders>
              <w:bottom w:val="nil"/>
            </w:tcBorders>
          </w:tcPr>
          <w:p w14:paraId="057E25F0" w14:textId="43B6B67B" w:rsidR="008F7077" w:rsidRPr="00B7083C" w:rsidRDefault="008F7077" w:rsidP="00003DFC">
            <w:pPr>
              <w:spacing w:line="360" w:lineRule="auto"/>
              <w:jc w:val="center"/>
              <w:rPr>
                <w:b/>
                <w:sz w:val="20"/>
                <w:szCs w:val="20"/>
              </w:rPr>
            </w:pPr>
            <w:r w:rsidRPr="00B7083C">
              <w:rPr>
                <w:sz w:val="20"/>
                <w:szCs w:val="20"/>
              </w:rPr>
              <w:t>0·040</w:t>
            </w:r>
          </w:p>
        </w:tc>
        <w:tc>
          <w:tcPr>
            <w:tcW w:w="1814" w:type="dxa"/>
            <w:tcBorders>
              <w:bottom w:val="nil"/>
            </w:tcBorders>
          </w:tcPr>
          <w:p w14:paraId="53820A21" w14:textId="7379AEEB" w:rsidR="008F7077" w:rsidRPr="00B7083C" w:rsidRDefault="008F7077" w:rsidP="00003DFC">
            <w:pPr>
              <w:spacing w:line="360" w:lineRule="auto"/>
              <w:jc w:val="center"/>
              <w:rPr>
                <w:b/>
                <w:sz w:val="20"/>
                <w:szCs w:val="20"/>
              </w:rPr>
            </w:pPr>
            <w:r w:rsidRPr="00B7083C">
              <w:rPr>
                <w:sz w:val="20"/>
                <w:szCs w:val="20"/>
              </w:rPr>
              <w:t>0·043</w:t>
            </w:r>
          </w:p>
        </w:tc>
      </w:tr>
      <w:tr w:rsidR="00B7083C" w:rsidRPr="00B7083C" w14:paraId="6AF20E24" w14:textId="77777777" w:rsidTr="002A0101">
        <w:tc>
          <w:tcPr>
            <w:tcW w:w="1644" w:type="dxa"/>
            <w:tcBorders>
              <w:top w:val="nil"/>
            </w:tcBorders>
          </w:tcPr>
          <w:p w14:paraId="28653B25" w14:textId="05859D2D" w:rsidR="00003DFC" w:rsidRPr="00B7083C" w:rsidRDefault="00003DFC" w:rsidP="00003DFC">
            <w:pPr>
              <w:jc w:val="right"/>
              <w:rPr>
                <w:sz w:val="20"/>
                <w:szCs w:val="20"/>
              </w:rPr>
            </w:pPr>
          </w:p>
        </w:tc>
        <w:tc>
          <w:tcPr>
            <w:tcW w:w="529" w:type="dxa"/>
            <w:tcBorders>
              <w:top w:val="nil"/>
            </w:tcBorders>
          </w:tcPr>
          <w:p w14:paraId="4E9ABA81" w14:textId="77777777" w:rsidR="00003DFC" w:rsidRPr="00B7083C" w:rsidRDefault="00003DFC" w:rsidP="008F7077">
            <w:pPr>
              <w:spacing w:line="360" w:lineRule="auto"/>
              <w:rPr>
                <w:b/>
                <w:sz w:val="20"/>
                <w:szCs w:val="20"/>
              </w:rPr>
            </w:pPr>
          </w:p>
        </w:tc>
        <w:tc>
          <w:tcPr>
            <w:tcW w:w="1541" w:type="dxa"/>
            <w:tcBorders>
              <w:top w:val="nil"/>
            </w:tcBorders>
          </w:tcPr>
          <w:p w14:paraId="20F1CC52" w14:textId="6804D3CA" w:rsidR="00003DFC" w:rsidRPr="00B7083C" w:rsidRDefault="00003DFC" w:rsidP="00C82B44">
            <w:pPr>
              <w:spacing w:line="360" w:lineRule="auto"/>
              <w:jc w:val="center"/>
              <w:rPr>
                <w:sz w:val="20"/>
                <w:szCs w:val="20"/>
              </w:rPr>
            </w:pPr>
            <w:r w:rsidRPr="00B7083C">
              <w:rPr>
                <w:sz w:val="20"/>
                <w:szCs w:val="20"/>
              </w:rPr>
              <w:t>(5·51 to 7·70)</w:t>
            </w:r>
          </w:p>
        </w:tc>
        <w:tc>
          <w:tcPr>
            <w:tcW w:w="533" w:type="dxa"/>
            <w:tcBorders>
              <w:top w:val="nil"/>
            </w:tcBorders>
          </w:tcPr>
          <w:p w14:paraId="77381704" w14:textId="77777777" w:rsidR="00003DFC" w:rsidRPr="00B7083C" w:rsidRDefault="00003DFC" w:rsidP="008F7077">
            <w:pPr>
              <w:spacing w:line="360" w:lineRule="auto"/>
              <w:rPr>
                <w:b/>
                <w:sz w:val="20"/>
                <w:szCs w:val="20"/>
              </w:rPr>
            </w:pPr>
          </w:p>
        </w:tc>
        <w:tc>
          <w:tcPr>
            <w:tcW w:w="1542" w:type="dxa"/>
            <w:tcBorders>
              <w:top w:val="nil"/>
            </w:tcBorders>
          </w:tcPr>
          <w:p w14:paraId="3DD7DB41" w14:textId="6598CBA3" w:rsidR="00003DFC" w:rsidRPr="00B7083C" w:rsidRDefault="00003DFC" w:rsidP="00C82B44">
            <w:pPr>
              <w:spacing w:line="360" w:lineRule="auto"/>
              <w:jc w:val="center"/>
              <w:rPr>
                <w:sz w:val="20"/>
                <w:szCs w:val="20"/>
              </w:rPr>
            </w:pPr>
            <w:r w:rsidRPr="00B7083C">
              <w:rPr>
                <w:sz w:val="20"/>
                <w:szCs w:val="20"/>
              </w:rPr>
              <w:t>(5·84 to 8·02)</w:t>
            </w:r>
          </w:p>
        </w:tc>
        <w:tc>
          <w:tcPr>
            <w:tcW w:w="1814" w:type="dxa"/>
            <w:tcBorders>
              <w:top w:val="nil"/>
            </w:tcBorders>
          </w:tcPr>
          <w:p w14:paraId="1D032E8C" w14:textId="3B8119A5" w:rsidR="00003DFC" w:rsidRPr="00B7083C" w:rsidRDefault="00003DFC" w:rsidP="00C82B44">
            <w:pPr>
              <w:spacing w:line="360" w:lineRule="auto"/>
              <w:jc w:val="center"/>
              <w:rPr>
                <w:sz w:val="20"/>
                <w:szCs w:val="20"/>
              </w:rPr>
            </w:pPr>
            <w:r w:rsidRPr="00B7083C">
              <w:rPr>
                <w:sz w:val="20"/>
                <w:szCs w:val="20"/>
              </w:rPr>
              <w:t>(0·004 to 0·077)</w:t>
            </w:r>
          </w:p>
        </w:tc>
        <w:tc>
          <w:tcPr>
            <w:tcW w:w="1814" w:type="dxa"/>
            <w:tcBorders>
              <w:top w:val="nil"/>
            </w:tcBorders>
          </w:tcPr>
          <w:p w14:paraId="1E1D73D9" w14:textId="18C5D12B" w:rsidR="00003DFC" w:rsidRPr="00B7083C" w:rsidRDefault="00003DFC" w:rsidP="00C82B44">
            <w:pPr>
              <w:spacing w:line="360" w:lineRule="auto"/>
              <w:jc w:val="center"/>
              <w:rPr>
                <w:sz w:val="20"/>
                <w:szCs w:val="20"/>
              </w:rPr>
            </w:pPr>
            <w:r w:rsidRPr="00B7083C">
              <w:rPr>
                <w:sz w:val="20"/>
                <w:szCs w:val="20"/>
              </w:rPr>
              <w:t>(0·006 to 0·081)</w:t>
            </w:r>
          </w:p>
        </w:tc>
      </w:tr>
      <w:tr w:rsidR="000514CA" w:rsidRPr="00B7083C" w14:paraId="3B6A57BC" w14:textId="77777777" w:rsidTr="002A0101">
        <w:tc>
          <w:tcPr>
            <w:tcW w:w="1644" w:type="dxa"/>
          </w:tcPr>
          <w:p w14:paraId="1EE1FCF0" w14:textId="7843C95C" w:rsidR="008F7077" w:rsidRPr="00B7083C" w:rsidRDefault="008F7077" w:rsidP="00C82B44">
            <w:pPr>
              <w:spacing w:line="360" w:lineRule="auto"/>
              <w:jc w:val="right"/>
              <w:rPr>
                <w:b/>
                <w:sz w:val="20"/>
                <w:szCs w:val="20"/>
              </w:rPr>
            </w:pPr>
            <w:r w:rsidRPr="00B7083C">
              <w:rPr>
                <w:sz w:val="20"/>
                <w:szCs w:val="20"/>
              </w:rPr>
              <w:t>p value</w:t>
            </w:r>
          </w:p>
        </w:tc>
        <w:tc>
          <w:tcPr>
            <w:tcW w:w="529" w:type="dxa"/>
          </w:tcPr>
          <w:p w14:paraId="5EB14679" w14:textId="77777777" w:rsidR="008F7077" w:rsidRPr="00B7083C" w:rsidRDefault="008F7077" w:rsidP="008F7077">
            <w:pPr>
              <w:spacing w:line="360" w:lineRule="auto"/>
              <w:rPr>
                <w:b/>
                <w:sz w:val="20"/>
                <w:szCs w:val="20"/>
              </w:rPr>
            </w:pPr>
          </w:p>
        </w:tc>
        <w:tc>
          <w:tcPr>
            <w:tcW w:w="1541" w:type="dxa"/>
          </w:tcPr>
          <w:p w14:paraId="51E96E24" w14:textId="09492BE9" w:rsidR="008F7077" w:rsidRPr="00B7083C" w:rsidRDefault="008F7077" w:rsidP="00C82B44">
            <w:pPr>
              <w:spacing w:line="360" w:lineRule="auto"/>
              <w:jc w:val="center"/>
              <w:rPr>
                <w:b/>
                <w:sz w:val="20"/>
                <w:szCs w:val="20"/>
              </w:rPr>
            </w:pPr>
            <w:r w:rsidRPr="00B7083C">
              <w:rPr>
                <w:sz w:val="20"/>
                <w:szCs w:val="20"/>
              </w:rPr>
              <w:t>…</w:t>
            </w:r>
          </w:p>
        </w:tc>
        <w:tc>
          <w:tcPr>
            <w:tcW w:w="533" w:type="dxa"/>
          </w:tcPr>
          <w:p w14:paraId="03334149" w14:textId="77777777" w:rsidR="008F7077" w:rsidRPr="00B7083C" w:rsidRDefault="008F7077" w:rsidP="008F7077">
            <w:pPr>
              <w:spacing w:line="360" w:lineRule="auto"/>
              <w:rPr>
                <w:b/>
                <w:sz w:val="20"/>
                <w:szCs w:val="20"/>
              </w:rPr>
            </w:pPr>
          </w:p>
        </w:tc>
        <w:tc>
          <w:tcPr>
            <w:tcW w:w="1542" w:type="dxa"/>
          </w:tcPr>
          <w:p w14:paraId="605C37B4" w14:textId="5AA048AF" w:rsidR="008F7077" w:rsidRPr="00B7083C" w:rsidRDefault="008F7077" w:rsidP="00C82B44">
            <w:pPr>
              <w:spacing w:line="360" w:lineRule="auto"/>
              <w:jc w:val="center"/>
              <w:rPr>
                <w:b/>
                <w:sz w:val="20"/>
                <w:szCs w:val="20"/>
              </w:rPr>
            </w:pPr>
            <w:r w:rsidRPr="00B7083C">
              <w:rPr>
                <w:sz w:val="20"/>
                <w:szCs w:val="20"/>
              </w:rPr>
              <w:t>p=0.03</w:t>
            </w:r>
          </w:p>
        </w:tc>
        <w:tc>
          <w:tcPr>
            <w:tcW w:w="1814" w:type="dxa"/>
          </w:tcPr>
          <w:p w14:paraId="4CD1D859" w14:textId="61DD958B" w:rsidR="008F7077" w:rsidRPr="00B7083C" w:rsidRDefault="008F7077" w:rsidP="00C82B44">
            <w:pPr>
              <w:spacing w:line="360" w:lineRule="auto"/>
              <w:jc w:val="center"/>
              <w:rPr>
                <w:b/>
                <w:sz w:val="20"/>
                <w:szCs w:val="20"/>
              </w:rPr>
            </w:pPr>
            <w:r w:rsidRPr="00B7083C">
              <w:rPr>
                <w:sz w:val="20"/>
                <w:szCs w:val="20"/>
              </w:rPr>
              <w:t>p=0.03</w:t>
            </w:r>
          </w:p>
        </w:tc>
        <w:tc>
          <w:tcPr>
            <w:tcW w:w="1814" w:type="dxa"/>
          </w:tcPr>
          <w:p w14:paraId="2965A4A7" w14:textId="311CD8C8" w:rsidR="008F7077" w:rsidRPr="00B7083C" w:rsidRDefault="008F7077" w:rsidP="00C82B44">
            <w:pPr>
              <w:spacing w:line="360" w:lineRule="auto"/>
              <w:jc w:val="center"/>
              <w:rPr>
                <w:b/>
                <w:sz w:val="20"/>
                <w:szCs w:val="20"/>
              </w:rPr>
            </w:pPr>
            <w:r w:rsidRPr="00B7083C">
              <w:rPr>
                <w:sz w:val="20"/>
                <w:szCs w:val="20"/>
              </w:rPr>
              <w:t>p=0.02</w:t>
            </w:r>
          </w:p>
        </w:tc>
      </w:tr>
    </w:tbl>
    <w:p w14:paraId="26D4FB65" w14:textId="77777777" w:rsidR="005660AE" w:rsidRPr="00B7083C" w:rsidRDefault="005660AE" w:rsidP="005660AE">
      <w:pPr>
        <w:jc w:val="both"/>
        <w:rPr>
          <w:sz w:val="20"/>
          <w:szCs w:val="20"/>
        </w:rPr>
      </w:pPr>
    </w:p>
    <w:p w14:paraId="53BD2130" w14:textId="5E342ADC" w:rsidR="005660AE" w:rsidRPr="00B7083C" w:rsidRDefault="005660AE" w:rsidP="005660AE">
      <w:pPr>
        <w:jc w:val="both"/>
        <w:rPr>
          <w:sz w:val="20"/>
          <w:szCs w:val="20"/>
        </w:rPr>
      </w:pPr>
      <w:r w:rsidRPr="00B7083C">
        <w:rPr>
          <w:sz w:val="20"/>
          <w:szCs w:val="20"/>
        </w:rPr>
        <w:t>Plasma glucose data are median (lower quartile to upper quartile</w:t>
      </w:r>
      <w:r w:rsidR="00C82B44" w:rsidRPr="00B7083C">
        <w:rPr>
          <w:sz w:val="20"/>
          <w:szCs w:val="20"/>
        </w:rPr>
        <w:t xml:space="preserve"> (IQR)</w:t>
      </w:r>
      <w:r w:rsidRPr="00B7083C">
        <w:rPr>
          <w:sz w:val="20"/>
          <w:szCs w:val="20"/>
        </w:rPr>
        <w:t xml:space="preserve">; unadjusted). </w:t>
      </w:r>
    </w:p>
    <w:p w14:paraId="19AF23ED" w14:textId="77777777" w:rsidR="005660AE" w:rsidRPr="00B7083C" w:rsidRDefault="005660AE" w:rsidP="005660AE">
      <w:pPr>
        <w:jc w:val="both"/>
        <w:rPr>
          <w:sz w:val="20"/>
          <w:szCs w:val="20"/>
        </w:rPr>
      </w:pPr>
      <w:r w:rsidRPr="00B7083C">
        <w:rPr>
          <w:sz w:val="20"/>
          <w:szCs w:val="20"/>
        </w:rPr>
        <w:t>*log</w:t>
      </w:r>
      <w:r w:rsidRPr="00B7083C">
        <w:rPr>
          <w:sz w:val="20"/>
          <w:szCs w:val="20"/>
          <w:vertAlign w:val="subscript"/>
        </w:rPr>
        <w:t>e</w:t>
      </w:r>
      <w:r w:rsidRPr="00B7083C">
        <w:rPr>
          <w:sz w:val="20"/>
          <w:szCs w:val="20"/>
        </w:rPr>
        <w:t xml:space="preserve"> glucose at 24-32 weeks adjusted for site, ethnicity and baseline log</w:t>
      </w:r>
      <w:r w:rsidRPr="00B7083C">
        <w:rPr>
          <w:sz w:val="20"/>
          <w:szCs w:val="20"/>
          <w:vertAlign w:val="subscript"/>
        </w:rPr>
        <w:t>e</w:t>
      </w:r>
      <w:r w:rsidRPr="00B7083C">
        <w:rPr>
          <w:sz w:val="20"/>
          <w:szCs w:val="20"/>
        </w:rPr>
        <w:t xml:space="preserve"> glucose (for fasting and 2-hour only, baseline 1-hour glucose not available); N=584 and 578 for fasting and 2-hour glucose respectively, as a result of missing values for corresponding preconception glucose.</w:t>
      </w:r>
    </w:p>
    <w:p w14:paraId="6F020DBE" w14:textId="77777777" w:rsidR="005660AE" w:rsidRPr="00B7083C" w:rsidRDefault="005660AE" w:rsidP="005660AE">
      <w:pPr>
        <w:jc w:val="both"/>
        <w:rPr>
          <w:sz w:val="20"/>
          <w:szCs w:val="20"/>
        </w:rPr>
      </w:pPr>
      <w:r w:rsidRPr="00B7083C">
        <w:rPr>
          <w:rFonts w:ascii="Open Sans" w:hAnsi="Open Sans"/>
          <w:sz w:val="21"/>
          <w:szCs w:val="21"/>
          <w:vertAlign w:val="superscript"/>
        </w:rPr>
        <w:t>†</w:t>
      </w:r>
      <w:r w:rsidRPr="00B7083C">
        <w:rPr>
          <w:sz w:val="20"/>
          <w:szCs w:val="20"/>
        </w:rPr>
        <w:t>log</w:t>
      </w:r>
      <w:r w:rsidRPr="00B7083C">
        <w:rPr>
          <w:sz w:val="20"/>
          <w:szCs w:val="20"/>
          <w:vertAlign w:val="subscript"/>
        </w:rPr>
        <w:t>e</w:t>
      </w:r>
      <w:r w:rsidRPr="00B7083C">
        <w:rPr>
          <w:sz w:val="20"/>
          <w:szCs w:val="20"/>
        </w:rPr>
        <w:t xml:space="preserve"> glucose at 24-32 weeks adjusted for site, ethnicity, maternal age, pre-pregnancy BMI, preconception smoking, parity, family history of diabetes and baseline log</w:t>
      </w:r>
      <w:r w:rsidRPr="00B7083C">
        <w:rPr>
          <w:sz w:val="20"/>
          <w:szCs w:val="20"/>
          <w:vertAlign w:val="subscript"/>
        </w:rPr>
        <w:t>e</w:t>
      </w:r>
      <w:r w:rsidRPr="00B7083C">
        <w:rPr>
          <w:sz w:val="20"/>
          <w:szCs w:val="20"/>
        </w:rPr>
        <w:t xml:space="preserve"> glucose (for fasting and 2-hour only, baseline 1-hour glucose not available); N=581, 574 and 575 for fasting, 1-hour and 2-hour glucose respectively, as a result of missing data.</w:t>
      </w:r>
    </w:p>
    <w:p w14:paraId="3CD61946" w14:textId="21CD2AEF" w:rsidR="005660AE" w:rsidRPr="00B7083C" w:rsidRDefault="005660AE" w:rsidP="005660AE">
      <w:pPr>
        <w:jc w:val="both"/>
        <w:rPr>
          <w:sz w:val="20"/>
          <w:szCs w:val="20"/>
        </w:rPr>
      </w:pPr>
      <w:r w:rsidRPr="00B7083C">
        <w:rPr>
          <w:sz w:val="20"/>
          <w:szCs w:val="20"/>
        </w:rPr>
        <w:t>All p values (T-tests on log</w:t>
      </w:r>
      <w:r w:rsidRPr="00B7083C">
        <w:rPr>
          <w:sz w:val="20"/>
          <w:szCs w:val="20"/>
          <w:vertAlign w:val="subscript"/>
        </w:rPr>
        <w:t>e</w:t>
      </w:r>
      <w:r w:rsidRPr="00B7083C">
        <w:rPr>
          <w:sz w:val="20"/>
          <w:szCs w:val="20"/>
        </w:rPr>
        <w:t xml:space="preserve"> transformed glucose and linear regressions) were not significant ≥0·017 (a priori statistical significance is p&lt;0·017).</w:t>
      </w:r>
      <w:r w:rsidR="00FA6CE7" w:rsidRPr="00B7083C">
        <w:rPr>
          <w:sz w:val="20"/>
          <w:szCs w:val="20"/>
        </w:rPr>
        <w:t xml:space="preserve"> </w:t>
      </w:r>
    </w:p>
    <w:p w14:paraId="56F4C45A" w14:textId="5D62AB93" w:rsidR="00FA6CE7" w:rsidRPr="00B7083C" w:rsidRDefault="008F3DA7" w:rsidP="005660AE">
      <w:pPr>
        <w:jc w:val="both"/>
        <w:rPr>
          <w:sz w:val="20"/>
          <w:szCs w:val="20"/>
        </w:rPr>
      </w:pPr>
      <w:r w:rsidRPr="00B7083C">
        <w:rPr>
          <w:sz w:val="20"/>
          <w:szCs w:val="20"/>
        </w:rPr>
        <w:t xml:space="preserve">IQR, interquartile range; </w:t>
      </w:r>
      <w:r w:rsidR="00FA6CE7" w:rsidRPr="00B7083C">
        <w:rPr>
          <w:sz w:val="20"/>
          <w:szCs w:val="20"/>
        </w:rPr>
        <w:t>OGTT, oral glucose tolerance test</w:t>
      </w:r>
    </w:p>
    <w:p w14:paraId="7C9477F4" w14:textId="77777777" w:rsidR="005660AE" w:rsidRPr="00B7083C" w:rsidRDefault="005660AE" w:rsidP="005660AE">
      <w:pPr>
        <w:jc w:val="both"/>
        <w:rPr>
          <w:rFonts w:ascii="Arial" w:hAnsi="Arial" w:cs="Arial"/>
          <w:b/>
        </w:rPr>
      </w:pPr>
    </w:p>
    <w:p w14:paraId="5D40AFBF" w14:textId="41E36AE9" w:rsidR="00DB39C2" w:rsidRPr="00B7083C" w:rsidRDefault="00DB39C2" w:rsidP="00E30571">
      <w:pPr>
        <w:rPr>
          <w:rFonts w:ascii="Arial" w:hAnsi="Arial" w:cs="Arial"/>
          <w:lang w:val="en-US"/>
        </w:rPr>
      </w:pPr>
      <w:r w:rsidRPr="00B7083C">
        <w:rPr>
          <w:rFonts w:ascii="Arial" w:hAnsi="Arial" w:cs="Arial"/>
          <w:lang w:val="en-US"/>
        </w:rPr>
        <w:br w:type="page"/>
      </w:r>
    </w:p>
    <w:p w14:paraId="1F8FE84F" w14:textId="77777777" w:rsidR="00007310" w:rsidRPr="00B7083C" w:rsidRDefault="00007310" w:rsidP="00007310">
      <w:pPr>
        <w:spacing w:after="120"/>
        <w:rPr>
          <w:b/>
          <w:lang w:val="en-US"/>
        </w:rPr>
        <w:sectPr w:rsidR="00007310" w:rsidRPr="00B7083C" w:rsidSect="003E2B6B">
          <w:footerReference w:type="even" r:id="rId16"/>
          <w:footerReference w:type="default" r:id="rId17"/>
          <w:pgSz w:w="11906" w:h="16838"/>
          <w:pgMar w:top="1134" w:right="1440" w:bottom="1440" w:left="1440" w:header="720" w:footer="720" w:gutter="0"/>
          <w:cols w:space="720"/>
          <w:docGrid w:linePitch="360"/>
        </w:sectPr>
      </w:pPr>
    </w:p>
    <w:p w14:paraId="5F115B84" w14:textId="4CCAEA6B" w:rsidR="00007310" w:rsidRPr="00B7083C" w:rsidRDefault="00007310" w:rsidP="00007310">
      <w:pPr>
        <w:spacing w:after="120"/>
        <w:rPr>
          <w:rFonts w:ascii="Arial" w:hAnsi="Arial" w:cs="Arial"/>
          <w:sz w:val="20"/>
          <w:szCs w:val="20"/>
          <w:lang w:val="en-US"/>
        </w:rPr>
      </w:pPr>
      <w:r w:rsidRPr="00B7083C">
        <w:rPr>
          <w:b/>
          <w:lang w:val="en-US"/>
        </w:rPr>
        <w:lastRenderedPageBreak/>
        <w:t>Table 3.</w:t>
      </w:r>
      <w:r w:rsidRPr="00B7083C">
        <w:rPr>
          <w:lang w:val="en-US"/>
        </w:rPr>
        <w:t xml:space="preserve"> </w:t>
      </w:r>
      <w:r w:rsidRPr="00B7083C">
        <w:rPr>
          <w:b/>
          <w:lang w:val="en-US"/>
        </w:rPr>
        <w:t xml:space="preserve">Secondary outcomes of pregnancy complications, delivery events and neonatal outcomes with the </w:t>
      </w:r>
      <w:proofErr w:type="spellStart"/>
      <w:r w:rsidRPr="00B7083C">
        <w:rPr>
          <w:b/>
          <w:lang w:val="en-US"/>
        </w:rPr>
        <w:t>NiPPeR</w:t>
      </w:r>
      <w:proofErr w:type="spellEnd"/>
      <w:r w:rsidRPr="00B7083C">
        <w:rPr>
          <w:b/>
          <w:lang w:val="en-US"/>
        </w:rPr>
        <w:t xml:space="preserve"> intervention compared with control </w:t>
      </w:r>
    </w:p>
    <w:tbl>
      <w:tblPr>
        <w:tblStyle w:val="TableGrid"/>
        <w:tblW w:w="14627" w:type="dxa"/>
        <w:tblLook w:val="04A0" w:firstRow="1" w:lastRow="0" w:firstColumn="1" w:lastColumn="0" w:noHBand="0" w:noVBand="1"/>
      </w:tblPr>
      <w:tblGrid>
        <w:gridCol w:w="8504"/>
        <w:gridCol w:w="1701"/>
        <w:gridCol w:w="1701"/>
        <w:gridCol w:w="2721"/>
      </w:tblGrid>
      <w:tr w:rsidR="00B7083C" w:rsidRPr="00B7083C" w14:paraId="64C041F7" w14:textId="77777777" w:rsidTr="00BB7679">
        <w:tc>
          <w:tcPr>
            <w:tcW w:w="8504" w:type="dxa"/>
          </w:tcPr>
          <w:p w14:paraId="37F0BFEE" w14:textId="77777777" w:rsidR="00007310" w:rsidRPr="00B7083C" w:rsidRDefault="00007310" w:rsidP="00BB7679">
            <w:pPr>
              <w:rPr>
                <w:sz w:val="20"/>
                <w:szCs w:val="20"/>
              </w:rPr>
            </w:pPr>
          </w:p>
        </w:tc>
        <w:tc>
          <w:tcPr>
            <w:tcW w:w="1701" w:type="dxa"/>
          </w:tcPr>
          <w:p w14:paraId="29FFD34C" w14:textId="77777777" w:rsidR="00007310" w:rsidRPr="00B7083C" w:rsidRDefault="00007310" w:rsidP="00BB7679">
            <w:pPr>
              <w:jc w:val="center"/>
              <w:rPr>
                <w:sz w:val="20"/>
                <w:szCs w:val="20"/>
              </w:rPr>
            </w:pPr>
            <w:r w:rsidRPr="00B7083C">
              <w:rPr>
                <w:b/>
                <w:bCs/>
                <w:sz w:val="20"/>
                <w:szCs w:val="20"/>
              </w:rPr>
              <w:t>Control</w:t>
            </w:r>
          </w:p>
        </w:tc>
        <w:tc>
          <w:tcPr>
            <w:tcW w:w="1701" w:type="dxa"/>
          </w:tcPr>
          <w:p w14:paraId="5659C92C" w14:textId="77777777" w:rsidR="00007310" w:rsidRPr="00B7083C" w:rsidRDefault="00007310" w:rsidP="00BB7679">
            <w:pPr>
              <w:jc w:val="center"/>
              <w:rPr>
                <w:sz w:val="20"/>
                <w:szCs w:val="20"/>
              </w:rPr>
            </w:pPr>
            <w:r w:rsidRPr="00B7083C">
              <w:rPr>
                <w:b/>
                <w:bCs/>
                <w:sz w:val="20"/>
                <w:szCs w:val="20"/>
              </w:rPr>
              <w:t>Intervention</w:t>
            </w:r>
          </w:p>
        </w:tc>
        <w:tc>
          <w:tcPr>
            <w:tcW w:w="2721" w:type="dxa"/>
          </w:tcPr>
          <w:p w14:paraId="4D879086" w14:textId="77777777" w:rsidR="00007310" w:rsidRPr="00B7083C" w:rsidRDefault="00007310" w:rsidP="00BB7679">
            <w:pPr>
              <w:jc w:val="center"/>
              <w:rPr>
                <w:sz w:val="20"/>
                <w:szCs w:val="20"/>
              </w:rPr>
            </w:pPr>
            <w:r w:rsidRPr="00B7083C">
              <w:rPr>
                <w:b/>
                <w:bCs/>
                <w:sz w:val="20"/>
                <w:szCs w:val="20"/>
              </w:rPr>
              <w:t>Effect of Intervention</w:t>
            </w:r>
          </w:p>
        </w:tc>
      </w:tr>
      <w:tr w:rsidR="00B7083C" w:rsidRPr="00B7083C" w14:paraId="170B4793" w14:textId="77777777" w:rsidTr="00BB7679">
        <w:tc>
          <w:tcPr>
            <w:tcW w:w="8504" w:type="dxa"/>
            <w:vAlign w:val="bottom"/>
          </w:tcPr>
          <w:p w14:paraId="3EAF800A" w14:textId="77777777" w:rsidR="00007310" w:rsidRPr="00B7083C" w:rsidRDefault="00007310" w:rsidP="00BB7679">
            <w:pPr>
              <w:rPr>
                <w:sz w:val="20"/>
                <w:szCs w:val="20"/>
              </w:rPr>
            </w:pPr>
            <w:r w:rsidRPr="00B7083C">
              <w:rPr>
                <w:b/>
                <w:bCs/>
                <w:sz w:val="20"/>
                <w:szCs w:val="20"/>
              </w:rPr>
              <w:t>PREGNANCY COMPLICATIONS</w:t>
            </w:r>
          </w:p>
        </w:tc>
        <w:tc>
          <w:tcPr>
            <w:tcW w:w="1701" w:type="dxa"/>
          </w:tcPr>
          <w:p w14:paraId="6DCFDB45" w14:textId="77777777" w:rsidR="00007310" w:rsidRPr="00B7083C" w:rsidRDefault="00007310" w:rsidP="00BB7679">
            <w:pPr>
              <w:jc w:val="center"/>
              <w:rPr>
                <w:sz w:val="20"/>
                <w:szCs w:val="20"/>
              </w:rPr>
            </w:pPr>
            <w:r w:rsidRPr="00B7083C">
              <w:rPr>
                <w:sz w:val="20"/>
                <w:szCs w:val="20"/>
              </w:rPr>
              <w:t>…</w:t>
            </w:r>
          </w:p>
        </w:tc>
        <w:tc>
          <w:tcPr>
            <w:tcW w:w="1701" w:type="dxa"/>
          </w:tcPr>
          <w:p w14:paraId="5A1BC586" w14:textId="77777777" w:rsidR="00007310" w:rsidRPr="00B7083C" w:rsidRDefault="00007310" w:rsidP="00BB7679">
            <w:pPr>
              <w:jc w:val="center"/>
              <w:rPr>
                <w:sz w:val="20"/>
                <w:szCs w:val="20"/>
              </w:rPr>
            </w:pPr>
            <w:r w:rsidRPr="00B7083C">
              <w:rPr>
                <w:sz w:val="20"/>
                <w:szCs w:val="20"/>
              </w:rPr>
              <w:t>…</w:t>
            </w:r>
          </w:p>
        </w:tc>
        <w:tc>
          <w:tcPr>
            <w:tcW w:w="2721" w:type="dxa"/>
          </w:tcPr>
          <w:p w14:paraId="76758F67" w14:textId="77777777" w:rsidR="00007310" w:rsidRPr="00B7083C" w:rsidRDefault="00007310" w:rsidP="00BB7679">
            <w:pPr>
              <w:jc w:val="center"/>
              <w:rPr>
                <w:sz w:val="20"/>
                <w:szCs w:val="20"/>
              </w:rPr>
            </w:pPr>
            <w:r w:rsidRPr="00B7083C">
              <w:rPr>
                <w:b/>
                <w:bCs/>
                <w:sz w:val="20"/>
                <w:szCs w:val="20"/>
              </w:rPr>
              <w:t>Risk ratio (95% CI)</w:t>
            </w:r>
            <w:r w:rsidRPr="00B7083C">
              <w:rPr>
                <w:sz w:val="20"/>
                <w:szCs w:val="20"/>
                <w:vertAlign w:val="superscript"/>
              </w:rPr>
              <w:t>†</w:t>
            </w:r>
          </w:p>
        </w:tc>
      </w:tr>
      <w:tr w:rsidR="00B7083C" w:rsidRPr="00B7083C" w14:paraId="6B725BB7" w14:textId="77777777" w:rsidTr="00BB7679">
        <w:trPr>
          <w:trHeight w:val="386"/>
        </w:trPr>
        <w:tc>
          <w:tcPr>
            <w:tcW w:w="8504" w:type="dxa"/>
            <w:vAlign w:val="center"/>
          </w:tcPr>
          <w:p w14:paraId="26C58E46" w14:textId="77777777" w:rsidR="00007310" w:rsidRPr="00B7083C" w:rsidRDefault="00007310" w:rsidP="00BB7679">
            <w:pPr>
              <w:spacing w:before="30"/>
              <w:rPr>
                <w:sz w:val="20"/>
                <w:szCs w:val="20"/>
              </w:rPr>
            </w:pPr>
            <w:r w:rsidRPr="00B7083C">
              <w:rPr>
                <w:sz w:val="20"/>
                <w:szCs w:val="20"/>
              </w:rPr>
              <w:t>Gestational Diabetes Mellitus</w:t>
            </w:r>
            <w:r w:rsidRPr="00B7083C">
              <w:rPr>
                <w:sz w:val="20"/>
                <w:szCs w:val="20"/>
                <w:lang w:val="en-US"/>
              </w:rPr>
              <w:t xml:space="preserve">* </w:t>
            </w:r>
            <w:r w:rsidRPr="00B7083C">
              <w:rPr>
                <w:i/>
                <w:sz w:val="20"/>
                <w:szCs w:val="20"/>
              </w:rPr>
              <w:t>(denominator: all those who completed OGTT at 24-32 weeks)</w:t>
            </w:r>
          </w:p>
        </w:tc>
        <w:tc>
          <w:tcPr>
            <w:tcW w:w="1701" w:type="dxa"/>
            <w:vAlign w:val="center"/>
          </w:tcPr>
          <w:p w14:paraId="03EFCBEE" w14:textId="77777777" w:rsidR="00007310" w:rsidRPr="00B7083C" w:rsidRDefault="00007310" w:rsidP="00BB7679">
            <w:pPr>
              <w:spacing w:before="30" w:after="30"/>
              <w:jc w:val="center"/>
              <w:rPr>
                <w:sz w:val="20"/>
                <w:szCs w:val="20"/>
              </w:rPr>
            </w:pPr>
            <w:r w:rsidRPr="00B7083C">
              <w:rPr>
                <w:sz w:val="20"/>
                <w:szCs w:val="20"/>
              </w:rPr>
              <w:t>64/283 (22·6%)</w:t>
            </w:r>
          </w:p>
        </w:tc>
        <w:tc>
          <w:tcPr>
            <w:tcW w:w="1701" w:type="dxa"/>
            <w:vAlign w:val="center"/>
          </w:tcPr>
          <w:p w14:paraId="216F1B4A" w14:textId="77777777" w:rsidR="00007310" w:rsidRPr="00B7083C" w:rsidRDefault="00007310" w:rsidP="00BB7679">
            <w:pPr>
              <w:spacing w:before="30" w:after="30"/>
              <w:jc w:val="center"/>
              <w:rPr>
                <w:sz w:val="20"/>
                <w:szCs w:val="20"/>
              </w:rPr>
            </w:pPr>
            <w:r w:rsidRPr="00B7083C">
              <w:rPr>
                <w:sz w:val="20"/>
                <w:szCs w:val="20"/>
              </w:rPr>
              <w:t>73/294 (24·8%)</w:t>
            </w:r>
          </w:p>
        </w:tc>
        <w:tc>
          <w:tcPr>
            <w:tcW w:w="2721" w:type="dxa"/>
            <w:vAlign w:val="center"/>
          </w:tcPr>
          <w:p w14:paraId="3E76B7B4" w14:textId="77777777" w:rsidR="00007310" w:rsidRPr="00B7083C" w:rsidRDefault="00007310" w:rsidP="00BB7679">
            <w:pPr>
              <w:spacing w:before="30" w:after="30"/>
              <w:jc w:val="center"/>
              <w:rPr>
                <w:sz w:val="20"/>
                <w:szCs w:val="20"/>
              </w:rPr>
            </w:pPr>
            <w:r w:rsidRPr="00B7083C">
              <w:rPr>
                <w:sz w:val="20"/>
                <w:szCs w:val="20"/>
              </w:rPr>
              <w:t>1·22 (0·92 to 1·62; N=545)</w:t>
            </w:r>
          </w:p>
        </w:tc>
      </w:tr>
      <w:tr w:rsidR="00B7083C" w:rsidRPr="00B7083C" w14:paraId="5D3B6130" w14:textId="77777777" w:rsidTr="00BB7679">
        <w:tc>
          <w:tcPr>
            <w:tcW w:w="8504" w:type="dxa"/>
            <w:vAlign w:val="center"/>
          </w:tcPr>
          <w:p w14:paraId="1D3567D4" w14:textId="77777777" w:rsidR="00007310" w:rsidRPr="00B7083C" w:rsidRDefault="00007310" w:rsidP="00BB7679">
            <w:pPr>
              <w:spacing w:before="30"/>
              <w:rPr>
                <w:sz w:val="20"/>
                <w:szCs w:val="20"/>
              </w:rPr>
            </w:pPr>
            <w:r w:rsidRPr="00B7083C">
              <w:rPr>
                <w:sz w:val="20"/>
                <w:szCs w:val="20"/>
              </w:rPr>
              <w:t xml:space="preserve">Miscarriages &lt;24 weeks’ gestation </w:t>
            </w:r>
            <w:r w:rsidRPr="00B7083C">
              <w:rPr>
                <w:i/>
                <w:sz w:val="20"/>
                <w:szCs w:val="20"/>
              </w:rPr>
              <w:t>(denominator: all those who became pregnant after the second preconception visit)</w:t>
            </w:r>
            <w:r w:rsidRPr="00B7083C">
              <w:rPr>
                <w:sz w:val="20"/>
                <w:szCs w:val="20"/>
              </w:rPr>
              <w:t xml:space="preserve"> </w:t>
            </w:r>
          </w:p>
        </w:tc>
        <w:tc>
          <w:tcPr>
            <w:tcW w:w="1701" w:type="dxa"/>
            <w:vAlign w:val="center"/>
          </w:tcPr>
          <w:p w14:paraId="24DCFCAB" w14:textId="77777777" w:rsidR="00007310" w:rsidRPr="00B7083C" w:rsidRDefault="00007310" w:rsidP="00BB7679">
            <w:pPr>
              <w:spacing w:before="30" w:after="30"/>
              <w:jc w:val="center"/>
              <w:rPr>
                <w:sz w:val="20"/>
                <w:szCs w:val="20"/>
              </w:rPr>
            </w:pPr>
            <w:r w:rsidRPr="00B7083C">
              <w:rPr>
                <w:sz w:val="20"/>
                <w:szCs w:val="20"/>
              </w:rPr>
              <w:t>51/359 (14·2%)</w:t>
            </w:r>
          </w:p>
        </w:tc>
        <w:tc>
          <w:tcPr>
            <w:tcW w:w="1701" w:type="dxa"/>
            <w:vAlign w:val="center"/>
          </w:tcPr>
          <w:p w14:paraId="4CD5FEFE" w14:textId="77777777" w:rsidR="00007310" w:rsidRPr="00B7083C" w:rsidRDefault="00007310" w:rsidP="00BB7679">
            <w:pPr>
              <w:spacing w:before="30" w:after="30"/>
              <w:jc w:val="center"/>
              <w:rPr>
                <w:sz w:val="20"/>
                <w:szCs w:val="20"/>
              </w:rPr>
            </w:pPr>
            <w:r w:rsidRPr="00B7083C">
              <w:rPr>
                <w:sz w:val="20"/>
                <w:szCs w:val="20"/>
              </w:rPr>
              <w:t>50/366 (13·7%)</w:t>
            </w:r>
          </w:p>
        </w:tc>
        <w:tc>
          <w:tcPr>
            <w:tcW w:w="2721" w:type="dxa"/>
            <w:vAlign w:val="center"/>
          </w:tcPr>
          <w:p w14:paraId="48A42C11" w14:textId="77777777" w:rsidR="00007310" w:rsidRPr="00B7083C" w:rsidRDefault="00007310" w:rsidP="00BB7679">
            <w:pPr>
              <w:spacing w:before="30" w:after="30"/>
              <w:jc w:val="center"/>
              <w:rPr>
                <w:sz w:val="20"/>
                <w:szCs w:val="20"/>
              </w:rPr>
            </w:pPr>
            <w:r w:rsidRPr="00B7083C">
              <w:rPr>
                <w:sz w:val="20"/>
                <w:szCs w:val="20"/>
              </w:rPr>
              <w:t>0·91 (0·62 to 1·33; N=688)</w:t>
            </w:r>
          </w:p>
        </w:tc>
      </w:tr>
      <w:tr w:rsidR="00B7083C" w:rsidRPr="00B7083C" w14:paraId="4FA3C2BC" w14:textId="77777777" w:rsidTr="00BB7679">
        <w:trPr>
          <w:trHeight w:val="386"/>
        </w:trPr>
        <w:tc>
          <w:tcPr>
            <w:tcW w:w="8504" w:type="dxa"/>
            <w:vAlign w:val="center"/>
          </w:tcPr>
          <w:p w14:paraId="4A0C668C" w14:textId="77777777" w:rsidR="00007310" w:rsidRPr="00B7083C" w:rsidRDefault="00007310" w:rsidP="00BB7679">
            <w:pPr>
              <w:spacing w:before="30"/>
              <w:rPr>
                <w:sz w:val="20"/>
                <w:szCs w:val="20"/>
              </w:rPr>
            </w:pPr>
            <w:r w:rsidRPr="00B7083C">
              <w:rPr>
                <w:sz w:val="20"/>
                <w:szCs w:val="20"/>
              </w:rPr>
              <w:t xml:space="preserve">Congenital abnormalities‡ </w:t>
            </w:r>
            <w:r w:rsidRPr="00B7083C">
              <w:rPr>
                <w:i/>
                <w:sz w:val="20"/>
                <w:szCs w:val="20"/>
              </w:rPr>
              <w:t xml:space="preserve">(denominator: all </w:t>
            </w:r>
            <w:r w:rsidRPr="00B7083C">
              <w:rPr>
                <w:i/>
                <w:iCs/>
                <w:sz w:val="20"/>
                <w:szCs w:val="20"/>
              </w:rPr>
              <w:t>reaching 7 weeks</w:t>
            </w:r>
            <w:r w:rsidRPr="00B7083C">
              <w:rPr>
                <w:i/>
                <w:sz w:val="20"/>
                <w:szCs w:val="20"/>
              </w:rPr>
              <w:t>)</w:t>
            </w:r>
          </w:p>
        </w:tc>
        <w:tc>
          <w:tcPr>
            <w:tcW w:w="1701" w:type="dxa"/>
            <w:vAlign w:val="center"/>
          </w:tcPr>
          <w:p w14:paraId="58C6E937" w14:textId="77777777" w:rsidR="00007310" w:rsidRPr="00B7083C" w:rsidRDefault="00007310" w:rsidP="00BB7679">
            <w:pPr>
              <w:spacing w:before="30" w:after="30"/>
              <w:jc w:val="center"/>
              <w:rPr>
                <w:sz w:val="20"/>
                <w:szCs w:val="20"/>
              </w:rPr>
            </w:pPr>
            <w:r w:rsidRPr="00B7083C">
              <w:rPr>
                <w:sz w:val="20"/>
                <w:szCs w:val="20"/>
              </w:rPr>
              <w:t>16/314 (5·1%)</w:t>
            </w:r>
          </w:p>
        </w:tc>
        <w:tc>
          <w:tcPr>
            <w:tcW w:w="1701" w:type="dxa"/>
            <w:vAlign w:val="center"/>
          </w:tcPr>
          <w:p w14:paraId="61EDD372" w14:textId="77777777" w:rsidR="00007310" w:rsidRPr="00B7083C" w:rsidRDefault="00007310" w:rsidP="00BB7679">
            <w:pPr>
              <w:spacing w:before="30" w:after="30"/>
              <w:jc w:val="center"/>
              <w:rPr>
                <w:sz w:val="20"/>
                <w:szCs w:val="20"/>
              </w:rPr>
            </w:pPr>
            <w:r w:rsidRPr="00B7083C">
              <w:rPr>
                <w:sz w:val="20"/>
                <w:szCs w:val="20"/>
              </w:rPr>
              <w:t>15/330 (4·5%)</w:t>
            </w:r>
          </w:p>
        </w:tc>
        <w:tc>
          <w:tcPr>
            <w:tcW w:w="2721" w:type="dxa"/>
            <w:vAlign w:val="center"/>
          </w:tcPr>
          <w:p w14:paraId="7BD5AEE7" w14:textId="77777777" w:rsidR="00007310" w:rsidRPr="00B7083C" w:rsidRDefault="00007310" w:rsidP="00BB7679">
            <w:pPr>
              <w:spacing w:before="30" w:after="30"/>
              <w:jc w:val="center"/>
              <w:rPr>
                <w:sz w:val="20"/>
                <w:szCs w:val="20"/>
              </w:rPr>
            </w:pPr>
            <w:r w:rsidRPr="00B7083C">
              <w:rPr>
                <w:sz w:val="20"/>
                <w:szCs w:val="20"/>
              </w:rPr>
              <w:t>0·83 (0·35  to 1·96; N=557)</w:t>
            </w:r>
          </w:p>
        </w:tc>
      </w:tr>
      <w:tr w:rsidR="00B7083C" w:rsidRPr="00B7083C" w14:paraId="5DD44EC7" w14:textId="77777777" w:rsidTr="00BB7679">
        <w:trPr>
          <w:trHeight w:val="386"/>
        </w:trPr>
        <w:tc>
          <w:tcPr>
            <w:tcW w:w="8504" w:type="dxa"/>
            <w:vAlign w:val="center"/>
          </w:tcPr>
          <w:p w14:paraId="58729903" w14:textId="77777777" w:rsidR="00007310" w:rsidRPr="00B7083C" w:rsidRDefault="00007310" w:rsidP="00BB7679">
            <w:pPr>
              <w:spacing w:before="30"/>
              <w:rPr>
                <w:i/>
                <w:iCs/>
                <w:sz w:val="20"/>
                <w:szCs w:val="20"/>
              </w:rPr>
            </w:pPr>
            <w:r w:rsidRPr="00B7083C">
              <w:rPr>
                <w:sz w:val="20"/>
                <w:szCs w:val="20"/>
              </w:rPr>
              <w:t>Severe nausea and vomiting of pregnancy</w:t>
            </w:r>
            <w:r w:rsidRPr="00B7083C">
              <w:rPr>
                <w:sz w:val="20"/>
                <w:szCs w:val="20"/>
                <w:vertAlign w:val="superscript"/>
              </w:rPr>
              <w:t xml:space="preserve">§ </w:t>
            </w:r>
            <w:r w:rsidRPr="00B7083C">
              <w:rPr>
                <w:i/>
                <w:iCs/>
                <w:sz w:val="20"/>
                <w:szCs w:val="20"/>
              </w:rPr>
              <w:t>(denominator: all reaching 7 weeks)</w:t>
            </w:r>
          </w:p>
        </w:tc>
        <w:tc>
          <w:tcPr>
            <w:tcW w:w="1701" w:type="dxa"/>
            <w:vAlign w:val="center"/>
          </w:tcPr>
          <w:p w14:paraId="3F64E573" w14:textId="77777777" w:rsidR="00007310" w:rsidRPr="00B7083C" w:rsidRDefault="00007310" w:rsidP="00BB7679">
            <w:pPr>
              <w:spacing w:before="30" w:after="30"/>
              <w:jc w:val="center"/>
              <w:rPr>
                <w:sz w:val="20"/>
                <w:szCs w:val="20"/>
              </w:rPr>
            </w:pPr>
            <w:r w:rsidRPr="00B7083C">
              <w:rPr>
                <w:sz w:val="20"/>
                <w:szCs w:val="20"/>
              </w:rPr>
              <w:t>51/305 (16·7%)</w:t>
            </w:r>
          </w:p>
        </w:tc>
        <w:tc>
          <w:tcPr>
            <w:tcW w:w="1701" w:type="dxa"/>
            <w:vAlign w:val="center"/>
          </w:tcPr>
          <w:p w14:paraId="1CC3530F" w14:textId="77777777" w:rsidR="00007310" w:rsidRPr="00B7083C" w:rsidRDefault="00007310" w:rsidP="00BB7679">
            <w:pPr>
              <w:spacing w:before="30" w:after="30"/>
              <w:jc w:val="center"/>
              <w:rPr>
                <w:sz w:val="20"/>
                <w:szCs w:val="20"/>
              </w:rPr>
            </w:pPr>
            <w:r w:rsidRPr="00B7083C">
              <w:rPr>
                <w:sz w:val="20"/>
                <w:szCs w:val="20"/>
              </w:rPr>
              <w:t>43/322 (13·4%)</w:t>
            </w:r>
          </w:p>
        </w:tc>
        <w:tc>
          <w:tcPr>
            <w:tcW w:w="2721" w:type="dxa"/>
            <w:vAlign w:val="center"/>
          </w:tcPr>
          <w:p w14:paraId="0C56179B" w14:textId="77777777" w:rsidR="00007310" w:rsidRPr="00B7083C" w:rsidRDefault="00007310" w:rsidP="00BB7679">
            <w:pPr>
              <w:spacing w:before="30" w:after="30"/>
              <w:jc w:val="center"/>
              <w:rPr>
                <w:sz w:val="20"/>
                <w:szCs w:val="20"/>
              </w:rPr>
            </w:pPr>
            <w:r w:rsidRPr="00B7083C">
              <w:rPr>
                <w:sz w:val="20"/>
                <w:szCs w:val="20"/>
              </w:rPr>
              <w:t>0·86 (0·57 to 1·30; N=553)</w:t>
            </w:r>
          </w:p>
        </w:tc>
      </w:tr>
      <w:tr w:rsidR="00B7083C" w:rsidRPr="00B7083C" w14:paraId="41E9DBAD" w14:textId="77777777" w:rsidTr="00BB7679">
        <w:trPr>
          <w:trHeight w:val="386"/>
        </w:trPr>
        <w:tc>
          <w:tcPr>
            <w:tcW w:w="8504" w:type="dxa"/>
            <w:vAlign w:val="center"/>
          </w:tcPr>
          <w:p w14:paraId="34DF0E59" w14:textId="154A7912" w:rsidR="00007310" w:rsidRPr="00B7083C" w:rsidRDefault="00007310" w:rsidP="0044436D">
            <w:pPr>
              <w:rPr>
                <w:sz w:val="20"/>
                <w:szCs w:val="20"/>
              </w:rPr>
            </w:pPr>
            <w:r w:rsidRPr="00B7083C">
              <w:rPr>
                <w:sz w:val="20"/>
                <w:szCs w:val="20"/>
              </w:rPr>
              <w:t>Hypertensive disorders of pregnancy, both pre-eclampsia</w:t>
            </w:r>
            <w:r w:rsidRPr="00B7083C">
              <w:rPr>
                <w:sz w:val="20"/>
                <w:szCs w:val="20"/>
                <w:vertAlign w:val="superscript"/>
              </w:rPr>
              <w:t>||</w:t>
            </w:r>
            <w:r w:rsidRPr="00B7083C">
              <w:rPr>
                <w:sz w:val="20"/>
                <w:szCs w:val="20"/>
                <w:vertAlign w:val="superscript"/>
                <w:lang w:val="en-US"/>
              </w:rPr>
              <w:t xml:space="preserve"> </w:t>
            </w:r>
            <w:r w:rsidRPr="00B7083C">
              <w:rPr>
                <w:sz w:val="20"/>
                <w:szCs w:val="20"/>
              </w:rPr>
              <w:t>and pregnancy-induced hypertension</w:t>
            </w:r>
            <w:r w:rsidR="0044436D">
              <w:rPr>
                <w:sz w:val="20"/>
                <w:szCs w:val="20"/>
              </w:rPr>
              <w:t xml:space="preserve"> </w:t>
            </w:r>
            <w:r w:rsidRPr="00B7083C">
              <w:rPr>
                <w:sz w:val="20"/>
                <w:szCs w:val="20"/>
                <w:vertAlign w:val="superscript"/>
              </w:rPr>
              <w:t xml:space="preserve"> </w:t>
            </w:r>
            <w:r w:rsidRPr="00B7083C">
              <w:rPr>
                <w:i/>
                <w:sz w:val="20"/>
                <w:szCs w:val="20"/>
              </w:rPr>
              <w:t>(denominator: all pregnancies reaching 24 weeks or beyond)</w:t>
            </w:r>
          </w:p>
        </w:tc>
        <w:tc>
          <w:tcPr>
            <w:tcW w:w="1701" w:type="dxa"/>
            <w:vAlign w:val="center"/>
          </w:tcPr>
          <w:p w14:paraId="6C362EF1" w14:textId="77777777" w:rsidR="00007310" w:rsidRPr="00B7083C" w:rsidRDefault="00007310" w:rsidP="00BB7679">
            <w:pPr>
              <w:spacing w:before="30" w:after="30"/>
              <w:jc w:val="center"/>
              <w:rPr>
                <w:sz w:val="20"/>
                <w:szCs w:val="20"/>
              </w:rPr>
            </w:pPr>
            <w:r w:rsidRPr="00B7083C">
              <w:rPr>
                <w:sz w:val="20"/>
                <w:szCs w:val="20"/>
              </w:rPr>
              <w:t>14/292 (4·8%)</w:t>
            </w:r>
          </w:p>
        </w:tc>
        <w:tc>
          <w:tcPr>
            <w:tcW w:w="1701" w:type="dxa"/>
            <w:vAlign w:val="center"/>
          </w:tcPr>
          <w:p w14:paraId="75B3BFBF" w14:textId="77777777" w:rsidR="00007310" w:rsidRPr="00B7083C" w:rsidRDefault="00007310" w:rsidP="00BB7679">
            <w:pPr>
              <w:spacing w:before="30" w:after="30"/>
              <w:jc w:val="center"/>
              <w:rPr>
                <w:sz w:val="20"/>
                <w:szCs w:val="20"/>
              </w:rPr>
            </w:pPr>
            <w:r w:rsidRPr="00B7083C">
              <w:rPr>
                <w:sz w:val="20"/>
                <w:szCs w:val="20"/>
              </w:rPr>
              <w:t>12/294 (4·1%)</w:t>
            </w:r>
          </w:p>
        </w:tc>
        <w:tc>
          <w:tcPr>
            <w:tcW w:w="2721" w:type="dxa"/>
            <w:vAlign w:val="center"/>
          </w:tcPr>
          <w:p w14:paraId="0BCFE752" w14:textId="77777777" w:rsidR="00007310" w:rsidRPr="00B7083C" w:rsidRDefault="00007310" w:rsidP="00BB7679">
            <w:pPr>
              <w:spacing w:before="30" w:after="30"/>
              <w:jc w:val="center"/>
              <w:rPr>
                <w:sz w:val="20"/>
                <w:szCs w:val="20"/>
              </w:rPr>
            </w:pPr>
            <w:r w:rsidRPr="00B7083C">
              <w:rPr>
                <w:sz w:val="20"/>
                <w:szCs w:val="20"/>
              </w:rPr>
              <w:t>1·19 (0·55 to 2·59; N=557)</w:t>
            </w:r>
          </w:p>
        </w:tc>
      </w:tr>
      <w:tr w:rsidR="00B7083C" w:rsidRPr="00B7083C" w14:paraId="489603AD" w14:textId="77777777" w:rsidTr="00BB7679">
        <w:tc>
          <w:tcPr>
            <w:tcW w:w="8504" w:type="dxa"/>
            <w:vAlign w:val="bottom"/>
          </w:tcPr>
          <w:p w14:paraId="439D601A" w14:textId="77777777" w:rsidR="00007310" w:rsidRPr="00B7083C" w:rsidRDefault="00007310" w:rsidP="00BB7679">
            <w:pPr>
              <w:rPr>
                <w:sz w:val="20"/>
                <w:szCs w:val="20"/>
              </w:rPr>
            </w:pPr>
            <w:r w:rsidRPr="00B7083C">
              <w:rPr>
                <w:b/>
                <w:bCs/>
                <w:sz w:val="20"/>
                <w:szCs w:val="20"/>
              </w:rPr>
              <w:t xml:space="preserve">DELIVERY OUTCOMES </w:t>
            </w:r>
            <w:r w:rsidRPr="00B7083C">
              <w:rPr>
                <w:bCs/>
                <w:i/>
                <w:sz w:val="20"/>
                <w:szCs w:val="20"/>
              </w:rPr>
              <w:t xml:space="preserve">(denominator: </w:t>
            </w:r>
            <w:r w:rsidRPr="00B7083C">
              <w:rPr>
                <w:i/>
                <w:sz w:val="20"/>
                <w:szCs w:val="20"/>
              </w:rPr>
              <w:t xml:space="preserve">all live births </w:t>
            </w:r>
            <w:r w:rsidRPr="00B7083C">
              <w:rPr>
                <w:i/>
                <w:iCs/>
                <w:sz w:val="20"/>
                <w:szCs w:val="20"/>
                <w:lang w:val="en-US"/>
              </w:rPr>
              <w:t>≥</w:t>
            </w:r>
            <w:r w:rsidRPr="00B7083C">
              <w:rPr>
                <w:i/>
                <w:sz w:val="20"/>
                <w:szCs w:val="20"/>
              </w:rPr>
              <w:t>24 weeks unless otherwise stated)</w:t>
            </w:r>
          </w:p>
        </w:tc>
        <w:tc>
          <w:tcPr>
            <w:tcW w:w="1701" w:type="dxa"/>
            <w:vAlign w:val="center"/>
          </w:tcPr>
          <w:p w14:paraId="077CA0A3" w14:textId="77777777" w:rsidR="00007310" w:rsidRPr="00B7083C" w:rsidRDefault="00007310" w:rsidP="00BB7679">
            <w:pPr>
              <w:jc w:val="center"/>
              <w:rPr>
                <w:sz w:val="20"/>
                <w:szCs w:val="20"/>
              </w:rPr>
            </w:pPr>
            <w:r w:rsidRPr="00B7083C">
              <w:rPr>
                <w:sz w:val="20"/>
                <w:szCs w:val="20"/>
              </w:rPr>
              <w:t>…</w:t>
            </w:r>
          </w:p>
        </w:tc>
        <w:tc>
          <w:tcPr>
            <w:tcW w:w="1701" w:type="dxa"/>
            <w:vAlign w:val="center"/>
          </w:tcPr>
          <w:p w14:paraId="532B42DD" w14:textId="77777777" w:rsidR="00007310" w:rsidRPr="00B7083C" w:rsidRDefault="00007310" w:rsidP="00BB7679">
            <w:pPr>
              <w:jc w:val="center"/>
              <w:rPr>
                <w:sz w:val="20"/>
                <w:szCs w:val="20"/>
              </w:rPr>
            </w:pPr>
            <w:r w:rsidRPr="00B7083C">
              <w:rPr>
                <w:sz w:val="20"/>
                <w:szCs w:val="20"/>
              </w:rPr>
              <w:t>…</w:t>
            </w:r>
          </w:p>
        </w:tc>
        <w:tc>
          <w:tcPr>
            <w:tcW w:w="2721" w:type="dxa"/>
            <w:vAlign w:val="center"/>
          </w:tcPr>
          <w:p w14:paraId="3DB0F439" w14:textId="77777777" w:rsidR="00007310" w:rsidRPr="00B7083C" w:rsidRDefault="00007310" w:rsidP="00BB7679">
            <w:pPr>
              <w:jc w:val="center"/>
              <w:rPr>
                <w:sz w:val="20"/>
                <w:szCs w:val="20"/>
              </w:rPr>
            </w:pPr>
            <w:r w:rsidRPr="00B7083C">
              <w:rPr>
                <w:b/>
                <w:bCs/>
                <w:sz w:val="20"/>
                <w:szCs w:val="20"/>
              </w:rPr>
              <w:t>Mean difference (95% CI)</w:t>
            </w:r>
            <w:r w:rsidRPr="00B7083C">
              <w:rPr>
                <w:sz w:val="20"/>
                <w:szCs w:val="20"/>
                <w:vertAlign w:val="superscript"/>
              </w:rPr>
              <w:t>#</w:t>
            </w:r>
            <w:r w:rsidRPr="00B7083C">
              <w:rPr>
                <w:b/>
                <w:bCs/>
                <w:sz w:val="20"/>
                <w:szCs w:val="20"/>
              </w:rPr>
              <w:t xml:space="preserve"> or Risk ratio (95% CI)</w:t>
            </w:r>
            <w:r w:rsidRPr="00B7083C">
              <w:rPr>
                <w:sz w:val="20"/>
                <w:szCs w:val="20"/>
                <w:vertAlign w:val="superscript"/>
              </w:rPr>
              <w:t>#</w:t>
            </w:r>
          </w:p>
        </w:tc>
      </w:tr>
      <w:tr w:rsidR="00B7083C" w:rsidRPr="00B7083C" w14:paraId="37B9B1B2" w14:textId="77777777" w:rsidTr="00BB7679">
        <w:trPr>
          <w:trHeight w:val="391"/>
        </w:trPr>
        <w:tc>
          <w:tcPr>
            <w:tcW w:w="8504" w:type="dxa"/>
            <w:vAlign w:val="center"/>
          </w:tcPr>
          <w:p w14:paraId="3E17DCF0" w14:textId="77777777" w:rsidR="00007310" w:rsidRPr="00B7083C" w:rsidRDefault="00007310" w:rsidP="00BB7679">
            <w:pPr>
              <w:rPr>
                <w:sz w:val="20"/>
                <w:szCs w:val="20"/>
              </w:rPr>
            </w:pPr>
            <w:r w:rsidRPr="00B7083C">
              <w:rPr>
                <w:sz w:val="20"/>
                <w:szCs w:val="20"/>
              </w:rPr>
              <w:t>Gestational age at birth in decimal weeks</w:t>
            </w:r>
          </w:p>
        </w:tc>
        <w:tc>
          <w:tcPr>
            <w:tcW w:w="1701" w:type="dxa"/>
            <w:vAlign w:val="center"/>
          </w:tcPr>
          <w:p w14:paraId="3483BBE7" w14:textId="77777777" w:rsidR="00007310" w:rsidRPr="00B7083C" w:rsidRDefault="00007310" w:rsidP="00BB7679">
            <w:pPr>
              <w:spacing w:before="30" w:after="10"/>
              <w:jc w:val="center"/>
              <w:rPr>
                <w:sz w:val="20"/>
                <w:szCs w:val="20"/>
              </w:rPr>
            </w:pPr>
            <w:r w:rsidRPr="00B7083C">
              <w:rPr>
                <w:sz w:val="20"/>
                <w:szCs w:val="20"/>
              </w:rPr>
              <w:t>39·2 (1·74)</w:t>
            </w:r>
          </w:p>
        </w:tc>
        <w:tc>
          <w:tcPr>
            <w:tcW w:w="1701" w:type="dxa"/>
            <w:vAlign w:val="center"/>
          </w:tcPr>
          <w:p w14:paraId="3CCC6928" w14:textId="77777777" w:rsidR="00007310" w:rsidRPr="00B7083C" w:rsidRDefault="00007310" w:rsidP="00BB7679">
            <w:pPr>
              <w:spacing w:before="30" w:after="10"/>
              <w:jc w:val="center"/>
              <w:rPr>
                <w:sz w:val="20"/>
                <w:szCs w:val="20"/>
              </w:rPr>
            </w:pPr>
            <w:r w:rsidRPr="00B7083C">
              <w:rPr>
                <w:sz w:val="20"/>
                <w:szCs w:val="20"/>
              </w:rPr>
              <w:t>39·3 (1·78)</w:t>
            </w:r>
          </w:p>
        </w:tc>
        <w:tc>
          <w:tcPr>
            <w:tcW w:w="2721" w:type="dxa"/>
            <w:vAlign w:val="center"/>
          </w:tcPr>
          <w:p w14:paraId="08EAEE03" w14:textId="77777777" w:rsidR="00007310" w:rsidRPr="00B7083C" w:rsidRDefault="00007310" w:rsidP="00BB7679">
            <w:pPr>
              <w:spacing w:before="30" w:after="10"/>
              <w:jc w:val="center"/>
              <w:rPr>
                <w:sz w:val="20"/>
                <w:szCs w:val="20"/>
              </w:rPr>
            </w:pPr>
            <w:r w:rsidRPr="00B7083C">
              <w:rPr>
                <w:sz w:val="20"/>
                <w:szCs w:val="20"/>
              </w:rPr>
              <w:t>0·20 (-0·06 to 0·46; N=553)</w:t>
            </w:r>
          </w:p>
        </w:tc>
      </w:tr>
      <w:tr w:rsidR="00B7083C" w:rsidRPr="00B7083C" w14:paraId="3F6016DC" w14:textId="77777777" w:rsidTr="00BB7679">
        <w:trPr>
          <w:trHeight w:val="391"/>
        </w:trPr>
        <w:tc>
          <w:tcPr>
            <w:tcW w:w="8504" w:type="dxa"/>
            <w:vAlign w:val="center"/>
          </w:tcPr>
          <w:p w14:paraId="69E2D3E0" w14:textId="77777777" w:rsidR="00007310" w:rsidRPr="00B7083C" w:rsidRDefault="00007310" w:rsidP="00BB7679">
            <w:pPr>
              <w:spacing w:before="30" w:after="10"/>
              <w:rPr>
                <w:sz w:val="20"/>
                <w:szCs w:val="20"/>
              </w:rPr>
            </w:pPr>
            <w:r w:rsidRPr="00B7083C">
              <w:rPr>
                <w:sz w:val="20"/>
                <w:szCs w:val="20"/>
              </w:rPr>
              <w:t xml:space="preserve">All preterm deliveries (&lt;37 weeks) [Spontaneous </w:t>
            </w:r>
            <w:proofErr w:type="spellStart"/>
            <w:r w:rsidRPr="00B7083C">
              <w:rPr>
                <w:sz w:val="20"/>
                <w:szCs w:val="20"/>
              </w:rPr>
              <w:t>labor</w:t>
            </w:r>
            <w:proofErr w:type="spellEnd"/>
            <w:r w:rsidRPr="00B7083C">
              <w:rPr>
                <w:sz w:val="20"/>
                <w:szCs w:val="20"/>
              </w:rPr>
              <w:t>-onset : Iatrogenic, N:N]</w:t>
            </w:r>
          </w:p>
        </w:tc>
        <w:tc>
          <w:tcPr>
            <w:tcW w:w="1701" w:type="dxa"/>
            <w:vAlign w:val="center"/>
          </w:tcPr>
          <w:p w14:paraId="3DE72CE4" w14:textId="77777777" w:rsidR="00007310" w:rsidRPr="00B7083C" w:rsidRDefault="00007310" w:rsidP="00BB7679">
            <w:pPr>
              <w:spacing w:before="30" w:after="10"/>
              <w:jc w:val="center"/>
              <w:rPr>
                <w:sz w:val="20"/>
                <w:szCs w:val="20"/>
              </w:rPr>
            </w:pPr>
            <w:r w:rsidRPr="00B7083C">
              <w:rPr>
                <w:sz w:val="20"/>
                <w:szCs w:val="20"/>
              </w:rPr>
              <w:t>27/292 (9·2%) [12:15]</w:t>
            </w:r>
            <w:r w:rsidRPr="00B7083C">
              <w:rPr>
                <w:sz w:val="20"/>
                <w:szCs w:val="20"/>
                <w:vertAlign w:val="superscript"/>
              </w:rPr>
              <w:t>††</w:t>
            </w:r>
          </w:p>
        </w:tc>
        <w:tc>
          <w:tcPr>
            <w:tcW w:w="1701" w:type="dxa"/>
            <w:vAlign w:val="center"/>
          </w:tcPr>
          <w:p w14:paraId="68B1EB9C" w14:textId="77777777" w:rsidR="00007310" w:rsidRPr="00B7083C" w:rsidRDefault="00007310" w:rsidP="00BB7679">
            <w:pPr>
              <w:spacing w:before="30" w:after="10"/>
              <w:jc w:val="center"/>
              <w:rPr>
                <w:sz w:val="20"/>
                <w:szCs w:val="20"/>
              </w:rPr>
            </w:pPr>
            <w:r w:rsidRPr="00B7083C">
              <w:rPr>
                <w:sz w:val="20"/>
                <w:szCs w:val="20"/>
              </w:rPr>
              <w:t>17/293 (5·8%) [8:9]</w:t>
            </w:r>
            <w:r w:rsidRPr="00B7083C">
              <w:rPr>
                <w:sz w:val="20"/>
                <w:szCs w:val="20"/>
                <w:vertAlign w:val="superscript"/>
              </w:rPr>
              <w:t>‡‡</w:t>
            </w:r>
          </w:p>
        </w:tc>
        <w:tc>
          <w:tcPr>
            <w:tcW w:w="2721" w:type="dxa"/>
            <w:vAlign w:val="center"/>
          </w:tcPr>
          <w:p w14:paraId="0CA8B623" w14:textId="77777777" w:rsidR="00007310" w:rsidRPr="00B7083C" w:rsidRDefault="00007310" w:rsidP="00BB7679">
            <w:pPr>
              <w:spacing w:before="30" w:after="10"/>
              <w:jc w:val="center"/>
              <w:rPr>
                <w:sz w:val="20"/>
                <w:szCs w:val="20"/>
              </w:rPr>
            </w:pPr>
            <w:r w:rsidRPr="00B7083C">
              <w:rPr>
                <w:sz w:val="20"/>
                <w:szCs w:val="20"/>
              </w:rPr>
              <w:t>0·43 (0·22 to 0·82; N=553)</w:t>
            </w:r>
          </w:p>
        </w:tc>
      </w:tr>
      <w:tr w:rsidR="00B7083C" w:rsidRPr="00B7083C" w14:paraId="330A310B" w14:textId="77777777" w:rsidTr="00BB7679">
        <w:tc>
          <w:tcPr>
            <w:tcW w:w="8504" w:type="dxa"/>
            <w:vAlign w:val="center"/>
          </w:tcPr>
          <w:p w14:paraId="6459CDF6" w14:textId="77777777" w:rsidR="00007310" w:rsidRPr="00B7083C" w:rsidRDefault="00007310" w:rsidP="00BB7679">
            <w:pPr>
              <w:spacing w:before="30" w:after="10"/>
              <w:rPr>
                <w:sz w:val="20"/>
                <w:szCs w:val="20"/>
              </w:rPr>
            </w:pPr>
            <w:r w:rsidRPr="00B7083C">
              <w:rPr>
                <w:sz w:val="20"/>
                <w:szCs w:val="20"/>
              </w:rPr>
              <w:t>Late preterm deliveries (34</w:t>
            </w:r>
            <w:r w:rsidRPr="00B7083C">
              <w:rPr>
                <w:sz w:val="20"/>
                <w:szCs w:val="20"/>
                <w:vertAlign w:val="superscript"/>
              </w:rPr>
              <w:t>+0</w:t>
            </w:r>
            <w:r w:rsidRPr="00B7083C">
              <w:rPr>
                <w:sz w:val="20"/>
                <w:szCs w:val="20"/>
              </w:rPr>
              <w:t xml:space="preserve"> to 36</w:t>
            </w:r>
            <w:r w:rsidRPr="00B7083C">
              <w:rPr>
                <w:sz w:val="20"/>
                <w:szCs w:val="20"/>
                <w:vertAlign w:val="superscript"/>
              </w:rPr>
              <w:t>+6</w:t>
            </w:r>
            <w:r w:rsidRPr="00B7083C">
              <w:rPr>
                <w:sz w:val="20"/>
                <w:szCs w:val="20"/>
              </w:rPr>
              <w:t xml:space="preserve"> weeks) [Spontaneous </w:t>
            </w:r>
            <w:proofErr w:type="spellStart"/>
            <w:r w:rsidRPr="00B7083C">
              <w:rPr>
                <w:sz w:val="20"/>
                <w:szCs w:val="20"/>
              </w:rPr>
              <w:t>labor</w:t>
            </w:r>
            <w:proofErr w:type="spellEnd"/>
            <w:r w:rsidRPr="00B7083C">
              <w:rPr>
                <w:sz w:val="20"/>
                <w:szCs w:val="20"/>
              </w:rPr>
              <w:t>-onset : Iatrogenic, N:N]</w:t>
            </w:r>
          </w:p>
        </w:tc>
        <w:tc>
          <w:tcPr>
            <w:tcW w:w="1701" w:type="dxa"/>
            <w:vAlign w:val="center"/>
          </w:tcPr>
          <w:p w14:paraId="643F409D" w14:textId="77777777" w:rsidR="00007310" w:rsidRPr="00B7083C" w:rsidRDefault="00007310" w:rsidP="00BB7679">
            <w:pPr>
              <w:spacing w:before="30" w:after="10"/>
              <w:jc w:val="center"/>
              <w:rPr>
                <w:sz w:val="20"/>
                <w:szCs w:val="20"/>
              </w:rPr>
            </w:pPr>
            <w:r w:rsidRPr="00B7083C">
              <w:rPr>
                <w:sz w:val="20"/>
                <w:szCs w:val="20"/>
              </w:rPr>
              <w:t>22/292 (7·5%) [11:11]</w:t>
            </w:r>
          </w:p>
        </w:tc>
        <w:tc>
          <w:tcPr>
            <w:tcW w:w="1701" w:type="dxa"/>
            <w:vAlign w:val="center"/>
          </w:tcPr>
          <w:p w14:paraId="699EB69A" w14:textId="77777777" w:rsidR="00007310" w:rsidRPr="00B7083C" w:rsidRDefault="00007310" w:rsidP="00BB7679">
            <w:pPr>
              <w:spacing w:before="30" w:after="10"/>
              <w:jc w:val="center"/>
              <w:rPr>
                <w:sz w:val="20"/>
                <w:szCs w:val="20"/>
              </w:rPr>
            </w:pPr>
            <w:r w:rsidRPr="00B7083C">
              <w:rPr>
                <w:sz w:val="20"/>
                <w:szCs w:val="20"/>
              </w:rPr>
              <w:t>13/293 (4·4%) [6:7]</w:t>
            </w:r>
          </w:p>
        </w:tc>
        <w:tc>
          <w:tcPr>
            <w:tcW w:w="2721" w:type="dxa"/>
            <w:vAlign w:val="center"/>
          </w:tcPr>
          <w:p w14:paraId="08D01D8C" w14:textId="77777777" w:rsidR="00007310" w:rsidRPr="00B7083C" w:rsidRDefault="00007310" w:rsidP="00BB7679">
            <w:pPr>
              <w:spacing w:before="30" w:after="10"/>
              <w:jc w:val="center"/>
              <w:rPr>
                <w:sz w:val="20"/>
                <w:szCs w:val="20"/>
              </w:rPr>
            </w:pPr>
            <w:r w:rsidRPr="00B7083C">
              <w:rPr>
                <w:sz w:val="20"/>
                <w:szCs w:val="20"/>
              </w:rPr>
              <w:t>0·41 (0·20 to 0·85; N=553)</w:t>
            </w:r>
          </w:p>
        </w:tc>
      </w:tr>
      <w:tr w:rsidR="00B7083C" w:rsidRPr="00B7083C" w14:paraId="4F5A637B" w14:textId="77777777" w:rsidTr="00BB7679">
        <w:trPr>
          <w:trHeight w:val="391"/>
        </w:trPr>
        <w:tc>
          <w:tcPr>
            <w:tcW w:w="8504" w:type="dxa"/>
            <w:vAlign w:val="center"/>
          </w:tcPr>
          <w:p w14:paraId="29083AC7" w14:textId="77777777" w:rsidR="00007310" w:rsidRPr="00B7083C" w:rsidRDefault="00007310" w:rsidP="00BB7679">
            <w:pPr>
              <w:rPr>
                <w:sz w:val="20"/>
                <w:szCs w:val="20"/>
              </w:rPr>
            </w:pPr>
            <w:r w:rsidRPr="00B7083C">
              <w:rPr>
                <w:sz w:val="20"/>
                <w:szCs w:val="20"/>
              </w:rPr>
              <w:t>Preterm pre-</w:t>
            </w:r>
            <w:proofErr w:type="spellStart"/>
            <w:r w:rsidRPr="00B7083C">
              <w:rPr>
                <w:sz w:val="20"/>
                <w:szCs w:val="20"/>
              </w:rPr>
              <w:t>labor</w:t>
            </w:r>
            <w:proofErr w:type="spellEnd"/>
            <w:r w:rsidRPr="00B7083C">
              <w:rPr>
                <w:sz w:val="20"/>
                <w:szCs w:val="20"/>
              </w:rPr>
              <w:t xml:space="preserve"> rupture of membranes (PPROM)</w:t>
            </w:r>
          </w:p>
        </w:tc>
        <w:tc>
          <w:tcPr>
            <w:tcW w:w="1701" w:type="dxa"/>
            <w:vAlign w:val="center"/>
          </w:tcPr>
          <w:p w14:paraId="3BC3BE95" w14:textId="77777777" w:rsidR="00007310" w:rsidRPr="00B7083C" w:rsidRDefault="00007310" w:rsidP="00BB7679">
            <w:pPr>
              <w:spacing w:before="30" w:after="10"/>
              <w:jc w:val="center"/>
              <w:rPr>
                <w:sz w:val="20"/>
                <w:szCs w:val="20"/>
              </w:rPr>
            </w:pPr>
            <w:r w:rsidRPr="00B7083C">
              <w:rPr>
                <w:sz w:val="20"/>
                <w:szCs w:val="20"/>
              </w:rPr>
              <w:t>19/280 (6·8%)</w:t>
            </w:r>
          </w:p>
        </w:tc>
        <w:tc>
          <w:tcPr>
            <w:tcW w:w="1701" w:type="dxa"/>
            <w:vAlign w:val="center"/>
          </w:tcPr>
          <w:p w14:paraId="5F732F3F" w14:textId="77777777" w:rsidR="00007310" w:rsidRPr="00B7083C" w:rsidRDefault="00007310" w:rsidP="00BB7679">
            <w:pPr>
              <w:spacing w:before="30" w:after="10"/>
              <w:jc w:val="center"/>
              <w:rPr>
                <w:sz w:val="20"/>
                <w:szCs w:val="20"/>
              </w:rPr>
            </w:pPr>
            <w:r w:rsidRPr="00B7083C">
              <w:rPr>
                <w:sz w:val="20"/>
                <w:szCs w:val="20"/>
              </w:rPr>
              <w:t>8/277 (2·9%)</w:t>
            </w:r>
          </w:p>
        </w:tc>
        <w:tc>
          <w:tcPr>
            <w:tcW w:w="2721" w:type="dxa"/>
            <w:vAlign w:val="center"/>
          </w:tcPr>
          <w:p w14:paraId="60E86AE9" w14:textId="77777777" w:rsidR="00007310" w:rsidRPr="00B7083C" w:rsidRDefault="00007310" w:rsidP="00BB7679">
            <w:pPr>
              <w:spacing w:before="30" w:after="10"/>
              <w:jc w:val="center"/>
              <w:rPr>
                <w:sz w:val="20"/>
                <w:szCs w:val="20"/>
              </w:rPr>
            </w:pPr>
            <w:r w:rsidRPr="00B7083C">
              <w:rPr>
                <w:sz w:val="20"/>
                <w:szCs w:val="20"/>
              </w:rPr>
              <w:t>0·39 (0·16 to 0·97; N=526)</w:t>
            </w:r>
          </w:p>
        </w:tc>
      </w:tr>
      <w:tr w:rsidR="00B7083C" w:rsidRPr="00B7083C" w14:paraId="7691760E" w14:textId="77777777" w:rsidTr="00BB7679">
        <w:tc>
          <w:tcPr>
            <w:tcW w:w="8504" w:type="dxa"/>
            <w:vAlign w:val="center"/>
          </w:tcPr>
          <w:p w14:paraId="59A742AB" w14:textId="77777777" w:rsidR="00007310" w:rsidRPr="00B7083C" w:rsidRDefault="00007310" w:rsidP="00BB7679">
            <w:pPr>
              <w:spacing w:before="30" w:after="10"/>
              <w:rPr>
                <w:sz w:val="20"/>
                <w:szCs w:val="20"/>
              </w:rPr>
            </w:pPr>
            <w:r w:rsidRPr="00B7083C">
              <w:rPr>
                <w:sz w:val="20"/>
                <w:szCs w:val="20"/>
              </w:rPr>
              <w:t xml:space="preserve">Preterm deliveries associated with PPROM [Spontaneous </w:t>
            </w:r>
            <w:proofErr w:type="spellStart"/>
            <w:r w:rsidRPr="00B7083C">
              <w:rPr>
                <w:sz w:val="20"/>
                <w:szCs w:val="20"/>
              </w:rPr>
              <w:t>labor</w:t>
            </w:r>
            <w:proofErr w:type="spellEnd"/>
            <w:r w:rsidRPr="00B7083C">
              <w:rPr>
                <w:sz w:val="20"/>
                <w:szCs w:val="20"/>
              </w:rPr>
              <w:t>-onset : Iatrogenic, N:N]</w:t>
            </w:r>
          </w:p>
        </w:tc>
        <w:tc>
          <w:tcPr>
            <w:tcW w:w="1701" w:type="dxa"/>
            <w:vAlign w:val="center"/>
          </w:tcPr>
          <w:p w14:paraId="00B583ED" w14:textId="77777777" w:rsidR="00007310" w:rsidRPr="00B7083C" w:rsidRDefault="00007310" w:rsidP="00BB7679">
            <w:pPr>
              <w:spacing w:before="30" w:after="10"/>
              <w:jc w:val="center"/>
              <w:rPr>
                <w:sz w:val="20"/>
                <w:szCs w:val="20"/>
              </w:rPr>
            </w:pPr>
            <w:r w:rsidRPr="00B7083C">
              <w:rPr>
                <w:sz w:val="20"/>
                <w:szCs w:val="20"/>
              </w:rPr>
              <w:t>17/280 (6.1%) [8:9]</w:t>
            </w:r>
          </w:p>
        </w:tc>
        <w:tc>
          <w:tcPr>
            <w:tcW w:w="1701" w:type="dxa"/>
            <w:vAlign w:val="center"/>
          </w:tcPr>
          <w:p w14:paraId="4E92BA7E" w14:textId="77777777" w:rsidR="00007310" w:rsidRPr="00B7083C" w:rsidRDefault="00007310" w:rsidP="00BB7679">
            <w:pPr>
              <w:spacing w:before="30" w:after="10"/>
              <w:jc w:val="center"/>
              <w:rPr>
                <w:sz w:val="20"/>
                <w:szCs w:val="20"/>
              </w:rPr>
            </w:pPr>
            <w:r w:rsidRPr="00B7083C">
              <w:rPr>
                <w:sz w:val="20"/>
                <w:szCs w:val="20"/>
              </w:rPr>
              <w:t>5/277 (1·8%) [2:3]</w:t>
            </w:r>
          </w:p>
        </w:tc>
        <w:tc>
          <w:tcPr>
            <w:tcW w:w="2721" w:type="dxa"/>
            <w:vAlign w:val="center"/>
          </w:tcPr>
          <w:p w14:paraId="6E0951BB" w14:textId="77777777" w:rsidR="00007310" w:rsidRPr="00B7083C" w:rsidRDefault="00007310" w:rsidP="00BB7679">
            <w:pPr>
              <w:spacing w:before="30" w:after="10"/>
              <w:jc w:val="center"/>
              <w:rPr>
                <w:sz w:val="20"/>
                <w:szCs w:val="20"/>
              </w:rPr>
            </w:pPr>
            <w:r w:rsidRPr="00B7083C">
              <w:rPr>
                <w:sz w:val="20"/>
                <w:szCs w:val="20"/>
              </w:rPr>
              <w:t>0·21 (0·06 to 0·69; N=526)</w:t>
            </w:r>
          </w:p>
        </w:tc>
      </w:tr>
      <w:tr w:rsidR="00B7083C" w:rsidRPr="00B7083C" w14:paraId="7A5959DE" w14:textId="77777777" w:rsidTr="00BB7679">
        <w:tc>
          <w:tcPr>
            <w:tcW w:w="8504" w:type="dxa"/>
            <w:vAlign w:val="center"/>
          </w:tcPr>
          <w:p w14:paraId="32E5ABE8" w14:textId="34E79F7C" w:rsidR="00007310" w:rsidRPr="00B7083C" w:rsidRDefault="00007310" w:rsidP="0044436D">
            <w:pPr>
              <w:spacing w:before="30" w:after="10"/>
              <w:rPr>
                <w:sz w:val="20"/>
                <w:szCs w:val="20"/>
              </w:rPr>
            </w:pPr>
            <w:proofErr w:type="spellStart"/>
            <w:r w:rsidRPr="00B7083C">
              <w:rPr>
                <w:sz w:val="20"/>
                <w:szCs w:val="20"/>
              </w:rPr>
              <w:t>Cesarean</w:t>
            </w:r>
            <w:proofErr w:type="spellEnd"/>
            <w:r w:rsidRPr="00B7083C">
              <w:rPr>
                <w:sz w:val="20"/>
                <w:szCs w:val="20"/>
              </w:rPr>
              <w:t xml:space="preserve"> section delivery [Elective : Emergency, N:N]</w:t>
            </w:r>
            <w:r w:rsidR="0044436D">
              <w:rPr>
                <w:sz w:val="20"/>
                <w:szCs w:val="20"/>
              </w:rPr>
              <w:t xml:space="preserve"> </w:t>
            </w:r>
          </w:p>
        </w:tc>
        <w:tc>
          <w:tcPr>
            <w:tcW w:w="1701" w:type="dxa"/>
            <w:vAlign w:val="center"/>
          </w:tcPr>
          <w:p w14:paraId="3000BED8" w14:textId="77777777" w:rsidR="00007310" w:rsidRPr="00B7083C" w:rsidRDefault="00007310" w:rsidP="00BB7679">
            <w:pPr>
              <w:spacing w:before="30" w:after="10"/>
              <w:jc w:val="center"/>
              <w:rPr>
                <w:sz w:val="20"/>
                <w:szCs w:val="20"/>
              </w:rPr>
            </w:pPr>
            <w:r w:rsidRPr="00B7083C">
              <w:rPr>
                <w:sz w:val="20"/>
                <w:szCs w:val="20"/>
              </w:rPr>
              <w:t>85/292 (29·1%) [41:44]</w:t>
            </w:r>
          </w:p>
        </w:tc>
        <w:tc>
          <w:tcPr>
            <w:tcW w:w="1701" w:type="dxa"/>
            <w:vAlign w:val="center"/>
          </w:tcPr>
          <w:p w14:paraId="27A63CF6" w14:textId="77777777" w:rsidR="00007310" w:rsidRPr="00B7083C" w:rsidRDefault="00007310" w:rsidP="00BB7679">
            <w:pPr>
              <w:spacing w:before="30" w:after="10"/>
              <w:jc w:val="center"/>
              <w:rPr>
                <w:sz w:val="20"/>
                <w:szCs w:val="20"/>
              </w:rPr>
            </w:pPr>
            <w:r w:rsidRPr="00B7083C">
              <w:rPr>
                <w:sz w:val="20"/>
                <w:szCs w:val="20"/>
              </w:rPr>
              <w:t>84/293 (28·7%) [34:50]</w:t>
            </w:r>
          </w:p>
        </w:tc>
        <w:tc>
          <w:tcPr>
            <w:tcW w:w="2721" w:type="dxa"/>
            <w:vAlign w:val="center"/>
          </w:tcPr>
          <w:p w14:paraId="2F7D70B3" w14:textId="77777777" w:rsidR="00007310" w:rsidRPr="00B7083C" w:rsidRDefault="00007310" w:rsidP="00BB7679">
            <w:pPr>
              <w:spacing w:before="30" w:after="10"/>
              <w:jc w:val="center"/>
              <w:rPr>
                <w:sz w:val="20"/>
                <w:szCs w:val="20"/>
              </w:rPr>
            </w:pPr>
            <w:r w:rsidRPr="00B7083C">
              <w:rPr>
                <w:sz w:val="20"/>
                <w:szCs w:val="20"/>
              </w:rPr>
              <w:t>0·99 (0·76 to 1·28; N=553)</w:t>
            </w:r>
          </w:p>
        </w:tc>
      </w:tr>
      <w:tr w:rsidR="00B7083C" w:rsidRPr="00B7083C" w14:paraId="75CC22BF" w14:textId="77777777" w:rsidTr="00BB7679">
        <w:trPr>
          <w:trHeight w:val="391"/>
        </w:trPr>
        <w:tc>
          <w:tcPr>
            <w:tcW w:w="8504" w:type="dxa"/>
            <w:vAlign w:val="center"/>
          </w:tcPr>
          <w:p w14:paraId="50D9877E" w14:textId="77777777" w:rsidR="00007310" w:rsidRPr="00B7083C" w:rsidRDefault="00007310" w:rsidP="00BB7679">
            <w:pPr>
              <w:spacing w:before="30" w:after="10"/>
              <w:rPr>
                <w:sz w:val="20"/>
                <w:szCs w:val="20"/>
              </w:rPr>
            </w:pPr>
            <w:r w:rsidRPr="00B7083C">
              <w:rPr>
                <w:sz w:val="20"/>
                <w:szCs w:val="20"/>
              </w:rPr>
              <w:t xml:space="preserve">Major post-partum </w:t>
            </w:r>
            <w:proofErr w:type="spellStart"/>
            <w:r w:rsidRPr="00B7083C">
              <w:rPr>
                <w:sz w:val="20"/>
                <w:szCs w:val="20"/>
              </w:rPr>
              <w:t>hemorrhage</w:t>
            </w:r>
            <w:proofErr w:type="spellEnd"/>
            <w:r w:rsidRPr="00B7083C">
              <w:rPr>
                <w:sz w:val="20"/>
                <w:szCs w:val="20"/>
              </w:rPr>
              <w:t xml:space="preserve"> (&gt;1 </w:t>
            </w:r>
            <w:proofErr w:type="spellStart"/>
            <w:r w:rsidRPr="00B7083C">
              <w:rPr>
                <w:sz w:val="20"/>
                <w:szCs w:val="20"/>
              </w:rPr>
              <w:t>liter</w:t>
            </w:r>
            <w:proofErr w:type="spellEnd"/>
            <w:r w:rsidRPr="00B7083C">
              <w:rPr>
                <w:sz w:val="20"/>
                <w:szCs w:val="20"/>
              </w:rPr>
              <w:t xml:space="preserve"> blood loss, </w:t>
            </w:r>
            <w:r w:rsidRPr="00B7083C">
              <w:rPr>
                <w:i/>
                <w:sz w:val="20"/>
                <w:szCs w:val="20"/>
              </w:rPr>
              <w:t xml:space="preserve">denominator: all pregnancies reaching </w:t>
            </w:r>
            <w:r w:rsidRPr="00B7083C">
              <w:rPr>
                <w:i/>
                <w:iCs/>
                <w:sz w:val="20"/>
                <w:szCs w:val="20"/>
                <w:lang w:val="en-US"/>
              </w:rPr>
              <w:t>≥</w:t>
            </w:r>
            <w:r w:rsidRPr="00B7083C">
              <w:rPr>
                <w:i/>
                <w:sz w:val="20"/>
                <w:szCs w:val="20"/>
              </w:rPr>
              <w:t>24 weeks</w:t>
            </w:r>
            <w:r w:rsidRPr="00B7083C">
              <w:rPr>
                <w:sz w:val="20"/>
                <w:szCs w:val="20"/>
              </w:rPr>
              <w:t>)</w:t>
            </w:r>
          </w:p>
        </w:tc>
        <w:tc>
          <w:tcPr>
            <w:tcW w:w="1701" w:type="dxa"/>
            <w:vAlign w:val="center"/>
          </w:tcPr>
          <w:p w14:paraId="442FD1B4" w14:textId="77777777" w:rsidR="00007310" w:rsidRPr="00B7083C" w:rsidRDefault="00007310" w:rsidP="00BB7679">
            <w:pPr>
              <w:spacing w:before="30" w:after="10"/>
              <w:jc w:val="center"/>
              <w:rPr>
                <w:sz w:val="20"/>
                <w:szCs w:val="20"/>
              </w:rPr>
            </w:pPr>
            <w:r w:rsidRPr="00B7083C">
              <w:rPr>
                <w:sz w:val="20"/>
                <w:szCs w:val="20"/>
              </w:rPr>
              <w:t>24/292 (8·2%)</w:t>
            </w:r>
          </w:p>
        </w:tc>
        <w:tc>
          <w:tcPr>
            <w:tcW w:w="1701" w:type="dxa"/>
            <w:vAlign w:val="center"/>
          </w:tcPr>
          <w:p w14:paraId="798CB390" w14:textId="77777777" w:rsidR="00007310" w:rsidRPr="00B7083C" w:rsidRDefault="00007310" w:rsidP="00BB7679">
            <w:pPr>
              <w:spacing w:before="30" w:after="10"/>
              <w:jc w:val="center"/>
              <w:rPr>
                <w:sz w:val="20"/>
                <w:szCs w:val="20"/>
              </w:rPr>
            </w:pPr>
            <w:r w:rsidRPr="00B7083C">
              <w:rPr>
                <w:sz w:val="20"/>
                <w:szCs w:val="20"/>
              </w:rPr>
              <w:t>9/294 (3·1%)</w:t>
            </w:r>
          </w:p>
        </w:tc>
        <w:tc>
          <w:tcPr>
            <w:tcW w:w="2721" w:type="dxa"/>
            <w:vAlign w:val="center"/>
          </w:tcPr>
          <w:p w14:paraId="25D19EF7" w14:textId="77777777" w:rsidR="00007310" w:rsidRPr="00B7083C" w:rsidRDefault="00007310" w:rsidP="00BB7679">
            <w:pPr>
              <w:spacing w:before="30" w:after="10"/>
              <w:jc w:val="center"/>
              <w:rPr>
                <w:sz w:val="20"/>
                <w:szCs w:val="20"/>
              </w:rPr>
            </w:pPr>
            <w:r w:rsidRPr="00B7083C">
              <w:rPr>
                <w:sz w:val="20"/>
                <w:szCs w:val="20"/>
              </w:rPr>
              <w:t>0·44 (0·20 to 0·94; N=554)</w:t>
            </w:r>
          </w:p>
        </w:tc>
      </w:tr>
      <w:tr w:rsidR="00B7083C" w:rsidRPr="00B7083C" w14:paraId="0D5B4227" w14:textId="77777777" w:rsidTr="00BB7679">
        <w:tc>
          <w:tcPr>
            <w:tcW w:w="8504" w:type="dxa"/>
            <w:vAlign w:val="bottom"/>
          </w:tcPr>
          <w:p w14:paraId="335E025B" w14:textId="77777777" w:rsidR="00007310" w:rsidRPr="00B7083C" w:rsidRDefault="00007310" w:rsidP="00BB7679">
            <w:pPr>
              <w:spacing w:before="40"/>
              <w:rPr>
                <w:b/>
                <w:bCs/>
                <w:sz w:val="20"/>
                <w:szCs w:val="20"/>
              </w:rPr>
            </w:pPr>
            <w:r w:rsidRPr="00B7083C">
              <w:rPr>
                <w:b/>
                <w:bCs/>
                <w:sz w:val="20"/>
                <w:szCs w:val="20"/>
              </w:rPr>
              <w:t xml:space="preserve">NEONATAL OUTCOMES </w:t>
            </w:r>
            <w:r w:rsidRPr="00B7083C">
              <w:rPr>
                <w:i/>
                <w:sz w:val="20"/>
                <w:szCs w:val="20"/>
              </w:rPr>
              <w:t>(</w:t>
            </w:r>
            <w:r w:rsidRPr="00B7083C">
              <w:rPr>
                <w:bCs/>
                <w:i/>
                <w:sz w:val="20"/>
                <w:szCs w:val="20"/>
              </w:rPr>
              <w:t xml:space="preserve">denominator: </w:t>
            </w:r>
            <w:r w:rsidRPr="00B7083C">
              <w:rPr>
                <w:i/>
                <w:sz w:val="20"/>
                <w:szCs w:val="20"/>
              </w:rPr>
              <w:t xml:space="preserve">all live births </w:t>
            </w:r>
            <w:r w:rsidRPr="00B7083C">
              <w:rPr>
                <w:i/>
                <w:iCs/>
                <w:sz w:val="20"/>
                <w:szCs w:val="20"/>
                <w:lang w:val="en-US"/>
              </w:rPr>
              <w:t>≥</w:t>
            </w:r>
            <w:r w:rsidRPr="00B7083C">
              <w:rPr>
                <w:i/>
                <w:sz w:val="20"/>
                <w:szCs w:val="20"/>
              </w:rPr>
              <w:t>24 weeks)</w:t>
            </w:r>
          </w:p>
        </w:tc>
        <w:tc>
          <w:tcPr>
            <w:tcW w:w="1701" w:type="dxa"/>
            <w:vAlign w:val="center"/>
          </w:tcPr>
          <w:p w14:paraId="388D3866" w14:textId="77777777" w:rsidR="00007310" w:rsidRPr="00B7083C" w:rsidRDefault="00007310" w:rsidP="00BB7679">
            <w:pPr>
              <w:jc w:val="center"/>
              <w:rPr>
                <w:sz w:val="20"/>
                <w:szCs w:val="20"/>
              </w:rPr>
            </w:pPr>
            <w:r w:rsidRPr="00B7083C">
              <w:rPr>
                <w:sz w:val="20"/>
                <w:szCs w:val="20"/>
              </w:rPr>
              <w:t>…</w:t>
            </w:r>
          </w:p>
        </w:tc>
        <w:tc>
          <w:tcPr>
            <w:tcW w:w="1701" w:type="dxa"/>
            <w:vAlign w:val="center"/>
          </w:tcPr>
          <w:p w14:paraId="1CB964A4" w14:textId="77777777" w:rsidR="00007310" w:rsidRPr="00B7083C" w:rsidRDefault="00007310" w:rsidP="00BB7679">
            <w:pPr>
              <w:jc w:val="center"/>
              <w:rPr>
                <w:sz w:val="20"/>
                <w:szCs w:val="20"/>
              </w:rPr>
            </w:pPr>
            <w:r w:rsidRPr="00B7083C">
              <w:rPr>
                <w:sz w:val="20"/>
                <w:szCs w:val="20"/>
              </w:rPr>
              <w:t>…</w:t>
            </w:r>
          </w:p>
        </w:tc>
        <w:tc>
          <w:tcPr>
            <w:tcW w:w="2721" w:type="dxa"/>
            <w:vAlign w:val="center"/>
          </w:tcPr>
          <w:p w14:paraId="0F56BB47" w14:textId="77777777" w:rsidR="00007310" w:rsidRPr="00B7083C" w:rsidRDefault="00007310" w:rsidP="00BB7679">
            <w:pPr>
              <w:jc w:val="center"/>
              <w:rPr>
                <w:sz w:val="20"/>
                <w:szCs w:val="20"/>
              </w:rPr>
            </w:pPr>
            <w:r w:rsidRPr="00B7083C">
              <w:rPr>
                <w:b/>
                <w:bCs/>
                <w:sz w:val="20"/>
                <w:szCs w:val="20"/>
              </w:rPr>
              <w:t>Mean difference (95% CI)</w:t>
            </w:r>
            <w:r w:rsidRPr="00B7083C">
              <w:rPr>
                <w:sz w:val="20"/>
                <w:szCs w:val="20"/>
                <w:vertAlign w:val="superscript"/>
              </w:rPr>
              <w:t>#</w:t>
            </w:r>
            <w:r w:rsidRPr="00B7083C">
              <w:rPr>
                <w:b/>
                <w:bCs/>
                <w:sz w:val="20"/>
                <w:szCs w:val="20"/>
              </w:rPr>
              <w:t xml:space="preserve"> or Risk ratio (95% CI)</w:t>
            </w:r>
            <w:r w:rsidRPr="00B7083C">
              <w:rPr>
                <w:sz w:val="20"/>
                <w:szCs w:val="20"/>
                <w:vertAlign w:val="superscript"/>
              </w:rPr>
              <w:t>#</w:t>
            </w:r>
          </w:p>
        </w:tc>
      </w:tr>
      <w:tr w:rsidR="00B7083C" w:rsidRPr="00B7083C" w14:paraId="7E1C1B3D" w14:textId="77777777" w:rsidTr="00BB7679">
        <w:trPr>
          <w:trHeight w:val="391"/>
        </w:trPr>
        <w:tc>
          <w:tcPr>
            <w:tcW w:w="8504" w:type="dxa"/>
            <w:vAlign w:val="center"/>
          </w:tcPr>
          <w:p w14:paraId="01057DDB" w14:textId="77777777" w:rsidR="00007310" w:rsidRPr="00B7083C" w:rsidRDefault="00007310" w:rsidP="00BB7679">
            <w:pPr>
              <w:rPr>
                <w:sz w:val="20"/>
                <w:szCs w:val="20"/>
              </w:rPr>
            </w:pPr>
            <w:r w:rsidRPr="00B7083C">
              <w:rPr>
                <w:sz w:val="20"/>
                <w:szCs w:val="20"/>
              </w:rPr>
              <w:t>Birthweight (kg)</w:t>
            </w:r>
          </w:p>
        </w:tc>
        <w:tc>
          <w:tcPr>
            <w:tcW w:w="1701" w:type="dxa"/>
            <w:vAlign w:val="center"/>
          </w:tcPr>
          <w:p w14:paraId="4AB9EA10" w14:textId="77777777" w:rsidR="00007310" w:rsidRPr="00B7083C" w:rsidRDefault="00007310" w:rsidP="00BB7679">
            <w:pPr>
              <w:spacing w:before="30" w:after="10"/>
              <w:jc w:val="center"/>
              <w:rPr>
                <w:sz w:val="20"/>
                <w:szCs w:val="20"/>
              </w:rPr>
            </w:pPr>
            <w:r w:rsidRPr="00B7083C">
              <w:rPr>
                <w:sz w:val="20"/>
                <w:szCs w:val="20"/>
              </w:rPr>
              <w:t>3·30 (0·54)</w:t>
            </w:r>
          </w:p>
        </w:tc>
        <w:tc>
          <w:tcPr>
            <w:tcW w:w="1701" w:type="dxa"/>
            <w:vAlign w:val="center"/>
          </w:tcPr>
          <w:p w14:paraId="595547CC" w14:textId="77777777" w:rsidR="00007310" w:rsidRPr="00B7083C" w:rsidRDefault="00007310" w:rsidP="00BB7679">
            <w:pPr>
              <w:spacing w:before="30" w:after="10"/>
              <w:jc w:val="center"/>
              <w:rPr>
                <w:sz w:val="20"/>
                <w:szCs w:val="20"/>
              </w:rPr>
            </w:pPr>
            <w:r w:rsidRPr="00B7083C">
              <w:rPr>
                <w:sz w:val="20"/>
                <w:szCs w:val="20"/>
              </w:rPr>
              <w:t>3·33 (0·55)</w:t>
            </w:r>
          </w:p>
        </w:tc>
        <w:tc>
          <w:tcPr>
            <w:tcW w:w="2721" w:type="dxa"/>
            <w:vAlign w:val="center"/>
          </w:tcPr>
          <w:p w14:paraId="37B03633" w14:textId="77777777" w:rsidR="00007310" w:rsidRPr="00B7083C" w:rsidRDefault="00007310" w:rsidP="00BB7679">
            <w:pPr>
              <w:spacing w:before="30" w:after="10"/>
              <w:jc w:val="center"/>
              <w:rPr>
                <w:sz w:val="20"/>
                <w:szCs w:val="20"/>
              </w:rPr>
            </w:pPr>
            <w:r w:rsidRPr="00B7083C">
              <w:rPr>
                <w:sz w:val="20"/>
                <w:szCs w:val="20"/>
              </w:rPr>
              <w:t>0·05 (-0·03 to 0·13; N=553)</w:t>
            </w:r>
          </w:p>
        </w:tc>
      </w:tr>
      <w:tr w:rsidR="00B7083C" w:rsidRPr="00B7083C" w14:paraId="2D69A4A3" w14:textId="77777777" w:rsidTr="00BB7679">
        <w:trPr>
          <w:trHeight w:val="391"/>
        </w:trPr>
        <w:tc>
          <w:tcPr>
            <w:tcW w:w="8504" w:type="dxa"/>
            <w:vAlign w:val="center"/>
          </w:tcPr>
          <w:p w14:paraId="174DF5C3" w14:textId="77777777" w:rsidR="00007310" w:rsidRPr="00B7083C" w:rsidRDefault="00007310" w:rsidP="00BB7679">
            <w:pPr>
              <w:rPr>
                <w:sz w:val="20"/>
                <w:szCs w:val="20"/>
              </w:rPr>
            </w:pPr>
            <w:r w:rsidRPr="00B7083C">
              <w:rPr>
                <w:sz w:val="20"/>
                <w:szCs w:val="20"/>
              </w:rPr>
              <w:t>Large-for-gestational-age (LGA &gt;90</w:t>
            </w:r>
            <w:r w:rsidRPr="00B7083C">
              <w:rPr>
                <w:sz w:val="20"/>
                <w:szCs w:val="20"/>
                <w:vertAlign w:val="superscript"/>
              </w:rPr>
              <w:t xml:space="preserve">th </w:t>
            </w:r>
            <w:r w:rsidRPr="00B7083C">
              <w:rPr>
                <w:bCs/>
                <w:i/>
                <w:iCs/>
                <w:sz w:val="20"/>
                <w:szCs w:val="20"/>
              </w:rPr>
              <w:t>centile adjusted for sex and gestational age</w:t>
            </w:r>
            <w:r w:rsidRPr="00B7083C">
              <w:rPr>
                <w:sz w:val="20"/>
                <w:szCs w:val="20"/>
                <w:vertAlign w:val="superscript"/>
              </w:rPr>
              <w:t>**</w:t>
            </w:r>
            <w:r w:rsidRPr="00B7083C">
              <w:rPr>
                <w:sz w:val="20"/>
                <w:szCs w:val="20"/>
              </w:rPr>
              <w:t>)</w:t>
            </w:r>
          </w:p>
        </w:tc>
        <w:tc>
          <w:tcPr>
            <w:tcW w:w="1701" w:type="dxa"/>
            <w:vAlign w:val="center"/>
          </w:tcPr>
          <w:p w14:paraId="24DA0465" w14:textId="77777777" w:rsidR="00007310" w:rsidRPr="00B7083C" w:rsidRDefault="00007310" w:rsidP="00BB7679">
            <w:pPr>
              <w:spacing w:before="30" w:after="10"/>
              <w:jc w:val="center"/>
              <w:rPr>
                <w:sz w:val="20"/>
                <w:szCs w:val="20"/>
              </w:rPr>
            </w:pPr>
            <w:r w:rsidRPr="00B7083C">
              <w:rPr>
                <w:sz w:val="20"/>
                <w:szCs w:val="20"/>
              </w:rPr>
              <w:t>22/292 (7·5%)</w:t>
            </w:r>
          </w:p>
        </w:tc>
        <w:tc>
          <w:tcPr>
            <w:tcW w:w="1701" w:type="dxa"/>
            <w:vAlign w:val="center"/>
          </w:tcPr>
          <w:p w14:paraId="5AE76644" w14:textId="77777777" w:rsidR="00007310" w:rsidRPr="00B7083C" w:rsidRDefault="00007310" w:rsidP="00BB7679">
            <w:pPr>
              <w:spacing w:before="30" w:after="10"/>
              <w:jc w:val="center"/>
              <w:rPr>
                <w:sz w:val="20"/>
                <w:szCs w:val="20"/>
              </w:rPr>
            </w:pPr>
            <w:r w:rsidRPr="00B7083C">
              <w:rPr>
                <w:sz w:val="20"/>
                <w:szCs w:val="20"/>
              </w:rPr>
              <w:t>21/293 (7·2%)</w:t>
            </w:r>
          </w:p>
        </w:tc>
        <w:tc>
          <w:tcPr>
            <w:tcW w:w="2721" w:type="dxa"/>
            <w:vAlign w:val="center"/>
          </w:tcPr>
          <w:p w14:paraId="7A4B14CB" w14:textId="77777777" w:rsidR="00007310" w:rsidRPr="00B7083C" w:rsidRDefault="00007310" w:rsidP="00BB7679">
            <w:pPr>
              <w:spacing w:before="30" w:after="10"/>
              <w:jc w:val="center"/>
              <w:rPr>
                <w:sz w:val="20"/>
                <w:szCs w:val="20"/>
              </w:rPr>
            </w:pPr>
            <w:r w:rsidRPr="00B7083C">
              <w:rPr>
                <w:sz w:val="20"/>
                <w:szCs w:val="20"/>
              </w:rPr>
              <w:t>0·94 (0·54 to 1·63; N=555)</w:t>
            </w:r>
          </w:p>
        </w:tc>
      </w:tr>
      <w:tr w:rsidR="00B7083C" w:rsidRPr="00B7083C" w14:paraId="1B45B5F8" w14:textId="77777777" w:rsidTr="00BB7679">
        <w:trPr>
          <w:trHeight w:val="391"/>
        </w:trPr>
        <w:tc>
          <w:tcPr>
            <w:tcW w:w="8504" w:type="dxa"/>
            <w:vAlign w:val="center"/>
          </w:tcPr>
          <w:p w14:paraId="48DDC27A" w14:textId="77777777" w:rsidR="00007310" w:rsidRPr="00B7083C" w:rsidRDefault="00007310" w:rsidP="00BB7679">
            <w:pPr>
              <w:rPr>
                <w:sz w:val="20"/>
                <w:szCs w:val="20"/>
              </w:rPr>
            </w:pPr>
            <w:r w:rsidRPr="00B7083C">
              <w:rPr>
                <w:sz w:val="20"/>
                <w:szCs w:val="20"/>
              </w:rPr>
              <w:t>Small-for-gestational-age (SGA &lt;10</w:t>
            </w:r>
            <w:r w:rsidRPr="00B7083C">
              <w:rPr>
                <w:sz w:val="20"/>
                <w:szCs w:val="20"/>
                <w:vertAlign w:val="superscript"/>
              </w:rPr>
              <w:t>th</w:t>
            </w:r>
            <w:r w:rsidRPr="00B7083C">
              <w:rPr>
                <w:bCs/>
                <w:i/>
                <w:iCs/>
                <w:sz w:val="20"/>
                <w:szCs w:val="20"/>
              </w:rPr>
              <w:t xml:space="preserve"> centile adjusted for sex and gestational age</w:t>
            </w:r>
            <w:r w:rsidRPr="00B7083C">
              <w:rPr>
                <w:sz w:val="20"/>
                <w:szCs w:val="20"/>
                <w:vertAlign w:val="superscript"/>
              </w:rPr>
              <w:t>**</w:t>
            </w:r>
            <w:r w:rsidRPr="00B7083C">
              <w:rPr>
                <w:sz w:val="20"/>
                <w:szCs w:val="20"/>
              </w:rPr>
              <w:t>)</w:t>
            </w:r>
          </w:p>
        </w:tc>
        <w:tc>
          <w:tcPr>
            <w:tcW w:w="1701" w:type="dxa"/>
            <w:vAlign w:val="center"/>
          </w:tcPr>
          <w:p w14:paraId="7E7AA42C" w14:textId="77777777" w:rsidR="00007310" w:rsidRPr="00B7083C" w:rsidRDefault="00007310" w:rsidP="00BB7679">
            <w:pPr>
              <w:spacing w:before="30" w:after="10"/>
              <w:jc w:val="center"/>
              <w:rPr>
                <w:sz w:val="20"/>
                <w:szCs w:val="20"/>
              </w:rPr>
            </w:pPr>
            <w:r w:rsidRPr="00B7083C">
              <w:rPr>
                <w:sz w:val="20"/>
                <w:szCs w:val="20"/>
              </w:rPr>
              <w:t>21/292 (7·2%)</w:t>
            </w:r>
          </w:p>
        </w:tc>
        <w:tc>
          <w:tcPr>
            <w:tcW w:w="1701" w:type="dxa"/>
            <w:vAlign w:val="center"/>
          </w:tcPr>
          <w:p w14:paraId="41F934BB" w14:textId="77777777" w:rsidR="00007310" w:rsidRPr="00B7083C" w:rsidRDefault="00007310" w:rsidP="00BB7679">
            <w:pPr>
              <w:spacing w:before="30" w:after="10"/>
              <w:jc w:val="center"/>
              <w:rPr>
                <w:sz w:val="20"/>
                <w:szCs w:val="20"/>
              </w:rPr>
            </w:pPr>
            <w:r w:rsidRPr="00B7083C">
              <w:rPr>
                <w:sz w:val="20"/>
                <w:szCs w:val="20"/>
              </w:rPr>
              <w:t>24/293 (8·2%)</w:t>
            </w:r>
          </w:p>
        </w:tc>
        <w:tc>
          <w:tcPr>
            <w:tcW w:w="2721" w:type="dxa"/>
            <w:vAlign w:val="center"/>
          </w:tcPr>
          <w:p w14:paraId="1068B072" w14:textId="77777777" w:rsidR="00007310" w:rsidRPr="00B7083C" w:rsidRDefault="00007310" w:rsidP="00BB7679">
            <w:pPr>
              <w:spacing w:before="30" w:after="10"/>
              <w:jc w:val="center"/>
              <w:rPr>
                <w:sz w:val="20"/>
                <w:szCs w:val="20"/>
              </w:rPr>
            </w:pPr>
            <w:r w:rsidRPr="00B7083C">
              <w:rPr>
                <w:sz w:val="20"/>
                <w:szCs w:val="20"/>
              </w:rPr>
              <w:t>1·34 (0·79 to 2·29; N=555)</w:t>
            </w:r>
          </w:p>
        </w:tc>
      </w:tr>
      <w:tr w:rsidR="00B7083C" w:rsidRPr="00B7083C" w14:paraId="58135EBB" w14:textId="77777777" w:rsidTr="00BB7679">
        <w:trPr>
          <w:trHeight w:val="391"/>
        </w:trPr>
        <w:tc>
          <w:tcPr>
            <w:tcW w:w="8504" w:type="dxa"/>
            <w:vAlign w:val="center"/>
          </w:tcPr>
          <w:p w14:paraId="5C62B98B" w14:textId="77777777" w:rsidR="00007310" w:rsidRPr="00B7083C" w:rsidRDefault="00007310" w:rsidP="00BB7679">
            <w:pPr>
              <w:rPr>
                <w:sz w:val="20"/>
                <w:szCs w:val="20"/>
              </w:rPr>
            </w:pPr>
            <w:r w:rsidRPr="00B7083C">
              <w:rPr>
                <w:sz w:val="20"/>
                <w:szCs w:val="20"/>
              </w:rPr>
              <w:t>Admission to neonatal unit</w:t>
            </w:r>
          </w:p>
        </w:tc>
        <w:tc>
          <w:tcPr>
            <w:tcW w:w="1701" w:type="dxa"/>
            <w:vAlign w:val="center"/>
          </w:tcPr>
          <w:p w14:paraId="5274EA27" w14:textId="77777777" w:rsidR="00007310" w:rsidRPr="00B7083C" w:rsidRDefault="00007310" w:rsidP="00BB7679">
            <w:pPr>
              <w:spacing w:before="30" w:after="10"/>
              <w:jc w:val="center"/>
              <w:rPr>
                <w:sz w:val="20"/>
                <w:szCs w:val="20"/>
              </w:rPr>
            </w:pPr>
            <w:r w:rsidRPr="00B7083C">
              <w:rPr>
                <w:sz w:val="20"/>
                <w:szCs w:val="20"/>
              </w:rPr>
              <w:t>19/290 (6·6%)</w:t>
            </w:r>
          </w:p>
        </w:tc>
        <w:tc>
          <w:tcPr>
            <w:tcW w:w="1701" w:type="dxa"/>
            <w:vAlign w:val="center"/>
          </w:tcPr>
          <w:p w14:paraId="6A47C025" w14:textId="77777777" w:rsidR="00007310" w:rsidRPr="00B7083C" w:rsidRDefault="00007310" w:rsidP="00BB7679">
            <w:pPr>
              <w:spacing w:before="30" w:after="10"/>
              <w:jc w:val="center"/>
              <w:rPr>
                <w:sz w:val="20"/>
                <w:szCs w:val="20"/>
              </w:rPr>
            </w:pPr>
            <w:r w:rsidRPr="00B7083C">
              <w:rPr>
                <w:sz w:val="20"/>
                <w:szCs w:val="20"/>
              </w:rPr>
              <w:t>24/293 (8·2%)</w:t>
            </w:r>
          </w:p>
        </w:tc>
        <w:tc>
          <w:tcPr>
            <w:tcW w:w="2721" w:type="dxa"/>
            <w:vAlign w:val="center"/>
          </w:tcPr>
          <w:p w14:paraId="5DA32D72" w14:textId="77777777" w:rsidR="00007310" w:rsidRPr="00B7083C" w:rsidRDefault="00007310" w:rsidP="00BB7679">
            <w:pPr>
              <w:spacing w:before="30" w:after="10"/>
              <w:jc w:val="center"/>
              <w:rPr>
                <w:sz w:val="20"/>
                <w:szCs w:val="20"/>
              </w:rPr>
            </w:pPr>
            <w:r w:rsidRPr="00B7083C">
              <w:rPr>
                <w:sz w:val="20"/>
                <w:szCs w:val="20"/>
              </w:rPr>
              <w:t>1·11 (0·57 to 2·17; N=550)</w:t>
            </w:r>
          </w:p>
        </w:tc>
      </w:tr>
      <w:tr w:rsidR="00B7083C" w:rsidRPr="00B7083C" w14:paraId="73906700" w14:textId="77777777" w:rsidTr="00BB7679">
        <w:trPr>
          <w:trHeight w:val="391"/>
        </w:trPr>
        <w:tc>
          <w:tcPr>
            <w:tcW w:w="8504" w:type="dxa"/>
            <w:vAlign w:val="center"/>
          </w:tcPr>
          <w:p w14:paraId="7A26107C" w14:textId="77777777" w:rsidR="00007310" w:rsidRPr="00B7083C" w:rsidRDefault="00007310" w:rsidP="00BB7679">
            <w:pPr>
              <w:rPr>
                <w:sz w:val="20"/>
                <w:szCs w:val="20"/>
              </w:rPr>
            </w:pPr>
            <w:r w:rsidRPr="00B7083C">
              <w:rPr>
                <w:sz w:val="20"/>
                <w:szCs w:val="20"/>
              </w:rPr>
              <w:t xml:space="preserve">Neonatal </w:t>
            </w:r>
            <w:proofErr w:type="spellStart"/>
            <w:r w:rsidRPr="00B7083C">
              <w:rPr>
                <w:sz w:val="20"/>
                <w:szCs w:val="20"/>
              </w:rPr>
              <w:t>hypoglycemia</w:t>
            </w:r>
            <w:proofErr w:type="spellEnd"/>
            <w:r w:rsidRPr="00B7083C">
              <w:rPr>
                <w:sz w:val="20"/>
                <w:szCs w:val="20"/>
              </w:rPr>
              <w:t xml:space="preserve"> requiring dextrose treatment</w:t>
            </w:r>
          </w:p>
        </w:tc>
        <w:tc>
          <w:tcPr>
            <w:tcW w:w="1701" w:type="dxa"/>
            <w:vAlign w:val="center"/>
          </w:tcPr>
          <w:p w14:paraId="21535C1C" w14:textId="77777777" w:rsidR="00007310" w:rsidRPr="00B7083C" w:rsidRDefault="00007310" w:rsidP="00BB7679">
            <w:pPr>
              <w:spacing w:before="30" w:after="10"/>
              <w:jc w:val="center"/>
              <w:rPr>
                <w:sz w:val="20"/>
                <w:szCs w:val="20"/>
              </w:rPr>
            </w:pPr>
            <w:r w:rsidRPr="00B7083C">
              <w:rPr>
                <w:sz w:val="20"/>
                <w:szCs w:val="20"/>
              </w:rPr>
              <w:t>24/292 (8·2%)</w:t>
            </w:r>
          </w:p>
        </w:tc>
        <w:tc>
          <w:tcPr>
            <w:tcW w:w="1701" w:type="dxa"/>
            <w:vAlign w:val="center"/>
          </w:tcPr>
          <w:p w14:paraId="160169C7" w14:textId="77777777" w:rsidR="00007310" w:rsidRPr="00B7083C" w:rsidRDefault="00007310" w:rsidP="00BB7679">
            <w:pPr>
              <w:spacing w:before="30" w:after="10"/>
              <w:jc w:val="center"/>
              <w:rPr>
                <w:sz w:val="20"/>
                <w:szCs w:val="20"/>
              </w:rPr>
            </w:pPr>
            <w:r w:rsidRPr="00B7083C">
              <w:rPr>
                <w:sz w:val="20"/>
                <w:szCs w:val="20"/>
              </w:rPr>
              <w:t>19/293 (6·5%)</w:t>
            </w:r>
          </w:p>
        </w:tc>
        <w:tc>
          <w:tcPr>
            <w:tcW w:w="2721" w:type="dxa"/>
            <w:vAlign w:val="center"/>
          </w:tcPr>
          <w:p w14:paraId="4F43B555" w14:textId="77777777" w:rsidR="00007310" w:rsidRPr="00B7083C" w:rsidRDefault="00007310" w:rsidP="00BB7679">
            <w:pPr>
              <w:spacing w:before="30" w:after="10"/>
              <w:jc w:val="center"/>
              <w:rPr>
                <w:sz w:val="20"/>
                <w:szCs w:val="20"/>
              </w:rPr>
            </w:pPr>
            <w:r w:rsidRPr="00B7083C">
              <w:rPr>
                <w:sz w:val="20"/>
                <w:szCs w:val="20"/>
              </w:rPr>
              <w:t>0·79  (0·43 to 1·48; N=553)</w:t>
            </w:r>
          </w:p>
        </w:tc>
      </w:tr>
      <w:tr w:rsidR="00007310" w:rsidRPr="00B7083C" w14:paraId="698E3BAA" w14:textId="77777777" w:rsidTr="00BB7679">
        <w:trPr>
          <w:trHeight w:val="391"/>
        </w:trPr>
        <w:tc>
          <w:tcPr>
            <w:tcW w:w="8504" w:type="dxa"/>
            <w:vAlign w:val="center"/>
          </w:tcPr>
          <w:p w14:paraId="05CC6523" w14:textId="77777777" w:rsidR="00007310" w:rsidRPr="00B7083C" w:rsidRDefault="00007310" w:rsidP="00BB7679">
            <w:pPr>
              <w:rPr>
                <w:sz w:val="20"/>
                <w:szCs w:val="20"/>
              </w:rPr>
            </w:pPr>
            <w:r w:rsidRPr="00B7083C">
              <w:rPr>
                <w:sz w:val="20"/>
                <w:szCs w:val="20"/>
              </w:rPr>
              <w:t xml:space="preserve">Neonatal </w:t>
            </w:r>
            <w:proofErr w:type="spellStart"/>
            <w:r w:rsidRPr="00B7083C">
              <w:rPr>
                <w:sz w:val="20"/>
                <w:szCs w:val="20"/>
              </w:rPr>
              <w:t>septicemia</w:t>
            </w:r>
            <w:proofErr w:type="spellEnd"/>
            <w:r w:rsidRPr="00B7083C">
              <w:rPr>
                <w:sz w:val="20"/>
                <w:szCs w:val="20"/>
              </w:rPr>
              <w:t xml:space="preserve"> (positive blood culture)</w:t>
            </w:r>
          </w:p>
        </w:tc>
        <w:tc>
          <w:tcPr>
            <w:tcW w:w="1701" w:type="dxa"/>
            <w:vAlign w:val="center"/>
          </w:tcPr>
          <w:p w14:paraId="0D50A631" w14:textId="77777777" w:rsidR="00007310" w:rsidRPr="00B7083C" w:rsidRDefault="00007310" w:rsidP="00BB7679">
            <w:pPr>
              <w:spacing w:before="30" w:after="10"/>
              <w:jc w:val="center"/>
              <w:rPr>
                <w:sz w:val="20"/>
                <w:szCs w:val="20"/>
              </w:rPr>
            </w:pPr>
            <w:r w:rsidRPr="00B7083C">
              <w:rPr>
                <w:sz w:val="20"/>
                <w:szCs w:val="20"/>
              </w:rPr>
              <w:t>0/287 (0%)</w:t>
            </w:r>
          </w:p>
        </w:tc>
        <w:tc>
          <w:tcPr>
            <w:tcW w:w="1701" w:type="dxa"/>
            <w:vAlign w:val="center"/>
          </w:tcPr>
          <w:p w14:paraId="6A045B4C" w14:textId="77777777" w:rsidR="00007310" w:rsidRPr="00B7083C" w:rsidRDefault="00007310" w:rsidP="00BB7679">
            <w:pPr>
              <w:spacing w:before="30" w:after="10"/>
              <w:jc w:val="center"/>
              <w:rPr>
                <w:sz w:val="20"/>
                <w:szCs w:val="20"/>
              </w:rPr>
            </w:pPr>
            <w:r w:rsidRPr="00B7083C">
              <w:rPr>
                <w:sz w:val="20"/>
                <w:szCs w:val="20"/>
              </w:rPr>
              <w:t>2/288 (0·7%)</w:t>
            </w:r>
          </w:p>
        </w:tc>
        <w:tc>
          <w:tcPr>
            <w:tcW w:w="2721" w:type="dxa"/>
            <w:vAlign w:val="center"/>
          </w:tcPr>
          <w:p w14:paraId="442F66F9" w14:textId="77777777" w:rsidR="00007310" w:rsidRPr="00B7083C" w:rsidRDefault="00007310" w:rsidP="00BB7679">
            <w:pPr>
              <w:jc w:val="center"/>
              <w:rPr>
                <w:sz w:val="20"/>
                <w:szCs w:val="20"/>
              </w:rPr>
            </w:pPr>
            <w:r w:rsidRPr="00B7083C">
              <w:rPr>
                <w:sz w:val="20"/>
                <w:szCs w:val="20"/>
              </w:rPr>
              <w:t xml:space="preserve">Insufficient to </w:t>
            </w:r>
            <w:proofErr w:type="spellStart"/>
            <w:r w:rsidRPr="00B7083C">
              <w:rPr>
                <w:sz w:val="20"/>
                <w:szCs w:val="20"/>
              </w:rPr>
              <w:t>analyze</w:t>
            </w:r>
            <w:proofErr w:type="spellEnd"/>
          </w:p>
        </w:tc>
      </w:tr>
    </w:tbl>
    <w:p w14:paraId="1093E777" w14:textId="77777777" w:rsidR="00007310" w:rsidRPr="00B7083C" w:rsidRDefault="00007310" w:rsidP="00007310"/>
    <w:p w14:paraId="152379A1" w14:textId="77777777" w:rsidR="00007310" w:rsidRPr="00B7083C" w:rsidRDefault="00007310" w:rsidP="00007310">
      <w:pPr>
        <w:rPr>
          <w:sz w:val="20"/>
          <w:szCs w:val="20"/>
        </w:rPr>
      </w:pPr>
    </w:p>
    <w:p w14:paraId="0CFDCE36" w14:textId="77777777" w:rsidR="00007310" w:rsidRPr="00B7083C" w:rsidRDefault="00007310" w:rsidP="00007310">
      <w:pPr>
        <w:rPr>
          <w:sz w:val="20"/>
          <w:szCs w:val="20"/>
        </w:rPr>
      </w:pPr>
      <w:r w:rsidRPr="00B7083C">
        <w:rPr>
          <w:sz w:val="20"/>
          <w:szCs w:val="20"/>
        </w:rPr>
        <w:t>Data are mean (</w:t>
      </w:r>
      <w:proofErr w:type="spellStart"/>
      <w:r w:rsidRPr="00B7083C">
        <w:rPr>
          <w:sz w:val="20"/>
          <w:szCs w:val="20"/>
        </w:rPr>
        <w:t>sd</w:t>
      </w:r>
      <w:proofErr w:type="spellEnd"/>
      <w:r w:rsidRPr="00B7083C">
        <w:rPr>
          <w:sz w:val="20"/>
          <w:szCs w:val="20"/>
        </w:rPr>
        <w:t>), or number of women (%), where data is available.</w:t>
      </w:r>
    </w:p>
    <w:p w14:paraId="7FDCB459" w14:textId="77777777" w:rsidR="00007310" w:rsidRPr="00B7083C" w:rsidRDefault="00007310" w:rsidP="00007310">
      <w:pPr>
        <w:rPr>
          <w:sz w:val="20"/>
          <w:szCs w:val="20"/>
          <w:lang w:val="en-US"/>
        </w:rPr>
      </w:pPr>
      <w:r w:rsidRPr="00B7083C">
        <w:rPr>
          <w:rFonts w:ascii="Open Sans" w:hAnsi="Open Sans"/>
          <w:sz w:val="21"/>
          <w:szCs w:val="21"/>
          <w:vertAlign w:val="superscript"/>
        </w:rPr>
        <w:t>†</w:t>
      </w:r>
      <w:r w:rsidRPr="00B7083C">
        <w:rPr>
          <w:sz w:val="20"/>
          <w:szCs w:val="20"/>
          <w:lang w:val="en-US"/>
        </w:rPr>
        <w:t>Adjusted for site, ethnicity, maternal age, preconception BMI, household income level, parity, preconception</w:t>
      </w:r>
      <w:r w:rsidRPr="00B7083C" w:rsidDel="001B6BD8">
        <w:rPr>
          <w:sz w:val="20"/>
          <w:szCs w:val="20"/>
          <w:lang w:val="en-US"/>
        </w:rPr>
        <w:t xml:space="preserve"> </w:t>
      </w:r>
      <w:r w:rsidRPr="00B7083C">
        <w:rPr>
          <w:sz w:val="20"/>
          <w:szCs w:val="20"/>
          <w:lang w:val="en-US"/>
        </w:rPr>
        <w:t>smoking, preconception baseline fasting glucose, family history of diabetes and offspring’s sex (not applicable for miscarriages).</w:t>
      </w:r>
    </w:p>
    <w:p w14:paraId="50FFA627" w14:textId="77777777" w:rsidR="00007310" w:rsidRPr="00B7083C" w:rsidRDefault="00007310" w:rsidP="00007310">
      <w:pPr>
        <w:jc w:val="both"/>
        <w:rPr>
          <w:sz w:val="20"/>
          <w:szCs w:val="20"/>
          <w:lang w:val="en-US"/>
        </w:rPr>
      </w:pPr>
      <w:r w:rsidRPr="00B7083C">
        <w:rPr>
          <w:rFonts w:ascii="Open Sans" w:hAnsi="Open Sans"/>
          <w:sz w:val="21"/>
          <w:szCs w:val="21"/>
          <w:vertAlign w:val="superscript"/>
        </w:rPr>
        <w:t>*</w:t>
      </w:r>
      <w:r w:rsidRPr="00B7083C">
        <w:rPr>
          <w:sz w:val="20"/>
          <w:szCs w:val="20"/>
        </w:rPr>
        <w:t xml:space="preserve">according to IADPSG criteria </w:t>
      </w:r>
      <w:r w:rsidRPr="00B7083C">
        <w:rPr>
          <w:sz w:val="20"/>
          <w:szCs w:val="20"/>
          <w:lang w:val="en-US"/>
        </w:rPr>
        <w:t>(fasting glucose ≥5</w:t>
      </w:r>
      <w:r w:rsidRPr="00B7083C">
        <w:rPr>
          <w:sz w:val="20"/>
          <w:szCs w:val="20"/>
        </w:rPr>
        <w:t>·</w:t>
      </w:r>
      <w:r w:rsidRPr="00B7083C">
        <w:rPr>
          <w:sz w:val="20"/>
          <w:szCs w:val="20"/>
          <w:lang w:val="en-US"/>
        </w:rPr>
        <w:t>1 mmol/L or 1-hour glucose ≥10</w:t>
      </w:r>
      <w:r w:rsidRPr="00B7083C">
        <w:rPr>
          <w:sz w:val="20"/>
          <w:szCs w:val="20"/>
        </w:rPr>
        <w:t>·</w:t>
      </w:r>
      <w:r w:rsidRPr="00B7083C">
        <w:rPr>
          <w:sz w:val="20"/>
          <w:szCs w:val="20"/>
          <w:lang w:val="en-US"/>
        </w:rPr>
        <w:t>0 mmol/L or 2-hour glucose ≥8</w:t>
      </w:r>
      <w:r w:rsidRPr="00B7083C">
        <w:rPr>
          <w:sz w:val="20"/>
          <w:szCs w:val="20"/>
        </w:rPr>
        <w:t>·</w:t>
      </w:r>
      <w:r w:rsidRPr="00B7083C">
        <w:rPr>
          <w:sz w:val="20"/>
          <w:szCs w:val="20"/>
          <w:lang w:val="en-US"/>
        </w:rPr>
        <w:t>5 mmol/L) (24); includes only women with complete OGTT data at all 3 time points.</w:t>
      </w:r>
    </w:p>
    <w:p w14:paraId="7A960EB1" w14:textId="77777777" w:rsidR="00007310" w:rsidRPr="00B7083C" w:rsidRDefault="00007310" w:rsidP="00007310">
      <w:pPr>
        <w:jc w:val="both"/>
        <w:rPr>
          <w:sz w:val="20"/>
          <w:szCs w:val="20"/>
          <w:lang w:val="en-US"/>
        </w:rPr>
      </w:pPr>
      <w:r w:rsidRPr="00B7083C">
        <w:rPr>
          <w:rFonts w:ascii="Open Sans" w:hAnsi="Open Sans"/>
          <w:sz w:val="21"/>
          <w:szCs w:val="21"/>
        </w:rPr>
        <w:t>‡</w:t>
      </w:r>
      <w:r w:rsidRPr="00B7083C">
        <w:rPr>
          <w:sz w:val="20"/>
          <w:szCs w:val="20"/>
          <w:lang w:val="en-US"/>
        </w:rPr>
        <w:t xml:space="preserve">includes anomalies in the following categories: in control group 4 cases of karyotypic/multiple anomalies, 2 cardiovascular, 6 genitourinary, 2 respiratory, 2 musculoskeletal; in intervention group 5 cases of karyotypic/multiple anomalies, 3 cardiovascular, 4 genitourinary, 3 musculoskeletal.  </w:t>
      </w:r>
    </w:p>
    <w:p w14:paraId="69BE850C" w14:textId="77777777" w:rsidR="00007310" w:rsidRPr="00B7083C" w:rsidRDefault="00007310" w:rsidP="00007310">
      <w:pPr>
        <w:jc w:val="both"/>
        <w:rPr>
          <w:sz w:val="20"/>
          <w:szCs w:val="20"/>
          <w:lang w:val="en-US"/>
        </w:rPr>
      </w:pPr>
      <w:r w:rsidRPr="00B7083C">
        <w:rPr>
          <w:rFonts w:ascii="Open Sans" w:hAnsi="Open Sans"/>
          <w:sz w:val="20"/>
          <w:szCs w:val="20"/>
          <w:vertAlign w:val="superscript"/>
        </w:rPr>
        <w:t>§</w:t>
      </w:r>
      <w:r w:rsidRPr="00B7083C">
        <w:rPr>
          <w:sz w:val="20"/>
          <w:szCs w:val="20"/>
          <w:lang w:val="en-US"/>
        </w:rPr>
        <w:t>requiring</w:t>
      </w:r>
      <w:r w:rsidRPr="00B7083C">
        <w:rPr>
          <w:sz w:val="20"/>
          <w:szCs w:val="20"/>
          <w:vertAlign w:val="superscript"/>
          <w:lang w:val="en-US"/>
        </w:rPr>
        <w:t xml:space="preserve"> </w:t>
      </w:r>
      <w:r w:rsidRPr="00B7083C">
        <w:rPr>
          <w:sz w:val="20"/>
          <w:szCs w:val="20"/>
          <w:lang w:val="en-US"/>
        </w:rPr>
        <w:t xml:space="preserve">admission to hospital for intravenous rehydration, with or without </w:t>
      </w:r>
      <w:r w:rsidRPr="00B7083C">
        <w:rPr>
          <w:sz w:val="20"/>
          <w:szCs w:val="20"/>
        </w:rPr>
        <w:t>significantly deranged biochemistry or weight loss</w:t>
      </w:r>
      <w:r w:rsidRPr="00B7083C">
        <w:rPr>
          <w:sz w:val="20"/>
          <w:szCs w:val="20"/>
          <w:lang w:val="en-US"/>
        </w:rPr>
        <w:t>.</w:t>
      </w:r>
    </w:p>
    <w:p w14:paraId="4D031B2A" w14:textId="77777777" w:rsidR="00007310" w:rsidRPr="00B7083C" w:rsidRDefault="00007310" w:rsidP="00007310">
      <w:pPr>
        <w:jc w:val="both"/>
        <w:rPr>
          <w:sz w:val="20"/>
          <w:szCs w:val="20"/>
          <w:lang w:eastAsia="en-GB"/>
        </w:rPr>
      </w:pPr>
      <w:r w:rsidRPr="00B7083C">
        <w:rPr>
          <w:rFonts w:ascii="Open Sans" w:hAnsi="Open Sans"/>
          <w:sz w:val="21"/>
          <w:szCs w:val="21"/>
          <w:vertAlign w:val="superscript"/>
        </w:rPr>
        <w:t>||</w:t>
      </w:r>
      <w:r w:rsidRPr="00B7083C">
        <w:rPr>
          <w:sz w:val="20"/>
          <w:szCs w:val="20"/>
          <w:lang w:val="en-US"/>
        </w:rPr>
        <w:t>pre-eclampsia</w:t>
      </w:r>
      <w:r w:rsidRPr="00B7083C">
        <w:rPr>
          <w:sz w:val="20"/>
          <w:szCs w:val="20"/>
        </w:rPr>
        <w:t xml:space="preserve"> defined as hypertension in pregnancy associated with significant proteinuria or evidence of multisystem disorder. </w:t>
      </w:r>
    </w:p>
    <w:p w14:paraId="0B35F320" w14:textId="77777777" w:rsidR="00007310" w:rsidRPr="00B7083C" w:rsidRDefault="00007310" w:rsidP="00007310">
      <w:pPr>
        <w:jc w:val="both"/>
        <w:rPr>
          <w:sz w:val="20"/>
          <w:szCs w:val="20"/>
        </w:rPr>
      </w:pPr>
      <w:r w:rsidRPr="00B7083C">
        <w:rPr>
          <w:rFonts w:ascii="Open Sans" w:hAnsi="Open Sans"/>
          <w:sz w:val="21"/>
          <w:szCs w:val="21"/>
          <w:vertAlign w:val="superscript"/>
        </w:rPr>
        <w:t>¶</w:t>
      </w:r>
      <w:r w:rsidRPr="00B7083C">
        <w:rPr>
          <w:sz w:val="20"/>
          <w:szCs w:val="20"/>
        </w:rPr>
        <w:t>pregnancy-induced hypertension</w:t>
      </w:r>
      <w:r w:rsidRPr="00B7083C">
        <w:rPr>
          <w:sz w:val="20"/>
          <w:szCs w:val="20"/>
          <w:vertAlign w:val="superscript"/>
        </w:rPr>
        <w:t xml:space="preserve"> </w:t>
      </w:r>
      <w:r w:rsidRPr="00B7083C">
        <w:rPr>
          <w:sz w:val="20"/>
          <w:szCs w:val="20"/>
        </w:rPr>
        <w:t>defined as isolated non-</w:t>
      </w:r>
      <w:proofErr w:type="spellStart"/>
      <w:r w:rsidRPr="00B7083C">
        <w:rPr>
          <w:sz w:val="20"/>
          <w:szCs w:val="20"/>
        </w:rPr>
        <w:t>proteinuric</w:t>
      </w:r>
      <w:proofErr w:type="spellEnd"/>
      <w:r w:rsidRPr="00B7083C">
        <w:rPr>
          <w:sz w:val="20"/>
          <w:szCs w:val="20"/>
        </w:rPr>
        <w:t xml:space="preserve"> hypertension in a previously normotensive woman or aggravation of hypertension during pregnancy.</w:t>
      </w:r>
    </w:p>
    <w:p w14:paraId="2FBCD670" w14:textId="77777777" w:rsidR="00007310" w:rsidRPr="00B7083C" w:rsidRDefault="00007310" w:rsidP="00007310">
      <w:pPr>
        <w:jc w:val="both"/>
        <w:rPr>
          <w:sz w:val="20"/>
          <w:szCs w:val="20"/>
          <w:lang w:val="en-US"/>
        </w:rPr>
      </w:pPr>
      <w:r w:rsidRPr="00B7083C">
        <w:rPr>
          <w:rFonts w:ascii="Open Sans" w:hAnsi="Open Sans"/>
          <w:sz w:val="21"/>
          <w:szCs w:val="21"/>
          <w:vertAlign w:val="superscript"/>
        </w:rPr>
        <w:t xml:space="preserve">|| and ¶ </w:t>
      </w:r>
      <w:r w:rsidRPr="00B7083C">
        <w:rPr>
          <w:sz w:val="20"/>
          <w:szCs w:val="20"/>
        </w:rPr>
        <w:t>There were no differences in incidence for either of these between study groups.</w:t>
      </w:r>
    </w:p>
    <w:p w14:paraId="7A7B48EC" w14:textId="77777777" w:rsidR="00007310" w:rsidRPr="00B7083C" w:rsidRDefault="00007310" w:rsidP="00007310">
      <w:pPr>
        <w:rPr>
          <w:sz w:val="20"/>
          <w:szCs w:val="20"/>
          <w:lang w:val="en-US"/>
        </w:rPr>
      </w:pPr>
      <w:r w:rsidRPr="00B7083C">
        <w:rPr>
          <w:rFonts w:ascii="Open Sans" w:hAnsi="Open Sans"/>
          <w:sz w:val="21"/>
          <w:szCs w:val="21"/>
          <w:vertAlign w:val="superscript"/>
        </w:rPr>
        <w:t>#</w:t>
      </w:r>
      <w:r w:rsidRPr="00B7083C">
        <w:rPr>
          <w:sz w:val="20"/>
          <w:szCs w:val="20"/>
          <w:lang w:val="en-US"/>
        </w:rPr>
        <w:t>Adjusted for site, ethnicity, maternal age, preconception BMI, household income level, parity, smoking during pregnancy, offspring sex (except for LGA and SGA) and (</w:t>
      </w:r>
      <w:r w:rsidRPr="00B7083C">
        <w:rPr>
          <w:sz w:val="20"/>
          <w:szCs w:val="20"/>
        </w:rPr>
        <w:t>where data was available)</w:t>
      </w:r>
      <w:r w:rsidRPr="00B7083C">
        <w:rPr>
          <w:sz w:val="20"/>
          <w:szCs w:val="20"/>
          <w:lang w:val="en-US"/>
        </w:rPr>
        <w:t xml:space="preserve"> 28 weeks’ gestation fasting glucose.</w:t>
      </w:r>
    </w:p>
    <w:p w14:paraId="66A97573" w14:textId="77777777" w:rsidR="00007310" w:rsidRPr="00B7083C" w:rsidRDefault="00007310" w:rsidP="00007310">
      <w:pPr>
        <w:rPr>
          <w:sz w:val="20"/>
          <w:szCs w:val="20"/>
          <w:lang w:val="en-US"/>
        </w:rPr>
      </w:pPr>
      <w:r w:rsidRPr="00B7083C">
        <w:rPr>
          <w:rFonts w:ascii="Open Sans" w:hAnsi="Open Sans"/>
          <w:sz w:val="20"/>
          <w:szCs w:val="20"/>
          <w:vertAlign w:val="superscript"/>
        </w:rPr>
        <w:t>**</w:t>
      </w:r>
      <w:r w:rsidRPr="00B7083C">
        <w:rPr>
          <w:sz w:val="20"/>
          <w:szCs w:val="20"/>
          <w:lang w:val="en-US"/>
        </w:rPr>
        <w:t xml:space="preserve">by </w:t>
      </w:r>
      <w:r w:rsidRPr="00B7083C">
        <w:rPr>
          <w:sz w:val="20"/>
          <w:szCs w:val="20"/>
          <w:lang w:eastAsia="en-GB"/>
        </w:rPr>
        <w:t>RCPCH 2009 UK-WHO growth charts</w:t>
      </w:r>
      <w:r w:rsidRPr="00B7083C">
        <w:rPr>
          <w:sz w:val="20"/>
          <w:szCs w:val="20"/>
          <w:vertAlign w:val="superscript"/>
          <w:lang w:eastAsia="en-GB"/>
        </w:rPr>
        <w:t xml:space="preserve"> </w:t>
      </w:r>
      <w:r w:rsidRPr="00B7083C">
        <w:rPr>
          <w:sz w:val="20"/>
          <w:szCs w:val="20"/>
          <w:lang w:eastAsia="en-GB"/>
        </w:rPr>
        <w:t>(25). Use of respective local population charts, Fenton growth charts, WHO INTERGROWTH-21</w:t>
      </w:r>
      <w:r w:rsidRPr="00B7083C">
        <w:rPr>
          <w:sz w:val="20"/>
          <w:szCs w:val="20"/>
          <w:vertAlign w:val="superscript"/>
          <w:lang w:eastAsia="en-GB"/>
        </w:rPr>
        <w:t>st</w:t>
      </w:r>
      <w:r w:rsidRPr="00B7083C">
        <w:rPr>
          <w:sz w:val="20"/>
          <w:szCs w:val="20"/>
          <w:lang w:eastAsia="en-GB"/>
        </w:rPr>
        <w:t xml:space="preserve"> charts did not materially alter results.</w:t>
      </w:r>
    </w:p>
    <w:p w14:paraId="0E0BB664" w14:textId="77777777" w:rsidR="00007310" w:rsidRPr="00B7083C" w:rsidRDefault="00007310" w:rsidP="00007310">
      <w:pPr>
        <w:spacing w:line="259" w:lineRule="auto"/>
        <w:rPr>
          <w:rFonts w:ascii="Open Sans" w:hAnsi="Open Sans" w:cs="Open Sans"/>
          <w:sz w:val="20"/>
          <w:szCs w:val="20"/>
        </w:rPr>
      </w:pPr>
      <w:r w:rsidRPr="00B7083C">
        <w:rPr>
          <w:rFonts w:ascii="Open Sans" w:hAnsi="Open Sans" w:cs="Open Sans"/>
          <w:sz w:val="20"/>
          <w:szCs w:val="20"/>
          <w:vertAlign w:val="superscript"/>
        </w:rPr>
        <w:t xml:space="preserve">†† </w:t>
      </w:r>
      <w:r w:rsidRPr="00B7083C">
        <w:rPr>
          <w:rFonts w:ascii="Open Sans" w:hAnsi="Open Sans" w:cs="Open Sans"/>
          <w:sz w:val="20"/>
          <w:szCs w:val="20"/>
        </w:rPr>
        <w:t>Iatrogenic preterm births include cases</w:t>
      </w:r>
      <w:r w:rsidRPr="00B7083C">
        <w:rPr>
          <w:rFonts w:ascii="Open Sans" w:hAnsi="Open Sans" w:cs="Open Sans"/>
          <w:sz w:val="20"/>
          <w:szCs w:val="20"/>
          <w:vertAlign w:val="superscript"/>
        </w:rPr>
        <w:t xml:space="preserve"> </w:t>
      </w:r>
      <w:r w:rsidRPr="00B7083C">
        <w:rPr>
          <w:rFonts w:ascii="Open Sans" w:hAnsi="Open Sans" w:cs="Open Sans"/>
          <w:sz w:val="20"/>
          <w:szCs w:val="20"/>
        </w:rPr>
        <w:t xml:space="preserve">of induction of </w:t>
      </w:r>
      <w:proofErr w:type="spellStart"/>
      <w:r w:rsidRPr="00B7083C">
        <w:rPr>
          <w:rFonts w:ascii="Open Sans" w:hAnsi="Open Sans" w:cs="Open Sans"/>
          <w:sz w:val="20"/>
          <w:szCs w:val="20"/>
        </w:rPr>
        <w:t>labor</w:t>
      </w:r>
      <w:proofErr w:type="spellEnd"/>
      <w:r w:rsidRPr="00B7083C">
        <w:rPr>
          <w:rFonts w:ascii="Open Sans" w:hAnsi="Open Sans" w:cs="Open Sans"/>
          <w:sz w:val="20"/>
          <w:szCs w:val="20"/>
        </w:rPr>
        <w:t xml:space="preserve"> and non-</w:t>
      </w:r>
      <w:proofErr w:type="spellStart"/>
      <w:r w:rsidRPr="00B7083C">
        <w:rPr>
          <w:rFonts w:ascii="Open Sans" w:hAnsi="Open Sans" w:cs="Open Sans"/>
          <w:sz w:val="20"/>
          <w:szCs w:val="20"/>
        </w:rPr>
        <w:t>labor</w:t>
      </w:r>
      <w:proofErr w:type="spellEnd"/>
      <w:r w:rsidRPr="00B7083C">
        <w:rPr>
          <w:rFonts w:ascii="Open Sans" w:hAnsi="Open Sans" w:cs="Open Sans"/>
          <w:sz w:val="20"/>
          <w:szCs w:val="20"/>
        </w:rPr>
        <w:t xml:space="preserve"> </w:t>
      </w:r>
      <w:proofErr w:type="spellStart"/>
      <w:r w:rsidRPr="00B7083C">
        <w:rPr>
          <w:rFonts w:ascii="Open Sans" w:hAnsi="Open Sans" w:cs="Open Sans"/>
          <w:sz w:val="20"/>
          <w:szCs w:val="20"/>
        </w:rPr>
        <w:t>cesarean</w:t>
      </w:r>
      <w:proofErr w:type="spellEnd"/>
      <w:r w:rsidRPr="00B7083C">
        <w:rPr>
          <w:rFonts w:ascii="Open Sans" w:hAnsi="Open Sans" w:cs="Open Sans"/>
          <w:sz w:val="20"/>
          <w:szCs w:val="20"/>
        </w:rPr>
        <w:t xml:space="preserve"> section. Indications for iatrogenic delivery in the control group: 5 for PPROM alone, 4 for PPROM plus another indication (previous </w:t>
      </w:r>
      <w:proofErr w:type="spellStart"/>
      <w:r w:rsidRPr="00B7083C">
        <w:rPr>
          <w:rFonts w:ascii="Open Sans" w:hAnsi="Open Sans" w:cs="Open Sans"/>
          <w:sz w:val="20"/>
          <w:szCs w:val="20"/>
        </w:rPr>
        <w:t>cesarean</w:t>
      </w:r>
      <w:proofErr w:type="spellEnd"/>
      <w:r w:rsidRPr="00B7083C">
        <w:rPr>
          <w:rFonts w:ascii="Open Sans" w:hAnsi="Open Sans" w:cs="Open Sans"/>
          <w:sz w:val="20"/>
          <w:szCs w:val="20"/>
        </w:rPr>
        <w:t xml:space="preserve"> section, vasa previa, breech presentation, maternal medical condition), 5 for placental-associated conditions (intrauterine growth restriction (IUGR) with or without pre-eclampsia or placental abruption), 1 maternal medical condition.</w:t>
      </w:r>
    </w:p>
    <w:p w14:paraId="7260C63C" w14:textId="77777777" w:rsidR="00007310" w:rsidRPr="00B7083C" w:rsidRDefault="00007310" w:rsidP="00007310">
      <w:pPr>
        <w:spacing w:after="160" w:line="259" w:lineRule="auto"/>
        <w:rPr>
          <w:rFonts w:ascii="Open Sans" w:hAnsi="Open Sans" w:cs="Open Sans"/>
          <w:sz w:val="20"/>
          <w:szCs w:val="20"/>
        </w:rPr>
      </w:pPr>
      <w:r w:rsidRPr="00B7083C">
        <w:rPr>
          <w:rFonts w:ascii="Open Sans" w:hAnsi="Open Sans" w:cs="Open Sans"/>
          <w:sz w:val="20"/>
          <w:szCs w:val="20"/>
          <w:vertAlign w:val="superscript"/>
        </w:rPr>
        <w:t>‡‡</w:t>
      </w:r>
      <w:r w:rsidRPr="00B7083C">
        <w:rPr>
          <w:rFonts w:ascii="Open Sans" w:hAnsi="Open Sans" w:cs="Open Sans"/>
          <w:sz w:val="20"/>
          <w:szCs w:val="20"/>
        </w:rPr>
        <w:t xml:space="preserve"> Indications for iatrogenic delivery in the intervention group: 3 for PPROM alone, 4 for placental-associated conditions (IUGR with or without pre-eclampsia or placental abruption), 1 maternal medical condition, 1 </w:t>
      </w:r>
      <w:proofErr w:type="spellStart"/>
      <w:r w:rsidRPr="00B7083C">
        <w:rPr>
          <w:rFonts w:ascii="Open Sans" w:hAnsi="Open Sans" w:cs="Open Sans"/>
          <w:sz w:val="20"/>
          <w:szCs w:val="20"/>
        </w:rPr>
        <w:t>fetal</w:t>
      </w:r>
      <w:proofErr w:type="spellEnd"/>
      <w:r w:rsidRPr="00B7083C">
        <w:rPr>
          <w:rFonts w:ascii="Open Sans" w:hAnsi="Open Sans" w:cs="Open Sans"/>
          <w:sz w:val="20"/>
          <w:szCs w:val="20"/>
        </w:rPr>
        <w:t xml:space="preserve"> anomaly with breech presentation.</w:t>
      </w:r>
    </w:p>
    <w:p w14:paraId="4B9E5CAF" w14:textId="77777777" w:rsidR="00513ABF" w:rsidRPr="00B7083C" w:rsidRDefault="00513ABF" w:rsidP="00BF5BF5">
      <w:pPr>
        <w:spacing w:line="480" w:lineRule="auto"/>
        <w:jc w:val="both"/>
        <w:rPr>
          <w:b/>
        </w:rPr>
      </w:pPr>
    </w:p>
    <w:p w14:paraId="375DBEC4" w14:textId="77777777" w:rsidR="00007310" w:rsidRPr="00B7083C" w:rsidRDefault="00513ABF">
      <w:pPr>
        <w:spacing w:after="160" w:line="259" w:lineRule="auto"/>
        <w:rPr>
          <w:b/>
        </w:rPr>
        <w:sectPr w:rsidR="00007310" w:rsidRPr="00B7083C" w:rsidSect="00007310">
          <w:pgSz w:w="16838" w:h="11906" w:orient="landscape"/>
          <w:pgMar w:top="964" w:right="964" w:bottom="964" w:left="964" w:header="567" w:footer="567" w:gutter="0"/>
          <w:cols w:space="720"/>
          <w:docGrid w:linePitch="360"/>
        </w:sectPr>
      </w:pPr>
      <w:r w:rsidRPr="00B7083C">
        <w:rPr>
          <w:b/>
        </w:rPr>
        <w:br w:type="page"/>
      </w:r>
    </w:p>
    <w:p w14:paraId="32F57096" w14:textId="041BBE3C" w:rsidR="00513ABF" w:rsidRPr="00B7083C" w:rsidRDefault="00513ABF">
      <w:pPr>
        <w:spacing w:after="160" w:line="259" w:lineRule="auto"/>
        <w:rPr>
          <w:b/>
        </w:rPr>
      </w:pPr>
    </w:p>
    <w:p w14:paraId="1F957030" w14:textId="1556833D" w:rsidR="00BF5BF5" w:rsidRPr="00B7083C" w:rsidRDefault="00D3780A" w:rsidP="00BF5BF5">
      <w:pPr>
        <w:spacing w:line="480" w:lineRule="auto"/>
        <w:jc w:val="both"/>
        <w:rPr>
          <w:b/>
          <w:bCs/>
          <w:lang w:val="en-US"/>
        </w:rPr>
      </w:pPr>
      <w:r w:rsidRPr="00B7083C">
        <w:rPr>
          <w:b/>
        </w:rPr>
        <w:t>Figure 1:</w:t>
      </w:r>
      <w:r w:rsidR="00290E5C" w:rsidRPr="00B7083C">
        <w:rPr>
          <w:b/>
          <w:bCs/>
          <w:kern w:val="24"/>
          <w:sz w:val="20"/>
          <w:szCs w:val="20"/>
          <w:lang w:val="en-US" w:eastAsia="en-SG"/>
        </w:rPr>
        <w:t xml:space="preserve"> </w:t>
      </w:r>
      <w:r w:rsidR="00290E5C" w:rsidRPr="00B7083C">
        <w:rPr>
          <w:b/>
          <w:bCs/>
          <w:lang w:val="en-US"/>
        </w:rPr>
        <w:t xml:space="preserve">Consort diagram outlining participant flow. </w:t>
      </w:r>
    </w:p>
    <w:p w14:paraId="5D4845D2" w14:textId="08565123" w:rsidR="003B7A01" w:rsidRPr="00B7083C" w:rsidRDefault="00290E5C" w:rsidP="00F953BD">
      <w:pPr>
        <w:spacing w:line="480" w:lineRule="auto"/>
        <w:jc w:val="both"/>
        <w:rPr>
          <w:bCs/>
          <w:lang w:val="en-US"/>
        </w:rPr>
      </w:pPr>
      <w:r w:rsidRPr="00B7083C">
        <w:rPr>
          <w:bCs/>
          <w:vertAlign w:val="superscript"/>
        </w:rPr>
        <w:t>*</w:t>
      </w:r>
      <w:r w:rsidRPr="00B7083C">
        <w:rPr>
          <w:bCs/>
        </w:rPr>
        <w:t xml:space="preserve">premature ovarian failure; </w:t>
      </w:r>
      <w:r w:rsidRPr="00B7083C">
        <w:rPr>
          <w:bCs/>
          <w:vertAlign w:val="superscript"/>
        </w:rPr>
        <w:t>†</w:t>
      </w:r>
      <w:r w:rsidRPr="00B7083C">
        <w:rPr>
          <w:bCs/>
        </w:rPr>
        <w:t xml:space="preserve">new onset Graves’ disease, hemoglobinopathy with iron overload, prolactinoma, endometrial polyp, endometrial atypia, breast cancer; ‡withdrew as product may contain animal remnants, no storage space in fridge, participant suspicion of product-related symptoms; </w:t>
      </w:r>
      <w:r w:rsidR="00471862" w:rsidRPr="00B7083C">
        <w:rPr>
          <w:rFonts w:ascii="Open Sans" w:hAnsi="Open Sans"/>
          <w:sz w:val="20"/>
          <w:szCs w:val="20"/>
          <w:vertAlign w:val="superscript"/>
        </w:rPr>
        <w:t>§</w:t>
      </w:r>
      <w:r w:rsidRPr="00B7083C">
        <w:rPr>
          <w:bCs/>
        </w:rPr>
        <w:t xml:space="preserve"> includes 2 cases of Trisomy 21, Klinefelter Syndrome; </w:t>
      </w:r>
      <w:r w:rsidRPr="00B7083C">
        <w:rPr>
          <w:bCs/>
          <w:vertAlign w:val="superscript"/>
        </w:rPr>
        <w:t xml:space="preserve">¶ </w:t>
      </w:r>
      <w:r w:rsidRPr="00B7083C">
        <w:rPr>
          <w:bCs/>
        </w:rPr>
        <w:t>in</w:t>
      </w:r>
      <w:r w:rsidR="00BF5BF5" w:rsidRPr="00B7083C">
        <w:rPr>
          <w:bCs/>
        </w:rPr>
        <w:t xml:space="preserve">cludes hypoplastic left heart, </w:t>
      </w:r>
      <w:r w:rsidRPr="00B7083C">
        <w:rPr>
          <w:bCs/>
        </w:rPr>
        <w:t xml:space="preserve">unknown reason in private clinic; </w:t>
      </w:r>
      <w:r w:rsidRPr="00B7083C">
        <w:rPr>
          <w:bCs/>
          <w:vertAlign w:val="superscript"/>
          <w:lang w:val="en-US"/>
        </w:rPr>
        <w:t xml:space="preserve"># </w:t>
      </w:r>
      <w:r w:rsidRPr="00B7083C">
        <w:rPr>
          <w:bCs/>
          <w:lang w:val="en-US"/>
        </w:rPr>
        <w:t>includes one stillbirth and one neonatal death. T2D, Type 2 diabetes mellitus.</w:t>
      </w:r>
    </w:p>
    <w:p w14:paraId="52FC9C69" w14:textId="77777777" w:rsidR="00EB3162" w:rsidRPr="00B7083C" w:rsidRDefault="00EB3162" w:rsidP="00346EF7">
      <w:pPr>
        <w:spacing w:after="160" w:line="259" w:lineRule="auto"/>
        <w:rPr>
          <w:rFonts w:ascii="Arial" w:hAnsi="Arial" w:cs="Arial"/>
          <w:b/>
        </w:rPr>
      </w:pPr>
    </w:p>
    <w:sectPr w:rsidR="00EB3162" w:rsidRPr="00B7083C" w:rsidSect="00CA2448">
      <w:pgSz w:w="11906" w:h="16838"/>
      <w:pgMar w:top="1304" w:right="1304" w:bottom="1304" w:left="130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B52D9" w14:textId="77777777" w:rsidR="00286EEE" w:rsidRDefault="00286EEE" w:rsidP="00F60D8A">
      <w:r>
        <w:separator/>
      </w:r>
    </w:p>
  </w:endnote>
  <w:endnote w:type="continuationSeparator" w:id="0">
    <w:p w14:paraId="30F210D8" w14:textId="77777777" w:rsidR="00286EEE" w:rsidRDefault="00286EEE" w:rsidP="00F6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vOT6e5d2ec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gree">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5242788"/>
      <w:docPartObj>
        <w:docPartGallery w:val="Page Numbers (Bottom of Page)"/>
        <w:docPartUnique/>
      </w:docPartObj>
    </w:sdtPr>
    <w:sdtEndPr>
      <w:rPr>
        <w:rStyle w:val="PageNumber"/>
      </w:rPr>
    </w:sdtEndPr>
    <w:sdtContent>
      <w:p w14:paraId="01949AD9" w14:textId="0C14F4C7" w:rsidR="00C10B3C" w:rsidRDefault="00C10B3C" w:rsidP="00C80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2549B" w14:textId="77777777" w:rsidR="00C10B3C" w:rsidRDefault="00C10B3C" w:rsidP="00C80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9539655"/>
      <w:docPartObj>
        <w:docPartGallery w:val="Page Numbers (Bottom of Page)"/>
        <w:docPartUnique/>
      </w:docPartObj>
    </w:sdtPr>
    <w:sdtEndPr>
      <w:rPr>
        <w:rStyle w:val="PageNumber"/>
      </w:rPr>
    </w:sdtEndPr>
    <w:sdtContent>
      <w:p w14:paraId="469ADEDF" w14:textId="5D43901F" w:rsidR="00C10B3C" w:rsidRDefault="00C10B3C" w:rsidP="00C80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01F9">
          <w:rPr>
            <w:rStyle w:val="PageNumber"/>
            <w:noProof/>
          </w:rPr>
          <w:t>23</w:t>
        </w:r>
        <w:r>
          <w:rPr>
            <w:rStyle w:val="PageNumber"/>
          </w:rPr>
          <w:fldChar w:fldCharType="end"/>
        </w:r>
      </w:p>
    </w:sdtContent>
  </w:sdt>
  <w:p w14:paraId="43C062CB" w14:textId="77777777" w:rsidR="00C10B3C" w:rsidRDefault="00C10B3C" w:rsidP="00C80F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B321A" w14:textId="77777777" w:rsidR="00286EEE" w:rsidRDefault="00286EEE" w:rsidP="00F60D8A">
      <w:r>
        <w:separator/>
      </w:r>
    </w:p>
  </w:footnote>
  <w:footnote w:type="continuationSeparator" w:id="0">
    <w:p w14:paraId="7C29AFE9" w14:textId="77777777" w:rsidR="00286EEE" w:rsidRDefault="00286EEE" w:rsidP="00F6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E9"/>
    <w:multiLevelType w:val="hybridMultilevel"/>
    <w:tmpl w:val="3DDECCFC"/>
    <w:lvl w:ilvl="0" w:tplc="D38418A2">
      <w:start w:val="1"/>
      <w:numFmt w:val="decimal"/>
      <w:lvlText w:val="%1."/>
      <w:lvlJc w:val="left"/>
      <w:pPr>
        <w:ind w:left="360" w:hanging="360"/>
      </w:pPr>
      <w:rPr>
        <w:rFonts w:ascii="AdvOT6e5d2ec0" w:eastAsiaTheme="minorHAnsi" w:hAnsi="AdvOT6e5d2ec0" w:cs="AdvOT6e5d2ec0" w:hint="default"/>
        <w:color w:val="0070C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22315C4"/>
    <w:multiLevelType w:val="hybridMultilevel"/>
    <w:tmpl w:val="6F4879B2"/>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682227A"/>
    <w:multiLevelType w:val="multilevel"/>
    <w:tmpl w:val="A33C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A84"/>
    <w:multiLevelType w:val="multilevel"/>
    <w:tmpl w:val="5732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57700"/>
    <w:multiLevelType w:val="hybridMultilevel"/>
    <w:tmpl w:val="7C00A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1C37E1"/>
    <w:multiLevelType w:val="hybridMultilevel"/>
    <w:tmpl w:val="7556FDB4"/>
    <w:lvl w:ilvl="0" w:tplc="B39E5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D1D2F"/>
    <w:multiLevelType w:val="multilevel"/>
    <w:tmpl w:val="929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836EFF"/>
    <w:multiLevelType w:val="multilevel"/>
    <w:tmpl w:val="E6B0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95101"/>
    <w:multiLevelType w:val="hybridMultilevel"/>
    <w:tmpl w:val="BEC4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5"/>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BF"/>
    <w:rsid w:val="00002CA4"/>
    <w:rsid w:val="00003DFC"/>
    <w:rsid w:val="00007310"/>
    <w:rsid w:val="0001016D"/>
    <w:rsid w:val="00010353"/>
    <w:rsid w:val="00011829"/>
    <w:rsid w:val="00015C1D"/>
    <w:rsid w:val="00020EB9"/>
    <w:rsid w:val="00023E46"/>
    <w:rsid w:val="00026531"/>
    <w:rsid w:val="00030BC0"/>
    <w:rsid w:val="000408DE"/>
    <w:rsid w:val="000424FF"/>
    <w:rsid w:val="00042C4F"/>
    <w:rsid w:val="000430AF"/>
    <w:rsid w:val="00043232"/>
    <w:rsid w:val="0004690E"/>
    <w:rsid w:val="000514CA"/>
    <w:rsid w:val="000522B1"/>
    <w:rsid w:val="000526C5"/>
    <w:rsid w:val="00053365"/>
    <w:rsid w:val="0005386B"/>
    <w:rsid w:val="00055987"/>
    <w:rsid w:val="00055C38"/>
    <w:rsid w:val="000579B3"/>
    <w:rsid w:val="00061843"/>
    <w:rsid w:val="00067490"/>
    <w:rsid w:val="000677FA"/>
    <w:rsid w:val="000678B5"/>
    <w:rsid w:val="00070699"/>
    <w:rsid w:val="00072DA2"/>
    <w:rsid w:val="00073BA0"/>
    <w:rsid w:val="00074952"/>
    <w:rsid w:val="00074D69"/>
    <w:rsid w:val="000760AD"/>
    <w:rsid w:val="00076243"/>
    <w:rsid w:val="00076AEB"/>
    <w:rsid w:val="00076C9F"/>
    <w:rsid w:val="00076DE7"/>
    <w:rsid w:val="0007763E"/>
    <w:rsid w:val="00077D46"/>
    <w:rsid w:val="00082280"/>
    <w:rsid w:val="0008479B"/>
    <w:rsid w:val="000876CF"/>
    <w:rsid w:val="00091834"/>
    <w:rsid w:val="00093ACF"/>
    <w:rsid w:val="00094F3C"/>
    <w:rsid w:val="00095881"/>
    <w:rsid w:val="000A5ADF"/>
    <w:rsid w:val="000B1F4A"/>
    <w:rsid w:val="000B2E24"/>
    <w:rsid w:val="000B3539"/>
    <w:rsid w:val="000B377B"/>
    <w:rsid w:val="000B3CE6"/>
    <w:rsid w:val="000C0CC9"/>
    <w:rsid w:val="000C34F2"/>
    <w:rsid w:val="000C69E8"/>
    <w:rsid w:val="000D169C"/>
    <w:rsid w:val="000D1814"/>
    <w:rsid w:val="000D36DC"/>
    <w:rsid w:val="000D5521"/>
    <w:rsid w:val="000D5ECC"/>
    <w:rsid w:val="000D77FA"/>
    <w:rsid w:val="000E27BD"/>
    <w:rsid w:val="000E30F4"/>
    <w:rsid w:val="000E3960"/>
    <w:rsid w:val="000E3AB5"/>
    <w:rsid w:val="000E3D21"/>
    <w:rsid w:val="000E542E"/>
    <w:rsid w:val="000E719C"/>
    <w:rsid w:val="000E7320"/>
    <w:rsid w:val="000F52F2"/>
    <w:rsid w:val="001021D4"/>
    <w:rsid w:val="00105FC0"/>
    <w:rsid w:val="00105FFA"/>
    <w:rsid w:val="001063EC"/>
    <w:rsid w:val="00106B45"/>
    <w:rsid w:val="00112058"/>
    <w:rsid w:val="00113ED4"/>
    <w:rsid w:val="00114FA0"/>
    <w:rsid w:val="001204B0"/>
    <w:rsid w:val="00121D77"/>
    <w:rsid w:val="00122FDC"/>
    <w:rsid w:val="0012593D"/>
    <w:rsid w:val="00125ACC"/>
    <w:rsid w:val="00126A0E"/>
    <w:rsid w:val="00126A57"/>
    <w:rsid w:val="00133293"/>
    <w:rsid w:val="00134430"/>
    <w:rsid w:val="0013529E"/>
    <w:rsid w:val="00135B37"/>
    <w:rsid w:val="00137C75"/>
    <w:rsid w:val="00137C94"/>
    <w:rsid w:val="00142BCF"/>
    <w:rsid w:val="00142BFB"/>
    <w:rsid w:val="00144F76"/>
    <w:rsid w:val="001464C7"/>
    <w:rsid w:val="00146B88"/>
    <w:rsid w:val="00146DA1"/>
    <w:rsid w:val="001505CC"/>
    <w:rsid w:val="00150D5C"/>
    <w:rsid w:val="001537E2"/>
    <w:rsid w:val="00156688"/>
    <w:rsid w:val="001637C3"/>
    <w:rsid w:val="00164569"/>
    <w:rsid w:val="00164B99"/>
    <w:rsid w:val="001657AE"/>
    <w:rsid w:val="00165969"/>
    <w:rsid w:val="00165BFA"/>
    <w:rsid w:val="00166B3A"/>
    <w:rsid w:val="001709BF"/>
    <w:rsid w:val="00170A56"/>
    <w:rsid w:val="001711C8"/>
    <w:rsid w:val="00173C6E"/>
    <w:rsid w:val="001773F7"/>
    <w:rsid w:val="00181977"/>
    <w:rsid w:val="00182020"/>
    <w:rsid w:val="0018238E"/>
    <w:rsid w:val="001845B7"/>
    <w:rsid w:val="00185E8C"/>
    <w:rsid w:val="001868DE"/>
    <w:rsid w:val="0018763D"/>
    <w:rsid w:val="001905AC"/>
    <w:rsid w:val="00191FE0"/>
    <w:rsid w:val="001960E7"/>
    <w:rsid w:val="0019769A"/>
    <w:rsid w:val="001A04CB"/>
    <w:rsid w:val="001A0E10"/>
    <w:rsid w:val="001A36B9"/>
    <w:rsid w:val="001A3A17"/>
    <w:rsid w:val="001A62C7"/>
    <w:rsid w:val="001B2FB6"/>
    <w:rsid w:val="001B5E23"/>
    <w:rsid w:val="001B74D2"/>
    <w:rsid w:val="001C118D"/>
    <w:rsid w:val="001C1316"/>
    <w:rsid w:val="001C45D0"/>
    <w:rsid w:val="001C4ADC"/>
    <w:rsid w:val="001D6908"/>
    <w:rsid w:val="001D6AE7"/>
    <w:rsid w:val="001E13AB"/>
    <w:rsid w:val="001E1CD4"/>
    <w:rsid w:val="001E2A08"/>
    <w:rsid w:val="001E37B8"/>
    <w:rsid w:val="001E3B71"/>
    <w:rsid w:val="001E4F9B"/>
    <w:rsid w:val="001E682D"/>
    <w:rsid w:val="001F13A0"/>
    <w:rsid w:val="001F2166"/>
    <w:rsid w:val="001F220F"/>
    <w:rsid w:val="001F4B1D"/>
    <w:rsid w:val="001F6470"/>
    <w:rsid w:val="001F6D56"/>
    <w:rsid w:val="001F75FA"/>
    <w:rsid w:val="001F7786"/>
    <w:rsid w:val="0020446D"/>
    <w:rsid w:val="002066C6"/>
    <w:rsid w:val="00210801"/>
    <w:rsid w:val="00210E6A"/>
    <w:rsid w:val="002110EE"/>
    <w:rsid w:val="00213811"/>
    <w:rsid w:val="002153BF"/>
    <w:rsid w:val="002164F8"/>
    <w:rsid w:val="0022010D"/>
    <w:rsid w:val="00220B01"/>
    <w:rsid w:val="00223FDC"/>
    <w:rsid w:val="002270A5"/>
    <w:rsid w:val="00230F6F"/>
    <w:rsid w:val="00237FD4"/>
    <w:rsid w:val="002401BC"/>
    <w:rsid w:val="00240794"/>
    <w:rsid w:val="00243500"/>
    <w:rsid w:val="00246BAB"/>
    <w:rsid w:val="0024714C"/>
    <w:rsid w:val="00247AC9"/>
    <w:rsid w:val="00252B19"/>
    <w:rsid w:val="002555ED"/>
    <w:rsid w:val="002579D7"/>
    <w:rsid w:val="00260596"/>
    <w:rsid w:val="00262D67"/>
    <w:rsid w:val="002639D7"/>
    <w:rsid w:val="00265F86"/>
    <w:rsid w:val="002702E9"/>
    <w:rsid w:val="00270597"/>
    <w:rsid w:val="002718FC"/>
    <w:rsid w:val="002754FB"/>
    <w:rsid w:val="002762BB"/>
    <w:rsid w:val="002826AC"/>
    <w:rsid w:val="0028432A"/>
    <w:rsid w:val="00284F35"/>
    <w:rsid w:val="00286755"/>
    <w:rsid w:val="00286EEE"/>
    <w:rsid w:val="00287251"/>
    <w:rsid w:val="00290E5C"/>
    <w:rsid w:val="0029263F"/>
    <w:rsid w:val="002950F4"/>
    <w:rsid w:val="002963D1"/>
    <w:rsid w:val="00296559"/>
    <w:rsid w:val="00297856"/>
    <w:rsid w:val="002A0101"/>
    <w:rsid w:val="002A2225"/>
    <w:rsid w:val="002A2880"/>
    <w:rsid w:val="002A3D9F"/>
    <w:rsid w:val="002A3EFA"/>
    <w:rsid w:val="002A523D"/>
    <w:rsid w:val="002A5D59"/>
    <w:rsid w:val="002B2D38"/>
    <w:rsid w:val="002B40FE"/>
    <w:rsid w:val="002B60AF"/>
    <w:rsid w:val="002C1236"/>
    <w:rsid w:val="002C20F9"/>
    <w:rsid w:val="002C3978"/>
    <w:rsid w:val="002C5D99"/>
    <w:rsid w:val="002C62A6"/>
    <w:rsid w:val="002C705D"/>
    <w:rsid w:val="002C73DF"/>
    <w:rsid w:val="002D263A"/>
    <w:rsid w:val="002D3515"/>
    <w:rsid w:val="002D4584"/>
    <w:rsid w:val="002D4ECA"/>
    <w:rsid w:val="002D6BEB"/>
    <w:rsid w:val="002E1831"/>
    <w:rsid w:val="002E24B0"/>
    <w:rsid w:val="002E3FBF"/>
    <w:rsid w:val="002E52A2"/>
    <w:rsid w:val="002F0BC5"/>
    <w:rsid w:val="002F3388"/>
    <w:rsid w:val="002F33D1"/>
    <w:rsid w:val="002F6BC0"/>
    <w:rsid w:val="00300A00"/>
    <w:rsid w:val="00300C05"/>
    <w:rsid w:val="00301125"/>
    <w:rsid w:val="003017C5"/>
    <w:rsid w:val="0030334C"/>
    <w:rsid w:val="00307650"/>
    <w:rsid w:val="003077F7"/>
    <w:rsid w:val="0031697C"/>
    <w:rsid w:val="00317015"/>
    <w:rsid w:val="00317305"/>
    <w:rsid w:val="003177D5"/>
    <w:rsid w:val="00323733"/>
    <w:rsid w:val="00324302"/>
    <w:rsid w:val="00324B5C"/>
    <w:rsid w:val="00325605"/>
    <w:rsid w:val="00325F0D"/>
    <w:rsid w:val="00327FBD"/>
    <w:rsid w:val="00332BD5"/>
    <w:rsid w:val="00333738"/>
    <w:rsid w:val="003356BC"/>
    <w:rsid w:val="003356FA"/>
    <w:rsid w:val="0033577C"/>
    <w:rsid w:val="00337B64"/>
    <w:rsid w:val="003469BA"/>
    <w:rsid w:val="00346EF7"/>
    <w:rsid w:val="00351926"/>
    <w:rsid w:val="003531FC"/>
    <w:rsid w:val="00356370"/>
    <w:rsid w:val="003578E6"/>
    <w:rsid w:val="003622CF"/>
    <w:rsid w:val="0036479A"/>
    <w:rsid w:val="00365D1E"/>
    <w:rsid w:val="00371F35"/>
    <w:rsid w:val="003723AC"/>
    <w:rsid w:val="00373B6C"/>
    <w:rsid w:val="003751FD"/>
    <w:rsid w:val="003760EC"/>
    <w:rsid w:val="00380123"/>
    <w:rsid w:val="00384BAA"/>
    <w:rsid w:val="00384BD8"/>
    <w:rsid w:val="00387F25"/>
    <w:rsid w:val="00391462"/>
    <w:rsid w:val="0039239B"/>
    <w:rsid w:val="003925F1"/>
    <w:rsid w:val="003927A6"/>
    <w:rsid w:val="00392E00"/>
    <w:rsid w:val="00393FB6"/>
    <w:rsid w:val="0039651F"/>
    <w:rsid w:val="003977E0"/>
    <w:rsid w:val="003A15B3"/>
    <w:rsid w:val="003A1870"/>
    <w:rsid w:val="003A19AF"/>
    <w:rsid w:val="003A1C8B"/>
    <w:rsid w:val="003A4C86"/>
    <w:rsid w:val="003A556D"/>
    <w:rsid w:val="003A63B3"/>
    <w:rsid w:val="003B136A"/>
    <w:rsid w:val="003B56AB"/>
    <w:rsid w:val="003B6E65"/>
    <w:rsid w:val="003B7A01"/>
    <w:rsid w:val="003C2324"/>
    <w:rsid w:val="003C5D9B"/>
    <w:rsid w:val="003D0CC5"/>
    <w:rsid w:val="003D45A8"/>
    <w:rsid w:val="003D7AD3"/>
    <w:rsid w:val="003E2B6B"/>
    <w:rsid w:val="003F20F5"/>
    <w:rsid w:val="003F2791"/>
    <w:rsid w:val="003F3CE1"/>
    <w:rsid w:val="004001A9"/>
    <w:rsid w:val="0040041B"/>
    <w:rsid w:val="004011DB"/>
    <w:rsid w:val="00402050"/>
    <w:rsid w:val="00402BA3"/>
    <w:rsid w:val="00414825"/>
    <w:rsid w:val="00414E2D"/>
    <w:rsid w:val="00416318"/>
    <w:rsid w:val="0041724B"/>
    <w:rsid w:val="004273A8"/>
    <w:rsid w:val="004314B2"/>
    <w:rsid w:val="00431826"/>
    <w:rsid w:val="0043237B"/>
    <w:rsid w:val="0043531F"/>
    <w:rsid w:val="00436CBF"/>
    <w:rsid w:val="00440827"/>
    <w:rsid w:val="004413D5"/>
    <w:rsid w:val="0044436D"/>
    <w:rsid w:val="004448FB"/>
    <w:rsid w:val="004450B0"/>
    <w:rsid w:val="00445E1D"/>
    <w:rsid w:val="00450F1C"/>
    <w:rsid w:val="00455A51"/>
    <w:rsid w:val="00455BCE"/>
    <w:rsid w:val="00460FF2"/>
    <w:rsid w:val="00462B35"/>
    <w:rsid w:val="004664E0"/>
    <w:rsid w:val="00466888"/>
    <w:rsid w:val="0047036A"/>
    <w:rsid w:val="00471003"/>
    <w:rsid w:val="00471862"/>
    <w:rsid w:val="00471BE5"/>
    <w:rsid w:val="00472B43"/>
    <w:rsid w:val="004772B0"/>
    <w:rsid w:val="004800E2"/>
    <w:rsid w:val="00480C1B"/>
    <w:rsid w:val="00491DEA"/>
    <w:rsid w:val="00492551"/>
    <w:rsid w:val="00494427"/>
    <w:rsid w:val="0049492C"/>
    <w:rsid w:val="004A102B"/>
    <w:rsid w:val="004A28E7"/>
    <w:rsid w:val="004A2C6E"/>
    <w:rsid w:val="004A3A21"/>
    <w:rsid w:val="004A469C"/>
    <w:rsid w:val="004A7607"/>
    <w:rsid w:val="004A7DE5"/>
    <w:rsid w:val="004B3E0D"/>
    <w:rsid w:val="004B5922"/>
    <w:rsid w:val="004C06B8"/>
    <w:rsid w:val="004C0BDA"/>
    <w:rsid w:val="004C2421"/>
    <w:rsid w:val="004C5B1E"/>
    <w:rsid w:val="004C6B90"/>
    <w:rsid w:val="004D0025"/>
    <w:rsid w:val="004D05BD"/>
    <w:rsid w:val="004D068A"/>
    <w:rsid w:val="004D21BD"/>
    <w:rsid w:val="004D5F5D"/>
    <w:rsid w:val="004E1B45"/>
    <w:rsid w:val="004E22FA"/>
    <w:rsid w:val="004E5F28"/>
    <w:rsid w:val="004E747F"/>
    <w:rsid w:val="004F232C"/>
    <w:rsid w:val="004F537B"/>
    <w:rsid w:val="004F771B"/>
    <w:rsid w:val="00502FAD"/>
    <w:rsid w:val="00505D47"/>
    <w:rsid w:val="005062D4"/>
    <w:rsid w:val="00506C1D"/>
    <w:rsid w:val="00512783"/>
    <w:rsid w:val="00513ABF"/>
    <w:rsid w:val="00516450"/>
    <w:rsid w:val="005229E4"/>
    <w:rsid w:val="00523A97"/>
    <w:rsid w:val="0052520B"/>
    <w:rsid w:val="00527B64"/>
    <w:rsid w:val="00532357"/>
    <w:rsid w:val="005337DE"/>
    <w:rsid w:val="00533BD3"/>
    <w:rsid w:val="00534972"/>
    <w:rsid w:val="00542569"/>
    <w:rsid w:val="00542FD1"/>
    <w:rsid w:val="00545D02"/>
    <w:rsid w:val="00546A86"/>
    <w:rsid w:val="00546DAD"/>
    <w:rsid w:val="005518FF"/>
    <w:rsid w:val="00555B12"/>
    <w:rsid w:val="00555B76"/>
    <w:rsid w:val="00555E31"/>
    <w:rsid w:val="00561619"/>
    <w:rsid w:val="00561A8A"/>
    <w:rsid w:val="00564E61"/>
    <w:rsid w:val="0056553E"/>
    <w:rsid w:val="00565F26"/>
    <w:rsid w:val="005660AE"/>
    <w:rsid w:val="0056638F"/>
    <w:rsid w:val="0056729E"/>
    <w:rsid w:val="00573FE0"/>
    <w:rsid w:val="0057504F"/>
    <w:rsid w:val="00575BEF"/>
    <w:rsid w:val="005765C2"/>
    <w:rsid w:val="00580AFC"/>
    <w:rsid w:val="00581635"/>
    <w:rsid w:val="005822EB"/>
    <w:rsid w:val="00582EF3"/>
    <w:rsid w:val="005868CB"/>
    <w:rsid w:val="005873AB"/>
    <w:rsid w:val="005936C1"/>
    <w:rsid w:val="005938C2"/>
    <w:rsid w:val="00593D0B"/>
    <w:rsid w:val="0059482C"/>
    <w:rsid w:val="00594B31"/>
    <w:rsid w:val="00595A0A"/>
    <w:rsid w:val="0059750D"/>
    <w:rsid w:val="005A010A"/>
    <w:rsid w:val="005A22AE"/>
    <w:rsid w:val="005A283A"/>
    <w:rsid w:val="005A3372"/>
    <w:rsid w:val="005A3E73"/>
    <w:rsid w:val="005B1FE5"/>
    <w:rsid w:val="005B3EA9"/>
    <w:rsid w:val="005B47C0"/>
    <w:rsid w:val="005B5C62"/>
    <w:rsid w:val="005C0466"/>
    <w:rsid w:val="005C1CE8"/>
    <w:rsid w:val="005C1EBC"/>
    <w:rsid w:val="005C39AA"/>
    <w:rsid w:val="005C39B1"/>
    <w:rsid w:val="005C4368"/>
    <w:rsid w:val="005C5F8F"/>
    <w:rsid w:val="005C7A5C"/>
    <w:rsid w:val="005D0084"/>
    <w:rsid w:val="005D199E"/>
    <w:rsid w:val="005D1F11"/>
    <w:rsid w:val="005D27DA"/>
    <w:rsid w:val="005D56BB"/>
    <w:rsid w:val="005D599F"/>
    <w:rsid w:val="005D71C4"/>
    <w:rsid w:val="005E1B85"/>
    <w:rsid w:val="005E1E38"/>
    <w:rsid w:val="005E5D1C"/>
    <w:rsid w:val="005E6D11"/>
    <w:rsid w:val="005F16E1"/>
    <w:rsid w:val="005F30A9"/>
    <w:rsid w:val="005F658F"/>
    <w:rsid w:val="005F7624"/>
    <w:rsid w:val="0060251A"/>
    <w:rsid w:val="00604E3C"/>
    <w:rsid w:val="006173D8"/>
    <w:rsid w:val="00624EB0"/>
    <w:rsid w:val="0062696F"/>
    <w:rsid w:val="00626BCB"/>
    <w:rsid w:val="006272DE"/>
    <w:rsid w:val="00630204"/>
    <w:rsid w:val="00630BC9"/>
    <w:rsid w:val="006318F8"/>
    <w:rsid w:val="00632C79"/>
    <w:rsid w:val="00634FDA"/>
    <w:rsid w:val="00640288"/>
    <w:rsid w:val="006419B2"/>
    <w:rsid w:val="00641B17"/>
    <w:rsid w:val="00643EEE"/>
    <w:rsid w:val="00644D9E"/>
    <w:rsid w:val="006460EC"/>
    <w:rsid w:val="00646435"/>
    <w:rsid w:val="00646B57"/>
    <w:rsid w:val="0064718B"/>
    <w:rsid w:val="006475DC"/>
    <w:rsid w:val="0064760A"/>
    <w:rsid w:val="006514E4"/>
    <w:rsid w:val="00651C0C"/>
    <w:rsid w:val="00652B14"/>
    <w:rsid w:val="00657802"/>
    <w:rsid w:val="00662649"/>
    <w:rsid w:val="00662F29"/>
    <w:rsid w:val="00663A06"/>
    <w:rsid w:val="00663E4A"/>
    <w:rsid w:val="00664F8D"/>
    <w:rsid w:val="00666AB3"/>
    <w:rsid w:val="006706A2"/>
    <w:rsid w:val="0067352A"/>
    <w:rsid w:val="0067416D"/>
    <w:rsid w:val="00675BF5"/>
    <w:rsid w:val="00680048"/>
    <w:rsid w:val="00680426"/>
    <w:rsid w:val="00680B2A"/>
    <w:rsid w:val="00682731"/>
    <w:rsid w:val="00682DC2"/>
    <w:rsid w:val="00683B2C"/>
    <w:rsid w:val="006852DA"/>
    <w:rsid w:val="00687C3E"/>
    <w:rsid w:val="006910DD"/>
    <w:rsid w:val="00692EE0"/>
    <w:rsid w:val="0069575D"/>
    <w:rsid w:val="0069686B"/>
    <w:rsid w:val="00696D2F"/>
    <w:rsid w:val="006A0E87"/>
    <w:rsid w:val="006A1482"/>
    <w:rsid w:val="006A17CB"/>
    <w:rsid w:val="006A183B"/>
    <w:rsid w:val="006A1B2A"/>
    <w:rsid w:val="006A2484"/>
    <w:rsid w:val="006A2CEC"/>
    <w:rsid w:val="006A2EF4"/>
    <w:rsid w:val="006A34C1"/>
    <w:rsid w:val="006A75C2"/>
    <w:rsid w:val="006B0ACF"/>
    <w:rsid w:val="006B217B"/>
    <w:rsid w:val="006B413C"/>
    <w:rsid w:val="006B44FB"/>
    <w:rsid w:val="006B4A0A"/>
    <w:rsid w:val="006B5BE9"/>
    <w:rsid w:val="006C0590"/>
    <w:rsid w:val="006C0658"/>
    <w:rsid w:val="006C1859"/>
    <w:rsid w:val="006C1951"/>
    <w:rsid w:val="006C4176"/>
    <w:rsid w:val="006C46C9"/>
    <w:rsid w:val="006C5F16"/>
    <w:rsid w:val="006C630C"/>
    <w:rsid w:val="006C6910"/>
    <w:rsid w:val="006D1674"/>
    <w:rsid w:val="006D172B"/>
    <w:rsid w:val="006D2107"/>
    <w:rsid w:val="006D284F"/>
    <w:rsid w:val="006D3F1F"/>
    <w:rsid w:val="006E2F75"/>
    <w:rsid w:val="006E3281"/>
    <w:rsid w:val="006E611D"/>
    <w:rsid w:val="006E75B9"/>
    <w:rsid w:val="006F09AE"/>
    <w:rsid w:val="006F0E2A"/>
    <w:rsid w:val="006F2B65"/>
    <w:rsid w:val="006F4326"/>
    <w:rsid w:val="006F5A88"/>
    <w:rsid w:val="006F6DD1"/>
    <w:rsid w:val="006F7B48"/>
    <w:rsid w:val="00700D36"/>
    <w:rsid w:val="00700FB3"/>
    <w:rsid w:val="00701AC2"/>
    <w:rsid w:val="00701E05"/>
    <w:rsid w:val="00702A39"/>
    <w:rsid w:val="00703FF7"/>
    <w:rsid w:val="007046BA"/>
    <w:rsid w:val="007060D2"/>
    <w:rsid w:val="00707D4A"/>
    <w:rsid w:val="00710D19"/>
    <w:rsid w:val="00712CC9"/>
    <w:rsid w:val="00716701"/>
    <w:rsid w:val="007168A2"/>
    <w:rsid w:val="00720967"/>
    <w:rsid w:val="00720AB9"/>
    <w:rsid w:val="007213ED"/>
    <w:rsid w:val="007231C6"/>
    <w:rsid w:val="007231DA"/>
    <w:rsid w:val="00725639"/>
    <w:rsid w:val="00725A6F"/>
    <w:rsid w:val="0072614E"/>
    <w:rsid w:val="00726E4B"/>
    <w:rsid w:val="007271BD"/>
    <w:rsid w:val="00727914"/>
    <w:rsid w:val="00731B98"/>
    <w:rsid w:val="007329BD"/>
    <w:rsid w:val="007341F0"/>
    <w:rsid w:val="0073554B"/>
    <w:rsid w:val="0073665C"/>
    <w:rsid w:val="007426F3"/>
    <w:rsid w:val="00742E8B"/>
    <w:rsid w:val="007473ED"/>
    <w:rsid w:val="00747D56"/>
    <w:rsid w:val="007517C7"/>
    <w:rsid w:val="007531A1"/>
    <w:rsid w:val="0075419D"/>
    <w:rsid w:val="00755DF6"/>
    <w:rsid w:val="00755E35"/>
    <w:rsid w:val="00756AE0"/>
    <w:rsid w:val="00760132"/>
    <w:rsid w:val="00760C8C"/>
    <w:rsid w:val="00771BA5"/>
    <w:rsid w:val="00771BDD"/>
    <w:rsid w:val="00772501"/>
    <w:rsid w:val="007755B3"/>
    <w:rsid w:val="007766E5"/>
    <w:rsid w:val="00780EF9"/>
    <w:rsid w:val="007842A3"/>
    <w:rsid w:val="00791DE7"/>
    <w:rsid w:val="00793300"/>
    <w:rsid w:val="0079412C"/>
    <w:rsid w:val="007A0A22"/>
    <w:rsid w:val="007A2535"/>
    <w:rsid w:val="007A3E1A"/>
    <w:rsid w:val="007A5579"/>
    <w:rsid w:val="007A6DCC"/>
    <w:rsid w:val="007B06A5"/>
    <w:rsid w:val="007B42D9"/>
    <w:rsid w:val="007B50A0"/>
    <w:rsid w:val="007C44B1"/>
    <w:rsid w:val="007C46D2"/>
    <w:rsid w:val="007C4733"/>
    <w:rsid w:val="007C7563"/>
    <w:rsid w:val="007C7CF6"/>
    <w:rsid w:val="007D0F24"/>
    <w:rsid w:val="007D2DAD"/>
    <w:rsid w:val="007D3727"/>
    <w:rsid w:val="007E0C42"/>
    <w:rsid w:val="007F07FC"/>
    <w:rsid w:val="007F11B0"/>
    <w:rsid w:val="007F7940"/>
    <w:rsid w:val="0080003E"/>
    <w:rsid w:val="00802559"/>
    <w:rsid w:val="008030C4"/>
    <w:rsid w:val="00812E48"/>
    <w:rsid w:val="008206FE"/>
    <w:rsid w:val="00820964"/>
    <w:rsid w:val="0082320F"/>
    <w:rsid w:val="00824DC0"/>
    <w:rsid w:val="008260B9"/>
    <w:rsid w:val="00832051"/>
    <w:rsid w:val="008326FA"/>
    <w:rsid w:val="0083522D"/>
    <w:rsid w:val="00835F74"/>
    <w:rsid w:val="0084058E"/>
    <w:rsid w:val="008436C3"/>
    <w:rsid w:val="00847969"/>
    <w:rsid w:val="00852181"/>
    <w:rsid w:val="00852ADB"/>
    <w:rsid w:val="0085697F"/>
    <w:rsid w:val="00856D0F"/>
    <w:rsid w:val="00856D25"/>
    <w:rsid w:val="0086299C"/>
    <w:rsid w:val="008630CB"/>
    <w:rsid w:val="00864BDF"/>
    <w:rsid w:val="00870558"/>
    <w:rsid w:val="0087091C"/>
    <w:rsid w:val="0087300E"/>
    <w:rsid w:val="00874836"/>
    <w:rsid w:val="0087616C"/>
    <w:rsid w:val="008765B4"/>
    <w:rsid w:val="00876E90"/>
    <w:rsid w:val="00877E04"/>
    <w:rsid w:val="00880470"/>
    <w:rsid w:val="008805C8"/>
    <w:rsid w:val="00882AB8"/>
    <w:rsid w:val="008847E0"/>
    <w:rsid w:val="00884A4B"/>
    <w:rsid w:val="00885149"/>
    <w:rsid w:val="00887866"/>
    <w:rsid w:val="0089104C"/>
    <w:rsid w:val="00891BA0"/>
    <w:rsid w:val="008939FB"/>
    <w:rsid w:val="00893B11"/>
    <w:rsid w:val="00893FD9"/>
    <w:rsid w:val="00894B15"/>
    <w:rsid w:val="0089510E"/>
    <w:rsid w:val="00895FE7"/>
    <w:rsid w:val="00897085"/>
    <w:rsid w:val="008A05CE"/>
    <w:rsid w:val="008A1795"/>
    <w:rsid w:val="008A7081"/>
    <w:rsid w:val="008A7E30"/>
    <w:rsid w:val="008B0EEB"/>
    <w:rsid w:val="008B4B86"/>
    <w:rsid w:val="008B579F"/>
    <w:rsid w:val="008B6316"/>
    <w:rsid w:val="008B6DAC"/>
    <w:rsid w:val="008C26AD"/>
    <w:rsid w:val="008C422C"/>
    <w:rsid w:val="008C4C3E"/>
    <w:rsid w:val="008C50CD"/>
    <w:rsid w:val="008C642B"/>
    <w:rsid w:val="008C688F"/>
    <w:rsid w:val="008C7972"/>
    <w:rsid w:val="008D2D6F"/>
    <w:rsid w:val="008D300A"/>
    <w:rsid w:val="008D379F"/>
    <w:rsid w:val="008E0117"/>
    <w:rsid w:val="008E1BE9"/>
    <w:rsid w:val="008F0946"/>
    <w:rsid w:val="008F3BB7"/>
    <w:rsid w:val="008F3DA7"/>
    <w:rsid w:val="008F5B1E"/>
    <w:rsid w:val="008F7077"/>
    <w:rsid w:val="00900C12"/>
    <w:rsid w:val="00901228"/>
    <w:rsid w:val="00901753"/>
    <w:rsid w:val="009036B9"/>
    <w:rsid w:val="0091296C"/>
    <w:rsid w:val="009137AE"/>
    <w:rsid w:val="0091740F"/>
    <w:rsid w:val="00923A48"/>
    <w:rsid w:val="00927212"/>
    <w:rsid w:val="00927623"/>
    <w:rsid w:val="00932935"/>
    <w:rsid w:val="00932965"/>
    <w:rsid w:val="0093418D"/>
    <w:rsid w:val="009404AE"/>
    <w:rsid w:val="00940BC7"/>
    <w:rsid w:val="00941C06"/>
    <w:rsid w:val="00943149"/>
    <w:rsid w:val="00947281"/>
    <w:rsid w:val="00951C28"/>
    <w:rsid w:val="00954458"/>
    <w:rsid w:val="00956332"/>
    <w:rsid w:val="0095740F"/>
    <w:rsid w:val="00957AC6"/>
    <w:rsid w:val="00961888"/>
    <w:rsid w:val="0097266A"/>
    <w:rsid w:val="00972E2F"/>
    <w:rsid w:val="00973531"/>
    <w:rsid w:val="00974641"/>
    <w:rsid w:val="009746B4"/>
    <w:rsid w:val="00974B34"/>
    <w:rsid w:val="0097791B"/>
    <w:rsid w:val="00984DE2"/>
    <w:rsid w:val="00985839"/>
    <w:rsid w:val="00987D80"/>
    <w:rsid w:val="0099408E"/>
    <w:rsid w:val="00995B21"/>
    <w:rsid w:val="009973B4"/>
    <w:rsid w:val="009A01E3"/>
    <w:rsid w:val="009A247D"/>
    <w:rsid w:val="009A2715"/>
    <w:rsid w:val="009A293C"/>
    <w:rsid w:val="009A4153"/>
    <w:rsid w:val="009A6A93"/>
    <w:rsid w:val="009B0207"/>
    <w:rsid w:val="009B0D1B"/>
    <w:rsid w:val="009C30DE"/>
    <w:rsid w:val="009C383C"/>
    <w:rsid w:val="009C681F"/>
    <w:rsid w:val="009C74AD"/>
    <w:rsid w:val="009D253F"/>
    <w:rsid w:val="009E0B12"/>
    <w:rsid w:val="009E2EB4"/>
    <w:rsid w:val="009E30C0"/>
    <w:rsid w:val="009E4A40"/>
    <w:rsid w:val="009E4A78"/>
    <w:rsid w:val="009E7753"/>
    <w:rsid w:val="009E7FAB"/>
    <w:rsid w:val="009F06ED"/>
    <w:rsid w:val="009F3071"/>
    <w:rsid w:val="009F4D7C"/>
    <w:rsid w:val="009F6D82"/>
    <w:rsid w:val="00A00D64"/>
    <w:rsid w:val="00A01458"/>
    <w:rsid w:val="00A12590"/>
    <w:rsid w:val="00A1337A"/>
    <w:rsid w:val="00A16F25"/>
    <w:rsid w:val="00A17DFE"/>
    <w:rsid w:val="00A203C4"/>
    <w:rsid w:val="00A23748"/>
    <w:rsid w:val="00A23CBF"/>
    <w:rsid w:val="00A24E6D"/>
    <w:rsid w:val="00A25CE4"/>
    <w:rsid w:val="00A26199"/>
    <w:rsid w:val="00A265B6"/>
    <w:rsid w:val="00A274FF"/>
    <w:rsid w:val="00A2776C"/>
    <w:rsid w:val="00A30CF1"/>
    <w:rsid w:val="00A323D4"/>
    <w:rsid w:val="00A33478"/>
    <w:rsid w:val="00A33E20"/>
    <w:rsid w:val="00A36753"/>
    <w:rsid w:val="00A41892"/>
    <w:rsid w:val="00A44DF1"/>
    <w:rsid w:val="00A45121"/>
    <w:rsid w:val="00A45339"/>
    <w:rsid w:val="00A47123"/>
    <w:rsid w:val="00A47247"/>
    <w:rsid w:val="00A47BC4"/>
    <w:rsid w:val="00A54FCD"/>
    <w:rsid w:val="00A556A7"/>
    <w:rsid w:val="00A56204"/>
    <w:rsid w:val="00A64F97"/>
    <w:rsid w:val="00A6531D"/>
    <w:rsid w:val="00A65D29"/>
    <w:rsid w:val="00A70CC4"/>
    <w:rsid w:val="00A75EDD"/>
    <w:rsid w:val="00A85D68"/>
    <w:rsid w:val="00A864C5"/>
    <w:rsid w:val="00A909FC"/>
    <w:rsid w:val="00A93EB3"/>
    <w:rsid w:val="00A94B53"/>
    <w:rsid w:val="00A95032"/>
    <w:rsid w:val="00A9792F"/>
    <w:rsid w:val="00AA412E"/>
    <w:rsid w:val="00AA59EB"/>
    <w:rsid w:val="00AA5E0A"/>
    <w:rsid w:val="00AB1EB0"/>
    <w:rsid w:val="00AB2606"/>
    <w:rsid w:val="00AB3669"/>
    <w:rsid w:val="00AB5DDF"/>
    <w:rsid w:val="00AB723D"/>
    <w:rsid w:val="00AC508B"/>
    <w:rsid w:val="00AC51D8"/>
    <w:rsid w:val="00AD3272"/>
    <w:rsid w:val="00AD6433"/>
    <w:rsid w:val="00AD6903"/>
    <w:rsid w:val="00AD72CD"/>
    <w:rsid w:val="00AE4A06"/>
    <w:rsid w:val="00AE4E9B"/>
    <w:rsid w:val="00AE5427"/>
    <w:rsid w:val="00AE5DBD"/>
    <w:rsid w:val="00AF31B0"/>
    <w:rsid w:val="00AF3431"/>
    <w:rsid w:val="00AF5488"/>
    <w:rsid w:val="00AF7C4A"/>
    <w:rsid w:val="00B0643E"/>
    <w:rsid w:val="00B06DB4"/>
    <w:rsid w:val="00B10675"/>
    <w:rsid w:val="00B10BB9"/>
    <w:rsid w:val="00B10D52"/>
    <w:rsid w:val="00B1138B"/>
    <w:rsid w:val="00B20DC0"/>
    <w:rsid w:val="00B246D6"/>
    <w:rsid w:val="00B259D7"/>
    <w:rsid w:val="00B25A72"/>
    <w:rsid w:val="00B26560"/>
    <w:rsid w:val="00B271C4"/>
    <w:rsid w:val="00B31278"/>
    <w:rsid w:val="00B35B78"/>
    <w:rsid w:val="00B432C1"/>
    <w:rsid w:val="00B46781"/>
    <w:rsid w:val="00B47C19"/>
    <w:rsid w:val="00B50F70"/>
    <w:rsid w:val="00B51E3D"/>
    <w:rsid w:val="00B53643"/>
    <w:rsid w:val="00B53EB0"/>
    <w:rsid w:val="00B554B8"/>
    <w:rsid w:val="00B65CBA"/>
    <w:rsid w:val="00B6618C"/>
    <w:rsid w:val="00B66B99"/>
    <w:rsid w:val="00B673F8"/>
    <w:rsid w:val="00B67BBF"/>
    <w:rsid w:val="00B70739"/>
    <w:rsid w:val="00B7083C"/>
    <w:rsid w:val="00B71C20"/>
    <w:rsid w:val="00B75CD1"/>
    <w:rsid w:val="00B81ABA"/>
    <w:rsid w:val="00B83D7E"/>
    <w:rsid w:val="00B86134"/>
    <w:rsid w:val="00B873A9"/>
    <w:rsid w:val="00B9030F"/>
    <w:rsid w:val="00B914EA"/>
    <w:rsid w:val="00B92BDF"/>
    <w:rsid w:val="00B93946"/>
    <w:rsid w:val="00B94368"/>
    <w:rsid w:val="00B9506D"/>
    <w:rsid w:val="00B950C7"/>
    <w:rsid w:val="00B96179"/>
    <w:rsid w:val="00BA09F2"/>
    <w:rsid w:val="00BA0F5C"/>
    <w:rsid w:val="00BA21A9"/>
    <w:rsid w:val="00BA32DF"/>
    <w:rsid w:val="00BA78B0"/>
    <w:rsid w:val="00BB07B2"/>
    <w:rsid w:val="00BB16BA"/>
    <w:rsid w:val="00BB43DD"/>
    <w:rsid w:val="00BB43FF"/>
    <w:rsid w:val="00BB5CF3"/>
    <w:rsid w:val="00BB5DE7"/>
    <w:rsid w:val="00BB751A"/>
    <w:rsid w:val="00BB7679"/>
    <w:rsid w:val="00BC0E45"/>
    <w:rsid w:val="00BC15A2"/>
    <w:rsid w:val="00BC37E9"/>
    <w:rsid w:val="00BC4405"/>
    <w:rsid w:val="00BC53B2"/>
    <w:rsid w:val="00BC5955"/>
    <w:rsid w:val="00BD09DE"/>
    <w:rsid w:val="00BD1D9D"/>
    <w:rsid w:val="00BD3DD7"/>
    <w:rsid w:val="00BD4188"/>
    <w:rsid w:val="00BE0DDA"/>
    <w:rsid w:val="00BE573A"/>
    <w:rsid w:val="00BF3A0F"/>
    <w:rsid w:val="00BF442C"/>
    <w:rsid w:val="00BF4E34"/>
    <w:rsid w:val="00BF582C"/>
    <w:rsid w:val="00BF5BF5"/>
    <w:rsid w:val="00BF735F"/>
    <w:rsid w:val="00BF7A79"/>
    <w:rsid w:val="00C014D7"/>
    <w:rsid w:val="00C043DE"/>
    <w:rsid w:val="00C044AD"/>
    <w:rsid w:val="00C10B3C"/>
    <w:rsid w:val="00C12DEA"/>
    <w:rsid w:val="00C13F1E"/>
    <w:rsid w:val="00C17487"/>
    <w:rsid w:val="00C17D45"/>
    <w:rsid w:val="00C206BD"/>
    <w:rsid w:val="00C25338"/>
    <w:rsid w:val="00C257BF"/>
    <w:rsid w:val="00C26E25"/>
    <w:rsid w:val="00C31201"/>
    <w:rsid w:val="00C324F5"/>
    <w:rsid w:val="00C34803"/>
    <w:rsid w:val="00C35488"/>
    <w:rsid w:val="00C3734F"/>
    <w:rsid w:val="00C42ECE"/>
    <w:rsid w:val="00C43FA1"/>
    <w:rsid w:val="00C4625F"/>
    <w:rsid w:val="00C46933"/>
    <w:rsid w:val="00C5015E"/>
    <w:rsid w:val="00C50714"/>
    <w:rsid w:val="00C520A7"/>
    <w:rsid w:val="00C52C0E"/>
    <w:rsid w:val="00C53C20"/>
    <w:rsid w:val="00C55108"/>
    <w:rsid w:val="00C56D76"/>
    <w:rsid w:val="00C57B55"/>
    <w:rsid w:val="00C60282"/>
    <w:rsid w:val="00C61B87"/>
    <w:rsid w:val="00C628E4"/>
    <w:rsid w:val="00C6306C"/>
    <w:rsid w:val="00C66C20"/>
    <w:rsid w:val="00C67117"/>
    <w:rsid w:val="00C67E92"/>
    <w:rsid w:val="00C71014"/>
    <w:rsid w:val="00C72C32"/>
    <w:rsid w:val="00C730D1"/>
    <w:rsid w:val="00C73B48"/>
    <w:rsid w:val="00C7538C"/>
    <w:rsid w:val="00C75AB2"/>
    <w:rsid w:val="00C76BE0"/>
    <w:rsid w:val="00C778B9"/>
    <w:rsid w:val="00C80C53"/>
    <w:rsid w:val="00C80FC3"/>
    <w:rsid w:val="00C82B44"/>
    <w:rsid w:val="00C8310C"/>
    <w:rsid w:val="00C872C3"/>
    <w:rsid w:val="00C901F9"/>
    <w:rsid w:val="00C91008"/>
    <w:rsid w:val="00C91A6A"/>
    <w:rsid w:val="00C94AFA"/>
    <w:rsid w:val="00C9513B"/>
    <w:rsid w:val="00CA2205"/>
    <w:rsid w:val="00CA2448"/>
    <w:rsid w:val="00CA3523"/>
    <w:rsid w:val="00CA7B4E"/>
    <w:rsid w:val="00CB0A99"/>
    <w:rsid w:val="00CB2FD0"/>
    <w:rsid w:val="00CC0A86"/>
    <w:rsid w:val="00CC0E7C"/>
    <w:rsid w:val="00CC2D0F"/>
    <w:rsid w:val="00CC3813"/>
    <w:rsid w:val="00CC43A1"/>
    <w:rsid w:val="00CD19CA"/>
    <w:rsid w:val="00CD42B1"/>
    <w:rsid w:val="00CD4316"/>
    <w:rsid w:val="00CD523C"/>
    <w:rsid w:val="00CD5251"/>
    <w:rsid w:val="00CD7C79"/>
    <w:rsid w:val="00CD7C98"/>
    <w:rsid w:val="00CD7F43"/>
    <w:rsid w:val="00CE1435"/>
    <w:rsid w:val="00CE691F"/>
    <w:rsid w:val="00CF0463"/>
    <w:rsid w:val="00CF0E27"/>
    <w:rsid w:val="00CF2F5F"/>
    <w:rsid w:val="00CF673E"/>
    <w:rsid w:val="00CF772E"/>
    <w:rsid w:val="00D0166B"/>
    <w:rsid w:val="00D0424A"/>
    <w:rsid w:val="00D060C1"/>
    <w:rsid w:val="00D10301"/>
    <w:rsid w:val="00D143B3"/>
    <w:rsid w:val="00D14749"/>
    <w:rsid w:val="00D167C4"/>
    <w:rsid w:val="00D22E86"/>
    <w:rsid w:val="00D27F91"/>
    <w:rsid w:val="00D302E6"/>
    <w:rsid w:val="00D3064A"/>
    <w:rsid w:val="00D32FE6"/>
    <w:rsid w:val="00D3343E"/>
    <w:rsid w:val="00D34043"/>
    <w:rsid w:val="00D3780A"/>
    <w:rsid w:val="00D42D9D"/>
    <w:rsid w:val="00D46FDF"/>
    <w:rsid w:val="00D47373"/>
    <w:rsid w:val="00D51121"/>
    <w:rsid w:val="00D51A84"/>
    <w:rsid w:val="00D52062"/>
    <w:rsid w:val="00D5397E"/>
    <w:rsid w:val="00D53CC1"/>
    <w:rsid w:val="00D54022"/>
    <w:rsid w:val="00D56664"/>
    <w:rsid w:val="00D56A0E"/>
    <w:rsid w:val="00D602D8"/>
    <w:rsid w:val="00D61A13"/>
    <w:rsid w:val="00D62A00"/>
    <w:rsid w:val="00D63009"/>
    <w:rsid w:val="00D70FD6"/>
    <w:rsid w:val="00D7105B"/>
    <w:rsid w:val="00D7140F"/>
    <w:rsid w:val="00D73690"/>
    <w:rsid w:val="00D73E13"/>
    <w:rsid w:val="00D73EEF"/>
    <w:rsid w:val="00D75C51"/>
    <w:rsid w:val="00D83321"/>
    <w:rsid w:val="00D837D2"/>
    <w:rsid w:val="00D8434A"/>
    <w:rsid w:val="00D84B19"/>
    <w:rsid w:val="00D90837"/>
    <w:rsid w:val="00D90C12"/>
    <w:rsid w:val="00D90FF8"/>
    <w:rsid w:val="00D9129E"/>
    <w:rsid w:val="00D97B8C"/>
    <w:rsid w:val="00DA1E71"/>
    <w:rsid w:val="00DA1EE7"/>
    <w:rsid w:val="00DA1F95"/>
    <w:rsid w:val="00DA2E03"/>
    <w:rsid w:val="00DA34DF"/>
    <w:rsid w:val="00DA71A2"/>
    <w:rsid w:val="00DA7AB3"/>
    <w:rsid w:val="00DA7EBC"/>
    <w:rsid w:val="00DB1BF2"/>
    <w:rsid w:val="00DB39C2"/>
    <w:rsid w:val="00DB4784"/>
    <w:rsid w:val="00DB7508"/>
    <w:rsid w:val="00DC29C6"/>
    <w:rsid w:val="00DD07F8"/>
    <w:rsid w:val="00DD086B"/>
    <w:rsid w:val="00DD23A1"/>
    <w:rsid w:val="00DD5B10"/>
    <w:rsid w:val="00DD5E68"/>
    <w:rsid w:val="00DE1165"/>
    <w:rsid w:val="00DE1610"/>
    <w:rsid w:val="00DE1AD1"/>
    <w:rsid w:val="00DE31BC"/>
    <w:rsid w:val="00DE58A7"/>
    <w:rsid w:val="00DE5E28"/>
    <w:rsid w:val="00DE6346"/>
    <w:rsid w:val="00DE6517"/>
    <w:rsid w:val="00DF2A8F"/>
    <w:rsid w:val="00DF7254"/>
    <w:rsid w:val="00E002B1"/>
    <w:rsid w:val="00E031E3"/>
    <w:rsid w:val="00E040D7"/>
    <w:rsid w:val="00E04B95"/>
    <w:rsid w:val="00E071F8"/>
    <w:rsid w:val="00E11313"/>
    <w:rsid w:val="00E11BA0"/>
    <w:rsid w:val="00E11DF8"/>
    <w:rsid w:val="00E1404A"/>
    <w:rsid w:val="00E1598C"/>
    <w:rsid w:val="00E210A9"/>
    <w:rsid w:val="00E25399"/>
    <w:rsid w:val="00E2608D"/>
    <w:rsid w:val="00E271FC"/>
    <w:rsid w:val="00E30571"/>
    <w:rsid w:val="00E30CF9"/>
    <w:rsid w:val="00E31B7B"/>
    <w:rsid w:val="00E32E11"/>
    <w:rsid w:val="00E37805"/>
    <w:rsid w:val="00E4013B"/>
    <w:rsid w:val="00E43AE8"/>
    <w:rsid w:val="00E519FC"/>
    <w:rsid w:val="00E55E4A"/>
    <w:rsid w:val="00E57356"/>
    <w:rsid w:val="00E62E3E"/>
    <w:rsid w:val="00E679DA"/>
    <w:rsid w:val="00E81835"/>
    <w:rsid w:val="00E8229E"/>
    <w:rsid w:val="00E834AB"/>
    <w:rsid w:val="00E85912"/>
    <w:rsid w:val="00E92E80"/>
    <w:rsid w:val="00E97A9E"/>
    <w:rsid w:val="00EA1916"/>
    <w:rsid w:val="00EA2032"/>
    <w:rsid w:val="00EA25E6"/>
    <w:rsid w:val="00EA41A7"/>
    <w:rsid w:val="00EA49BD"/>
    <w:rsid w:val="00EA63C0"/>
    <w:rsid w:val="00EB0CD2"/>
    <w:rsid w:val="00EB1C8E"/>
    <w:rsid w:val="00EB3162"/>
    <w:rsid w:val="00EB5EE4"/>
    <w:rsid w:val="00EB679B"/>
    <w:rsid w:val="00EB7619"/>
    <w:rsid w:val="00EB7B49"/>
    <w:rsid w:val="00EC1463"/>
    <w:rsid w:val="00EC25BD"/>
    <w:rsid w:val="00EC2709"/>
    <w:rsid w:val="00EC5722"/>
    <w:rsid w:val="00EC61A7"/>
    <w:rsid w:val="00EC61C6"/>
    <w:rsid w:val="00EC6416"/>
    <w:rsid w:val="00EC6AB2"/>
    <w:rsid w:val="00EC6D2E"/>
    <w:rsid w:val="00ED0CBF"/>
    <w:rsid w:val="00ED0D76"/>
    <w:rsid w:val="00ED13FD"/>
    <w:rsid w:val="00ED6FA4"/>
    <w:rsid w:val="00ED711A"/>
    <w:rsid w:val="00ED7161"/>
    <w:rsid w:val="00ED7729"/>
    <w:rsid w:val="00EE1199"/>
    <w:rsid w:val="00EE1289"/>
    <w:rsid w:val="00EE303C"/>
    <w:rsid w:val="00EE369F"/>
    <w:rsid w:val="00EE5B73"/>
    <w:rsid w:val="00EE62FB"/>
    <w:rsid w:val="00EF007D"/>
    <w:rsid w:val="00EF11DC"/>
    <w:rsid w:val="00EF3F76"/>
    <w:rsid w:val="00EF4F24"/>
    <w:rsid w:val="00EF5089"/>
    <w:rsid w:val="00EF7C91"/>
    <w:rsid w:val="00F002C7"/>
    <w:rsid w:val="00F04C2E"/>
    <w:rsid w:val="00F07256"/>
    <w:rsid w:val="00F07B9B"/>
    <w:rsid w:val="00F12D5C"/>
    <w:rsid w:val="00F14994"/>
    <w:rsid w:val="00F14B43"/>
    <w:rsid w:val="00F1560B"/>
    <w:rsid w:val="00F205C9"/>
    <w:rsid w:val="00F226F1"/>
    <w:rsid w:val="00F228A2"/>
    <w:rsid w:val="00F23688"/>
    <w:rsid w:val="00F264C2"/>
    <w:rsid w:val="00F2738B"/>
    <w:rsid w:val="00F27DB9"/>
    <w:rsid w:val="00F3008F"/>
    <w:rsid w:val="00F31653"/>
    <w:rsid w:val="00F319B8"/>
    <w:rsid w:val="00F31B83"/>
    <w:rsid w:val="00F33946"/>
    <w:rsid w:val="00F35EEC"/>
    <w:rsid w:val="00F36925"/>
    <w:rsid w:val="00F414EF"/>
    <w:rsid w:val="00F41E32"/>
    <w:rsid w:val="00F5344C"/>
    <w:rsid w:val="00F55843"/>
    <w:rsid w:val="00F60039"/>
    <w:rsid w:val="00F60D8A"/>
    <w:rsid w:val="00F6154E"/>
    <w:rsid w:val="00F617A3"/>
    <w:rsid w:val="00F66DE7"/>
    <w:rsid w:val="00F73FB9"/>
    <w:rsid w:val="00F74E98"/>
    <w:rsid w:val="00F75891"/>
    <w:rsid w:val="00F77816"/>
    <w:rsid w:val="00F80FF2"/>
    <w:rsid w:val="00F813A5"/>
    <w:rsid w:val="00F83EE7"/>
    <w:rsid w:val="00F83FF2"/>
    <w:rsid w:val="00F840FE"/>
    <w:rsid w:val="00F85361"/>
    <w:rsid w:val="00F861C6"/>
    <w:rsid w:val="00F8781D"/>
    <w:rsid w:val="00F9082B"/>
    <w:rsid w:val="00F953BD"/>
    <w:rsid w:val="00F962F4"/>
    <w:rsid w:val="00F9706F"/>
    <w:rsid w:val="00F97558"/>
    <w:rsid w:val="00F97E28"/>
    <w:rsid w:val="00FA15C1"/>
    <w:rsid w:val="00FA6CE7"/>
    <w:rsid w:val="00FB0649"/>
    <w:rsid w:val="00FB287F"/>
    <w:rsid w:val="00FB2AD2"/>
    <w:rsid w:val="00FB2F05"/>
    <w:rsid w:val="00FB511C"/>
    <w:rsid w:val="00FB617C"/>
    <w:rsid w:val="00FB64B5"/>
    <w:rsid w:val="00FC1B98"/>
    <w:rsid w:val="00FC49CF"/>
    <w:rsid w:val="00FC641E"/>
    <w:rsid w:val="00FC6CF8"/>
    <w:rsid w:val="00FC6F99"/>
    <w:rsid w:val="00FD0624"/>
    <w:rsid w:val="00FD10CA"/>
    <w:rsid w:val="00FD2D6D"/>
    <w:rsid w:val="00FD4875"/>
    <w:rsid w:val="00FE4485"/>
    <w:rsid w:val="00FE78B6"/>
    <w:rsid w:val="00FE7D72"/>
    <w:rsid w:val="00FF0676"/>
    <w:rsid w:val="00FF10BB"/>
    <w:rsid w:val="00FF1839"/>
    <w:rsid w:val="00FF3028"/>
    <w:rsid w:val="00FF396B"/>
    <w:rsid w:val="00FF6649"/>
    <w:rsid w:val="00FF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D3DD6"/>
  <w15:chartTrackingRefBased/>
  <w15:docId w15:val="{987C7BDC-6C1F-4388-82C0-75961E11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82"/>
    <w:pPr>
      <w:spacing w:after="0" w:line="240" w:lineRule="auto"/>
    </w:pPr>
    <w:rPr>
      <w:rFonts w:ascii="Times New Roman" w:eastAsia="Times New Roman" w:hAnsi="Times New Roman" w:cs="Times New Roman"/>
      <w:sz w:val="24"/>
      <w:szCs w:val="24"/>
      <w:lang w:val="en-SG"/>
    </w:rPr>
  </w:style>
  <w:style w:type="paragraph" w:styleId="Heading1">
    <w:name w:val="heading 1"/>
    <w:basedOn w:val="Normal"/>
    <w:next w:val="Normal"/>
    <w:link w:val="Heading1Char"/>
    <w:uiPriority w:val="9"/>
    <w:qFormat/>
    <w:rsid w:val="00A909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0025"/>
    <w:pPr>
      <w:keepNext/>
      <w:keepLines/>
      <w:spacing w:before="4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link w:val="Heading3Char"/>
    <w:uiPriority w:val="9"/>
    <w:qFormat/>
    <w:rsid w:val="004F232C"/>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ody">
    <w:name w:val="f-body"/>
    <w:basedOn w:val="Normal"/>
    <w:rsid w:val="002E3FBF"/>
    <w:pPr>
      <w:spacing w:before="100" w:beforeAutospacing="1" w:after="100" w:afterAutospacing="1"/>
    </w:pPr>
    <w:rPr>
      <w:rFonts w:eastAsiaTheme="minorHAnsi"/>
      <w:lang w:val="en-GB" w:eastAsia="en-GB"/>
    </w:rPr>
  </w:style>
  <w:style w:type="paragraph" w:styleId="NoSpacing">
    <w:name w:val="No Spacing"/>
    <w:uiPriority w:val="1"/>
    <w:qFormat/>
    <w:rsid w:val="002E3FBF"/>
    <w:pPr>
      <w:spacing w:after="0" w:line="240" w:lineRule="auto"/>
    </w:pPr>
    <w:rPr>
      <w:lang w:val="en-SG"/>
    </w:rPr>
  </w:style>
  <w:style w:type="paragraph" w:styleId="HTMLPreformatted">
    <w:name w:val="HTML Preformatted"/>
    <w:basedOn w:val="Normal"/>
    <w:link w:val="HTMLPreformattedChar"/>
    <w:uiPriority w:val="99"/>
    <w:unhideWhenUsed/>
    <w:rsid w:val="002E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2E3FBF"/>
    <w:rPr>
      <w:rFonts w:ascii="Courier New" w:hAnsi="Courier New" w:cs="Courier New"/>
      <w:sz w:val="20"/>
      <w:szCs w:val="20"/>
      <w:lang w:eastAsia="en-GB"/>
    </w:rPr>
  </w:style>
  <w:style w:type="character" w:styleId="Hyperlink">
    <w:name w:val="Hyperlink"/>
    <w:basedOn w:val="DefaultParagraphFont"/>
    <w:uiPriority w:val="99"/>
    <w:unhideWhenUsed/>
    <w:rsid w:val="0089510E"/>
    <w:rPr>
      <w:color w:val="0000FF"/>
      <w:u w:val="single"/>
    </w:rPr>
  </w:style>
  <w:style w:type="paragraph" w:styleId="NormalWeb">
    <w:name w:val="Normal (Web)"/>
    <w:basedOn w:val="Normal"/>
    <w:uiPriority w:val="99"/>
    <w:unhideWhenUsed/>
    <w:rsid w:val="00CC0A86"/>
    <w:pPr>
      <w:spacing w:after="165" w:line="345" w:lineRule="atLeast"/>
    </w:pPr>
    <w:rPr>
      <w:color w:val="000000"/>
      <w:sz w:val="21"/>
      <w:szCs w:val="21"/>
      <w:lang w:val="en-GB" w:eastAsia="en-GB"/>
    </w:rPr>
  </w:style>
  <w:style w:type="character" w:customStyle="1" w:styleId="Heading3Char">
    <w:name w:val="Heading 3 Char"/>
    <w:basedOn w:val="DefaultParagraphFont"/>
    <w:link w:val="Heading3"/>
    <w:uiPriority w:val="9"/>
    <w:rsid w:val="004F232C"/>
    <w:rPr>
      <w:rFonts w:ascii="Times New Roman" w:eastAsia="Times New Roman" w:hAnsi="Times New Roman" w:cs="Times New Roman"/>
      <w:b/>
      <w:bCs/>
      <w:sz w:val="27"/>
      <w:szCs w:val="27"/>
      <w:lang w:eastAsia="en-GB"/>
    </w:rPr>
  </w:style>
  <w:style w:type="character" w:customStyle="1" w:styleId="highlight1">
    <w:name w:val="highlight1"/>
    <w:basedOn w:val="DefaultParagraphFont"/>
    <w:rsid w:val="00DD07F8"/>
  </w:style>
  <w:style w:type="paragraph" w:styleId="ListParagraph">
    <w:name w:val="List Paragraph"/>
    <w:basedOn w:val="Normal"/>
    <w:uiPriority w:val="34"/>
    <w:qFormat/>
    <w:rsid w:val="00DD07F8"/>
    <w:pPr>
      <w:ind w:left="720"/>
      <w:contextualSpacing/>
    </w:pPr>
    <w:rPr>
      <w:rFonts w:asciiTheme="minorHAnsi" w:eastAsiaTheme="minorEastAsia" w:hAnsiTheme="minorHAnsi" w:cstheme="minorBidi"/>
      <w:lang w:val="en-GB"/>
    </w:rPr>
  </w:style>
  <w:style w:type="character" w:customStyle="1" w:styleId="citation-title">
    <w:name w:val="citation-title"/>
    <w:basedOn w:val="DefaultParagraphFont"/>
    <w:rsid w:val="00DD07F8"/>
  </w:style>
  <w:style w:type="character" w:customStyle="1" w:styleId="citation2">
    <w:name w:val="citation2"/>
    <w:basedOn w:val="DefaultParagraphFont"/>
    <w:rsid w:val="00DD07F8"/>
  </w:style>
  <w:style w:type="character" w:customStyle="1" w:styleId="pubyear">
    <w:name w:val="pubyear"/>
    <w:basedOn w:val="DefaultParagraphFont"/>
    <w:rsid w:val="00DD07F8"/>
  </w:style>
  <w:style w:type="character" w:customStyle="1" w:styleId="volume">
    <w:name w:val="volume"/>
    <w:basedOn w:val="DefaultParagraphFont"/>
    <w:rsid w:val="00DD07F8"/>
  </w:style>
  <w:style w:type="character" w:styleId="CommentReference">
    <w:name w:val="annotation reference"/>
    <w:basedOn w:val="DefaultParagraphFont"/>
    <w:uiPriority w:val="99"/>
    <w:semiHidden/>
    <w:unhideWhenUsed/>
    <w:rsid w:val="00F617A3"/>
    <w:rPr>
      <w:sz w:val="16"/>
      <w:szCs w:val="16"/>
    </w:rPr>
  </w:style>
  <w:style w:type="paragraph" w:styleId="CommentText">
    <w:name w:val="annotation text"/>
    <w:basedOn w:val="Normal"/>
    <w:link w:val="CommentTextChar"/>
    <w:uiPriority w:val="99"/>
    <w:unhideWhenUsed/>
    <w:rsid w:val="00F617A3"/>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
    <w:uiPriority w:val="99"/>
    <w:rsid w:val="00F617A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17A3"/>
    <w:rPr>
      <w:b/>
      <w:bCs/>
    </w:rPr>
  </w:style>
  <w:style w:type="character" w:customStyle="1" w:styleId="CommentSubjectChar">
    <w:name w:val="Comment Subject Char"/>
    <w:basedOn w:val="CommentTextChar"/>
    <w:link w:val="CommentSubject"/>
    <w:uiPriority w:val="99"/>
    <w:semiHidden/>
    <w:rsid w:val="00F617A3"/>
    <w:rPr>
      <w:rFonts w:eastAsiaTheme="minorEastAsia"/>
      <w:b/>
      <w:bCs/>
      <w:sz w:val="20"/>
      <w:szCs w:val="20"/>
    </w:rPr>
  </w:style>
  <w:style w:type="paragraph" w:styleId="BalloonText">
    <w:name w:val="Balloon Text"/>
    <w:basedOn w:val="Normal"/>
    <w:link w:val="BalloonTextChar"/>
    <w:uiPriority w:val="99"/>
    <w:semiHidden/>
    <w:unhideWhenUsed/>
    <w:rsid w:val="00F617A3"/>
    <w:rPr>
      <w:rFonts w:ascii="Segoe UI" w:eastAsiaTheme="minorEastAsia" w:hAnsi="Segoe UI" w:cs="Segoe UI"/>
      <w:sz w:val="18"/>
      <w:szCs w:val="18"/>
      <w:lang w:val="en-GB"/>
    </w:rPr>
  </w:style>
  <w:style w:type="character" w:customStyle="1" w:styleId="BalloonTextChar">
    <w:name w:val="Balloon Text Char"/>
    <w:basedOn w:val="DefaultParagraphFont"/>
    <w:link w:val="BalloonText"/>
    <w:uiPriority w:val="99"/>
    <w:semiHidden/>
    <w:rsid w:val="00F617A3"/>
    <w:rPr>
      <w:rFonts w:ascii="Segoe UI" w:eastAsiaTheme="minorEastAsia" w:hAnsi="Segoe UI" w:cs="Segoe UI"/>
      <w:sz w:val="18"/>
      <w:szCs w:val="18"/>
    </w:rPr>
  </w:style>
  <w:style w:type="character" w:customStyle="1" w:styleId="mixed-citation">
    <w:name w:val="mixed-citation"/>
    <w:basedOn w:val="DefaultParagraphFont"/>
    <w:rsid w:val="00B94368"/>
  </w:style>
  <w:style w:type="character" w:customStyle="1" w:styleId="ref-title">
    <w:name w:val="ref-title"/>
    <w:basedOn w:val="DefaultParagraphFont"/>
    <w:rsid w:val="00B94368"/>
  </w:style>
  <w:style w:type="character" w:customStyle="1" w:styleId="ref-journal">
    <w:name w:val="ref-journal"/>
    <w:basedOn w:val="DefaultParagraphFont"/>
    <w:rsid w:val="00B94368"/>
  </w:style>
  <w:style w:type="character" w:customStyle="1" w:styleId="ref-vol">
    <w:name w:val="ref-vol"/>
    <w:basedOn w:val="DefaultParagraphFont"/>
    <w:rsid w:val="00B94368"/>
  </w:style>
  <w:style w:type="character" w:customStyle="1" w:styleId="ref-iss">
    <w:name w:val="ref-iss"/>
    <w:basedOn w:val="DefaultParagraphFont"/>
    <w:rsid w:val="00B94368"/>
  </w:style>
  <w:style w:type="table" w:styleId="TableGrid">
    <w:name w:val="Table Grid"/>
    <w:basedOn w:val="TableNormal"/>
    <w:uiPriority w:val="39"/>
    <w:rsid w:val="0022010D"/>
    <w:pPr>
      <w:spacing w:after="0" w:line="240" w:lineRule="auto"/>
    </w:pPr>
    <w:rPr>
      <w:sz w:val="24"/>
      <w:szCs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F6154E"/>
    <w:pPr>
      <w:spacing w:after="160"/>
    </w:pPr>
    <w:rPr>
      <w:rFonts w:ascii="Calibri" w:eastAsia="Calibri" w:hAnsi="Calibri" w:cs="Calibri"/>
      <w:noProof/>
      <w:sz w:val="22"/>
      <w:szCs w:val="22"/>
      <w:lang w:val="en-US"/>
    </w:rPr>
  </w:style>
  <w:style w:type="character" w:customStyle="1" w:styleId="EndNoteBibliographyChar">
    <w:name w:val="EndNote Bibliography Char"/>
    <w:link w:val="EndNoteBibliography"/>
    <w:rsid w:val="00F6154E"/>
    <w:rPr>
      <w:rFonts w:ascii="Calibri" w:eastAsia="Calibri" w:hAnsi="Calibri" w:cs="Calibri"/>
      <w:noProof/>
      <w:lang w:val="en-US"/>
    </w:rPr>
  </w:style>
  <w:style w:type="paragraph" w:styleId="Revision">
    <w:name w:val="Revision"/>
    <w:hidden/>
    <w:uiPriority w:val="99"/>
    <w:semiHidden/>
    <w:rsid w:val="00B83D7E"/>
    <w:pPr>
      <w:spacing w:after="0" w:line="240" w:lineRule="auto"/>
    </w:pPr>
    <w:rPr>
      <w:rFonts w:eastAsiaTheme="minorEastAsia"/>
      <w:sz w:val="24"/>
      <w:szCs w:val="24"/>
    </w:rPr>
  </w:style>
  <w:style w:type="character" w:customStyle="1" w:styleId="Heading2Char">
    <w:name w:val="Heading 2 Char"/>
    <w:basedOn w:val="DefaultParagraphFont"/>
    <w:link w:val="Heading2"/>
    <w:uiPriority w:val="9"/>
    <w:rsid w:val="004D0025"/>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3F3CE1"/>
    <w:pPr>
      <w:tabs>
        <w:tab w:val="center" w:pos="4513"/>
        <w:tab w:val="right" w:pos="9026"/>
      </w:tabs>
    </w:pPr>
    <w:rPr>
      <w:rFonts w:asciiTheme="minorHAnsi" w:eastAsiaTheme="minorEastAsia" w:hAnsiTheme="minorHAnsi" w:cstheme="minorBidi"/>
      <w:lang w:val="en-GB"/>
    </w:rPr>
  </w:style>
  <w:style w:type="character" w:customStyle="1" w:styleId="FooterChar">
    <w:name w:val="Footer Char"/>
    <w:basedOn w:val="DefaultParagraphFont"/>
    <w:link w:val="Footer"/>
    <w:uiPriority w:val="99"/>
    <w:rsid w:val="003F3CE1"/>
    <w:rPr>
      <w:rFonts w:eastAsiaTheme="minorEastAsia"/>
      <w:sz w:val="24"/>
      <w:szCs w:val="24"/>
    </w:rPr>
  </w:style>
  <w:style w:type="character" w:styleId="PageNumber">
    <w:name w:val="page number"/>
    <w:basedOn w:val="DefaultParagraphFont"/>
    <w:uiPriority w:val="99"/>
    <w:semiHidden/>
    <w:unhideWhenUsed/>
    <w:rsid w:val="003F3CE1"/>
  </w:style>
  <w:style w:type="character" w:customStyle="1" w:styleId="normaltextrun">
    <w:name w:val="normaltextrun"/>
    <w:basedOn w:val="DefaultParagraphFont"/>
    <w:rsid w:val="0064718B"/>
  </w:style>
  <w:style w:type="character" w:customStyle="1" w:styleId="spellingerror">
    <w:name w:val="spellingerror"/>
    <w:basedOn w:val="DefaultParagraphFont"/>
    <w:rsid w:val="0064718B"/>
  </w:style>
  <w:style w:type="paragraph" w:customStyle="1" w:styleId="paragraph">
    <w:name w:val="paragraph"/>
    <w:basedOn w:val="Normal"/>
    <w:uiPriority w:val="99"/>
    <w:rsid w:val="00C17487"/>
    <w:pPr>
      <w:spacing w:before="100" w:beforeAutospacing="1" w:after="100" w:afterAutospacing="1"/>
    </w:pPr>
    <w:rPr>
      <w:lang w:eastAsia="en-SG"/>
    </w:rPr>
  </w:style>
  <w:style w:type="character" w:customStyle="1" w:styleId="UnresolvedMention1">
    <w:name w:val="Unresolved Mention1"/>
    <w:basedOn w:val="DefaultParagraphFont"/>
    <w:uiPriority w:val="99"/>
    <w:semiHidden/>
    <w:unhideWhenUsed/>
    <w:rsid w:val="00076AEB"/>
    <w:rPr>
      <w:color w:val="605E5C"/>
      <w:shd w:val="clear" w:color="auto" w:fill="E1DFDD"/>
    </w:rPr>
  </w:style>
  <w:style w:type="character" w:styleId="FollowedHyperlink">
    <w:name w:val="FollowedHyperlink"/>
    <w:basedOn w:val="DefaultParagraphFont"/>
    <w:uiPriority w:val="99"/>
    <w:semiHidden/>
    <w:unhideWhenUsed/>
    <w:rsid w:val="00877E04"/>
    <w:rPr>
      <w:color w:val="954F72" w:themeColor="followedHyperlink"/>
      <w:u w:val="single"/>
    </w:rPr>
  </w:style>
  <w:style w:type="character" w:customStyle="1" w:styleId="cit">
    <w:name w:val="cit"/>
    <w:basedOn w:val="DefaultParagraphFont"/>
    <w:rsid w:val="00FE78B6"/>
  </w:style>
  <w:style w:type="character" w:customStyle="1" w:styleId="apple-converted-space">
    <w:name w:val="apple-converted-space"/>
    <w:basedOn w:val="DefaultParagraphFont"/>
    <w:rsid w:val="00FE78B6"/>
  </w:style>
  <w:style w:type="character" w:customStyle="1" w:styleId="citation-doi">
    <w:name w:val="citation-doi"/>
    <w:basedOn w:val="DefaultParagraphFont"/>
    <w:rsid w:val="00FE78B6"/>
  </w:style>
  <w:style w:type="character" w:customStyle="1" w:styleId="Heading1Char">
    <w:name w:val="Heading 1 Char"/>
    <w:basedOn w:val="DefaultParagraphFont"/>
    <w:link w:val="Heading1"/>
    <w:uiPriority w:val="9"/>
    <w:rsid w:val="00A909FC"/>
    <w:rPr>
      <w:rFonts w:asciiTheme="majorHAnsi" w:eastAsiaTheme="majorEastAsia" w:hAnsiTheme="majorHAnsi" w:cstheme="majorBidi"/>
      <w:color w:val="2E74B5" w:themeColor="accent1" w:themeShade="BF"/>
      <w:sz w:val="32"/>
      <w:szCs w:val="32"/>
      <w:lang w:val="en-SG"/>
    </w:rPr>
  </w:style>
  <w:style w:type="character" w:customStyle="1" w:styleId="author-sup-separator">
    <w:name w:val="author-sup-separator"/>
    <w:basedOn w:val="DefaultParagraphFont"/>
    <w:rsid w:val="00A909FC"/>
  </w:style>
  <w:style w:type="character" w:customStyle="1" w:styleId="docsum-authors">
    <w:name w:val="docsum-authors"/>
    <w:basedOn w:val="DefaultParagraphFont"/>
    <w:rsid w:val="00C60282"/>
  </w:style>
  <w:style w:type="character" w:customStyle="1" w:styleId="docsum-journal-citation">
    <w:name w:val="docsum-journal-citation"/>
    <w:basedOn w:val="DefaultParagraphFont"/>
    <w:rsid w:val="00C6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8375">
      <w:bodyDiv w:val="1"/>
      <w:marLeft w:val="0"/>
      <w:marRight w:val="0"/>
      <w:marTop w:val="0"/>
      <w:marBottom w:val="0"/>
      <w:divBdr>
        <w:top w:val="none" w:sz="0" w:space="0" w:color="auto"/>
        <w:left w:val="none" w:sz="0" w:space="0" w:color="auto"/>
        <w:bottom w:val="none" w:sz="0" w:space="0" w:color="auto"/>
        <w:right w:val="none" w:sz="0" w:space="0" w:color="auto"/>
      </w:divBdr>
    </w:div>
    <w:div w:id="71708361">
      <w:bodyDiv w:val="1"/>
      <w:marLeft w:val="0"/>
      <w:marRight w:val="0"/>
      <w:marTop w:val="0"/>
      <w:marBottom w:val="0"/>
      <w:divBdr>
        <w:top w:val="none" w:sz="0" w:space="0" w:color="auto"/>
        <w:left w:val="none" w:sz="0" w:space="0" w:color="auto"/>
        <w:bottom w:val="none" w:sz="0" w:space="0" w:color="auto"/>
        <w:right w:val="none" w:sz="0" w:space="0" w:color="auto"/>
      </w:divBdr>
      <w:divsChild>
        <w:div w:id="1686787508">
          <w:marLeft w:val="0"/>
          <w:marRight w:val="0"/>
          <w:marTop w:val="0"/>
          <w:marBottom w:val="0"/>
          <w:divBdr>
            <w:top w:val="none" w:sz="0" w:space="0" w:color="auto"/>
            <w:left w:val="none" w:sz="0" w:space="0" w:color="auto"/>
            <w:bottom w:val="none" w:sz="0" w:space="0" w:color="auto"/>
            <w:right w:val="none" w:sz="0" w:space="0" w:color="auto"/>
          </w:divBdr>
          <w:divsChild>
            <w:div w:id="18671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1570">
      <w:bodyDiv w:val="1"/>
      <w:marLeft w:val="0"/>
      <w:marRight w:val="0"/>
      <w:marTop w:val="0"/>
      <w:marBottom w:val="0"/>
      <w:divBdr>
        <w:top w:val="none" w:sz="0" w:space="0" w:color="auto"/>
        <w:left w:val="none" w:sz="0" w:space="0" w:color="auto"/>
        <w:bottom w:val="none" w:sz="0" w:space="0" w:color="auto"/>
        <w:right w:val="none" w:sz="0" w:space="0" w:color="auto"/>
      </w:divBdr>
    </w:div>
    <w:div w:id="139930649">
      <w:bodyDiv w:val="1"/>
      <w:marLeft w:val="0"/>
      <w:marRight w:val="0"/>
      <w:marTop w:val="0"/>
      <w:marBottom w:val="0"/>
      <w:divBdr>
        <w:top w:val="none" w:sz="0" w:space="0" w:color="auto"/>
        <w:left w:val="none" w:sz="0" w:space="0" w:color="auto"/>
        <w:bottom w:val="none" w:sz="0" w:space="0" w:color="auto"/>
        <w:right w:val="none" w:sz="0" w:space="0" w:color="auto"/>
      </w:divBdr>
    </w:div>
    <w:div w:id="176502261">
      <w:bodyDiv w:val="1"/>
      <w:marLeft w:val="0"/>
      <w:marRight w:val="0"/>
      <w:marTop w:val="0"/>
      <w:marBottom w:val="0"/>
      <w:divBdr>
        <w:top w:val="none" w:sz="0" w:space="0" w:color="auto"/>
        <w:left w:val="none" w:sz="0" w:space="0" w:color="auto"/>
        <w:bottom w:val="none" w:sz="0" w:space="0" w:color="auto"/>
        <w:right w:val="none" w:sz="0" w:space="0" w:color="auto"/>
      </w:divBdr>
      <w:divsChild>
        <w:div w:id="2112699820">
          <w:marLeft w:val="0"/>
          <w:marRight w:val="0"/>
          <w:marTop w:val="0"/>
          <w:marBottom w:val="0"/>
          <w:divBdr>
            <w:top w:val="none" w:sz="0" w:space="0" w:color="auto"/>
            <w:left w:val="none" w:sz="0" w:space="0" w:color="auto"/>
            <w:bottom w:val="none" w:sz="0" w:space="0" w:color="auto"/>
            <w:right w:val="none" w:sz="0" w:space="0" w:color="auto"/>
          </w:divBdr>
          <w:divsChild>
            <w:div w:id="845435483">
              <w:marLeft w:val="0"/>
              <w:marRight w:val="0"/>
              <w:marTop w:val="0"/>
              <w:marBottom w:val="0"/>
              <w:divBdr>
                <w:top w:val="none" w:sz="0" w:space="0" w:color="auto"/>
                <w:left w:val="none" w:sz="0" w:space="0" w:color="auto"/>
                <w:bottom w:val="none" w:sz="0" w:space="0" w:color="auto"/>
                <w:right w:val="none" w:sz="0" w:space="0" w:color="auto"/>
              </w:divBdr>
              <w:divsChild>
                <w:div w:id="1324777212">
                  <w:marLeft w:val="0"/>
                  <w:marRight w:val="0"/>
                  <w:marTop w:val="0"/>
                  <w:marBottom w:val="0"/>
                  <w:divBdr>
                    <w:top w:val="none" w:sz="0" w:space="0" w:color="auto"/>
                    <w:left w:val="none" w:sz="0" w:space="0" w:color="auto"/>
                    <w:bottom w:val="none" w:sz="0" w:space="0" w:color="auto"/>
                    <w:right w:val="none" w:sz="0" w:space="0" w:color="auto"/>
                  </w:divBdr>
                  <w:divsChild>
                    <w:div w:id="8041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74842">
      <w:bodyDiv w:val="1"/>
      <w:marLeft w:val="0"/>
      <w:marRight w:val="0"/>
      <w:marTop w:val="0"/>
      <w:marBottom w:val="0"/>
      <w:divBdr>
        <w:top w:val="none" w:sz="0" w:space="0" w:color="auto"/>
        <w:left w:val="none" w:sz="0" w:space="0" w:color="auto"/>
        <w:bottom w:val="none" w:sz="0" w:space="0" w:color="auto"/>
        <w:right w:val="none" w:sz="0" w:space="0" w:color="auto"/>
      </w:divBdr>
    </w:div>
    <w:div w:id="765737047">
      <w:bodyDiv w:val="1"/>
      <w:marLeft w:val="0"/>
      <w:marRight w:val="0"/>
      <w:marTop w:val="0"/>
      <w:marBottom w:val="0"/>
      <w:divBdr>
        <w:top w:val="none" w:sz="0" w:space="0" w:color="auto"/>
        <w:left w:val="none" w:sz="0" w:space="0" w:color="auto"/>
        <w:bottom w:val="none" w:sz="0" w:space="0" w:color="auto"/>
        <w:right w:val="none" w:sz="0" w:space="0" w:color="auto"/>
      </w:divBdr>
      <w:divsChild>
        <w:div w:id="564149036">
          <w:marLeft w:val="0"/>
          <w:marRight w:val="0"/>
          <w:marTop w:val="0"/>
          <w:marBottom w:val="0"/>
          <w:divBdr>
            <w:top w:val="none" w:sz="0" w:space="0" w:color="auto"/>
            <w:left w:val="none" w:sz="0" w:space="0" w:color="auto"/>
            <w:bottom w:val="none" w:sz="0" w:space="0" w:color="auto"/>
            <w:right w:val="none" w:sz="0" w:space="0" w:color="auto"/>
          </w:divBdr>
          <w:divsChild>
            <w:div w:id="1847358506">
              <w:marLeft w:val="0"/>
              <w:marRight w:val="0"/>
              <w:marTop w:val="0"/>
              <w:marBottom w:val="0"/>
              <w:divBdr>
                <w:top w:val="none" w:sz="0" w:space="0" w:color="auto"/>
                <w:left w:val="none" w:sz="0" w:space="0" w:color="auto"/>
                <w:bottom w:val="none" w:sz="0" w:space="0" w:color="auto"/>
                <w:right w:val="none" w:sz="0" w:space="0" w:color="auto"/>
              </w:divBdr>
              <w:divsChild>
                <w:div w:id="1746107760">
                  <w:marLeft w:val="0"/>
                  <w:marRight w:val="0"/>
                  <w:marTop w:val="0"/>
                  <w:marBottom w:val="0"/>
                  <w:divBdr>
                    <w:top w:val="none" w:sz="0" w:space="0" w:color="auto"/>
                    <w:left w:val="none" w:sz="0" w:space="0" w:color="auto"/>
                    <w:bottom w:val="none" w:sz="0" w:space="0" w:color="auto"/>
                    <w:right w:val="none" w:sz="0" w:space="0" w:color="auto"/>
                  </w:divBdr>
                  <w:divsChild>
                    <w:div w:id="12945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72938">
      <w:bodyDiv w:val="1"/>
      <w:marLeft w:val="0"/>
      <w:marRight w:val="0"/>
      <w:marTop w:val="0"/>
      <w:marBottom w:val="0"/>
      <w:divBdr>
        <w:top w:val="none" w:sz="0" w:space="0" w:color="auto"/>
        <w:left w:val="none" w:sz="0" w:space="0" w:color="auto"/>
        <w:bottom w:val="none" w:sz="0" w:space="0" w:color="auto"/>
        <w:right w:val="none" w:sz="0" w:space="0" w:color="auto"/>
      </w:divBdr>
    </w:div>
    <w:div w:id="978151400">
      <w:bodyDiv w:val="1"/>
      <w:marLeft w:val="0"/>
      <w:marRight w:val="0"/>
      <w:marTop w:val="0"/>
      <w:marBottom w:val="0"/>
      <w:divBdr>
        <w:top w:val="none" w:sz="0" w:space="0" w:color="auto"/>
        <w:left w:val="none" w:sz="0" w:space="0" w:color="auto"/>
        <w:bottom w:val="none" w:sz="0" w:space="0" w:color="auto"/>
        <w:right w:val="none" w:sz="0" w:space="0" w:color="auto"/>
      </w:divBdr>
    </w:div>
    <w:div w:id="1182889942">
      <w:bodyDiv w:val="1"/>
      <w:marLeft w:val="0"/>
      <w:marRight w:val="0"/>
      <w:marTop w:val="0"/>
      <w:marBottom w:val="0"/>
      <w:divBdr>
        <w:top w:val="none" w:sz="0" w:space="0" w:color="auto"/>
        <w:left w:val="none" w:sz="0" w:space="0" w:color="auto"/>
        <w:bottom w:val="none" w:sz="0" w:space="0" w:color="auto"/>
        <w:right w:val="none" w:sz="0" w:space="0" w:color="auto"/>
      </w:divBdr>
    </w:div>
    <w:div w:id="1422798512">
      <w:bodyDiv w:val="1"/>
      <w:marLeft w:val="0"/>
      <w:marRight w:val="0"/>
      <w:marTop w:val="0"/>
      <w:marBottom w:val="0"/>
      <w:divBdr>
        <w:top w:val="none" w:sz="0" w:space="0" w:color="auto"/>
        <w:left w:val="none" w:sz="0" w:space="0" w:color="auto"/>
        <w:bottom w:val="none" w:sz="0" w:space="0" w:color="auto"/>
        <w:right w:val="none" w:sz="0" w:space="0" w:color="auto"/>
      </w:divBdr>
    </w:div>
    <w:div w:id="1458990587">
      <w:bodyDiv w:val="1"/>
      <w:marLeft w:val="0"/>
      <w:marRight w:val="0"/>
      <w:marTop w:val="0"/>
      <w:marBottom w:val="0"/>
      <w:divBdr>
        <w:top w:val="none" w:sz="0" w:space="0" w:color="auto"/>
        <w:left w:val="none" w:sz="0" w:space="0" w:color="auto"/>
        <w:bottom w:val="none" w:sz="0" w:space="0" w:color="auto"/>
        <w:right w:val="none" w:sz="0" w:space="0" w:color="auto"/>
      </w:divBdr>
    </w:div>
    <w:div w:id="1496218653">
      <w:bodyDiv w:val="1"/>
      <w:marLeft w:val="0"/>
      <w:marRight w:val="0"/>
      <w:marTop w:val="0"/>
      <w:marBottom w:val="0"/>
      <w:divBdr>
        <w:top w:val="none" w:sz="0" w:space="0" w:color="auto"/>
        <w:left w:val="none" w:sz="0" w:space="0" w:color="auto"/>
        <w:bottom w:val="none" w:sz="0" w:space="0" w:color="auto"/>
        <w:right w:val="none" w:sz="0" w:space="0" w:color="auto"/>
      </w:divBdr>
    </w:div>
    <w:div w:id="1580864660">
      <w:bodyDiv w:val="1"/>
      <w:marLeft w:val="0"/>
      <w:marRight w:val="0"/>
      <w:marTop w:val="0"/>
      <w:marBottom w:val="0"/>
      <w:divBdr>
        <w:top w:val="none" w:sz="0" w:space="0" w:color="auto"/>
        <w:left w:val="none" w:sz="0" w:space="0" w:color="auto"/>
        <w:bottom w:val="none" w:sz="0" w:space="0" w:color="auto"/>
        <w:right w:val="none" w:sz="0" w:space="0" w:color="auto"/>
      </w:divBdr>
      <w:divsChild>
        <w:div w:id="519247676">
          <w:marLeft w:val="0"/>
          <w:marRight w:val="0"/>
          <w:marTop w:val="0"/>
          <w:marBottom w:val="0"/>
          <w:divBdr>
            <w:top w:val="none" w:sz="0" w:space="0" w:color="auto"/>
            <w:left w:val="none" w:sz="0" w:space="0" w:color="auto"/>
            <w:bottom w:val="none" w:sz="0" w:space="0" w:color="auto"/>
            <w:right w:val="none" w:sz="0" w:space="0" w:color="auto"/>
          </w:divBdr>
        </w:div>
      </w:divsChild>
    </w:div>
    <w:div w:id="1615164096">
      <w:bodyDiv w:val="1"/>
      <w:marLeft w:val="0"/>
      <w:marRight w:val="0"/>
      <w:marTop w:val="0"/>
      <w:marBottom w:val="0"/>
      <w:divBdr>
        <w:top w:val="none" w:sz="0" w:space="0" w:color="auto"/>
        <w:left w:val="none" w:sz="0" w:space="0" w:color="auto"/>
        <w:bottom w:val="none" w:sz="0" w:space="0" w:color="auto"/>
        <w:right w:val="none" w:sz="0" w:space="0" w:color="auto"/>
      </w:divBdr>
    </w:div>
    <w:div w:id="1696270149">
      <w:bodyDiv w:val="1"/>
      <w:marLeft w:val="0"/>
      <w:marRight w:val="0"/>
      <w:marTop w:val="0"/>
      <w:marBottom w:val="0"/>
      <w:divBdr>
        <w:top w:val="none" w:sz="0" w:space="0" w:color="auto"/>
        <w:left w:val="none" w:sz="0" w:space="0" w:color="auto"/>
        <w:bottom w:val="none" w:sz="0" w:space="0" w:color="auto"/>
        <w:right w:val="none" w:sz="0" w:space="0" w:color="auto"/>
      </w:divBdr>
      <w:divsChild>
        <w:div w:id="1238049814">
          <w:marLeft w:val="0"/>
          <w:marRight w:val="0"/>
          <w:marTop w:val="0"/>
          <w:marBottom w:val="0"/>
          <w:divBdr>
            <w:top w:val="none" w:sz="0" w:space="0" w:color="auto"/>
            <w:left w:val="none" w:sz="0" w:space="0" w:color="auto"/>
            <w:bottom w:val="none" w:sz="0" w:space="0" w:color="auto"/>
            <w:right w:val="none" w:sz="0" w:space="0" w:color="auto"/>
          </w:divBdr>
          <w:divsChild>
            <w:div w:id="20674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2618">
      <w:bodyDiv w:val="1"/>
      <w:marLeft w:val="0"/>
      <w:marRight w:val="0"/>
      <w:marTop w:val="0"/>
      <w:marBottom w:val="0"/>
      <w:divBdr>
        <w:top w:val="none" w:sz="0" w:space="0" w:color="auto"/>
        <w:left w:val="none" w:sz="0" w:space="0" w:color="auto"/>
        <w:bottom w:val="none" w:sz="0" w:space="0" w:color="auto"/>
        <w:right w:val="none" w:sz="0" w:space="0" w:color="auto"/>
      </w:divBdr>
    </w:div>
    <w:div w:id="1785884325">
      <w:bodyDiv w:val="1"/>
      <w:marLeft w:val="0"/>
      <w:marRight w:val="0"/>
      <w:marTop w:val="0"/>
      <w:marBottom w:val="0"/>
      <w:divBdr>
        <w:top w:val="none" w:sz="0" w:space="0" w:color="auto"/>
        <w:left w:val="none" w:sz="0" w:space="0" w:color="auto"/>
        <w:bottom w:val="none" w:sz="0" w:space="0" w:color="auto"/>
        <w:right w:val="none" w:sz="0" w:space="0" w:color="auto"/>
      </w:divBdr>
    </w:div>
    <w:div w:id="1789858266">
      <w:bodyDiv w:val="1"/>
      <w:marLeft w:val="0"/>
      <w:marRight w:val="0"/>
      <w:marTop w:val="0"/>
      <w:marBottom w:val="0"/>
      <w:divBdr>
        <w:top w:val="none" w:sz="0" w:space="0" w:color="auto"/>
        <w:left w:val="none" w:sz="0" w:space="0" w:color="auto"/>
        <w:bottom w:val="none" w:sz="0" w:space="0" w:color="auto"/>
        <w:right w:val="none" w:sz="0" w:space="0" w:color="auto"/>
      </w:divBdr>
    </w:div>
    <w:div w:id="1962375112">
      <w:bodyDiv w:val="1"/>
      <w:marLeft w:val="0"/>
      <w:marRight w:val="0"/>
      <w:marTop w:val="0"/>
      <w:marBottom w:val="0"/>
      <w:divBdr>
        <w:top w:val="none" w:sz="0" w:space="0" w:color="auto"/>
        <w:left w:val="none" w:sz="0" w:space="0" w:color="auto"/>
        <w:bottom w:val="none" w:sz="0" w:space="0" w:color="auto"/>
        <w:right w:val="none" w:sz="0" w:space="0" w:color="auto"/>
      </w:divBdr>
      <w:divsChild>
        <w:div w:id="1834836194">
          <w:marLeft w:val="0"/>
          <w:marRight w:val="0"/>
          <w:marTop w:val="0"/>
          <w:marBottom w:val="0"/>
          <w:divBdr>
            <w:top w:val="none" w:sz="0" w:space="0" w:color="auto"/>
            <w:left w:val="none" w:sz="0" w:space="0" w:color="auto"/>
            <w:bottom w:val="none" w:sz="0" w:space="0" w:color="auto"/>
            <w:right w:val="none" w:sz="0" w:space="0" w:color="auto"/>
          </w:divBdr>
          <w:divsChild>
            <w:div w:id="395323177">
              <w:marLeft w:val="0"/>
              <w:marRight w:val="0"/>
              <w:marTop w:val="0"/>
              <w:marBottom w:val="0"/>
              <w:divBdr>
                <w:top w:val="none" w:sz="0" w:space="0" w:color="auto"/>
                <w:left w:val="none" w:sz="0" w:space="0" w:color="auto"/>
                <w:bottom w:val="none" w:sz="0" w:space="0" w:color="auto"/>
                <w:right w:val="none" w:sz="0" w:space="0" w:color="auto"/>
              </w:divBdr>
              <w:divsChild>
                <w:div w:id="1486967828">
                  <w:marLeft w:val="0"/>
                  <w:marRight w:val="0"/>
                  <w:marTop w:val="0"/>
                  <w:marBottom w:val="0"/>
                  <w:divBdr>
                    <w:top w:val="none" w:sz="0" w:space="0" w:color="auto"/>
                    <w:left w:val="none" w:sz="0" w:space="0" w:color="auto"/>
                    <w:bottom w:val="none" w:sz="0" w:space="0" w:color="auto"/>
                    <w:right w:val="none" w:sz="0" w:space="0" w:color="auto"/>
                  </w:divBdr>
                  <w:divsChild>
                    <w:div w:id="1532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415">
      <w:bodyDiv w:val="1"/>
      <w:marLeft w:val="0"/>
      <w:marRight w:val="0"/>
      <w:marTop w:val="0"/>
      <w:marBottom w:val="0"/>
      <w:divBdr>
        <w:top w:val="none" w:sz="0" w:space="0" w:color="auto"/>
        <w:left w:val="none" w:sz="0" w:space="0" w:color="auto"/>
        <w:bottom w:val="none" w:sz="0" w:space="0" w:color="auto"/>
        <w:right w:val="none" w:sz="0" w:space="0" w:color="auto"/>
      </w:divBdr>
      <w:divsChild>
        <w:div w:id="485708178">
          <w:marLeft w:val="0"/>
          <w:marRight w:val="0"/>
          <w:marTop w:val="0"/>
          <w:marBottom w:val="0"/>
          <w:divBdr>
            <w:top w:val="none" w:sz="0" w:space="0" w:color="auto"/>
            <w:left w:val="none" w:sz="0" w:space="0" w:color="auto"/>
            <w:bottom w:val="none" w:sz="0" w:space="0" w:color="auto"/>
            <w:right w:val="none" w:sz="0" w:space="0" w:color="auto"/>
          </w:divBdr>
        </w:div>
      </w:divsChild>
    </w:div>
    <w:div w:id="2049181310">
      <w:bodyDiv w:val="1"/>
      <w:marLeft w:val="0"/>
      <w:marRight w:val="0"/>
      <w:marTop w:val="0"/>
      <w:marBottom w:val="0"/>
      <w:divBdr>
        <w:top w:val="none" w:sz="0" w:space="0" w:color="auto"/>
        <w:left w:val="none" w:sz="0" w:space="0" w:color="auto"/>
        <w:bottom w:val="none" w:sz="0" w:space="0" w:color="auto"/>
        <w:right w:val="none" w:sz="0" w:space="0" w:color="auto"/>
      </w:divBdr>
    </w:div>
    <w:div w:id="2142069448">
      <w:bodyDiv w:val="1"/>
      <w:marLeft w:val="0"/>
      <w:marRight w:val="0"/>
      <w:marTop w:val="0"/>
      <w:marBottom w:val="0"/>
      <w:divBdr>
        <w:top w:val="none" w:sz="0" w:space="0" w:color="auto"/>
        <w:left w:val="none" w:sz="0" w:space="0" w:color="auto"/>
        <w:bottom w:val="none" w:sz="0" w:space="0" w:color="auto"/>
        <w:right w:val="none" w:sz="0" w:space="0" w:color="auto"/>
      </w:divBdr>
      <w:divsChild>
        <w:div w:id="1949199454">
          <w:marLeft w:val="0"/>
          <w:marRight w:val="0"/>
          <w:marTop w:val="0"/>
          <w:marBottom w:val="0"/>
          <w:divBdr>
            <w:top w:val="none" w:sz="0" w:space="0" w:color="auto"/>
            <w:left w:val="none" w:sz="0" w:space="0" w:color="auto"/>
            <w:bottom w:val="none" w:sz="0" w:space="0" w:color="auto"/>
            <w:right w:val="none" w:sz="0" w:space="0" w:color="auto"/>
          </w:divBdr>
          <w:divsChild>
            <w:div w:id="38436732">
              <w:marLeft w:val="0"/>
              <w:marRight w:val="0"/>
              <w:marTop w:val="0"/>
              <w:marBottom w:val="0"/>
              <w:divBdr>
                <w:top w:val="none" w:sz="0" w:space="0" w:color="auto"/>
                <w:left w:val="none" w:sz="0" w:space="0" w:color="auto"/>
                <w:bottom w:val="none" w:sz="0" w:space="0" w:color="auto"/>
                <w:right w:val="none" w:sz="0" w:space="0" w:color="auto"/>
              </w:divBdr>
              <w:divsChild>
                <w:div w:id="1103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DEM.ox.ac.uk" TargetMode="External"/><Relationship Id="rId13" Type="http://schemas.openxmlformats.org/officeDocument/2006/relationships/hyperlink" Target="mailto:weiying11099@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adys_woon@nuhs.edu.s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olt@soton.ac.uk" TargetMode="External"/><Relationship Id="rId5" Type="http://schemas.openxmlformats.org/officeDocument/2006/relationships/webSettings" Target="webSettings.xml"/><Relationship Id="rId15" Type="http://schemas.openxmlformats.org/officeDocument/2006/relationships/hyperlink" Target="https://pubmed.ncbi.nlm.nih.gov/?term=Garc%C3%A9s+A&amp;cauthor_id=30721941" TargetMode="External"/><Relationship Id="rId10" Type="http://schemas.openxmlformats.org/officeDocument/2006/relationships/hyperlink" Target="mailto:docmlou200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matsuda.diabetes-smc.jp/xpoints.html" TargetMode="External"/><Relationship Id="rId14" Type="http://schemas.openxmlformats.org/officeDocument/2006/relationships/hyperlink" Target="mailto:changmeiling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B6B10-A28C-4362-AFD5-F40EDBCE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7934</Words>
  <Characters>45229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Godfrey</dc:creator>
  <cp:keywords>Key</cp:keywords>
  <dc:description/>
  <cp:lastModifiedBy>Karen Drake</cp:lastModifiedBy>
  <cp:revision>2</cp:revision>
  <cp:lastPrinted>2021-02-11T08:06:00Z</cp:lastPrinted>
  <dcterms:created xsi:type="dcterms:W3CDTF">2021-02-11T10:38:00Z</dcterms:created>
  <dcterms:modified xsi:type="dcterms:W3CDTF">2021-02-11T10:38:00Z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Irma.SilvaZolezzi@rdsg.nestle.com</vt:lpwstr>
  </property>
  <property fmtid="{D5CDD505-2E9C-101B-9397-08002B2CF9AE}" pid="5" name="MSIP_Label_1ada0a2f-b917-4d51-b0d0-d418a10c8b23_SetDate">
    <vt:lpwstr>2020-02-18T07:25:05.3866563Z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0bcaf41c-3c57-42e4-96a1-ae611fdcae38</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