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BB80C" w14:textId="77777777" w:rsidR="00E46153" w:rsidRDefault="00981FAD" w:rsidP="00D801D6">
      <w:pPr>
        <w:spacing w:line="480" w:lineRule="auto"/>
        <w:rPr>
          <w:rFonts w:asciiTheme="minorHAnsi" w:eastAsia="Calibri" w:hAnsiTheme="minorHAnsi" w:cs="Arial"/>
          <w:b/>
          <w:bCs/>
        </w:rPr>
      </w:pPr>
      <w:r>
        <w:rPr>
          <w:rFonts w:asciiTheme="minorHAnsi" w:eastAsia="Calibri" w:hAnsiTheme="minorHAnsi" w:cs="Arial"/>
          <w:b/>
          <w:bCs/>
        </w:rPr>
        <w:t>Oesophageal cancer: The effect of early nutrition support on clinical outcomes</w:t>
      </w:r>
      <w:bookmarkStart w:id="0" w:name="_GoBack"/>
      <w:bookmarkEnd w:id="0"/>
    </w:p>
    <w:p w14:paraId="55306672" w14:textId="09D064A1" w:rsidR="00E46153" w:rsidRDefault="004F09D0" w:rsidP="00D801D6">
      <w:pPr>
        <w:spacing w:line="480" w:lineRule="auto"/>
        <w:rPr>
          <w:rFonts w:asciiTheme="minorHAnsi" w:eastAsia="Calibri" w:hAnsiTheme="minorHAnsi" w:cs="Arial"/>
        </w:rPr>
      </w:pPr>
      <w:r>
        <w:rPr>
          <w:rFonts w:asciiTheme="minorHAnsi" w:eastAsia="Calibri" w:hAnsiTheme="minorHAnsi" w:cs="Arial"/>
        </w:rPr>
        <w:t>Davies</w:t>
      </w:r>
      <w:r w:rsidR="00981FAD">
        <w:rPr>
          <w:rFonts w:asciiTheme="minorHAnsi" w:eastAsia="Calibri" w:hAnsiTheme="minorHAnsi" w:cs="Arial"/>
          <w:b/>
          <w:bCs/>
        </w:rPr>
        <w:t xml:space="preserve"> </w:t>
      </w:r>
      <w:r w:rsidR="00981FAD">
        <w:rPr>
          <w:rFonts w:asciiTheme="minorHAnsi" w:eastAsia="Calibri" w:hAnsiTheme="minorHAnsi" w:cs="Arial"/>
        </w:rPr>
        <w:t xml:space="preserve">S.J </w:t>
      </w:r>
      <w:r>
        <w:rPr>
          <w:rFonts w:asciiTheme="minorHAnsi" w:eastAsia="Calibri" w:hAnsiTheme="minorHAnsi" w:cs="Arial"/>
          <w:vertAlign w:val="superscript"/>
        </w:rPr>
        <w:t>1</w:t>
      </w:r>
      <w:r>
        <w:rPr>
          <w:rFonts w:asciiTheme="minorHAnsi" w:eastAsia="Calibri" w:hAnsiTheme="minorHAnsi" w:cs="Arial"/>
        </w:rPr>
        <w:t xml:space="preserve">, </w:t>
      </w:r>
      <w:r w:rsidR="00235DC0" w:rsidRPr="008B60FD">
        <w:rPr>
          <w:rFonts w:asciiTheme="minorHAnsi" w:eastAsia="Calibri" w:hAnsiTheme="minorHAnsi" w:cs="Arial"/>
        </w:rPr>
        <w:t>West</w:t>
      </w:r>
      <w:r w:rsidR="00235DC0" w:rsidRPr="00981FAD">
        <w:rPr>
          <w:rFonts w:asciiTheme="minorHAnsi" w:eastAsia="Calibri" w:hAnsiTheme="minorHAnsi" w:cs="Arial"/>
        </w:rPr>
        <w:t xml:space="preserve"> </w:t>
      </w:r>
      <w:r w:rsidR="00235DC0">
        <w:rPr>
          <w:rFonts w:asciiTheme="minorHAnsi" w:eastAsia="Calibri" w:hAnsiTheme="minorHAnsi" w:cs="Arial"/>
        </w:rPr>
        <w:t>M.A</w:t>
      </w:r>
      <w:r w:rsidR="00235DC0">
        <w:rPr>
          <w:rFonts w:asciiTheme="minorHAnsi" w:eastAsia="Calibri" w:hAnsiTheme="minorHAnsi" w:cs="Arial"/>
          <w:vertAlign w:val="superscript"/>
        </w:rPr>
        <w:t>2</w:t>
      </w:r>
      <w:r w:rsidR="00235DC0" w:rsidRPr="00235DC0">
        <w:rPr>
          <w:rFonts w:asciiTheme="minorHAnsi" w:eastAsia="Calibri" w:hAnsiTheme="minorHAnsi" w:cs="Arial"/>
        </w:rPr>
        <w:t xml:space="preserve">, </w:t>
      </w:r>
      <w:r w:rsidR="008770CF">
        <w:rPr>
          <w:rFonts w:asciiTheme="minorHAnsi" w:eastAsia="Calibri" w:hAnsiTheme="minorHAnsi" w:cs="Arial"/>
        </w:rPr>
        <w:t>Rahman, S.A</w:t>
      </w:r>
      <w:r w:rsidR="008770CF" w:rsidRPr="008770CF">
        <w:rPr>
          <w:rFonts w:asciiTheme="minorHAnsi" w:eastAsia="Calibri" w:hAnsiTheme="minorHAnsi" w:cs="Arial"/>
          <w:vertAlign w:val="superscript"/>
        </w:rPr>
        <w:t>2</w:t>
      </w:r>
      <w:r w:rsidR="008770CF">
        <w:rPr>
          <w:rFonts w:asciiTheme="minorHAnsi" w:eastAsia="Calibri" w:hAnsiTheme="minorHAnsi" w:cs="Arial"/>
        </w:rPr>
        <w:t xml:space="preserve">, </w:t>
      </w:r>
      <w:r>
        <w:rPr>
          <w:rFonts w:asciiTheme="minorHAnsi" w:eastAsia="Calibri" w:hAnsiTheme="minorHAnsi" w:cs="Arial"/>
        </w:rPr>
        <w:t>Underwood</w:t>
      </w:r>
      <w:r w:rsidR="00981FAD">
        <w:rPr>
          <w:rFonts w:asciiTheme="minorHAnsi" w:eastAsia="Calibri" w:hAnsiTheme="minorHAnsi" w:cs="Arial"/>
          <w:vertAlign w:val="superscript"/>
        </w:rPr>
        <w:t xml:space="preserve"> </w:t>
      </w:r>
      <w:r w:rsidR="008B60FD">
        <w:rPr>
          <w:rFonts w:asciiTheme="minorHAnsi" w:eastAsia="Calibri" w:hAnsiTheme="minorHAnsi" w:cs="Arial"/>
        </w:rPr>
        <w:t xml:space="preserve">T.J </w:t>
      </w:r>
      <w:r w:rsidR="00D51C37">
        <w:rPr>
          <w:rFonts w:asciiTheme="minorHAnsi" w:eastAsia="Calibri" w:hAnsiTheme="minorHAnsi" w:cs="Arial"/>
          <w:vertAlign w:val="superscript"/>
        </w:rPr>
        <w:t>2</w:t>
      </w:r>
      <w:r w:rsidR="008B60FD">
        <w:rPr>
          <w:rFonts w:asciiTheme="minorHAnsi" w:eastAsia="Calibri" w:hAnsiTheme="minorHAnsi" w:cs="Arial"/>
        </w:rPr>
        <w:t>,</w:t>
      </w:r>
      <w:r>
        <w:rPr>
          <w:rFonts w:asciiTheme="minorHAnsi" w:eastAsia="Calibri" w:hAnsiTheme="minorHAnsi" w:cs="Arial"/>
        </w:rPr>
        <w:t xml:space="preserve"> Marino</w:t>
      </w:r>
      <w:r w:rsidR="00981FAD" w:rsidRPr="00981FAD">
        <w:rPr>
          <w:rFonts w:asciiTheme="minorHAnsi" w:eastAsia="Calibri" w:hAnsiTheme="minorHAnsi" w:cs="Arial"/>
        </w:rPr>
        <w:t xml:space="preserve"> </w:t>
      </w:r>
      <w:r w:rsidR="008B60FD">
        <w:rPr>
          <w:rFonts w:asciiTheme="minorHAnsi" w:eastAsia="Calibri" w:hAnsiTheme="minorHAnsi" w:cs="Arial"/>
        </w:rPr>
        <w:t xml:space="preserve">L.V </w:t>
      </w:r>
      <w:r w:rsidR="00981FAD" w:rsidRPr="00981FAD">
        <w:rPr>
          <w:rFonts w:asciiTheme="minorHAnsi" w:eastAsia="Calibri" w:hAnsiTheme="minorHAnsi" w:cs="Arial"/>
          <w:vertAlign w:val="superscript"/>
        </w:rPr>
        <w:t>1,</w:t>
      </w:r>
      <w:r w:rsidR="00D51C37">
        <w:rPr>
          <w:rFonts w:asciiTheme="minorHAnsi" w:eastAsia="Calibri" w:hAnsiTheme="minorHAnsi" w:cs="Arial"/>
          <w:vertAlign w:val="superscript"/>
        </w:rPr>
        <w:t xml:space="preserve"> 3</w:t>
      </w:r>
      <w:r w:rsidR="002E3E68">
        <w:rPr>
          <w:rFonts w:asciiTheme="minorHAnsi" w:eastAsia="Calibri" w:hAnsiTheme="minorHAnsi" w:cs="Arial"/>
          <w:vertAlign w:val="superscript"/>
        </w:rPr>
        <w:t>, 4</w:t>
      </w:r>
    </w:p>
    <w:p w14:paraId="3CD70532" w14:textId="77777777" w:rsidR="008B60FD" w:rsidRDefault="004F09D0" w:rsidP="00D801D6">
      <w:pPr>
        <w:spacing w:line="480" w:lineRule="auto"/>
        <w:rPr>
          <w:rFonts w:asciiTheme="minorHAnsi" w:eastAsia="Calibri" w:hAnsiTheme="minorHAnsi" w:cs="Arial"/>
        </w:rPr>
      </w:pPr>
      <w:r>
        <w:rPr>
          <w:rFonts w:asciiTheme="minorHAnsi" w:eastAsia="Calibri" w:hAnsiTheme="minorHAnsi" w:cs="Arial"/>
        </w:rPr>
        <w:t xml:space="preserve">Affiliations: </w:t>
      </w:r>
    </w:p>
    <w:p w14:paraId="1FEF2A94" w14:textId="77777777" w:rsidR="008B60FD" w:rsidRPr="008B60FD" w:rsidRDefault="008B60FD" w:rsidP="00D801D6">
      <w:pPr>
        <w:pStyle w:val="ListParagraph"/>
        <w:numPr>
          <w:ilvl w:val="0"/>
          <w:numId w:val="3"/>
        </w:numPr>
        <w:spacing w:line="480" w:lineRule="auto"/>
        <w:rPr>
          <w:rFonts w:asciiTheme="minorHAnsi" w:eastAsia="Calibri" w:hAnsiTheme="minorHAnsi" w:cs="Arial"/>
          <w:iCs/>
        </w:rPr>
      </w:pPr>
      <w:r w:rsidRPr="008B60FD">
        <w:rPr>
          <w:rFonts w:asciiTheme="minorHAnsi" w:eastAsia="Calibri" w:hAnsiTheme="minorHAnsi" w:cs="Arial"/>
          <w:iCs/>
        </w:rPr>
        <w:t xml:space="preserve">Department of Dietetics/ Speech and Language Therapy, </w:t>
      </w:r>
      <w:r w:rsidR="004F09D0" w:rsidRPr="008B60FD">
        <w:rPr>
          <w:rFonts w:asciiTheme="minorHAnsi" w:eastAsia="Calibri" w:hAnsiTheme="minorHAnsi" w:cs="Arial"/>
          <w:iCs/>
        </w:rPr>
        <w:t>University Hospital NHS Foundation</w:t>
      </w:r>
      <w:r w:rsidR="004F09D0" w:rsidRPr="008B60FD">
        <w:rPr>
          <w:rFonts w:asciiTheme="minorHAnsi" w:eastAsia="Calibri" w:hAnsiTheme="minorHAnsi" w:cs="Arial"/>
          <w:i/>
          <w:iCs/>
        </w:rPr>
        <w:t xml:space="preserve"> </w:t>
      </w:r>
      <w:r w:rsidR="004F09D0" w:rsidRPr="008B60FD">
        <w:rPr>
          <w:rFonts w:asciiTheme="minorHAnsi" w:eastAsia="Calibri" w:hAnsiTheme="minorHAnsi" w:cs="Arial"/>
          <w:iCs/>
        </w:rPr>
        <w:t xml:space="preserve">Trust Southampton, Tremona Road, Southampton, SO16 6YD, UK </w:t>
      </w:r>
    </w:p>
    <w:p w14:paraId="35413A52" w14:textId="10162E8E" w:rsidR="00D51C37" w:rsidRPr="008B60FD" w:rsidRDefault="00565972" w:rsidP="00D801D6">
      <w:pPr>
        <w:pStyle w:val="ListParagraph"/>
        <w:numPr>
          <w:ilvl w:val="0"/>
          <w:numId w:val="3"/>
        </w:numPr>
        <w:spacing w:line="480" w:lineRule="auto"/>
        <w:rPr>
          <w:rFonts w:asciiTheme="minorHAnsi" w:eastAsia="Calibri" w:hAnsiTheme="minorHAnsi" w:cs="Arial"/>
          <w:iCs/>
        </w:rPr>
      </w:pPr>
      <w:r>
        <w:rPr>
          <w:rFonts w:asciiTheme="minorHAnsi" w:eastAsia="Calibri" w:hAnsiTheme="minorHAnsi" w:cs="Arial"/>
          <w:iCs/>
        </w:rPr>
        <w:t xml:space="preserve">School of </w:t>
      </w:r>
      <w:r w:rsidR="00D51C37" w:rsidRPr="008B60FD">
        <w:rPr>
          <w:rFonts w:asciiTheme="minorHAnsi" w:eastAsia="Calibri" w:hAnsiTheme="minorHAnsi" w:cs="Arial"/>
          <w:iCs/>
        </w:rPr>
        <w:t>Cancer Sciences, Faculty of Medicine, University of Southampton</w:t>
      </w:r>
    </w:p>
    <w:p w14:paraId="22672B5D" w14:textId="77777777" w:rsidR="008B60FD" w:rsidRPr="008B60FD" w:rsidRDefault="004F09D0" w:rsidP="00D801D6">
      <w:pPr>
        <w:pStyle w:val="ListParagraph"/>
        <w:numPr>
          <w:ilvl w:val="0"/>
          <w:numId w:val="3"/>
        </w:numPr>
        <w:spacing w:line="480" w:lineRule="auto"/>
        <w:rPr>
          <w:rFonts w:asciiTheme="minorHAnsi" w:eastAsia="Calibri" w:hAnsiTheme="minorHAnsi" w:cs="Arial"/>
          <w:iCs/>
        </w:rPr>
      </w:pPr>
      <w:r w:rsidRPr="008B60FD">
        <w:rPr>
          <w:rFonts w:asciiTheme="minorHAnsi" w:eastAsia="Calibri" w:hAnsiTheme="minorHAnsi" w:cs="Arial"/>
          <w:iCs/>
        </w:rPr>
        <w:t>NIHR Biomedical Research Centre Southampton</w:t>
      </w:r>
      <w:r w:rsidR="008B60FD" w:rsidRPr="008B60FD">
        <w:rPr>
          <w:rFonts w:asciiTheme="minorHAnsi" w:eastAsia="Calibri" w:hAnsiTheme="minorHAnsi" w:cs="Arial"/>
          <w:iCs/>
        </w:rPr>
        <w:t>, University Hospital NHS Foundation</w:t>
      </w:r>
      <w:r w:rsidR="008B60FD" w:rsidRPr="008B60FD">
        <w:rPr>
          <w:rFonts w:asciiTheme="minorHAnsi" w:eastAsia="Calibri" w:hAnsiTheme="minorHAnsi" w:cs="Arial"/>
          <w:i/>
          <w:iCs/>
        </w:rPr>
        <w:t xml:space="preserve"> </w:t>
      </w:r>
      <w:r w:rsidR="008B60FD" w:rsidRPr="008B60FD">
        <w:rPr>
          <w:rFonts w:asciiTheme="minorHAnsi" w:eastAsia="Calibri" w:hAnsiTheme="minorHAnsi" w:cs="Arial"/>
          <w:iCs/>
        </w:rPr>
        <w:t>Trust Southampton</w:t>
      </w:r>
      <w:r w:rsidRPr="008B60FD">
        <w:rPr>
          <w:rFonts w:asciiTheme="minorHAnsi" w:eastAsia="Calibri" w:hAnsiTheme="minorHAnsi" w:cs="Arial"/>
          <w:iCs/>
        </w:rPr>
        <w:t xml:space="preserve"> </w:t>
      </w:r>
    </w:p>
    <w:p w14:paraId="6AF764E0" w14:textId="77777777" w:rsidR="008B60FD" w:rsidRPr="008B60FD" w:rsidRDefault="008B60FD" w:rsidP="00D801D6">
      <w:pPr>
        <w:pStyle w:val="ListParagraph"/>
        <w:numPr>
          <w:ilvl w:val="0"/>
          <w:numId w:val="3"/>
        </w:numPr>
        <w:spacing w:line="480" w:lineRule="auto"/>
        <w:rPr>
          <w:rFonts w:asciiTheme="minorHAnsi" w:eastAsia="Calibri" w:hAnsiTheme="minorHAnsi" w:cs="Arial"/>
          <w:iCs/>
        </w:rPr>
      </w:pPr>
      <w:r w:rsidRPr="008B60FD">
        <w:rPr>
          <w:rFonts w:asciiTheme="minorHAnsi" w:eastAsia="Calibri" w:hAnsiTheme="minorHAnsi" w:cs="Arial"/>
          <w:iCs/>
        </w:rPr>
        <w:t>Nutrition and Dietetics, Faculty of Health and Well Being, University of Winchester</w:t>
      </w:r>
    </w:p>
    <w:p w14:paraId="1FF323F8" w14:textId="77777777" w:rsidR="00E46153" w:rsidRDefault="004F09D0" w:rsidP="00D801D6">
      <w:pPr>
        <w:autoSpaceDE w:val="0"/>
        <w:autoSpaceDN w:val="0"/>
        <w:adjustRightInd w:val="0"/>
        <w:spacing w:line="480" w:lineRule="auto"/>
        <w:rPr>
          <w:rFonts w:asciiTheme="minorHAnsi" w:eastAsia="Calibri" w:hAnsiTheme="minorHAnsi" w:cs="Arial"/>
        </w:rPr>
      </w:pPr>
      <w:r>
        <w:rPr>
          <w:rFonts w:asciiTheme="minorHAnsi" w:eastAsia="Calibri" w:hAnsiTheme="minorHAnsi" w:cs="Arial"/>
        </w:rPr>
        <w:t xml:space="preserve">Corresponding author: Sarah Davies; Address: University Hospitals Southampton NHS Foundation Trust, Mailpoint 32, Tremona Road, Southampton, SO16 6YD; Tel: 02381 206072; Email: </w:t>
      </w:r>
      <w:hyperlink r:id="rId9" w:history="1">
        <w:r>
          <w:rPr>
            <w:rStyle w:val="Hyperlink"/>
            <w:rFonts w:asciiTheme="minorHAnsi" w:eastAsia="Calibri" w:hAnsiTheme="minorHAnsi" w:cs="Arial"/>
          </w:rPr>
          <w:t>sarah.davies2@uhs.nhs.uk</w:t>
        </w:r>
      </w:hyperlink>
      <w:r>
        <w:rPr>
          <w:rFonts w:asciiTheme="minorHAnsi" w:eastAsia="Calibri" w:hAnsiTheme="minorHAnsi" w:cs="Arial"/>
        </w:rPr>
        <w:t xml:space="preserve"> </w:t>
      </w:r>
    </w:p>
    <w:p w14:paraId="4DB79C96" w14:textId="77777777" w:rsidR="00E46153" w:rsidRDefault="004F09D0" w:rsidP="00D801D6">
      <w:pPr>
        <w:spacing w:before="0" w:beforeAutospacing="0" w:line="480" w:lineRule="auto"/>
        <w:rPr>
          <w:rFonts w:asciiTheme="minorHAnsi" w:hAnsiTheme="minorHAnsi" w:cs="Arial"/>
          <w:u w:val="single"/>
        </w:rPr>
      </w:pPr>
      <w:r>
        <w:rPr>
          <w:rFonts w:asciiTheme="minorHAnsi" w:hAnsiTheme="minorHAnsi" w:cs="Arial"/>
          <w:u w:val="single"/>
        </w:rPr>
        <w:br w:type="page"/>
      </w:r>
    </w:p>
    <w:p w14:paraId="17FF08E0" w14:textId="77777777" w:rsidR="00E46153" w:rsidRDefault="004F09D0" w:rsidP="00D801D6">
      <w:pPr>
        <w:spacing w:after="0" w:line="480" w:lineRule="auto"/>
        <w:rPr>
          <w:rFonts w:asciiTheme="minorHAnsi" w:hAnsiTheme="minorHAnsi" w:cs="Arial"/>
          <w:b/>
        </w:rPr>
      </w:pPr>
      <w:r>
        <w:rPr>
          <w:rFonts w:asciiTheme="minorHAnsi" w:hAnsiTheme="minorHAnsi" w:cs="Arial"/>
          <w:b/>
        </w:rPr>
        <w:lastRenderedPageBreak/>
        <w:t>Abstract</w:t>
      </w:r>
    </w:p>
    <w:p w14:paraId="2E043FCF" w14:textId="77777777" w:rsidR="00C643E9" w:rsidRDefault="008B60FD" w:rsidP="00D801D6">
      <w:pPr>
        <w:spacing w:before="0" w:beforeAutospacing="0" w:after="0" w:line="480" w:lineRule="auto"/>
        <w:rPr>
          <w:rFonts w:asciiTheme="minorHAnsi" w:hAnsiTheme="minorHAnsi" w:cs="Arial"/>
        </w:rPr>
      </w:pPr>
      <w:r>
        <w:rPr>
          <w:rFonts w:asciiTheme="minorHAnsi" w:hAnsiTheme="minorHAnsi" w:cs="Arial"/>
          <w:b/>
        </w:rPr>
        <w:t>Background and</w:t>
      </w:r>
      <w:r w:rsidR="004F09D0">
        <w:rPr>
          <w:rFonts w:asciiTheme="minorHAnsi" w:hAnsiTheme="minorHAnsi" w:cs="Arial"/>
          <w:b/>
        </w:rPr>
        <w:t xml:space="preserve"> aims:</w:t>
      </w:r>
      <w:r w:rsidR="004F09D0">
        <w:rPr>
          <w:rFonts w:asciiTheme="minorHAnsi" w:hAnsiTheme="minorHAnsi" w:cs="Arial"/>
        </w:rPr>
        <w:t xml:space="preserve"> </w:t>
      </w:r>
    </w:p>
    <w:p w14:paraId="7410B825" w14:textId="1E08A7C9" w:rsidR="00E46153" w:rsidRDefault="0067356A" w:rsidP="00D801D6">
      <w:pPr>
        <w:spacing w:before="0" w:beforeAutospacing="0" w:after="0" w:line="480" w:lineRule="auto"/>
        <w:ind w:firstLine="720"/>
        <w:rPr>
          <w:rFonts w:asciiTheme="minorHAnsi" w:hAnsiTheme="minorHAnsi" w:cs="Arial"/>
        </w:rPr>
      </w:pPr>
      <w:r>
        <w:rPr>
          <w:rFonts w:asciiTheme="minorHAnsi" w:hAnsiTheme="minorHAnsi" w:cs="Arial"/>
        </w:rPr>
        <w:t>Malnutrition is prevalent in oesophageal cancer</w:t>
      </w:r>
      <w:r w:rsidR="008B60FD">
        <w:rPr>
          <w:rFonts w:asciiTheme="minorHAnsi" w:hAnsiTheme="minorHAnsi" w:cs="Arial"/>
        </w:rPr>
        <w:t xml:space="preserve">. Evidence for </w:t>
      </w:r>
      <w:r>
        <w:rPr>
          <w:rFonts w:asciiTheme="minorHAnsi" w:hAnsiTheme="minorHAnsi" w:cs="Arial"/>
        </w:rPr>
        <w:t xml:space="preserve">the use of nutrition support and prehabilitation in this cohort is </w:t>
      </w:r>
      <w:r w:rsidR="00AD69CC">
        <w:rPr>
          <w:rFonts w:asciiTheme="minorHAnsi" w:hAnsiTheme="minorHAnsi" w:cs="Arial"/>
        </w:rPr>
        <w:t>variable. Th</w:t>
      </w:r>
      <w:r w:rsidR="00CE66EF">
        <w:rPr>
          <w:rFonts w:asciiTheme="minorHAnsi" w:hAnsiTheme="minorHAnsi" w:cs="Arial"/>
        </w:rPr>
        <w:t>e aim of this</w:t>
      </w:r>
      <w:r w:rsidR="00AD69CC">
        <w:rPr>
          <w:rFonts w:asciiTheme="minorHAnsi" w:hAnsiTheme="minorHAnsi" w:cs="Arial"/>
        </w:rPr>
        <w:t xml:space="preserve"> study </w:t>
      </w:r>
      <w:r w:rsidR="00CE66EF">
        <w:rPr>
          <w:rFonts w:asciiTheme="minorHAnsi" w:hAnsiTheme="minorHAnsi" w:cs="Arial"/>
        </w:rPr>
        <w:t>was</w:t>
      </w:r>
      <w:r w:rsidR="00AD69CC">
        <w:rPr>
          <w:rFonts w:asciiTheme="minorHAnsi" w:hAnsiTheme="minorHAnsi" w:cs="Arial"/>
        </w:rPr>
        <w:t xml:space="preserve"> to examine the effect of early nutrition support and functional measure</w:t>
      </w:r>
      <w:r w:rsidR="00AC0420">
        <w:rPr>
          <w:rFonts w:asciiTheme="minorHAnsi" w:hAnsiTheme="minorHAnsi" w:cs="Arial"/>
        </w:rPr>
        <w:t>s</w:t>
      </w:r>
      <w:r w:rsidR="00AD69CC">
        <w:rPr>
          <w:rFonts w:asciiTheme="minorHAnsi" w:hAnsiTheme="minorHAnsi" w:cs="Arial"/>
        </w:rPr>
        <w:t xml:space="preserve"> of nutritional status on post</w:t>
      </w:r>
      <w:r w:rsidR="00E17471">
        <w:rPr>
          <w:rFonts w:asciiTheme="minorHAnsi" w:hAnsiTheme="minorHAnsi" w:cs="Arial"/>
        </w:rPr>
        <w:t>-</w:t>
      </w:r>
      <w:r w:rsidR="00AD69CC">
        <w:rPr>
          <w:rFonts w:asciiTheme="minorHAnsi" w:hAnsiTheme="minorHAnsi" w:cs="Arial"/>
        </w:rPr>
        <w:t>operative outcomes in adult patients with oesophageal cancer.</w:t>
      </w:r>
    </w:p>
    <w:p w14:paraId="40755C60" w14:textId="77777777" w:rsidR="00C643E9" w:rsidRDefault="004F09D0" w:rsidP="00D801D6">
      <w:pPr>
        <w:spacing w:before="0" w:beforeAutospacing="0" w:after="0" w:line="480" w:lineRule="auto"/>
        <w:rPr>
          <w:rFonts w:asciiTheme="minorHAnsi" w:hAnsiTheme="minorHAnsi" w:cs="Arial"/>
        </w:rPr>
      </w:pPr>
      <w:r>
        <w:rPr>
          <w:rFonts w:asciiTheme="minorHAnsi" w:hAnsiTheme="minorHAnsi" w:cs="Arial"/>
          <w:b/>
        </w:rPr>
        <w:t>Methods:</w:t>
      </w:r>
      <w:r>
        <w:rPr>
          <w:rFonts w:asciiTheme="minorHAnsi" w:hAnsiTheme="minorHAnsi" w:cs="Arial"/>
        </w:rPr>
        <w:t xml:space="preserve"> </w:t>
      </w:r>
    </w:p>
    <w:p w14:paraId="7165AF4E" w14:textId="29B43B67" w:rsidR="00E46153" w:rsidRPr="00DF1206" w:rsidRDefault="00747EF9" w:rsidP="00DF1206">
      <w:pPr>
        <w:spacing w:line="480" w:lineRule="auto"/>
        <w:ind w:firstLine="720"/>
      </w:pPr>
      <w:r>
        <w:rPr>
          <w:rFonts w:asciiTheme="minorHAnsi" w:hAnsiTheme="minorHAnsi" w:cs="Arial"/>
        </w:rPr>
        <w:t xml:space="preserve">Retrospective review </w:t>
      </w:r>
      <w:r w:rsidR="008770CF">
        <w:rPr>
          <w:rFonts w:asciiTheme="minorHAnsi" w:hAnsiTheme="minorHAnsi" w:cs="Arial"/>
        </w:rPr>
        <w:t xml:space="preserve">of </w:t>
      </w:r>
      <w:r w:rsidR="009E25BE">
        <w:rPr>
          <w:rFonts w:asciiTheme="minorHAnsi" w:hAnsiTheme="minorHAnsi" w:cs="Arial"/>
        </w:rPr>
        <w:t>adults with oesophageal cancer</w:t>
      </w:r>
      <w:r w:rsidR="000B7A14">
        <w:rPr>
          <w:rFonts w:asciiTheme="minorHAnsi" w:hAnsiTheme="minorHAnsi" w:cs="Arial"/>
        </w:rPr>
        <w:t xml:space="preserve"> </w:t>
      </w:r>
      <w:r>
        <w:rPr>
          <w:rFonts w:asciiTheme="minorHAnsi" w:hAnsiTheme="minorHAnsi" w:cs="Arial"/>
        </w:rPr>
        <w:t>undergoing</w:t>
      </w:r>
      <w:r w:rsidR="000B7A14">
        <w:rPr>
          <w:rFonts w:asciiTheme="minorHAnsi" w:hAnsiTheme="minorHAnsi" w:cs="Arial"/>
        </w:rPr>
        <w:t xml:space="preserve"> oesophagectomy</w:t>
      </w:r>
      <w:r w:rsidR="00C643E9">
        <w:rPr>
          <w:rFonts w:asciiTheme="minorHAnsi" w:hAnsiTheme="minorHAnsi" w:cs="Arial"/>
        </w:rPr>
        <w:t xml:space="preserve"> </w:t>
      </w:r>
      <w:r w:rsidR="00AB5496">
        <w:rPr>
          <w:rFonts w:asciiTheme="minorHAnsi" w:hAnsiTheme="minorHAnsi" w:cs="Arial"/>
        </w:rPr>
        <w:t>(n=151</w:t>
      </w:r>
      <w:r w:rsidR="0067356A">
        <w:rPr>
          <w:rFonts w:asciiTheme="minorHAnsi" w:hAnsiTheme="minorHAnsi" w:cs="Arial"/>
        </w:rPr>
        <w:t>)</w:t>
      </w:r>
      <w:r w:rsidR="007C4604">
        <w:rPr>
          <w:rFonts w:asciiTheme="minorHAnsi" w:hAnsiTheme="minorHAnsi" w:cs="Arial"/>
        </w:rPr>
        <w:t xml:space="preserve">. </w:t>
      </w:r>
      <w:r w:rsidR="00DF1206" w:rsidRPr="00B15A7E">
        <w:rPr>
          <w:rFonts w:cs="Arial"/>
        </w:rPr>
        <w:t xml:space="preserve">Early nutrition support was defined as: oral or enteral nutrition supplementation during neoadjuvant treatment. Late nutrition support defined as: </w:t>
      </w:r>
      <w:r w:rsidR="00DF1206" w:rsidRPr="00B15A7E">
        <w:rPr>
          <w:rFonts w:asciiTheme="minorHAnsi" w:hAnsiTheme="minorHAnsi" w:cs="Arial"/>
        </w:rPr>
        <w:t>oral or enteral nutrition supplementation prescribed post-operatively</w:t>
      </w:r>
      <w:r w:rsidR="00DF1206">
        <w:rPr>
          <w:rFonts w:asciiTheme="minorHAnsi" w:hAnsiTheme="minorHAnsi" w:cs="Arial"/>
        </w:rPr>
        <w:t>.</w:t>
      </w:r>
      <w:r w:rsidR="00C643E9" w:rsidRPr="003A1BA8">
        <w:rPr>
          <w:rFonts w:asciiTheme="minorHAnsi" w:hAnsiTheme="minorHAnsi" w:cs="Arial"/>
          <w:color w:val="FF0000"/>
        </w:rPr>
        <w:t xml:space="preserve"> </w:t>
      </w:r>
      <w:r>
        <w:rPr>
          <w:rFonts w:asciiTheme="minorHAnsi" w:hAnsiTheme="minorHAnsi" w:cs="Arial"/>
        </w:rPr>
        <w:t xml:space="preserve">Nutrition outcome measures </w:t>
      </w:r>
      <w:r w:rsidR="008770CF">
        <w:rPr>
          <w:rFonts w:asciiTheme="minorHAnsi" w:hAnsiTheme="minorHAnsi" w:cs="Arial"/>
        </w:rPr>
        <w:t>were;</w:t>
      </w:r>
      <w:r w:rsidR="00C643E9">
        <w:rPr>
          <w:rFonts w:asciiTheme="minorHAnsi" w:hAnsiTheme="minorHAnsi" w:cs="Arial"/>
        </w:rPr>
        <w:t xml:space="preserve"> percentage w</w:t>
      </w:r>
      <w:r w:rsidR="0067356A">
        <w:rPr>
          <w:rFonts w:asciiTheme="minorHAnsi" w:hAnsiTheme="minorHAnsi" w:cs="Arial"/>
        </w:rPr>
        <w:t xml:space="preserve">eight loss </w:t>
      </w:r>
      <w:r w:rsidR="003852ED">
        <w:rPr>
          <w:rFonts w:asciiTheme="minorHAnsi" w:hAnsiTheme="minorHAnsi" w:cs="Arial"/>
        </w:rPr>
        <w:t xml:space="preserve">from </w:t>
      </w:r>
      <w:r w:rsidR="0067356A">
        <w:rPr>
          <w:rFonts w:asciiTheme="minorHAnsi" w:hAnsiTheme="minorHAnsi" w:cs="Arial"/>
        </w:rPr>
        <w:t>3-6 months prior to diagnosis</w:t>
      </w:r>
      <w:r w:rsidR="003852ED">
        <w:rPr>
          <w:rFonts w:asciiTheme="minorHAnsi" w:hAnsiTheme="minorHAnsi" w:cs="Arial"/>
        </w:rPr>
        <w:t xml:space="preserve">, peri- and post-operatively, </w:t>
      </w:r>
      <w:r>
        <w:rPr>
          <w:rFonts w:asciiTheme="minorHAnsi" w:hAnsiTheme="minorHAnsi" w:cs="Arial"/>
        </w:rPr>
        <w:t>and</w:t>
      </w:r>
      <w:r w:rsidR="006939ED">
        <w:rPr>
          <w:rFonts w:asciiTheme="minorHAnsi" w:hAnsiTheme="minorHAnsi" w:cs="Arial"/>
        </w:rPr>
        <w:t xml:space="preserve"> pre</w:t>
      </w:r>
      <w:r w:rsidR="00E17471">
        <w:rPr>
          <w:rFonts w:asciiTheme="minorHAnsi" w:hAnsiTheme="minorHAnsi" w:cs="Arial"/>
        </w:rPr>
        <w:t>-</w:t>
      </w:r>
      <w:r w:rsidR="006939ED">
        <w:rPr>
          <w:rFonts w:asciiTheme="minorHAnsi" w:hAnsiTheme="minorHAnsi" w:cs="Arial"/>
        </w:rPr>
        <w:t>operative</w:t>
      </w:r>
      <w:r w:rsidR="003852ED">
        <w:rPr>
          <w:rFonts w:asciiTheme="minorHAnsi" w:hAnsiTheme="minorHAnsi" w:cs="Arial"/>
        </w:rPr>
        <w:t xml:space="preserve"> </w:t>
      </w:r>
      <w:r w:rsidR="006939ED">
        <w:rPr>
          <w:rFonts w:asciiTheme="minorHAnsi" w:hAnsiTheme="minorHAnsi" w:cs="Arial"/>
        </w:rPr>
        <w:t>assessment</w:t>
      </w:r>
      <w:r w:rsidR="006939ED" w:rsidDel="003852ED">
        <w:rPr>
          <w:rFonts w:asciiTheme="minorHAnsi" w:hAnsiTheme="minorHAnsi" w:cs="Arial"/>
        </w:rPr>
        <w:t xml:space="preserve"> </w:t>
      </w:r>
      <w:r w:rsidR="006939ED">
        <w:rPr>
          <w:rFonts w:asciiTheme="minorHAnsi" w:hAnsiTheme="minorHAnsi" w:cs="Arial"/>
        </w:rPr>
        <w:t>of</w:t>
      </w:r>
      <w:r w:rsidR="003852ED">
        <w:rPr>
          <w:rFonts w:asciiTheme="minorHAnsi" w:hAnsiTheme="minorHAnsi" w:cs="Arial"/>
        </w:rPr>
        <w:t xml:space="preserve"> h</w:t>
      </w:r>
      <w:r w:rsidR="0067356A">
        <w:rPr>
          <w:rFonts w:asciiTheme="minorHAnsi" w:hAnsiTheme="minorHAnsi" w:cs="Arial"/>
        </w:rPr>
        <w:t>andgrip</w:t>
      </w:r>
      <w:r w:rsidR="008770CF">
        <w:rPr>
          <w:rFonts w:asciiTheme="minorHAnsi" w:hAnsiTheme="minorHAnsi" w:cs="Arial"/>
        </w:rPr>
        <w:t>-</w:t>
      </w:r>
      <w:r w:rsidR="0067356A">
        <w:rPr>
          <w:rFonts w:asciiTheme="minorHAnsi" w:hAnsiTheme="minorHAnsi" w:cs="Arial"/>
        </w:rPr>
        <w:t>strength (HGS)</w:t>
      </w:r>
      <w:r w:rsidR="00CE66EF">
        <w:rPr>
          <w:rFonts w:asciiTheme="minorHAnsi" w:hAnsiTheme="minorHAnsi" w:cs="Arial"/>
        </w:rPr>
        <w:t>.</w:t>
      </w:r>
      <w:r w:rsidR="0067356A">
        <w:rPr>
          <w:rFonts w:asciiTheme="minorHAnsi" w:hAnsiTheme="minorHAnsi" w:cs="Arial"/>
        </w:rPr>
        <w:t xml:space="preserve"> </w:t>
      </w:r>
      <w:r w:rsidR="00DF1206">
        <w:rPr>
          <w:rFonts w:asciiTheme="minorHAnsi" w:hAnsiTheme="minorHAnsi" w:cs="Arial"/>
        </w:rPr>
        <w:t xml:space="preserve"> </w:t>
      </w:r>
    </w:p>
    <w:p w14:paraId="65033AC5" w14:textId="77777777" w:rsidR="003852ED" w:rsidRDefault="004F09D0" w:rsidP="00D801D6">
      <w:pPr>
        <w:tabs>
          <w:tab w:val="left" w:pos="1560"/>
        </w:tabs>
        <w:spacing w:before="0" w:beforeAutospacing="0" w:after="0" w:line="480" w:lineRule="auto"/>
        <w:rPr>
          <w:rFonts w:asciiTheme="minorHAnsi" w:hAnsiTheme="minorHAnsi" w:cs="Arial"/>
        </w:rPr>
      </w:pPr>
      <w:r>
        <w:rPr>
          <w:rFonts w:asciiTheme="minorHAnsi" w:hAnsiTheme="minorHAnsi" w:cs="Arial"/>
          <w:b/>
        </w:rPr>
        <w:t>Results:</w:t>
      </w:r>
      <w:r>
        <w:rPr>
          <w:rFonts w:asciiTheme="minorHAnsi" w:hAnsiTheme="minorHAnsi" w:cs="Arial"/>
        </w:rPr>
        <w:t xml:space="preserve"> </w:t>
      </w:r>
    </w:p>
    <w:p w14:paraId="47F28616" w14:textId="5F17FEA9" w:rsidR="006939ED" w:rsidRDefault="003852ED" w:rsidP="00D801D6">
      <w:pPr>
        <w:tabs>
          <w:tab w:val="left" w:pos="1560"/>
        </w:tabs>
        <w:spacing w:before="0" w:beforeAutospacing="0" w:after="0" w:line="480" w:lineRule="auto"/>
        <w:rPr>
          <w:rFonts w:asciiTheme="minorHAnsi" w:hAnsiTheme="minorHAnsi" w:cs="Arial"/>
        </w:rPr>
      </w:pPr>
      <w:r>
        <w:rPr>
          <w:rFonts w:asciiTheme="minorHAnsi" w:hAnsiTheme="minorHAnsi" w:cs="Arial"/>
        </w:rPr>
        <w:t xml:space="preserve">               </w:t>
      </w:r>
      <w:r w:rsidR="00720F4C" w:rsidRPr="00064FE8">
        <w:rPr>
          <w:rFonts w:asciiTheme="minorHAnsi" w:hAnsiTheme="minorHAnsi" w:cs="Arial"/>
        </w:rPr>
        <w:t>Pre</w:t>
      </w:r>
      <w:r w:rsidR="00720F4C">
        <w:rPr>
          <w:rFonts w:asciiTheme="minorHAnsi" w:hAnsiTheme="minorHAnsi" w:cs="Arial"/>
        </w:rPr>
        <w:t>-</w:t>
      </w:r>
      <w:r w:rsidR="00720F4C" w:rsidRPr="00064FE8">
        <w:rPr>
          <w:rFonts w:asciiTheme="minorHAnsi" w:hAnsiTheme="minorHAnsi" w:cs="Arial"/>
        </w:rPr>
        <w:t xml:space="preserve">operative weight loss </w:t>
      </w:r>
      <w:r w:rsidR="00720F4C" w:rsidRPr="00064FE8">
        <w:rPr>
          <w:rFonts w:asciiTheme="minorHAnsi" w:hAnsiTheme="minorHAnsi" w:cstheme="minorHAnsi"/>
        </w:rPr>
        <w:t>≥</w:t>
      </w:r>
      <w:r w:rsidR="00720F4C" w:rsidRPr="00064FE8">
        <w:rPr>
          <w:rFonts w:asciiTheme="minorHAnsi" w:hAnsiTheme="minorHAnsi" w:cs="Arial"/>
        </w:rPr>
        <w:t xml:space="preserve">10% was </w:t>
      </w:r>
      <w:r w:rsidR="00720F4C" w:rsidRPr="00064FE8">
        <w:t>a significant predictor of mortality at 1 year (OR 3.19, 95% CI 1.18-8.61, p=0.02</w:t>
      </w:r>
      <w:r w:rsidR="008770CF">
        <w:t xml:space="preserve">) independent of tumour </w:t>
      </w:r>
      <w:r w:rsidR="003A100D">
        <w:t>stage,</w:t>
      </w:r>
      <w:r w:rsidR="006C765E">
        <w:t xml:space="preserve"> adjuvant treatment,</w:t>
      </w:r>
      <w:r w:rsidR="003A100D">
        <w:t xml:space="preserve"> age and gender</w:t>
      </w:r>
      <w:r w:rsidR="00720F4C" w:rsidRPr="00064FE8">
        <w:rPr>
          <w:rFonts w:asciiTheme="minorHAnsi" w:hAnsiTheme="minorHAnsi" w:cs="Arial"/>
        </w:rPr>
        <w:t xml:space="preserve">. </w:t>
      </w:r>
      <w:r w:rsidR="009E25BE">
        <w:rPr>
          <w:rFonts w:asciiTheme="minorHAnsi" w:hAnsiTheme="minorHAnsi" w:cs="Arial"/>
        </w:rPr>
        <w:t>Adult</w:t>
      </w:r>
      <w:r w:rsidR="0067356A">
        <w:rPr>
          <w:rFonts w:asciiTheme="minorHAnsi" w:hAnsiTheme="minorHAnsi" w:cs="Arial"/>
        </w:rPr>
        <w:t>s</w:t>
      </w:r>
      <w:r w:rsidR="009E25BE">
        <w:rPr>
          <w:rFonts w:asciiTheme="minorHAnsi" w:hAnsiTheme="minorHAnsi" w:cs="Arial"/>
        </w:rPr>
        <w:t xml:space="preserve"> </w:t>
      </w:r>
      <w:r>
        <w:rPr>
          <w:rFonts w:asciiTheme="minorHAnsi" w:hAnsiTheme="minorHAnsi" w:cs="Arial"/>
        </w:rPr>
        <w:t xml:space="preserve">prescribed </w:t>
      </w:r>
      <w:r w:rsidR="0067356A">
        <w:rPr>
          <w:rFonts w:asciiTheme="minorHAnsi" w:hAnsiTheme="minorHAnsi" w:cs="Arial"/>
        </w:rPr>
        <w:t xml:space="preserve">early nutrition support during neoadjuvant treatment </w:t>
      </w:r>
      <w:r w:rsidR="009E25BE">
        <w:rPr>
          <w:rFonts w:asciiTheme="minorHAnsi" w:hAnsiTheme="minorHAnsi" w:cs="Arial"/>
        </w:rPr>
        <w:t>experienced l</w:t>
      </w:r>
      <w:r>
        <w:rPr>
          <w:rFonts w:asciiTheme="minorHAnsi" w:hAnsiTheme="minorHAnsi" w:cs="Arial"/>
        </w:rPr>
        <w:t>ess</w:t>
      </w:r>
      <w:r w:rsidR="009E25BE">
        <w:rPr>
          <w:rFonts w:asciiTheme="minorHAnsi" w:hAnsiTheme="minorHAnsi" w:cs="Arial"/>
        </w:rPr>
        <w:t xml:space="preserve"> weight loss </w:t>
      </w:r>
      <w:r w:rsidR="006939ED">
        <w:rPr>
          <w:rFonts w:asciiTheme="minorHAnsi" w:hAnsiTheme="minorHAnsi" w:cs="Arial"/>
        </w:rPr>
        <w:t xml:space="preserve">at </w:t>
      </w:r>
      <w:r>
        <w:rPr>
          <w:rFonts w:asciiTheme="minorHAnsi" w:hAnsiTheme="minorHAnsi" w:cs="Arial"/>
        </w:rPr>
        <w:t>12-</w:t>
      </w:r>
      <w:r w:rsidR="0067356A">
        <w:rPr>
          <w:rFonts w:asciiTheme="minorHAnsi" w:hAnsiTheme="minorHAnsi" w:cs="Arial"/>
        </w:rPr>
        <w:t>months</w:t>
      </w:r>
      <w:r w:rsidR="00AC0420">
        <w:rPr>
          <w:rFonts w:asciiTheme="minorHAnsi" w:hAnsiTheme="minorHAnsi" w:cs="Arial"/>
        </w:rPr>
        <w:t xml:space="preserve"> post-</w:t>
      </w:r>
      <w:r w:rsidR="0067356A">
        <w:rPr>
          <w:rFonts w:asciiTheme="minorHAnsi" w:hAnsiTheme="minorHAnsi" w:cs="Arial"/>
        </w:rPr>
        <w:t>oesopha</w:t>
      </w:r>
      <w:r w:rsidR="00AC0420">
        <w:rPr>
          <w:rFonts w:asciiTheme="minorHAnsi" w:hAnsiTheme="minorHAnsi" w:cs="Arial"/>
        </w:rPr>
        <w:t xml:space="preserve">gectomy </w:t>
      </w:r>
      <w:r>
        <w:rPr>
          <w:rFonts w:asciiTheme="minorHAnsi" w:hAnsiTheme="minorHAnsi" w:cs="Arial"/>
        </w:rPr>
        <w:t>compared to adults prescribed late oral nutrition support (p=</w:t>
      </w:r>
      <w:r w:rsidR="008770CF">
        <w:rPr>
          <w:rFonts w:asciiTheme="minorHAnsi" w:hAnsiTheme="minorHAnsi" w:cs="Arial"/>
        </w:rPr>
        <w:t>&lt;</w:t>
      </w:r>
      <w:r w:rsidR="00AB5496">
        <w:rPr>
          <w:rFonts w:asciiTheme="minorHAnsi" w:hAnsiTheme="minorHAnsi" w:cs="Arial"/>
        </w:rPr>
        <w:t>0.</w:t>
      </w:r>
      <w:r w:rsidR="008770CF">
        <w:rPr>
          <w:rFonts w:asciiTheme="minorHAnsi" w:hAnsiTheme="minorHAnsi" w:cs="Arial"/>
        </w:rPr>
        <w:t>05</w:t>
      </w:r>
      <w:r w:rsidR="002561FC" w:rsidRPr="00064FE8">
        <w:rPr>
          <w:rFonts w:asciiTheme="minorHAnsi" w:hAnsiTheme="minorHAnsi" w:cs="Arial"/>
        </w:rPr>
        <w:t xml:space="preserve">). </w:t>
      </w:r>
      <w:r w:rsidRPr="00064FE8">
        <w:rPr>
          <w:rFonts w:asciiTheme="minorHAnsi" w:hAnsiTheme="minorHAnsi" w:cs="Arial"/>
        </w:rPr>
        <w:t xml:space="preserve">Pre-operative </w:t>
      </w:r>
      <w:r w:rsidR="0067356A" w:rsidRPr="00064FE8">
        <w:rPr>
          <w:rFonts w:asciiTheme="minorHAnsi" w:hAnsiTheme="minorHAnsi" w:cs="Arial"/>
        </w:rPr>
        <w:t>HGS</w:t>
      </w:r>
      <w:r w:rsidRPr="00064FE8">
        <w:rPr>
          <w:rFonts w:asciiTheme="minorHAnsi" w:hAnsiTheme="minorHAnsi" w:cs="Arial"/>
        </w:rPr>
        <w:t xml:space="preserve"> measurements</w:t>
      </w:r>
      <w:r w:rsidR="0067356A" w:rsidRPr="00064FE8">
        <w:rPr>
          <w:rFonts w:asciiTheme="minorHAnsi" w:hAnsiTheme="minorHAnsi" w:cs="Arial"/>
        </w:rPr>
        <w:t xml:space="preserve"> w</w:t>
      </w:r>
      <w:r w:rsidRPr="00064FE8">
        <w:rPr>
          <w:rFonts w:asciiTheme="minorHAnsi" w:hAnsiTheme="minorHAnsi" w:cs="Arial"/>
        </w:rPr>
        <w:t>ere</w:t>
      </w:r>
      <w:r w:rsidR="0067356A" w:rsidRPr="00064FE8">
        <w:rPr>
          <w:rFonts w:asciiTheme="minorHAnsi" w:hAnsiTheme="minorHAnsi" w:cs="Arial"/>
        </w:rPr>
        <w:t xml:space="preserve"> not</w:t>
      </w:r>
      <w:r w:rsidR="006939ED" w:rsidRPr="00064FE8">
        <w:rPr>
          <w:rFonts w:asciiTheme="minorHAnsi" w:hAnsiTheme="minorHAnsi" w:cs="Arial"/>
        </w:rPr>
        <w:t xml:space="preserve"> a useful </w:t>
      </w:r>
      <w:r w:rsidR="009E25BE" w:rsidRPr="00064FE8">
        <w:rPr>
          <w:rFonts w:asciiTheme="minorHAnsi" w:hAnsiTheme="minorHAnsi" w:cs="Arial"/>
        </w:rPr>
        <w:t>predictor of</w:t>
      </w:r>
      <w:r w:rsidR="0067356A" w:rsidRPr="00064FE8">
        <w:rPr>
          <w:rFonts w:asciiTheme="minorHAnsi" w:hAnsiTheme="minorHAnsi" w:cs="Arial"/>
        </w:rPr>
        <w:t xml:space="preserve"> postoper</w:t>
      </w:r>
      <w:r w:rsidR="00064FE8" w:rsidRPr="00064FE8">
        <w:rPr>
          <w:rFonts w:asciiTheme="minorHAnsi" w:hAnsiTheme="minorHAnsi" w:cs="Arial"/>
        </w:rPr>
        <w:t>at</w:t>
      </w:r>
      <w:r w:rsidR="008770CF">
        <w:rPr>
          <w:rFonts w:asciiTheme="minorHAnsi" w:hAnsiTheme="minorHAnsi" w:cs="Arial"/>
        </w:rPr>
        <w:t>ive complications (p=0.2</w:t>
      </w:r>
      <w:r w:rsidR="009E25BE" w:rsidRPr="00064FE8">
        <w:rPr>
          <w:rFonts w:asciiTheme="minorHAnsi" w:hAnsiTheme="minorHAnsi" w:cs="Arial"/>
        </w:rPr>
        <w:t>), length of stay</w:t>
      </w:r>
      <w:r w:rsidR="008770CF">
        <w:rPr>
          <w:rFonts w:asciiTheme="minorHAnsi" w:hAnsiTheme="minorHAnsi" w:cs="Arial"/>
        </w:rPr>
        <w:t xml:space="preserve"> (p=0.9</w:t>
      </w:r>
      <w:r w:rsidR="0067356A" w:rsidRPr="00064FE8">
        <w:rPr>
          <w:rFonts w:asciiTheme="minorHAnsi" w:hAnsiTheme="minorHAnsi" w:cs="Arial"/>
        </w:rPr>
        <w:t>) or 90</w:t>
      </w:r>
      <w:r w:rsidRPr="00064FE8">
        <w:rPr>
          <w:rFonts w:asciiTheme="minorHAnsi" w:hAnsiTheme="minorHAnsi" w:cs="Arial"/>
        </w:rPr>
        <w:t>-</w:t>
      </w:r>
      <w:r w:rsidR="0067356A" w:rsidRPr="00064FE8">
        <w:rPr>
          <w:rFonts w:asciiTheme="minorHAnsi" w:hAnsiTheme="minorHAnsi" w:cs="Arial"/>
        </w:rPr>
        <w:t>day mortality (p=0.</w:t>
      </w:r>
      <w:r w:rsidR="00064FE8" w:rsidRPr="00064FE8">
        <w:rPr>
          <w:rFonts w:asciiTheme="minorHAnsi" w:hAnsiTheme="minorHAnsi" w:cs="Arial"/>
        </w:rPr>
        <w:t>6</w:t>
      </w:r>
      <w:r w:rsidR="0067356A" w:rsidRPr="00064FE8">
        <w:rPr>
          <w:rFonts w:asciiTheme="minorHAnsi" w:hAnsiTheme="minorHAnsi" w:cs="Arial"/>
        </w:rPr>
        <w:t>).</w:t>
      </w:r>
      <w:r w:rsidR="00720F4C">
        <w:rPr>
          <w:rFonts w:asciiTheme="minorHAnsi" w:hAnsiTheme="minorHAnsi" w:cs="Arial"/>
        </w:rPr>
        <w:t xml:space="preserve"> </w:t>
      </w:r>
    </w:p>
    <w:p w14:paraId="3E0ED0C2" w14:textId="77777777" w:rsidR="003852ED" w:rsidRDefault="004F09D0" w:rsidP="00D801D6">
      <w:pPr>
        <w:tabs>
          <w:tab w:val="left" w:pos="1560"/>
        </w:tabs>
        <w:spacing w:before="0" w:beforeAutospacing="0" w:after="0" w:line="480" w:lineRule="auto"/>
        <w:rPr>
          <w:rFonts w:asciiTheme="minorHAnsi" w:hAnsiTheme="minorHAnsi" w:cs="Arial"/>
        </w:rPr>
      </w:pPr>
      <w:r>
        <w:rPr>
          <w:rFonts w:asciiTheme="minorHAnsi" w:hAnsiTheme="minorHAnsi" w:cs="Arial"/>
          <w:b/>
        </w:rPr>
        <w:t>Conclusions:</w:t>
      </w:r>
      <w:r>
        <w:rPr>
          <w:rFonts w:asciiTheme="minorHAnsi" w:hAnsiTheme="minorHAnsi" w:cs="Arial"/>
        </w:rPr>
        <w:t xml:space="preserve"> </w:t>
      </w:r>
    </w:p>
    <w:p w14:paraId="1D68E70B" w14:textId="77777777" w:rsidR="0045080C" w:rsidRDefault="003852ED" w:rsidP="00D801D6">
      <w:pPr>
        <w:tabs>
          <w:tab w:val="left" w:pos="1560"/>
        </w:tabs>
        <w:spacing w:before="0" w:beforeAutospacing="0" w:line="480" w:lineRule="auto"/>
        <w:rPr>
          <w:rFonts w:asciiTheme="minorHAnsi" w:hAnsiTheme="minorHAnsi" w:cs="Arial"/>
        </w:rPr>
      </w:pPr>
      <w:r>
        <w:rPr>
          <w:rFonts w:asciiTheme="minorHAnsi" w:hAnsiTheme="minorHAnsi" w:cs="Arial"/>
        </w:rPr>
        <w:t xml:space="preserve">               </w:t>
      </w:r>
      <w:r w:rsidR="006939ED">
        <w:rPr>
          <w:rFonts w:asciiTheme="minorHAnsi" w:hAnsiTheme="minorHAnsi" w:cs="Arial"/>
        </w:rPr>
        <w:t xml:space="preserve"> </w:t>
      </w:r>
      <w:r w:rsidR="00720F4C">
        <w:rPr>
          <w:rFonts w:asciiTheme="minorHAnsi" w:hAnsiTheme="minorHAnsi" w:cs="Arial"/>
        </w:rPr>
        <w:t xml:space="preserve">Pre-operative weight loss </w:t>
      </w:r>
      <w:r w:rsidR="00720F4C">
        <w:rPr>
          <w:rFonts w:asciiTheme="minorHAnsi" w:hAnsiTheme="minorHAnsi" w:cstheme="minorHAnsi"/>
        </w:rPr>
        <w:t>≥</w:t>
      </w:r>
      <w:r w:rsidR="00720F4C">
        <w:rPr>
          <w:rFonts w:asciiTheme="minorHAnsi" w:hAnsiTheme="minorHAnsi" w:cs="Arial"/>
        </w:rPr>
        <w:t xml:space="preserve">10% was associated with mortality. </w:t>
      </w:r>
      <w:r w:rsidR="0067356A">
        <w:rPr>
          <w:rFonts w:asciiTheme="minorHAnsi" w:hAnsiTheme="minorHAnsi" w:cs="Arial"/>
        </w:rPr>
        <w:t>Early n</w:t>
      </w:r>
      <w:r w:rsidR="006939ED">
        <w:rPr>
          <w:rFonts w:asciiTheme="minorHAnsi" w:hAnsiTheme="minorHAnsi" w:cs="Arial"/>
        </w:rPr>
        <w:t xml:space="preserve">utrition support was associated </w:t>
      </w:r>
      <w:r w:rsidR="0067356A">
        <w:rPr>
          <w:rFonts w:asciiTheme="minorHAnsi" w:hAnsiTheme="minorHAnsi" w:cs="Arial"/>
        </w:rPr>
        <w:t>with</w:t>
      </w:r>
      <w:r w:rsidR="009E25BE">
        <w:rPr>
          <w:rFonts w:asciiTheme="minorHAnsi" w:hAnsiTheme="minorHAnsi" w:cs="Arial"/>
        </w:rPr>
        <w:t xml:space="preserve"> less weight loss </w:t>
      </w:r>
      <w:r w:rsidR="005B6ADF">
        <w:rPr>
          <w:rFonts w:asciiTheme="minorHAnsi" w:hAnsiTheme="minorHAnsi" w:cs="Arial"/>
        </w:rPr>
        <w:t>at 12</w:t>
      </w:r>
      <w:r w:rsidR="00747EF9">
        <w:rPr>
          <w:rFonts w:asciiTheme="minorHAnsi" w:hAnsiTheme="minorHAnsi" w:cs="Arial"/>
        </w:rPr>
        <w:t>-</w:t>
      </w:r>
      <w:r w:rsidR="005B6ADF">
        <w:rPr>
          <w:rFonts w:asciiTheme="minorHAnsi" w:hAnsiTheme="minorHAnsi" w:cs="Arial"/>
        </w:rPr>
        <w:t xml:space="preserve">months </w:t>
      </w:r>
      <w:r w:rsidR="009E25BE">
        <w:rPr>
          <w:rFonts w:asciiTheme="minorHAnsi" w:hAnsiTheme="minorHAnsi" w:cs="Arial"/>
        </w:rPr>
        <w:t>post</w:t>
      </w:r>
      <w:r>
        <w:rPr>
          <w:rFonts w:asciiTheme="minorHAnsi" w:hAnsiTheme="minorHAnsi" w:cs="Arial"/>
        </w:rPr>
        <w:t>-</w:t>
      </w:r>
      <w:r w:rsidR="009E25BE">
        <w:rPr>
          <w:rFonts w:asciiTheme="minorHAnsi" w:hAnsiTheme="minorHAnsi" w:cs="Arial"/>
        </w:rPr>
        <w:t>operatively</w:t>
      </w:r>
      <w:r w:rsidR="0067356A">
        <w:rPr>
          <w:rFonts w:asciiTheme="minorHAnsi" w:hAnsiTheme="minorHAnsi" w:cs="Arial"/>
        </w:rPr>
        <w:t xml:space="preserve">. </w:t>
      </w:r>
      <w:r>
        <w:rPr>
          <w:rFonts w:asciiTheme="minorHAnsi" w:hAnsiTheme="minorHAnsi" w:cs="Arial"/>
        </w:rPr>
        <w:t xml:space="preserve">Pre-operative </w:t>
      </w:r>
      <w:r w:rsidR="0067356A">
        <w:rPr>
          <w:rFonts w:asciiTheme="minorHAnsi" w:hAnsiTheme="minorHAnsi" w:cs="Arial"/>
        </w:rPr>
        <w:t xml:space="preserve">HGS </w:t>
      </w:r>
      <w:r>
        <w:rPr>
          <w:rFonts w:asciiTheme="minorHAnsi" w:hAnsiTheme="minorHAnsi" w:cs="Arial"/>
        </w:rPr>
        <w:t xml:space="preserve">measures </w:t>
      </w:r>
      <w:r w:rsidR="0067356A">
        <w:rPr>
          <w:rFonts w:asciiTheme="minorHAnsi" w:hAnsiTheme="minorHAnsi" w:cs="Arial"/>
        </w:rPr>
        <w:t>did not have p</w:t>
      </w:r>
      <w:r w:rsidR="00BB154A">
        <w:rPr>
          <w:rFonts w:asciiTheme="minorHAnsi" w:hAnsiTheme="minorHAnsi" w:cs="Arial"/>
        </w:rPr>
        <w:t>rognostic value as a stand-alone</w:t>
      </w:r>
      <w:r w:rsidR="0067356A">
        <w:rPr>
          <w:rFonts w:asciiTheme="minorHAnsi" w:hAnsiTheme="minorHAnsi" w:cs="Arial"/>
        </w:rPr>
        <w:t xml:space="preserve"> measure.</w:t>
      </w:r>
      <w:r w:rsidR="009E25BE">
        <w:rPr>
          <w:rFonts w:asciiTheme="minorHAnsi" w:hAnsiTheme="minorHAnsi" w:cs="Arial"/>
        </w:rPr>
        <w:t xml:space="preserve"> </w:t>
      </w:r>
      <w:r w:rsidR="00810671">
        <w:rPr>
          <w:rFonts w:asciiTheme="minorHAnsi" w:hAnsiTheme="minorHAnsi" w:cs="Arial"/>
        </w:rPr>
        <w:t>Future work should investigate the efficacy of early nutrition support in reducing</w:t>
      </w:r>
      <w:r w:rsidR="00AC0420">
        <w:rPr>
          <w:rFonts w:asciiTheme="minorHAnsi" w:hAnsiTheme="minorHAnsi" w:cs="Arial"/>
        </w:rPr>
        <w:t xml:space="preserve"> both pre</w:t>
      </w:r>
      <w:r>
        <w:rPr>
          <w:rFonts w:asciiTheme="minorHAnsi" w:hAnsiTheme="minorHAnsi" w:cs="Arial"/>
        </w:rPr>
        <w:t>-</w:t>
      </w:r>
      <w:r w:rsidR="00AC0420">
        <w:rPr>
          <w:rFonts w:asciiTheme="minorHAnsi" w:hAnsiTheme="minorHAnsi" w:cs="Arial"/>
        </w:rPr>
        <w:t xml:space="preserve"> and post-</w:t>
      </w:r>
      <w:r w:rsidR="00810671">
        <w:rPr>
          <w:rFonts w:asciiTheme="minorHAnsi" w:hAnsiTheme="minorHAnsi" w:cs="Arial"/>
        </w:rPr>
        <w:t xml:space="preserve">operative weight loss to improve nutritional status </w:t>
      </w:r>
      <w:r w:rsidR="00810671">
        <w:rPr>
          <w:rFonts w:asciiTheme="minorHAnsi" w:hAnsiTheme="minorHAnsi" w:cs="Arial"/>
        </w:rPr>
        <w:lastRenderedPageBreak/>
        <w:t xml:space="preserve">and surgical outcomes </w:t>
      </w:r>
      <w:r w:rsidR="00BB154A">
        <w:rPr>
          <w:rFonts w:asciiTheme="minorHAnsi" w:hAnsiTheme="minorHAnsi" w:cs="Arial"/>
        </w:rPr>
        <w:t xml:space="preserve">as part of a </w:t>
      </w:r>
      <w:r w:rsidR="00810671">
        <w:rPr>
          <w:rFonts w:asciiTheme="minorHAnsi" w:hAnsiTheme="minorHAnsi" w:cs="Arial"/>
        </w:rPr>
        <w:t xml:space="preserve">multimodal </w:t>
      </w:r>
      <w:r w:rsidR="00BB154A">
        <w:rPr>
          <w:rFonts w:asciiTheme="minorHAnsi" w:hAnsiTheme="minorHAnsi" w:cs="Arial"/>
        </w:rPr>
        <w:t>pre</w:t>
      </w:r>
      <w:r w:rsidR="009E25BE">
        <w:rPr>
          <w:rFonts w:asciiTheme="minorHAnsi" w:hAnsiTheme="minorHAnsi" w:cs="Arial"/>
        </w:rPr>
        <w:t>habilitation programme in</w:t>
      </w:r>
      <w:r w:rsidR="00720F4C">
        <w:rPr>
          <w:rFonts w:asciiTheme="minorHAnsi" w:hAnsiTheme="minorHAnsi" w:cs="Arial"/>
        </w:rPr>
        <w:t xml:space="preserve"> adults with oesophageal cancer.</w:t>
      </w:r>
    </w:p>
    <w:p w14:paraId="75621162" w14:textId="7EC25017" w:rsidR="0045080C" w:rsidRDefault="0045080C" w:rsidP="0045080C">
      <w:pPr>
        <w:spacing w:before="0" w:beforeAutospacing="0" w:line="480" w:lineRule="auto"/>
        <w:rPr>
          <w:rFonts w:asciiTheme="minorHAnsi" w:hAnsiTheme="minorHAnsi" w:cs="Arial"/>
        </w:rPr>
      </w:pPr>
      <w:r>
        <w:rPr>
          <w:rFonts w:asciiTheme="minorHAnsi" w:hAnsiTheme="minorHAnsi" w:cs="Arial"/>
        </w:rPr>
        <w:t>Keywords: Esophageal cancer; Esophagectomy; Handgrip strength; Prehabilitation; Nutrition support</w:t>
      </w:r>
    </w:p>
    <w:p w14:paraId="13AE2CF7" w14:textId="4CF1FCEA" w:rsidR="008770CF" w:rsidRDefault="008770CF" w:rsidP="00D801D6">
      <w:pPr>
        <w:tabs>
          <w:tab w:val="left" w:pos="1560"/>
        </w:tabs>
        <w:spacing w:before="0" w:beforeAutospacing="0" w:line="480" w:lineRule="auto"/>
        <w:rPr>
          <w:rFonts w:asciiTheme="minorHAnsi" w:hAnsiTheme="minorHAnsi" w:cs="Arial"/>
        </w:rPr>
      </w:pPr>
      <w:r w:rsidRPr="008770CF">
        <w:rPr>
          <w:rFonts w:asciiTheme="minorHAnsi" w:hAnsiTheme="minorHAnsi" w:cs="Arial"/>
          <w:noProof/>
        </w:rPr>
        <mc:AlternateContent>
          <mc:Choice Requires="wps">
            <w:drawing>
              <wp:anchor distT="0" distB="0" distL="114300" distR="114300" simplePos="0" relativeHeight="251663360" behindDoc="1" locked="0" layoutInCell="1" allowOverlap="1" wp14:anchorId="288411EE" wp14:editId="6A7CBDF9">
                <wp:simplePos x="0" y="0"/>
                <wp:positionH relativeFrom="column">
                  <wp:posOffset>-57785</wp:posOffset>
                </wp:positionH>
                <wp:positionV relativeFrom="paragraph">
                  <wp:posOffset>267335</wp:posOffset>
                </wp:positionV>
                <wp:extent cx="5534025" cy="1403985"/>
                <wp:effectExtent l="0" t="0" r="28575" b="25400"/>
                <wp:wrapTight wrapText="bothSides">
                  <wp:wrapPolygon edited="0">
                    <wp:start x="0" y="0"/>
                    <wp:lineTo x="0" y="21693"/>
                    <wp:lineTo x="21637" y="21693"/>
                    <wp:lineTo x="216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03985"/>
                        </a:xfrm>
                        <a:prstGeom prst="rect">
                          <a:avLst/>
                        </a:prstGeom>
                        <a:solidFill>
                          <a:srgbClr val="FFFFFF"/>
                        </a:solidFill>
                        <a:ln w="9525">
                          <a:solidFill>
                            <a:srgbClr val="000000"/>
                          </a:solidFill>
                          <a:miter lim="800000"/>
                          <a:headEnd/>
                          <a:tailEnd/>
                        </a:ln>
                      </wps:spPr>
                      <wps:txbx>
                        <w:txbxContent>
                          <w:p w14:paraId="454A0661" w14:textId="77777777" w:rsidR="003F666C" w:rsidRPr="00CF0ABE" w:rsidRDefault="003F666C" w:rsidP="006F2D2C">
                            <w:pPr>
                              <w:tabs>
                                <w:tab w:val="left" w:pos="1560"/>
                              </w:tabs>
                              <w:spacing w:before="0" w:beforeAutospacing="0" w:after="0" w:line="480" w:lineRule="auto"/>
                              <w:rPr>
                                <w:rFonts w:asciiTheme="minorHAnsi" w:hAnsiTheme="minorHAnsi" w:cs="Arial"/>
                                <w:b/>
                              </w:rPr>
                            </w:pPr>
                            <w:r w:rsidRPr="00CF0ABE">
                              <w:rPr>
                                <w:rFonts w:asciiTheme="minorHAnsi" w:hAnsiTheme="minorHAnsi" w:cs="Arial"/>
                                <w:b/>
                              </w:rPr>
                              <w:t>What we know:</w:t>
                            </w:r>
                          </w:p>
                          <w:p w14:paraId="6E3EA2C3" w14:textId="398425EC" w:rsidR="003F666C" w:rsidRDefault="003F666C" w:rsidP="006F2D2C">
                            <w:pPr>
                              <w:pStyle w:val="ListParagraph"/>
                              <w:numPr>
                                <w:ilvl w:val="0"/>
                                <w:numId w:val="16"/>
                              </w:numPr>
                              <w:tabs>
                                <w:tab w:val="left" w:pos="1560"/>
                              </w:tabs>
                              <w:spacing w:before="0" w:beforeAutospacing="0" w:after="0" w:line="480" w:lineRule="auto"/>
                              <w:rPr>
                                <w:rFonts w:asciiTheme="minorHAnsi" w:hAnsiTheme="minorHAnsi" w:cs="Arial"/>
                              </w:rPr>
                            </w:pPr>
                            <w:r>
                              <w:rPr>
                                <w:rFonts w:asciiTheme="minorHAnsi" w:hAnsiTheme="minorHAnsi" w:cs="Arial"/>
                              </w:rPr>
                              <w:t>Patients with oesophageal cancer are at high risk of malnutrition</w:t>
                            </w:r>
                          </w:p>
                          <w:p w14:paraId="63AFD4A5" w14:textId="60235FB0" w:rsidR="003F666C" w:rsidRPr="00CF0ABE" w:rsidRDefault="003F666C" w:rsidP="006F2D2C">
                            <w:pPr>
                              <w:pStyle w:val="ListParagraph"/>
                              <w:numPr>
                                <w:ilvl w:val="0"/>
                                <w:numId w:val="16"/>
                              </w:numPr>
                              <w:tabs>
                                <w:tab w:val="left" w:pos="1560"/>
                              </w:tabs>
                              <w:spacing w:before="0" w:beforeAutospacing="0" w:after="0" w:line="480" w:lineRule="auto"/>
                              <w:rPr>
                                <w:rFonts w:asciiTheme="minorHAnsi" w:hAnsiTheme="minorHAnsi" w:cs="Arial"/>
                              </w:rPr>
                            </w:pPr>
                            <w:r>
                              <w:rPr>
                                <w:rFonts w:asciiTheme="minorHAnsi" w:hAnsiTheme="minorHAnsi" w:cs="Arial"/>
                              </w:rPr>
                              <w:t xml:space="preserve">Improving nutritional status prior to surgery has been identified as an important priority in improving clinical outcomes in adults with cancer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5pt;margin-top:21.05pt;width:435.75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">
                <v:textbox style="mso-fit-shape-to-text:t">
                  <w:txbxContent>
                    <w:p w14:paraId="454A0661" w14:textId="77777777" w:rsidR="003A1BA8" w:rsidRPr="00CF0ABE" w:rsidRDefault="003A1BA8" w:rsidP="006F2D2C">
                      <w:pPr>
                        <w:tabs>
                          <w:tab w:val="left" w:pos="1560"/>
                        </w:tabs>
                        <w:spacing w:before="0" w:beforeAutospacing="0" w:after="0" w:line="480" w:lineRule="auto"/>
                        <w:rPr>
                          <w:rFonts w:asciiTheme="minorHAnsi" w:hAnsiTheme="minorHAnsi" w:cs="Arial"/>
                          <w:b/>
                        </w:rPr>
                      </w:pPr>
                      <w:r w:rsidRPr="00CF0ABE">
                        <w:rPr>
                          <w:rFonts w:asciiTheme="minorHAnsi" w:hAnsiTheme="minorHAnsi" w:cs="Arial"/>
                          <w:b/>
                        </w:rPr>
                        <w:t>What we know:</w:t>
                      </w:r>
                    </w:p>
                    <w:p w14:paraId="6E3EA2C3" w14:textId="398425EC" w:rsidR="003A1BA8" w:rsidRDefault="003A1BA8" w:rsidP="006F2D2C">
                      <w:pPr>
                        <w:pStyle w:val="ListParagraph"/>
                        <w:numPr>
                          <w:ilvl w:val="0"/>
                          <w:numId w:val="16"/>
                        </w:numPr>
                        <w:tabs>
                          <w:tab w:val="left" w:pos="1560"/>
                        </w:tabs>
                        <w:spacing w:before="0" w:beforeAutospacing="0" w:after="0" w:line="480" w:lineRule="auto"/>
                        <w:rPr>
                          <w:rFonts w:asciiTheme="minorHAnsi" w:hAnsiTheme="minorHAnsi" w:cs="Arial"/>
                        </w:rPr>
                      </w:pPr>
                      <w:r>
                        <w:rPr>
                          <w:rFonts w:asciiTheme="minorHAnsi" w:hAnsiTheme="minorHAnsi" w:cs="Arial"/>
                        </w:rPr>
                        <w:t>Patients with oesophageal cancer are at high risk of malnutrition</w:t>
                      </w:r>
                    </w:p>
                    <w:p w14:paraId="63AFD4A5" w14:textId="60235FB0" w:rsidR="003A1BA8" w:rsidRPr="00CF0ABE" w:rsidRDefault="003A1BA8" w:rsidP="006F2D2C">
                      <w:pPr>
                        <w:pStyle w:val="ListParagraph"/>
                        <w:numPr>
                          <w:ilvl w:val="0"/>
                          <w:numId w:val="16"/>
                        </w:numPr>
                        <w:tabs>
                          <w:tab w:val="left" w:pos="1560"/>
                        </w:tabs>
                        <w:spacing w:before="0" w:beforeAutospacing="0" w:after="0" w:line="480" w:lineRule="auto"/>
                        <w:rPr>
                          <w:rFonts w:asciiTheme="minorHAnsi" w:hAnsiTheme="minorHAnsi" w:cs="Arial"/>
                        </w:rPr>
                      </w:pPr>
                      <w:r>
                        <w:rPr>
                          <w:rFonts w:asciiTheme="minorHAnsi" w:hAnsiTheme="minorHAnsi" w:cs="Arial"/>
                        </w:rPr>
                        <w:t xml:space="preserve">Improving nutritional status prior to surgery has been identified as an important priority in improving clinical outcomes in adults with cancer </w:t>
                      </w:r>
                    </w:p>
                  </w:txbxContent>
                </v:textbox>
                <w10:wrap type="tight"/>
              </v:shape>
            </w:pict>
          </mc:Fallback>
        </mc:AlternateContent>
      </w:r>
    </w:p>
    <w:p w14:paraId="271EB2A5" w14:textId="3090905C" w:rsidR="008770CF" w:rsidRDefault="008770CF" w:rsidP="00D801D6">
      <w:pPr>
        <w:tabs>
          <w:tab w:val="left" w:pos="1560"/>
        </w:tabs>
        <w:spacing w:before="0" w:beforeAutospacing="0" w:line="480" w:lineRule="auto"/>
        <w:rPr>
          <w:rFonts w:asciiTheme="minorHAnsi" w:hAnsiTheme="minorHAnsi" w:cs="Arial"/>
        </w:rPr>
      </w:pPr>
    </w:p>
    <w:p w14:paraId="09DDAE1E" w14:textId="734223EE" w:rsidR="008770CF" w:rsidRDefault="008770CF" w:rsidP="00D801D6">
      <w:pPr>
        <w:tabs>
          <w:tab w:val="left" w:pos="1560"/>
        </w:tabs>
        <w:spacing w:before="0" w:beforeAutospacing="0" w:line="480" w:lineRule="auto"/>
        <w:rPr>
          <w:rFonts w:asciiTheme="minorHAnsi" w:hAnsiTheme="minorHAnsi" w:cs="Arial"/>
        </w:rPr>
      </w:pPr>
    </w:p>
    <w:p w14:paraId="6198BA9F" w14:textId="4B22F23E" w:rsidR="008770CF" w:rsidRDefault="00CF0ABE" w:rsidP="00D801D6">
      <w:pPr>
        <w:tabs>
          <w:tab w:val="left" w:pos="1560"/>
        </w:tabs>
        <w:spacing w:before="0" w:beforeAutospacing="0" w:line="480" w:lineRule="auto"/>
        <w:rPr>
          <w:rFonts w:asciiTheme="minorHAnsi" w:hAnsiTheme="minorHAnsi" w:cs="Arial"/>
        </w:rPr>
      </w:pPr>
      <w:r w:rsidRPr="008770CF">
        <w:rPr>
          <w:rFonts w:asciiTheme="minorHAnsi" w:hAnsiTheme="minorHAnsi" w:cs="Arial"/>
          <w:noProof/>
        </w:rPr>
        <mc:AlternateContent>
          <mc:Choice Requires="wps">
            <w:drawing>
              <wp:anchor distT="0" distB="0" distL="114300" distR="114300" simplePos="0" relativeHeight="251665408" behindDoc="1" locked="0" layoutInCell="1" allowOverlap="1" wp14:anchorId="0A441A0E" wp14:editId="2E93F4DD">
                <wp:simplePos x="0" y="0"/>
                <wp:positionH relativeFrom="column">
                  <wp:posOffset>-5655945</wp:posOffset>
                </wp:positionH>
                <wp:positionV relativeFrom="paragraph">
                  <wp:posOffset>715010</wp:posOffset>
                </wp:positionV>
                <wp:extent cx="5534025" cy="1403985"/>
                <wp:effectExtent l="0" t="0" r="28575" b="15875"/>
                <wp:wrapTight wrapText="bothSides">
                  <wp:wrapPolygon edited="0">
                    <wp:start x="0" y="0"/>
                    <wp:lineTo x="0" y="21573"/>
                    <wp:lineTo x="21637" y="21573"/>
                    <wp:lineTo x="2163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03985"/>
                        </a:xfrm>
                        <a:prstGeom prst="rect">
                          <a:avLst/>
                        </a:prstGeom>
                        <a:solidFill>
                          <a:srgbClr val="FFFFFF"/>
                        </a:solidFill>
                        <a:ln w="9525">
                          <a:solidFill>
                            <a:srgbClr val="000000"/>
                          </a:solidFill>
                          <a:miter lim="800000"/>
                          <a:headEnd/>
                          <a:tailEnd/>
                        </a:ln>
                      </wps:spPr>
                      <wps:txbx>
                        <w:txbxContent>
                          <w:p w14:paraId="2C730B37" w14:textId="107F2CC6" w:rsidR="003F666C" w:rsidRPr="00CF0ABE" w:rsidRDefault="003F666C" w:rsidP="006F2D2C">
                            <w:pPr>
                              <w:tabs>
                                <w:tab w:val="left" w:pos="1560"/>
                              </w:tabs>
                              <w:spacing w:before="0" w:beforeAutospacing="0" w:after="0" w:line="480" w:lineRule="auto"/>
                              <w:rPr>
                                <w:rFonts w:asciiTheme="minorHAnsi" w:hAnsiTheme="minorHAnsi" w:cs="Arial"/>
                                <w:b/>
                              </w:rPr>
                            </w:pPr>
                            <w:r w:rsidRPr="00CF0ABE">
                              <w:rPr>
                                <w:rFonts w:asciiTheme="minorHAnsi" w:hAnsiTheme="minorHAnsi" w:cs="Arial"/>
                                <w:b/>
                              </w:rPr>
                              <w:t>What this study adds:</w:t>
                            </w:r>
                          </w:p>
                          <w:p w14:paraId="336539E3" w14:textId="07DE78F6" w:rsidR="003F666C" w:rsidRDefault="003F666C" w:rsidP="0058534A">
                            <w:pPr>
                              <w:pStyle w:val="ListParagraph"/>
                              <w:numPr>
                                <w:ilvl w:val="0"/>
                                <w:numId w:val="17"/>
                              </w:numPr>
                              <w:tabs>
                                <w:tab w:val="left" w:pos="1560"/>
                              </w:tabs>
                              <w:spacing w:before="0" w:beforeAutospacing="0" w:after="0" w:line="480" w:lineRule="auto"/>
                              <w:rPr>
                                <w:rFonts w:asciiTheme="minorHAnsi" w:hAnsiTheme="minorHAnsi" w:cs="Arial"/>
                              </w:rPr>
                            </w:pPr>
                            <w:r>
                              <w:rPr>
                                <w:rFonts w:asciiTheme="minorHAnsi" w:hAnsiTheme="minorHAnsi" w:cs="Arial"/>
                              </w:rPr>
                              <w:t xml:space="preserve">Significant pre-operative weight loss </w:t>
                            </w:r>
                            <w:r>
                              <w:rPr>
                                <w:rFonts w:asciiTheme="minorHAnsi" w:hAnsiTheme="minorHAnsi" w:cstheme="minorHAnsi"/>
                              </w:rPr>
                              <w:t>≥</w:t>
                            </w:r>
                            <w:r>
                              <w:rPr>
                                <w:rFonts w:asciiTheme="minorHAnsi" w:hAnsiTheme="minorHAnsi" w:cs="Arial"/>
                              </w:rPr>
                              <w:t>10% was associated with increased mortality at 90 days and 1 year post-operatively</w:t>
                            </w:r>
                          </w:p>
                          <w:p w14:paraId="54821578" w14:textId="4640E5F9" w:rsidR="003F666C" w:rsidRDefault="003F666C" w:rsidP="006F2D2C">
                            <w:pPr>
                              <w:pStyle w:val="ListParagraph"/>
                              <w:numPr>
                                <w:ilvl w:val="0"/>
                                <w:numId w:val="17"/>
                              </w:numPr>
                              <w:tabs>
                                <w:tab w:val="left" w:pos="1560"/>
                              </w:tabs>
                              <w:spacing w:before="0" w:beforeAutospacing="0" w:after="0" w:line="480" w:lineRule="auto"/>
                              <w:rPr>
                                <w:rFonts w:asciiTheme="minorHAnsi" w:hAnsiTheme="minorHAnsi" w:cs="Arial"/>
                              </w:rPr>
                            </w:pPr>
                            <w:r>
                              <w:rPr>
                                <w:rFonts w:asciiTheme="minorHAnsi" w:hAnsiTheme="minorHAnsi" w:cs="Arial"/>
                              </w:rPr>
                              <w:t>Early nutrition support during neoadjuvant treatment was associated with less weight loss at 12 months post-operatively</w:t>
                            </w:r>
                          </w:p>
                          <w:p w14:paraId="08DE107F" w14:textId="6B9D0CBC" w:rsidR="003F666C" w:rsidRDefault="003F666C" w:rsidP="004A4E7D">
                            <w:pPr>
                              <w:pStyle w:val="ListParagraph"/>
                              <w:numPr>
                                <w:ilvl w:val="0"/>
                                <w:numId w:val="17"/>
                              </w:numPr>
                              <w:tabs>
                                <w:tab w:val="left" w:pos="1560"/>
                              </w:tabs>
                              <w:spacing w:before="0" w:beforeAutospacing="0" w:after="0" w:line="480" w:lineRule="auto"/>
                            </w:pPr>
                            <w:r w:rsidRPr="005B4976">
                              <w:rPr>
                                <w:rFonts w:asciiTheme="minorHAnsi" w:hAnsiTheme="minorHAnsi" w:cs="Arial"/>
                              </w:rPr>
                              <w:t xml:space="preserve">Handgrip strength was not a useful predictor of postoperative </w:t>
                            </w:r>
                            <w:r>
                              <w:rPr>
                                <w:rFonts w:asciiTheme="minorHAnsi" w:hAnsiTheme="minorHAnsi" w:cs="Arial"/>
                              </w:rPr>
                              <w:t>clinical outcomes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45.35pt;margin-top:56.3pt;width:435.7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">
                <v:textbox style="mso-fit-shape-to-text:t">
                  <w:txbxContent>
                    <w:p w14:paraId="2C730B37" w14:textId="107F2CC6" w:rsidR="00942029" w:rsidRPr="00CF0ABE" w:rsidRDefault="00942029" w:rsidP="006F2D2C">
                      <w:pPr>
                        <w:tabs>
                          <w:tab w:val="left" w:pos="1560"/>
                        </w:tabs>
                        <w:spacing w:before="0" w:beforeAutospacing="0" w:after="0" w:line="480" w:lineRule="auto"/>
                        <w:rPr>
                          <w:rFonts w:asciiTheme="minorHAnsi" w:hAnsiTheme="minorHAnsi" w:cs="Arial"/>
                          <w:b/>
                        </w:rPr>
                      </w:pPr>
                      <w:r w:rsidRPr="00CF0ABE">
                        <w:rPr>
                          <w:rFonts w:asciiTheme="minorHAnsi" w:hAnsiTheme="minorHAnsi" w:cs="Arial"/>
                          <w:b/>
                        </w:rPr>
                        <w:t>What this study adds:</w:t>
                      </w:r>
                    </w:p>
                    <w:p w14:paraId="336539E3" w14:textId="07DE78F6" w:rsidR="00942029" w:rsidRDefault="00942029" w:rsidP="0058534A">
                      <w:pPr>
                        <w:pStyle w:val="ListParagraph"/>
                        <w:numPr>
                          <w:ilvl w:val="0"/>
                          <w:numId w:val="17"/>
                        </w:numPr>
                        <w:tabs>
                          <w:tab w:val="left" w:pos="1560"/>
                        </w:tabs>
                        <w:spacing w:before="0" w:beforeAutospacing="0" w:after="0" w:line="480" w:lineRule="auto"/>
                        <w:rPr>
                          <w:rFonts w:asciiTheme="minorHAnsi" w:hAnsiTheme="minorHAnsi" w:cs="Arial"/>
                        </w:rPr>
                      </w:pPr>
                      <w:r>
                        <w:rPr>
                          <w:rFonts w:asciiTheme="minorHAnsi" w:hAnsiTheme="minorHAnsi" w:cs="Arial"/>
                        </w:rPr>
                        <w:t xml:space="preserve">Significant pre-operative weight loss </w:t>
                      </w:r>
                      <w:r>
                        <w:rPr>
                          <w:rFonts w:asciiTheme="minorHAnsi" w:hAnsiTheme="minorHAnsi" w:cstheme="minorHAnsi"/>
                        </w:rPr>
                        <w:t>≥</w:t>
                      </w:r>
                      <w:r>
                        <w:rPr>
                          <w:rFonts w:asciiTheme="minorHAnsi" w:hAnsiTheme="minorHAnsi" w:cs="Arial"/>
                        </w:rPr>
                        <w:t>10% was associated with increased mortality at 90 days and 1 year post-operatively</w:t>
                      </w:r>
                    </w:p>
                    <w:p w14:paraId="54821578" w14:textId="4640E5F9" w:rsidR="00942029" w:rsidRDefault="00942029" w:rsidP="006F2D2C">
                      <w:pPr>
                        <w:pStyle w:val="ListParagraph"/>
                        <w:numPr>
                          <w:ilvl w:val="0"/>
                          <w:numId w:val="17"/>
                        </w:numPr>
                        <w:tabs>
                          <w:tab w:val="left" w:pos="1560"/>
                        </w:tabs>
                        <w:spacing w:before="0" w:beforeAutospacing="0" w:after="0" w:line="480" w:lineRule="auto"/>
                        <w:rPr>
                          <w:rFonts w:asciiTheme="minorHAnsi" w:hAnsiTheme="minorHAnsi" w:cs="Arial"/>
                        </w:rPr>
                      </w:pPr>
                      <w:r>
                        <w:rPr>
                          <w:rFonts w:asciiTheme="minorHAnsi" w:hAnsiTheme="minorHAnsi" w:cs="Arial"/>
                        </w:rPr>
                        <w:t>Early nutrition support during neoadjuvant treatment was associated with less weight loss at 12 months post-operatively</w:t>
                      </w:r>
                    </w:p>
                    <w:p w14:paraId="08DE107F" w14:textId="6B9D0CBC" w:rsidR="00942029" w:rsidRDefault="00942029" w:rsidP="004A4E7D">
                      <w:pPr>
                        <w:pStyle w:val="ListParagraph"/>
                        <w:numPr>
                          <w:ilvl w:val="0"/>
                          <w:numId w:val="17"/>
                        </w:numPr>
                        <w:tabs>
                          <w:tab w:val="left" w:pos="1560"/>
                        </w:tabs>
                        <w:spacing w:before="0" w:beforeAutospacing="0" w:after="0" w:line="480" w:lineRule="auto"/>
                      </w:pPr>
                      <w:r w:rsidRPr="005B4976">
                        <w:rPr>
                          <w:rFonts w:asciiTheme="minorHAnsi" w:hAnsiTheme="minorHAnsi" w:cs="Arial"/>
                        </w:rPr>
                        <w:t xml:space="preserve">Handgrip strength was not a useful predictor of postoperative </w:t>
                      </w:r>
                      <w:r>
                        <w:rPr>
                          <w:rFonts w:asciiTheme="minorHAnsi" w:hAnsiTheme="minorHAnsi" w:cs="Arial"/>
                        </w:rPr>
                        <w:t>clinical outcomes</w:t>
                      </w:r>
                    </w:p>
                  </w:txbxContent>
                </v:textbox>
                <w10:wrap type="tight"/>
              </v:shape>
            </w:pict>
          </mc:Fallback>
        </mc:AlternateContent>
      </w:r>
    </w:p>
    <w:p w14:paraId="54C47B76" w14:textId="7ADB5398" w:rsidR="00747EF9" w:rsidRDefault="00747EF9" w:rsidP="00D801D6">
      <w:pPr>
        <w:spacing w:before="0" w:beforeAutospacing="0" w:line="480" w:lineRule="auto"/>
        <w:rPr>
          <w:rFonts w:asciiTheme="minorHAnsi" w:hAnsiTheme="minorHAnsi" w:cs="Arial"/>
          <w:b/>
        </w:rPr>
      </w:pPr>
      <w:r>
        <w:rPr>
          <w:rFonts w:asciiTheme="minorHAnsi" w:hAnsiTheme="minorHAnsi" w:cs="Arial"/>
          <w:b/>
        </w:rPr>
        <w:br w:type="page"/>
      </w:r>
    </w:p>
    <w:p w14:paraId="0D812A99" w14:textId="2EE80D5C" w:rsidR="00E46153" w:rsidRPr="00981FAD" w:rsidRDefault="009E25BE" w:rsidP="00D801D6">
      <w:pPr>
        <w:spacing w:before="0" w:beforeAutospacing="0" w:after="0" w:line="480" w:lineRule="auto"/>
        <w:rPr>
          <w:rFonts w:asciiTheme="minorHAnsi" w:hAnsiTheme="minorHAnsi" w:cs="Arial"/>
          <w:b/>
          <w:sz w:val="18"/>
        </w:rPr>
      </w:pPr>
      <w:r>
        <w:rPr>
          <w:rFonts w:asciiTheme="minorHAnsi" w:hAnsiTheme="minorHAnsi" w:cs="Arial"/>
          <w:b/>
        </w:rPr>
        <w:lastRenderedPageBreak/>
        <w:t>I</w:t>
      </w:r>
      <w:r w:rsidR="004F09D0" w:rsidRPr="00981FAD">
        <w:rPr>
          <w:rFonts w:asciiTheme="minorHAnsi" w:hAnsiTheme="minorHAnsi" w:cs="Arial"/>
          <w:b/>
        </w:rPr>
        <w:t xml:space="preserve">ntroduction </w:t>
      </w:r>
    </w:p>
    <w:p w14:paraId="2F4BEE73" w14:textId="5F3B4F2E" w:rsidR="00E46153" w:rsidRPr="00B063CF" w:rsidRDefault="004F09D0" w:rsidP="00D801D6">
      <w:pPr>
        <w:spacing w:before="0" w:beforeAutospacing="0" w:after="0" w:line="480" w:lineRule="auto"/>
        <w:ind w:firstLine="720"/>
        <w:rPr>
          <w:rFonts w:asciiTheme="minorHAnsi" w:hAnsiTheme="minorHAnsi" w:cs="Arial"/>
          <w:color w:val="FF0000"/>
        </w:rPr>
      </w:pPr>
      <w:r>
        <w:rPr>
          <w:rFonts w:asciiTheme="minorHAnsi" w:hAnsiTheme="minorHAnsi" w:cs="Arial"/>
        </w:rPr>
        <w:t>Approximately 9,100 people per annum are diagnosed with oesophageal cancer in the United Kingdom</w:t>
      </w:r>
      <w:r w:rsidR="00747EF9">
        <w:rPr>
          <w:rFonts w:asciiTheme="minorHAnsi" w:hAnsiTheme="minorHAnsi" w:cs="Arial"/>
        </w:rPr>
        <w:t xml:space="preserve"> (UK)</w:t>
      </w:r>
      <w:r>
        <w:rPr>
          <w:rFonts w:asciiTheme="minorHAnsi" w:hAnsiTheme="minorHAnsi" w:cs="Arial"/>
        </w:rPr>
        <w:t xml:space="preserve"> (1). Around 38% of those diagnosed are managed with curative intent in the form of </w:t>
      </w:r>
      <w:r w:rsidR="006E4D69">
        <w:rPr>
          <w:rFonts w:asciiTheme="minorHAnsi" w:hAnsiTheme="minorHAnsi" w:cs="Arial"/>
        </w:rPr>
        <w:t xml:space="preserve">oesophagectomy, often preceded with </w:t>
      </w:r>
      <w:r w:rsidR="00F12FD8">
        <w:rPr>
          <w:rFonts w:asciiTheme="minorHAnsi" w:hAnsiTheme="minorHAnsi" w:cs="Arial"/>
        </w:rPr>
        <w:t>neoadjuvant chemotherapy or</w:t>
      </w:r>
      <w:r w:rsidR="003A100D">
        <w:rPr>
          <w:rFonts w:asciiTheme="minorHAnsi" w:hAnsiTheme="minorHAnsi" w:cs="Arial"/>
        </w:rPr>
        <w:t xml:space="preserve"> chemoradiotherapy. O</w:t>
      </w:r>
      <w:r w:rsidR="002E7D6E">
        <w:rPr>
          <w:rFonts w:asciiTheme="minorHAnsi" w:hAnsiTheme="minorHAnsi" w:cs="Arial"/>
        </w:rPr>
        <w:t xml:space="preserve">verall </w:t>
      </w:r>
      <w:r w:rsidR="00F12FD8">
        <w:rPr>
          <w:rFonts w:asciiTheme="minorHAnsi" w:hAnsiTheme="minorHAnsi" w:cs="Arial"/>
        </w:rPr>
        <w:t>post</w:t>
      </w:r>
      <w:r w:rsidR="00E17471">
        <w:rPr>
          <w:rFonts w:asciiTheme="minorHAnsi" w:hAnsiTheme="minorHAnsi" w:cs="Arial"/>
        </w:rPr>
        <w:t>-</w:t>
      </w:r>
      <w:r w:rsidR="00F12FD8">
        <w:rPr>
          <w:rFonts w:asciiTheme="minorHAnsi" w:hAnsiTheme="minorHAnsi" w:cs="Arial"/>
        </w:rPr>
        <w:t xml:space="preserve">operative complication rates of </w:t>
      </w:r>
      <w:r w:rsidR="007C4604">
        <w:rPr>
          <w:rFonts w:asciiTheme="minorHAnsi" w:hAnsiTheme="minorHAnsi" w:cs="Arial"/>
        </w:rPr>
        <w:t>65</w:t>
      </w:r>
      <w:r>
        <w:rPr>
          <w:rFonts w:asciiTheme="minorHAnsi" w:hAnsiTheme="minorHAnsi" w:cs="Arial"/>
        </w:rPr>
        <w:t>%</w:t>
      </w:r>
      <w:r w:rsidR="003A100D">
        <w:rPr>
          <w:rFonts w:asciiTheme="minorHAnsi" w:hAnsiTheme="minorHAnsi" w:cs="Arial"/>
        </w:rPr>
        <w:t xml:space="preserve"> have been reported</w:t>
      </w:r>
      <w:r w:rsidR="003D783F">
        <w:rPr>
          <w:rFonts w:asciiTheme="minorHAnsi" w:hAnsiTheme="minorHAnsi" w:cs="Arial"/>
        </w:rPr>
        <w:t xml:space="preserve">, with </w:t>
      </w:r>
      <w:r w:rsidR="006E4D69">
        <w:rPr>
          <w:rFonts w:asciiTheme="minorHAnsi" w:hAnsiTheme="minorHAnsi" w:cs="Arial"/>
        </w:rPr>
        <w:t>major complication</w:t>
      </w:r>
      <w:r w:rsidR="003A100D">
        <w:rPr>
          <w:rFonts w:asciiTheme="minorHAnsi" w:hAnsiTheme="minorHAnsi" w:cs="Arial"/>
        </w:rPr>
        <w:t>s (Clavien-Dindo ≥3b) occurring in 16.9%</w:t>
      </w:r>
      <w:r>
        <w:rPr>
          <w:rFonts w:asciiTheme="minorHAnsi" w:hAnsiTheme="minorHAnsi" w:cs="Arial"/>
        </w:rPr>
        <w:t xml:space="preserve"> (2</w:t>
      </w:r>
      <w:r w:rsidR="00F12FD8">
        <w:rPr>
          <w:rFonts w:asciiTheme="minorHAnsi" w:hAnsiTheme="minorHAnsi" w:cs="Arial"/>
        </w:rPr>
        <w:t>)</w:t>
      </w:r>
      <w:r>
        <w:rPr>
          <w:rFonts w:asciiTheme="minorHAnsi" w:hAnsiTheme="minorHAnsi" w:cs="Arial"/>
        </w:rPr>
        <w:t xml:space="preserve">. </w:t>
      </w:r>
      <w:r w:rsidRPr="00BA4FFE">
        <w:rPr>
          <w:rFonts w:asciiTheme="minorHAnsi" w:hAnsiTheme="minorHAnsi" w:cs="Arial"/>
        </w:rPr>
        <w:t>The incidence of malnutrition in patients with oesophageal cancer is reported to be 22-62% (3</w:t>
      </w:r>
      <w:r w:rsidR="002B0D46" w:rsidRPr="00BA4FFE">
        <w:rPr>
          <w:rFonts w:asciiTheme="minorHAnsi" w:hAnsiTheme="minorHAnsi" w:cs="Arial"/>
        </w:rPr>
        <w:t>)</w:t>
      </w:r>
      <w:r w:rsidRPr="00BA4FFE">
        <w:rPr>
          <w:rFonts w:asciiTheme="minorHAnsi" w:hAnsiTheme="minorHAnsi" w:cs="Arial"/>
        </w:rPr>
        <w:t xml:space="preserve">. </w:t>
      </w:r>
      <w:r>
        <w:rPr>
          <w:rFonts w:asciiTheme="minorHAnsi" w:hAnsiTheme="minorHAnsi" w:cs="Arial"/>
        </w:rPr>
        <w:t>Individuals are at increased risk of malnutrition arising from disease related symptoms including dysphagia, vomiting</w:t>
      </w:r>
      <w:r w:rsidR="002B0D46">
        <w:rPr>
          <w:rFonts w:asciiTheme="minorHAnsi" w:hAnsiTheme="minorHAnsi" w:cs="Arial"/>
        </w:rPr>
        <w:t>,</w:t>
      </w:r>
      <w:r w:rsidR="00F12FD8">
        <w:rPr>
          <w:rFonts w:asciiTheme="minorHAnsi" w:hAnsiTheme="minorHAnsi" w:cs="Arial"/>
        </w:rPr>
        <w:t xml:space="preserve"> loss of appetite</w:t>
      </w:r>
      <w:r w:rsidR="002B0D46">
        <w:rPr>
          <w:rFonts w:asciiTheme="minorHAnsi" w:hAnsiTheme="minorHAnsi" w:cs="Arial"/>
        </w:rPr>
        <w:t xml:space="preserve"> and paraneoplastic effects</w:t>
      </w:r>
      <w:r w:rsidR="00F12FD8">
        <w:rPr>
          <w:rFonts w:asciiTheme="minorHAnsi" w:hAnsiTheme="minorHAnsi" w:cs="Arial"/>
        </w:rPr>
        <w:t>,</w:t>
      </w:r>
      <w:r>
        <w:rPr>
          <w:rFonts w:asciiTheme="minorHAnsi" w:hAnsiTheme="minorHAnsi" w:cs="Arial"/>
        </w:rPr>
        <w:t xml:space="preserve"> further </w:t>
      </w:r>
      <w:r w:rsidRPr="0058534A">
        <w:rPr>
          <w:rFonts w:asciiTheme="minorHAnsi" w:hAnsiTheme="minorHAnsi" w:cs="Arial"/>
        </w:rPr>
        <w:t xml:space="preserve">exacerbated by </w:t>
      </w:r>
      <w:r w:rsidR="00981FAD" w:rsidRPr="0058534A">
        <w:rPr>
          <w:rFonts w:asciiTheme="minorHAnsi" w:hAnsiTheme="minorHAnsi" w:cs="Arial"/>
        </w:rPr>
        <w:t xml:space="preserve">side effects of </w:t>
      </w:r>
      <w:r w:rsidRPr="0058534A">
        <w:rPr>
          <w:rFonts w:asciiTheme="minorHAnsi" w:hAnsiTheme="minorHAnsi" w:cs="Arial"/>
        </w:rPr>
        <w:t>neoadjuvant treatment</w:t>
      </w:r>
      <w:r w:rsidR="003A0F52" w:rsidRPr="0058534A">
        <w:rPr>
          <w:rFonts w:asciiTheme="minorHAnsi" w:hAnsiTheme="minorHAnsi" w:cs="Arial"/>
        </w:rPr>
        <w:t xml:space="preserve"> (4)</w:t>
      </w:r>
      <w:r w:rsidRPr="0058534A">
        <w:rPr>
          <w:rFonts w:asciiTheme="minorHAnsi" w:hAnsiTheme="minorHAnsi" w:cs="Arial"/>
        </w:rPr>
        <w:t xml:space="preserve">. </w:t>
      </w:r>
    </w:p>
    <w:p w14:paraId="5AA3C4DC" w14:textId="666C63AE" w:rsidR="00C14F6C" w:rsidRDefault="00B063CF" w:rsidP="00D801D6">
      <w:pPr>
        <w:spacing w:before="0" w:beforeAutospacing="0" w:after="0" w:line="480" w:lineRule="auto"/>
        <w:ind w:firstLine="720"/>
        <w:rPr>
          <w:rFonts w:cs="Calibri"/>
        </w:rPr>
      </w:pPr>
      <w:r w:rsidRPr="00D0229A">
        <w:rPr>
          <w:rFonts w:cs="Calibri"/>
        </w:rPr>
        <w:t>Identifying those individuals at risk of malnutrition is important</w:t>
      </w:r>
      <w:r>
        <w:rPr>
          <w:rFonts w:cs="Calibri"/>
        </w:rPr>
        <w:t xml:space="preserve"> and </w:t>
      </w:r>
      <w:r>
        <w:rPr>
          <w:rFonts w:cs="Calibri"/>
          <w:shd w:val="clear" w:color="auto" w:fill="FCFCFC"/>
        </w:rPr>
        <w:t>a</w:t>
      </w:r>
      <w:r w:rsidRPr="00D0229A">
        <w:rPr>
          <w:rFonts w:cs="Calibri"/>
          <w:shd w:val="clear" w:color="auto" w:fill="FCFCFC"/>
        </w:rPr>
        <w:t>lthough</w:t>
      </w:r>
      <w:r>
        <w:rPr>
          <w:rFonts w:cs="Calibri"/>
          <w:shd w:val="clear" w:color="auto" w:fill="FCFCFC"/>
        </w:rPr>
        <w:t xml:space="preserve"> </w:t>
      </w:r>
      <w:r w:rsidRPr="00D0229A">
        <w:rPr>
          <w:rFonts w:cs="Calibri"/>
          <w:shd w:val="clear" w:color="auto" w:fill="FCFCFC"/>
        </w:rPr>
        <w:t>many</w:t>
      </w:r>
      <w:r w:rsidR="00473FB6" w:rsidRPr="00D0229A">
        <w:rPr>
          <w:rFonts w:cs="Calibri"/>
          <w:shd w:val="clear" w:color="auto" w:fill="FCFCFC"/>
        </w:rPr>
        <w:t xml:space="preserve"> nutrition </w:t>
      </w:r>
      <w:r w:rsidR="00473FB6" w:rsidRPr="004B79B9">
        <w:rPr>
          <w:rFonts w:cs="Calibri"/>
          <w:shd w:val="clear" w:color="auto" w:fill="FCFCFC"/>
        </w:rPr>
        <w:t>screening tools exist, there is no consensus related to the optimal screening tool for use in the pre-operative surgical patient (</w:t>
      </w:r>
      <w:r w:rsidR="003A0F52">
        <w:rPr>
          <w:rFonts w:cs="Calibri"/>
          <w:shd w:val="clear" w:color="auto" w:fill="FCFCFC"/>
        </w:rPr>
        <w:t>5</w:t>
      </w:r>
      <w:r w:rsidR="00473FB6" w:rsidRPr="004B79B9">
        <w:rPr>
          <w:rFonts w:cs="Calibri"/>
          <w:shd w:val="clear" w:color="auto" w:fill="FCFCFC"/>
        </w:rPr>
        <w:t>)</w:t>
      </w:r>
      <w:r w:rsidR="00473FB6" w:rsidRPr="004B79B9">
        <w:rPr>
          <w:rFonts w:cs="Calibri"/>
        </w:rPr>
        <w:t xml:space="preserve">. </w:t>
      </w:r>
      <w:r>
        <w:rPr>
          <w:rFonts w:cs="Calibri"/>
        </w:rPr>
        <w:t>Simple measures such as</w:t>
      </w:r>
      <w:r w:rsidRPr="00D0229A">
        <w:rPr>
          <w:rFonts w:cs="Calibri"/>
        </w:rPr>
        <w:t xml:space="preserve"> body mass index (BMI) do not discriminate between lean or fat mass</w:t>
      </w:r>
      <w:r w:rsidR="003A0F52">
        <w:rPr>
          <w:rFonts w:cs="Calibri"/>
        </w:rPr>
        <w:t xml:space="preserve">, </w:t>
      </w:r>
      <w:r w:rsidRPr="00D0229A">
        <w:rPr>
          <w:rFonts w:cs="Calibri"/>
        </w:rPr>
        <w:t>or</w:t>
      </w:r>
      <w:r>
        <w:rPr>
          <w:rFonts w:cs="Calibri"/>
        </w:rPr>
        <w:t xml:space="preserve"> measure</w:t>
      </w:r>
      <w:r w:rsidR="00871887">
        <w:rPr>
          <w:rFonts w:cs="Calibri"/>
        </w:rPr>
        <w:t>s of body composition</w:t>
      </w:r>
      <w:r w:rsidR="00A955CB">
        <w:rPr>
          <w:rFonts w:cs="Calibri"/>
        </w:rPr>
        <w:t>.</w:t>
      </w:r>
      <w:r w:rsidR="00C14F6C" w:rsidRPr="00C14F6C">
        <w:rPr>
          <w:rFonts w:cs="Calibri"/>
        </w:rPr>
        <w:t xml:space="preserve"> </w:t>
      </w:r>
      <w:r w:rsidR="00C14F6C" w:rsidRPr="004B79B9">
        <w:rPr>
          <w:rFonts w:cs="Calibri"/>
        </w:rPr>
        <w:t>Nutritional status may be an important risk factor for major compl</w:t>
      </w:r>
      <w:r w:rsidR="00EE385D">
        <w:rPr>
          <w:rFonts w:cs="Calibri"/>
        </w:rPr>
        <w:t>ications after oesophagectomy (</w:t>
      </w:r>
      <w:r w:rsidR="003A0F52">
        <w:rPr>
          <w:rFonts w:cs="Calibri"/>
        </w:rPr>
        <w:t>6</w:t>
      </w:r>
      <w:r w:rsidR="00C14F6C" w:rsidRPr="004B79B9">
        <w:rPr>
          <w:rFonts w:cs="Calibri"/>
        </w:rPr>
        <w:t xml:space="preserve">) and </w:t>
      </w:r>
      <w:r w:rsidR="00C14F6C">
        <w:rPr>
          <w:rFonts w:cs="Calibri"/>
        </w:rPr>
        <w:t xml:space="preserve">assessment </w:t>
      </w:r>
      <w:r w:rsidR="00C14F6C" w:rsidRPr="004B79B9">
        <w:rPr>
          <w:rFonts w:cs="Calibri"/>
        </w:rPr>
        <w:t>should be undertaken in all patients with a view to detecting and optimising nutrit</w:t>
      </w:r>
      <w:r w:rsidR="003A0F52">
        <w:rPr>
          <w:rFonts w:cs="Calibri"/>
        </w:rPr>
        <w:t>ional status before surgery (7</w:t>
      </w:r>
      <w:r w:rsidR="00C14F6C" w:rsidRPr="004B79B9">
        <w:rPr>
          <w:rFonts w:cs="Calibri"/>
        </w:rPr>
        <w:t>).</w:t>
      </w:r>
    </w:p>
    <w:p w14:paraId="773C2319" w14:textId="378C2EE6" w:rsidR="00887DBA" w:rsidRDefault="00871887" w:rsidP="00D801D6">
      <w:pPr>
        <w:spacing w:before="0" w:beforeAutospacing="0" w:after="0" w:line="480" w:lineRule="auto"/>
        <w:ind w:firstLine="720"/>
        <w:rPr>
          <w:rFonts w:asciiTheme="minorHAnsi" w:hAnsiTheme="minorHAnsi" w:cs="Arial"/>
        </w:rPr>
      </w:pPr>
      <w:r>
        <w:rPr>
          <w:rFonts w:asciiTheme="minorHAnsi" w:hAnsiTheme="minorHAnsi" w:cs="Arial"/>
        </w:rPr>
        <w:t>Improving nutritional status prior to surgery has been identi</w:t>
      </w:r>
      <w:r w:rsidR="00342A85">
        <w:rPr>
          <w:rFonts w:asciiTheme="minorHAnsi" w:hAnsiTheme="minorHAnsi" w:cs="Arial"/>
        </w:rPr>
        <w:t>fied as an important priority in</w:t>
      </w:r>
      <w:r>
        <w:rPr>
          <w:rFonts w:asciiTheme="minorHAnsi" w:hAnsiTheme="minorHAnsi" w:cs="Arial"/>
        </w:rPr>
        <w:t xml:space="preserve"> improving clinical outcomes for adults with cancer. Identifying those individuals at risk of malnutrition is important as current measures of body mass index (BMI) are inadequate as this does not discriminate between lean or fat mass and measure muscle function. </w:t>
      </w:r>
    </w:p>
    <w:p w14:paraId="06AB5515" w14:textId="47BD4ECA" w:rsidR="00887DBA" w:rsidRPr="00331C44" w:rsidRDefault="00871887" w:rsidP="00D801D6">
      <w:pPr>
        <w:spacing w:before="0" w:beforeAutospacing="0" w:after="0" w:line="480" w:lineRule="auto"/>
        <w:ind w:firstLine="720"/>
        <w:rPr>
          <w:rFonts w:asciiTheme="minorHAnsi" w:hAnsiTheme="minorHAnsi" w:cs="Arial"/>
        </w:rPr>
      </w:pPr>
      <w:r w:rsidRPr="00331C44">
        <w:rPr>
          <w:rFonts w:asciiTheme="minorHAnsi" w:hAnsiTheme="minorHAnsi" w:cs="Arial"/>
        </w:rPr>
        <w:t>Techniques including the us</w:t>
      </w:r>
      <w:r w:rsidR="00331C44" w:rsidRPr="00331C44">
        <w:rPr>
          <w:rFonts w:asciiTheme="minorHAnsi" w:hAnsiTheme="minorHAnsi" w:cs="Arial"/>
        </w:rPr>
        <w:t>e of handgrip strength (HGS) have</w:t>
      </w:r>
      <w:r w:rsidRPr="00331C44">
        <w:rPr>
          <w:rFonts w:asciiTheme="minorHAnsi" w:hAnsiTheme="minorHAnsi" w:cs="Arial"/>
        </w:rPr>
        <w:t xml:space="preserve"> been shown to be a func</w:t>
      </w:r>
      <w:r w:rsidR="00331C44" w:rsidRPr="00331C44">
        <w:rPr>
          <w:rFonts w:asciiTheme="minorHAnsi" w:hAnsiTheme="minorHAnsi" w:cs="Arial"/>
        </w:rPr>
        <w:t>tional measure of muscle mass (8</w:t>
      </w:r>
      <w:r w:rsidRPr="00331C44">
        <w:rPr>
          <w:rFonts w:asciiTheme="minorHAnsi" w:hAnsiTheme="minorHAnsi" w:cs="Arial"/>
        </w:rPr>
        <w:t>)</w:t>
      </w:r>
      <w:r w:rsidRPr="00331C44">
        <w:rPr>
          <w:rFonts w:asciiTheme="minorHAnsi" w:hAnsiTheme="minorHAnsi" w:cs="Arial"/>
          <w:vertAlign w:val="superscript"/>
        </w:rPr>
        <w:t xml:space="preserve"> </w:t>
      </w:r>
      <w:r w:rsidRPr="00331C44">
        <w:rPr>
          <w:rFonts w:asciiTheme="minorHAnsi" w:hAnsiTheme="minorHAnsi" w:cs="Arial"/>
        </w:rPr>
        <w:t>and may be a simple, cost-effective measurement to complete in an outpatient setting</w:t>
      </w:r>
      <w:r w:rsidR="00331C44" w:rsidRPr="00331C44">
        <w:rPr>
          <w:rFonts w:asciiTheme="minorHAnsi" w:hAnsiTheme="minorHAnsi" w:cs="Arial"/>
        </w:rPr>
        <w:t xml:space="preserve"> (9)</w:t>
      </w:r>
      <w:r w:rsidRPr="00331C44">
        <w:rPr>
          <w:rFonts w:asciiTheme="minorHAnsi" w:hAnsiTheme="minorHAnsi" w:cs="Arial"/>
        </w:rPr>
        <w:t>. Low handgrip strength is associated with increased mortality in a mixed cohort of cancer diagnoses (</w:t>
      </w:r>
      <w:r w:rsidR="00331C44" w:rsidRPr="00331C44">
        <w:rPr>
          <w:rFonts w:asciiTheme="minorHAnsi" w:hAnsiTheme="minorHAnsi" w:cs="Arial"/>
        </w:rPr>
        <w:t>10</w:t>
      </w:r>
      <w:r w:rsidRPr="00331C44">
        <w:rPr>
          <w:rFonts w:asciiTheme="minorHAnsi" w:hAnsiTheme="minorHAnsi" w:cs="Arial"/>
        </w:rPr>
        <w:t xml:space="preserve">, </w:t>
      </w:r>
      <w:r w:rsidR="00331C44" w:rsidRPr="00331C44">
        <w:rPr>
          <w:rFonts w:asciiTheme="minorHAnsi" w:hAnsiTheme="minorHAnsi" w:cs="Arial"/>
        </w:rPr>
        <w:t>11</w:t>
      </w:r>
      <w:r w:rsidRPr="00331C44">
        <w:rPr>
          <w:rFonts w:asciiTheme="minorHAnsi" w:hAnsiTheme="minorHAnsi" w:cs="Arial"/>
        </w:rPr>
        <w:t>), treatment modification (such as delay in chemo/radiotherapy &gt;1 week, dose reduction, hospital admission or discontinuation of treatment) during chemoradio</w:t>
      </w:r>
      <w:r w:rsidR="00331C44" w:rsidRPr="00331C44">
        <w:rPr>
          <w:rFonts w:asciiTheme="minorHAnsi" w:hAnsiTheme="minorHAnsi" w:cs="Arial"/>
        </w:rPr>
        <w:t>therapy in oesophageal cancer (12</w:t>
      </w:r>
      <w:r w:rsidRPr="00331C44">
        <w:rPr>
          <w:rFonts w:asciiTheme="minorHAnsi" w:hAnsiTheme="minorHAnsi" w:cs="Arial"/>
        </w:rPr>
        <w:t>) and as a predictor of postoperative complications in ad</w:t>
      </w:r>
      <w:r w:rsidR="00331C44" w:rsidRPr="00331C44">
        <w:rPr>
          <w:rFonts w:asciiTheme="minorHAnsi" w:hAnsiTheme="minorHAnsi" w:cs="Arial"/>
        </w:rPr>
        <w:t>ults following oesophagectomy (13-15</w:t>
      </w:r>
      <w:r w:rsidRPr="00331C44">
        <w:rPr>
          <w:rFonts w:asciiTheme="minorHAnsi" w:hAnsiTheme="minorHAnsi" w:cs="Arial"/>
        </w:rPr>
        <w:t xml:space="preserve">). </w:t>
      </w:r>
    </w:p>
    <w:p w14:paraId="513E6519" w14:textId="4447F8F6" w:rsidR="00473FB6" w:rsidRPr="004B79B9" w:rsidRDefault="00473FB6" w:rsidP="00D801D6">
      <w:pPr>
        <w:spacing w:before="0" w:beforeAutospacing="0" w:after="0" w:line="480" w:lineRule="auto"/>
        <w:ind w:firstLine="720"/>
        <w:rPr>
          <w:rFonts w:cs="Calibri"/>
        </w:rPr>
      </w:pPr>
      <w:r w:rsidRPr="004B79B9">
        <w:rPr>
          <w:rFonts w:cs="Calibri"/>
          <w:shd w:val="clear" w:color="auto" w:fill="FCFCFC"/>
        </w:rPr>
        <w:lastRenderedPageBreak/>
        <w:t>Pre-operative nutritional interventions have been shown to specifically improve perioperative outcomes in GI and cancer surgical patients (</w:t>
      </w:r>
      <w:r w:rsidR="00331C44">
        <w:rPr>
          <w:rFonts w:cs="Calibri"/>
          <w:shd w:val="clear" w:color="auto" w:fill="FCFCFC"/>
        </w:rPr>
        <w:t>16</w:t>
      </w:r>
      <w:r w:rsidRPr="004B79B9">
        <w:rPr>
          <w:rFonts w:cs="Calibri"/>
          <w:shd w:val="clear" w:color="auto" w:fill="FCFCFC"/>
        </w:rPr>
        <w:t>)</w:t>
      </w:r>
      <w:r w:rsidR="00FA4103" w:rsidRPr="004B79B9">
        <w:rPr>
          <w:rFonts w:cs="Calibri"/>
          <w:shd w:val="clear" w:color="auto" w:fill="FCFCFC"/>
        </w:rPr>
        <w:t>.</w:t>
      </w:r>
      <w:r w:rsidRPr="004B79B9">
        <w:rPr>
          <w:rFonts w:cs="Calibri"/>
          <w:shd w:val="clear" w:color="auto" w:fill="FCFCFC"/>
        </w:rPr>
        <w:t xml:space="preserve"> </w:t>
      </w:r>
      <w:r w:rsidRPr="00321983">
        <w:rPr>
          <w:rFonts w:cs="Calibri"/>
        </w:rPr>
        <w:t>Prehabilitation is the process of enhancing functional capacity in advance of a known physiologically stressful event, such as cancer therapy or surgery, and aims to 1) empower adults with cancer to take ownership of their treatment</w:t>
      </w:r>
      <w:r w:rsidR="00321983" w:rsidRPr="00321983">
        <w:rPr>
          <w:rFonts w:cs="Calibri"/>
        </w:rPr>
        <w:t>,</w:t>
      </w:r>
      <w:r w:rsidRPr="00321983">
        <w:rPr>
          <w:rFonts w:cs="Calibri"/>
        </w:rPr>
        <w:t xml:space="preserve"> 2) reduce the risk of post-operative morbidity</w:t>
      </w:r>
      <w:r w:rsidR="00321983" w:rsidRPr="00321983">
        <w:rPr>
          <w:rFonts w:cs="Calibri"/>
        </w:rPr>
        <w:t>,</w:t>
      </w:r>
      <w:r w:rsidRPr="00321983">
        <w:rPr>
          <w:rFonts w:cs="Calibri"/>
        </w:rPr>
        <w:t xml:space="preserve"> and 3) improve the rate of post-</w:t>
      </w:r>
      <w:r w:rsidR="00EE385D" w:rsidRPr="00321983">
        <w:rPr>
          <w:rFonts w:cs="Calibri"/>
        </w:rPr>
        <w:t>operative recovery (</w:t>
      </w:r>
      <w:r w:rsidR="00331C44" w:rsidRPr="00321983">
        <w:rPr>
          <w:rFonts w:cs="Calibri"/>
        </w:rPr>
        <w:t>17</w:t>
      </w:r>
      <w:r w:rsidRPr="00321983">
        <w:rPr>
          <w:rFonts w:cs="Calibri"/>
        </w:rPr>
        <w:t xml:space="preserve">). </w:t>
      </w:r>
      <w:r w:rsidRPr="004B79B9">
        <w:rPr>
          <w:rFonts w:cs="Calibri"/>
        </w:rPr>
        <w:t>It has increasingly become focussed on three components; exercise, nutritional optimisation and psychological support, which in a research setting has been found to provide complementary ben</w:t>
      </w:r>
      <w:r w:rsidR="00EE385D">
        <w:rPr>
          <w:rFonts w:cs="Calibri"/>
        </w:rPr>
        <w:t>efit as a multimodal approach (</w:t>
      </w:r>
      <w:r w:rsidR="00331C44">
        <w:rPr>
          <w:rFonts w:cs="Calibri"/>
        </w:rPr>
        <w:t>18</w:t>
      </w:r>
      <w:r w:rsidRPr="004B79B9">
        <w:rPr>
          <w:rFonts w:cs="Calibri"/>
        </w:rPr>
        <w:t xml:space="preserve">). </w:t>
      </w:r>
    </w:p>
    <w:p w14:paraId="5AB901B6" w14:textId="0B2DE0EC" w:rsidR="003E2AF2" w:rsidRDefault="00AC5559" w:rsidP="00D801D6">
      <w:pPr>
        <w:spacing w:before="0" w:beforeAutospacing="0" w:after="0" w:line="480" w:lineRule="auto"/>
        <w:ind w:firstLine="720"/>
        <w:rPr>
          <w:rStyle w:val="CommentReference"/>
        </w:rPr>
      </w:pPr>
      <w:r>
        <w:rPr>
          <w:rFonts w:asciiTheme="minorHAnsi" w:hAnsiTheme="minorHAnsi" w:cs="Arial"/>
        </w:rPr>
        <w:t>The aim</w:t>
      </w:r>
      <w:r w:rsidR="00FD1298">
        <w:rPr>
          <w:rFonts w:asciiTheme="minorHAnsi" w:hAnsiTheme="minorHAnsi" w:cs="Arial"/>
        </w:rPr>
        <w:t>s</w:t>
      </w:r>
      <w:r>
        <w:rPr>
          <w:rFonts w:asciiTheme="minorHAnsi" w:hAnsiTheme="minorHAnsi" w:cs="Arial"/>
        </w:rPr>
        <w:t xml:space="preserve"> of this study w</w:t>
      </w:r>
      <w:r w:rsidR="00FD1298">
        <w:rPr>
          <w:rFonts w:asciiTheme="minorHAnsi" w:hAnsiTheme="minorHAnsi" w:cs="Arial"/>
        </w:rPr>
        <w:t>ere</w:t>
      </w:r>
      <w:r>
        <w:rPr>
          <w:rFonts w:asciiTheme="minorHAnsi" w:hAnsiTheme="minorHAnsi" w:cs="Arial"/>
        </w:rPr>
        <w:t xml:space="preserve"> to </w:t>
      </w:r>
      <w:r w:rsidR="004F09D0">
        <w:rPr>
          <w:rFonts w:asciiTheme="minorHAnsi" w:hAnsiTheme="minorHAnsi" w:cs="Arial"/>
        </w:rPr>
        <w:t>examine the effect of</w:t>
      </w:r>
      <w:r w:rsidR="003F3783">
        <w:rPr>
          <w:rFonts w:asciiTheme="minorHAnsi" w:hAnsiTheme="minorHAnsi" w:cs="Arial"/>
        </w:rPr>
        <w:t xml:space="preserve"> early </w:t>
      </w:r>
      <w:r w:rsidR="004F09D0">
        <w:rPr>
          <w:rFonts w:asciiTheme="minorHAnsi" w:hAnsiTheme="minorHAnsi" w:cs="Arial"/>
        </w:rPr>
        <w:t xml:space="preserve">nutrition support on outcomes </w:t>
      </w:r>
      <w:r w:rsidR="003F3783">
        <w:rPr>
          <w:rFonts w:asciiTheme="minorHAnsi" w:hAnsiTheme="minorHAnsi" w:cs="Arial"/>
        </w:rPr>
        <w:t>in adults with oesophageal cancer following an oesophagectomy</w:t>
      </w:r>
      <w:r w:rsidR="00B66017">
        <w:rPr>
          <w:rFonts w:asciiTheme="minorHAnsi" w:hAnsiTheme="minorHAnsi" w:cs="Arial"/>
        </w:rPr>
        <w:t xml:space="preserve">; </w:t>
      </w:r>
      <w:r>
        <w:rPr>
          <w:rFonts w:asciiTheme="minorHAnsi" w:hAnsiTheme="minorHAnsi" w:cs="Arial"/>
        </w:rPr>
        <w:t xml:space="preserve">and </w:t>
      </w:r>
      <w:r w:rsidR="00FD1298">
        <w:rPr>
          <w:rFonts w:asciiTheme="minorHAnsi" w:hAnsiTheme="minorHAnsi" w:cs="Arial"/>
        </w:rPr>
        <w:t xml:space="preserve">to </w:t>
      </w:r>
      <w:r w:rsidR="004F09D0">
        <w:rPr>
          <w:rFonts w:asciiTheme="minorHAnsi" w:hAnsiTheme="minorHAnsi" w:cs="Arial"/>
        </w:rPr>
        <w:t xml:space="preserve">assess </w:t>
      </w:r>
      <w:r w:rsidR="003F3783">
        <w:rPr>
          <w:rFonts w:asciiTheme="minorHAnsi" w:hAnsiTheme="minorHAnsi" w:cs="Arial"/>
        </w:rPr>
        <w:t>if functional markers of nutritional status were</w:t>
      </w:r>
      <w:r w:rsidR="004F09D0">
        <w:rPr>
          <w:rFonts w:asciiTheme="minorHAnsi" w:hAnsiTheme="minorHAnsi" w:cs="Arial"/>
        </w:rPr>
        <w:t xml:space="preserve"> </w:t>
      </w:r>
      <w:r w:rsidR="003F3783">
        <w:rPr>
          <w:rFonts w:asciiTheme="minorHAnsi" w:hAnsiTheme="minorHAnsi" w:cs="Arial"/>
        </w:rPr>
        <w:t>predictive of clinical outcomes in adults with oesophageal cancer following an oesophagectomy</w:t>
      </w:r>
      <w:r>
        <w:rPr>
          <w:rFonts w:asciiTheme="minorHAnsi" w:hAnsiTheme="minorHAnsi" w:cs="Arial"/>
        </w:rPr>
        <w:t>.</w:t>
      </w:r>
      <w:r w:rsidR="00CC6758">
        <w:rPr>
          <w:rFonts w:asciiTheme="minorHAnsi" w:hAnsiTheme="minorHAnsi" w:cs="Arial"/>
        </w:rPr>
        <w:t xml:space="preserve"> </w:t>
      </w:r>
    </w:p>
    <w:p w14:paraId="06839709" w14:textId="77777777" w:rsidR="00E46153" w:rsidRPr="003E2AF2" w:rsidRDefault="004F09D0" w:rsidP="00D801D6">
      <w:pPr>
        <w:spacing w:before="0" w:beforeAutospacing="0" w:after="0" w:line="480" w:lineRule="auto"/>
        <w:rPr>
          <w:sz w:val="16"/>
          <w:szCs w:val="16"/>
        </w:rPr>
      </w:pPr>
      <w:r w:rsidRPr="00981FAD">
        <w:rPr>
          <w:rFonts w:asciiTheme="minorHAnsi" w:hAnsiTheme="minorHAnsi" w:cs="Arial"/>
          <w:b/>
        </w:rPr>
        <w:t>Materials and Methods</w:t>
      </w:r>
    </w:p>
    <w:p w14:paraId="0145E7AD" w14:textId="77777777" w:rsidR="00E46153" w:rsidRDefault="004F09D0" w:rsidP="00D801D6">
      <w:pPr>
        <w:spacing w:before="0" w:beforeAutospacing="0" w:after="0" w:line="480" w:lineRule="auto"/>
        <w:rPr>
          <w:rFonts w:asciiTheme="minorHAnsi" w:hAnsiTheme="minorHAnsi" w:cs="Arial"/>
          <w:i/>
        </w:rPr>
      </w:pPr>
      <w:r>
        <w:rPr>
          <w:rFonts w:asciiTheme="minorHAnsi" w:hAnsiTheme="minorHAnsi" w:cs="Arial"/>
          <w:i/>
        </w:rPr>
        <w:t>2.1 Study design and patient population</w:t>
      </w:r>
    </w:p>
    <w:p w14:paraId="71D57C2F" w14:textId="2D8FDEA6" w:rsidR="00E46153" w:rsidRDefault="00871887" w:rsidP="00D801D6">
      <w:pPr>
        <w:spacing w:before="0" w:beforeAutospacing="0" w:after="0" w:line="480" w:lineRule="auto"/>
        <w:ind w:firstLine="720"/>
        <w:rPr>
          <w:rFonts w:asciiTheme="minorHAnsi" w:hAnsiTheme="minorHAnsi" w:cs="Arial"/>
        </w:rPr>
      </w:pPr>
      <w:r>
        <w:rPr>
          <w:rFonts w:asciiTheme="minorHAnsi" w:hAnsiTheme="minorHAnsi" w:cs="Arial"/>
        </w:rPr>
        <w:t xml:space="preserve">A retrospective study was completed with inclusion criteria being all adults who underwent an oesophagectomy for adenocarcinoma or squamous cell carcinoma (SCC) in a specialist regional centre in the UK between April 2016 and July 2019. </w:t>
      </w:r>
      <w:r w:rsidR="004F09D0">
        <w:rPr>
          <w:rFonts w:asciiTheme="minorHAnsi" w:hAnsiTheme="minorHAnsi" w:cs="Arial"/>
        </w:rPr>
        <w:t>Data was anonymised, collected from electronic medical notes and dietetic record cards. Exclusion criteria included patients who underwent p</w:t>
      </w:r>
      <w:r w:rsidR="00AB5496">
        <w:rPr>
          <w:rFonts w:asciiTheme="minorHAnsi" w:hAnsiTheme="minorHAnsi" w:cs="Arial"/>
        </w:rPr>
        <w:t xml:space="preserve">artial or total gastrectomy, </w:t>
      </w:r>
      <w:r w:rsidR="004F09D0">
        <w:rPr>
          <w:rFonts w:asciiTheme="minorHAnsi" w:hAnsiTheme="minorHAnsi" w:cs="Arial"/>
        </w:rPr>
        <w:t>colonic interposition graft</w:t>
      </w:r>
      <w:r w:rsidR="00AB5496">
        <w:rPr>
          <w:rFonts w:asciiTheme="minorHAnsi" w:hAnsiTheme="minorHAnsi" w:cs="Arial"/>
        </w:rPr>
        <w:t xml:space="preserve"> or oesophagectomy for benign perforation or neuroendocrine pathology</w:t>
      </w:r>
      <w:r w:rsidR="004F09D0">
        <w:rPr>
          <w:rFonts w:asciiTheme="minorHAnsi" w:hAnsiTheme="minorHAnsi" w:cs="Arial"/>
        </w:rPr>
        <w:t>. After consulting the local research ethics committee, the need for ethics approval was waived due to the retrospective nature of the study. It was however registered through the University Hospital Southampton NHS Foundation Trust Clinical Governance system (</w:t>
      </w:r>
      <w:r w:rsidR="00AC5559">
        <w:rPr>
          <w:rFonts w:asciiTheme="minorHAnsi" w:hAnsiTheme="minorHAnsi" w:cs="Arial"/>
        </w:rPr>
        <w:t>Audit n</w:t>
      </w:r>
      <w:r w:rsidR="004F09D0">
        <w:rPr>
          <w:rFonts w:asciiTheme="minorHAnsi" w:hAnsiTheme="minorHAnsi" w:cs="Arial"/>
        </w:rPr>
        <w:t>umber 6308).</w:t>
      </w:r>
    </w:p>
    <w:p w14:paraId="260A1AF3" w14:textId="77777777" w:rsidR="00E46153" w:rsidRDefault="004F09D0" w:rsidP="00D801D6">
      <w:pPr>
        <w:spacing w:before="0" w:beforeAutospacing="0" w:after="0" w:line="480" w:lineRule="auto"/>
        <w:rPr>
          <w:rFonts w:asciiTheme="minorHAnsi" w:hAnsiTheme="minorHAnsi" w:cs="Arial"/>
          <w:i/>
        </w:rPr>
      </w:pPr>
      <w:r>
        <w:rPr>
          <w:rFonts w:asciiTheme="minorHAnsi" w:hAnsiTheme="minorHAnsi" w:cs="Arial"/>
          <w:i/>
        </w:rPr>
        <w:t>2.2 Nutrition support</w:t>
      </w:r>
    </w:p>
    <w:p w14:paraId="6CB8B5AA" w14:textId="008925DB" w:rsidR="002B0F8E" w:rsidRPr="002717CB" w:rsidRDefault="008F224B" w:rsidP="00D801D6">
      <w:pPr>
        <w:spacing w:before="0" w:beforeAutospacing="0" w:after="0" w:line="480" w:lineRule="auto"/>
        <w:ind w:firstLine="720"/>
      </w:pPr>
      <w:r w:rsidRPr="002717CB">
        <w:rPr>
          <w:rFonts w:asciiTheme="minorHAnsi" w:hAnsiTheme="minorHAnsi" w:cs="Arial"/>
        </w:rPr>
        <w:t>Patients were categorised into two</w:t>
      </w:r>
      <w:r w:rsidR="008A2B62" w:rsidRPr="002717CB">
        <w:rPr>
          <w:rFonts w:asciiTheme="minorHAnsi" w:hAnsiTheme="minorHAnsi" w:cs="Arial"/>
        </w:rPr>
        <w:t xml:space="preserve"> groups of early and late nutrition support. </w:t>
      </w:r>
      <w:r w:rsidR="00871887">
        <w:t>Early nutrition support</w:t>
      </w:r>
      <w:r w:rsidRPr="002717CB">
        <w:t xml:space="preserve">: </w:t>
      </w:r>
      <w:r w:rsidR="00871887">
        <w:t>a</w:t>
      </w:r>
      <w:r w:rsidRPr="002717CB">
        <w:t xml:space="preserve">dults with oesophageal cancer </w:t>
      </w:r>
      <w:r w:rsidR="008F5E4D">
        <w:t xml:space="preserve">who </w:t>
      </w:r>
      <w:r w:rsidRPr="002717CB">
        <w:t xml:space="preserve">were referred by a clinician for nutrition assessment </w:t>
      </w:r>
      <w:r w:rsidR="00531324" w:rsidRPr="00531324">
        <w:lastRenderedPageBreak/>
        <w:t xml:space="preserve">and individualised nutrition support </w:t>
      </w:r>
      <w:r w:rsidRPr="00531324">
        <w:t xml:space="preserve">by </w:t>
      </w:r>
      <w:r w:rsidRPr="002717CB">
        <w:t>a dietitian</w:t>
      </w:r>
      <w:r w:rsidR="008F5E4D">
        <w:t xml:space="preserve"> </w:t>
      </w:r>
      <w:r w:rsidR="00FD1298">
        <w:t xml:space="preserve">before or </w:t>
      </w:r>
      <w:r w:rsidR="008F5E4D">
        <w:t>during neoadjuvant treatment</w:t>
      </w:r>
      <w:r w:rsidRPr="002717CB">
        <w:t xml:space="preserve">. </w:t>
      </w:r>
      <w:r w:rsidR="00486AC4" w:rsidRPr="0016040A">
        <w:t>Duration of early nutrition support was therefore</w:t>
      </w:r>
      <w:r w:rsidR="0016040A" w:rsidRPr="0016040A">
        <w:t xml:space="preserve"> commenced</w:t>
      </w:r>
      <w:r w:rsidR="00486AC4" w:rsidRPr="0016040A">
        <w:t xml:space="preserve"> a minimum of 8-10 weeks pre-operatively. </w:t>
      </w:r>
      <w:r w:rsidR="00A50BDB" w:rsidRPr="002E1ED5">
        <w:t xml:space="preserve">Adherence to the prescribed nutrition support was recorded according to the clinical judgement of the dietitian. </w:t>
      </w:r>
      <w:r w:rsidR="00871887">
        <w:t>Late nutrition support</w:t>
      </w:r>
      <w:r w:rsidRPr="002717CB">
        <w:t xml:space="preserve">: </w:t>
      </w:r>
      <w:r w:rsidR="00871887">
        <w:t>a</w:t>
      </w:r>
      <w:r w:rsidRPr="002717CB">
        <w:t xml:space="preserve">dults with </w:t>
      </w:r>
      <w:r w:rsidR="002717CB" w:rsidRPr="002717CB">
        <w:t>o</w:t>
      </w:r>
      <w:r w:rsidR="002717CB">
        <w:t>e</w:t>
      </w:r>
      <w:r w:rsidR="002717CB" w:rsidRPr="002717CB">
        <w:t>sophageal</w:t>
      </w:r>
      <w:r w:rsidRPr="002717CB">
        <w:t xml:space="preserve"> cancer in the late group were</w:t>
      </w:r>
      <w:r w:rsidR="00022204">
        <w:t xml:space="preserve"> subjectively</w:t>
      </w:r>
      <w:r w:rsidRPr="002717CB">
        <w:t xml:space="preserve"> not deemed by a clinician to require nutrition support </w:t>
      </w:r>
      <w:r w:rsidR="002B0F8E" w:rsidRPr="002717CB">
        <w:t>pre-operatively</w:t>
      </w:r>
      <w:r w:rsidR="008F5E4D">
        <w:t>.</w:t>
      </w:r>
      <w:r w:rsidR="002B0F8E" w:rsidRPr="002717CB">
        <w:t xml:space="preserve"> </w:t>
      </w:r>
    </w:p>
    <w:p w14:paraId="051E2F5A" w14:textId="5F51E16A" w:rsidR="002717CB" w:rsidRDefault="008F5E4D" w:rsidP="00D801D6">
      <w:pPr>
        <w:spacing w:before="0" w:beforeAutospacing="0" w:after="0" w:line="480" w:lineRule="auto"/>
        <w:ind w:firstLine="720"/>
        <w:rPr>
          <w:rFonts w:asciiTheme="minorHAnsi" w:hAnsiTheme="minorHAnsi" w:cs="Arial"/>
        </w:rPr>
      </w:pPr>
      <w:r>
        <w:rPr>
          <w:rFonts w:asciiTheme="minorHAnsi" w:hAnsiTheme="minorHAnsi" w:cs="Arial"/>
        </w:rPr>
        <w:t>All</w:t>
      </w:r>
      <w:r w:rsidR="002B0F8E" w:rsidRPr="00D71D57">
        <w:rPr>
          <w:rFonts w:asciiTheme="minorHAnsi" w:hAnsiTheme="minorHAnsi" w:cs="Arial"/>
        </w:rPr>
        <w:t xml:space="preserve"> patients were </w:t>
      </w:r>
      <w:r w:rsidR="00FD1298">
        <w:rPr>
          <w:rFonts w:asciiTheme="minorHAnsi" w:hAnsiTheme="minorHAnsi" w:cs="Arial"/>
        </w:rPr>
        <w:t xml:space="preserve">assessed by </w:t>
      </w:r>
      <w:r w:rsidR="002B0F8E">
        <w:rPr>
          <w:rFonts w:asciiTheme="minorHAnsi" w:hAnsiTheme="minorHAnsi" w:cs="Arial"/>
        </w:rPr>
        <w:t>a dietitian</w:t>
      </w:r>
      <w:r w:rsidR="002B0F8E" w:rsidRPr="00D71D57">
        <w:rPr>
          <w:rFonts w:asciiTheme="minorHAnsi" w:hAnsiTheme="minorHAnsi" w:cs="Arial"/>
        </w:rPr>
        <w:t xml:space="preserve"> at the pre</w:t>
      </w:r>
      <w:r w:rsidR="00E17471">
        <w:rPr>
          <w:rFonts w:asciiTheme="minorHAnsi" w:hAnsiTheme="minorHAnsi" w:cs="Arial"/>
        </w:rPr>
        <w:t>-</w:t>
      </w:r>
      <w:r w:rsidR="002B0F8E" w:rsidRPr="00D71D57">
        <w:rPr>
          <w:rFonts w:asciiTheme="minorHAnsi" w:hAnsiTheme="minorHAnsi" w:cs="Arial"/>
        </w:rPr>
        <w:t>operative assessment clinic, reviewed daily during post</w:t>
      </w:r>
      <w:r w:rsidR="00E17471">
        <w:rPr>
          <w:rFonts w:asciiTheme="minorHAnsi" w:hAnsiTheme="minorHAnsi" w:cs="Arial"/>
        </w:rPr>
        <w:t>-</w:t>
      </w:r>
      <w:r w:rsidR="002B0F8E" w:rsidRPr="00D71D57">
        <w:rPr>
          <w:rFonts w:asciiTheme="minorHAnsi" w:hAnsiTheme="minorHAnsi" w:cs="Arial"/>
        </w:rPr>
        <w:t xml:space="preserve">operative </w:t>
      </w:r>
      <w:r w:rsidR="002B0F8E">
        <w:rPr>
          <w:rFonts w:asciiTheme="minorHAnsi" w:hAnsiTheme="minorHAnsi" w:cs="Arial"/>
        </w:rPr>
        <w:t xml:space="preserve">hospital stay and reviewed post </w:t>
      </w:r>
      <w:r w:rsidR="002B0F8E" w:rsidRPr="00D71D57">
        <w:rPr>
          <w:rFonts w:asciiTheme="minorHAnsi" w:hAnsiTheme="minorHAnsi" w:cs="Arial"/>
        </w:rPr>
        <w:t>discharge at</w:t>
      </w:r>
      <w:r w:rsidR="002717CB">
        <w:rPr>
          <w:rFonts w:asciiTheme="minorHAnsi" w:hAnsiTheme="minorHAnsi" w:cs="Arial"/>
        </w:rPr>
        <w:t xml:space="preserve"> </w:t>
      </w:r>
      <w:r w:rsidR="002B0F8E" w:rsidRPr="00D71D57">
        <w:rPr>
          <w:rFonts w:asciiTheme="minorHAnsi" w:hAnsiTheme="minorHAnsi" w:cs="Arial"/>
        </w:rPr>
        <w:t>the multi-disciplinary clinic.</w:t>
      </w:r>
      <w:r w:rsidR="00FD1298">
        <w:rPr>
          <w:rFonts w:asciiTheme="minorHAnsi" w:hAnsiTheme="minorHAnsi" w:cs="Arial"/>
        </w:rPr>
        <w:t xml:space="preserve"> </w:t>
      </w:r>
      <w:r w:rsidR="00887DBA">
        <w:rPr>
          <w:rFonts w:asciiTheme="minorHAnsi" w:hAnsiTheme="minorHAnsi" w:cs="Arial"/>
        </w:rPr>
        <w:t>Patients followed a published and validated</w:t>
      </w:r>
      <w:r w:rsidR="00871887">
        <w:rPr>
          <w:rFonts w:asciiTheme="minorHAnsi" w:hAnsiTheme="minorHAnsi" w:cs="Arial"/>
        </w:rPr>
        <w:t xml:space="preserve"> </w:t>
      </w:r>
      <w:r w:rsidR="00BB154A">
        <w:rPr>
          <w:rFonts w:asciiTheme="minorHAnsi" w:hAnsiTheme="minorHAnsi" w:cs="Arial"/>
        </w:rPr>
        <w:t xml:space="preserve">enhanced recovery </w:t>
      </w:r>
      <w:r w:rsidR="00BB154A" w:rsidRPr="00AC0420">
        <w:rPr>
          <w:rFonts w:asciiTheme="minorHAnsi" w:hAnsiTheme="minorHAnsi" w:cs="Arial"/>
        </w:rPr>
        <w:t>programme (</w:t>
      </w:r>
      <w:r w:rsidR="00AC0420" w:rsidRPr="00AC0420">
        <w:rPr>
          <w:rFonts w:asciiTheme="minorHAnsi" w:hAnsiTheme="minorHAnsi" w:cs="Arial"/>
        </w:rPr>
        <w:t>1</w:t>
      </w:r>
      <w:r w:rsidR="00331C44">
        <w:rPr>
          <w:rFonts w:asciiTheme="minorHAnsi" w:hAnsiTheme="minorHAnsi" w:cs="Arial"/>
        </w:rPr>
        <w:t>9</w:t>
      </w:r>
      <w:r w:rsidR="00BB154A" w:rsidRPr="00AC0420">
        <w:rPr>
          <w:rFonts w:asciiTheme="minorHAnsi" w:hAnsiTheme="minorHAnsi" w:cs="Arial"/>
        </w:rPr>
        <w:t xml:space="preserve">) </w:t>
      </w:r>
      <w:r w:rsidR="00871887">
        <w:rPr>
          <w:rFonts w:asciiTheme="minorHAnsi" w:hAnsiTheme="minorHAnsi" w:cs="Arial"/>
        </w:rPr>
        <w:t xml:space="preserve">with </w:t>
      </w:r>
      <w:r w:rsidR="00BB154A" w:rsidRPr="00AC0420">
        <w:rPr>
          <w:rFonts w:asciiTheme="minorHAnsi" w:hAnsiTheme="minorHAnsi" w:cs="Arial"/>
        </w:rPr>
        <w:t xml:space="preserve">early </w:t>
      </w:r>
      <w:r w:rsidR="00BB154A">
        <w:rPr>
          <w:rFonts w:asciiTheme="minorHAnsi" w:hAnsiTheme="minorHAnsi" w:cs="Arial"/>
        </w:rPr>
        <w:t>oral feeding was commenced and built up to a pur</w:t>
      </w:r>
      <w:r w:rsidR="00BB154A">
        <w:rPr>
          <w:rFonts w:asciiTheme="minorHAnsi" w:hAnsiTheme="minorHAnsi" w:cstheme="minorHAnsi"/>
        </w:rPr>
        <w:t>é</w:t>
      </w:r>
      <w:r w:rsidR="00BB154A">
        <w:rPr>
          <w:rFonts w:asciiTheme="minorHAnsi" w:hAnsiTheme="minorHAnsi" w:cs="Arial"/>
        </w:rPr>
        <w:t xml:space="preserve">e consistency diet by </w:t>
      </w:r>
      <w:r w:rsidR="001907C3">
        <w:rPr>
          <w:rFonts w:asciiTheme="minorHAnsi" w:hAnsiTheme="minorHAnsi" w:cs="Arial"/>
        </w:rPr>
        <w:t>Day 5</w:t>
      </w:r>
      <w:r w:rsidR="00BB154A">
        <w:rPr>
          <w:rFonts w:asciiTheme="minorHAnsi" w:hAnsiTheme="minorHAnsi" w:cs="Arial"/>
        </w:rPr>
        <w:t xml:space="preserve"> post-operatively. </w:t>
      </w:r>
      <w:r w:rsidR="00B66017">
        <w:rPr>
          <w:rFonts w:asciiTheme="minorHAnsi" w:hAnsiTheme="minorHAnsi" w:cs="Arial"/>
        </w:rPr>
        <w:t>In the post-operative phase i</w:t>
      </w:r>
      <w:r w:rsidR="00BB154A">
        <w:rPr>
          <w:rFonts w:asciiTheme="minorHAnsi" w:hAnsiTheme="minorHAnsi" w:cs="Arial"/>
        </w:rPr>
        <w:t>ndividuals were prescri</w:t>
      </w:r>
      <w:r w:rsidR="00AC0420">
        <w:rPr>
          <w:rFonts w:asciiTheme="minorHAnsi" w:hAnsiTheme="minorHAnsi" w:cs="Arial"/>
        </w:rPr>
        <w:t xml:space="preserve">bed 2x125ml high protein </w:t>
      </w:r>
      <w:r w:rsidR="00B66017">
        <w:rPr>
          <w:rFonts w:asciiTheme="minorHAnsi" w:hAnsiTheme="minorHAnsi" w:cs="Arial"/>
        </w:rPr>
        <w:t>oral nutritional supplements (</w:t>
      </w:r>
      <w:r w:rsidR="00AC0420">
        <w:rPr>
          <w:rFonts w:asciiTheme="minorHAnsi" w:hAnsiTheme="minorHAnsi" w:cs="Arial"/>
        </w:rPr>
        <w:t>ONS</w:t>
      </w:r>
      <w:r w:rsidR="00B66017">
        <w:rPr>
          <w:rFonts w:asciiTheme="minorHAnsi" w:hAnsiTheme="minorHAnsi" w:cs="Arial"/>
        </w:rPr>
        <w:t>)</w:t>
      </w:r>
      <w:r w:rsidR="00AC0420">
        <w:rPr>
          <w:rFonts w:asciiTheme="minorHAnsi" w:hAnsiTheme="minorHAnsi" w:cs="Arial"/>
        </w:rPr>
        <w:t xml:space="preserve"> as a first line in addition to oral diet</w:t>
      </w:r>
      <w:r w:rsidR="00BB154A">
        <w:rPr>
          <w:rFonts w:asciiTheme="minorHAnsi" w:hAnsiTheme="minorHAnsi" w:cs="Arial"/>
        </w:rPr>
        <w:t>. Surgical jejunostomy tubes were not routinely placed, but at the discretion of the surgeon if concerns of post-operative complications arose which would delay or prevent early oral feeding were suspected</w:t>
      </w:r>
      <w:r w:rsidR="00AC0420">
        <w:rPr>
          <w:rFonts w:asciiTheme="minorHAnsi" w:hAnsiTheme="minorHAnsi" w:cs="Arial"/>
        </w:rPr>
        <w:t>,</w:t>
      </w:r>
      <w:r w:rsidR="00BB154A">
        <w:rPr>
          <w:rFonts w:asciiTheme="minorHAnsi" w:hAnsiTheme="minorHAnsi" w:cs="Arial"/>
        </w:rPr>
        <w:t xml:space="preserve"> or if the dietitian raised concerns regarding the individuals’ nutritional status following nutritional assessment. </w:t>
      </w:r>
    </w:p>
    <w:p w14:paraId="720B3515" w14:textId="77777777" w:rsidR="00E46153" w:rsidRDefault="004F09D0" w:rsidP="00D801D6">
      <w:pPr>
        <w:spacing w:before="0" w:beforeAutospacing="0" w:after="0" w:line="480" w:lineRule="auto"/>
        <w:rPr>
          <w:rFonts w:asciiTheme="minorHAnsi" w:hAnsiTheme="minorHAnsi" w:cs="Arial"/>
          <w:i/>
        </w:rPr>
      </w:pPr>
      <w:r>
        <w:rPr>
          <w:rFonts w:asciiTheme="minorHAnsi" w:hAnsiTheme="minorHAnsi" w:cs="Arial"/>
          <w:i/>
        </w:rPr>
        <w:t>2.3 Nutritional status</w:t>
      </w:r>
    </w:p>
    <w:p w14:paraId="330058F8" w14:textId="1324D289" w:rsidR="006A3CE8" w:rsidRDefault="006A3CE8" w:rsidP="00D801D6">
      <w:pPr>
        <w:spacing w:before="0" w:beforeAutospacing="0" w:after="0" w:line="480" w:lineRule="auto"/>
        <w:ind w:firstLine="720"/>
        <w:rPr>
          <w:rFonts w:asciiTheme="minorHAnsi" w:hAnsiTheme="minorHAnsi" w:cs="Arial"/>
        </w:rPr>
      </w:pPr>
      <w:r>
        <w:rPr>
          <w:rFonts w:asciiTheme="minorHAnsi" w:hAnsiTheme="minorHAnsi" w:cs="Arial"/>
        </w:rPr>
        <w:t xml:space="preserve">Before each appointment </w:t>
      </w:r>
      <w:r w:rsidR="002B0F8E">
        <w:rPr>
          <w:rFonts w:asciiTheme="minorHAnsi" w:hAnsiTheme="minorHAnsi" w:cs="Arial"/>
        </w:rPr>
        <w:t xml:space="preserve">with a dietitian </w:t>
      </w:r>
      <w:r>
        <w:rPr>
          <w:rFonts w:asciiTheme="minorHAnsi" w:hAnsiTheme="minorHAnsi" w:cs="Arial"/>
        </w:rPr>
        <w:t>patients were weighed on a standing scale, with shoes and outerwear removed, with minimal clothing. Patients were also weighed weekly during neoadjuvant chemoradiotherapy or prior to each cycle of chemotherapy. Baseline weight was recorded 3-6 months prior to diagnosis and at 12 months post</w:t>
      </w:r>
      <w:r w:rsidR="00E17471">
        <w:rPr>
          <w:rFonts w:asciiTheme="minorHAnsi" w:hAnsiTheme="minorHAnsi" w:cs="Arial"/>
        </w:rPr>
        <w:t>-</w:t>
      </w:r>
      <w:r>
        <w:rPr>
          <w:rFonts w:asciiTheme="minorHAnsi" w:hAnsiTheme="minorHAnsi" w:cs="Arial"/>
        </w:rPr>
        <w:t>operatively.  This was obtained from hospital or GP records where available, or through patient-reported weight. Height was measured using a Leicester height measure at their first clinic appointment. BMI was calculated and weight loss was calculated</w:t>
      </w:r>
      <w:r w:rsidR="00B66017">
        <w:rPr>
          <w:rFonts w:asciiTheme="minorHAnsi" w:hAnsiTheme="minorHAnsi" w:cs="Arial"/>
        </w:rPr>
        <w:t xml:space="preserve"> and recorded</w:t>
      </w:r>
      <w:r>
        <w:rPr>
          <w:rFonts w:asciiTheme="minorHAnsi" w:hAnsiTheme="minorHAnsi" w:cs="Arial"/>
        </w:rPr>
        <w:t xml:space="preserve"> as a p</w:t>
      </w:r>
      <w:r w:rsidR="00B66017">
        <w:rPr>
          <w:rFonts w:asciiTheme="minorHAnsi" w:hAnsiTheme="minorHAnsi" w:cs="Arial"/>
        </w:rPr>
        <w:t>ercentage (</w:t>
      </w:r>
      <w:r>
        <w:rPr>
          <w:rFonts w:asciiTheme="minorHAnsi" w:hAnsiTheme="minorHAnsi" w:cs="Arial"/>
        </w:rPr>
        <w:t>categorised as &lt;10% or ≥10% from baseline</w:t>
      </w:r>
      <w:r w:rsidR="00B66017">
        <w:rPr>
          <w:rFonts w:asciiTheme="minorHAnsi" w:hAnsiTheme="minorHAnsi" w:cs="Arial"/>
        </w:rPr>
        <w:t>)</w:t>
      </w:r>
      <w:r>
        <w:rPr>
          <w:rFonts w:asciiTheme="minorHAnsi" w:hAnsiTheme="minorHAnsi" w:cs="Arial"/>
        </w:rPr>
        <w:t xml:space="preserve">. </w:t>
      </w:r>
    </w:p>
    <w:p w14:paraId="6947EA55" w14:textId="536FC807" w:rsidR="00A955CB" w:rsidRDefault="006A3CE8" w:rsidP="00D801D6">
      <w:pPr>
        <w:spacing w:before="0" w:beforeAutospacing="0" w:after="0" w:line="480" w:lineRule="auto"/>
        <w:ind w:firstLine="720"/>
        <w:rPr>
          <w:rFonts w:asciiTheme="minorHAnsi" w:hAnsiTheme="minorHAnsi" w:cs="Arial"/>
        </w:rPr>
      </w:pPr>
      <w:r>
        <w:rPr>
          <w:rFonts w:asciiTheme="minorHAnsi" w:hAnsiTheme="minorHAnsi" w:cs="Arial"/>
        </w:rPr>
        <w:t xml:space="preserve">Handgrip strength was </w:t>
      </w:r>
      <w:r w:rsidR="004F09D0">
        <w:rPr>
          <w:rFonts w:asciiTheme="minorHAnsi" w:hAnsiTheme="minorHAnsi" w:cs="Arial"/>
        </w:rPr>
        <w:t xml:space="preserve">measured by the dietitian at </w:t>
      </w:r>
      <w:r>
        <w:rPr>
          <w:rFonts w:asciiTheme="minorHAnsi" w:hAnsiTheme="minorHAnsi" w:cs="Arial"/>
        </w:rPr>
        <w:t xml:space="preserve">the </w:t>
      </w:r>
      <w:r w:rsidR="004F09D0">
        <w:rPr>
          <w:rFonts w:asciiTheme="minorHAnsi" w:hAnsiTheme="minorHAnsi" w:cs="Arial"/>
        </w:rPr>
        <w:t xml:space="preserve">surgical </w:t>
      </w:r>
      <w:r>
        <w:rPr>
          <w:rFonts w:asciiTheme="minorHAnsi" w:hAnsiTheme="minorHAnsi" w:cs="Arial"/>
        </w:rPr>
        <w:t>pre</w:t>
      </w:r>
      <w:r w:rsidR="00E17471">
        <w:rPr>
          <w:rFonts w:asciiTheme="minorHAnsi" w:hAnsiTheme="minorHAnsi" w:cs="Arial"/>
        </w:rPr>
        <w:t>-</w:t>
      </w:r>
      <w:r>
        <w:rPr>
          <w:rFonts w:asciiTheme="minorHAnsi" w:hAnsiTheme="minorHAnsi" w:cs="Arial"/>
        </w:rPr>
        <w:t xml:space="preserve">operative assessment clinic using a Jamar Hydraulic hand dynamometer. The </w:t>
      </w:r>
      <w:r w:rsidR="00FD1298">
        <w:rPr>
          <w:rFonts w:asciiTheme="minorHAnsi" w:hAnsiTheme="minorHAnsi" w:cs="Arial"/>
        </w:rPr>
        <w:t>patient</w:t>
      </w:r>
      <w:r>
        <w:rPr>
          <w:rFonts w:asciiTheme="minorHAnsi" w:hAnsiTheme="minorHAnsi" w:cs="Arial"/>
        </w:rPr>
        <w:t xml:space="preserve"> was asked to sit in a chair with the arm held in a right angle position. Measurements were taken from alternative arms, with an average </w:t>
      </w:r>
      <w:r>
        <w:rPr>
          <w:rFonts w:asciiTheme="minorHAnsi" w:hAnsiTheme="minorHAnsi" w:cs="Arial"/>
        </w:rPr>
        <w:lastRenderedPageBreak/>
        <w:t xml:space="preserve">of three measurements from the non-dominant side recorded. </w:t>
      </w:r>
      <w:r w:rsidR="004F09D0">
        <w:rPr>
          <w:rFonts w:asciiTheme="minorHAnsi" w:hAnsiTheme="minorHAnsi" w:cs="Arial"/>
        </w:rPr>
        <w:t>Low HGS was defined as &lt;27kg for men and &lt;16kg for wome</w:t>
      </w:r>
      <w:r w:rsidR="00B973BE">
        <w:rPr>
          <w:rFonts w:asciiTheme="minorHAnsi" w:hAnsiTheme="minorHAnsi" w:cs="Arial"/>
        </w:rPr>
        <w:t>n as per European gui</w:t>
      </w:r>
      <w:r w:rsidR="00FB2518">
        <w:rPr>
          <w:rFonts w:asciiTheme="minorHAnsi" w:hAnsiTheme="minorHAnsi" w:cs="Arial"/>
        </w:rPr>
        <w:t>delines (</w:t>
      </w:r>
      <w:r w:rsidR="00331C44">
        <w:rPr>
          <w:rFonts w:asciiTheme="minorHAnsi" w:hAnsiTheme="minorHAnsi" w:cs="Arial"/>
        </w:rPr>
        <w:t>20</w:t>
      </w:r>
      <w:r w:rsidR="004F09D0">
        <w:rPr>
          <w:rFonts w:asciiTheme="minorHAnsi" w:hAnsiTheme="minorHAnsi" w:cs="Arial"/>
        </w:rPr>
        <w:t xml:space="preserve">). </w:t>
      </w:r>
    </w:p>
    <w:p w14:paraId="5E1EC514" w14:textId="77777777" w:rsidR="00E46153" w:rsidRDefault="004F09D0" w:rsidP="00D801D6">
      <w:pPr>
        <w:spacing w:before="0" w:beforeAutospacing="0" w:after="0" w:line="480" w:lineRule="auto"/>
        <w:rPr>
          <w:rFonts w:asciiTheme="minorHAnsi" w:hAnsiTheme="minorHAnsi" w:cs="Arial"/>
          <w:i/>
        </w:rPr>
      </w:pPr>
      <w:r>
        <w:rPr>
          <w:rFonts w:asciiTheme="minorHAnsi" w:hAnsiTheme="minorHAnsi" w:cs="Arial"/>
          <w:i/>
        </w:rPr>
        <w:t>2.4 Clinical Outcomes</w:t>
      </w:r>
    </w:p>
    <w:p w14:paraId="5D7B8407" w14:textId="2C5952D6" w:rsidR="00E46153" w:rsidRDefault="004F09D0" w:rsidP="00D801D6">
      <w:pPr>
        <w:spacing w:before="0" w:beforeAutospacing="0" w:after="0" w:line="480" w:lineRule="auto"/>
        <w:ind w:firstLine="720"/>
        <w:rPr>
          <w:rFonts w:asciiTheme="minorHAnsi" w:hAnsiTheme="minorHAnsi" w:cs="Arial"/>
        </w:rPr>
      </w:pPr>
      <w:r>
        <w:rPr>
          <w:rFonts w:asciiTheme="minorHAnsi" w:hAnsiTheme="minorHAnsi" w:cs="Arial"/>
        </w:rPr>
        <w:t>The primary outcome measure was post</w:t>
      </w:r>
      <w:r w:rsidR="00E17471">
        <w:rPr>
          <w:rFonts w:asciiTheme="minorHAnsi" w:hAnsiTheme="minorHAnsi" w:cs="Arial"/>
        </w:rPr>
        <w:t>-</w:t>
      </w:r>
      <w:r>
        <w:rPr>
          <w:rFonts w:asciiTheme="minorHAnsi" w:hAnsiTheme="minorHAnsi" w:cs="Arial"/>
        </w:rPr>
        <w:t xml:space="preserve">operative complications, </w:t>
      </w:r>
      <w:r w:rsidR="00022204">
        <w:rPr>
          <w:rFonts w:asciiTheme="minorHAnsi" w:hAnsiTheme="minorHAnsi" w:cs="Arial"/>
        </w:rPr>
        <w:t>with severity graded</w:t>
      </w:r>
      <w:r>
        <w:rPr>
          <w:rFonts w:asciiTheme="minorHAnsi" w:hAnsiTheme="minorHAnsi" w:cs="Arial"/>
        </w:rPr>
        <w:t xml:space="preserve"> according</w:t>
      </w:r>
      <w:r w:rsidR="005A65D2">
        <w:rPr>
          <w:rFonts w:asciiTheme="minorHAnsi" w:hAnsiTheme="minorHAnsi" w:cs="Arial"/>
        </w:rPr>
        <w:t xml:space="preserve"> </w:t>
      </w:r>
      <w:r w:rsidR="00012341">
        <w:rPr>
          <w:rFonts w:asciiTheme="minorHAnsi" w:hAnsiTheme="minorHAnsi" w:cs="Arial"/>
        </w:rPr>
        <w:t xml:space="preserve">to the Clavien-Dindo </w:t>
      </w:r>
      <w:r w:rsidR="00022204">
        <w:rPr>
          <w:rFonts w:asciiTheme="minorHAnsi" w:hAnsiTheme="minorHAnsi" w:cs="Arial"/>
        </w:rPr>
        <w:t xml:space="preserve">Classification </w:t>
      </w:r>
      <w:r w:rsidR="00331C44">
        <w:rPr>
          <w:rFonts w:asciiTheme="minorHAnsi" w:hAnsiTheme="minorHAnsi" w:cs="Arial"/>
        </w:rPr>
        <w:t>(21</w:t>
      </w:r>
      <w:r w:rsidR="005110AC">
        <w:rPr>
          <w:rFonts w:asciiTheme="minorHAnsi" w:hAnsiTheme="minorHAnsi" w:cs="Arial"/>
        </w:rPr>
        <w:t>). A major</w:t>
      </w:r>
      <w:r>
        <w:rPr>
          <w:rFonts w:asciiTheme="minorHAnsi" w:hAnsiTheme="minorHAnsi" w:cs="Arial"/>
        </w:rPr>
        <w:t xml:space="preserve"> complication was regarded as Clavien-Dindo ≥3</w:t>
      </w:r>
      <w:r w:rsidR="00B75570">
        <w:rPr>
          <w:rFonts w:asciiTheme="minorHAnsi" w:hAnsiTheme="minorHAnsi" w:cs="Arial"/>
        </w:rPr>
        <w:t>b</w:t>
      </w:r>
      <w:r>
        <w:rPr>
          <w:rFonts w:asciiTheme="minorHAnsi" w:hAnsiTheme="minorHAnsi" w:cs="Arial"/>
        </w:rPr>
        <w:t>. Secondary outcomes were</w:t>
      </w:r>
      <w:r w:rsidR="006A3CE8">
        <w:rPr>
          <w:rFonts w:asciiTheme="minorHAnsi" w:hAnsiTheme="minorHAnsi" w:cs="Arial"/>
        </w:rPr>
        <w:t xml:space="preserve"> post</w:t>
      </w:r>
      <w:r w:rsidR="00E17471">
        <w:rPr>
          <w:rFonts w:asciiTheme="minorHAnsi" w:hAnsiTheme="minorHAnsi" w:cs="Arial"/>
        </w:rPr>
        <w:t>-</w:t>
      </w:r>
      <w:r w:rsidR="006A3CE8">
        <w:rPr>
          <w:rFonts w:asciiTheme="minorHAnsi" w:hAnsiTheme="minorHAnsi" w:cs="Arial"/>
        </w:rPr>
        <w:t>operative length of hospital stay and mortality at</w:t>
      </w:r>
      <w:r w:rsidR="00A955CB">
        <w:rPr>
          <w:rFonts w:asciiTheme="minorHAnsi" w:hAnsiTheme="minorHAnsi" w:cs="Arial"/>
        </w:rPr>
        <w:t xml:space="preserve"> 30 days, </w:t>
      </w:r>
      <w:r>
        <w:rPr>
          <w:rFonts w:asciiTheme="minorHAnsi" w:hAnsiTheme="minorHAnsi" w:cs="Arial"/>
        </w:rPr>
        <w:t>90 day</w:t>
      </w:r>
      <w:r w:rsidR="006A3CE8">
        <w:rPr>
          <w:rFonts w:asciiTheme="minorHAnsi" w:hAnsiTheme="minorHAnsi" w:cs="Arial"/>
        </w:rPr>
        <w:t>s</w:t>
      </w:r>
      <w:r w:rsidR="00A955CB">
        <w:rPr>
          <w:rFonts w:asciiTheme="minorHAnsi" w:hAnsiTheme="minorHAnsi" w:cs="Arial"/>
        </w:rPr>
        <w:t xml:space="preserve"> and 1 year</w:t>
      </w:r>
      <w:r w:rsidR="006A3CE8">
        <w:rPr>
          <w:rFonts w:asciiTheme="minorHAnsi" w:hAnsiTheme="minorHAnsi" w:cs="Arial"/>
        </w:rPr>
        <w:t xml:space="preserve">. </w:t>
      </w:r>
      <w:r>
        <w:rPr>
          <w:rFonts w:asciiTheme="minorHAnsi" w:hAnsiTheme="minorHAnsi" w:cs="Arial"/>
        </w:rPr>
        <w:t xml:space="preserve"> </w:t>
      </w:r>
    </w:p>
    <w:p w14:paraId="6684F2BB" w14:textId="77777777" w:rsidR="00E46153" w:rsidRDefault="004F09D0" w:rsidP="00D801D6">
      <w:pPr>
        <w:spacing w:before="0" w:beforeAutospacing="0" w:after="0" w:line="480" w:lineRule="auto"/>
        <w:rPr>
          <w:rFonts w:asciiTheme="minorHAnsi" w:hAnsiTheme="minorHAnsi" w:cs="Arial"/>
          <w:i/>
        </w:rPr>
      </w:pPr>
      <w:r>
        <w:rPr>
          <w:rFonts w:asciiTheme="minorHAnsi" w:hAnsiTheme="minorHAnsi" w:cs="Arial"/>
          <w:i/>
        </w:rPr>
        <w:t>2.5 Statistical analysis</w:t>
      </w:r>
    </w:p>
    <w:p w14:paraId="1560E93F" w14:textId="5B0B853A" w:rsidR="00E46153" w:rsidRDefault="004F09D0" w:rsidP="00D801D6">
      <w:pPr>
        <w:spacing w:before="0" w:beforeAutospacing="0" w:after="0" w:line="480" w:lineRule="auto"/>
        <w:ind w:firstLine="360"/>
        <w:rPr>
          <w:rFonts w:asciiTheme="minorHAnsi" w:hAnsiTheme="minorHAnsi" w:cs="Arial"/>
        </w:rPr>
      </w:pPr>
      <w:r w:rsidRPr="00235DC0">
        <w:rPr>
          <w:rFonts w:asciiTheme="minorHAnsi" w:hAnsiTheme="minorHAnsi" w:cs="Arial"/>
        </w:rPr>
        <w:t>SPSS (Version 25</w:t>
      </w:r>
      <w:r w:rsidR="00A16FB8" w:rsidRPr="00235DC0">
        <w:rPr>
          <w:rFonts w:asciiTheme="minorHAnsi" w:hAnsiTheme="minorHAnsi" w:cs="Arial"/>
        </w:rPr>
        <w:t>; IBM Corporation, USA</w:t>
      </w:r>
      <w:r w:rsidRPr="00235DC0">
        <w:rPr>
          <w:rFonts w:asciiTheme="minorHAnsi" w:hAnsiTheme="minorHAnsi" w:cs="Arial"/>
        </w:rPr>
        <w:t>) was used to perform statistical analysis. Data was assessed for normality of distribution and appropriate statistical tests chosen for parametric or non-parametric data.</w:t>
      </w:r>
      <w:r w:rsidR="00A16FB8" w:rsidRPr="00235DC0">
        <w:rPr>
          <w:rFonts w:asciiTheme="minorHAnsi" w:hAnsiTheme="minorHAnsi" w:cs="Arial"/>
        </w:rPr>
        <w:t xml:space="preserve"> </w:t>
      </w:r>
      <w:r w:rsidR="00A955CB">
        <w:rPr>
          <w:rFonts w:asciiTheme="minorHAnsi" w:hAnsiTheme="minorHAnsi" w:cs="Arial"/>
        </w:rPr>
        <w:t xml:space="preserve">Univariate </w:t>
      </w:r>
      <w:r w:rsidR="00F96AF0" w:rsidRPr="00235DC0">
        <w:rPr>
          <w:rFonts w:asciiTheme="minorHAnsi" w:hAnsiTheme="minorHAnsi" w:cs="Arial"/>
        </w:rPr>
        <w:t xml:space="preserve">analyses were used to </w:t>
      </w:r>
      <w:r w:rsidRPr="00235DC0">
        <w:rPr>
          <w:rFonts w:asciiTheme="minorHAnsi" w:hAnsiTheme="minorHAnsi" w:cs="Arial"/>
        </w:rPr>
        <w:t>investigate</w:t>
      </w:r>
      <w:r w:rsidR="00235DC0" w:rsidRPr="00235DC0">
        <w:rPr>
          <w:rFonts w:asciiTheme="minorHAnsi" w:hAnsiTheme="minorHAnsi" w:cs="Arial"/>
        </w:rPr>
        <w:t xml:space="preserve"> association</w:t>
      </w:r>
      <w:r w:rsidR="00F96AF0" w:rsidRPr="00235DC0">
        <w:rPr>
          <w:rFonts w:asciiTheme="minorHAnsi" w:hAnsiTheme="minorHAnsi" w:cs="Arial"/>
        </w:rPr>
        <w:t>s</w:t>
      </w:r>
      <w:r w:rsidR="00235DC0">
        <w:rPr>
          <w:rFonts w:asciiTheme="minorHAnsi" w:hAnsiTheme="minorHAnsi" w:cs="Arial"/>
        </w:rPr>
        <w:t xml:space="preserve"> with statistical significance set at p</w:t>
      </w:r>
      <w:r w:rsidR="003A1BA8">
        <w:rPr>
          <w:rFonts w:asciiTheme="minorHAnsi" w:hAnsiTheme="minorHAnsi" w:cs="Arial"/>
        </w:rPr>
        <w:t>=</w:t>
      </w:r>
      <w:r w:rsidR="003A1BA8" w:rsidRPr="003A1BA8">
        <w:rPr>
          <w:rFonts w:asciiTheme="minorHAnsi" w:hAnsiTheme="minorHAnsi" w:cstheme="minorHAnsi"/>
        </w:rPr>
        <w:t>≤</w:t>
      </w:r>
      <w:r w:rsidR="00235DC0">
        <w:rPr>
          <w:rFonts w:asciiTheme="minorHAnsi" w:hAnsiTheme="minorHAnsi" w:cs="Arial"/>
        </w:rPr>
        <w:t>0.05</w:t>
      </w:r>
      <w:r w:rsidR="00235DC0" w:rsidRPr="00235DC0">
        <w:rPr>
          <w:rFonts w:asciiTheme="minorHAnsi" w:hAnsiTheme="minorHAnsi" w:cs="Arial"/>
        </w:rPr>
        <w:t xml:space="preserve">. </w:t>
      </w:r>
      <w:r w:rsidR="00235DC0" w:rsidRPr="00235DC0">
        <w:t xml:space="preserve">In order </w:t>
      </w:r>
      <w:r w:rsidR="00235DC0">
        <w:t>to establish if pre</w:t>
      </w:r>
      <w:r w:rsidR="00E17471">
        <w:t>-</w:t>
      </w:r>
      <w:r w:rsidR="00235DC0">
        <w:t>operative weight loss was a predictor of mortality independent of known pre</w:t>
      </w:r>
      <w:r w:rsidR="00E17471">
        <w:t>-</w:t>
      </w:r>
      <w:r w:rsidR="00235DC0">
        <w:t xml:space="preserve">operative </w:t>
      </w:r>
      <w:r w:rsidR="004A4E7D">
        <w:t xml:space="preserve">and treatment </w:t>
      </w:r>
      <w:r w:rsidR="00235DC0">
        <w:t>variables, we then trained a multivariate logistic regression model with age, gender, pre</w:t>
      </w:r>
      <w:r w:rsidR="00E17471">
        <w:t>-</w:t>
      </w:r>
      <w:r w:rsidR="00235DC0">
        <w:t>operative tumour staging (cT and cN)</w:t>
      </w:r>
      <w:r w:rsidR="006C765E">
        <w:t>, adjuvant treatment</w:t>
      </w:r>
      <w:r w:rsidR="00235DC0">
        <w:t xml:space="preserve"> and pre</w:t>
      </w:r>
      <w:r w:rsidR="00E17471">
        <w:t>-</w:t>
      </w:r>
      <w:r w:rsidR="00235DC0">
        <w:t xml:space="preserve">operative weight loss of </w:t>
      </w:r>
      <w:r w:rsidR="00235DC0">
        <w:rPr>
          <w:rFonts w:cs="Calibri"/>
        </w:rPr>
        <w:t>≥</w:t>
      </w:r>
      <w:r w:rsidR="00235DC0">
        <w:t xml:space="preserve">10% to predict mortality at 90 days and 1 year. </w:t>
      </w:r>
    </w:p>
    <w:p w14:paraId="41E0CC49" w14:textId="77777777" w:rsidR="00E46153" w:rsidRPr="00981FAD" w:rsidRDefault="004F09D0" w:rsidP="00D801D6">
      <w:pPr>
        <w:spacing w:before="0" w:beforeAutospacing="0" w:after="0" w:line="480" w:lineRule="auto"/>
        <w:rPr>
          <w:rFonts w:asciiTheme="minorHAnsi" w:hAnsiTheme="minorHAnsi" w:cs="Arial"/>
          <w:b/>
          <w:bCs/>
        </w:rPr>
      </w:pPr>
      <w:r w:rsidRPr="00981FAD">
        <w:rPr>
          <w:rFonts w:asciiTheme="minorHAnsi" w:hAnsiTheme="minorHAnsi" w:cs="Arial"/>
          <w:b/>
          <w:bCs/>
        </w:rPr>
        <w:t>Results</w:t>
      </w:r>
    </w:p>
    <w:p w14:paraId="6809E169" w14:textId="77777777" w:rsidR="00E46153" w:rsidRPr="00D51C37" w:rsidRDefault="004F09D0" w:rsidP="00D801D6">
      <w:pPr>
        <w:pStyle w:val="ListParagraph"/>
        <w:numPr>
          <w:ilvl w:val="1"/>
          <w:numId w:val="14"/>
        </w:numPr>
        <w:tabs>
          <w:tab w:val="left" w:pos="0"/>
        </w:tabs>
        <w:spacing w:before="0" w:beforeAutospacing="0" w:after="0" w:line="480" w:lineRule="auto"/>
        <w:rPr>
          <w:rFonts w:asciiTheme="minorHAnsi" w:hAnsiTheme="minorHAnsi" w:cs="Arial"/>
          <w:bCs/>
          <w:i/>
        </w:rPr>
      </w:pPr>
      <w:r w:rsidRPr="00D51C37">
        <w:rPr>
          <w:rFonts w:asciiTheme="minorHAnsi" w:hAnsiTheme="minorHAnsi" w:cs="Arial"/>
          <w:bCs/>
          <w:i/>
        </w:rPr>
        <w:t>Demographics</w:t>
      </w:r>
    </w:p>
    <w:p w14:paraId="74282484" w14:textId="39FDC8C0" w:rsidR="002632F8" w:rsidRDefault="002632F8" w:rsidP="00D801D6">
      <w:pPr>
        <w:spacing w:before="0" w:beforeAutospacing="0" w:after="0" w:line="480" w:lineRule="auto"/>
        <w:ind w:firstLine="360"/>
        <w:rPr>
          <w:rFonts w:asciiTheme="minorHAnsi" w:hAnsiTheme="minorHAnsi" w:cs="Arial"/>
          <w:bCs/>
        </w:rPr>
      </w:pPr>
      <w:r>
        <w:rPr>
          <w:rFonts w:asciiTheme="minorHAnsi" w:hAnsiTheme="minorHAnsi" w:cs="Arial"/>
          <w:bCs/>
        </w:rPr>
        <w:t>151</w:t>
      </w:r>
      <w:r w:rsidR="004F09D0" w:rsidRPr="00A16FB8">
        <w:rPr>
          <w:rFonts w:asciiTheme="minorHAnsi" w:hAnsiTheme="minorHAnsi" w:cs="Arial"/>
          <w:bCs/>
        </w:rPr>
        <w:t xml:space="preserve"> </w:t>
      </w:r>
      <w:r w:rsidR="00A955CB">
        <w:rPr>
          <w:rFonts w:asciiTheme="minorHAnsi" w:hAnsiTheme="minorHAnsi" w:cs="Arial"/>
          <w:bCs/>
        </w:rPr>
        <w:t xml:space="preserve">eligible </w:t>
      </w:r>
      <w:r w:rsidR="0009226C">
        <w:rPr>
          <w:rFonts w:asciiTheme="minorHAnsi" w:hAnsiTheme="minorHAnsi" w:cs="Arial"/>
          <w:bCs/>
        </w:rPr>
        <w:t>adults</w:t>
      </w:r>
      <w:r w:rsidR="004F09D0" w:rsidRPr="00A16FB8">
        <w:rPr>
          <w:rFonts w:asciiTheme="minorHAnsi" w:hAnsiTheme="minorHAnsi" w:cs="Arial"/>
          <w:bCs/>
        </w:rPr>
        <w:t xml:space="preserve"> underwent oesophagectomy during the study period. The m</w:t>
      </w:r>
      <w:r>
        <w:rPr>
          <w:rFonts w:asciiTheme="minorHAnsi" w:hAnsiTheme="minorHAnsi" w:cs="Arial"/>
          <w:bCs/>
        </w:rPr>
        <w:t>edian age was 66</w:t>
      </w:r>
      <w:r w:rsidR="004F09D0" w:rsidRPr="00A16FB8">
        <w:rPr>
          <w:rFonts w:asciiTheme="minorHAnsi" w:hAnsiTheme="minorHAnsi" w:cs="Arial"/>
          <w:bCs/>
        </w:rPr>
        <w:t xml:space="preserve"> years</w:t>
      </w:r>
      <w:r>
        <w:rPr>
          <w:rFonts w:asciiTheme="minorHAnsi" w:hAnsiTheme="minorHAnsi" w:cs="Arial"/>
          <w:bCs/>
        </w:rPr>
        <w:t xml:space="preserve"> (IQR 59-74</w:t>
      </w:r>
      <w:r w:rsidR="0009226C">
        <w:rPr>
          <w:rFonts w:asciiTheme="minorHAnsi" w:hAnsiTheme="minorHAnsi" w:cs="Arial"/>
          <w:bCs/>
        </w:rPr>
        <w:t>)</w:t>
      </w:r>
      <w:r>
        <w:rPr>
          <w:rFonts w:asciiTheme="minorHAnsi" w:hAnsiTheme="minorHAnsi" w:cs="Arial"/>
          <w:bCs/>
        </w:rPr>
        <w:t xml:space="preserve"> and 78.1</w:t>
      </w:r>
      <w:r w:rsidR="004F09D0" w:rsidRPr="00A16FB8">
        <w:rPr>
          <w:rFonts w:asciiTheme="minorHAnsi" w:hAnsiTheme="minorHAnsi" w:cs="Arial"/>
          <w:bCs/>
        </w:rPr>
        <w:t>% were male</w:t>
      </w:r>
      <w:r w:rsidR="00601452">
        <w:rPr>
          <w:rFonts w:asciiTheme="minorHAnsi" w:hAnsiTheme="minorHAnsi" w:cs="Arial"/>
          <w:bCs/>
        </w:rPr>
        <w:t xml:space="preserve"> (Table 1)</w:t>
      </w:r>
      <w:r w:rsidR="004F09D0" w:rsidRPr="00A16FB8">
        <w:rPr>
          <w:rFonts w:asciiTheme="minorHAnsi" w:hAnsiTheme="minorHAnsi" w:cs="Arial"/>
          <w:bCs/>
        </w:rPr>
        <w:t>. The median length of hospit</w:t>
      </w:r>
      <w:r>
        <w:rPr>
          <w:rFonts w:asciiTheme="minorHAnsi" w:hAnsiTheme="minorHAnsi" w:cs="Arial"/>
          <w:bCs/>
        </w:rPr>
        <w:t>al stay was 10 days (IQR 8-14).</w:t>
      </w:r>
    </w:p>
    <w:p w14:paraId="5E1971A1" w14:textId="6402E918" w:rsidR="00A16FB8" w:rsidRPr="00A16FB8" w:rsidRDefault="00274B86" w:rsidP="00D801D6">
      <w:pPr>
        <w:spacing w:before="0" w:beforeAutospacing="0" w:after="0" w:line="480" w:lineRule="auto"/>
        <w:ind w:firstLine="360"/>
        <w:rPr>
          <w:rFonts w:asciiTheme="minorHAnsi" w:hAnsiTheme="minorHAnsi" w:cs="Arial"/>
          <w:bCs/>
        </w:rPr>
      </w:pPr>
      <w:r>
        <w:rPr>
          <w:rFonts w:asciiTheme="minorHAnsi" w:hAnsiTheme="minorHAnsi" w:cs="Arial"/>
          <w:bCs/>
        </w:rPr>
        <w:t xml:space="preserve">Some </w:t>
      </w:r>
      <w:r w:rsidR="002632F8">
        <w:rPr>
          <w:rFonts w:asciiTheme="minorHAnsi" w:hAnsiTheme="minorHAnsi" w:cs="Arial"/>
          <w:bCs/>
        </w:rPr>
        <w:t>92</w:t>
      </w:r>
      <w:r w:rsidR="002B0F8E">
        <w:rPr>
          <w:rFonts w:asciiTheme="minorHAnsi" w:hAnsiTheme="minorHAnsi" w:cs="Arial"/>
          <w:bCs/>
        </w:rPr>
        <w:t xml:space="preserve"> (</w:t>
      </w:r>
      <w:r w:rsidR="002632F8">
        <w:rPr>
          <w:rFonts w:asciiTheme="minorHAnsi" w:hAnsiTheme="minorHAnsi" w:cs="Arial"/>
          <w:bCs/>
        </w:rPr>
        <w:t>60.9</w:t>
      </w:r>
      <w:r w:rsidR="0009226C">
        <w:rPr>
          <w:rFonts w:asciiTheme="minorHAnsi" w:hAnsiTheme="minorHAnsi" w:cs="Arial"/>
          <w:bCs/>
        </w:rPr>
        <w:t>%</w:t>
      </w:r>
      <w:r w:rsidR="002B0F8E">
        <w:rPr>
          <w:rFonts w:asciiTheme="minorHAnsi" w:hAnsiTheme="minorHAnsi" w:cs="Arial"/>
          <w:bCs/>
        </w:rPr>
        <w:t>)</w:t>
      </w:r>
      <w:r w:rsidR="0009226C">
        <w:rPr>
          <w:rFonts w:asciiTheme="minorHAnsi" w:hAnsiTheme="minorHAnsi" w:cs="Arial"/>
          <w:bCs/>
        </w:rPr>
        <w:t xml:space="preserve"> individuals experienced</w:t>
      </w:r>
      <w:r w:rsidR="004F09D0" w:rsidRPr="00A16FB8">
        <w:rPr>
          <w:rFonts w:asciiTheme="minorHAnsi" w:hAnsiTheme="minorHAnsi" w:cs="Arial"/>
          <w:bCs/>
        </w:rPr>
        <w:t xml:space="preserve"> </w:t>
      </w:r>
      <w:r w:rsidR="002632F8">
        <w:rPr>
          <w:rFonts w:asciiTheme="minorHAnsi" w:hAnsiTheme="minorHAnsi" w:cs="Arial"/>
          <w:bCs/>
        </w:rPr>
        <w:t xml:space="preserve">a </w:t>
      </w:r>
      <w:r w:rsidR="004F09D0" w:rsidRPr="00A16FB8">
        <w:rPr>
          <w:rFonts w:asciiTheme="minorHAnsi" w:hAnsiTheme="minorHAnsi" w:cs="Arial"/>
          <w:bCs/>
        </w:rPr>
        <w:t>post</w:t>
      </w:r>
      <w:r w:rsidR="00E17471">
        <w:rPr>
          <w:rFonts w:asciiTheme="minorHAnsi" w:hAnsiTheme="minorHAnsi" w:cs="Arial"/>
          <w:bCs/>
        </w:rPr>
        <w:t>-</w:t>
      </w:r>
      <w:r w:rsidR="004F09D0" w:rsidRPr="00A16FB8">
        <w:rPr>
          <w:rFonts w:asciiTheme="minorHAnsi" w:hAnsiTheme="minorHAnsi" w:cs="Arial"/>
          <w:bCs/>
        </w:rPr>
        <w:t>operative complication</w:t>
      </w:r>
      <w:r w:rsidR="002632F8">
        <w:rPr>
          <w:rFonts w:asciiTheme="minorHAnsi" w:hAnsiTheme="minorHAnsi" w:cs="Arial"/>
          <w:bCs/>
        </w:rPr>
        <w:t>, with 15 (9.9%) being anastomotic leak, 56 (37.1%) pulmonary complicatio</w:t>
      </w:r>
      <w:r w:rsidR="000E2AAB">
        <w:rPr>
          <w:rFonts w:asciiTheme="minorHAnsi" w:hAnsiTheme="minorHAnsi" w:cs="Arial"/>
          <w:bCs/>
        </w:rPr>
        <w:t xml:space="preserve">ns and 8 (5.3%) chyle leak. </w:t>
      </w:r>
      <w:r w:rsidR="00EA2D0B">
        <w:rPr>
          <w:rFonts w:asciiTheme="minorHAnsi" w:hAnsiTheme="minorHAnsi" w:cs="Arial"/>
          <w:bCs/>
        </w:rPr>
        <w:t xml:space="preserve">Major complications </w:t>
      </w:r>
      <w:r w:rsidR="00EA2D0B" w:rsidRPr="00A16FB8">
        <w:rPr>
          <w:rFonts w:asciiTheme="minorHAnsi" w:hAnsiTheme="minorHAnsi" w:cs="Arial"/>
          <w:bCs/>
        </w:rPr>
        <w:t>graded</w:t>
      </w:r>
      <w:r w:rsidR="00EA2D0B">
        <w:rPr>
          <w:rFonts w:asciiTheme="minorHAnsi" w:hAnsiTheme="minorHAnsi" w:cs="Arial"/>
          <w:bCs/>
        </w:rPr>
        <w:t xml:space="preserve"> Clavien-Dindo grade 3b or above occurred in </w:t>
      </w:r>
      <w:r w:rsidR="000E2AAB">
        <w:rPr>
          <w:rFonts w:asciiTheme="minorHAnsi" w:hAnsiTheme="minorHAnsi" w:cs="Arial"/>
          <w:bCs/>
        </w:rPr>
        <w:t>32 individuals (21.2</w:t>
      </w:r>
      <w:r w:rsidR="002632F8">
        <w:rPr>
          <w:rFonts w:asciiTheme="minorHAnsi" w:hAnsiTheme="minorHAnsi" w:cs="Arial"/>
          <w:bCs/>
        </w:rPr>
        <w:t xml:space="preserve">%) </w:t>
      </w:r>
      <w:r w:rsidR="00EA2D0B">
        <w:rPr>
          <w:rFonts w:asciiTheme="minorHAnsi" w:hAnsiTheme="minorHAnsi" w:cs="Arial"/>
          <w:bCs/>
        </w:rPr>
        <w:t xml:space="preserve">with 30 day mortality in </w:t>
      </w:r>
      <w:r w:rsidR="002632F8">
        <w:rPr>
          <w:rFonts w:asciiTheme="minorHAnsi" w:hAnsiTheme="minorHAnsi" w:cs="Arial"/>
          <w:bCs/>
        </w:rPr>
        <w:t>3 (2.0%</w:t>
      </w:r>
      <w:r w:rsidR="00263526">
        <w:rPr>
          <w:rFonts w:asciiTheme="minorHAnsi" w:hAnsiTheme="minorHAnsi" w:cs="Arial"/>
          <w:bCs/>
        </w:rPr>
        <w:t>)</w:t>
      </w:r>
      <w:r w:rsidR="002632F8">
        <w:rPr>
          <w:rFonts w:asciiTheme="minorHAnsi" w:hAnsiTheme="minorHAnsi" w:cs="Arial"/>
          <w:bCs/>
        </w:rPr>
        <w:t xml:space="preserve"> individuals </w:t>
      </w:r>
      <w:r w:rsidR="00092FAA" w:rsidRPr="00A16FB8">
        <w:rPr>
          <w:rFonts w:asciiTheme="minorHAnsi" w:hAnsiTheme="minorHAnsi" w:cs="Arial"/>
          <w:bCs/>
        </w:rPr>
        <w:t>and</w:t>
      </w:r>
      <w:r w:rsidR="004F09D0" w:rsidRPr="00A16FB8">
        <w:rPr>
          <w:rFonts w:asciiTheme="minorHAnsi" w:hAnsiTheme="minorHAnsi" w:cs="Arial"/>
          <w:bCs/>
        </w:rPr>
        <w:t xml:space="preserve"> 90 day mortality</w:t>
      </w:r>
      <w:r w:rsidR="00EA2D0B">
        <w:rPr>
          <w:rFonts w:asciiTheme="minorHAnsi" w:hAnsiTheme="minorHAnsi" w:cs="Arial"/>
          <w:bCs/>
        </w:rPr>
        <w:t xml:space="preserve"> in 7 (4.6%) individuals</w:t>
      </w:r>
      <w:r w:rsidR="00263526">
        <w:rPr>
          <w:rFonts w:asciiTheme="minorHAnsi" w:hAnsiTheme="minorHAnsi" w:cs="Arial"/>
          <w:bCs/>
        </w:rPr>
        <w:t>.</w:t>
      </w:r>
      <w:r w:rsidR="004A4E7D">
        <w:rPr>
          <w:rFonts w:asciiTheme="minorHAnsi" w:hAnsiTheme="minorHAnsi" w:cs="Arial"/>
          <w:bCs/>
        </w:rPr>
        <w:t xml:space="preserve"> Adjuvant treatment was administered to 11 patients (7.3%).</w:t>
      </w:r>
    </w:p>
    <w:p w14:paraId="11290A54" w14:textId="77777777" w:rsidR="00E46153" w:rsidRPr="00A16FB8" w:rsidRDefault="00A16FB8" w:rsidP="00D801D6">
      <w:pPr>
        <w:spacing w:before="0" w:beforeAutospacing="0" w:after="0" w:line="480" w:lineRule="auto"/>
        <w:rPr>
          <w:rFonts w:asciiTheme="minorHAnsi" w:hAnsiTheme="minorHAnsi" w:cs="Arial"/>
          <w:bCs/>
          <w:i/>
        </w:rPr>
      </w:pPr>
      <w:r>
        <w:rPr>
          <w:rFonts w:asciiTheme="minorHAnsi" w:hAnsiTheme="minorHAnsi" w:cs="Arial"/>
          <w:bCs/>
          <w:i/>
        </w:rPr>
        <w:t xml:space="preserve">3.2 </w:t>
      </w:r>
      <w:r w:rsidR="0009226C">
        <w:rPr>
          <w:rFonts w:asciiTheme="minorHAnsi" w:hAnsiTheme="minorHAnsi" w:cs="Arial"/>
          <w:bCs/>
          <w:i/>
        </w:rPr>
        <w:t>Early compared to late nutrition support</w:t>
      </w:r>
    </w:p>
    <w:p w14:paraId="6E7DEE03" w14:textId="2F577192" w:rsidR="00E46153" w:rsidRDefault="0009226C" w:rsidP="00D801D6">
      <w:pPr>
        <w:spacing w:before="0" w:beforeAutospacing="0" w:after="0" w:line="480" w:lineRule="auto"/>
        <w:ind w:firstLine="360"/>
        <w:rPr>
          <w:rFonts w:asciiTheme="minorHAnsi" w:hAnsiTheme="minorHAnsi" w:cs="Arial"/>
          <w:bCs/>
          <w:iCs/>
        </w:rPr>
      </w:pPr>
      <w:r w:rsidRPr="008B4A33">
        <w:rPr>
          <w:rFonts w:asciiTheme="minorHAnsi" w:hAnsiTheme="minorHAnsi" w:cs="Arial"/>
          <w:bCs/>
          <w:iCs/>
        </w:rPr>
        <w:lastRenderedPageBreak/>
        <w:t>Individuals given</w:t>
      </w:r>
      <w:r w:rsidR="004F09D0" w:rsidRPr="008B4A33">
        <w:rPr>
          <w:rFonts w:asciiTheme="minorHAnsi" w:hAnsiTheme="minorHAnsi" w:cs="Arial"/>
          <w:bCs/>
          <w:iCs/>
        </w:rPr>
        <w:t xml:space="preserve"> early nutrition suppor</w:t>
      </w:r>
      <w:r w:rsidR="00705F85" w:rsidRPr="008B4A33">
        <w:rPr>
          <w:rFonts w:asciiTheme="minorHAnsi" w:hAnsiTheme="minorHAnsi" w:cs="Arial"/>
          <w:bCs/>
          <w:iCs/>
        </w:rPr>
        <w:t>t were prescribed a mean of 14.2</w:t>
      </w:r>
      <w:r w:rsidR="008B4A33" w:rsidRPr="008B4A33">
        <w:rPr>
          <w:rFonts w:asciiTheme="minorHAnsi" w:hAnsiTheme="minorHAnsi" w:cs="Arial"/>
          <w:bCs/>
          <w:iCs/>
        </w:rPr>
        <w:t xml:space="preserve"> </w:t>
      </w:r>
      <w:r w:rsidR="004F09D0" w:rsidRPr="008B4A33">
        <w:rPr>
          <w:rFonts w:asciiTheme="minorHAnsi" w:hAnsiTheme="minorHAnsi" w:cs="Arial"/>
          <w:bCs/>
          <w:iCs/>
        </w:rPr>
        <w:t xml:space="preserve">kcal/kg </w:t>
      </w:r>
      <w:r w:rsidRPr="008B4A33">
        <w:rPr>
          <w:rFonts w:asciiTheme="minorHAnsi" w:hAnsiTheme="minorHAnsi" w:cs="Arial"/>
          <w:bCs/>
          <w:iCs/>
        </w:rPr>
        <w:t>(±</w:t>
      </w:r>
      <w:r w:rsidR="00705F85" w:rsidRPr="008B4A33">
        <w:rPr>
          <w:rFonts w:asciiTheme="minorHAnsi" w:hAnsiTheme="minorHAnsi" w:cs="Arial"/>
          <w:bCs/>
          <w:iCs/>
        </w:rPr>
        <w:t>8</w:t>
      </w:r>
      <w:r w:rsidR="00092FAA" w:rsidRPr="008B4A33">
        <w:rPr>
          <w:rFonts w:asciiTheme="minorHAnsi" w:hAnsiTheme="minorHAnsi" w:cs="Arial"/>
          <w:bCs/>
          <w:iCs/>
        </w:rPr>
        <w:t xml:space="preserve">.9) </w:t>
      </w:r>
      <w:r w:rsidR="00705F85" w:rsidRPr="008B4A33">
        <w:rPr>
          <w:rFonts w:asciiTheme="minorHAnsi" w:hAnsiTheme="minorHAnsi" w:cs="Arial"/>
          <w:bCs/>
          <w:iCs/>
        </w:rPr>
        <w:t>and 0.6</w:t>
      </w:r>
      <w:r w:rsidR="008B4A33" w:rsidRPr="008B4A33">
        <w:rPr>
          <w:rFonts w:asciiTheme="minorHAnsi" w:hAnsiTheme="minorHAnsi" w:cs="Arial"/>
          <w:bCs/>
          <w:iCs/>
        </w:rPr>
        <w:t xml:space="preserve"> </w:t>
      </w:r>
      <w:r w:rsidR="004F09D0" w:rsidRPr="008B4A33">
        <w:rPr>
          <w:rFonts w:asciiTheme="minorHAnsi" w:hAnsiTheme="minorHAnsi" w:cs="Arial"/>
          <w:bCs/>
          <w:iCs/>
        </w:rPr>
        <w:t>g/kg</w:t>
      </w:r>
      <w:r w:rsidR="00CE2233" w:rsidRPr="008B4A33">
        <w:rPr>
          <w:rFonts w:asciiTheme="minorHAnsi" w:hAnsiTheme="minorHAnsi" w:cs="Arial"/>
          <w:bCs/>
          <w:iCs/>
        </w:rPr>
        <w:t xml:space="preserve"> (±0.4) </w:t>
      </w:r>
      <w:r w:rsidR="004F09D0">
        <w:rPr>
          <w:rFonts w:asciiTheme="minorHAnsi" w:hAnsiTheme="minorHAnsi" w:cs="Arial"/>
          <w:bCs/>
          <w:iCs/>
        </w:rPr>
        <w:t>of protein</w:t>
      </w:r>
      <w:r>
        <w:rPr>
          <w:rFonts w:asciiTheme="minorHAnsi" w:hAnsiTheme="minorHAnsi" w:cs="Arial"/>
          <w:bCs/>
          <w:iCs/>
        </w:rPr>
        <w:t xml:space="preserve"> </w:t>
      </w:r>
      <w:r w:rsidR="009037CD">
        <w:rPr>
          <w:rFonts w:asciiTheme="minorHAnsi" w:hAnsiTheme="minorHAnsi" w:cs="Arial"/>
          <w:bCs/>
          <w:iCs/>
        </w:rPr>
        <w:t xml:space="preserve">per day </w:t>
      </w:r>
      <w:r w:rsidR="004D184A">
        <w:rPr>
          <w:rFonts w:asciiTheme="minorHAnsi" w:hAnsiTheme="minorHAnsi" w:cs="Arial"/>
          <w:bCs/>
          <w:iCs/>
        </w:rPr>
        <w:t>during neoadjuvant</w:t>
      </w:r>
      <w:r w:rsidR="004D184A" w:rsidRPr="005B6ADF">
        <w:rPr>
          <w:rFonts w:asciiTheme="minorHAnsi" w:hAnsiTheme="minorHAnsi" w:cs="Arial"/>
          <w:bCs/>
          <w:iCs/>
        </w:rPr>
        <w:t xml:space="preserve"> treatment</w:t>
      </w:r>
      <w:r w:rsidRPr="005B6ADF">
        <w:rPr>
          <w:rFonts w:asciiTheme="minorHAnsi" w:hAnsiTheme="minorHAnsi" w:cs="Arial"/>
          <w:bCs/>
          <w:iCs/>
        </w:rPr>
        <w:t>.</w:t>
      </w:r>
      <w:r w:rsidR="004D184A" w:rsidRPr="005B6ADF">
        <w:rPr>
          <w:rFonts w:asciiTheme="minorHAnsi" w:hAnsiTheme="minorHAnsi" w:cs="Arial"/>
          <w:bCs/>
          <w:iCs/>
        </w:rPr>
        <w:t xml:space="preserve"> </w:t>
      </w:r>
      <w:r w:rsidR="00A50BDB" w:rsidRPr="00A50BDB">
        <w:rPr>
          <w:rFonts w:asciiTheme="minorHAnsi" w:hAnsiTheme="minorHAnsi" w:cs="Arial"/>
          <w:bCs/>
          <w:iCs/>
        </w:rPr>
        <w:t>Adherence to the prescribed nutrition support was 77.8%</w:t>
      </w:r>
      <w:r w:rsidR="00A50BDB">
        <w:rPr>
          <w:rFonts w:asciiTheme="minorHAnsi" w:hAnsiTheme="minorHAnsi" w:cs="Arial"/>
          <w:bCs/>
          <w:iCs/>
        </w:rPr>
        <w:t xml:space="preserve">. </w:t>
      </w:r>
      <w:r w:rsidRPr="005B6ADF">
        <w:rPr>
          <w:rFonts w:asciiTheme="minorHAnsi" w:hAnsiTheme="minorHAnsi" w:cs="Arial"/>
          <w:bCs/>
          <w:iCs/>
        </w:rPr>
        <w:t xml:space="preserve">There </w:t>
      </w:r>
      <w:r>
        <w:rPr>
          <w:rFonts w:asciiTheme="minorHAnsi" w:hAnsiTheme="minorHAnsi" w:cs="Arial"/>
          <w:bCs/>
          <w:iCs/>
        </w:rPr>
        <w:t>was no differe</w:t>
      </w:r>
      <w:r w:rsidR="00705F85">
        <w:rPr>
          <w:rFonts w:asciiTheme="minorHAnsi" w:hAnsiTheme="minorHAnsi" w:cs="Arial"/>
          <w:bCs/>
          <w:iCs/>
        </w:rPr>
        <w:t>nc</w:t>
      </w:r>
      <w:r w:rsidR="00C96460">
        <w:rPr>
          <w:rFonts w:asciiTheme="minorHAnsi" w:hAnsiTheme="minorHAnsi" w:cs="Arial"/>
          <w:bCs/>
          <w:iCs/>
        </w:rPr>
        <w:t xml:space="preserve">e in </w:t>
      </w:r>
      <w:r w:rsidR="008B4A33">
        <w:rPr>
          <w:rFonts w:asciiTheme="minorHAnsi" w:hAnsiTheme="minorHAnsi" w:cs="Arial"/>
          <w:bCs/>
          <w:iCs/>
        </w:rPr>
        <w:t>Clavien-D</w:t>
      </w:r>
      <w:r w:rsidR="00A955CB">
        <w:rPr>
          <w:rFonts w:asciiTheme="minorHAnsi" w:hAnsiTheme="minorHAnsi" w:cs="Arial"/>
          <w:bCs/>
          <w:iCs/>
        </w:rPr>
        <w:t xml:space="preserve">indo </w:t>
      </w:r>
      <w:r w:rsidR="00887DBA">
        <w:rPr>
          <w:rFonts w:asciiTheme="minorHAnsi" w:hAnsiTheme="minorHAnsi" w:cs="Arial"/>
          <w:bCs/>
          <w:iCs/>
        </w:rPr>
        <w:t xml:space="preserve">complication </w:t>
      </w:r>
      <w:r w:rsidR="00A955CB">
        <w:rPr>
          <w:rFonts w:asciiTheme="minorHAnsi" w:hAnsiTheme="minorHAnsi" w:cs="Arial"/>
          <w:bCs/>
          <w:iCs/>
        </w:rPr>
        <w:t xml:space="preserve">grade </w:t>
      </w:r>
      <w:r w:rsidR="00A955CB">
        <w:rPr>
          <w:rFonts w:asciiTheme="minorHAnsi" w:hAnsiTheme="minorHAnsi" w:cstheme="minorHAnsi"/>
          <w:bCs/>
          <w:iCs/>
        </w:rPr>
        <w:t>≥</w:t>
      </w:r>
      <w:r w:rsidR="00A955CB">
        <w:rPr>
          <w:rFonts w:asciiTheme="minorHAnsi" w:hAnsiTheme="minorHAnsi" w:cs="Arial"/>
          <w:bCs/>
          <w:iCs/>
        </w:rPr>
        <w:t xml:space="preserve">3b </w:t>
      </w:r>
      <w:r w:rsidR="00C96460">
        <w:rPr>
          <w:rFonts w:asciiTheme="minorHAnsi" w:hAnsiTheme="minorHAnsi" w:cs="Arial"/>
          <w:bCs/>
          <w:iCs/>
        </w:rPr>
        <w:t>(p=0.3</w:t>
      </w:r>
      <w:r w:rsidR="00CE2233">
        <w:rPr>
          <w:rFonts w:asciiTheme="minorHAnsi" w:hAnsiTheme="minorHAnsi" w:cs="Arial"/>
          <w:bCs/>
          <w:iCs/>
        </w:rPr>
        <w:t>)</w:t>
      </w:r>
      <w:r w:rsidR="00434225">
        <w:rPr>
          <w:rFonts w:asciiTheme="minorHAnsi" w:hAnsiTheme="minorHAnsi" w:cs="Arial"/>
          <w:bCs/>
          <w:iCs/>
        </w:rPr>
        <w:t xml:space="preserve">, </w:t>
      </w:r>
      <w:r>
        <w:rPr>
          <w:rFonts w:asciiTheme="minorHAnsi" w:hAnsiTheme="minorHAnsi" w:cs="Arial"/>
          <w:bCs/>
          <w:iCs/>
        </w:rPr>
        <w:t>length of hospital stay (p=0.</w:t>
      </w:r>
      <w:r w:rsidR="00705F85">
        <w:rPr>
          <w:rFonts w:asciiTheme="minorHAnsi" w:hAnsiTheme="minorHAnsi" w:cs="Arial"/>
          <w:bCs/>
          <w:iCs/>
        </w:rPr>
        <w:t>2</w:t>
      </w:r>
      <w:r>
        <w:rPr>
          <w:rFonts w:asciiTheme="minorHAnsi" w:hAnsiTheme="minorHAnsi" w:cs="Arial"/>
          <w:bCs/>
          <w:iCs/>
        </w:rPr>
        <w:t>)</w:t>
      </w:r>
      <w:r w:rsidR="00887DBA">
        <w:rPr>
          <w:rFonts w:asciiTheme="minorHAnsi" w:hAnsiTheme="minorHAnsi" w:cs="Arial"/>
          <w:bCs/>
          <w:iCs/>
        </w:rPr>
        <w:t>, 30 day mortality (p=0.7</w:t>
      </w:r>
      <w:r w:rsidR="00434225">
        <w:rPr>
          <w:rFonts w:asciiTheme="minorHAnsi" w:hAnsiTheme="minorHAnsi" w:cs="Arial"/>
          <w:bCs/>
          <w:iCs/>
        </w:rPr>
        <w:t>), 90 day mortality (p=0.5) or 1 year mortality (p=0.3)</w:t>
      </w:r>
      <w:r>
        <w:rPr>
          <w:rFonts w:asciiTheme="minorHAnsi" w:hAnsiTheme="minorHAnsi" w:cs="Arial"/>
          <w:bCs/>
          <w:iCs/>
        </w:rPr>
        <w:t xml:space="preserve"> between the groups.</w:t>
      </w:r>
      <w:r w:rsidR="004D184A" w:rsidRPr="00C45157">
        <w:rPr>
          <w:rFonts w:asciiTheme="minorHAnsi" w:hAnsiTheme="minorHAnsi" w:cs="Arial"/>
          <w:bCs/>
          <w:iCs/>
          <w:color w:val="FF0000"/>
        </w:rPr>
        <w:t xml:space="preserve"> </w:t>
      </w:r>
    </w:p>
    <w:p w14:paraId="5CAEBC58" w14:textId="0FD112DC" w:rsidR="00A955CB" w:rsidRDefault="00A955CB" w:rsidP="00D801D6">
      <w:pPr>
        <w:spacing w:before="0" w:beforeAutospacing="0" w:after="0" w:line="480" w:lineRule="auto"/>
        <w:ind w:firstLine="360"/>
        <w:rPr>
          <w:rFonts w:asciiTheme="minorHAnsi" w:hAnsiTheme="minorHAnsi" w:cs="Arial"/>
          <w:bCs/>
          <w:iCs/>
        </w:rPr>
      </w:pPr>
      <w:r>
        <w:rPr>
          <w:rFonts w:asciiTheme="minorHAnsi" w:hAnsiTheme="minorHAnsi" w:cs="Arial"/>
          <w:bCs/>
          <w:iCs/>
        </w:rPr>
        <w:t>The early nutrition support group lost significantly less weight at 12 months post-operatively when compared to the late nutrition support group, both absolutely (13.0kg vs 17.9kg, p=</w:t>
      </w:r>
      <w:r w:rsidR="00887DBA">
        <w:rPr>
          <w:rFonts w:asciiTheme="minorHAnsi" w:hAnsiTheme="minorHAnsi" w:cs="Arial"/>
          <w:bCs/>
          <w:iCs/>
        </w:rPr>
        <w:t>&lt;0.01</w:t>
      </w:r>
      <w:r>
        <w:rPr>
          <w:rFonts w:asciiTheme="minorHAnsi" w:hAnsiTheme="minorHAnsi" w:cs="Arial"/>
          <w:bCs/>
          <w:iCs/>
        </w:rPr>
        <w:t>) and as a percentage of pre-treatment weight (20.1% vs</w:t>
      </w:r>
      <w:r w:rsidR="00CE2233">
        <w:rPr>
          <w:rFonts w:asciiTheme="minorHAnsi" w:hAnsiTheme="minorHAnsi" w:cs="Arial"/>
          <w:bCs/>
          <w:iCs/>
        </w:rPr>
        <w:t>.</w:t>
      </w:r>
      <w:r>
        <w:rPr>
          <w:rFonts w:asciiTheme="minorHAnsi" w:hAnsiTheme="minorHAnsi" w:cs="Arial"/>
          <w:bCs/>
          <w:iCs/>
        </w:rPr>
        <w:t xml:space="preserve"> 25.4%, p=</w:t>
      </w:r>
      <w:r w:rsidR="00887DBA">
        <w:rPr>
          <w:rFonts w:asciiTheme="minorHAnsi" w:hAnsiTheme="minorHAnsi" w:cs="Arial"/>
          <w:bCs/>
          <w:iCs/>
        </w:rPr>
        <w:t>&lt;0.05</w:t>
      </w:r>
      <w:r>
        <w:rPr>
          <w:rFonts w:asciiTheme="minorHAnsi" w:hAnsiTheme="minorHAnsi" w:cs="Arial"/>
          <w:bCs/>
          <w:iCs/>
        </w:rPr>
        <w:t>, Figure 1)</w:t>
      </w:r>
    </w:p>
    <w:p w14:paraId="37DC886D" w14:textId="367C567C" w:rsidR="00E46153" w:rsidRPr="00BA2FC7" w:rsidRDefault="006C17E1" w:rsidP="00D801D6">
      <w:pPr>
        <w:spacing w:before="0" w:beforeAutospacing="0" w:after="0" w:line="480" w:lineRule="auto"/>
        <w:rPr>
          <w:rFonts w:asciiTheme="minorHAnsi" w:hAnsiTheme="minorHAnsi" w:cs="Arial"/>
          <w:bCs/>
          <w:i/>
        </w:rPr>
      </w:pPr>
      <w:r>
        <w:rPr>
          <w:rFonts w:asciiTheme="minorHAnsi" w:hAnsiTheme="minorHAnsi" w:cs="Arial"/>
          <w:bCs/>
          <w:iCs/>
        </w:rPr>
        <w:t xml:space="preserve">3.3 </w:t>
      </w:r>
      <w:r w:rsidR="004F09D0" w:rsidRPr="00BA2FC7">
        <w:rPr>
          <w:rFonts w:asciiTheme="minorHAnsi" w:hAnsiTheme="minorHAnsi" w:cs="Arial"/>
          <w:bCs/>
          <w:i/>
        </w:rPr>
        <w:t>Relationship between nutritional status and mortality</w:t>
      </w:r>
    </w:p>
    <w:p w14:paraId="11274103" w14:textId="6DE16D68" w:rsidR="00235DC0" w:rsidRDefault="006C17E1" w:rsidP="00D801D6">
      <w:pPr>
        <w:spacing w:before="0" w:beforeAutospacing="0" w:after="0" w:line="480" w:lineRule="auto"/>
        <w:ind w:firstLine="360"/>
        <w:rPr>
          <w:rFonts w:asciiTheme="minorHAnsi" w:hAnsiTheme="minorHAnsi" w:cs="Arial"/>
          <w:bCs/>
          <w:iCs/>
        </w:rPr>
      </w:pPr>
      <w:r>
        <w:rPr>
          <w:rFonts w:asciiTheme="minorHAnsi" w:hAnsiTheme="minorHAnsi" w:cs="Arial"/>
          <w:bCs/>
          <w:iCs/>
        </w:rPr>
        <w:t>Although w</w:t>
      </w:r>
      <w:r w:rsidR="004F09D0">
        <w:rPr>
          <w:rFonts w:asciiTheme="minorHAnsi" w:hAnsiTheme="minorHAnsi" w:cs="Arial"/>
          <w:bCs/>
          <w:iCs/>
        </w:rPr>
        <w:t>eight</w:t>
      </w:r>
      <w:r w:rsidR="00FF7954">
        <w:rPr>
          <w:rFonts w:asciiTheme="minorHAnsi" w:hAnsiTheme="minorHAnsi" w:cs="Arial"/>
          <w:bCs/>
          <w:iCs/>
        </w:rPr>
        <w:t xml:space="preserve"> loss</w:t>
      </w:r>
      <w:r w:rsidR="004F09D0">
        <w:rPr>
          <w:rFonts w:asciiTheme="minorHAnsi" w:hAnsiTheme="minorHAnsi" w:cs="Arial"/>
          <w:bCs/>
          <w:iCs/>
        </w:rPr>
        <w:t xml:space="preserve"> </w:t>
      </w:r>
      <w:r w:rsidR="004F09D0">
        <w:rPr>
          <w:rFonts w:ascii="Arial" w:hAnsi="Arial" w:cs="Arial"/>
          <w:bCs/>
          <w:iCs/>
        </w:rPr>
        <w:t>≥</w:t>
      </w:r>
      <w:r w:rsidR="004F09D0">
        <w:rPr>
          <w:rFonts w:asciiTheme="minorHAnsi" w:hAnsiTheme="minorHAnsi" w:cs="Arial"/>
          <w:bCs/>
          <w:iCs/>
        </w:rPr>
        <w:t>1</w:t>
      </w:r>
      <w:r w:rsidR="005F185D">
        <w:rPr>
          <w:rFonts w:asciiTheme="minorHAnsi" w:hAnsiTheme="minorHAnsi" w:cs="Arial"/>
          <w:bCs/>
          <w:iCs/>
        </w:rPr>
        <w:t>0%</w:t>
      </w:r>
      <w:r w:rsidR="00022204">
        <w:rPr>
          <w:rFonts w:asciiTheme="minorHAnsi" w:hAnsiTheme="minorHAnsi" w:cs="Arial"/>
          <w:bCs/>
          <w:iCs/>
        </w:rPr>
        <w:t xml:space="preserve"> from baseline to pre-operatively</w:t>
      </w:r>
      <w:r w:rsidR="005F185D">
        <w:rPr>
          <w:rFonts w:asciiTheme="minorHAnsi" w:hAnsiTheme="minorHAnsi" w:cs="Arial"/>
          <w:bCs/>
          <w:iCs/>
        </w:rPr>
        <w:t xml:space="preserve"> was not associated with </w:t>
      </w:r>
      <w:r w:rsidR="00D04D6C">
        <w:rPr>
          <w:rFonts w:asciiTheme="minorHAnsi" w:hAnsiTheme="minorHAnsi" w:cs="Arial"/>
          <w:bCs/>
          <w:iCs/>
        </w:rPr>
        <w:t xml:space="preserve">major </w:t>
      </w:r>
      <w:r w:rsidR="005F185D">
        <w:rPr>
          <w:rFonts w:asciiTheme="minorHAnsi" w:hAnsiTheme="minorHAnsi" w:cs="Arial"/>
          <w:bCs/>
          <w:iCs/>
        </w:rPr>
        <w:t>post</w:t>
      </w:r>
      <w:r w:rsidR="00E17471">
        <w:rPr>
          <w:rFonts w:asciiTheme="minorHAnsi" w:hAnsiTheme="minorHAnsi" w:cs="Arial"/>
          <w:bCs/>
          <w:iCs/>
        </w:rPr>
        <w:t>-</w:t>
      </w:r>
      <w:r w:rsidR="00D04D6C">
        <w:rPr>
          <w:rFonts w:asciiTheme="minorHAnsi" w:hAnsiTheme="minorHAnsi" w:cs="Arial"/>
          <w:bCs/>
          <w:iCs/>
        </w:rPr>
        <w:t>operative complications (p=0.3</w:t>
      </w:r>
      <w:r w:rsidR="004F09D0">
        <w:rPr>
          <w:rFonts w:asciiTheme="minorHAnsi" w:hAnsiTheme="minorHAnsi" w:cs="Arial"/>
          <w:bCs/>
          <w:iCs/>
        </w:rPr>
        <w:t xml:space="preserve">) or length of </w:t>
      </w:r>
      <w:r>
        <w:rPr>
          <w:rFonts w:asciiTheme="minorHAnsi" w:hAnsiTheme="minorHAnsi" w:cs="Arial"/>
          <w:bCs/>
          <w:iCs/>
        </w:rPr>
        <w:t xml:space="preserve">hospital </w:t>
      </w:r>
      <w:r w:rsidR="004F09D0">
        <w:rPr>
          <w:rFonts w:asciiTheme="minorHAnsi" w:hAnsiTheme="minorHAnsi" w:cs="Arial"/>
          <w:bCs/>
          <w:iCs/>
        </w:rPr>
        <w:t>stay (p=0.</w:t>
      </w:r>
      <w:r w:rsidR="00887DBA">
        <w:rPr>
          <w:rFonts w:asciiTheme="minorHAnsi" w:hAnsiTheme="minorHAnsi" w:cs="Arial"/>
          <w:bCs/>
          <w:iCs/>
        </w:rPr>
        <w:t>4</w:t>
      </w:r>
      <w:r w:rsidR="004F09D0">
        <w:rPr>
          <w:rFonts w:asciiTheme="minorHAnsi" w:hAnsiTheme="minorHAnsi" w:cs="Arial"/>
          <w:bCs/>
          <w:iCs/>
        </w:rPr>
        <w:t>)</w:t>
      </w:r>
      <w:r w:rsidR="008715E6">
        <w:rPr>
          <w:rFonts w:asciiTheme="minorHAnsi" w:hAnsiTheme="minorHAnsi" w:cs="Arial"/>
          <w:bCs/>
          <w:iCs/>
        </w:rPr>
        <w:t>,</w:t>
      </w:r>
      <w:r>
        <w:rPr>
          <w:rFonts w:asciiTheme="minorHAnsi" w:hAnsiTheme="minorHAnsi" w:cs="Arial"/>
          <w:bCs/>
          <w:iCs/>
        </w:rPr>
        <w:t xml:space="preserve"> it </w:t>
      </w:r>
      <w:r w:rsidR="004F09D0">
        <w:rPr>
          <w:rFonts w:asciiTheme="minorHAnsi" w:hAnsiTheme="minorHAnsi" w:cs="Arial"/>
          <w:bCs/>
          <w:iCs/>
        </w:rPr>
        <w:t xml:space="preserve">was significantly associated </w:t>
      </w:r>
      <w:r w:rsidR="004F09D0" w:rsidRPr="00DE11C5">
        <w:rPr>
          <w:rFonts w:asciiTheme="minorHAnsi" w:hAnsiTheme="minorHAnsi" w:cs="Arial"/>
          <w:bCs/>
          <w:iCs/>
        </w:rPr>
        <w:t xml:space="preserve">with </w:t>
      </w:r>
      <w:r w:rsidR="006C5D69" w:rsidRPr="00DE11C5">
        <w:rPr>
          <w:rFonts w:asciiTheme="minorHAnsi" w:hAnsiTheme="minorHAnsi" w:cs="Arial"/>
          <w:bCs/>
          <w:iCs/>
        </w:rPr>
        <w:t xml:space="preserve">both </w:t>
      </w:r>
      <w:r w:rsidR="004F09D0" w:rsidRPr="00DE11C5">
        <w:rPr>
          <w:rFonts w:asciiTheme="minorHAnsi" w:hAnsiTheme="minorHAnsi" w:cs="Arial"/>
          <w:bCs/>
          <w:iCs/>
        </w:rPr>
        <w:t>90 day</w:t>
      </w:r>
      <w:r w:rsidR="00CE2233">
        <w:rPr>
          <w:rFonts w:asciiTheme="minorHAnsi" w:hAnsiTheme="minorHAnsi" w:cs="Arial"/>
          <w:bCs/>
          <w:iCs/>
        </w:rPr>
        <w:t xml:space="preserve"> </w:t>
      </w:r>
      <w:r w:rsidR="00CE2233" w:rsidRPr="00DE11C5">
        <w:rPr>
          <w:rFonts w:asciiTheme="minorHAnsi" w:hAnsiTheme="minorHAnsi" w:cs="Arial"/>
          <w:bCs/>
          <w:iCs/>
        </w:rPr>
        <w:t>(p=0.001</w:t>
      </w:r>
      <w:r w:rsidR="00CE2233">
        <w:rPr>
          <w:rFonts w:asciiTheme="minorHAnsi" w:hAnsiTheme="minorHAnsi" w:cs="Arial"/>
          <w:bCs/>
          <w:iCs/>
        </w:rPr>
        <w:t>)</w:t>
      </w:r>
      <w:r w:rsidR="00CE2233" w:rsidRPr="00DE11C5">
        <w:rPr>
          <w:rFonts w:asciiTheme="minorHAnsi" w:hAnsiTheme="minorHAnsi" w:cs="Arial"/>
          <w:bCs/>
          <w:iCs/>
        </w:rPr>
        <w:t xml:space="preserve"> </w:t>
      </w:r>
      <w:r w:rsidR="006C5D69" w:rsidRPr="00DE11C5">
        <w:rPr>
          <w:rFonts w:asciiTheme="minorHAnsi" w:hAnsiTheme="minorHAnsi" w:cs="Arial"/>
          <w:bCs/>
          <w:iCs/>
        </w:rPr>
        <w:t xml:space="preserve">and 1 year </w:t>
      </w:r>
      <w:r w:rsidR="004F09D0" w:rsidRPr="00DE11C5">
        <w:rPr>
          <w:rFonts w:asciiTheme="minorHAnsi" w:hAnsiTheme="minorHAnsi" w:cs="Arial"/>
          <w:bCs/>
          <w:iCs/>
        </w:rPr>
        <w:t xml:space="preserve">mortality </w:t>
      </w:r>
      <w:r w:rsidR="008715E6" w:rsidRPr="00DE11C5">
        <w:rPr>
          <w:rFonts w:asciiTheme="minorHAnsi" w:hAnsiTheme="minorHAnsi" w:cs="Arial"/>
          <w:bCs/>
          <w:iCs/>
        </w:rPr>
        <w:t xml:space="preserve">in univariate analyses </w:t>
      </w:r>
      <w:r w:rsidR="00CE2233">
        <w:rPr>
          <w:rFonts w:asciiTheme="minorHAnsi" w:hAnsiTheme="minorHAnsi" w:cs="Arial"/>
          <w:bCs/>
          <w:iCs/>
        </w:rPr>
        <w:t>(</w:t>
      </w:r>
      <w:r w:rsidR="00DE11C5" w:rsidRPr="00DE11C5">
        <w:rPr>
          <w:rFonts w:asciiTheme="minorHAnsi" w:hAnsiTheme="minorHAnsi" w:cs="Arial"/>
          <w:bCs/>
          <w:iCs/>
        </w:rPr>
        <w:t>p=</w:t>
      </w:r>
      <w:r w:rsidR="00887DBA">
        <w:rPr>
          <w:rFonts w:asciiTheme="minorHAnsi" w:hAnsiTheme="minorHAnsi" w:cs="Arial"/>
          <w:bCs/>
          <w:iCs/>
        </w:rPr>
        <w:t>&lt;0.01</w:t>
      </w:r>
      <w:r w:rsidR="00CE2233">
        <w:rPr>
          <w:rFonts w:asciiTheme="minorHAnsi" w:hAnsiTheme="minorHAnsi" w:cs="Arial"/>
          <w:bCs/>
          <w:iCs/>
        </w:rPr>
        <w:t>)</w:t>
      </w:r>
      <w:r w:rsidR="004F09D0" w:rsidRPr="00DE11C5">
        <w:rPr>
          <w:rFonts w:asciiTheme="minorHAnsi" w:hAnsiTheme="minorHAnsi" w:cs="Arial"/>
          <w:bCs/>
          <w:iCs/>
        </w:rPr>
        <w:t xml:space="preserve"> respectively. </w:t>
      </w:r>
      <w:r w:rsidR="004D184A" w:rsidRPr="00DE11C5">
        <w:rPr>
          <w:rFonts w:asciiTheme="minorHAnsi" w:hAnsiTheme="minorHAnsi" w:cs="Arial"/>
          <w:bCs/>
          <w:iCs/>
        </w:rPr>
        <w:t xml:space="preserve"> </w:t>
      </w:r>
    </w:p>
    <w:p w14:paraId="4AEAB7F3" w14:textId="227E0F3B" w:rsidR="00A955CB" w:rsidRPr="00A955CB" w:rsidRDefault="00A955CB" w:rsidP="00D801D6">
      <w:pPr>
        <w:spacing w:before="0" w:beforeAutospacing="0" w:after="0" w:line="480" w:lineRule="auto"/>
        <w:ind w:firstLine="360"/>
        <w:rPr>
          <w:color w:val="FF0000"/>
        </w:rPr>
      </w:pPr>
      <w:r>
        <w:t>Multivariate logistic regression afte</w:t>
      </w:r>
      <w:r w:rsidR="006C765E">
        <w:t xml:space="preserve">r adjusting for age, gender, </w:t>
      </w:r>
      <w:r>
        <w:t>pre-operative tumour staging (</w:t>
      </w:r>
      <w:r w:rsidR="00887DBA">
        <w:t>tumour (</w:t>
      </w:r>
      <w:r>
        <w:t>T</w:t>
      </w:r>
      <w:r w:rsidR="00887DBA">
        <w:t>) and nodal (</w:t>
      </w:r>
      <w:r>
        <w:t>N</w:t>
      </w:r>
      <w:r w:rsidR="00887DBA">
        <w:t>)</w:t>
      </w:r>
      <w:r>
        <w:t>)</w:t>
      </w:r>
      <w:r w:rsidR="006C765E">
        <w:t xml:space="preserve"> and adjuvant treatment</w:t>
      </w:r>
      <w:r>
        <w:t xml:space="preserve"> showed pre-operative weight loss </w:t>
      </w:r>
      <w:r w:rsidRPr="00A955CB">
        <w:rPr>
          <w:rFonts w:cs="Calibri"/>
        </w:rPr>
        <w:t>≥10%</w:t>
      </w:r>
      <w:r>
        <w:t xml:space="preserve"> remained a significant predictor of mortality at 90</w:t>
      </w:r>
      <w:r w:rsidR="008B4A33">
        <w:t xml:space="preserve"> </w:t>
      </w:r>
      <w:r w:rsidRPr="004E695C">
        <w:t xml:space="preserve">days </w:t>
      </w:r>
      <w:r w:rsidR="004E695C" w:rsidRPr="004E695C">
        <w:t>(OR 19.9, 95%CI 2.04-194.37</w:t>
      </w:r>
      <w:r w:rsidRPr="004E695C">
        <w:t>,</w:t>
      </w:r>
      <w:r w:rsidR="00887DBA" w:rsidRPr="004E695C">
        <w:t xml:space="preserve"> </w:t>
      </w:r>
      <w:r w:rsidRPr="004E695C">
        <w:t>p=</w:t>
      </w:r>
      <w:r w:rsidR="00887DBA" w:rsidRPr="004E695C">
        <w:t>0.01</w:t>
      </w:r>
      <w:r w:rsidR="004E695C" w:rsidRPr="004E695C">
        <w:t>0</w:t>
      </w:r>
      <w:r w:rsidRPr="004E695C">
        <w:t xml:space="preserve">) </w:t>
      </w:r>
      <w:r>
        <w:t xml:space="preserve">and 1 </w:t>
      </w:r>
      <w:r w:rsidRPr="004E695C">
        <w:t xml:space="preserve">year </w:t>
      </w:r>
      <w:r w:rsidR="004E695C" w:rsidRPr="004E695C">
        <w:t>(OR 2.84, 95% CI 1.03-7.83</w:t>
      </w:r>
      <w:r w:rsidRPr="004E695C">
        <w:t xml:space="preserve">, </w:t>
      </w:r>
      <w:r w:rsidR="004E695C" w:rsidRPr="004E695C">
        <w:t>p=0.044</w:t>
      </w:r>
      <w:r w:rsidRPr="004E695C">
        <w:t xml:space="preserve">). </w:t>
      </w:r>
      <w:r>
        <w:t>This difference in survival to 1 year is also demonstrated using the Kaplan Meier estimator (Log-Rank p=</w:t>
      </w:r>
      <w:r w:rsidR="00887DBA">
        <w:t>&lt;0.01</w:t>
      </w:r>
      <w:r>
        <w:t>, Figure 2).</w:t>
      </w:r>
    </w:p>
    <w:p w14:paraId="1A3DBFB9" w14:textId="64AB350E" w:rsidR="00E46153" w:rsidRPr="006C17E1" w:rsidRDefault="006C17E1" w:rsidP="00D801D6">
      <w:pPr>
        <w:pStyle w:val="ListParagraph"/>
        <w:numPr>
          <w:ilvl w:val="1"/>
          <w:numId w:val="13"/>
        </w:numPr>
        <w:spacing w:before="0" w:beforeAutospacing="0" w:after="0" w:line="480" w:lineRule="auto"/>
        <w:rPr>
          <w:rFonts w:asciiTheme="minorHAnsi" w:hAnsiTheme="minorHAnsi" w:cs="Arial"/>
          <w:bCs/>
          <w:i/>
        </w:rPr>
      </w:pPr>
      <w:r w:rsidRPr="006C17E1">
        <w:rPr>
          <w:rFonts w:asciiTheme="minorHAnsi" w:hAnsiTheme="minorHAnsi" w:cs="Arial"/>
          <w:bCs/>
          <w:i/>
        </w:rPr>
        <w:t>R</w:t>
      </w:r>
      <w:r w:rsidR="004F09D0" w:rsidRPr="006C17E1">
        <w:rPr>
          <w:rFonts w:asciiTheme="minorHAnsi" w:hAnsiTheme="minorHAnsi" w:cs="Arial"/>
          <w:bCs/>
          <w:i/>
        </w:rPr>
        <w:t>elationship between handgrip strength and post</w:t>
      </w:r>
      <w:r w:rsidR="00E17471">
        <w:rPr>
          <w:rFonts w:asciiTheme="minorHAnsi" w:hAnsiTheme="minorHAnsi" w:cs="Arial"/>
          <w:bCs/>
          <w:i/>
        </w:rPr>
        <w:t>-</w:t>
      </w:r>
      <w:r w:rsidR="004F09D0" w:rsidRPr="006C17E1">
        <w:rPr>
          <w:rFonts w:asciiTheme="minorHAnsi" w:hAnsiTheme="minorHAnsi" w:cs="Arial"/>
          <w:bCs/>
          <w:i/>
        </w:rPr>
        <w:t>operative outcomes</w:t>
      </w:r>
    </w:p>
    <w:p w14:paraId="4DF0DFDE" w14:textId="2E925333" w:rsidR="00E46153" w:rsidRPr="00A16FB8" w:rsidRDefault="00705F85" w:rsidP="00D801D6">
      <w:pPr>
        <w:spacing w:before="0" w:beforeAutospacing="0" w:after="0" w:line="480" w:lineRule="auto"/>
        <w:ind w:firstLine="360"/>
        <w:rPr>
          <w:rFonts w:asciiTheme="minorHAnsi" w:hAnsiTheme="minorHAnsi" w:cs="Arial"/>
          <w:bCs/>
        </w:rPr>
      </w:pPr>
      <w:r>
        <w:rPr>
          <w:rFonts w:asciiTheme="minorHAnsi" w:hAnsiTheme="minorHAnsi" w:cs="Arial"/>
          <w:bCs/>
        </w:rPr>
        <w:t xml:space="preserve">HGS measurement was available for 87 individuals. 23 </w:t>
      </w:r>
      <w:r w:rsidR="00FF7954">
        <w:rPr>
          <w:rFonts w:asciiTheme="minorHAnsi" w:hAnsiTheme="minorHAnsi" w:cs="Arial"/>
          <w:bCs/>
        </w:rPr>
        <w:t>(</w:t>
      </w:r>
      <w:r>
        <w:rPr>
          <w:rFonts w:asciiTheme="minorHAnsi" w:hAnsiTheme="minorHAnsi" w:cs="Arial"/>
          <w:bCs/>
        </w:rPr>
        <w:t>26.4</w:t>
      </w:r>
      <w:r w:rsidR="00FF7954">
        <w:rPr>
          <w:rFonts w:asciiTheme="minorHAnsi" w:hAnsiTheme="minorHAnsi" w:cs="Arial"/>
          <w:bCs/>
        </w:rPr>
        <w:t>%)</w:t>
      </w:r>
      <w:r w:rsidR="006C17E1">
        <w:rPr>
          <w:rFonts w:asciiTheme="minorHAnsi" w:hAnsiTheme="minorHAnsi" w:cs="Arial"/>
          <w:bCs/>
        </w:rPr>
        <w:t xml:space="preserve"> </w:t>
      </w:r>
      <w:r w:rsidR="004F09D0" w:rsidRPr="00A16FB8">
        <w:rPr>
          <w:rFonts w:asciiTheme="minorHAnsi" w:hAnsiTheme="minorHAnsi" w:cs="Arial"/>
          <w:bCs/>
        </w:rPr>
        <w:t xml:space="preserve">of </w:t>
      </w:r>
      <w:r w:rsidR="006C17E1">
        <w:rPr>
          <w:rFonts w:asciiTheme="minorHAnsi" w:hAnsiTheme="minorHAnsi" w:cs="Arial"/>
          <w:bCs/>
        </w:rPr>
        <w:t>adults were classified as having low</w:t>
      </w:r>
      <w:r w:rsidR="004F09D0" w:rsidRPr="00A16FB8">
        <w:rPr>
          <w:rFonts w:asciiTheme="minorHAnsi" w:hAnsiTheme="minorHAnsi" w:cs="Arial"/>
          <w:bCs/>
        </w:rPr>
        <w:t xml:space="preserve"> HGS</w:t>
      </w:r>
      <w:r w:rsidR="006C17E1">
        <w:rPr>
          <w:rFonts w:asciiTheme="minorHAnsi" w:hAnsiTheme="minorHAnsi" w:cs="Arial"/>
          <w:bCs/>
        </w:rPr>
        <w:t xml:space="preserve"> &lt;27kg in men and &lt;16kg in women</w:t>
      </w:r>
      <w:r w:rsidR="004F09D0" w:rsidRPr="00A16FB8">
        <w:rPr>
          <w:rFonts w:asciiTheme="minorHAnsi" w:hAnsiTheme="minorHAnsi" w:cs="Arial"/>
          <w:bCs/>
        </w:rPr>
        <w:t>. Pre</w:t>
      </w:r>
      <w:r w:rsidR="00E17471">
        <w:rPr>
          <w:rFonts w:asciiTheme="minorHAnsi" w:hAnsiTheme="minorHAnsi" w:cs="Arial"/>
          <w:bCs/>
        </w:rPr>
        <w:t>-</w:t>
      </w:r>
      <w:r w:rsidR="004F09D0" w:rsidRPr="00A16FB8">
        <w:rPr>
          <w:rFonts w:asciiTheme="minorHAnsi" w:hAnsiTheme="minorHAnsi" w:cs="Arial"/>
          <w:bCs/>
        </w:rPr>
        <w:t>operative HGS was not associated with post</w:t>
      </w:r>
      <w:r w:rsidR="00E17471">
        <w:rPr>
          <w:rFonts w:asciiTheme="minorHAnsi" w:hAnsiTheme="minorHAnsi" w:cs="Arial"/>
          <w:bCs/>
        </w:rPr>
        <w:t>-</w:t>
      </w:r>
      <w:r w:rsidR="004F09D0" w:rsidRPr="00A16FB8">
        <w:rPr>
          <w:rFonts w:asciiTheme="minorHAnsi" w:hAnsiTheme="minorHAnsi" w:cs="Arial"/>
          <w:bCs/>
        </w:rPr>
        <w:t>operative complications Clavi</w:t>
      </w:r>
      <w:r>
        <w:rPr>
          <w:rFonts w:asciiTheme="minorHAnsi" w:hAnsiTheme="minorHAnsi" w:cs="Arial"/>
          <w:bCs/>
        </w:rPr>
        <w:t>en-Dindo grade 3</w:t>
      </w:r>
      <w:r w:rsidR="005110AC">
        <w:rPr>
          <w:rFonts w:asciiTheme="minorHAnsi" w:hAnsiTheme="minorHAnsi" w:cs="Arial"/>
          <w:bCs/>
        </w:rPr>
        <w:t>b or above (p=0.</w:t>
      </w:r>
      <w:r w:rsidR="00887DBA">
        <w:rPr>
          <w:rFonts w:asciiTheme="minorHAnsi" w:hAnsiTheme="minorHAnsi" w:cs="Arial"/>
          <w:bCs/>
        </w:rPr>
        <w:t>2</w:t>
      </w:r>
      <w:r w:rsidR="004F09D0" w:rsidRPr="00A16FB8">
        <w:rPr>
          <w:rFonts w:asciiTheme="minorHAnsi" w:hAnsiTheme="minorHAnsi" w:cs="Arial"/>
          <w:bCs/>
        </w:rPr>
        <w:t>), LOS (p=0.</w:t>
      </w:r>
      <w:r w:rsidR="00887DBA">
        <w:rPr>
          <w:rFonts w:asciiTheme="minorHAnsi" w:hAnsiTheme="minorHAnsi" w:cs="Arial"/>
          <w:bCs/>
        </w:rPr>
        <w:t>9), 30 day mortality (p=0.5</w:t>
      </w:r>
      <w:r w:rsidR="004F09D0" w:rsidRPr="00A16FB8">
        <w:rPr>
          <w:rFonts w:asciiTheme="minorHAnsi" w:hAnsiTheme="minorHAnsi" w:cs="Arial"/>
          <w:bCs/>
        </w:rPr>
        <w:t>) or 90 day mortality (</w:t>
      </w:r>
      <w:r>
        <w:rPr>
          <w:rFonts w:asciiTheme="minorHAnsi" w:hAnsiTheme="minorHAnsi" w:cs="Arial"/>
          <w:bCs/>
        </w:rPr>
        <w:t>p=0.6</w:t>
      </w:r>
      <w:r w:rsidR="004F09D0" w:rsidRPr="00A16FB8">
        <w:rPr>
          <w:rFonts w:asciiTheme="minorHAnsi" w:hAnsiTheme="minorHAnsi" w:cs="Arial"/>
          <w:bCs/>
        </w:rPr>
        <w:t xml:space="preserve">). </w:t>
      </w:r>
    </w:p>
    <w:p w14:paraId="2CC92250" w14:textId="77777777" w:rsidR="00E46153" w:rsidRDefault="004F09D0" w:rsidP="00D801D6">
      <w:pPr>
        <w:spacing w:before="0" w:beforeAutospacing="0" w:after="0" w:line="480" w:lineRule="auto"/>
        <w:rPr>
          <w:rFonts w:asciiTheme="minorHAnsi" w:hAnsiTheme="minorHAnsi" w:cs="Arial"/>
          <w:b/>
          <w:bCs/>
        </w:rPr>
      </w:pPr>
      <w:r w:rsidRPr="00981FAD">
        <w:rPr>
          <w:rFonts w:asciiTheme="minorHAnsi" w:hAnsiTheme="minorHAnsi" w:cs="Arial"/>
          <w:b/>
          <w:bCs/>
        </w:rPr>
        <w:t xml:space="preserve">Discussion </w:t>
      </w:r>
    </w:p>
    <w:p w14:paraId="61347C91" w14:textId="1866A379" w:rsidR="002B3983" w:rsidRDefault="00810671" w:rsidP="002B3983">
      <w:pPr>
        <w:spacing w:before="0" w:beforeAutospacing="0" w:after="0" w:line="480" w:lineRule="auto"/>
        <w:ind w:firstLine="720"/>
        <w:rPr>
          <w:rFonts w:asciiTheme="minorHAnsi" w:hAnsiTheme="minorHAnsi" w:cs="Arial"/>
          <w:bCs/>
        </w:rPr>
      </w:pPr>
      <w:r w:rsidRPr="00AA3600">
        <w:rPr>
          <w:rFonts w:asciiTheme="minorHAnsi" w:hAnsiTheme="minorHAnsi" w:cs="Arial"/>
          <w:bCs/>
        </w:rPr>
        <w:t xml:space="preserve">The results of this retrospective study </w:t>
      </w:r>
      <w:r w:rsidR="003852ED" w:rsidRPr="00AA3600">
        <w:rPr>
          <w:rFonts w:cs="Calibri"/>
          <w:shd w:val="clear" w:color="auto" w:fill="FFFFFF"/>
        </w:rPr>
        <w:t>suggest</w:t>
      </w:r>
      <w:r w:rsidRPr="00AA3600">
        <w:rPr>
          <w:rFonts w:cs="Calibri"/>
          <w:shd w:val="clear" w:color="auto" w:fill="FFFFFF"/>
        </w:rPr>
        <w:t xml:space="preserve"> </w:t>
      </w:r>
      <w:r w:rsidRPr="00235DC0">
        <w:rPr>
          <w:rFonts w:cs="Calibri"/>
          <w:shd w:val="clear" w:color="auto" w:fill="FFFFFF"/>
        </w:rPr>
        <w:t>pre</w:t>
      </w:r>
      <w:r w:rsidR="00E17471">
        <w:rPr>
          <w:rFonts w:cs="Calibri"/>
          <w:shd w:val="clear" w:color="auto" w:fill="FFFFFF"/>
        </w:rPr>
        <w:t>-</w:t>
      </w:r>
      <w:r w:rsidRPr="00235DC0">
        <w:rPr>
          <w:rFonts w:cs="Calibri"/>
          <w:shd w:val="clear" w:color="auto" w:fill="FFFFFF"/>
        </w:rPr>
        <w:t>operative</w:t>
      </w:r>
      <w:r w:rsidR="00235DC0" w:rsidRPr="00235DC0">
        <w:rPr>
          <w:rFonts w:cs="Calibri"/>
          <w:shd w:val="clear" w:color="auto" w:fill="FFFFFF"/>
        </w:rPr>
        <w:t xml:space="preserve"> weight loss ≥10</w:t>
      </w:r>
      <w:r w:rsidRPr="00235DC0">
        <w:rPr>
          <w:rFonts w:cs="Calibri"/>
          <w:shd w:val="clear" w:color="auto" w:fill="FFFFFF"/>
        </w:rPr>
        <w:t xml:space="preserve">% was associated with 90 day </w:t>
      </w:r>
      <w:r w:rsidR="00235DC0" w:rsidRPr="00235DC0">
        <w:rPr>
          <w:rFonts w:cs="Calibri"/>
          <w:shd w:val="clear" w:color="auto" w:fill="FFFFFF"/>
        </w:rPr>
        <w:t xml:space="preserve">and 1 year </w:t>
      </w:r>
      <w:r w:rsidRPr="00235DC0">
        <w:rPr>
          <w:rFonts w:cs="Calibri"/>
          <w:shd w:val="clear" w:color="auto" w:fill="FFFFFF"/>
        </w:rPr>
        <w:t>mortality.</w:t>
      </w:r>
      <w:r w:rsidRPr="00235DC0">
        <w:rPr>
          <w:rFonts w:asciiTheme="minorHAnsi" w:hAnsiTheme="minorHAnsi" w:cs="Arial"/>
          <w:bCs/>
        </w:rPr>
        <w:t xml:space="preserve"> This has</w:t>
      </w:r>
      <w:r w:rsidR="00235DC0">
        <w:rPr>
          <w:rFonts w:asciiTheme="minorHAnsi" w:hAnsiTheme="minorHAnsi" w:cs="Arial"/>
          <w:bCs/>
        </w:rPr>
        <w:t xml:space="preserve"> similarly</w:t>
      </w:r>
      <w:r w:rsidRPr="00235DC0">
        <w:rPr>
          <w:rFonts w:asciiTheme="minorHAnsi" w:hAnsiTheme="minorHAnsi" w:cs="Arial"/>
          <w:bCs/>
        </w:rPr>
        <w:t xml:space="preserve"> </w:t>
      </w:r>
      <w:r>
        <w:rPr>
          <w:rFonts w:asciiTheme="minorHAnsi" w:hAnsiTheme="minorHAnsi" w:cs="Arial"/>
          <w:bCs/>
        </w:rPr>
        <w:t>been report</w:t>
      </w:r>
      <w:r w:rsidR="003852ED">
        <w:rPr>
          <w:rFonts w:asciiTheme="minorHAnsi" w:hAnsiTheme="minorHAnsi" w:cs="Arial"/>
          <w:bCs/>
        </w:rPr>
        <w:t xml:space="preserve">ed in other </w:t>
      </w:r>
      <w:r w:rsidR="00283992">
        <w:rPr>
          <w:rFonts w:asciiTheme="minorHAnsi" w:hAnsiTheme="minorHAnsi" w:cs="Arial"/>
          <w:bCs/>
        </w:rPr>
        <w:t>work</w:t>
      </w:r>
      <w:r w:rsidR="003852ED">
        <w:rPr>
          <w:rFonts w:asciiTheme="minorHAnsi" w:hAnsiTheme="minorHAnsi" w:cs="Arial"/>
          <w:bCs/>
        </w:rPr>
        <w:t>, where a</w:t>
      </w:r>
      <w:r>
        <w:rPr>
          <w:rFonts w:asciiTheme="minorHAnsi" w:hAnsiTheme="minorHAnsi" w:cs="Arial"/>
          <w:bCs/>
        </w:rPr>
        <w:t xml:space="preserve"> weight loss &gt;10% </w:t>
      </w:r>
      <w:r w:rsidR="00235DC0">
        <w:rPr>
          <w:rFonts w:asciiTheme="minorHAnsi" w:hAnsiTheme="minorHAnsi" w:cs="Arial"/>
          <w:bCs/>
        </w:rPr>
        <w:t>wa</w:t>
      </w:r>
      <w:r w:rsidR="003852ED">
        <w:rPr>
          <w:rFonts w:asciiTheme="minorHAnsi" w:hAnsiTheme="minorHAnsi" w:cs="Arial"/>
          <w:bCs/>
        </w:rPr>
        <w:t xml:space="preserve">s associated with </w:t>
      </w:r>
      <w:r>
        <w:rPr>
          <w:rFonts w:asciiTheme="minorHAnsi" w:hAnsiTheme="minorHAnsi" w:cs="Arial"/>
          <w:bCs/>
        </w:rPr>
        <w:t>increas</w:t>
      </w:r>
      <w:r w:rsidR="003852ED">
        <w:rPr>
          <w:rFonts w:asciiTheme="minorHAnsi" w:hAnsiTheme="minorHAnsi" w:cs="Arial"/>
          <w:bCs/>
        </w:rPr>
        <w:t>ed</w:t>
      </w:r>
      <w:r>
        <w:rPr>
          <w:rFonts w:asciiTheme="minorHAnsi" w:hAnsiTheme="minorHAnsi" w:cs="Arial"/>
          <w:bCs/>
        </w:rPr>
        <w:t xml:space="preserve"> </w:t>
      </w:r>
      <w:r w:rsidR="003852ED">
        <w:rPr>
          <w:rFonts w:asciiTheme="minorHAnsi" w:hAnsiTheme="minorHAnsi" w:cs="Arial"/>
          <w:bCs/>
        </w:rPr>
        <w:t>risk</w:t>
      </w:r>
      <w:r>
        <w:rPr>
          <w:rFonts w:asciiTheme="minorHAnsi" w:hAnsiTheme="minorHAnsi" w:cs="Arial"/>
          <w:bCs/>
        </w:rPr>
        <w:t xml:space="preserve"> for all-cause mortality </w:t>
      </w:r>
      <w:r w:rsidR="00331C44">
        <w:rPr>
          <w:rFonts w:asciiTheme="minorHAnsi" w:hAnsiTheme="minorHAnsi" w:cs="Arial"/>
          <w:bCs/>
        </w:rPr>
        <w:t>(22</w:t>
      </w:r>
      <w:r w:rsidR="0014783F">
        <w:rPr>
          <w:rFonts w:asciiTheme="minorHAnsi" w:hAnsiTheme="minorHAnsi" w:cs="Arial"/>
          <w:bCs/>
        </w:rPr>
        <w:t>)</w:t>
      </w:r>
      <w:r w:rsidR="00283992">
        <w:rPr>
          <w:rFonts w:asciiTheme="minorHAnsi" w:hAnsiTheme="minorHAnsi" w:cs="Arial"/>
          <w:bCs/>
        </w:rPr>
        <w:t xml:space="preserve"> as well as</w:t>
      </w:r>
      <w:r>
        <w:rPr>
          <w:rFonts w:asciiTheme="minorHAnsi" w:hAnsiTheme="minorHAnsi" w:cs="Arial"/>
          <w:bCs/>
        </w:rPr>
        <w:t xml:space="preserve"> </w:t>
      </w:r>
      <w:r w:rsidR="0014783F">
        <w:rPr>
          <w:rFonts w:asciiTheme="minorHAnsi" w:hAnsiTheme="minorHAnsi" w:cs="Arial"/>
          <w:bCs/>
        </w:rPr>
        <w:t xml:space="preserve">increased </w:t>
      </w:r>
      <w:r w:rsidR="0014783F">
        <w:rPr>
          <w:rFonts w:asciiTheme="minorHAnsi" w:hAnsiTheme="minorHAnsi" w:cs="Arial"/>
          <w:bCs/>
        </w:rPr>
        <w:lastRenderedPageBreak/>
        <w:t xml:space="preserve">5 year mortality </w:t>
      </w:r>
      <w:r w:rsidR="00FB2518">
        <w:rPr>
          <w:rFonts w:asciiTheme="minorHAnsi" w:hAnsiTheme="minorHAnsi" w:cs="Arial"/>
          <w:bCs/>
        </w:rPr>
        <w:t>(2</w:t>
      </w:r>
      <w:r w:rsidR="00331C44">
        <w:rPr>
          <w:rFonts w:asciiTheme="minorHAnsi" w:hAnsiTheme="minorHAnsi" w:cs="Arial"/>
          <w:bCs/>
        </w:rPr>
        <w:t>3</w:t>
      </w:r>
      <w:r w:rsidRPr="00AC0420">
        <w:rPr>
          <w:rFonts w:asciiTheme="minorHAnsi" w:hAnsiTheme="minorHAnsi" w:cs="Arial"/>
          <w:bCs/>
        </w:rPr>
        <w:t>). However</w:t>
      </w:r>
      <w:r w:rsidR="00CE2233">
        <w:rPr>
          <w:rFonts w:asciiTheme="minorHAnsi" w:hAnsiTheme="minorHAnsi" w:cs="Arial"/>
          <w:bCs/>
        </w:rPr>
        <w:t>,</w:t>
      </w:r>
      <w:r w:rsidRPr="00AC0420">
        <w:rPr>
          <w:rFonts w:asciiTheme="minorHAnsi" w:hAnsiTheme="minorHAnsi" w:cs="Arial"/>
          <w:bCs/>
        </w:rPr>
        <w:t xml:space="preserve"> </w:t>
      </w:r>
      <w:r w:rsidR="0014783F">
        <w:rPr>
          <w:rFonts w:asciiTheme="minorHAnsi" w:hAnsiTheme="minorHAnsi" w:cs="Arial"/>
          <w:bCs/>
        </w:rPr>
        <w:t>this association is not consistent</w:t>
      </w:r>
      <w:r w:rsidR="00283992">
        <w:rPr>
          <w:rFonts w:asciiTheme="minorHAnsi" w:hAnsiTheme="minorHAnsi" w:cs="Arial"/>
          <w:bCs/>
        </w:rPr>
        <w:t xml:space="preserve"> with other work </w:t>
      </w:r>
      <w:r w:rsidR="00CE2233">
        <w:rPr>
          <w:rFonts w:asciiTheme="minorHAnsi" w:hAnsiTheme="minorHAnsi" w:cs="Arial"/>
          <w:bCs/>
        </w:rPr>
        <w:t xml:space="preserve">where </w:t>
      </w:r>
      <w:r>
        <w:t>pre</w:t>
      </w:r>
      <w:r w:rsidR="00E17471">
        <w:t>-</w:t>
      </w:r>
      <w:r>
        <w:t xml:space="preserve">operative weight loss &gt;10% </w:t>
      </w:r>
      <w:r w:rsidR="00BA4FFE">
        <w:t>was</w:t>
      </w:r>
      <w:r w:rsidR="00283992">
        <w:t xml:space="preserve"> </w:t>
      </w:r>
      <w:r>
        <w:t xml:space="preserve">not significantly associated with perioperative mortality or short-term prognosis </w:t>
      </w:r>
      <w:r w:rsidR="00DE16BA">
        <w:t>(2</w:t>
      </w:r>
      <w:r w:rsidR="00331C44">
        <w:t>4</w:t>
      </w:r>
      <w:r w:rsidRPr="00AC0420">
        <w:t xml:space="preserve">). </w:t>
      </w:r>
      <w:r w:rsidR="002B3983" w:rsidRPr="0002460C">
        <w:t>Adjuvant treatment had no significant effect on post-operative weight loss, which has similarly been reported in other studies (25-27); however it should be considered that within our study relatively few patients received adjuvant therapy.</w:t>
      </w:r>
    </w:p>
    <w:p w14:paraId="1C750C7D" w14:textId="1CBF9EFA" w:rsidR="00992602" w:rsidRDefault="00992602" w:rsidP="00D801D6">
      <w:pPr>
        <w:spacing w:before="0" w:beforeAutospacing="0" w:after="0" w:line="480" w:lineRule="auto"/>
        <w:ind w:firstLine="720"/>
        <w:rPr>
          <w:rFonts w:asciiTheme="minorHAnsi" w:hAnsiTheme="minorHAnsi" w:cs="Arial"/>
        </w:rPr>
      </w:pPr>
      <w:r>
        <w:rPr>
          <w:rFonts w:asciiTheme="minorHAnsi" w:hAnsiTheme="minorHAnsi" w:cs="Arial"/>
          <w:bCs/>
        </w:rPr>
        <w:t xml:space="preserve">Our other key finding related to the early intervention with nutrition support during neoadjuvant treatment.  </w:t>
      </w:r>
      <w:r>
        <w:rPr>
          <w:rFonts w:asciiTheme="minorHAnsi" w:hAnsiTheme="minorHAnsi" w:cs="Arial"/>
        </w:rPr>
        <w:t>Disea</w:t>
      </w:r>
      <w:r w:rsidR="00887DBA">
        <w:rPr>
          <w:rFonts w:asciiTheme="minorHAnsi" w:hAnsiTheme="minorHAnsi" w:cs="Arial"/>
        </w:rPr>
        <w:t>se associated malnutrition</w:t>
      </w:r>
      <w:r w:rsidR="00CE2233">
        <w:rPr>
          <w:rFonts w:asciiTheme="minorHAnsi" w:hAnsiTheme="minorHAnsi" w:cs="Arial"/>
        </w:rPr>
        <w:t xml:space="preserve"> is common</w:t>
      </w:r>
      <w:r>
        <w:rPr>
          <w:rFonts w:asciiTheme="minorHAnsi" w:hAnsiTheme="minorHAnsi" w:cs="Arial"/>
        </w:rPr>
        <w:t>, and to ameliorate this risk nutrition support</w:t>
      </w:r>
      <w:r w:rsidR="00CE2233">
        <w:rPr>
          <w:rFonts w:asciiTheme="minorHAnsi" w:hAnsiTheme="minorHAnsi" w:cs="Arial"/>
        </w:rPr>
        <w:t xml:space="preserve"> in the form of oral nutrition supplements or enteral feeds</w:t>
      </w:r>
      <w:r>
        <w:rPr>
          <w:rFonts w:asciiTheme="minorHAnsi" w:hAnsiTheme="minorHAnsi" w:cs="Arial"/>
        </w:rPr>
        <w:t xml:space="preserve"> </w:t>
      </w:r>
      <w:r w:rsidR="00CE2233">
        <w:rPr>
          <w:rFonts w:asciiTheme="minorHAnsi" w:hAnsiTheme="minorHAnsi" w:cs="Arial"/>
        </w:rPr>
        <w:t xml:space="preserve">are </w:t>
      </w:r>
      <w:r>
        <w:rPr>
          <w:rFonts w:asciiTheme="minorHAnsi" w:hAnsiTheme="minorHAnsi" w:cs="Arial"/>
        </w:rPr>
        <w:t xml:space="preserve">often started early. </w:t>
      </w:r>
      <w:r w:rsidRPr="00AC0420">
        <w:rPr>
          <w:rFonts w:asciiTheme="minorHAnsi" w:hAnsiTheme="minorHAnsi" w:cs="Arial"/>
        </w:rPr>
        <w:t>Although</w:t>
      </w:r>
      <w:r>
        <w:rPr>
          <w:rFonts w:asciiTheme="minorHAnsi" w:hAnsiTheme="minorHAnsi" w:cs="Arial"/>
        </w:rPr>
        <w:t xml:space="preserve">, in </w:t>
      </w:r>
      <w:r w:rsidR="00CE2233">
        <w:rPr>
          <w:rFonts w:asciiTheme="minorHAnsi" w:hAnsiTheme="minorHAnsi" w:cs="Arial"/>
        </w:rPr>
        <w:t xml:space="preserve">this </w:t>
      </w:r>
      <w:r>
        <w:rPr>
          <w:rFonts w:asciiTheme="minorHAnsi" w:hAnsiTheme="minorHAnsi" w:cs="Arial"/>
        </w:rPr>
        <w:t>study, interestingly</w:t>
      </w:r>
      <w:r w:rsidRPr="00AC0420">
        <w:rPr>
          <w:rFonts w:asciiTheme="minorHAnsi" w:hAnsiTheme="minorHAnsi" w:cs="Arial"/>
        </w:rPr>
        <w:t xml:space="preserve"> </w:t>
      </w:r>
      <w:r>
        <w:rPr>
          <w:rFonts w:asciiTheme="minorHAnsi" w:hAnsiTheme="minorHAnsi" w:cs="Arial"/>
        </w:rPr>
        <w:t xml:space="preserve">we did not observe any benefit of nutrition support on short term post-operative outcomes, the benefit of nutrition support appeared to be evident later in the treatment pathway, suggesting a latent effect of nutrition support. All individuals lost weight post-operatively; however, at 12 months those individuals given earlier nutrition support lost significantly less weight than the late nutrition support group. </w:t>
      </w:r>
      <w:r w:rsidR="00DE16BA">
        <w:rPr>
          <w:rFonts w:asciiTheme="minorHAnsi" w:hAnsiTheme="minorHAnsi" w:cs="Arial"/>
        </w:rPr>
        <w:t xml:space="preserve">However Ligthart-Melis </w:t>
      </w:r>
      <w:r w:rsidR="00DE16BA" w:rsidRPr="00CE2233">
        <w:rPr>
          <w:rFonts w:asciiTheme="minorHAnsi" w:hAnsiTheme="minorHAnsi" w:cs="Arial"/>
          <w:i/>
        </w:rPr>
        <w:t>et al</w:t>
      </w:r>
      <w:r w:rsidR="002B3983">
        <w:rPr>
          <w:rFonts w:asciiTheme="minorHAnsi" w:hAnsiTheme="minorHAnsi" w:cs="Arial"/>
        </w:rPr>
        <w:t xml:space="preserve"> (28</w:t>
      </w:r>
      <w:r>
        <w:rPr>
          <w:rFonts w:asciiTheme="minorHAnsi" w:hAnsiTheme="minorHAnsi" w:cs="Arial"/>
        </w:rPr>
        <w:t>) reported a group of participants given ‘intensive nutrition support’ during neoadjuvant treatment experienced significantly fewer post-operative complications and reduced length of hospital stay</w:t>
      </w:r>
      <w:r w:rsidRPr="00AC0420">
        <w:rPr>
          <w:rFonts w:asciiTheme="minorHAnsi" w:hAnsiTheme="minorHAnsi" w:cs="Arial"/>
        </w:rPr>
        <w:t>.</w:t>
      </w:r>
    </w:p>
    <w:p w14:paraId="451A00BF" w14:textId="289B9F9D" w:rsidR="000D247F" w:rsidRDefault="00810671" w:rsidP="00D801D6">
      <w:pPr>
        <w:spacing w:before="0" w:beforeAutospacing="0" w:after="0" w:line="480" w:lineRule="auto"/>
        <w:ind w:firstLine="720"/>
      </w:pPr>
      <w:r w:rsidRPr="0025416A">
        <w:rPr>
          <w:rFonts w:asciiTheme="minorHAnsi" w:hAnsiTheme="minorHAnsi" w:cs="Arial"/>
          <w:bCs/>
        </w:rPr>
        <w:t>Therefore</w:t>
      </w:r>
      <w:r w:rsidRPr="00CB42A8">
        <w:rPr>
          <w:rFonts w:asciiTheme="minorHAnsi" w:hAnsiTheme="minorHAnsi" w:cs="Arial"/>
          <w:bCs/>
        </w:rPr>
        <w:t>, intervention with early nutrition support may have the potential to inﬂuence both the short-term outcomes during neoadjuvant treatment and longer term outcomes following surgery</w:t>
      </w:r>
      <w:r>
        <w:rPr>
          <w:rFonts w:asciiTheme="minorHAnsi" w:hAnsiTheme="minorHAnsi" w:cs="Arial"/>
          <w:bCs/>
        </w:rPr>
        <w:t xml:space="preserve"> and a prospective study would be warranted to investigate this further</w:t>
      </w:r>
      <w:r w:rsidRPr="00CB42A8">
        <w:rPr>
          <w:rFonts w:asciiTheme="minorHAnsi" w:hAnsiTheme="minorHAnsi" w:cs="Arial"/>
          <w:bCs/>
        </w:rPr>
        <w:t>.</w:t>
      </w:r>
      <w:r>
        <w:rPr>
          <w:rFonts w:asciiTheme="minorHAnsi" w:hAnsiTheme="minorHAnsi" w:cs="Arial"/>
          <w:bCs/>
        </w:rPr>
        <w:t xml:space="preserve"> It should also be considered whether early nutrition support may also help to prevent such significant pre-operative weight loss and hence help to reduce post-operative mortality rates.</w:t>
      </w:r>
      <w:r w:rsidR="00283992" w:rsidRPr="00283992">
        <w:rPr>
          <w:rFonts w:asciiTheme="minorHAnsi" w:hAnsiTheme="minorHAnsi" w:cs="Arial"/>
        </w:rPr>
        <w:t xml:space="preserve"> </w:t>
      </w:r>
      <w:r w:rsidR="00283992">
        <w:rPr>
          <w:rFonts w:asciiTheme="minorHAnsi" w:hAnsiTheme="minorHAnsi" w:cs="Arial"/>
        </w:rPr>
        <w:t xml:space="preserve">Other studies have demonstrated the early and regular nutrition support during chemo and/or radiotherapy </w:t>
      </w:r>
      <w:r w:rsidR="00283992">
        <w:t xml:space="preserve">is clinically beneficial and has resulted in improved treatment tolerance and reduced weight loss during </w:t>
      </w:r>
      <w:r w:rsidR="00FB2518">
        <w:t>treatment (</w:t>
      </w:r>
      <w:r w:rsidR="00012341">
        <w:t>2</w:t>
      </w:r>
      <w:r w:rsidR="002B3983">
        <w:t>9, 30</w:t>
      </w:r>
      <w:r w:rsidR="00283992" w:rsidRPr="0025416A">
        <w:t>).</w:t>
      </w:r>
      <w:r w:rsidR="00B71DE3">
        <w:t xml:space="preserve"> </w:t>
      </w:r>
      <w:r w:rsidR="000D247F">
        <w:t xml:space="preserve">Future work could also consider patient reported outcome measures in relation to nutrition support in individuals with oesophageal cancer. </w:t>
      </w:r>
    </w:p>
    <w:p w14:paraId="656221A2" w14:textId="0BC1D02A" w:rsidR="00053E11" w:rsidRPr="00053E11" w:rsidRDefault="00810671" w:rsidP="00D801D6">
      <w:pPr>
        <w:spacing w:before="0" w:beforeAutospacing="0" w:after="0" w:line="480" w:lineRule="auto"/>
        <w:ind w:firstLine="720"/>
        <w:rPr>
          <w:rFonts w:asciiTheme="minorHAnsi" w:hAnsiTheme="minorHAnsi" w:cs="Arial"/>
        </w:rPr>
      </w:pPr>
      <w:r w:rsidRPr="00053E11">
        <w:rPr>
          <w:rFonts w:asciiTheme="minorHAnsi" w:hAnsiTheme="minorHAnsi" w:cs="Arial"/>
        </w:rPr>
        <w:t xml:space="preserve">HGS </w:t>
      </w:r>
      <w:r w:rsidR="00283992" w:rsidRPr="00053E11">
        <w:rPr>
          <w:rFonts w:asciiTheme="minorHAnsi" w:hAnsiTheme="minorHAnsi" w:cs="Arial"/>
        </w:rPr>
        <w:t xml:space="preserve">did not </w:t>
      </w:r>
      <w:r w:rsidR="00A12EE4" w:rsidRPr="00053E11">
        <w:rPr>
          <w:rFonts w:asciiTheme="minorHAnsi" w:hAnsiTheme="minorHAnsi" w:cs="Arial"/>
        </w:rPr>
        <w:t xml:space="preserve">add </w:t>
      </w:r>
      <w:r w:rsidRPr="00053E11">
        <w:rPr>
          <w:rFonts w:asciiTheme="minorHAnsi" w:hAnsiTheme="minorHAnsi" w:cs="Arial"/>
        </w:rPr>
        <w:t xml:space="preserve">value to </w:t>
      </w:r>
      <w:r w:rsidR="00283992" w:rsidRPr="00053E11">
        <w:rPr>
          <w:rFonts w:asciiTheme="minorHAnsi" w:hAnsiTheme="minorHAnsi" w:cs="Arial"/>
        </w:rPr>
        <w:t>nutrition</w:t>
      </w:r>
      <w:r w:rsidR="00A12EE4" w:rsidRPr="00053E11">
        <w:rPr>
          <w:rFonts w:asciiTheme="minorHAnsi" w:hAnsiTheme="minorHAnsi" w:cs="Arial"/>
        </w:rPr>
        <w:t>al</w:t>
      </w:r>
      <w:r w:rsidR="00283992" w:rsidRPr="00053E11">
        <w:rPr>
          <w:rFonts w:asciiTheme="minorHAnsi" w:hAnsiTheme="minorHAnsi" w:cs="Arial"/>
        </w:rPr>
        <w:t xml:space="preserve"> </w:t>
      </w:r>
      <w:r w:rsidRPr="00053E11">
        <w:rPr>
          <w:rFonts w:asciiTheme="minorHAnsi" w:hAnsiTheme="minorHAnsi" w:cs="Arial"/>
        </w:rPr>
        <w:t>assessment as a standalone pre-operative measure</w:t>
      </w:r>
      <w:r w:rsidR="00A12EE4" w:rsidRPr="00053E11">
        <w:rPr>
          <w:rFonts w:asciiTheme="minorHAnsi" w:hAnsiTheme="minorHAnsi" w:cs="Arial"/>
        </w:rPr>
        <w:t xml:space="preserve"> within our study</w:t>
      </w:r>
      <w:r w:rsidRPr="00053E11">
        <w:rPr>
          <w:rFonts w:asciiTheme="minorHAnsi" w:hAnsiTheme="minorHAnsi" w:cs="Arial"/>
        </w:rPr>
        <w:t xml:space="preserve">. </w:t>
      </w:r>
      <w:r w:rsidR="00053E11" w:rsidRPr="00053E11">
        <w:t xml:space="preserve">However, it may be that alternative measures of body composition such as CT </w:t>
      </w:r>
      <w:r w:rsidR="00053E11" w:rsidRPr="00053E11">
        <w:lastRenderedPageBreak/>
        <w:t xml:space="preserve">analysis of skeletal muscle index, bioelectrical impedance or dual-energy X-ray absorptiometry may </w:t>
      </w:r>
      <w:r w:rsidR="00053E11" w:rsidRPr="00331C44">
        <w:t>provide more reliable prognostic ability and further work should be undertaken in large patient cohorts (</w:t>
      </w:r>
      <w:r w:rsidR="002B3983">
        <w:t>31</w:t>
      </w:r>
      <w:r w:rsidR="00331C44" w:rsidRPr="00331C44">
        <w:t>-3</w:t>
      </w:r>
      <w:r w:rsidR="002B3983">
        <w:t>3</w:t>
      </w:r>
      <w:r w:rsidR="00053E11" w:rsidRPr="00331C44">
        <w:t>).</w:t>
      </w:r>
    </w:p>
    <w:p w14:paraId="717EC198" w14:textId="2861671F" w:rsidR="00810671" w:rsidRPr="00303701" w:rsidRDefault="00E40C8B" w:rsidP="00D801D6">
      <w:pPr>
        <w:spacing w:before="0" w:beforeAutospacing="0" w:after="0" w:line="480" w:lineRule="auto"/>
        <w:ind w:firstLine="720"/>
        <w:rPr>
          <w:rFonts w:asciiTheme="minorHAnsi" w:hAnsiTheme="minorHAnsi" w:cs="Arial"/>
        </w:rPr>
      </w:pPr>
      <w:r>
        <w:rPr>
          <w:rFonts w:asciiTheme="minorHAnsi" w:hAnsiTheme="minorHAnsi" w:cs="Arial"/>
        </w:rPr>
        <w:t>E</w:t>
      </w:r>
      <w:r w:rsidR="00283992">
        <w:rPr>
          <w:rFonts w:asciiTheme="minorHAnsi" w:hAnsiTheme="minorHAnsi" w:cs="Arial"/>
        </w:rPr>
        <w:t>arly nutrition support in addition to exercise and psychological support in the form of a multimodal prehabilitation programme may be effective at improving post</w:t>
      </w:r>
      <w:r w:rsidR="00E17471">
        <w:rPr>
          <w:rFonts w:asciiTheme="minorHAnsi" w:hAnsiTheme="minorHAnsi" w:cs="Arial"/>
        </w:rPr>
        <w:t>-</w:t>
      </w:r>
      <w:r w:rsidR="00283992">
        <w:rPr>
          <w:rFonts w:asciiTheme="minorHAnsi" w:hAnsiTheme="minorHAnsi" w:cs="Arial"/>
        </w:rPr>
        <w:t>operative outcome</w:t>
      </w:r>
      <w:r w:rsidR="00A86EF3">
        <w:rPr>
          <w:rFonts w:asciiTheme="minorHAnsi" w:hAnsiTheme="minorHAnsi" w:cs="Arial"/>
        </w:rPr>
        <w:t xml:space="preserve">s, </w:t>
      </w:r>
      <w:r w:rsidR="00C0639C">
        <w:rPr>
          <w:rFonts w:asciiTheme="minorHAnsi" w:hAnsiTheme="minorHAnsi" w:cs="Arial"/>
        </w:rPr>
        <w:t xml:space="preserve">which has already been proven in colorectal </w:t>
      </w:r>
      <w:r w:rsidR="00C0639C" w:rsidRPr="00331C44">
        <w:rPr>
          <w:rFonts w:asciiTheme="minorHAnsi" w:hAnsiTheme="minorHAnsi" w:cs="Arial"/>
        </w:rPr>
        <w:t>cancer (3</w:t>
      </w:r>
      <w:r w:rsidR="002B3983">
        <w:rPr>
          <w:rFonts w:asciiTheme="minorHAnsi" w:hAnsiTheme="minorHAnsi" w:cs="Arial"/>
        </w:rPr>
        <w:t>4</w:t>
      </w:r>
      <w:r w:rsidR="00C0639C" w:rsidRPr="00331C44">
        <w:rPr>
          <w:rFonts w:asciiTheme="minorHAnsi" w:hAnsiTheme="minorHAnsi" w:cs="Arial"/>
        </w:rPr>
        <w:t>)</w:t>
      </w:r>
      <w:r w:rsidR="00283992" w:rsidRPr="00331C44">
        <w:rPr>
          <w:rFonts w:asciiTheme="minorHAnsi" w:hAnsiTheme="minorHAnsi" w:cs="Arial"/>
        </w:rPr>
        <w:t>.</w:t>
      </w:r>
      <w:r w:rsidRPr="00331C44">
        <w:rPr>
          <w:rFonts w:asciiTheme="minorHAnsi" w:hAnsiTheme="minorHAnsi" w:cs="Arial"/>
        </w:rPr>
        <w:t xml:space="preserve"> </w:t>
      </w:r>
      <w:r w:rsidR="00283992" w:rsidRPr="00331C44">
        <w:rPr>
          <w:rFonts w:asciiTheme="minorHAnsi" w:hAnsiTheme="minorHAnsi" w:cs="Arial"/>
        </w:rPr>
        <w:t xml:space="preserve">Results to date </w:t>
      </w:r>
      <w:r w:rsidR="00283992">
        <w:rPr>
          <w:rFonts w:asciiTheme="minorHAnsi" w:hAnsiTheme="minorHAnsi" w:cs="Arial"/>
        </w:rPr>
        <w:t xml:space="preserve">specifically related to oesophageal cancer are </w:t>
      </w:r>
      <w:r w:rsidR="00283992" w:rsidRPr="005A2BEE">
        <w:rPr>
          <w:rFonts w:asciiTheme="minorHAnsi" w:hAnsiTheme="minorHAnsi" w:cs="Arial"/>
        </w:rPr>
        <w:t>heterogeneous</w:t>
      </w:r>
      <w:r w:rsidR="00283992">
        <w:rPr>
          <w:rFonts w:asciiTheme="minorHAnsi" w:hAnsiTheme="minorHAnsi" w:cs="Arial"/>
        </w:rPr>
        <w:t xml:space="preserve"> mainly</w:t>
      </w:r>
      <w:r w:rsidR="00283992" w:rsidRPr="005A2BEE">
        <w:rPr>
          <w:rFonts w:asciiTheme="minorHAnsi" w:hAnsiTheme="minorHAnsi" w:cs="Arial"/>
        </w:rPr>
        <w:t xml:space="preserve"> due to the majority </w:t>
      </w:r>
      <w:r w:rsidR="00283992">
        <w:rPr>
          <w:rFonts w:asciiTheme="minorHAnsi" w:hAnsiTheme="minorHAnsi" w:cs="Arial"/>
        </w:rPr>
        <w:t xml:space="preserve">studies </w:t>
      </w:r>
      <w:r w:rsidR="00283992" w:rsidRPr="005A2BEE">
        <w:rPr>
          <w:rFonts w:asciiTheme="minorHAnsi" w:hAnsiTheme="minorHAnsi" w:cs="Arial"/>
        </w:rPr>
        <w:t>to date being</w:t>
      </w:r>
      <w:r w:rsidR="00283992">
        <w:rPr>
          <w:rFonts w:asciiTheme="minorHAnsi" w:hAnsiTheme="minorHAnsi" w:cs="Arial"/>
        </w:rPr>
        <w:t xml:space="preserve"> on mixed cohorts of </w:t>
      </w:r>
      <w:r w:rsidR="00283992" w:rsidRPr="00331C44">
        <w:rPr>
          <w:rFonts w:asciiTheme="minorHAnsi" w:hAnsiTheme="minorHAnsi" w:cs="Arial"/>
        </w:rPr>
        <w:t>GI cancer and wide variation in the design of prehab programmes, for ex</w:t>
      </w:r>
      <w:r w:rsidR="00FB2518" w:rsidRPr="00331C44">
        <w:rPr>
          <w:rFonts w:asciiTheme="minorHAnsi" w:hAnsiTheme="minorHAnsi" w:cs="Arial"/>
        </w:rPr>
        <w:t>ample unimodal or multimodal (</w:t>
      </w:r>
      <w:r w:rsidR="00A12EE4" w:rsidRPr="00331C44">
        <w:rPr>
          <w:rFonts w:asciiTheme="minorHAnsi" w:hAnsiTheme="minorHAnsi" w:cs="Arial"/>
        </w:rPr>
        <w:t>3</w:t>
      </w:r>
      <w:r w:rsidR="002B3983">
        <w:rPr>
          <w:rFonts w:asciiTheme="minorHAnsi" w:hAnsiTheme="minorHAnsi" w:cs="Arial"/>
        </w:rPr>
        <w:t>5</w:t>
      </w:r>
      <w:r w:rsidR="00C0639C" w:rsidRPr="00331C44">
        <w:rPr>
          <w:rFonts w:asciiTheme="minorHAnsi" w:hAnsiTheme="minorHAnsi" w:cs="Arial"/>
        </w:rPr>
        <w:t>, 3</w:t>
      </w:r>
      <w:r w:rsidR="002B3983">
        <w:rPr>
          <w:rFonts w:asciiTheme="minorHAnsi" w:hAnsiTheme="minorHAnsi" w:cs="Arial"/>
        </w:rPr>
        <w:t>6</w:t>
      </w:r>
      <w:r w:rsidR="00283992" w:rsidRPr="00331C44">
        <w:rPr>
          <w:rFonts w:asciiTheme="minorHAnsi" w:hAnsiTheme="minorHAnsi" w:cs="Arial"/>
        </w:rPr>
        <w:t xml:space="preserve">). </w:t>
      </w:r>
      <w:r w:rsidR="00283992" w:rsidRPr="00331C44">
        <w:t>Several studies are currently underway examining the effect of prehabilitation in oesophageal cancer specifically and the results of these are eagerly anticipated and may help to add to the current evidence base for the use of early nutrition support withi</w:t>
      </w:r>
      <w:r w:rsidR="00A12EE4" w:rsidRPr="00331C44">
        <w:t>n this setting (3</w:t>
      </w:r>
      <w:r w:rsidR="002B3983">
        <w:t>7</w:t>
      </w:r>
      <w:r w:rsidR="00DE16BA" w:rsidRPr="00331C44">
        <w:t>, 3</w:t>
      </w:r>
      <w:r w:rsidR="002B3983">
        <w:t>8</w:t>
      </w:r>
      <w:r w:rsidR="00283992" w:rsidRPr="00331C44">
        <w:t>).</w:t>
      </w:r>
    </w:p>
    <w:p w14:paraId="0A23B12F" w14:textId="79995D3C" w:rsidR="004B4DBC" w:rsidRDefault="00810671" w:rsidP="00D801D6">
      <w:pPr>
        <w:spacing w:before="0" w:beforeAutospacing="0" w:after="0" w:line="480" w:lineRule="auto"/>
        <w:ind w:firstLine="720"/>
        <w:rPr>
          <w:rFonts w:asciiTheme="minorHAnsi" w:hAnsiTheme="minorHAnsi" w:cs="Arial"/>
          <w:bCs/>
        </w:rPr>
      </w:pPr>
      <w:r>
        <w:rPr>
          <w:rFonts w:asciiTheme="minorHAnsi" w:hAnsiTheme="minorHAnsi" w:cs="Arial"/>
          <w:bCs/>
        </w:rPr>
        <w:t xml:space="preserve">There are a number of limitations to this present study due to the retrospective nature of the cohort. There was </w:t>
      </w:r>
      <w:r>
        <w:rPr>
          <w:rFonts w:asciiTheme="minorHAnsi" w:hAnsiTheme="minorHAnsi" w:cs="Arial"/>
        </w:rPr>
        <w:t>wide variation in the amount and type of nutrition support provided due to the complexity of this patient group, for example some patients were able to tolerate oral diet in addition to supplementary</w:t>
      </w:r>
      <w:r w:rsidR="004B4DBC">
        <w:rPr>
          <w:rFonts w:asciiTheme="minorHAnsi" w:hAnsiTheme="minorHAnsi" w:cs="Arial"/>
        </w:rPr>
        <w:t xml:space="preserve"> oral nutrition supplements</w:t>
      </w:r>
      <w:r>
        <w:rPr>
          <w:rFonts w:asciiTheme="minorHAnsi" w:hAnsiTheme="minorHAnsi" w:cs="Arial"/>
        </w:rPr>
        <w:t>, however others required exclusive nutrition support through ONS of enteral tube feeding due to their degree of dysphagia. Participants were split into two pragmatic groups for ‘early’ and ‘late’ nutrition support retrospectively according to whether they were referred for dietetic assessment during neoadjuvant treatment.</w:t>
      </w:r>
      <w:r w:rsidR="00A8223A">
        <w:rPr>
          <w:rFonts w:asciiTheme="minorHAnsi" w:hAnsiTheme="minorHAnsi" w:cs="Arial"/>
        </w:rPr>
        <w:t xml:space="preserve"> A randomised controlled trial could be considered in the future to attempt to control for these confounding factors.</w:t>
      </w:r>
    </w:p>
    <w:p w14:paraId="73085EAD" w14:textId="16510C27" w:rsidR="00E46153" w:rsidRPr="004B4DBC" w:rsidRDefault="004F09D0" w:rsidP="00D801D6">
      <w:pPr>
        <w:spacing w:before="0" w:beforeAutospacing="0" w:after="0" w:line="480" w:lineRule="auto"/>
        <w:rPr>
          <w:rFonts w:asciiTheme="minorHAnsi" w:hAnsiTheme="minorHAnsi" w:cs="Arial"/>
          <w:bCs/>
        </w:rPr>
      </w:pPr>
      <w:r w:rsidRPr="00981FAD">
        <w:rPr>
          <w:rFonts w:asciiTheme="minorHAnsi" w:hAnsiTheme="minorHAnsi" w:cs="Arial"/>
          <w:b/>
          <w:bCs/>
        </w:rPr>
        <w:t>Conclusion</w:t>
      </w:r>
    </w:p>
    <w:p w14:paraId="232506FD" w14:textId="6B9DA3D7" w:rsidR="00810671" w:rsidRPr="001C0EB8" w:rsidRDefault="00810671" w:rsidP="00D801D6">
      <w:pPr>
        <w:spacing w:before="0" w:beforeAutospacing="0" w:after="0" w:line="480" w:lineRule="auto"/>
        <w:ind w:firstLine="720"/>
        <w:rPr>
          <w:color w:val="FF0000"/>
        </w:rPr>
      </w:pPr>
      <w:r w:rsidRPr="00235DC0">
        <w:t>Significant pre</w:t>
      </w:r>
      <w:r w:rsidR="00E17471">
        <w:t>-</w:t>
      </w:r>
      <w:r w:rsidR="00235DC0" w:rsidRPr="00235DC0">
        <w:t>operative weight loss (</w:t>
      </w:r>
      <w:r w:rsidR="00235DC0" w:rsidRPr="00235DC0">
        <w:rPr>
          <w:rFonts w:cs="Calibri"/>
        </w:rPr>
        <w:t>≥</w:t>
      </w:r>
      <w:r w:rsidR="00235DC0" w:rsidRPr="00235DC0">
        <w:t>10%) was associated with post</w:t>
      </w:r>
      <w:r w:rsidR="00E17471">
        <w:t>-</w:t>
      </w:r>
      <w:r w:rsidRPr="00235DC0">
        <w:t>operative 90 day</w:t>
      </w:r>
      <w:r w:rsidR="00235DC0" w:rsidRPr="00235DC0">
        <w:t xml:space="preserve"> and 1 year</w:t>
      </w:r>
      <w:r w:rsidRPr="00235DC0">
        <w:t xml:space="preserve"> mortality. </w:t>
      </w:r>
      <w:r>
        <w:t>Early nutrition support during neoadjuvant treatment was beneficial for</w:t>
      </w:r>
      <w:r w:rsidRPr="00AD69CC">
        <w:t xml:space="preserve"> post</w:t>
      </w:r>
      <w:r w:rsidR="00E17471">
        <w:t>-</w:t>
      </w:r>
      <w:r w:rsidRPr="00AD69CC">
        <w:t xml:space="preserve">operative weight maintenance and we therefore recommend dietetic assessment and intervention </w:t>
      </w:r>
      <w:r w:rsidRPr="00AD69CC">
        <w:lastRenderedPageBreak/>
        <w:t>early within the treatment pathway</w:t>
      </w:r>
      <w:r>
        <w:t>, which may also help prevent such significant weight loss pre-operatively</w:t>
      </w:r>
      <w:r w:rsidRPr="00AD69CC">
        <w:t xml:space="preserve">. </w:t>
      </w:r>
    </w:p>
    <w:p w14:paraId="6A71426C" w14:textId="77777777" w:rsidR="00AD69CC" w:rsidRDefault="004F09D0" w:rsidP="00D801D6">
      <w:pPr>
        <w:spacing w:before="0" w:beforeAutospacing="0" w:after="0" w:line="480" w:lineRule="auto"/>
        <w:rPr>
          <w:color w:val="1F497D"/>
        </w:rPr>
      </w:pPr>
      <w:r>
        <w:rPr>
          <w:b/>
        </w:rPr>
        <w:t xml:space="preserve">Funding: </w:t>
      </w:r>
      <w:r>
        <w:t xml:space="preserve">This work is part of independent research completed by SD as part of a Health Education Wessex Clinical Academic Training Internship and LVM arising from a </w:t>
      </w:r>
      <w:r>
        <w:rPr>
          <w:rFonts w:cs="Calibri"/>
        </w:rPr>
        <w:t>Health Education England/ NIHR Clinical Lectureship (ICA-CL-2016-02-001</w:t>
      </w:r>
      <w:r>
        <w:t>) supported by the National Institute for Health and Social Care Research</w:t>
      </w:r>
      <w:r>
        <w:rPr>
          <w:b/>
          <w:bCs/>
        </w:rPr>
        <w:t xml:space="preserve">. </w:t>
      </w:r>
      <w:r>
        <w:t>The views expressed in this publication are those of the authors and not necessarily those of the NHS, the National Institute for Health Research, Health Education England or the Department of Health.</w:t>
      </w:r>
      <w:r>
        <w:rPr>
          <w:color w:val="1F497D"/>
        </w:rPr>
        <w:t xml:space="preserve"> </w:t>
      </w:r>
    </w:p>
    <w:p w14:paraId="160E25FE" w14:textId="77777777" w:rsidR="00E46153" w:rsidRDefault="004F09D0" w:rsidP="00D801D6">
      <w:pPr>
        <w:spacing w:before="0" w:beforeAutospacing="0" w:after="0" w:line="480" w:lineRule="auto"/>
      </w:pPr>
      <w:r>
        <w:rPr>
          <w:rStyle w:val="None"/>
          <w:b/>
        </w:rPr>
        <w:t>Contributor’s statement:</w:t>
      </w:r>
      <w:r>
        <w:rPr>
          <w:rStyle w:val="None"/>
          <w:rFonts w:eastAsia="Calibri" w:cs="Calibri"/>
          <w:b/>
          <w:bCs/>
        </w:rPr>
        <w:t xml:space="preserve"> </w:t>
      </w:r>
      <w:r>
        <w:t xml:space="preserve">All authors have made substantial contributions to the following: SD, LM and MW designed the research; SD carried out the data collection; SD completed the data and statistical analyses and drafted the manuscript; all authors edited, read and approved the final manuscript.  </w:t>
      </w:r>
    </w:p>
    <w:p w14:paraId="37D4454F" w14:textId="77777777" w:rsidR="00E46153" w:rsidRDefault="004F09D0" w:rsidP="00D801D6">
      <w:pPr>
        <w:spacing w:before="0" w:beforeAutospacing="0" w:after="0" w:line="480" w:lineRule="auto"/>
        <w:rPr>
          <w:b/>
        </w:rPr>
      </w:pPr>
      <w:r>
        <w:rPr>
          <w:rStyle w:val="None"/>
          <w:b/>
        </w:rPr>
        <w:t xml:space="preserve">Competing interests: </w:t>
      </w:r>
    </w:p>
    <w:p w14:paraId="6573BED7" w14:textId="77777777" w:rsidR="00E46153" w:rsidRDefault="004F09D0" w:rsidP="00D801D6">
      <w:pPr>
        <w:spacing w:before="0" w:beforeAutospacing="0" w:after="0" w:line="480" w:lineRule="auto"/>
        <w:rPr>
          <w:rFonts w:asciiTheme="minorHAnsi" w:hAnsiTheme="minorHAnsi" w:cs="Arial"/>
          <w:u w:val="single"/>
        </w:rPr>
      </w:pPr>
      <w:r>
        <w:t>None of the authors has any conflict of interest to declare in relation to this quality improvement project.</w:t>
      </w:r>
      <w:r>
        <w:rPr>
          <w:b/>
          <w:u w:val="single"/>
        </w:rPr>
        <w:br w:type="page"/>
      </w:r>
    </w:p>
    <w:p w14:paraId="246D2176" w14:textId="77777777" w:rsidR="00E46153" w:rsidRDefault="004F09D0" w:rsidP="00D801D6">
      <w:pPr>
        <w:spacing w:line="480" w:lineRule="auto"/>
        <w:rPr>
          <w:rFonts w:asciiTheme="minorHAnsi" w:hAnsiTheme="minorHAnsi" w:cs="Arial"/>
          <w:b/>
          <w:bCs/>
        </w:rPr>
      </w:pPr>
      <w:r>
        <w:rPr>
          <w:rFonts w:asciiTheme="minorHAnsi" w:hAnsiTheme="minorHAnsi" w:cs="Arial"/>
          <w:b/>
          <w:bCs/>
        </w:rPr>
        <w:lastRenderedPageBreak/>
        <w:t>References</w:t>
      </w:r>
    </w:p>
    <w:p w14:paraId="09A9802A" w14:textId="77777777" w:rsidR="00E46153" w:rsidRPr="00331C44" w:rsidRDefault="004F09D0" w:rsidP="00D801D6">
      <w:pPr>
        <w:numPr>
          <w:ilvl w:val="0"/>
          <w:numId w:val="2"/>
        </w:numPr>
        <w:shd w:val="clear" w:color="auto" w:fill="FFFFFF"/>
        <w:spacing w:before="20" w:beforeAutospacing="0" w:after="0" w:line="480" w:lineRule="auto"/>
        <w:rPr>
          <w:rFonts w:eastAsia="Arial" w:cs="Calibri"/>
          <w:color w:val="000000"/>
        </w:rPr>
      </w:pPr>
      <w:r w:rsidRPr="00331C44">
        <w:rPr>
          <w:rStyle w:val="selectable"/>
          <w:rFonts w:eastAsia="Arial" w:cs="Calibri"/>
          <w:color w:val="000000"/>
          <w:shd w:val="clear" w:color="auto" w:fill="FFFFFF"/>
        </w:rPr>
        <w:t xml:space="preserve">Oesophageal cancer statistics [Internet]. Cancer Research UK. 2020 [cited 4 April 2020]. Available from: </w:t>
      </w:r>
      <w:hyperlink r:id="rId10" w:history="1">
        <w:r w:rsidRPr="00331C44">
          <w:rPr>
            <w:rStyle w:val="Hyperlink"/>
          </w:rPr>
          <w:t>https://about-cancer.cancerresearchuk.org/about-cancer/oesophageal-cancer/about</w:t>
        </w:r>
      </w:hyperlink>
      <w:r w:rsidRPr="00331C44">
        <w:t xml:space="preserve"> </w:t>
      </w:r>
    </w:p>
    <w:p w14:paraId="41ADDF10" w14:textId="089820E0" w:rsidR="007C4604" w:rsidRPr="00331C44" w:rsidRDefault="007C4604" w:rsidP="00D801D6">
      <w:pPr>
        <w:pStyle w:val="ListParagraph"/>
        <w:numPr>
          <w:ilvl w:val="0"/>
          <w:numId w:val="2"/>
        </w:numPr>
        <w:spacing w:line="480" w:lineRule="auto"/>
        <w:rPr>
          <w:rStyle w:val="selectable"/>
          <w:rFonts w:asciiTheme="minorHAnsi" w:hAnsiTheme="minorHAnsi" w:cstheme="minorHAnsi"/>
        </w:rPr>
      </w:pPr>
      <w:r w:rsidRPr="00331C44">
        <w:rPr>
          <w:rFonts w:asciiTheme="minorHAnsi" w:hAnsiTheme="minorHAnsi" w:cstheme="minorHAnsi"/>
          <w:shd w:val="clear" w:color="auto" w:fill="FFFFFF"/>
        </w:rPr>
        <w:t>van der Werf L, Busweiler L, van Sandick J, van Berge Henegouwen M, Wijnhoven B. Reporting National Outcomes After Esophagectomy and Gastrectomy According to the Esophageal Complications Consensus Group (ECCG). Annals of Surgery. 2020;271(6):1095-1101.</w:t>
      </w:r>
    </w:p>
    <w:p w14:paraId="7E558D13" w14:textId="77777777" w:rsidR="00E46153" w:rsidRPr="00331C44" w:rsidRDefault="004F09D0" w:rsidP="00D801D6">
      <w:pPr>
        <w:pStyle w:val="ListParagraph"/>
        <w:numPr>
          <w:ilvl w:val="0"/>
          <w:numId w:val="2"/>
        </w:numPr>
        <w:spacing w:line="480" w:lineRule="auto"/>
        <w:rPr>
          <w:rFonts w:asciiTheme="minorHAnsi" w:hAnsiTheme="minorHAnsi" w:cs="Arial"/>
        </w:rPr>
      </w:pPr>
      <w:r w:rsidRPr="00331C44">
        <w:rPr>
          <w:rFonts w:asciiTheme="minorHAnsi" w:eastAsia="Arial" w:hAnsi="Arial" w:cs="Arial"/>
          <w:color w:val="000000"/>
          <w:shd w:val="clear" w:color="auto" w:fill="FFFFFF"/>
        </w:rPr>
        <w:t>Garth A, Newsome C, Simmance N, Crowe T. Nutritional status, nutrition practices and post-operative complications in patients with gastrointestinal cancer. Journal of Human Nutrition and Dietetics. 2010;23(4):393-401.</w:t>
      </w:r>
    </w:p>
    <w:p w14:paraId="385455F0" w14:textId="175873BA" w:rsidR="003A0F52" w:rsidRPr="00331C44" w:rsidRDefault="003A0F52" w:rsidP="00D801D6">
      <w:pPr>
        <w:pStyle w:val="ListParagraph"/>
        <w:numPr>
          <w:ilvl w:val="0"/>
          <w:numId w:val="2"/>
        </w:numPr>
        <w:spacing w:line="480" w:lineRule="auto"/>
        <w:rPr>
          <w:rStyle w:val="selectable"/>
          <w:rFonts w:asciiTheme="minorHAnsi" w:hAnsiTheme="minorHAnsi" w:cstheme="minorHAnsi"/>
        </w:rPr>
      </w:pPr>
      <w:r w:rsidRPr="00331C44">
        <w:rPr>
          <w:rFonts w:asciiTheme="minorHAnsi" w:hAnsiTheme="minorHAnsi" w:cstheme="minorHAnsi"/>
          <w:shd w:val="clear" w:color="auto" w:fill="FFFFFF"/>
        </w:rPr>
        <w:t>Findlay M, Purvis M, Venman R, Luong R, Carey S. Nutritional management of patients with oesophageal cancer throughout the treatment trajectory: benchmarking against best practice. Supportive Care in Cancer. 2020.</w:t>
      </w:r>
    </w:p>
    <w:p w14:paraId="3DAACB14" w14:textId="77777777" w:rsidR="00FB2518" w:rsidRPr="00331C44" w:rsidRDefault="00FB2518" w:rsidP="00D801D6">
      <w:pPr>
        <w:pStyle w:val="ListParagraph"/>
        <w:numPr>
          <w:ilvl w:val="0"/>
          <w:numId w:val="2"/>
        </w:numPr>
        <w:shd w:val="clear" w:color="auto" w:fill="FFFFFF"/>
        <w:spacing w:before="0" w:beforeAutospacing="0" w:after="0" w:line="480" w:lineRule="auto"/>
        <w:jc w:val="both"/>
        <w:rPr>
          <w:rFonts w:eastAsiaTheme="minorEastAsia" w:cs="Calibri"/>
        </w:rPr>
      </w:pPr>
      <w:r w:rsidRPr="00331C44">
        <w:rPr>
          <w:rFonts w:cs="Calibri"/>
          <w:color w:val="000000"/>
          <w:shd w:val="clear" w:color="auto" w:fill="FFFFFF"/>
        </w:rPr>
        <w:t>West M, Wischmeyer P, Grocott M. Prehabilitation and Nutritional Support to Improve Perioperative Outcomes. Current Anesthesiology Reports. 2017;7(4):340-349.</w:t>
      </w:r>
      <w:r w:rsidRPr="00331C44">
        <w:rPr>
          <w:rFonts w:eastAsia="Arial" w:cs="Calibri"/>
          <w:shd w:val="clear" w:color="auto" w:fill="FFFFFF"/>
        </w:rPr>
        <w:t xml:space="preserve"> </w:t>
      </w:r>
    </w:p>
    <w:p w14:paraId="27AA094C" w14:textId="25DF0F70" w:rsidR="00FA4103" w:rsidRPr="00331C44" w:rsidRDefault="00FA4103" w:rsidP="00D801D6">
      <w:pPr>
        <w:pStyle w:val="ListParagraph"/>
        <w:numPr>
          <w:ilvl w:val="0"/>
          <w:numId w:val="2"/>
        </w:numPr>
        <w:shd w:val="clear" w:color="auto" w:fill="FFFFFF"/>
        <w:spacing w:before="0" w:beforeAutospacing="0" w:after="0" w:line="480" w:lineRule="auto"/>
        <w:jc w:val="both"/>
        <w:rPr>
          <w:rFonts w:eastAsiaTheme="minorEastAsia" w:cs="Calibri"/>
        </w:rPr>
      </w:pPr>
      <w:r w:rsidRPr="00331C44">
        <w:rPr>
          <w:rFonts w:cs="Calibri"/>
          <w:color w:val="000000"/>
          <w:shd w:val="clear" w:color="auto" w:fill="FFFFFF"/>
        </w:rPr>
        <w:t>Filip B, Scarpa M, Cavallin F, Cagol M, Alfieri R, Saadeh L et al. Postoperative outcome after oesophagectomy for cancer: Nutritional status is the missing ring in the current prognostic scores. European Journal of Surgical Oncology (EJSO). 2015;41(6):787-794.</w:t>
      </w:r>
    </w:p>
    <w:p w14:paraId="1F6A1E0D" w14:textId="7B98CB85" w:rsidR="00FA4103" w:rsidRPr="00331C44" w:rsidRDefault="00FA4103" w:rsidP="00D801D6">
      <w:pPr>
        <w:pStyle w:val="ListParagraph"/>
        <w:numPr>
          <w:ilvl w:val="0"/>
          <w:numId w:val="2"/>
        </w:numPr>
        <w:shd w:val="clear" w:color="auto" w:fill="FFFFFF"/>
        <w:spacing w:before="0" w:beforeAutospacing="0" w:after="0" w:line="480" w:lineRule="auto"/>
        <w:jc w:val="both"/>
        <w:rPr>
          <w:rFonts w:eastAsiaTheme="minorEastAsia" w:cs="Calibri"/>
        </w:rPr>
      </w:pPr>
      <w:r w:rsidRPr="00331C44">
        <w:rPr>
          <w:rFonts w:cs="Calibri"/>
          <w:color w:val="000000"/>
          <w:shd w:val="clear" w:color="auto" w:fill="FFFFFF"/>
        </w:rPr>
        <w:t>Low D, Allum W, De Manzoni G, Ferri L, Immanuel A, Kuppusamy M et al. Guidelines for Perioperative Care in Esophagectomy: Enhanced Recovery After Surgery (ERAS®) Society Recommendations. World Journal of Surgery. 2018;43(2):299-330.</w:t>
      </w:r>
    </w:p>
    <w:p w14:paraId="4F76EE08" w14:textId="77777777" w:rsidR="00331C44" w:rsidRPr="00331C44" w:rsidRDefault="00331C44" w:rsidP="00D801D6">
      <w:pPr>
        <w:pStyle w:val="ListParagraph"/>
        <w:numPr>
          <w:ilvl w:val="0"/>
          <w:numId w:val="2"/>
        </w:numPr>
        <w:shd w:val="clear" w:color="auto" w:fill="FFFFFF"/>
        <w:spacing w:before="0" w:beforeAutospacing="0" w:after="0" w:line="480" w:lineRule="auto"/>
        <w:jc w:val="both"/>
        <w:rPr>
          <w:rFonts w:eastAsiaTheme="minorEastAsia" w:cs="Calibri"/>
        </w:rPr>
      </w:pPr>
      <w:r w:rsidRPr="00331C44">
        <w:rPr>
          <w:rFonts w:eastAsia="Arial" w:cs="Calibri"/>
          <w:shd w:val="clear" w:color="auto" w:fill="FFFFFF"/>
        </w:rPr>
        <w:t>Norman K, Stobäus N, Gonzalez M, Schulzke J, Pirlich M. Hand grip strength: Outcome predictor and marker of nutritional status. Clinical Nutrition. 2011;30(2):135-142.</w:t>
      </w:r>
    </w:p>
    <w:p w14:paraId="5CF3A69F" w14:textId="77777777" w:rsidR="00331C44" w:rsidRPr="00331C44" w:rsidRDefault="00331C44" w:rsidP="00D801D6">
      <w:pPr>
        <w:pStyle w:val="ListParagraph"/>
        <w:numPr>
          <w:ilvl w:val="0"/>
          <w:numId w:val="2"/>
        </w:numPr>
        <w:shd w:val="clear" w:color="auto" w:fill="FFFFFF"/>
        <w:spacing w:before="0" w:beforeAutospacing="0" w:after="0" w:line="480" w:lineRule="auto"/>
        <w:jc w:val="both"/>
        <w:rPr>
          <w:rFonts w:asciiTheme="minorHAnsi" w:eastAsiaTheme="minorEastAsia" w:hAnsiTheme="minorHAnsi" w:cstheme="minorHAnsi"/>
        </w:rPr>
      </w:pPr>
      <w:r w:rsidRPr="00331C44">
        <w:rPr>
          <w:rFonts w:asciiTheme="minorHAnsi" w:hAnsiTheme="minorHAnsi" w:cstheme="minorHAnsi"/>
          <w:shd w:val="clear" w:color="auto" w:fill="FFFFFF"/>
        </w:rPr>
        <w:lastRenderedPageBreak/>
        <w:t>Ordan M, Mazza C, Barbe C, Perrier M, Botsen D, Renard Y et al. Feasibility of systematic handgrip strength testing in digestive cancer patients treated with chemotherapy: The FIGHTDIGO study. Cancer. 2017;124(7):1501-1506.</w:t>
      </w:r>
    </w:p>
    <w:p w14:paraId="62B46585" w14:textId="77777777" w:rsidR="00331C44" w:rsidRPr="00331C44" w:rsidRDefault="00331C44" w:rsidP="00D801D6">
      <w:pPr>
        <w:pStyle w:val="ListParagraph"/>
        <w:numPr>
          <w:ilvl w:val="0"/>
          <w:numId w:val="2"/>
        </w:numPr>
        <w:shd w:val="clear" w:color="auto" w:fill="FFFFFF"/>
        <w:spacing w:before="0" w:beforeAutospacing="0" w:after="0" w:line="480" w:lineRule="auto"/>
        <w:jc w:val="both"/>
        <w:rPr>
          <w:rFonts w:cs="Calibri"/>
        </w:rPr>
      </w:pPr>
      <w:r w:rsidRPr="00331C44">
        <w:rPr>
          <w:rFonts w:eastAsia="Arial" w:cs="Calibri"/>
          <w:shd w:val="clear" w:color="auto" w:fill="FFFFFF"/>
        </w:rPr>
        <w:t>Mendes J, Alves P, Amaral T. Comparison of nutritional status assessment parameters in predicting length of hospital stay in cancer patients. Clinical Nutrition. 2014;33(3):466-470.</w:t>
      </w:r>
    </w:p>
    <w:p w14:paraId="3DA798ED" w14:textId="77777777" w:rsidR="00331C44" w:rsidRPr="00331C44" w:rsidRDefault="00331C44" w:rsidP="00D801D6">
      <w:pPr>
        <w:pStyle w:val="ListParagraph"/>
        <w:numPr>
          <w:ilvl w:val="0"/>
          <w:numId w:val="2"/>
        </w:numPr>
        <w:spacing w:line="480" w:lineRule="auto"/>
        <w:rPr>
          <w:rStyle w:val="selectable"/>
          <w:rFonts w:cs="Calibri"/>
        </w:rPr>
      </w:pPr>
      <w:r w:rsidRPr="00331C44">
        <w:rPr>
          <w:rFonts w:eastAsia="Arial" w:cs="Calibri"/>
          <w:shd w:val="clear" w:color="auto" w:fill="FFFFFF"/>
        </w:rPr>
        <w:t>Kilgour R, Vigano A, Trutschnigg B, Lucar E, Borod M, Morais J. Handgrip strength predicts survival and is associated with markers of clinical and functional outcomes in advanced cancer patients. Supportive Care in Cancer. 2013;21(12):3261-3270.</w:t>
      </w:r>
    </w:p>
    <w:p w14:paraId="4BAC001C" w14:textId="77777777" w:rsidR="00331C44" w:rsidRPr="00331C44" w:rsidRDefault="00331C44" w:rsidP="00D801D6">
      <w:pPr>
        <w:pStyle w:val="ListParagraph"/>
        <w:numPr>
          <w:ilvl w:val="0"/>
          <w:numId w:val="2"/>
        </w:numPr>
        <w:spacing w:line="480" w:lineRule="auto"/>
        <w:rPr>
          <w:rFonts w:cs="Calibri"/>
        </w:rPr>
      </w:pPr>
      <w:r w:rsidRPr="00331C44">
        <w:rPr>
          <w:rStyle w:val="selectable"/>
          <w:rFonts w:cs="Calibri"/>
        </w:rPr>
        <w:t>L</w:t>
      </w:r>
      <w:r w:rsidRPr="00331C44">
        <w:rPr>
          <w:rFonts w:eastAsia="Arial" w:cs="Calibri"/>
          <w:shd w:val="clear" w:color="auto" w:fill="FFFFFF"/>
        </w:rPr>
        <w:t>akenman P, Ottens-Oussoren K, Witvliet-van Nierop J, van der Peet D, de van der Schueren M. Handgrip Strength Is Associated With Treatment Modifications During Neoadjuvant Chemoradiation in Patients With Esophageal Cancer. Nutrition in Clinical Practice. 2017;32(5):652-657.</w:t>
      </w:r>
    </w:p>
    <w:p w14:paraId="39B769A4" w14:textId="77777777" w:rsidR="00331C44" w:rsidRPr="00331C44" w:rsidRDefault="00331C44" w:rsidP="00D801D6">
      <w:pPr>
        <w:pStyle w:val="ListParagraph"/>
        <w:numPr>
          <w:ilvl w:val="0"/>
          <w:numId w:val="2"/>
        </w:numPr>
        <w:shd w:val="clear" w:color="auto" w:fill="FFFFFF"/>
        <w:spacing w:after="0" w:line="480" w:lineRule="auto"/>
        <w:rPr>
          <w:rStyle w:val="selectable"/>
          <w:rFonts w:eastAsia="Open Sans" w:cs="Calibri"/>
          <w:shd w:val="clear" w:color="auto" w:fill="FFFFFF"/>
        </w:rPr>
      </w:pPr>
      <w:r w:rsidRPr="00331C44">
        <w:rPr>
          <w:rFonts w:eastAsia="Arial" w:cs="Calibri"/>
          <w:color w:val="000000"/>
          <w:shd w:val="clear" w:color="auto" w:fill="FFFFFF"/>
        </w:rPr>
        <w:t>Chen C, Ho-Chang, Huang Y, Hung T. Hand-grip strength is a simple and effective outcome predictor in esophageal cancer following esophagectomy with reconstruction: a prospective study. Journal of Cardiothoracic Surgery. 2011;6(1).</w:t>
      </w:r>
    </w:p>
    <w:p w14:paraId="4C5C98DC" w14:textId="77777777" w:rsidR="00331C44" w:rsidRPr="00331C44" w:rsidRDefault="00331C44" w:rsidP="00D801D6">
      <w:pPr>
        <w:pStyle w:val="NormalWeb"/>
        <w:numPr>
          <w:ilvl w:val="0"/>
          <w:numId w:val="2"/>
        </w:numPr>
        <w:shd w:val="clear" w:color="auto" w:fill="FFFFFF"/>
        <w:spacing w:before="0" w:beforeAutospacing="0" w:after="0" w:afterAutospacing="0" w:line="480" w:lineRule="auto"/>
        <w:jc w:val="both"/>
        <w:rPr>
          <w:rFonts w:ascii="Calibri" w:hAnsi="Calibri" w:cs="Calibri"/>
          <w:sz w:val="22"/>
          <w:szCs w:val="22"/>
        </w:rPr>
      </w:pPr>
      <w:r w:rsidRPr="00331C44">
        <w:rPr>
          <w:rFonts w:ascii="Calibri" w:eastAsia="Arial" w:hAnsi="Calibri" w:cs="Calibri"/>
          <w:color w:val="000000"/>
          <w:sz w:val="22"/>
          <w:szCs w:val="22"/>
          <w:shd w:val="clear" w:color="auto" w:fill="FFFFFF"/>
        </w:rPr>
        <w:t>Sato S, Nagai E, Taki Y, Watanabe M, Watanabe Y, Nakano K et al. Hand grip strength as a predictor of postoperative complications in esophageal cancer patients undergoing esophagectomy. Esophagus. 2017;15(1):10-18.</w:t>
      </w:r>
    </w:p>
    <w:p w14:paraId="1761196C" w14:textId="77777777" w:rsidR="00331C44" w:rsidRPr="00331C44" w:rsidRDefault="00331C44" w:rsidP="00D801D6">
      <w:pPr>
        <w:pStyle w:val="ListParagraph"/>
        <w:numPr>
          <w:ilvl w:val="0"/>
          <w:numId w:val="2"/>
        </w:numPr>
        <w:shd w:val="clear" w:color="auto" w:fill="FFFFFF"/>
        <w:spacing w:after="0" w:line="480" w:lineRule="auto"/>
        <w:rPr>
          <w:rFonts w:asciiTheme="minorHAnsi" w:eastAsia="Open Sans" w:hAnsiTheme="minorHAnsi" w:cs="Arial"/>
          <w:shd w:val="clear" w:color="auto" w:fill="FFFFFF"/>
        </w:rPr>
      </w:pPr>
      <w:r w:rsidRPr="00331C44">
        <w:rPr>
          <w:rFonts w:eastAsia="Arial" w:cs="Calibri"/>
          <w:color w:val="000000"/>
          <w:shd w:val="clear" w:color="auto" w:fill="FFFFFF"/>
        </w:rPr>
        <w:t xml:space="preserve">van Egmond M, van der Schaaf M, Klinkenbijl J, Engelbert R, van Berge Henegouwen M. Preoperative functional status is not associated with postoperative surgical </w:t>
      </w:r>
      <w:r w:rsidRPr="00331C44">
        <w:rPr>
          <w:rFonts w:eastAsia="Arial" w:cs="Calibri"/>
          <w:shd w:val="clear" w:color="auto" w:fill="FFFFFF"/>
        </w:rPr>
        <w:t>complications in low risk patients undergoing esophagectomy. Diseases of the Esophagus. 2016;1-7</w:t>
      </w:r>
    </w:p>
    <w:p w14:paraId="47351BDB" w14:textId="5FD95259" w:rsidR="00FA4103" w:rsidRPr="00331C44" w:rsidRDefault="00FA4103" w:rsidP="00D801D6">
      <w:pPr>
        <w:pStyle w:val="ListParagraph"/>
        <w:numPr>
          <w:ilvl w:val="0"/>
          <w:numId w:val="2"/>
        </w:numPr>
        <w:shd w:val="clear" w:color="auto" w:fill="FFFFFF"/>
        <w:spacing w:before="0" w:beforeAutospacing="0" w:after="0" w:line="480" w:lineRule="auto"/>
        <w:jc w:val="both"/>
        <w:rPr>
          <w:rFonts w:eastAsiaTheme="minorEastAsia" w:cs="Calibri"/>
        </w:rPr>
      </w:pPr>
      <w:r w:rsidRPr="00331C44">
        <w:rPr>
          <w:rFonts w:cs="Calibri"/>
          <w:color w:val="000000"/>
          <w:shd w:val="clear" w:color="auto" w:fill="FFFFFF"/>
        </w:rPr>
        <w:t>Drover J, Cahill N, Kutsogiannis J, Pagliarello G, Wischmeyer P, Wang M et al. Nutrition Therapy for the Critically Ill Surgical Patient. Journal of Parenteral and Enteral Nutrition. 2010;34(6):644-652.</w:t>
      </w:r>
    </w:p>
    <w:p w14:paraId="776642A6" w14:textId="77777777" w:rsidR="00FA4103" w:rsidRPr="00331C44" w:rsidRDefault="00FA4103" w:rsidP="00D801D6">
      <w:pPr>
        <w:pStyle w:val="ListParagraph"/>
        <w:numPr>
          <w:ilvl w:val="0"/>
          <w:numId w:val="2"/>
        </w:numPr>
        <w:spacing w:line="480" w:lineRule="auto"/>
        <w:rPr>
          <w:rFonts w:cs="Calibri"/>
        </w:rPr>
      </w:pPr>
      <w:r w:rsidRPr="00331C44">
        <w:rPr>
          <w:rFonts w:cs="Calibri"/>
          <w:color w:val="000000"/>
          <w:shd w:val="clear" w:color="auto" w:fill="FFFFFF"/>
        </w:rPr>
        <w:lastRenderedPageBreak/>
        <w:t xml:space="preserve">Schier R, Levett D, Riedel B. Prehabilitation. European Journal of Anaesthesiology. 2020; </w:t>
      </w:r>
    </w:p>
    <w:p w14:paraId="7D8CD63F" w14:textId="77777777" w:rsidR="00FA4103" w:rsidRPr="00331C44" w:rsidRDefault="00FA4103" w:rsidP="00D801D6">
      <w:pPr>
        <w:pStyle w:val="ListParagraph"/>
        <w:numPr>
          <w:ilvl w:val="0"/>
          <w:numId w:val="2"/>
        </w:numPr>
        <w:spacing w:line="480" w:lineRule="auto"/>
        <w:rPr>
          <w:rFonts w:cs="Calibri"/>
        </w:rPr>
      </w:pPr>
      <w:r w:rsidRPr="00331C44">
        <w:rPr>
          <w:rFonts w:cs="Calibri"/>
          <w:color w:val="000000"/>
          <w:shd w:val="clear" w:color="auto" w:fill="FFFFFF"/>
        </w:rPr>
        <w:t>Le Roy B, Selvy M, Slim K. The concept of prehabilitation: What the surgeon needs to know?. Journal of Visceral Surgery. 2016;153(2):109-112.</w:t>
      </w:r>
    </w:p>
    <w:p w14:paraId="53F90D30" w14:textId="77777777" w:rsidR="00AC0420" w:rsidRPr="00331C44" w:rsidRDefault="00AC0420" w:rsidP="00D801D6">
      <w:pPr>
        <w:pStyle w:val="ListParagraph"/>
        <w:numPr>
          <w:ilvl w:val="0"/>
          <w:numId w:val="2"/>
        </w:numPr>
        <w:spacing w:line="480" w:lineRule="auto"/>
        <w:rPr>
          <w:rFonts w:asciiTheme="minorHAnsi" w:hAnsiTheme="minorHAnsi" w:cstheme="minorHAnsi"/>
          <w:color w:val="000000"/>
          <w:shd w:val="clear" w:color="auto" w:fill="FFFFFF"/>
        </w:rPr>
      </w:pPr>
      <w:r w:rsidRPr="00331C44">
        <w:rPr>
          <w:rFonts w:asciiTheme="minorHAnsi" w:hAnsiTheme="minorHAnsi" w:cstheme="minorHAnsi"/>
          <w:color w:val="000000"/>
          <w:shd w:val="clear" w:color="auto" w:fill="FFFFFF"/>
        </w:rPr>
        <w:t>Underwood T, Noble F, Madhusudan N, Sharland D, Fraser R, Owsley J et al. The Development, Application and Analysis of an Enhanced Recovery Programme for Major Oesophagogastric Resection. Journal of Gastrointestinal Surgery. 2017;21(4):614-621</w:t>
      </w:r>
    </w:p>
    <w:p w14:paraId="147BC1E2" w14:textId="77777777" w:rsidR="00B973BE" w:rsidRPr="00331C44" w:rsidRDefault="00B973BE" w:rsidP="00D801D6">
      <w:pPr>
        <w:pStyle w:val="NormalWeb"/>
        <w:numPr>
          <w:ilvl w:val="0"/>
          <w:numId w:val="2"/>
        </w:numPr>
        <w:shd w:val="clear" w:color="auto" w:fill="FFFFFF"/>
        <w:spacing w:before="0" w:beforeAutospacing="0" w:after="0" w:afterAutospacing="0" w:line="480" w:lineRule="auto"/>
        <w:jc w:val="both"/>
        <w:rPr>
          <w:rFonts w:ascii="Calibri" w:hAnsi="Calibri" w:cs="Calibri"/>
          <w:sz w:val="22"/>
          <w:szCs w:val="22"/>
        </w:rPr>
      </w:pPr>
      <w:r w:rsidRPr="00331C44">
        <w:rPr>
          <w:rFonts w:ascii="Calibri" w:eastAsia="Arial" w:hAnsi="Calibri" w:cs="Calibri"/>
          <w:color w:val="000000"/>
          <w:sz w:val="22"/>
          <w:szCs w:val="22"/>
          <w:shd w:val="clear" w:color="auto" w:fill="FFFFFF"/>
        </w:rPr>
        <w:t>Chen L, Lee W, Peng L, Liu L, Arai H, Akishita M. Recent Advances in Sarcopenia Research in Asia: 2016 Update From the Asian Working Group for Sarcopenia. Journal of the American Medical Directors Association. 2016;17(8):767.e1-767.e7.</w:t>
      </w:r>
    </w:p>
    <w:p w14:paraId="6AC9AD9A" w14:textId="77777777" w:rsidR="00B973BE" w:rsidRPr="00331C44" w:rsidRDefault="00B973BE" w:rsidP="00D801D6">
      <w:pPr>
        <w:pStyle w:val="NormalWeb"/>
        <w:numPr>
          <w:ilvl w:val="0"/>
          <w:numId w:val="2"/>
        </w:numPr>
        <w:shd w:val="clear" w:color="auto" w:fill="FFFFFF"/>
        <w:spacing w:before="0" w:beforeAutospacing="0" w:after="0" w:afterAutospacing="0" w:line="480" w:lineRule="auto"/>
        <w:jc w:val="both"/>
        <w:rPr>
          <w:rFonts w:ascii="Calibri" w:hAnsi="Calibri" w:cs="Calibri"/>
          <w:sz w:val="22"/>
          <w:szCs w:val="22"/>
        </w:rPr>
      </w:pPr>
      <w:r w:rsidRPr="00331C44">
        <w:rPr>
          <w:rFonts w:ascii="Calibri" w:eastAsia="Arial" w:hAnsi="Calibri" w:cs="Calibri"/>
          <w:color w:val="000000"/>
          <w:sz w:val="22"/>
          <w:szCs w:val="22"/>
          <w:shd w:val="clear" w:color="auto" w:fill="FFFFFF"/>
        </w:rPr>
        <w:t xml:space="preserve">Clavien P, Barkun J, de Oliveira M, Vauthey J, Dindo D, Schulick R et al. The Clavien-Dindo </w:t>
      </w:r>
      <w:r w:rsidRPr="00331C44">
        <w:rPr>
          <w:rFonts w:ascii="Calibri" w:eastAsia="Arial" w:hAnsi="Calibri" w:cs="Calibri"/>
          <w:sz w:val="22"/>
          <w:szCs w:val="22"/>
          <w:shd w:val="clear" w:color="auto" w:fill="FFFFFF"/>
        </w:rPr>
        <w:t>Classification of Surgical Complications. Annals of Surgery. 2009;250(2):187-196.</w:t>
      </w:r>
    </w:p>
    <w:p w14:paraId="5615D71E" w14:textId="77777777" w:rsidR="00AC0420" w:rsidRPr="00331C44" w:rsidRDefault="00AC0420" w:rsidP="00D801D6">
      <w:pPr>
        <w:pStyle w:val="ListParagraph"/>
        <w:numPr>
          <w:ilvl w:val="0"/>
          <w:numId w:val="2"/>
        </w:numPr>
        <w:spacing w:line="480" w:lineRule="auto"/>
        <w:rPr>
          <w:rFonts w:cs="Calibri"/>
          <w:shd w:val="clear" w:color="auto" w:fill="FFFFFF"/>
        </w:rPr>
      </w:pPr>
      <w:r w:rsidRPr="00331C44">
        <w:rPr>
          <w:rFonts w:cs="Calibri"/>
          <w:shd w:val="clear" w:color="auto" w:fill="FFFFFF"/>
        </w:rPr>
        <w:t>Hynes O, Anandavadivelan P, Gossage J, Johar A, Lagergren J, Lagergren P. The impact of pre- and post-operative weight loss and body mass index on prognosis in patients with oesophageal cancer. European Journal of Surgical Oncology (EJSO). 2017;43(8):1559-1565.</w:t>
      </w:r>
    </w:p>
    <w:p w14:paraId="1EEA8293" w14:textId="77777777" w:rsidR="00AC0420" w:rsidRPr="00331C44" w:rsidRDefault="00AC0420" w:rsidP="00D801D6">
      <w:pPr>
        <w:pStyle w:val="ListParagraph"/>
        <w:numPr>
          <w:ilvl w:val="0"/>
          <w:numId w:val="2"/>
        </w:numPr>
        <w:spacing w:line="480" w:lineRule="auto"/>
        <w:rPr>
          <w:rFonts w:asciiTheme="minorHAnsi" w:hAnsiTheme="minorHAnsi" w:cstheme="minorHAnsi"/>
          <w:shd w:val="clear" w:color="auto" w:fill="FFFFFF"/>
        </w:rPr>
      </w:pPr>
      <w:r w:rsidRPr="00331C44">
        <w:rPr>
          <w:rFonts w:asciiTheme="minorHAnsi" w:hAnsiTheme="minorHAnsi" w:cstheme="minorHAnsi"/>
          <w:shd w:val="clear" w:color="auto" w:fill="FFFFFF"/>
        </w:rPr>
        <w:t>van der Schaaf M, Tilanus H, van Lanschot J, Johar A, Lagergren P, Lagergren J et al. The influence of preoperative weight loss on the postoperative course after esophageal cancer resection. The Journal of Thoracic and Cardiovascular Surgery. 2014;147(1):490-495.</w:t>
      </w:r>
    </w:p>
    <w:p w14:paraId="25A011BA" w14:textId="77777777" w:rsidR="00B973BE" w:rsidRDefault="00B973BE" w:rsidP="00D801D6">
      <w:pPr>
        <w:pStyle w:val="ListParagraph"/>
        <w:numPr>
          <w:ilvl w:val="0"/>
          <w:numId w:val="2"/>
        </w:numPr>
        <w:spacing w:line="480" w:lineRule="auto"/>
        <w:rPr>
          <w:rFonts w:asciiTheme="minorHAnsi" w:hAnsiTheme="minorHAnsi" w:cstheme="minorHAnsi"/>
          <w:shd w:val="clear" w:color="auto" w:fill="FFFFFF"/>
        </w:rPr>
      </w:pPr>
      <w:r w:rsidRPr="00331C44">
        <w:rPr>
          <w:rFonts w:asciiTheme="minorHAnsi" w:hAnsiTheme="minorHAnsi" w:cstheme="minorHAnsi"/>
          <w:shd w:val="clear" w:color="auto" w:fill="FFFFFF"/>
        </w:rPr>
        <w:t>Skipworth J, Foster J, Raptis D, Hughes F. The effect of preoperative weight loss and body mass index on postoperative outcome in patients with esophagogastric carcinoma. Diseases of the Esophagus. 2009;22(7):559-563.</w:t>
      </w:r>
    </w:p>
    <w:p w14:paraId="256815F4" w14:textId="77777777" w:rsidR="002B3983" w:rsidRPr="002B3983" w:rsidRDefault="002B3983" w:rsidP="002B3983">
      <w:pPr>
        <w:pStyle w:val="ListParagraph"/>
        <w:numPr>
          <w:ilvl w:val="0"/>
          <w:numId w:val="2"/>
        </w:numPr>
        <w:spacing w:line="480" w:lineRule="auto"/>
        <w:rPr>
          <w:rFonts w:asciiTheme="minorHAnsi" w:hAnsiTheme="minorHAnsi" w:cstheme="minorHAnsi"/>
          <w:color w:val="000000"/>
          <w:shd w:val="clear" w:color="auto" w:fill="FFFFFF"/>
        </w:rPr>
      </w:pPr>
      <w:r w:rsidRPr="002B3983">
        <w:rPr>
          <w:rFonts w:asciiTheme="minorHAnsi" w:hAnsiTheme="minorHAnsi" w:cstheme="minorHAnsi"/>
          <w:color w:val="000000"/>
          <w:shd w:val="clear" w:color="auto" w:fill="FFFFFF"/>
        </w:rPr>
        <w:t>D'Journo, X., Ouattara, M., Loundou, A., Trousse, D., Dahan, L., Nathalie, T., Doddoli, C., Seitz, J. and Thomas, P., 2011. Prognostic impact of weight loss in 1-year survivors after transthoracic esophagectomy for cancer. </w:t>
      </w:r>
      <w:r w:rsidRPr="002B3983">
        <w:rPr>
          <w:rFonts w:asciiTheme="minorHAnsi" w:hAnsiTheme="minorHAnsi" w:cstheme="minorHAnsi"/>
          <w:i/>
          <w:iCs/>
          <w:color w:val="000000"/>
          <w:shd w:val="clear" w:color="auto" w:fill="FFFFFF"/>
        </w:rPr>
        <w:t>Diseases of the Esophagus</w:t>
      </w:r>
      <w:r w:rsidRPr="002B3983">
        <w:rPr>
          <w:rFonts w:asciiTheme="minorHAnsi" w:hAnsiTheme="minorHAnsi" w:cstheme="minorHAnsi"/>
          <w:color w:val="000000"/>
          <w:shd w:val="clear" w:color="auto" w:fill="FFFFFF"/>
        </w:rPr>
        <w:t>, 25(6), pp.527-534.</w:t>
      </w:r>
    </w:p>
    <w:p w14:paraId="66BD3BEB" w14:textId="77777777" w:rsidR="002B3983" w:rsidRPr="002B3983" w:rsidRDefault="002B3983" w:rsidP="002B3983">
      <w:pPr>
        <w:pStyle w:val="ListParagraph"/>
        <w:numPr>
          <w:ilvl w:val="0"/>
          <w:numId w:val="2"/>
        </w:numPr>
        <w:spacing w:line="480" w:lineRule="auto"/>
        <w:rPr>
          <w:rFonts w:asciiTheme="minorHAnsi" w:hAnsiTheme="minorHAnsi" w:cstheme="minorHAnsi"/>
          <w:color w:val="000000"/>
          <w:shd w:val="clear" w:color="auto" w:fill="FFFFFF"/>
        </w:rPr>
      </w:pPr>
      <w:r w:rsidRPr="002B3983">
        <w:rPr>
          <w:rFonts w:asciiTheme="minorHAnsi" w:hAnsiTheme="minorHAnsi" w:cstheme="minorHAnsi"/>
          <w:color w:val="000000"/>
          <w:shd w:val="clear" w:color="auto" w:fill="FFFFFF"/>
        </w:rPr>
        <w:lastRenderedPageBreak/>
        <w:t xml:space="preserve">Kitagawa, H., Namikawa, T., Munekage, M., Fukisawa, K., Munekage, E., Kawanishi, Y., Kobayashi, M. and Hanazaki, K., 2016. Analysis of Factors Associated with Weight Loss After Esophagectomy for Esophageal Cancer. </w:t>
      </w:r>
      <w:r w:rsidRPr="002B3983">
        <w:rPr>
          <w:rFonts w:asciiTheme="minorHAnsi" w:hAnsiTheme="minorHAnsi" w:cstheme="minorHAnsi"/>
          <w:i/>
          <w:iCs/>
          <w:color w:val="000000"/>
        </w:rPr>
        <w:t>Anticancer Research</w:t>
      </w:r>
      <w:r w:rsidRPr="002B3983">
        <w:rPr>
          <w:rFonts w:asciiTheme="minorHAnsi" w:hAnsiTheme="minorHAnsi" w:cstheme="minorHAnsi"/>
          <w:color w:val="000000"/>
          <w:shd w:val="clear" w:color="auto" w:fill="FFFFFF"/>
        </w:rPr>
        <w:t>, 36(10), pp.5409-5412.</w:t>
      </w:r>
    </w:p>
    <w:p w14:paraId="7E94124A" w14:textId="38C09C86" w:rsidR="002B3983" w:rsidRPr="002B3983" w:rsidRDefault="002B3983" w:rsidP="002B3983">
      <w:pPr>
        <w:pStyle w:val="ListParagraph"/>
        <w:numPr>
          <w:ilvl w:val="0"/>
          <w:numId w:val="2"/>
        </w:numPr>
        <w:spacing w:line="480" w:lineRule="auto"/>
        <w:rPr>
          <w:rFonts w:asciiTheme="minorHAnsi" w:hAnsiTheme="minorHAnsi" w:cstheme="minorHAnsi"/>
        </w:rPr>
      </w:pPr>
      <w:r w:rsidRPr="002B3983">
        <w:rPr>
          <w:rFonts w:asciiTheme="minorHAnsi" w:hAnsiTheme="minorHAnsi" w:cstheme="minorHAnsi"/>
          <w:color w:val="000000"/>
          <w:shd w:val="clear" w:color="auto" w:fill="FFFFFF"/>
        </w:rPr>
        <w:t>Park, S., Kim, D., Suh, J. and Byun, G., 2018. Risk Factors for Weight Loss 1 Year After Esophagectomy and Gastric Pull-up for Esophageal Cancer. </w:t>
      </w:r>
      <w:r w:rsidRPr="002B3983">
        <w:rPr>
          <w:rFonts w:asciiTheme="minorHAnsi" w:hAnsiTheme="minorHAnsi" w:cstheme="minorHAnsi"/>
          <w:i/>
          <w:iCs/>
          <w:color w:val="000000"/>
          <w:shd w:val="clear" w:color="auto" w:fill="FFFFFF"/>
        </w:rPr>
        <w:t>Journal of Gastrointestinal Surgery</w:t>
      </w:r>
      <w:r w:rsidRPr="002B3983">
        <w:rPr>
          <w:rFonts w:asciiTheme="minorHAnsi" w:hAnsiTheme="minorHAnsi" w:cstheme="minorHAnsi"/>
          <w:color w:val="000000"/>
          <w:shd w:val="clear" w:color="auto" w:fill="FFFFFF"/>
        </w:rPr>
        <w:t>, 22(7), pp.1137-1143.</w:t>
      </w:r>
    </w:p>
    <w:p w14:paraId="08D4DBA0" w14:textId="77777777" w:rsidR="00AC0420" w:rsidRPr="00331C44" w:rsidRDefault="00AC0420" w:rsidP="00D801D6">
      <w:pPr>
        <w:pStyle w:val="ListParagraph"/>
        <w:numPr>
          <w:ilvl w:val="0"/>
          <w:numId w:val="2"/>
        </w:numPr>
        <w:spacing w:line="480" w:lineRule="auto"/>
        <w:rPr>
          <w:rFonts w:cs="Calibri"/>
          <w:shd w:val="clear" w:color="auto" w:fill="FFFFFF"/>
        </w:rPr>
      </w:pPr>
      <w:r w:rsidRPr="00331C44">
        <w:rPr>
          <w:rFonts w:eastAsiaTheme="minorEastAsia" w:cs="Calibri"/>
          <w:shd w:val="clear" w:color="auto" w:fill="FFFFFF"/>
        </w:rPr>
        <w:t>Ligthart-Melis G, Weijs P, te Boveldt N, Buskermolen S, Earthman C, Verheul H et al. Dietician-delivered intensive nutritional support is associated with a decrease in severe postoperative complications after surgery in patients with esophageal cancer. Diseases of the Esophagus. 2012;26(6):587-593.</w:t>
      </w:r>
      <w:r w:rsidRPr="00331C44">
        <w:rPr>
          <w:rFonts w:cs="Calibri"/>
          <w:shd w:val="clear" w:color="auto" w:fill="FFFFFF"/>
        </w:rPr>
        <w:t xml:space="preserve"> </w:t>
      </w:r>
    </w:p>
    <w:p w14:paraId="68FA2E70" w14:textId="77777777" w:rsidR="00B973BE" w:rsidRPr="00331C44" w:rsidRDefault="00B973BE" w:rsidP="00D801D6">
      <w:pPr>
        <w:pStyle w:val="ListParagraph"/>
        <w:numPr>
          <w:ilvl w:val="0"/>
          <w:numId w:val="2"/>
        </w:numPr>
        <w:spacing w:line="480" w:lineRule="auto"/>
        <w:rPr>
          <w:rFonts w:cs="Calibri"/>
        </w:rPr>
      </w:pPr>
      <w:r w:rsidRPr="00331C44">
        <w:rPr>
          <w:rFonts w:cs="Calibri"/>
        </w:rPr>
        <w:t>Bozzetti F. Nutritional support in patients with oesophageal cancer. Supportive Care in Cancer. 2009;18(S2):41-50.</w:t>
      </w:r>
    </w:p>
    <w:p w14:paraId="60D46A0F" w14:textId="77777777" w:rsidR="00B973BE" w:rsidRPr="00331C44" w:rsidRDefault="00B973BE" w:rsidP="00D801D6">
      <w:pPr>
        <w:pStyle w:val="ListParagraph"/>
        <w:numPr>
          <w:ilvl w:val="0"/>
          <w:numId w:val="2"/>
        </w:numPr>
        <w:spacing w:line="480" w:lineRule="auto"/>
        <w:rPr>
          <w:rFonts w:asciiTheme="minorHAnsi" w:hAnsiTheme="minorHAnsi" w:cs="Arial"/>
        </w:rPr>
      </w:pPr>
      <w:r w:rsidRPr="00331C44">
        <w:rPr>
          <w:rFonts w:asciiTheme="minorHAnsi" w:eastAsia="Arial" w:hAnsi="Arial" w:cs="Arial"/>
          <w:shd w:val="clear" w:color="auto" w:fill="FFFFFF"/>
        </w:rPr>
        <w:t>Odelli C, Burgess D, Bateman L, Hughes A, Ackland S, Gillies J et al. Nutrition Support Improves Patient Outcomes, Treatment Tolerance and Admission Characteristics in Oesophageal Cancer. Clinical Oncology. 2005;17(8):639-645.</w:t>
      </w:r>
    </w:p>
    <w:p w14:paraId="6D8760AF" w14:textId="77777777" w:rsidR="00053E11" w:rsidRPr="00331C44" w:rsidRDefault="00053E11" w:rsidP="00D801D6">
      <w:pPr>
        <w:pStyle w:val="ListParagraph"/>
        <w:numPr>
          <w:ilvl w:val="0"/>
          <w:numId w:val="2"/>
        </w:numPr>
        <w:spacing w:before="0" w:beforeAutospacing="0" w:after="0" w:line="480" w:lineRule="auto"/>
        <w:rPr>
          <w:rFonts w:cs="Calibri"/>
        </w:rPr>
      </w:pPr>
      <w:r w:rsidRPr="00331C44">
        <w:rPr>
          <w:rFonts w:cs="Calibri"/>
          <w:color w:val="000000"/>
          <w:shd w:val="clear" w:color="auto" w:fill="FFFFFF"/>
        </w:rPr>
        <w:t>Boshier P, Heneghan R, Markar S, Baracos V, Low D. Assessment of body composition and sarcopenia in patients with esophageal cancer: a systematic review and meta-analysis. Diseases of the Esophagus. 2018;31: 193-194</w:t>
      </w:r>
    </w:p>
    <w:p w14:paraId="7D94FD27" w14:textId="77777777" w:rsidR="00053E11" w:rsidRPr="00331C44" w:rsidRDefault="00053E11" w:rsidP="00D801D6">
      <w:pPr>
        <w:pStyle w:val="ListParagraph"/>
        <w:numPr>
          <w:ilvl w:val="0"/>
          <w:numId w:val="2"/>
        </w:numPr>
        <w:spacing w:before="0" w:beforeAutospacing="0" w:after="0" w:line="480" w:lineRule="auto"/>
        <w:rPr>
          <w:rFonts w:cs="Calibri"/>
        </w:rPr>
      </w:pPr>
      <w:r w:rsidRPr="00331C44">
        <w:rPr>
          <w:rFonts w:cs="Calibri"/>
          <w:color w:val="000000"/>
          <w:shd w:val="clear" w:color="auto" w:fill="FFFFFF"/>
        </w:rPr>
        <w:t>Paireder M, Asari R, Kristo I, Rieder E, Tamandl D, Ba-Ssalamah A et al. Impact of sarcopenia on outcome in patients with esophageal resection following neoadjuvant chemotherapy for esophageal cancer. European Journal of Surgical Oncology (EJSO). 2017;43(2):478-484.</w:t>
      </w:r>
    </w:p>
    <w:p w14:paraId="57C0AA71" w14:textId="77777777" w:rsidR="00053E11" w:rsidRPr="00331C44" w:rsidRDefault="00053E11" w:rsidP="00D801D6">
      <w:pPr>
        <w:pStyle w:val="Heading2"/>
        <w:numPr>
          <w:ilvl w:val="0"/>
          <w:numId w:val="2"/>
        </w:numPr>
        <w:shd w:val="clear" w:color="auto" w:fill="FFFFFF"/>
        <w:spacing w:after="225" w:afterAutospacing="0" w:line="480" w:lineRule="auto"/>
        <w:rPr>
          <w:rFonts w:ascii="Calibri" w:hAnsi="Calibri" w:cs="Calibri"/>
          <w:b w:val="0"/>
          <w:bCs w:val="0"/>
          <w:color w:val="000000"/>
          <w:sz w:val="22"/>
          <w:szCs w:val="22"/>
        </w:rPr>
      </w:pPr>
      <w:r w:rsidRPr="00331C44">
        <w:rPr>
          <w:rFonts w:ascii="Calibri" w:hAnsi="Calibri" w:cs="Calibri"/>
          <w:b w:val="0"/>
          <w:color w:val="000000"/>
          <w:sz w:val="22"/>
          <w:szCs w:val="22"/>
          <w:shd w:val="clear" w:color="auto" w:fill="FFFFFF"/>
        </w:rPr>
        <w:t>Elliott J, Doyle S, Murphy C, King S, Guinan E, Beddy P et al. Sarcopenia</w:t>
      </w:r>
      <w:r w:rsidRPr="00331C44">
        <w:rPr>
          <w:rFonts w:ascii="Calibri" w:hAnsi="Calibri" w:cs="Calibri"/>
          <w:b w:val="0"/>
          <w:bCs w:val="0"/>
          <w:color w:val="000000"/>
          <w:sz w:val="22"/>
          <w:szCs w:val="22"/>
        </w:rPr>
        <w:t xml:space="preserve"> prevalence, and Impact on Operative and Oncologic Outcomes in the Multimodal Management of Locally Advanced Esophageal Cancer</w:t>
      </w:r>
      <w:r w:rsidRPr="00331C44">
        <w:rPr>
          <w:rFonts w:ascii="Calibri" w:hAnsi="Calibri" w:cs="Calibri"/>
          <w:b w:val="0"/>
          <w:color w:val="000000"/>
          <w:sz w:val="22"/>
          <w:szCs w:val="22"/>
          <w:shd w:val="clear" w:color="auto" w:fill="FFFFFF"/>
        </w:rPr>
        <w:t>. Annals of Surgery. 2017;266(5):822-830.</w:t>
      </w:r>
    </w:p>
    <w:p w14:paraId="07CC22F3" w14:textId="7F7D53ED" w:rsidR="00C0639C" w:rsidRPr="00331C44" w:rsidRDefault="00C0639C" w:rsidP="00D801D6">
      <w:pPr>
        <w:pStyle w:val="ListParagraph"/>
        <w:numPr>
          <w:ilvl w:val="0"/>
          <w:numId w:val="2"/>
        </w:numPr>
        <w:spacing w:line="480" w:lineRule="auto"/>
        <w:rPr>
          <w:rFonts w:cs="Calibri"/>
        </w:rPr>
      </w:pPr>
      <w:r w:rsidRPr="00331C44">
        <w:rPr>
          <w:rFonts w:cs="Calibri"/>
          <w:color w:val="000000"/>
          <w:shd w:val="clear" w:color="auto" w:fill="FFFFFF"/>
        </w:rPr>
        <w:lastRenderedPageBreak/>
        <w:t>Gillis C, Buhler K, Bresee L, Carli F, Gramlich L, Culos-Reed N et al. Effects of Nutritional Prehabilitation, With and Without Exercise, on Outcomes of Patients Who Undergo Colorectal Surgery: A Systematic Review and Meta-analysis. Gastroenterology. 2018;155(2):391-410.e4.</w:t>
      </w:r>
    </w:p>
    <w:p w14:paraId="3FC79361" w14:textId="77777777" w:rsidR="0025416A" w:rsidRPr="00331C44" w:rsidRDefault="0025416A" w:rsidP="00D801D6">
      <w:pPr>
        <w:pStyle w:val="ListParagraph"/>
        <w:numPr>
          <w:ilvl w:val="0"/>
          <w:numId w:val="2"/>
        </w:numPr>
        <w:spacing w:line="480" w:lineRule="auto"/>
        <w:rPr>
          <w:rFonts w:cs="Calibri"/>
        </w:rPr>
      </w:pPr>
      <w:r w:rsidRPr="00331C44">
        <w:rPr>
          <w:rFonts w:cs="Calibri"/>
          <w:shd w:val="clear" w:color="auto" w:fill="FFFFFF"/>
        </w:rPr>
        <w:t>Bolshinsky V, Li M, Ismail H, Burbury K, Riedel B, Heriot A. Multimodal Prehabilitation Programs as a Bundle of Care in Gastrointestinal Cancer Surgery. Diseases of the Colon &amp; Rectum. 2018;61(1):124-138.</w:t>
      </w:r>
    </w:p>
    <w:p w14:paraId="666DB638" w14:textId="77777777" w:rsidR="0025416A" w:rsidRPr="00331C44" w:rsidRDefault="0025416A" w:rsidP="00D801D6">
      <w:pPr>
        <w:pStyle w:val="ListParagraph"/>
        <w:numPr>
          <w:ilvl w:val="0"/>
          <w:numId w:val="2"/>
        </w:numPr>
        <w:spacing w:line="480" w:lineRule="auto"/>
        <w:rPr>
          <w:rStyle w:val="selectable"/>
          <w:rFonts w:cs="Calibri"/>
        </w:rPr>
      </w:pPr>
      <w:r w:rsidRPr="00331C44">
        <w:rPr>
          <w:rFonts w:cs="Calibri"/>
          <w:shd w:val="clear" w:color="auto" w:fill="FFFFFF"/>
        </w:rPr>
        <w:t>Doganay E, Moorthy K. Prehabilitation for esophagectomy. Journal of Thoracic Disease. 2019;11(S5):S632-S638.</w:t>
      </w:r>
    </w:p>
    <w:p w14:paraId="19F47536" w14:textId="77777777" w:rsidR="0025416A" w:rsidRPr="00331C44" w:rsidRDefault="0025416A" w:rsidP="00D801D6">
      <w:pPr>
        <w:pStyle w:val="ListParagraph"/>
        <w:numPr>
          <w:ilvl w:val="0"/>
          <w:numId w:val="2"/>
        </w:numPr>
        <w:spacing w:line="480" w:lineRule="auto"/>
        <w:rPr>
          <w:rFonts w:cs="Calibri"/>
          <w:shd w:val="clear" w:color="auto" w:fill="FFFFFF"/>
        </w:rPr>
      </w:pPr>
      <w:r w:rsidRPr="00331C44">
        <w:rPr>
          <w:rFonts w:cs="Calibri"/>
          <w:shd w:val="clear" w:color="auto" w:fill="FFFFFF"/>
        </w:rPr>
        <w:t xml:space="preserve">Allen S, Brown V, Prabhu P, Scott M, Rockall T, Preston S et al. A randomised controlled trial to assess whether prehabilitation improves fitness in patients undergoing neoadjuvant treatment prior to oesophagogastric cancer surgery: study protocol. BMJ Open. 2018;8(12):e023190. </w:t>
      </w:r>
    </w:p>
    <w:p w14:paraId="52415D8D" w14:textId="77777777" w:rsidR="0025416A" w:rsidRPr="00331C44" w:rsidRDefault="0025416A" w:rsidP="00D801D6">
      <w:pPr>
        <w:pStyle w:val="ListParagraph"/>
        <w:numPr>
          <w:ilvl w:val="0"/>
          <w:numId w:val="2"/>
        </w:numPr>
        <w:spacing w:line="480" w:lineRule="auto"/>
        <w:rPr>
          <w:rFonts w:cs="Calibri"/>
          <w:shd w:val="clear" w:color="auto" w:fill="FFFFFF"/>
        </w:rPr>
      </w:pPr>
      <w:r w:rsidRPr="00331C44">
        <w:rPr>
          <w:rFonts w:cs="Calibri"/>
          <w:shd w:val="clear" w:color="auto" w:fill="FFFFFF"/>
        </w:rPr>
        <w:t>Le Roy B, Pereira B, Bouteloup C, Costes F, Richard R, Selvy M et al. Effect of prehabilitation in gastro-oesophageal adenocarcinoma: study protocol of a multicentric, randomised, control trial—the PREHAB study. BMJ Open. 2016;6(12):e012876. Study protocol</w:t>
      </w:r>
    </w:p>
    <w:p w14:paraId="6F7047C9" w14:textId="77777777" w:rsidR="00053E11" w:rsidRDefault="00053E11" w:rsidP="00D801D6">
      <w:pPr>
        <w:spacing w:line="480" w:lineRule="auto"/>
        <w:rPr>
          <w:rFonts w:cs="Calibri"/>
          <w:shd w:val="clear" w:color="auto" w:fill="FFFFFF"/>
        </w:rPr>
      </w:pPr>
    </w:p>
    <w:p w14:paraId="3CFF7903" w14:textId="77777777" w:rsidR="00053E11" w:rsidRDefault="00053E11" w:rsidP="00D801D6">
      <w:pPr>
        <w:spacing w:line="480" w:lineRule="auto"/>
        <w:rPr>
          <w:rFonts w:cs="Calibri"/>
          <w:shd w:val="clear" w:color="auto" w:fill="FFFFFF"/>
        </w:rPr>
      </w:pPr>
    </w:p>
    <w:p w14:paraId="53F22BAD" w14:textId="77777777" w:rsidR="00053E11" w:rsidRDefault="00053E11" w:rsidP="00D801D6">
      <w:pPr>
        <w:spacing w:line="480" w:lineRule="auto"/>
        <w:rPr>
          <w:rFonts w:cs="Calibri"/>
          <w:shd w:val="clear" w:color="auto" w:fill="FFFFFF"/>
        </w:rPr>
      </w:pPr>
    </w:p>
    <w:p w14:paraId="74AB6E96" w14:textId="77777777" w:rsidR="00331C44" w:rsidRDefault="00331C44" w:rsidP="00D801D6">
      <w:pPr>
        <w:spacing w:line="480" w:lineRule="auto"/>
        <w:rPr>
          <w:rFonts w:cs="Calibri"/>
          <w:shd w:val="clear" w:color="auto" w:fill="FFFFFF"/>
        </w:rPr>
      </w:pPr>
    </w:p>
    <w:p w14:paraId="5232E6EA" w14:textId="77777777" w:rsidR="00331C44" w:rsidRDefault="00331C44" w:rsidP="00D801D6">
      <w:pPr>
        <w:spacing w:line="480" w:lineRule="auto"/>
        <w:rPr>
          <w:rFonts w:cs="Calibri"/>
          <w:shd w:val="clear" w:color="auto" w:fill="FFFFFF"/>
        </w:rPr>
      </w:pPr>
    </w:p>
    <w:p w14:paraId="0628124A" w14:textId="77777777" w:rsidR="00331C44" w:rsidRDefault="00331C44" w:rsidP="00D801D6">
      <w:pPr>
        <w:spacing w:line="480" w:lineRule="auto"/>
        <w:rPr>
          <w:rFonts w:cs="Calibri"/>
          <w:shd w:val="clear" w:color="auto" w:fill="FFFFFF"/>
        </w:rPr>
      </w:pPr>
    </w:p>
    <w:p w14:paraId="64A51B44" w14:textId="77777777" w:rsidR="00E46153" w:rsidRDefault="004F09D0" w:rsidP="00D801D6">
      <w:pPr>
        <w:spacing w:line="480" w:lineRule="auto"/>
        <w:rPr>
          <w:rFonts w:asciiTheme="minorHAnsi" w:hAnsiTheme="minorHAnsi" w:cs="Arial"/>
          <w:b/>
          <w:bCs/>
        </w:rPr>
      </w:pPr>
      <w:r>
        <w:rPr>
          <w:rFonts w:asciiTheme="minorHAnsi" w:hAnsiTheme="minorHAnsi" w:cs="Arial"/>
          <w:b/>
          <w:bCs/>
        </w:rPr>
        <w:lastRenderedPageBreak/>
        <w:t>Figures and tables</w:t>
      </w:r>
    </w:p>
    <w:p w14:paraId="2D13EC6D" w14:textId="77777777" w:rsidR="00E46153" w:rsidRDefault="004F09D0" w:rsidP="00D801D6">
      <w:pPr>
        <w:spacing w:line="480" w:lineRule="auto"/>
        <w:rPr>
          <w:rFonts w:asciiTheme="minorHAnsi" w:hAnsiTheme="minorHAnsi" w:cs="Arial"/>
        </w:rPr>
      </w:pPr>
      <w:r>
        <w:rPr>
          <w:rFonts w:asciiTheme="minorHAnsi" w:hAnsiTheme="minorHAnsi" w:cs="Arial"/>
        </w:rPr>
        <w:t>Table 1: Patient demographics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705F85" w14:paraId="7703C928" w14:textId="77777777" w:rsidTr="00705F85">
        <w:trPr>
          <w:trHeight w:val="90"/>
        </w:trPr>
        <w:tc>
          <w:tcPr>
            <w:tcW w:w="4261" w:type="dxa"/>
          </w:tcPr>
          <w:p w14:paraId="6F6CF1C3" w14:textId="77777777" w:rsidR="00705F85" w:rsidRDefault="00705F85" w:rsidP="00D801D6">
            <w:pPr>
              <w:spacing w:before="0" w:beforeAutospacing="0" w:line="480" w:lineRule="auto"/>
              <w:rPr>
                <w:rFonts w:cs="Calibri"/>
                <w:b/>
              </w:rPr>
            </w:pPr>
            <w:r>
              <w:rPr>
                <w:rFonts w:cs="Calibri"/>
                <w:b/>
              </w:rPr>
              <w:t>Patient characteristics</w:t>
            </w:r>
          </w:p>
        </w:tc>
        <w:tc>
          <w:tcPr>
            <w:tcW w:w="4261" w:type="dxa"/>
          </w:tcPr>
          <w:p w14:paraId="4183C405" w14:textId="77777777" w:rsidR="00705F85" w:rsidRDefault="00705F85" w:rsidP="00D801D6">
            <w:pPr>
              <w:spacing w:before="0" w:beforeAutospacing="0" w:line="480" w:lineRule="auto"/>
              <w:jc w:val="center"/>
              <w:rPr>
                <w:rFonts w:cs="Calibri"/>
                <w:b/>
              </w:rPr>
            </w:pPr>
            <w:r>
              <w:rPr>
                <w:rFonts w:cs="Calibri"/>
                <w:b/>
              </w:rPr>
              <w:t>Oesophagectomy n=151</w:t>
            </w:r>
          </w:p>
        </w:tc>
      </w:tr>
      <w:tr w:rsidR="00705F85" w14:paraId="3D867375" w14:textId="77777777" w:rsidTr="00705F85">
        <w:tc>
          <w:tcPr>
            <w:tcW w:w="4261" w:type="dxa"/>
          </w:tcPr>
          <w:p w14:paraId="6748FF76" w14:textId="77777777" w:rsidR="00705F85" w:rsidRDefault="00705F85" w:rsidP="00D801D6">
            <w:pPr>
              <w:spacing w:before="0" w:beforeAutospacing="0" w:line="480" w:lineRule="auto"/>
              <w:rPr>
                <w:rFonts w:cs="Calibri"/>
              </w:rPr>
            </w:pPr>
            <w:r>
              <w:rPr>
                <w:rFonts w:cs="Calibri"/>
              </w:rPr>
              <w:t>Age in years, median (IQR)</w:t>
            </w:r>
          </w:p>
        </w:tc>
        <w:tc>
          <w:tcPr>
            <w:tcW w:w="4261" w:type="dxa"/>
          </w:tcPr>
          <w:p w14:paraId="767D3C7D" w14:textId="77777777" w:rsidR="00705F85" w:rsidRDefault="00705F85" w:rsidP="00D801D6">
            <w:pPr>
              <w:spacing w:before="0" w:beforeAutospacing="0" w:line="480" w:lineRule="auto"/>
              <w:jc w:val="center"/>
              <w:rPr>
                <w:rFonts w:cs="Calibri"/>
              </w:rPr>
            </w:pPr>
            <w:r>
              <w:rPr>
                <w:rFonts w:cs="Calibri"/>
              </w:rPr>
              <w:t>66 (59-74)</w:t>
            </w:r>
          </w:p>
        </w:tc>
      </w:tr>
      <w:tr w:rsidR="00705F85" w14:paraId="74038C47" w14:textId="77777777" w:rsidTr="00705F85">
        <w:tc>
          <w:tcPr>
            <w:tcW w:w="4261" w:type="dxa"/>
          </w:tcPr>
          <w:p w14:paraId="6A0826A5" w14:textId="77777777" w:rsidR="00705F85" w:rsidRDefault="00705F85" w:rsidP="00D801D6">
            <w:pPr>
              <w:spacing w:before="0" w:beforeAutospacing="0" w:line="480" w:lineRule="auto"/>
              <w:rPr>
                <w:rFonts w:cs="Calibri"/>
              </w:rPr>
            </w:pPr>
            <w:r>
              <w:rPr>
                <w:rFonts w:cs="Calibri"/>
              </w:rPr>
              <w:t>Gender, n (%)</w:t>
            </w:r>
          </w:p>
          <w:p w14:paraId="55BF6B4C" w14:textId="77777777" w:rsidR="00705F85" w:rsidRDefault="00705F85" w:rsidP="00D801D6">
            <w:pPr>
              <w:spacing w:before="0" w:beforeAutospacing="0" w:line="480" w:lineRule="auto"/>
              <w:rPr>
                <w:rFonts w:cs="Calibri"/>
              </w:rPr>
            </w:pPr>
            <w:r>
              <w:rPr>
                <w:rFonts w:cs="Calibri"/>
              </w:rPr>
              <w:t>Male</w:t>
            </w:r>
          </w:p>
          <w:p w14:paraId="2B8416E8" w14:textId="77777777" w:rsidR="00705F85" w:rsidRDefault="00705F85" w:rsidP="00D801D6">
            <w:pPr>
              <w:spacing w:before="0" w:beforeAutospacing="0" w:line="480" w:lineRule="auto"/>
              <w:rPr>
                <w:rFonts w:cs="Calibri"/>
              </w:rPr>
            </w:pPr>
            <w:r>
              <w:rPr>
                <w:rFonts w:cs="Calibri"/>
              </w:rPr>
              <w:t>Female</w:t>
            </w:r>
          </w:p>
        </w:tc>
        <w:tc>
          <w:tcPr>
            <w:tcW w:w="4261" w:type="dxa"/>
          </w:tcPr>
          <w:p w14:paraId="056F8306" w14:textId="77777777" w:rsidR="00705F85" w:rsidRDefault="00705F85" w:rsidP="00D801D6">
            <w:pPr>
              <w:spacing w:before="0" w:beforeAutospacing="0" w:line="480" w:lineRule="auto"/>
              <w:jc w:val="center"/>
              <w:rPr>
                <w:rFonts w:cs="Calibri"/>
              </w:rPr>
            </w:pPr>
          </w:p>
          <w:p w14:paraId="22022E43" w14:textId="77777777" w:rsidR="00705F85" w:rsidRDefault="00705F85" w:rsidP="00D801D6">
            <w:pPr>
              <w:spacing w:before="0" w:beforeAutospacing="0" w:line="480" w:lineRule="auto"/>
              <w:jc w:val="center"/>
              <w:rPr>
                <w:rFonts w:cs="Calibri"/>
              </w:rPr>
            </w:pPr>
            <w:r>
              <w:rPr>
                <w:rFonts w:cs="Calibri"/>
              </w:rPr>
              <w:t>118 (78.1)</w:t>
            </w:r>
          </w:p>
          <w:p w14:paraId="48B572D7" w14:textId="77777777" w:rsidR="00705F85" w:rsidRDefault="00705F85" w:rsidP="00D801D6">
            <w:pPr>
              <w:spacing w:before="0" w:beforeAutospacing="0" w:line="480" w:lineRule="auto"/>
              <w:jc w:val="center"/>
              <w:rPr>
                <w:rFonts w:cs="Calibri"/>
              </w:rPr>
            </w:pPr>
            <w:r>
              <w:rPr>
                <w:rFonts w:cs="Calibri"/>
              </w:rPr>
              <w:t>33 (21.9)</w:t>
            </w:r>
          </w:p>
        </w:tc>
      </w:tr>
      <w:tr w:rsidR="00705F85" w14:paraId="22860388" w14:textId="77777777" w:rsidTr="00705F85">
        <w:tc>
          <w:tcPr>
            <w:tcW w:w="4261" w:type="dxa"/>
          </w:tcPr>
          <w:p w14:paraId="47296865" w14:textId="77777777" w:rsidR="00705F85" w:rsidRDefault="00705F85" w:rsidP="00D801D6">
            <w:pPr>
              <w:spacing w:before="0" w:beforeAutospacing="0" w:line="480" w:lineRule="auto"/>
              <w:rPr>
                <w:rFonts w:cs="Calibri"/>
              </w:rPr>
            </w:pPr>
            <w:r>
              <w:rPr>
                <w:rFonts w:cs="Calibri"/>
              </w:rPr>
              <w:t>Pre-diagnosis BMI kg/m</w:t>
            </w:r>
            <w:r w:rsidRPr="0067356A">
              <w:rPr>
                <w:rFonts w:cs="Calibri"/>
                <w:vertAlign w:val="superscript"/>
              </w:rPr>
              <w:t>2</w:t>
            </w:r>
            <w:r>
              <w:rPr>
                <w:rFonts w:cs="Calibri"/>
              </w:rPr>
              <w:t>, median (IQR)</w:t>
            </w:r>
          </w:p>
        </w:tc>
        <w:tc>
          <w:tcPr>
            <w:tcW w:w="4261" w:type="dxa"/>
          </w:tcPr>
          <w:p w14:paraId="1A96B40C" w14:textId="77777777" w:rsidR="00705F85" w:rsidRDefault="00705F85" w:rsidP="00D801D6">
            <w:pPr>
              <w:spacing w:before="0" w:beforeAutospacing="0" w:line="480" w:lineRule="auto"/>
              <w:jc w:val="center"/>
              <w:rPr>
                <w:rFonts w:cs="Calibri"/>
              </w:rPr>
            </w:pPr>
            <w:r>
              <w:rPr>
                <w:rFonts w:cs="Calibri"/>
              </w:rPr>
              <w:t>28.2 (26.1-31.6)</w:t>
            </w:r>
          </w:p>
        </w:tc>
      </w:tr>
      <w:tr w:rsidR="00705F85" w14:paraId="3821A26F" w14:textId="77777777" w:rsidTr="00705F85">
        <w:trPr>
          <w:trHeight w:val="370"/>
        </w:trPr>
        <w:tc>
          <w:tcPr>
            <w:tcW w:w="4261" w:type="dxa"/>
          </w:tcPr>
          <w:p w14:paraId="0A4243B6" w14:textId="77777777" w:rsidR="00705F85" w:rsidRDefault="00705F85" w:rsidP="00D801D6">
            <w:pPr>
              <w:spacing w:before="0" w:beforeAutospacing="0" w:line="480" w:lineRule="auto"/>
              <w:rPr>
                <w:rFonts w:cs="Calibri"/>
              </w:rPr>
            </w:pPr>
            <w:r>
              <w:rPr>
                <w:rFonts w:cs="Calibri"/>
              </w:rPr>
              <w:t>Histology, n (%)</w:t>
            </w:r>
          </w:p>
          <w:p w14:paraId="2B2C65A6" w14:textId="77777777" w:rsidR="00705F85" w:rsidRDefault="00705F85" w:rsidP="00D801D6">
            <w:pPr>
              <w:spacing w:before="0" w:beforeAutospacing="0" w:line="480" w:lineRule="auto"/>
              <w:rPr>
                <w:rFonts w:cs="Calibri"/>
              </w:rPr>
            </w:pPr>
            <w:r>
              <w:rPr>
                <w:rFonts w:cs="Calibri"/>
              </w:rPr>
              <w:t>Adenocarcinoma</w:t>
            </w:r>
          </w:p>
          <w:p w14:paraId="6144648C" w14:textId="77777777" w:rsidR="00705F85" w:rsidRDefault="00705F85" w:rsidP="00D801D6">
            <w:pPr>
              <w:spacing w:before="0" w:beforeAutospacing="0" w:line="480" w:lineRule="auto"/>
              <w:rPr>
                <w:rFonts w:cs="Calibri"/>
              </w:rPr>
            </w:pPr>
            <w:r>
              <w:rPr>
                <w:rFonts w:cs="Calibri"/>
              </w:rPr>
              <w:t>Squamous cell carcinoma</w:t>
            </w:r>
          </w:p>
        </w:tc>
        <w:tc>
          <w:tcPr>
            <w:tcW w:w="4261" w:type="dxa"/>
          </w:tcPr>
          <w:p w14:paraId="17D2477F" w14:textId="77777777" w:rsidR="00705F85" w:rsidRDefault="00705F85" w:rsidP="00D801D6">
            <w:pPr>
              <w:spacing w:before="0" w:beforeAutospacing="0" w:line="480" w:lineRule="auto"/>
              <w:jc w:val="center"/>
              <w:rPr>
                <w:rFonts w:cs="Calibri"/>
              </w:rPr>
            </w:pPr>
          </w:p>
          <w:p w14:paraId="790D978B" w14:textId="77777777" w:rsidR="00705F85" w:rsidRDefault="00705F85" w:rsidP="00D801D6">
            <w:pPr>
              <w:spacing w:before="0" w:beforeAutospacing="0" w:line="480" w:lineRule="auto"/>
              <w:jc w:val="center"/>
              <w:rPr>
                <w:rFonts w:cs="Calibri"/>
              </w:rPr>
            </w:pPr>
            <w:r>
              <w:rPr>
                <w:rFonts w:cs="Calibri"/>
              </w:rPr>
              <w:t>129 (85.4)</w:t>
            </w:r>
          </w:p>
          <w:p w14:paraId="197BA97B" w14:textId="77777777" w:rsidR="00705F85" w:rsidRDefault="00705F85" w:rsidP="00D801D6">
            <w:pPr>
              <w:spacing w:before="0" w:beforeAutospacing="0" w:line="480" w:lineRule="auto"/>
              <w:jc w:val="center"/>
              <w:rPr>
                <w:rFonts w:cs="Calibri"/>
              </w:rPr>
            </w:pPr>
            <w:r>
              <w:rPr>
                <w:rFonts w:cs="Calibri"/>
              </w:rPr>
              <w:t>22 (14.6)</w:t>
            </w:r>
          </w:p>
        </w:tc>
      </w:tr>
      <w:tr w:rsidR="00705F85" w14:paraId="3A4766A6" w14:textId="77777777" w:rsidTr="00705F85">
        <w:tc>
          <w:tcPr>
            <w:tcW w:w="4261" w:type="dxa"/>
          </w:tcPr>
          <w:p w14:paraId="7D61527D" w14:textId="1B01F1C8" w:rsidR="00705F85" w:rsidRDefault="00705F85" w:rsidP="00D801D6">
            <w:pPr>
              <w:spacing w:before="0" w:beforeAutospacing="0" w:line="480" w:lineRule="auto"/>
              <w:rPr>
                <w:rFonts w:cs="Calibri"/>
              </w:rPr>
            </w:pPr>
            <w:r>
              <w:rPr>
                <w:rFonts w:cs="Calibri"/>
              </w:rPr>
              <w:t>Pre</w:t>
            </w:r>
            <w:r w:rsidR="00E17471">
              <w:rPr>
                <w:rFonts w:cs="Calibri"/>
              </w:rPr>
              <w:t>-</w:t>
            </w:r>
            <w:r>
              <w:rPr>
                <w:rFonts w:cs="Calibri"/>
              </w:rPr>
              <w:t>operative cT stage, n (%)</w:t>
            </w:r>
          </w:p>
          <w:p w14:paraId="19A68145" w14:textId="77777777" w:rsidR="00705F85" w:rsidRDefault="00705F85" w:rsidP="00D801D6">
            <w:pPr>
              <w:spacing w:before="0" w:beforeAutospacing="0" w:line="480" w:lineRule="auto"/>
              <w:rPr>
                <w:rFonts w:cs="Calibri"/>
              </w:rPr>
            </w:pPr>
            <w:r>
              <w:rPr>
                <w:rFonts w:cs="Calibri"/>
              </w:rPr>
              <w:t>0</w:t>
            </w:r>
          </w:p>
          <w:p w14:paraId="23B9F149" w14:textId="77777777" w:rsidR="00705F85" w:rsidRDefault="00705F85" w:rsidP="00D801D6">
            <w:pPr>
              <w:spacing w:before="0" w:beforeAutospacing="0" w:line="480" w:lineRule="auto"/>
              <w:rPr>
                <w:rFonts w:cs="Calibri"/>
              </w:rPr>
            </w:pPr>
            <w:r>
              <w:rPr>
                <w:rFonts w:cs="Calibri"/>
              </w:rPr>
              <w:t>1</w:t>
            </w:r>
          </w:p>
          <w:p w14:paraId="2F6A405B" w14:textId="77777777" w:rsidR="00705F85" w:rsidRDefault="00705F85" w:rsidP="00D801D6">
            <w:pPr>
              <w:spacing w:before="0" w:beforeAutospacing="0" w:line="480" w:lineRule="auto"/>
              <w:rPr>
                <w:rFonts w:cs="Calibri"/>
              </w:rPr>
            </w:pPr>
            <w:r>
              <w:rPr>
                <w:rFonts w:cs="Calibri"/>
              </w:rPr>
              <w:t>2</w:t>
            </w:r>
          </w:p>
          <w:p w14:paraId="1A33BDCD" w14:textId="77777777" w:rsidR="00705F85" w:rsidRDefault="00705F85" w:rsidP="00D801D6">
            <w:pPr>
              <w:spacing w:before="0" w:beforeAutospacing="0" w:line="480" w:lineRule="auto"/>
              <w:rPr>
                <w:rFonts w:cs="Calibri"/>
              </w:rPr>
            </w:pPr>
            <w:r>
              <w:rPr>
                <w:rFonts w:cs="Calibri"/>
              </w:rPr>
              <w:t>3</w:t>
            </w:r>
          </w:p>
          <w:p w14:paraId="4E0513AD" w14:textId="77777777" w:rsidR="00705F85" w:rsidRDefault="00705F85" w:rsidP="00D801D6">
            <w:pPr>
              <w:spacing w:before="0" w:beforeAutospacing="0" w:line="480" w:lineRule="auto"/>
              <w:rPr>
                <w:rFonts w:cs="Calibri"/>
              </w:rPr>
            </w:pPr>
            <w:r>
              <w:rPr>
                <w:rFonts w:cs="Calibri"/>
              </w:rPr>
              <w:t>4</w:t>
            </w:r>
          </w:p>
        </w:tc>
        <w:tc>
          <w:tcPr>
            <w:tcW w:w="4261" w:type="dxa"/>
          </w:tcPr>
          <w:p w14:paraId="33D0A226" w14:textId="77777777" w:rsidR="00705F85" w:rsidRDefault="00705F85" w:rsidP="00D801D6">
            <w:pPr>
              <w:spacing w:before="0" w:beforeAutospacing="0" w:line="480" w:lineRule="auto"/>
              <w:jc w:val="center"/>
              <w:rPr>
                <w:rFonts w:cs="Calibri"/>
              </w:rPr>
            </w:pPr>
          </w:p>
          <w:p w14:paraId="65E95E86" w14:textId="77777777" w:rsidR="00705F85" w:rsidRDefault="00705F85" w:rsidP="00D801D6">
            <w:pPr>
              <w:spacing w:before="0" w:beforeAutospacing="0" w:line="480" w:lineRule="auto"/>
              <w:jc w:val="center"/>
              <w:rPr>
                <w:rFonts w:cs="Calibri"/>
              </w:rPr>
            </w:pPr>
            <w:r>
              <w:rPr>
                <w:rFonts w:cs="Calibri"/>
              </w:rPr>
              <w:t>2 (1.3)</w:t>
            </w:r>
          </w:p>
          <w:p w14:paraId="44DC28E6" w14:textId="77777777" w:rsidR="00705F85" w:rsidRDefault="00705F85" w:rsidP="00D801D6">
            <w:pPr>
              <w:spacing w:before="0" w:beforeAutospacing="0" w:line="480" w:lineRule="auto"/>
              <w:jc w:val="center"/>
              <w:rPr>
                <w:rFonts w:cs="Calibri"/>
              </w:rPr>
            </w:pPr>
            <w:r>
              <w:rPr>
                <w:rFonts w:cs="Calibri"/>
              </w:rPr>
              <w:t>3 (2.0)</w:t>
            </w:r>
          </w:p>
          <w:p w14:paraId="4D19E0D0" w14:textId="77777777" w:rsidR="00705F85" w:rsidRDefault="00705F85" w:rsidP="00D801D6">
            <w:pPr>
              <w:spacing w:before="0" w:beforeAutospacing="0" w:line="480" w:lineRule="auto"/>
              <w:jc w:val="center"/>
              <w:rPr>
                <w:rFonts w:cs="Calibri"/>
              </w:rPr>
            </w:pPr>
            <w:r>
              <w:rPr>
                <w:rFonts w:cs="Calibri"/>
              </w:rPr>
              <w:t>35 (23.2)</w:t>
            </w:r>
          </w:p>
          <w:p w14:paraId="74D25C8F" w14:textId="77777777" w:rsidR="00705F85" w:rsidRDefault="00705F85" w:rsidP="00D801D6">
            <w:pPr>
              <w:spacing w:before="0" w:beforeAutospacing="0" w:line="480" w:lineRule="auto"/>
              <w:jc w:val="center"/>
              <w:rPr>
                <w:rFonts w:cs="Calibri"/>
              </w:rPr>
            </w:pPr>
            <w:r>
              <w:rPr>
                <w:rFonts w:cs="Calibri"/>
              </w:rPr>
              <w:t>95 (62.9)</w:t>
            </w:r>
          </w:p>
          <w:p w14:paraId="4535C15A" w14:textId="77777777" w:rsidR="00705F85" w:rsidRDefault="00705F85" w:rsidP="00D801D6">
            <w:pPr>
              <w:spacing w:before="0" w:beforeAutospacing="0" w:line="480" w:lineRule="auto"/>
              <w:jc w:val="center"/>
              <w:rPr>
                <w:rFonts w:cs="Calibri"/>
              </w:rPr>
            </w:pPr>
            <w:r>
              <w:rPr>
                <w:rFonts w:cs="Calibri"/>
              </w:rPr>
              <w:t>16 (10.6)</w:t>
            </w:r>
          </w:p>
        </w:tc>
      </w:tr>
      <w:tr w:rsidR="00705F85" w14:paraId="40C1100B" w14:textId="77777777" w:rsidTr="00705F85">
        <w:tc>
          <w:tcPr>
            <w:tcW w:w="4261" w:type="dxa"/>
          </w:tcPr>
          <w:p w14:paraId="6039B6AF" w14:textId="40F545E1" w:rsidR="00705F85" w:rsidRDefault="00705F85" w:rsidP="00D801D6">
            <w:pPr>
              <w:spacing w:before="0" w:beforeAutospacing="0" w:line="480" w:lineRule="auto"/>
              <w:rPr>
                <w:rFonts w:cs="Calibri"/>
              </w:rPr>
            </w:pPr>
            <w:r>
              <w:rPr>
                <w:rFonts w:cs="Calibri"/>
              </w:rPr>
              <w:t>Pre</w:t>
            </w:r>
            <w:r w:rsidR="00E17471">
              <w:rPr>
                <w:rFonts w:cs="Calibri"/>
              </w:rPr>
              <w:t>-</w:t>
            </w:r>
            <w:r>
              <w:rPr>
                <w:rFonts w:cs="Calibri"/>
              </w:rPr>
              <w:t>operative cN stage, n (%)</w:t>
            </w:r>
          </w:p>
          <w:p w14:paraId="21224340" w14:textId="77777777" w:rsidR="00705F85" w:rsidRDefault="00705F85" w:rsidP="00D801D6">
            <w:pPr>
              <w:spacing w:before="0" w:beforeAutospacing="0" w:line="480" w:lineRule="auto"/>
              <w:rPr>
                <w:rFonts w:cs="Calibri"/>
              </w:rPr>
            </w:pPr>
            <w:r>
              <w:rPr>
                <w:rFonts w:cs="Calibri"/>
              </w:rPr>
              <w:lastRenderedPageBreak/>
              <w:t>0</w:t>
            </w:r>
          </w:p>
          <w:p w14:paraId="3A7AA267" w14:textId="77777777" w:rsidR="00705F85" w:rsidRDefault="00705F85" w:rsidP="00D801D6">
            <w:pPr>
              <w:spacing w:before="0" w:beforeAutospacing="0" w:line="480" w:lineRule="auto"/>
              <w:rPr>
                <w:rFonts w:cs="Calibri"/>
              </w:rPr>
            </w:pPr>
            <w:r>
              <w:rPr>
                <w:rFonts w:cs="Calibri"/>
              </w:rPr>
              <w:t>1</w:t>
            </w:r>
          </w:p>
          <w:p w14:paraId="0DB50D15" w14:textId="77777777" w:rsidR="00705F85" w:rsidRDefault="00705F85" w:rsidP="00D801D6">
            <w:pPr>
              <w:spacing w:before="0" w:beforeAutospacing="0" w:line="480" w:lineRule="auto"/>
              <w:rPr>
                <w:rFonts w:cs="Calibri"/>
              </w:rPr>
            </w:pPr>
            <w:r>
              <w:rPr>
                <w:rFonts w:cs="Calibri"/>
              </w:rPr>
              <w:t>2</w:t>
            </w:r>
          </w:p>
          <w:p w14:paraId="75C392ED" w14:textId="77777777" w:rsidR="00705F85" w:rsidRDefault="00705F85" w:rsidP="00D801D6">
            <w:pPr>
              <w:spacing w:before="0" w:beforeAutospacing="0" w:line="480" w:lineRule="auto"/>
              <w:rPr>
                <w:rFonts w:cs="Calibri"/>
              </w:rPr>
            </w:pPr>
            <w:r>
              <w:rPr>
                <w:rFonts w:cs="Calibri"/>
              </w:rPr>
              <w:t>3</w:t>
            </w:r>
          </w:p>
        </w:tc>
        <w:tc>
          <w:tcPr>
            <w:tcW w:w="4261" w:type="dxa"/>
          </w:tcPr>
          <w:p w14:paraId="6AE8860E" w14:textId="77777777" w:rsidR="00705F85" w:rsidRDefault="00705F85" w:rsidP="00D801D6">
            <w:pPr>
              <w:spacing w:before="0" w:beforeAutospacing="0" w:line="480" w:lineRule="auto"/>
              <w:jc w:val="center"/>
              <w:rPr>
                <w:rFonts w:cs="Calibri"/>
              </w:rPr>
            </w:pPr>
          </w:p>
          <w:p w14:paraId="756BBFF1" w14:textId="77777777" w:rsidR="00705F85" w:rsidRDefault="00705F85" w:rsidP="00D801D6">
            <w:pPr>
              <w:spacing w:before="0" w:beforeAutospacing="0" w:line="480" w:lineRule="auto"/>
              <w:jc w:val="center"/>
              <w:rPr>
                <w:rFonts w:cs="Calibri"/>
              </w:rPr>
            </w:pPr>
            <w:r>
              <w:rPr>
                <w:rFonts w:cs="Calibri"/>
              </w:rPr>
              <w:lastRenderedPageBreak/>
              <w:t>39 (25.8)</w:t>
            </w:r>
          </w:p>
          <w:p w14:paraId="41AF804E" w14:textId="77777777" w:rsidR="00705F85" w:rsidRDefault="00705F85" w:rsidP="00D801D6">
            <w:pPr>
              <w:spacing w:before="0" w:beforeAutospacing="0" w:line="480" w:lineRule="auto"/>
              <w:jc w:val="center"/>
              <w:rPr>
                <w:rFonts w:cs="Calibri"/>
              </w:rPr>
            </w:pPr>
            <w:r>
              <w:rPr>
                <w:rFonts w:cs="Calibri"/>
              </w:rPr>
              <w:t>81 (53.6)</w:t>
            </w:r>
          </w:p>
          <w:p w14:paraId="04D9FEA4" w14:textId="77777777" w:rsidR="00705F85" w:rsidRDefault="00705F85" w:rsidP="00D801D6">
            <w:pPr>
              <w:spacing w:before="0" w:beforeAutospacing="0" w:line="480" w:lineRule="auto"/>
              <w:jc w:val="center"/>
              <w:rPr>
                <w:rFonts w:cs="Calibri"/>
              </w:rPr>
            </w:pPr>
            <w:r>
              <w:rPr>
                <w:rFonts w:cs="Calibri"/>
              </w:rPr>
              <w:t>30 (19.9)</w:t>
            </w:r>
          </w:p>
          <w:p w14:paraId="3A0A85F0" w14:textId="77777777" w:rsidR="00705F85" w:rsidRDefault="00705F85" w:rsidP="00D801D6">
            <w:pPr>
              <w:spacing w:before="0" w:beforeAutospacing="0" w:line="480" w:lineRule="auto"/>
              <w:jc w:val="center"/>
              <w:rPr>
                <w:rFonts w:cs="Calibri"/>
              </w:rPr>
            </w:pPr>
            <w:r>
              <w:rPr>
                <w:rFonts w:cs="Calibri"/>
              </w:rPr>
              <w:t>1 (0.7)</w:t>
            </w:r>
          </w:p>
        </w:tc>
      </w:tr>
      <w:tr w:rsidR="00705F85" w14:paraId="07160370" w14:textId="77777777" w:rsidTr="00705F85">
        <w:tc>
          <w:tcPr>
            <w:tcW w:w="4261" w:type="dxa"/>
          </w:tcPr>
          <w:p w14:paraId="49915741" w14:textId="77777777" w:rsidR="00705F85" w:rsidRDefault="00705F85" w:rsidP="00D801D6">
            <w:pPr>
              <w:spacing w:before="0" w:beforeAutospacing="0" w:line="480" w:lineRule="auto"/>
              <w:rPr>
                <w:rFonts w:cs="Calibri"/>
              </w:rPr>
            </w:pPr>
            <w:r>
              <w:rPr>
                <w:rFonts w:cs="Calibri"/>
              </w:rPr>
              <w:lastRenderedPageBreak/>
              <w:t>Neoadjuvant treatment, n (%)</w:t>
            </w:r>
          </w:p>
          <w:p w14:paraId="67CD299C" w14:textId="77777777" w:rsidR="00705F85" w:rsidRDefault="00705F85" w:rsidP="00D801D6">
            <w:pPr>
              <w:spacing w:before="0" w:beforeAutospacing="0" w:line="480" w:lineRule="auto"/>
              <w:rPr>
                <w:rFonts w:cs="Calibri"/>
              </w:rPr>
            </w:pPr>
            <w:r>
              <w:rPr>
                <w:rFonts w:cs="Calibri"/>
              </w:rPr>
              <w:t>Yes</w:t>
            </w:r>
          </w:p>
          <w:p w14:paraId="44C22D13" w14:textId="77777777" w:rsidR="00705F85" w:rsidRDefault="00705F85" w:rsidP="00D801D6">
            <w:pPr>
              <w:spacing w:before="0" w:beforeAutospacing="0" w:line="480" w:lineRule="auto"/>
              <w:rPr>
                <w:rFonts w:cs="Calibri"/>
              </w:rPr>
            </w:pPr>
            <w:r>
              <w:rPr>
                <w:rFonts w:cs="Calibri"/>
              </w:rPr>
              <w:t>No</w:t>
            </w:r>
          </w:p>
        </w:tc>
        <w:tc>
          <w:tcPr>
            <w:tcW w:w="4261" w:type="dxa"/>
          </w:tcPr>
          <w:p w14:paraId="6847FEDA" w14:textId="77777777" w:rsidR="00705F85" w:rsidRDefault="00705F85" w:rsidP="00D801D6">
            <w:pPr>
              <w:spacing w:before="0" w:beforeAutospacing="0" w:line="480" w:lineRule="auto"/>
              <w:jc w:val="center"/>
              <w:rPr>
                <w:rFonts w:cs="Calibri"/>
              </w:rPr>
            </w:pPr>
          </w:p>
          <w:p w14:paraId="2D08DFF1" w14:textId="77777777" w:rsidR="00705F85" w:rsidRDefault="00705F85" w:rsidP="00D801D6">
            <w:pPr>
              <w:spacing w:before="0" w:beforeAutospacing="0" w:line="480" w:lineRule="auto"/>
              <w:jc w:val="center"/>
              <w:rPr>
                <w:rFonts w:cs="Calibri"/>
              </w:rPr>
            </w:pPr>
            <w:r>
              <w:rPr>
                <w:rFonts w:cs="Calibri"/>
              </w:rPr>
              <w:t>114 (75.5)</w:t>
            </w:r>
          </w:p>
          <w:p w14:paraId="4883E5DC" w14:textId="77777777" w:rsidR="00705F85" w:rsidRDefault="00705F85" w:rsidP="00D801D6">
            <w:pPr>
              <w:spacing w:before="0" w:beforeAutospacing="0" w:line="480" w:lineRule="auto"/>
              <w:jc w:val="center"/>
              <w:rPr>
                <w:rFonts w:cs="Calibri"/>
              </w:rPr>
            </w:pPr>
            <w:r>
              <w:rPr>
                <w:rFonts w:cs="Calibri"/>
              </w:rPr>
              <w:t>37 (24.5)</w:t>
            </w:r>
          </w:p>
        </w:tc>
      </w:tr>
      <w:tr w:rsidR="00705F85" w14:paraId="06E76E74" w14:textId="77777777" w:rsidTr="00705F85">
        <w:tc>
          <w:tcPr>
            <w:tcW w:w="4261" w:type="dxa"/>
          </w:tcPr>
          <w:p w14:paraId="728EA358" w14:textId="77777777" w:rsidR="00705F85" w:rsidRDefault="00705F85" w:rsidP="00D801D6">
            <w:pPr>
              <w:spacing w:before="0" w:beforeAutospacing="0" w:line="480" w:lineRule="auto"/>
              <w:rPr>
                <w:rFonts w:cs="Calibri"/>
              </w:rPr>
            </w:pPr>
            <w:r>
              <w:rPr>
                <w:rFonts w:cs="Calibri"/>
              </w:rPr>
              <w:t>Type of neoadjuvant treatment, n (%)</w:t>
            </w:r>
          </w:p>
          <w:p w14:paraId="651D67FE" w14:textId="77777777" w:rsidR="00705F85" w:rsidRDefault="00705F85" w:rsidP="00D801D6">
            <w:pPr>
              <w:spacing w:before="0" w:beforeAutospacing="0" w:line="480" w:lineRule="auto"/>
              <w:rPr>
                <w:rFonts w:cs="Calibri"/>
              </w:rPr>
            </w:pPr>
            <w:r>
              <w:rPr>
                <w:rFonts w:cs="Calibri"/>
              </w:rPr>
              <w:t>Chemotherapy</w:t>
            </w:r>
          </w:p>
          <w:p w14:paraId="342B7362" w14:textId="77777777" w:rsidR="00705F85" w:rsidRDefault="00705F85" w:rsidP="00D801D6">
            <w:pPr>
              <w:spacing w:before="0" w:beforeAutospacing="0" w:line="480" w:lineRule="auto"/>
              <w:rPr>
                <w:rFonts w:cs="Calibri"/>
              </w:rPr>
            </w:pPr>
            <w:r>
              <w:rPr>
                <w:rFonts w:cs="Calibri"/>
              </w:rPr>
              <w:t>Chemoradiotherapy</w:t>
            </w:r>
          </w:p>
        </w:tc>
        <w:tc>
          <w:tcPr>
            <w:tcW w:w="4261" w:type="dxa"/>
          </w:tcPr>
          <w:p w14:paraId="01F656F7" w14:textId="77777777" w:rsidR="00705F85" w:rsidRDefault="00705F85" w:rsidP="00D801D6">
            <w:pPr>
              <w:spacing w:before="0" w:beforeAutospacing="0" w:line="480" w:lineRule="auto"/>
              <w:jc w:val="center"/>
              <w:rPr>
                <w:rFonts w:cs="Calibri"/>
              </w:rPr>
            </w:pPr>
          </w:p>
          <w:p w14:paraId="6272E578" w14:textId="77777777" w:rsidR="00705F85" w:rsidRDefault="00705F85" w:rsidP="00D801D6">
            <w:pPr>
              <w:spacing w:before="0" w:beforeAutospacing="0" w:line="480" w:lineRule="auto"/>
              <w:jc w:val="center"/>
              <w:rPr>
                <w:rFonts w:cs="Calibri"/>
              </w:rPr>
            </w:pPr>
            <w:r>
              <w:rPr>
                <w:rFonts w:cs="Calibri"/>
              </w:rPr>
              <w:t>35 (30.7)</w:t>
            </w:r>
          </w:p>
          <w:p w14:paraId="6CDA1F16" w14:textId="77777777" w:rsidR="00705F85" w:rsidRDefault="00705F85" w:rsidP="00D801D6">
            <w:pPr>
              <w:spacing w:before="0" w:beforeAutospacing="0" w:line="480" w:lineRule="auto"/>
              <w:jc w:val="center"/>
              <w:rPr>
                <w:rFonts w:cs="Calibri"/>
              </w:rPr>
            </w:pPr>
            <w:r>
              <w:rPr>
                <w:rFonts w:cs="Calibri"/>
              </w:rPr>
              <w:t>79 (69.3)</w:t>
            </w:r>
          </w:p>
        </w:tc>
      </w:tr>
      <w:tr w:rsidR="00A8223A" w14:paraId="54C61301" w14:textId="77777777" w:rsidTr="00705F85">
        <w:tc>
          <w:tcPr>
            <w:tcW w:w="4261" w:type="dxa"/>
          </w:tcPr>
          <w:p w14:paraId="0FD2D5C4" w14:textId="20FD7438" w:rsidR="00A8223A" w:rsidRDefault="00A8223A" w:rsidP="00D801D6">
            <w:pPr>
              <w:spacing w:before="0" w:beforeAutospacing="0" w:line="480" w:lineRule="auto"/>
              <w:rPr>
                <w:rFonts w:cs="Calibri"/>
              </w:rPr>
            </w:pPr>
            <w:r>
              <w:rPr>
                <w:rFonts w:cs="Calibri"/>
              </w:rPr>
              <w:t>Surgical approach (chest/ abdomen), n (%)</w:t>
            </w:r>
          </w:p>
          <w:p w14:paraId="0F28D247" w14:textId="77777777" w:rsidR="00A8223A" w:rsidRDefault="00A8223A" w:rsidP="00D801D6">
            <w:pPr>
              <w:spacing w:before="0" w:beforeAutospacing="0" w:line="480" w:lineRule="auto"/>
              <w:rPr>
                <w:rFonts w:cs="Calibri"/>
              </w:rPr>
            </w:pPr>
            <w:r>
              <w:rPr>
                <w:rFonts w:cs="Calibri"/>
              </w:rPr>
              <w:t>Open/ Open</w:t>
            </w:r>
          </w:p>
          <w:p w14:paraId="26297F18" w14:textId="77777777" w:rsidR="00A8223A" w:rsidRDefault="00A8223A" w:rsidP="00D801D6">
            <w:pPr>
              <w:spacing w:before="0" w:beforeAutospacing="0" w:line="480" w:lineRule="auto"/>
              <w:rPr>
                <w:rFonts w:cs="Calibri"/>
              </w:rPr>
            </w:pPr>
            <w:r>
              <w:rPr>
                <w:rFonts w:cs="Calibri"/>
              </w:rPr>
              <w:t>Open/ Laparoscopic</w:t>
            </w:r>
          </w:p>
          <w:p w14:paraId="6A6F0AB1" w14:textId="402811C0" w:rsidR="00A8223A" w:rsidRDefault="00A8223A" w:rsidP="00D801D6">
            <w:pPr>
              <w:spacing w:before="0" w:beforeAutospacing="0" w:line="480" w:lineRule="auto"/>
              <w:rPr>
                <w:rFonts w:cs="Calibri"/>
              </w:rPr>
            </w:pPr>
            <w:r>
              <w:rPr>
                <w:rFonts w:cs="Calibri"/>
              </w:rPr>
              <w:t>Totally minimally invasive (laparoscopic)</w:t>
            </w:r>
          </w:p>
        </w:tc>
        <w:tc>
          <w:tcPr>
            <w:tcW w:w="4261" w:type="dxa"/>
          </w:tcPr>
          <w:p w14:paraId="538E20C4" w14:textId="77777777" w:rsidR="00A8223A" w:rsidRDefault="00A8223A" w:rsidP="00D801D6">
            <w:pPr>
              <w:spacing w:before="0" w:beforeAutospacing="0" w:line="480" w:lineRule="auto"/>
              <w:jc w:val="center"/>
              <w:rPr>
                <w:rFonts w:cs="Calibri"/>
              </w:rPr>
            </w:pPr>
          </w:p>
          <w:p w14:paraId="3BD8F808" w14:textId="398C8AAD" w:rsidR="00A8223A" w:rsidRDefault="00486AC4" w:rsidP="00D801D6">
            <w:pPr>
              <w:spacing w:before="0" w:beforeAutospacing="0" w:line="480" w:lineRule="auto"/>
              <w:jc w:val="center"/>
              <w:rPr>
                <w:rFonts w:cs="Calibri"/>
              </w:rPr>
            </w:pPr>
            <w:r>
              <w:rPr>
                <w:rFonts w:cs="Calibri"/>
              </w:rPr>
              <w:t>38 (25.2)</w:t>
            </w:r>
          </w:p>
          <w:p w14:paraId="378D3B6F" w14:textId="1089E0F5" w:rsidR="00486AC4" w:rsidRDefault="00486AC4" w:rsidP="00D801D6">
            <w:pPr>
              <w:spacing w:before="0" w:beforeAutospacing="0" w:line="480" w:lineRule="auto"/>
              <w:jc w:val="center"/>
              <w:rPr>
                <w:rFonts w:cs="Calibri"/>
              </w:rPr>
            </w:pPr>
            <w:r>
              <w:rPr>
                <w:rFonts w:cs="Calibri"/>
              </w:rPr>
              <w:t>64 (42.4)</w:t>
            </w:r>
          </w:p>
          <w:p w14:paraId="40FA1360" w14:textId="6F2F7D58" w:rsidR="00486AC4" w:rsidRDefault="00486AC4" w:rsidP="00D801D6">
            <w:pPr>
              <w:spacing w:before="0" w:beforeAutospacing="0" w:line="480" w:lineRule="auto"/>
              <w:jc w:val="center"/>
              <w:rPr>
                <w:rFonts w:cs="Calibri"/>
              </w:rPr>
            </w:pPr>
            <w:r>
              <w:rPr>
                <w:rFonts w:cs="Calibri"/>
              </w:rPr>
              <w:t>49 (32.5)</w:t>
            </w:r>
          </w:p>
        </w:tc>
      </w:tr>
      <w:tr w:rsidR="004A4E7D" w14:paraId="06C5D338" w14:textId="77777777" w:rsidTr="00705F85">
        <w:tc>
          <w:tcPr>
            <w:tcW w:w="4261" w:type="dxa"/>
          </w:tcPr>
          <w:p w14:paraId="6E44C722" w14:textId="3FC8AC14" w:rsidR="004A4E7D" w:rsidRDefault="004A4E7D" w:rsidP="00D801D6">
            <w:pPr>
              <w:spacing w:before="0" w:beforeAutospacing="0" w:line="480" w:lineRule="auto"/>
              <w:rPr>
                <w:rFonts w:cs="Calibri"/>
              </w:rPr>
            </w:pPr>
            <w:r>
              <w:rPr>
                <w:rFonts w:cs="Calibri"/>
              </w:rPr>
              <w:t>Adjuvant treatment given</w:t>
            </w:r>
          </w:p>
          <w:p w14:paraId="73E553B1" w14:textId="77777777" w:rsidR="004A4E7D" w:rsidRDefault="004A4E7D" w:rsidP="00D801D6">
            <w:pPr>
              <w:spacing w:before="0" w:beforeAutospacing="0" w:line="480" w:lineRule="auto"/>
              <w:rPr>
                <w:rFonts w:cs="Calibri"/>
              </w:rPr>
            </w:pPr>
            <w:r>
              <w:rPr>
                <w:rFonts w:cs="Calibri"/>
              </w:rPr>
              <w:t>Yes</w:t>
            </w:r>
          </w:p>
          <w:p w14:paraId="2C296FFA" w14:textId="107E61FF" w:rsidR="004A4E7D" w:rsidRDefault="004A4E7D" w:rsidP="00D801D6">
            <w:pPr>
              <w:spacing w:before="0" w:beforeAutospacing="0" w:line="480" w:lineRule="auto"/>
              <w:rPr>
                <w:rFonts w:cs="Calibri"/>
              </w:rPr>
            </w:pPr>
            <w:r>
              <w:rPr>
                <w:rFonts w:cs="Calibri"/>
              </w:rPr>
              <w:t>No</w:t>
            </w:r>
          </w:p>
        </w:tc>
        <w:tc>
          <w:tcPr>
            <w:tcW w:w="4261" w:type="dxa"/>
          </w:tcPr>
          <w:p w14:paraId="5B82283C" w14:textId="77777777" w:rsidR="004A4E7D" w:rsidRDefault="004A4E7D" w:rsidP="00D801D6">
            <w:pPr>
              <w:spacing w:before="0" w:beforeAutospacing="0" w:line="480" w:lineRule="auto"/>
              <w:jc w:val="center"/>
              <w:rPr>
                <w:rFonts w:cs="Calibri"/>
              </w:rPr>
            </w:pPr>
          </w:p>
          <w:p w14:paraId="2B4E7345" w14:textId="5A4A4251" w:rsidR="004A4E7D" w:rsidRDefault="004A4E7D" w:rsidP="00D801D6">
            <w:pPr>
              <w:spacing w:before="0" w:beforeAutospacing="0" w:line="480" w:lineRule="auto"/>
              <w:jc w:val="center"/>
              <w:rPr>
                <w:rFonts w:cs="Calibri"/>
              </w:rPr>
            </w:pPr>
            <w:r>
              <w:rPr>
                <w:rFonts w:cs="Calibri"/>
              </w:rPr>
              <w:t>11 (7.3)</w:t>
            </w:r>
          </w:p>
          <w:p w14:paraId="4CB9963F" w14:textId="40DF86FC" w:rsidR="004A4E7D" w:rsidRDefault="004A4E7D" w:rsidP="00D801D6">
            <w:pPr>
              <w:spacing w:before="0" w:beforeAutospacing="0" w:line="480" w:lineRule="auto"/>
              <w:jc w:val="center"/>
              <w:rPr>
                <w:rFonts w:cs="Calibri"/>
              </w:rPr>
            </w:pPr>
            <w:r>
              <w:rPr>
                <w:rFonts w:cs="Calibri"/>
              </w:rPr>
              <w:t>140 (92.7)</w:t>
            </w:r>
          </w:p>
        </w:tc>
      </w:tr>
      <w:tr w:rsidR="00705F85" w14:paraId="7A1002E5" w14:textId="77777777" w:rsidTr="00705F85">
        <w:tc>
          <w:tcPr>
            <w:tcW w:w="4261" w:type="dxa"/>
          </w:tcPr>
          <w:p w14:paraId="77851B80" w14:textId="402DDAC1" w:rsidR="00705F85" w:rsidRDefault="00705F85" w:rsidP="00D801D6">
            <w:pPr>
              <w:spacing w:before="0" w:beforeAutospacing="0" w:line="480" w:lineRule="auto"/>
              <w:rPr>
                <w:rFonts w:cs="Calibri"/>
              </w:rPr>
            </w:pPr>
            <w:r>
              <w:rPr>
                <w:rFonts w:cs="Calibri"/>
              </w:rPr>
              <w:t>Pre</w:t>
            </w:r>
            <w:r w:rsidR="00E17471">
              <w:rPr>
                <w:rFonts w:cs="Calibri"/>
              </w:rPr>
              <w:t>-</w:t>
            </w:r>
            <w:r>
              <w:rPr>
                <w:rFonts w:cs="Calibri"/>
              </w:rPr>
              <w:t>operative HGS measurement available, n (%)</w:t>
            </w:r>
          </w:p>
        </w:tc>
        <w:tc>
          <w:tcPr>
            <w:tcW w:w="4261" w:type="dxa"/>
          </w:tcPr>
          <w:p w14:paraId="487CE2A7" w14:textId="77777777" w:rsidR="00705F85" w:rsidRDefault="00705F85" w:rsidP="00D801D6">
            <w:pPr>
              <w:spacing w:before="0" w:beforeAutospacing="0" w:line="480" w:lineRule="auto"/>
              <w:jc w:val="center"/>
              <w:rPr>
                <w:rFonts w:cs="Calibri"/>
              </w:rPr>
            </w:pPr>
            <w:r>
              <w:rPr>
                <w:rFonts w:cs="Calibri"/>
              </w:rPr>
              <w:t>87 (57.6)</w:t>
            </w:r>
          </w:p>
        </w:tc>
      </w:tr>
    </w:tbl>
    <w:p w14:paraId="6AFBAE31" w14:textId="4520C8AD" w:rsidR="00705F85" w:rsidRDefault="00705F85" w:rsidP="00D801D6">
      <w:pPr>
        <w:spacing w:before="0" w:beforeAutospacing="0" w:line="480" w:lineRule="auto"/>
        <w:rPr>
          <w:rFonts w:cs="Calibri"/>
        </w:rPr>
      </w:pPr>
      <w:r>
        <w:rPr>
          <w:rFonts w:cs="Calibri"/>
        </w:rPr>
        <w:lastRenderedPageBreak/>
        <w:t>Table 2: Early compared to late nutrition support</w:t>
      </w:r>
    </w:p>
    <w:tbl>
      <w:tblPr>
        <w:tblStyle w:val="TableGrid"/>
        <w:tblW w:w="0" w:type="auto"/>
        <w:tblLook w:val="04A0" w:firstRow="1" w:lastRow="0" w:firstColumn="1" w:lastColumn="0" w:noHBand="0" w:noVBand="1"/>
      </w:tblPr>
      <w:tblGrid>
        <w:gridCol w:w="2310"/>
        <w:gridCol w:w="2310"/>
        <w:gridCol w:w="2311"/>
        <w:gridCol w:w="2311"/>
      </w:tblGrid>
      <w:tr w:rsidR="00705F85" w14:paraId="03537DFD" w14:textId="77777777" w:rsidTr="00705F85">
        <w:tc>
          <w:tcPr>
            <w:tcW w:w="2310" w:type="dxa"/>
          </w:tcPr>
          <w:p w14:paraId="57117BA3" w14:textId="77777777" w:rsidR="00705F85" w:rsidRDefault="00705F85" w:rsidP="00D801D6">
            <w:pPr>
              <w:spacing w:before="0" w:beforeAutospacing="0" w:line="480" w:lineRule="auto"/>
            </w:pPr>
          </w:p>
        </w:tc>
        <w:tc>
          <w:tcPr>
            <w:tcW w:w="2310" w:type="dxa"/>
          </w:tcPr>
          <w:p w14:paraId="54C1094F" w14:textId="77777777" w:rsidR="00705F85" w:rsidRDefault="00705F85" w:rsidP="00D801D6">
            <w:pPr>
              <w:spacing w:before="0" w:beforeAutospacing="0" w:line="480" w:lineRule="auto"/>
              <w:jc w:val="center"/>
            </w:pPr>
            <w:r>
              <w:t>‘Early’ nutrition support, n=45</w:t>
            </w:r>
          </w:p>
        </w:tc>
        <w:tc>
          <w:tcPr>
            <w:tcW w:w="2311" w:type="dxa"/>
          </w:tcPr>
          <w:p w14:paraId="0C8F0786" w14:textId="77777777" w:rsidR="00705F85" w:rsidRDefault="00705F85" w:rsidP="00D801D6">
            <w:pPr>
              <w:spacing w:before="0" w:beforeAutospacing="0" w:line="480" w:lineRule="auto"/>
              <w:jc w:val="center"/>
            </w:pPr>
            <w:r>
              <w:t>‘Late’ nutrition support, n=69</w:t>
            </w:r>
          </w:p>
        </w:tc>
        <w:tc>
          <w:tcPr>
            <w:tcW w:w="2311" w:type="dxa"/>
          </w:tcPr>
          <w:p w14:paraId="662061C4" w14:textId="77777777" w:rsidR="00705F85" w:rsidRDefault="00705F85" w:rsidP="00D801D6">
            <w:pPr>
              <w:spacing w:before="0" w:beforeAutospacing="0" w:line="480" w:lineRule="auto"/>
              <w:jc w:val="center"/>
            </w:pPr>
            <w:r>
              <w:t>P value</w:t>
            </w:r>
          </w:p>
        </w:tc>
      </w:tr>
      <w:tr w:rsidR="00705F85" w14:paraId="7B9318B4" w14:textId="77777777" w:rsidTr="00705F85">
        <w:tc>
          <w:tcPr>
            <w:tcW w:w="2310" w:type="dxa"/>
          </w:tcPr>
          <w:p w14:paraId="351507F6" w14:textId="77777777" w:rsidR="00705F85" w:rsidRDefault="00705F85" w:rsidP="00D801D6">
            <w:pPr>
              <w:spacing w:before="0" w:beforeAutospacing="0" w:line="480" w:lineRule="auto"/>
            </w:pPr>
            <w:r>
              <w:t xml:space="preserve">Age </w:t>
            </w:r>
          </w:p>
        </w:tc>
        <w:tc>
          <w:tcPr>
            <w:tcW w:w="2310" w:type="dxa"/>
          </w:tcPr>
          <w:p w14:paraId="02DF32ED" w14:textId="77777777" w:rsidR="00705F85" w:rsidRDefault="00705F85" w:rsidP="00D801D6">
            <w:pPr>
              <w:spacing w:before="0" w:beforeAutospacing="0" w:line="480" w:lineRule="auto"/>
              <w:jc w:val="center"/>
            </w:pPr>
            <w:r>
              <w:t>67 (61.5-72.0)</w:t>
            </w:r>
          </w:p>
        </w:tc>
        <w:tc>
          <w:tcPr>
            <w:tcW w:w="2311" w:type="dxa"/>
          </w:tcPr>
          <w:p w14:paraId="47B16E50" w14:textId="77777777" w:rsidR="00705F85" w:rsidRDefault="00705F85" w:rsidP="00D801D6">
            <w:pPr>
              <w:spacing w:before="0" w:beforeAutospacing="0" w:line="480" w:lineRule="auto"/>
              <w:jc w:val="center"/>
            </w:pPr>
            <w:r>
              <w:t>64 (54.5-72.0)</w:t>
            </w:r>
          </w:p>
        </w:tc>
        <w:tc>
          <w:tcPr>
            <w:tcW w:w="2311" w:type="dxa"/>
          </w:tcPr>
          <w:p w14:paraId="7CE1C016" w14:textId="02210621" w:rsidR="00705F85" w:rsidRDefault="005B4976" w:rsidP="00D801D6">
            <w:pPr>
              <w:spacing w:before="0" w:beforeAutospacing="0" w:line="480" w:lineRule="auto"/>
              <w:jc w:val="center"/>
            </w:pPr>
            <w:r>
              <w:rPr>
                <w:rFonts w:cs="Calibri"/>
              </w:rPr>
              <w:t>0.1</w:t>
            </w:r>
            <w:r w:rsidR="00705F85">
              <w:rPr>
                <w:rFonts w:cs="Calibri"/>
              </w:rPr>
              <w:t xml:space="preserve"> ¶</w:t>
            </w:r>
          </w:p>
        </w:tc>
      </w:tr>
      <w:tr w:rsidR="00705F85" w14:paraId="1E3954E5" w14:textId="77777777" w:rsidTr="00705F85">
        <w:tc>
          <w:tcPr>
            <w:tcW w:w="2310" w:type="dxa"/>
          </w:tcPr>
          <w:p w14:paraId="5527B663" w14:textId="5081E333" w:rsidR="00705F85" w:rsidRDefault="00705F85" w:rsidP="00D801D6">
            <w:pPr>
              <w:spacing w:before="0" w:beforeAutospacing="0" w:line="480" w:lineRule="auto"/>
              <w:rPr>
                <w:rFonts w:cs="Calibri"/>
              </w:rPr>
            </w:pPr>
            <w:r>
              <w:rPr>
                <w:rFonts w:cs="Calibri"/>
              </w:rPr>
              <w:t>Pre</w:t>
            </w:r>
            <w:r w:rsidR="00E17471">
              <w:rPr>
                <w:rFonts w:cs="Calibri"/>
              </w:rPr>
              <w:t>-</w:t>
            </w:r>
            <w:r>
              <w:rPr>
                <w:rFonts w:cs="Calibri"/>
              </w:rPr>
              <w:t>operative cT stage</w:t>
            </w:r>
          </w:p>
          <w:p w14:paraId="6F8CDDB0" w14:textId="77777777" w:rsidR="00705F85" w:rsidRDefault="00705F85" w:rsidP="00D801D6">
            <w:pPr>
              <w:spacing w:before="0" w:beforeAutospacing="0" w:line="480" w:lineRule="auto"/>
              <w:rPr>
                <w:rFonts w:cs="Calibri"/>
              </w:rPr>
            </w:pPr>
            <w:r>
              <w:rPr>
                <w:rFonts w:cs="Calibri"/>
              </w:rPr>
              <w:t>2</w:t>
            </w:r>
          </w:p>
          <w:p w14:paraId="0A218E18" w14:textId="77777777" w:rsidR="00705F85" w:rsidRDefault="00705F85" w:rsidP="00D801D6">
            <w:pPr>
              <w:spacing w:before="0" w:beforeAutospacing="0" w:line="480" w:lineRule="auto"/>
              <w:rPr>
                <w:rFonts w:cs="Calibri"/>
              </w:rPr>
            </w:pPr>
            <w:r>
              <w:rPr>
                <w:rFonts w:cs="Calibri"/>
              </w:rPr>
              <w:t>3</w:t>
            </w:r>
          </w:p>
          <w:p w14:paraId="4454EA96" w14:textId="77777777" w:rsidR="00705F85" w:rsidRDefault="00705F85" w:rsidP="00D801D6">
            <w:pPr>
              <w:spacing w:before="0" w:beforeAutospacing="0" w:line="480" w:lineRule="auto"/>
            </w:pPr>
            <w:r>
              <w:rPr>
                <w:rFonts w:cs="Calibri"/>
              </w:rPr>
              <w:t>4</w:t>
            </w:r>
          </w:p>
        </w:tc>
        <w:tc>
          <w:tcPr>
            <w:tcW w:w="2310" w:type="dxa"/>
          </w:tcPr>
          <w:p w14:paraId="08B85B5B" w14:textId="77777777" w:rsidR="00705F85" w:rsidRDefault="00705F85" w:rsidP="00D801D6">
            <w:pPr>
              <w:spacing w:before="0" w:beforeAutospacing="0" w:line="480" w:lineRule="auto"/>
              <w:jc w:val="center"/>
            </w:pPr>
          </w:p>
          <w:p w14:paraId="239563E3" w14:textId="77777777" w:rsidR="00705F85" w:rsidRDefault="00705F85" w:rsidP="00D801D6">
            <w:pPr>
              <w:spacing w:before="0" w:beforeAutospacing="0" w:line="480" w:lineRule="auto"/>
              <w:jc w:val="center"/>
            </w:pPr>
            <w:r>
              <w:t>4 (8.9)</w:t>
            </w:r>
          </w:p>
          <w:p w14:paraId="3525CD4A" w14:textId="77777777" w:rsidR="00705F85" w:rsidRDefault="00705F85" w:rsidP="00D801D6">
            <w:pPr>
              <w:spacing w:before="0" w:beforeAutospacing="0" w:line="480" w:lineRule="auto"/>
              <w:jc w:val="center"/>
            </w:pPr>
            <w:r>
              <w:t>35 (77.8)</w:t>
            </w:r>
          </w:p>
          <w:p w14:paraId="064150D9" w14:textId="77777777" w:rsidR="00705F85" w:rsidRDefault="00705F85" w:rsidP="00D801D6">
            <w:pPr>
              <w:spacing w:before="0" w:beforeAutospacing="0" w:line="480" w:lineRule="auto"/>
              <w:jc w:val="center"/>
            </w:pPr>
            <w:r>
              <w:t>6 (13.3)</w:t>
            </w:r>
          </w:p>
        </w:tc>
        <w:tc>
          <w:tcPr>
            <w:tcW w:w="2311" w:type="dxa"/>
          </w:tcPr>
          <w:p w14:paraId="12C75AD1" w14:textId="77777777" w:rsidR="00705F85" w:rsidRDefault="00705F85" w:rsidP="00D801D6">
            <w:pPr>
              <w:spacing w:before="0" w:beforeAutospacing="0" w:line="480" w:lineRule="auto"/>
              <w:jc w:val="center"/>
            </w:pPr>
          </w:p>
          <w:p w14:paraId="04F3D06E" w14:textId="77777777" w:rsidR="00705F85" w:rsidRDefault="00705F85" w:rsidP="00D801D6">
            <w:pPr>
              <w:spacing w:before="0" w:beforeAutospacing="0" w:line="480" w:lineRule="auto"/>
              <w:jc w:val="center"/>
            </w:pPr>
            <w:r>
              <w:t>11 (15.9)</w:t>
            </w:r>
          </w:p>
          <w:p w14:paraId="188FD0E6" w14:textId="77777777" w:rsidR="00705F85" w:rsidRDefault="00705F85" w:rsidP="00D801D6">
            <w:pPr>
              <w:spacing w:before="0" w:beforeAutospacing="0" w:line="480" w:lineRule="auto"/>
              <w:jc w:val="center"/>
            </w:pPr>
            <w:r>
              <w:t>49 (71.0)</w:t>
            </w:r>
          </w:p>
          <w:p w14:paraId="604DBF3A" w14:textId="77777777" w:rsidR="00705F85" w:rsidRDefault="00705F85" w:rsidP="00D801D6">
            <w:pPr>
              <w:spacing w:before="0" w:beforeAutospacing="0" w:line="480" w:lineRule="auto"/>
              <w:jc w:val="center"/>
            </w:pPr>
            <w:r>
              <w:t>9 (13.0)</w:t>
            </w:r>
          </w:p>
        </w:tc>
        <w:tc>
          <w:tcPr>
            <w:tcW w:w="2311" w:type="dxa"/>
          </w:tcPr>
          <w:p w14:paraId="21ADEC57" w14:textId="77777777" w:rsidR="00705F85" w:rsidRDefault="00705F85" w:rsidP="00D801D6">
            <w:pPr>
              <w:spacing w:before="0" w:beforeAutospacing="0" w:line="480" w:lineRule="auto"/>
              <w:jc w:val="center"/>
            </w:pPr>
          </w:p>
          <w:p w14:paraId="28507809" w14:textId="51335403" w:rsidR="00705F85" w:rsidRDefault="005B4976" w:rsidP="00D801D6">
            <w:pPr>
              <w:spacing w:before="0" w:beforeAutospacing="0" w:line="480" w:lineRule="auto"/>
              <w:jc w:val="center"/>
            </w:pPr>
            <w:r>
              <w:rPr>
                <w:rFonts w:cs="Calibri"/>
              </w:rPr>
              <w:t>0.6</w:t>
            </w:r>
            <w:r w:rsidR="00705F85">
              <w:rPr>
                <w:rFonts w:cs="Calibri"/>
              </w:rPr>
              <w:t xml:space="preserve"> §</w:t>
            </w:r>
          </w:p>
          <w:p w14:paraId="3219AE1D" w14:textId="77777777" w:rsidR="00705F85" w:rsidRDefault="00705F85" w:rsidP="00D801D6">
            <w:pPr>
              <w:spacing w:before="0" w:beforeAutospacing="0" w:line="480" w:lineRule="auto"/>
              <w:jc w:val="center"/>
            </w:pPr>
          </w:p>
        </w:tc>
      </w:tr>
      <w:tr w:rsidR="00705F85" w14:paraId="34B1B371" w14:textId="77777777" w:rsidTr="00705F85">
        <w:tc>
          <w:tcPr>
            <w:tcW w:w="2310" w:type="dxa"/>
          </w:tcPr>
          <w:p w14:paraId="187A9E2D" w14:textId="7681E9E9" w:rsidR="00705F85" w:rsidRDefault="00705F85" w:rsidP="00D801D6">
            <w:pPr>
              <w:spacing w:before="0" w:beforeAutospacing="0" w:line="480" w:lineRule="auto"/>
              <w:rPr>
                <w:rFonts w:cs="Calibri"/>
              </w:rPr>
            </w:pPr>
            <w:r>
              <w:rPr>
                <w:rFonts w:cs="Calibri"/>
              </w:rPr>
              <w:t>Pre</w:t>
            </w:r>
            <w:r w:rsidR="00E17471">
              <w:rPr>
                <w:rFonts w:cs="Calibri"/>
              </w:rPr>
              <w:t>-</w:t>
            </w:r>
            <w:r>
              <w:rPr>
                <w:rFonts w:cs="Calibri"/>
              </w:rPr>
              <w:t>operative cN stage</w:t>
            </w:r>
          </w:p>
          <w:p w14:paraId="3312D4AD" w14:textId="77777777" w:rsidR="00705F85" w:rsidRDefault="00705F85" w:rsidP="00D801D6">
            <w:pPr>
              <w:spacing w:before="0" w:beforeAutospacing="0" w:line="480" w:lineRule="auto"/>
              <w:rPr>
                <w:rFonts w:cs="Calibri"/>
              </w:rPr>
            </w:pPr>
            <w:r>
              <w:rPr>
                <w:rFonts w:cs="Calibri"/>
              </w:rPr>
              <w:t>0</w:t>
            </w:r>
          </w:p>
          <w:p w14:paraId="7475D0C1" w14:textId="77777777" w:rsidR="00705F85" w:rsidRDefault="00705F85" w:rsidP="00D801D6">
            <w:pPr>
              <w:spacing w:before="0" w:beforeAutospacing="0" w:line="480" w:lineRule="auto"/>
              <w:rPr>
                <w:rFonts w:cs="Calibri"/>
              </w:rPr>
            </w:pPr>
            <w:r>
              <w:rPr>
                <w:rFonts w:cs="Calibri"/>
              </w:rPr>
              <w:t>1</w:t>
            </w:r>
          </w:p>
          <w:p w14:paraId="66D66922" w14:textId="77777777" w:rsidR="00705F85" w:rsidRDefault="00705F85" w:rsidP="00D801D6">
            <w:pPr>
              <w:spacing w:before="0" w:beforeAutospacing="0" w:line="480" w:lineRule="auto"/>
              <w:rPr>
                <w:rFonts w:cs="Calibri"/>
              </w:rPr>
            </w:pPr>
            <w:r>
              <w:rPr>
                <w:rFonts w:cs="Calibri"/>
              </w:rPr>
              <w:t>2</w:t>
            </w:r>
          </w:p>
          <w:p w14:paraId="7D0BF154" w14:textId="426CE2AA" w:rsidR="00705F85" w:rsidRDefault="00705F85" w:rsidP="00D801D6">
            <w:pPr>
              <w:spacing w:before="0" w:beforeAutospacing="0" w:line="480" w:lineRule="auto"/>
              <w:rPr>
                <w:rFonts w:cs="Calibri"/>
              </w:rPr>
            </w:pPr>
            <w:r>
              <w:rPr>
                <w:rFonts w:cs="Calibri"/>
              </w:rPr>
              <w:t>3</w:t>
            </w:r>
          </w:p>
        </w:tc>
        <w:tc>
          <w:tcPr>
            <w:tcW w:w="2310" w:type="dxa"/>
          </w:tcPr>
          <w:p w14:paraId="4E36272A" w14:textId="77777777" w:rsidR="00705F85" w:rsidRDefault="00705F85" w:rsidP="00D801D6">
            <w:pPr>
              <w:spacing w:before="0" w:beforeAutospacing="0" w:line="480" w:lineRule="auto"/>
              <w:jc w:val="center"/>
            </w:pPr>
          </w:p>
          <w:p w14:paraId="0E8955A5" w14:textId="77777777" w:rsidR="00705F85" w:rsidRDefault="00705F85" w:rsidP="00D801D6">
            <w:pPr>
              <w:spacing w:before="0" w:beforeAutospacing="0" w:line="480" w:lineRule="auto"/>
              <w:jc w:val="center"/>
            </w:pPr>
            <w:r>
              <w:t>7 (15.6)</w:t>
            </w:r>
          </w:p>
          <w:p w14:paraId="45A7572F" w14:textId="77777777" w:rsidR="00705F85" w:rsidRDefault="00705F85" w:rsidP="00D801D6">
            <w:pPr>
              <w:spacing w:before="0" w:beforeAutospacing="0" w:line="480" w:lineRule="auto"/>
              <w:jc w:val="center"/>
            </w:pPr>
            <w:r>
              <w:t>32 (71.1)</w:t>
            </w:r>
          </w:p>
          <w:p w14:paraId="3FC8816A" w14:textId="77777777" w:rsidR="00705F85" w:rsidRDefault="00705F85" w:rsidP="00D801D6">
            <w:pPr>
              <w:spacing w:before="0" w:beforeAutospacing="0" w:line="480" w:lineRule="auto"/>
              <w:jc w:val="center"/>
            </w:pPr>
            <w:r>
              <w:t>6 (13.3)</w:t>
            </w:r>
          </w:p>
          <w:p w14:paraId="0A198319" w14:textId="77777777" w:rsidR="00705F85" w:rsidRDefault="00705F85" w:rsidP="00D801D6">
            <w:pPr>
              <w:spacing w:before="0" w:beforeAutospacing="0" w:line="480" w:lineRule="auto"/>
              <w:jc w:val="center"/>
            </w:pPr>
            <w:r>
              <w:t>0</w:t>
            </w:r>
          </w:p>
        </w:tc>
        <w:tc>
          <w:tcPr>
            <w:tcW w:w="2311" w:type="dxa"/>
          </w:tcPr>
          <w:p w14:paraId="0FC7036B" w14:textId="77777777" w:rsidR="00705F85" w:rsidRDefault="00705F85" w:rsidP="00D801D6">
            <w:pPr>
              <w:spacing w:before="0" w:beforeAutospacing="0" w:line="480" w:lineRule="auto"/>
              <w:jc w:val="center"/>
            </w:pPr>
          </w:p>
          <w:p w14:paraId="60DACF39" w14:textId="77777777" w:rsidR="00705F85" w:rsidRDefault="00705F85" w:rsidP="00D801D6">
            <w:pPr>
              <w:spacing w:before="0" w:beforeAutospacing="0" w:line="480" w:lineRule="auto"/>
              <w:jc w:val="center"/>
            </w:pPr>
            <w:r>
              <w:t>7 (10.1)</w:t>
            </w:r>
          </w:p>
          <w:p w14:paraId="454CB61E" w14:textId="77777777" w:rsidR="00705F85" w:rsidRDefault="00705F85" w:rsidP="00D801D6">
            <w:pPr>
              <w:spacing w:before="0" w:beforeAutospacing="0" w:line="480" w:lineRule="auto"/>
              <w:jc w:val="center"/>
            </w:pPr>
            <w:r>
              <w:t>41 (59.4)</w:t>
            </w:r>
          </w:p>
          <w:p w14:paraId="2AF372C5" w14:textId="77777777" w:rsidR="00705F85" w:rsidRDefault="00705F85" w:rsidP="00D801D6">
            <w:pPr>
              <w:spacing w:before="0" w:beforeAutospacing="0" w:line="480" w:lineRule="auto"/>
              <w:jc w:val="center"/>
            </w:pPr>
            <w:r>
              <w:t>20 (29.0)</w:t>
            </w:r>
          </w:p>
          <w:p w14:paraId="5886A92F" w14:textId="77777777" w:rsidR="00705F85" w:rsidRDefault="00705F85" w:rsidP="00D801D6">
            <w:pPr>
              <w:spacing w:before="0" w:beforeAutospacing="0" w:line="480" w:lineRule="auto"/>
              <w:jc w:val="center"/>
            </w:pPr>
            <w:r>
              <w:t>1 (1.4)</w:t>
            </w:r>
          </w:p>
        </w:tc>
        <w:tc>
          <w:tcPr>
            <w:tcW w:w="2311" w:type="dxa"/>
          </w:tcPr>
          <w:p w14:paraId="41156410" w14:textId="77777777" w:rsidR="00705F85" w:rsidRDefault="00705F85" w:rsidP="00D801D6">
            <w:pPr>
              <w:spacing w:before="0" w:beforeAutospacing="0" w:line="480" w:lineRule="auto"/>
              <w:jc w:val="center"/>
            </w:pPr>
          </w:p>
          <w:p w14:paraId="6CAC9A8B" w14:textId="7B7A7B50" w:rsidR="00705F85" w:rsidRDefault="005B4976" w:rsidP="00D801D6">
            <w:pPr>
              <w:spacing w:before="0" w:beforeAutospacing="0" w:line="480" w:lineRule="auto"/>
              <w:jc w:val="center"/>
            </w:pPr>
            <w:r>
              <w:t>0.2</w:t>
            </w:r>
            <w:r w:rsidR="00705F85">
              <w:t xml:space="preserve"> </w:t>
            </w:r>
            <w:r w:rsidR="00705F85">
              <w:rPr>
                <w:rFonts w:cs="Calibri"/>
              </w:rPr>
              <w:t>§</w:t>
            </w:r>
          </w:p>
        </w:tc>
      </w:tr>
      <w:tr w:rsidR="00705F85" w14:paraId="13DE58D5" w14:textId="77777777" w:rsidTr="00705F85">
        <w:tc>
          <w:tcPr>
            <w:tcW w:w="2310" w:type="dxa"/>
          </w:tcPr>
          <w:p w14:paraId="203DD417" w14:textId="77777777" w:rsidR="00705F85" w:rsidRDefault="00705F85" w:rsidP="00D801D6">
            <w:pPr>
              <w:spacing w:before="0" w:beforeAutospacing="0" w:line="480" w:lineRule="auto"/>
              <w:rPr>
                <w:rFonts w:cs="Calibri"/>
              </w:rPr>
            </w:pPr>
            <w:r>
              <w:rPr>
                <w:rFonts w:cs="Calibri"/>
              </w:rPr>
              <w:t>Neoadjuvant treatment (NAT)</w:t>
            </w:r>
          </w:p>
          <w:p w14:paraId="7EFE2841" w14:textId="77777777" w:rsidR="00705F85" w:rsidRDefault="00705F85" w:rsidP="00D801D6">
            <w:pPr>
              <w:spacing w:before="0" w:beforeAutospacing="0" w:line="480" w:lineRule="auto"/>
              <w:rPr>
                <w:rFonts w:cs="Calibri"/>
              </w:rPr>
            </w:pPr>
            <w:r>
              <w:rPr>
                <w:rFonts w:cs="Calibri"/>
              </w:rPr>
              <w:t>Chemotherapy</w:t>
            </w:r>
          </w:p>
          <w:p w14:paraId="775B44C3" w14:textId="77777777" w:rsidR="00705F85" w:rsidRDefault="00705F85" w:rsidP="00D801D6">
            <w:pPr>
              <w:spacing w:before="0" w:beforeAutospacing="0" w:line="480" w:lineRule="auto"/>
              <w:rPr>
                <w:rFonts w:cs="Calibri"/>
              </w:rPr>
            </w:pPr>
            <w:r>
              <w:rPr>
                <w:rFonts w:cs="Calibri"/>
              </w:rPr>
              <w:t>Chemoradiotherapy</w:t>
            </w:r>
          </w:p>
        </w:tc>
        <w:tc>
          <w:tcPr>
            <w:tcW w:w="2310" w:type="dxa"/>
          </w:tcPr>
          <w:p w14:paraId="0369F67D" w14:textId="77777777" w:rsidR="00705F85" w:rsidRDefault="00705F85" w:rsidP="00D801D6">
            <w:pPr>
              <w:spacing w:before="0" w:beforeAutospacing="0" w:line="480" w:lineRule="auto"/>
              <w:jc w:val="center"/>
            </w:pPr>
          </w:p>
          <w:p w14:paraId="1321C073" w14:textId="77777777" w:rsidR="00705F85" w:rsidRDefault="00705F85" w:rsidP="00D801D6">
            <w:pPr>
              <w:spacing w:before="0" w:beforeAutospacing="0" w:line="480" w:lineRule="auto"/>
              <w:jc w:val="center"/>
            </w:pPr>
          </w:p>
          <w:p w14:paraId="10E0C79C" w14:textId="77777777" w:rsidR="00705F85" w:rsidRDefault="00705F85" w:rsidP="00D801D6">
            <w:pPr>
              <w:spacing w:before="0" w:beforeAutospacing="0" w:line="480" w:lineRule="auto"/>
              <w:jc w:val="center"/>
            </w:pPr>
            <w:r>
              <w:t>3 (6.7)</w:t>
            </w:r>
          </w:p>
          <w:p w14:paraId="1A565842" w14:textId="77777777" w:rsidR="00705F85" w:rsidRDefault="00705F85" w:rsidP="00D801D6">
            <w:pPr>
              <w:spacing w:before="0" w:beforeAutospacing="0" w:line="480" w:lineRule="auto"/>
              <w:jc w:val="center"/>
            </w:pPr>
            <w:r>
              <w:t>42 (93.3)</w:t>
            </w:r>
          </w:p>
        </w:tc>
        <w:tc>
          <w:tcPr>
            <w:tcW w:w="2311" w:type="dxa"/>
          </w:tcPr>
          <w:p w14:paraId="7D84925F" w14:textId="77777777" w:rsidR="00705F85" w:rsidRDefault="00705F85" w:rsidP="00D801D6">
            <w:pPr>
              <w:spacing w:before="0" w:beforeAutospacing="0" w:line="480" w:lineRule="auto"/>
              <w:jc w:val="center"/>
            </w:pPr>
          </w:p>
          <w:p w14:paraId="61F041C4" w14:textId="77777777" w:rsidR="00705F85" w:rsidRDefault="00705F85" w:rsidP="00D801D6">
            <w:pPr>
              <w:spacing w:before="0" w:beforeAutospacing="0" w:line="480" w:lineRule="auto"/>
              <w:jc w:val="center"/>
            </w:pPr>
          </w:p>
          <w:p w14:paraId="5917F4C3" w14:textId="77777777" w:rsidR="00705F85" w:rsidRDefault="00705F85" w:rsidP="00D801D6">
            <w:pPr>
              <w:spacing w:before="0" w:beforeAutospacing="0" w:line="480" w:lineRule="auto"/>
              <w:jc w:val="center"/>
            </w:pPr>
            <w:r>
              <w:t>32 (46.4)</w:t>
            </w:r>
          </w:p>
          <w:p w14:paraId="0715C0A6" w14:textId="77777777" w:rsidR="00705F85" w:rsidRDefault="00705F85" w:rsidP="00D801D6">
            <w:pPr>
              <w:spacing w:before="0" w:beforeAutospacing="0" w:line="480" w:lineRule="auto"/>
              <w:jc w:val="center"/>
            </w:pPr>
            <w:r>
              <w:t>37 (53.6)</w:t>
            </w:r>
          </w:p>
        </w:tc>
        <w:tc>
          <w:tcPr>
            <w:tcW w:w="2311" w:type="dxa"/>
          </w:tcPr>
          <w:p w14:paraId="688C51AE" w14:textId="77777777" w:rsidR="00705F85" w:rsidRDefault="00705F85" w:rsidP="00D801D6">
            <w:pPr>
              <w:spacing w:before="0" w:beforeAutospacing="0" w:line="480" w:lineRule="auto"/>
              <w:jc w:val="center"/>
            </w:pPr>
          </w:p>
          <w:p w14:paraId="6A2674F2" w14:textId="77777777" w:rsidR="00705F85" w:rsidRDefault="00705F85" w:rsidP="00D801D6">
            <w:pPr>
              <w:spacing w:before="0" w:beforeAutospacing="0" w:line="480" w:lineRule="auto"/>
              <w:jc w:val="center"/>
            </w:pPr>
          </w:p>
          <w:p w14:paraId="606167F7" w14:textId="77777777" w:rsidR="00705F85" w:rsidRDefault="00705F85" w:rsidP="00D801D6">
            <w:pPr>
              <w:spacing w:before="0" w:beforeAutospacing="0" w:line="480" w:lineRule="auto"/>
              <w:jc w:val="center"/>
            </w:pPr>
            <w:r>
              <w:rPr>
                <w:rFonts w:cs="Calibri"/>
              </w:rPr>
              <w:t>&lt;0.001* §</w:t>
            </w:r>
          </w:p>
        </w:tc>
      </w:tr>
      <w:tr w:rsidR="00705F85" w14:paraId="26E32AAA" w14:textId="77777777" w:rsidTr="00705F85">
        <w:tc>
          <w:tcPr>
            <w:tcW w:w="2310" w:type="dxa"/>
          </w:tcPr>
          <w:p w14:paraId="54029EA5" w14:textId="77777777" w:rsidR="00705F85" w:rsidRDefault="00705F85" w:rsidP="00D801D6">
            <w:pPr>
              <w:spacing w:before="0" w:beforeAutospacing="0" w:line="480" w:lineRule="auto"/>
            </w:pPr>
            <w:r>
              <w:t>Degree of dysphagia during NAT</w:t>
            </w:r>
          </w:p>
          <w:p w14:paraId="038D13C9" w14:textId="77777777" w:rsidR="00705F85" w:rsidRDefault="00705F85" w:rsidP="00D801D6">
            <w:pPr>
              <w:spacing w:before="0" w:beforeAutospacing="0" w:line="480" w:lineRule="auto"/>
            </w:pPr>
            <w:r>
              <w:t>Normal diet</w:t>
            </w:r>
          </w:p>
          <w:p w14:paraId="563CB273" w14:textId="77777777" w:rsidR="00705F85" w:rsidRDefault="00705F85" w:rsidP="00D801D6">
            <w:pPr>
              <w:spacing w:before="0" w:beforeAutospacing="0" w:line="480" w:lineRule="auto"/>
            </w:pPr>
            <w:r>
              <w:t>Soft diet</w:t>
            </w:r>
          </w:p>
          <w:p w14:paraId="7196DAF6" w14:textId="77777777" w:rsidR="00705F85" w:rsidRDefault="00705F85" w:rsidP="00D801D6">
            <w:pPr>
              <w:spacing w:before="0" w:beforeAutospacing="0" w:line="480" w:lineRule="auto"/>
            </w:pPr>
            <w:r>
              <w:t>Puree diet</w:t>
            </w:r>
          </w:p>
          <w:p w14:paraId="435B12DE" w14:textId="77777777" w:rsidR="00705F85" w:rsidRDefault="00705F85" w:rsidP="00D801D6">
            <w:pPr>
              <w:spacing w:before="0" w:beforeAutospacing="0" w:line="480" w:lineRule="auto"/>
            </w:pPr>
            <w:r>
              <w:t>Liquid diet</w:t>
            </w:r>
          </w:p>
          <w:p w14:paraId="17EFA019" w14:textId="77777777" w:rsidR="00705F85" w:rsidRDefault="00705F85" w:rsidP="00D801D6">
            <w:pPr>
              <w:spacing w:before="0" w:beforeAutospacing="0" w:line="480" w:lineRule="auto"/>
            </w:pPr>
            <w:r>
              <w:t>Complete dysphagia</w:t>
            </w:r>
          </w:p>
          <w:p w14:paraId="5EDDA391" w14:textId="77777777" w:rsidR="00705F85" w:rsidRDefault="00705F85" w:rsidP="00D801D6">
            <w:pPr>
              <w:spacing w:before="0" w:beforeAutospacing="0" w:line="480" w:lineRule="auto"/>
            </w:pPr>
            <w:r>
              <w:t>Not recorded</w:t>
            </w:r>
          </w:p>
        </w:tc>
        <w:tc>
          <w:tcPr>
            <w:tcW w:w="2310" w:type="dxa"/>
          </w:tcPr>
          <w:p w14:paraId="77D8CC43" w14:textId="77777777" w:rsidR="00705F85" w:rsidRDefault="00705F85" w:rsidP="00D801D6">
            <w:pPr>
              <w:spacing w:before="0" w:beforeAutospacing="0" w:line="480" w:lineRule="auto"/>
              <w:jc w:val="center"/>
            </w:pPr>
          </w:p>
          <w:p w14:paraId="53211755" w14:textId="77777777" w:rsidR="00705F85" w:rsidRDefault="00705F85" w:rsidP="00D801D6">
            <w:pPr>
              <w:spacing w:before="0" w:beforeAutospacing="0" w:line="480" w:lineRule="auto"/>
              <w:jc w:val="center"/>
            </w:pPr>
          </w:p>
          <w:p w14:paraId="3788EE6C" w14:textId="77777777" w:rsidR="00705F85" w:rsidRDefault="00705F85" w:rsidP="00D801D6">
            <w:pPr>
              <w:spacing w:before="0" w:beforeAutospacing="0" w:line="480" w:lineRule="auto"/>
              <w:jc w:val="center"/>
            </w:pPr>
            <w:r>
              <w:t>7 (15.6)</w:t>
            </w:r>
          </w:p>
          <w:p w14:paraId="1B2F7735" w14:textId="77777777" w:rsidR="00705F85" w:rsidRDefault="00705F85" w:rsidP="00D801D6">
            <w:pPr>
              <w:spacing w:before="0" w:beforeAutospacing="0" w:line="480" w:lineRule="auto"/>
              <w:jc w:val="center"/>
            </w:pPr>
            <w:r>
              <w:t>19 (42.2)</w:t>
            </w:r>
          </w:p>
          <w:p w14:paraId="06FCFB28" w14:textId="77777777" w:rsidR="00705F85" w:rsidRDefault="00705F85" w:rsidP="00D801D6">
            <w:pPr>
              <w:spacing w:before="0" w:beforeAutospacing="0" w:line="480" w:lineRule="auto"/>
              <w:jc w:val="center"/>
            </w:pPr>
            <w:r>
              <w:t>7 (15.6)</w:t>
            </w:r>
          </w:p>
          <w:p w14:paraId="323BEB46" w14:textId="77777777" w:rsidR="00705F85" w:rsidRDefault="00705F85" w:rsidP="00D801D6">
            <w:pPr>
              <w:spacing w:before="0" w:beforeAutospacing="0" w:line="480" w:lineRule="auto"/>
              <w:jc w:val="center"/>
            </w:pPr>
            <w:r>
              <w:t>6 (13.3)</w:t>
            </w:r>
          </w:p>
          <w:p w14:paraId="3FBDA9AE" w14:textId="77777777" w:rsidR="00705F85" w:rsidRDefault="00705F85" w:rsidP="00D801D6">
            <w:pPr>
              <w:spacing w:before="0" w:beforeAutospacing="0" w:line="480" w:lineRule="auto"/>
              <w:jc w:val="center"/>
            </w:pPr>
            <w:r>
              <w:t>6 (13.3)</w:t>
            </w:r>
          </w:p>
          <w:p w14:paraId="6A235C76" w14:textId="77777777" w:rsidR="00705F85" w:rsidRDefault="00705F85" w:rsidP="00D801D6">
            <w:pPr>
              <w:spacing w:before="0" w:beforeAutospacing="0" w:line="480" w:lineRule="auto"/>
              <w:jc w:val="center"/>
            </w:pPr>
            <w:r>
              <w:t>0</w:t>
            </w:r>
          </w:p>
        </w:tc>
        <w:tc>
          <w:tcPr>
            <w:tcW w:w="2311" w:type="dxa"/>
          </w:tcPr>
          <w:p w14:paraId="699F1C6A" w14:textId="77777777" w:rsidR="00705F85" w:rsidRDefault="00705F85" w:rsidP="00D801D6">
            <w:pPr>
              <w:spacing w:before="0" w:beforeAutospacing="0" w:line="480" w:lineRule="auto"/>
              <w:jc w:val="center"/>
            </w:pPr>
          </w:p>
          <w:p w14:paraId="181210E3" w14:textId="77777777" w:rsidR="00705F85" w:rsidRDefault="00705F85" w:rsidP="00D801D6">
            <w:pPr>
              <w:spacing w:before="0" w:beforeAutospacing="0" w:line="480" w:lineRule="auto"/>
              <w:jc w:val="center"/>
            </w:pPr>
          </w:p>
          <w:p w14:paraId="081E8A0B" w14:textId="77777777" w:rsidR="00705F85" w:rsidRDefault="00705F85" w:rsidP="00D801D6">
            <w:pPr>
              <w:spacing w:before="0" w:beforeAutospacing="0" w:line="480" w:lineRule="auto"/>
              <w:jc w:val="center"/>
            </w:pPr>
            <w:r>
              <w:t>13 (72.2)</w:t>
            </w:r>
          </w:p>
          <w:p w14:paraId="16A2769B" w14:textId="77777777" w:rsidR="00705F85" w:rsidRDefault="00705F85" w:rsidP="00D801D6">
            <w:pPr>
              <w:spacing w:before="0" w:beforeAutospacing="0" w:line="480" w:lineRule="auto"/>
              <w:jc w:val="center"/>
            </w:pPr>
            <w:r>
              <w:t>4 (22.2)</w:t>
            </w:r>
          </w:p>
          <w:p w14:paraId="71ACCB08" w14:textId="77777777" w:rsidR="00705F85" w:rsidRDefault="00705F85" w:rsidP="00D801D6">
            <w:pPr>
              <w:spacing w:before="0" w:beforeAutospacing="0" w:line="480" w:lineRule="auto"/>
              <w:jc w:val="center"/>
            </w:pPr>
            <w:r>
              <w:t>0</w:t>
            </w:r>
          </w:p>
          <w:p w14:paraId="0CF5F0FD" w14:textId="77777777" w:rsidR="00705F85" w:rsidRDefault="00705F85" w:rsidP="00D801D6">
            <w:pPr>
              <w:spacing w:before="0" w:beforeAutospacing="0" w:line="480" w:lineRule="auto"/>
              <w:jc w:val="center"/>
            </w:pPr>
            <w:r>
              <w:t>0</w:t>
            </w:r>
          </w:p>
          <w:p w14:paraId="522ACFC8" w14:textId="77777777" w:rsidR="00705F85" w:rsidRDefault="00705F85" w:rsidP="00D801D6">
            <w:pPr>
              <w:spacing w:before="0" w:beforeAutospacing="0" w:line="480" w:lineRule="auto"/>
              <w:jc w:val="center"/>
            </w:pPr>
            <w:r>
              <w:t>1 (5.6)</w:t>
            </w:r>
          </w:p>
          <w:p w14:paraId="4F721C7F" w14:textId="77777777" w:rsidR="00705F85" w:rsidRDefault="00705F85" w:rsidP="00D801D6">
            <w:pPr>
              <w:spacing w:before="0" w:beforeAutospacing="0" w:line="480" w:lineRule="auto"/>
              <w:jc w:val="center"/>
            </w:pPr>
            <w:r>
              <w:t xml:space="preserve">51 </w:t>
            </w:r>
          </w:p>
        </w:tc>
        <w:tc>
          <w:tcPr>
            <w:tcW w:w="2311" w:type="dxa"/>
          </w:tcPr>
          <w:p w14:paraId="67BC231A" w14:textId="77777777" w:rsidR="00705F85" w:rsidRDefault="00705F85" w:rsidP="00D801D6">
            <w:pPr>
              <w:spacing w:before="0" w:beforeAutospacing="0" w:line="480" w:lineRule="auto"/>
              <w:jc w:val="center"/>
            </w:pPr>
          </w:p>
          <w:p w14:paraId="379B9D06" w14:textId="77777777" w:rsidR="00705F85" w:rsidRDefault="00705F85" w:rsidP="00D801D6">
            <w:pPr>
              <w:spacing w:before="0" w:beforeAutospacing="0" w:line="480" w:lineRule="auto"/>
              <w:jc w:val="center"/>
            </w:pPr>
          </w:p>
          <w:p w14:paraId="67E3BD54" w14:textId="77777777" w:rsidR="00705F85" w:rsidRDefault="00705F85" w:rsidP="00D801D6">
            <w:pPr>
              <w:spacing w:before="0" w:beforeAutospacing="0" w:line="480" w:lineRule="auto"/>
              <w:jc w:val="center"/>
            </w:pPr>
            <w:r>
              <w:t xml:space="preserve">&lt;0.001* </w:t>
            </w:r>
            <w:r>
              <w:rPr>
                <w:rFonts w:cs="Calibri"/>
              </w:rPr>
              <w:t>§</w:t>
            </w:r>
          </w:p>
        </w:tc>
      </w:tr>
      <w:tr w:rsidR="00705F85" w14:paraId="4F59A1A3" w14:textId="77777777" w:rsidTr="00705F85">
        <w:tc>
          <w:tcPr>
            <w:tcW w:w="2310" w:type="dxa"/>
          </w:tcPr>
          <w:p w14:paraId="73E88BDA" w14:textId="77777777" w:rsidR="00705F85" w:rsidRDefault="00705F85" w:rsidP="00D801D6">
            <w:pPr>
              <w:spacing w:before="0" w:beforeAutospacing="0" w:line="480" w:lineRule="auto"/>
            </w:pPr>
            <w:r>
              <w:lastRenderedPageBreak/>
              <w:t>Post-operative length of hospital stay (days)</w:t>
            </w:r>
          </w:p>
        </w:tc>
        <w:tc>
          <w:tcPr>
            <w:tcW w:w="2310" w:type="dxa"/>
          </w:tcPr>
          <w:p w14:paraId="3B4A3111" w14:textId="77777777" w:rsidR="00705F85" w:rsidRDefault="00705F85" w:rsidP="00D801D6">
            <w:pPr>
              <w:spacing w:before="0" w:beforeAutospacing="0" w:line="480" w:lineRule="auto"/>
              <w:jc w:val="center"/>
            </w:pPr>
            <w:r>
              <w:t>10 (8-13.75)</w:t>
            </w:r>
          </w:p>
        </w:tc>
        <w:tc>
          <w:tcPr>
            <w:tcW w:w="2311" w:type="dxa"/>
          </w:tcPr>
          <w:p w14:paraId="28493138" w14:textId="77777777" w:rsidR="00705F85" w:rsidRDefault="00705F85" w:rsidP="00D801D6">
            <w:pPr>
              <w:spacing w:before="0" w:beforeAutospacing="0" w:line="480" w:lineRule="auto"/>
              <w:jc w:val="center"/>
            </w:pPr>
            <w:r>
              <w:t>9 (8-12.75)</w:t>
            </w:r>
          </w:p>
        </w:tc>
        <w:tc>
          <w:tcPr>
            <w:tcW w:w="2311" w:type="dxa"/>
          </w:tcPr>
          <w:p w14:paraId="1AF1F53B" w14:textId="2BCE4515" w:rsidR="00705F85" w:rsidRDefault="005B4976" w:rsidP="00D801D6">
            <w:pPr>
              <w:spacing w:before="0" w:beforeAutospacing="0" w:line="480" w:lineRule="auto"/>
              <w:jc w:val="center"/>
            </w:pPr>
            <w:r>
              <w:rPr>
                <w:rFonts w:cs="Calibri"/>
              </w:rPr>
              <w:t>0.2</w:t>
            </w:r>
            <w:r w:rsidR="00705F85">
              <w:rPr>
                <w:rFonts w:cs="Calibri"/>
              </w:rPr>
              <w:t xml:space="preserve"> ¶</w:t>
            </w:r>
          </w:p>
        </w:tc>
      </w:tr>
      <w:tr w:rsidR="00C96460" w14:paraId="08FC84DF" w14:textId="77777777" w:rsidTr="00705F85">
        <w:tc>
          <w:tcPr>
            <w:tcW w:w="2310" w:type="dxa"/>
          </w:tcPr>
          <w:p w14:paraId="27DFE7EF" w14:textId="77777777" w:rsidR="00C96460" w:rsidRDefault="00C96460" w:rsidP="00D801D6">
            <w:pPr>
              <w:spacing w:before="0" w:beforeAutospacing="0" w:line="480" w:lineRule="auto"/>
            </w:pPr>
            <w:r>
              <w:t xml:space="preserve">Clavien Dindo complications &gt;3b </w:t>
            </w:r>
          </w:p>
          <w:p w14:paraId="53D1949D" w14:textId="77777777" w:rsidR="00C96460" w:rsidRDefault="00C96460" w:rsidP="00D801D6">
            <w:pPr>
              <w:spacing w:before="0" w:beforeAutospacing="0" w:line="480" w:lineRule="auto"/>
            </w:pPr>
            <w:r>
              <w:t>Yes</w:t>
            </w:r>
          </w:p>
          <w:p w14:paraId="51B8D9F4" w14:textId="2A3F2E3E" w:rsidR="00C96460" w:rsidRDefault="00C96460" w:rsidP="00D801D6">
            <w:pPr>
              <w:spacing w:before="0" w:beforeAutospacing="0" w:line="480" w:lineRule="auto"/>
            </w:pPr>
            <w:r>
              <w:t>No</w:t>
            </w:r>
          </w:p>
        </w:tc>
        <w:tc>
          <w:tcPr>
            <w:tcW w:w="2310" w:type="dxa"/>
          </w:tcPr>
          <w:p w14:paraId="5B239515" w14:textId="77777777" w:rsidR="00C96460" w:rsidRDefault="00C96460" w:rsidP="00D801D6">
            <w:pPr>
              <w:spacing w:before="0" w:beforeAutospacing="0" w:line="480" w:lineRule="auto"/>
              <w:jc w:val="center"/>
            </w:pPr>
          </w:p>
          <w:p w14:paraId="7F1B1D51" w14:textId="77777777" w:rsidR="00C96460" w:rsidRDefault="00C96460" w:rsidP="00D801D6">
            <w:pPr>
              <w:spacing w:before="0" w:beforeAutospacing="0" w:line="480" w:lineRule="auto"/>
              <w:jc w:val="center"/>
            </w:pPr>
          </w:p>
          <w:p w14:paraId="4E40B2B2" w14:textId="77777777" w:rsidR="00C96460" w:rsidRDefault="00C96460" w:rsidP="00D801D6">
            <w:pPr>
              <w:spacing w:before="0" w:beforeAutospacing="0" w:line="480" w:lineRule="auto"/>
              <w:jc w:val="center"/>
            </w:pPr>
            <w:r>
              <w:t>11 (24.4)</w:t>
            </w:r>
          </w:p>
          <w:p w14:paraId="4BB77238" w14:textId="231443B0" w:rsidR="00C96460" w:rsidRDefault="00C96460" w:rsidP="00D801D6">
            <w:pPr>
              <w:spacing w:before="0" w:beforeAutospacing="0" w:line="480" w:lineRule="auto"/>
              <w:jc w:val="center"/>
            </w:pPr>
            <w:r>
              <w:t>34 (75.6)</w:t>
            </w:r>
          </w:p>
        </w:tc>
        <w:tc>
          <w:tcPr>
            <w:tcW w:w="2311" w:type="dxa"/>
          </w:tcPr>
          <w:p w14:paraId="4426C32B" w14:textId="77777777" w:rsidR="00C96460" w:rsidRDefault="00C96460" w:rsidP="00D801D6">
            <w:pPr>
              <w:spacing w:before="0" w:beforeAutospacing="0" w:line="480" w:lineRule="auto"/>
              <w:jc w:val="center"/>
            </w:pPr>
          </w:p>
          <w:p w14:paraId="1E1A2A08" w14:textId="77777777" w:rsidR="00C96460" w:rsidRDefault="00C96460" w:rsidP="00D801D6">
            <w:pPr>
              <w:spacing w:before="0" w:beforeAutospacing="0" w:line="480" w:lineRule="auto"/>
              <w:jc w:val="center"/>
            </w:pPr>
          </w:p>
          <w:p w14:paraId="6CCB2D7A" w14:textId="77777777" w:rsidR="00C96460" w:rsidRDefault="00C96460" w:rsidP="00D801D6">
            <w:pPr>
              <w:spacing w:before="0" w:beforeAutospacing="0" w:line="480" w:lineRule="auto"/>
              <w:jc w:val="center"/>
            </w:pPr>
            <w:r>
              <w:t>13 (18.8)</w:t>
            </w:r>
          </w:p>
          <w:p w14:paraId="5BA90570" w14:textId="499C807B" w:rsidR="00C96460" w:rsidRDefault="00C96460" w:rsidP="00D801D6">
            <w:pPr>
              <w:spacing w:before="0" w:beforeAutospacing="0" w:line="480" w:lineRule="auto"/>
              <w:jc w:val="center"/>
            </w:pPr>
            <w:r>
              <w:t>56 (81.2)</w:t>
            </w:r>
          </w:p>
        </w:tc>
        <w:tc>
          <w:tcPr>
            <w:tcW w:w="2311" w:type="dxa"/>
          </w:tcPr>
          <w:p w14:paraId="13F9BC89" w14:textId="77777777" w:rsidR="00C96460" w:rsidRDefault="00C96460" w:rsidP="00D801D6">
            <w:pPr>
              <w:spacing w:before="0" w:beforeAutospacing="0" w:line="480" w:lineRule="auto"/>
              <w:jc w:val="center"/>
            </w:pPr>
          </w:p>
          <w:p w14:paraId="6EC2A30B" w14:textId="77777777" w:rsidR="00C96460" w:rsidRDefault="00C96460" w:rsidP="00D801D6">
            <w:pPr>
              <w:spacing w:before="0" w:beforeAutospacing="0" w:line="480" w:lineRule="auto"/>
              <w:jc w:val="center"/>
            </w:pPr>
          </w:p>
          <w:p w14:paraId="3BF5BD94" w14:textId="38542426" w:rsidR="00C96460" w:rsidRDefault="005B4976" w:rsidP="00D801D6">
            <w:pPr>
              <w:spacing w:before="0" w:beforeAutospacing="0" w:line="480" w:lineRule="auto"/>
              <w:jc w:val="center"/>
            </w:pPr>
            <w:r>
              <w:rPr>
                <w:rFonts w:cs="Calibri"/>
              </w:rPr>
              <w:t>0.3</w:t>
            </w:r>
            <w:r w:rsidR="00C96460">
              <w:rPr>
                <w:rFonts w:cs="Calibri"/>
              </w:rPr>
              <w:t xml:space="preserve"> §</w:t>
            </w:r>
          </w:p>
          <w:p w14:paraId="2EA4F29F" w14:textId="77777777" w:rsidR="00C96460" w:rsidRDefault="00C96460" w:rsidP="00D801D6">
            <w:pPr>
              <w:spacing w:before="0" w:beforeAutospacing="0" w:line="480" w:lineRule="auto"/>
              <w:jc w:val="center"/>
            </w:pPr>
          </w:p>
        </w:tc>
      </w:tr>
      <w:tr w:rsidR="004A4E7D" w14:paraId="1EB97B52" w14:textId="77777777" w:rsidTr="00705F85">
        <w:tc>
          <w:tcPr>
            <w:tcW w:w="2310" w:type="dxa"/>
          </w:tcPr>
          <w:p w14:paraId="4CBCBD0C" w14:textId="4B43E66C" w:rsidR="004A4E7D" w:rsidRDefault="004A4E7D" w:rsidP="00D801D6">
            <w:pPr>
              <w:spacing w:before="0" w:beforeAutospacing="0" w:line="480" w:lineRule="auto"/>
            </w:pPr>
            <w:r>
              <w:t>Adjuvant treatment given</w:t>
            </w:r>
          </w:p>
          <w:p w14:paraId="397EA9C6" w14:textId="77777777" w:rsidR="004A4E7D" w:rsidRDefault="004A4E7D" w:rsidP="00D801D6">
            <w:pPr>
              <w:spacing w:before="0" w:beforeAutospacing="0" w:line="480" w:lineRule="auto"/>
            </w:pPr>
            <w:r>
              <w:t>Yes</w:t>
            </w:r>
          </w:p>
          <w:p w14:paraId="19412124" w14:textId="06EBA0BE" w:rsidR="004A4E7D" w:rsidRDefault="004A4E7D" w:rsidP="00D801D6">
            <w:pPr>
              <w:spacing w:before="0" w:beforeAutospacing="0" w:line="480" w:lineRule="auto"/>
            </w:pPr>
            <w:r>
              <w:t>No</w:t>
            </w:r>
          </w:p>
        </w:tc>
        <w:tc>
          <w:tcPr>
            <w:tcW w:w="2310" w:type="dxa"/>
          </w:tcPr>
          <w:p w14:paraId="321F1879" w14:textId="77777777" w:rsidR="004A4E7D" w:rsidRDefault="004A4E7D" w:rsidP="00D801D6">
            <w:pPr>
              <w:spacing w:before="0" w:beforeAutospacing="0" w:line="480" w:lineRule="auto"/>
              <w:jc w:val="center"/>
            </w:pPr>
          </w:p>
          <w:p w14:paraId="6DFAA26A" w14:textId="77777777" w:rsidR="00AB704A" w:rsidRDefault="00AB704A" w:rsidP="00D801D6">
            <w:pPr>
              <w:spacing w:before="0" w:beforeAutospacing="0" w:line="480" w:lineRule="auto"/>
              <w:jc w:val="center"/>
            </w:pPr>
          </w:p>
          <w:p w14:paraId="67718015" w14:textId="162875CA" w:rsidR="00AB0FDC" w:rsidRDefault="00A5568A" w:rsidP="00D801D6">
            <w:pPr>
              <w:spacing w:before="0" w:beforeAutospacing="0" w:line="480" w:lineRule="auto"/>
              <w:jc w:val="center"/>
            </w:pPr>
            <w:r>
              <w:t>3 (6.7)</w:t>
            </w:r>
          </w:p>
          <w:p w14:paraId="72A11CF8" w14:textId="293B876D" w:rsidR="00A5568A" w:rsidRDefault="00A5568A" w:rsidP="00D801D6">
            <w:pPr>
              <w:spacing w:before="0" w:beforeAutospacing="0" w:line="480" w:lineRule="auto"/>
              <w:jc w:val="center"/>
            </w:pPr>
            <w:r>
              <w:t>42 (93.3)</w:t>
            </w:r>
          </w:p>
        </w:tc>
        <w:tc>
          <w:tcPr>
            <w:tcW w:w="2311" w:type="dxa"/>
          </w:tcPr>
          <w:p w14:paraId="29B87715" w14:textId="77777777" w:rsidR="004A4E7D" w:rsidRDefault="004A4E7D" w:rsidP="00D801D6">
            <w:pPr>
              <w:spacing w:before="0" w:beforeAutospacing="0" w:line="480" w:lineRule="auto"/>
              <w:jc w:val="center"/>
            </w:pPr>
          </w:p>
          <w:p w14:paraId="24BD36B9" w14:textId="77777777" w:rsidR="00AB0FDC" w:rsidRDefault="00AB0FDC" w:rsidP="00D801D6">
            <w:pPr>
              <w:spacing w:before="0" w:beforeAutospacing="0" w:line="480" w:lineRule="auto"/>
              <w:jc w:val="center"/>
            </w:pPr>
          </w:p>
          <w:p w14:paraId="42E5F9F9" w14:textId="6BC71E30" w:rsidR="00AB0FDC" w:rsidRDefault="00A5568A" w:rsidP="00AB0FDC">
            <w:pPr>
              <w:spacing w:before="0" w:beforeAutospacing="0" w:line="480" w:lineRule="auto"/>
              <w:jc w:val="center"/>
            </w:pPr>
            <w:r>
              <w:t>8 (11.6)</w:t>
            </w:r>
          </w:p>
          <w:p w14:paraId="29E14D75" w14:textId="50DDFD1D" w:rsidR="00A5568A" w:rsidRDefault="00A5568A" w:rsidP="00AB0FDC">
            <w:pPr>
              <w:spacing w:before="0" w:beforeAutospacing="0" w:line="480" w:lineRule="auto"/>
              <w:jc w:val="center"/>
            </w:pPr>
            <w:r>
              <w:t>61 (88.4)</w:t>
            </w:r>
          </w:p>
        </w:tc>
        <w:tc>
          <w:tcPr>
            <w:tcW w:w="2311" w:type="dxa"/>
          </w:tcPr>
          <w:p w14:paraId="5AFF8DB0" w14:textId="77777777" w:rsidR="004A4E7D" w:rsidRDefault="004A4E7D" w:rsidP="00D801D6">
            <w:pPr>
              <w:spacing w:before="0" w:beforeAutospacing="0" w:line="480" w:lineRule="auto"/>
              <w:jc w:val="center"/>
            </w:pPr>
          </w:p>
          <w:p w14:paraId="18EB7121" w14:textId="77777777" w:rsidR="004A4E7D" w:rsidRDefault="004A4E7D" w:rsidP="00D801D6">
            <w:pPr>
              <w:spacing w:before="0" w:beforeAutospacing="0" w:line="480" w:lineRule="auto"/>
              <w:jc w:val="center"/>
            </w:pPr>
          </w:p>
          <w:p w14:paraId="4365429E" w14:textId="77E753E9" w:rsidR="004A4E7D" w:rsidRDefault="00A5568A" w:rsidP="00D801D6">
            <w:pPr>
              <w:spacing w:before="0" w:beforeAutospacing="0" w:line="480" w:lineRule="auto"/>
              <w:jc w:val="center"/>
            </w:pPr>
            <w:r>
              <w:rPr>
                <w:rFonts w:cs="Calibri"/>
              </w:rPr>
              <w:t>0.4</w:t>
            </w:r>
            <w:r w:rsidR="004A4E7D">
              <w:rPr>
                <w:rFonts w:cs="Calibri"/>
              </w:rPr>
              <w:t>§</w:t>
            </w:r>
          </w:p>
        </w:tc>
      </w:tr>
    </w:tbl>
    <w:p w14:paraId="409D2438" w14:textId="0BB38D51" w:rsidR="00705F85" w:rsidRDefault="00705F85" w:rsidP="00D801D6">
      <w:pPr>
        <w:spacing w:before="0" w:beforeAutospacing="0" w:line="480" w:lineRule="auto"/>
        <w:rPr>
          <w:rFonts w:cs="Calibri"/>
        </w:rPr>
      </w:pPr>
      <w:r>
        <w:rPr>
          <w:rFonts w:cs="Calibri"/>
        </w:rPr>
        <w:t>Data presented as absolute number (%) and median (IQR), *&lt;0.05, § χ</w:t>
      </w:r>
      <w:r w:rsidRPr="009D6FFA">
        <w:rPr>
          <w:rFonts w:cs="Calibri"/>
          <w:vertAlign w:val="superscript"/>
        </w:rPr>
        <w:t>2</w:t>
      </w:r>
      <w:r>
        <w:rPr>
          <w:rFonts w:cs="Calibri"/>
        </w:rPr>
        <w:t xml:space="preserve"> test, ¶ Mann-Whitney U test</w:t>
      </w:r>
    </w:p>
    <w:p w14:paraId="303385CF" w14:textId="13859500" w:rsidR="00E46153" w:rsidRDefault="00705F85" w:rsidP="00D801D6">
      <w:pPr>
        <w:spacing w:line="480" w:lineRule="auto"/>
        <w:rPr>
          <w:rFonts w:cs="Calibri"/>
        </w:rPr>
      </w:pPr>
      <w:r>
        <w:rPr>
          <w:rFonts w:cs="Calibri"/>
        </w:rPr>
        <w:t>Table 3</w:t>
      </w:r>
      <w:r w:rsidR="004F09D0">
        <w:rPr>
          <w:rFonts w:cs="Calibri"/>
        </w:rPr>
        <w:t>: Nutritional status</w:t>
      </w:r>
    </w:p>
    <w:tbl>
      <w:tblPr>
        <w:tblStyle w:val="TableGrid"/>
        <w:tblW w:w="0" w:type="auto"/>
        <w:tblLook w:val="04A0" w:firstRow="1" w:lastRow="0" w:firstColumn="1" w:lastColumn="0" w:noHBand="0" w:noVBand="1"/>
      </w:tblPr>
      <w:tblGrid>
        <w:gridCol w:w="2310"/>
        <w:gridCol w:w="2310"/>
        <w:gridCol w:w="2311"/>
        <w:gridCol w:w="2311"/>
      </w:tblGrid>
      <w:tr w:rsidR="00705F85" w14:paraId="60893BAB" w14:textId="77777777" w:rsidTr="00705F85">
        <w:tc>
          <w:tcPr>
            <w:tcW w:w="2310" w:type="dxa"/>
          </w:tcPr>
          <w:p w14:paraId="408AB045" w14:textId="77777777" w:rsidR="00705F85" w:rsidRDefault="00705F85" w:rsidP="00D801D6">
            <w:pPr>
              <w:spacing w:before="0" w:beforeAutospacing="0" w:line="480" w:lineRule="auto"/>
            </w:pPr>
          </w:p>
        </w:tc>
        <w:tc>
          <w:tcPr>
            <w:tcW w:w="2310" w:type="dxa"/>
          </w:tcPr>
          <w:p w14:paraId="23991F42" w14:textId="77777777" w:rsidR="00705F85" w:rsidRDefault="00705F85" w:rsidP="00D801D6">
            <w:pPr>
              <w:spacing w:before="0" w:beforeAutospacing="0" w:line="480" w:lineRule="auto"/>
              <w:jc w:val="center"/>
            </w:pPr>
            <w:r>
              <w:t>&lt;10% weight loss, n=111</w:t>
            </w:r>
          </w:p>
        </w:tc>
        <w:tc>
          <w:tcPr>
            <w:tcW w:w="2311" w:type="dxa"/>
          </w:tcPr>
          <w:p w14:paraId="4450F8CC" w14:textId="77777777" w:rsidR="00705F85" w:rsidRDefault="00705F85" w:rsidP="00D801D6">
            <w:pPr>
              <w:spacing w:before="0" w:beforeAutospacing="0" w:line="480" w:lineRule="auto"/>
              <w:jc w:val="center"/>
            </w:pPr>
            <w:r>
              <w:rPr>
                <w:rFonts w:cstheme="minorHAnsi"/>
              </w:rPr>
              <w:t>≥</w:t>
            </w:r>
            <w:r>
              <w:t>10% weight loss, n=40</w:t>
            </w:r>
          </w:p>
        </w:tc>
        <w:tc>
          <w:tcPr>
            <w:tcW w:w="2311" w:type="dxa"/>
          </w:tcPr>
          <w:p w14:paraId="7165916F" w14:textId="77777777" w:rsidR="00705F85" w:rsidRDefault="00705F85" w:rsidP="00D801D6">
            <w:pPr>
              <w:spacing w:before="0" w:beforeAutospacing="0" w:line="480" w:lineRule="auto"/>
              <w:jc w:val="center"/>
            </w:pPr>
            <w:r w:rsidRPr="00454061">
              <w:t>P value</w:t>
            </w:r>
          </w:p>
        </w:tc>
      </w:tr>
      <w:tr w:rsidR="00705F85" w14:paraId="0450607C" w14:textId="77777777" w:rsidTr="00705F85">
        <w:tc>
          <w:tcPr>
            <w:tcW w:w="2310" w:type="dxa"/>
          </w:tcPr>
          <w:p w14:paraId="0BC30224" w14:textId="1086227C" w:rsidR="00705F85" w:rsidRDefault="00705F85" w:rsidP="00D801D6">
            <w:pPr>
              <w:spacing w:before="0" w:beforeAutospacing="0" w:line="480" w:lineRule="auto"/>
              <w:rPr>
                <w:rFonts w:cs="Calibri"/>
              </w:rPr>
            </w:pPr>
            <w:r>
              <w:rPr>
                <w:rFonts w:cs="Calibri"/>
              </w:rPr>
              <w:t>Pre</w:t>
            </w:r>
            <w:r w:rsidR="00E17471">
              <w:rPr>
                <w:rFonts w:cs="Calibri"/>
              </w:rPr>
              <w:t>-</w:t>
            </w:r>
            <w:r>
              <w:rPr>
                <w:rFonts w:cs="Calibri"/>
              </w:rPr>
              <w:t>operative cT stage</w:t>
            </w:r>
          </w:p>
          <w:p w14:paraId="5335CB96" w14:textId="77777777" w:rsidR="00705F85" w:rsidRDefault="00705F85" w:rsidP="00D801D6">
            <w:pPr>
              <w:spacing w:before="0" w:beforeAutospacing="0" w:line="480" w:lineRule="auto"/>
              <w:rPr>
                <w:rFonts w:cs="Calibri"/>
              </w:rPr>
            </w:pPr>
            <w:r>
              <w:rPr>
                <w:rFonts w:cs="Calibri"/>
              </w:rPr>
              <w:t>0</w:t>
            </w:r>
          </w:p>
          <w:p w14:paraId="51D00F49" w14:textId="77777777" w:rsidR="00705F85" w:rsidRDefault="00705F85" w:rsidP="00D801D6">
            <w:pPr>
              <w:spacing w:before="0" w:beforeAutospacing="0" w:line="480" w:lineRule="auto"/>
              <w:rPr>
                <w:rFonts w:cs="Calibri"/>
              </w:rPr>
            </w:pPr>
            <w:r>
              <w:rPr>
                <w:rFonts w:cs="Calibri"/>
              </w:rPr>
              <w:t>1</w:t>
            </w:r>
          </w:p>
          <w:p w14:paraId="35E73C89" w14:textId="77777777" w:rsidR="00705F85" w:rsidRDefault="00705F85" w:rsidP="00D801D6">
            <w:pPr>
              <w:spacing w:before="0" w:beforeAutospacing="0" w:line="480" w:lineRule="auto"/>
              <w:rPr>
                <w:rFonts w:cs="Calibri"/>
              </w:rPr>
            </w:pPr>
            <w:r>
              <w:rPr>
                <w:rFonts w:cs="Calibri"/>
              </w:rPr>
              <w:t>2</w:t>
            </w:r>
          </w:p>
          <w:p w14:paraId="030A2585" w14:textId="77777777" w:rsidR="00705F85" w:rsidRDefault="00705F85" w:rsidP="00D801D6">
            <w:pPr>
              <w:spacing w:before="0" w:beforeAutospacing="0" w:line="480" w:lineRule="auto"/>
              <w:rPr>
                <w:rFonts w:cs="Calibri"/>
              </w:rPr>
            </w:pPr>
            <w:r>
              <w:rPr>
                <w:rFonts w:cs="Calibri"/>
              </w:rPr>
              <w:t>3</w:t>
            </w:r>
          </w:p>
          <w:p w14:paraId="374E1950" w14:textId="77777777" w:rsidR="00705F85" w:rsidRDefault="00705F85" w:rsidP="00D801D6">
            <w:pPr>
              <w:spacing w:before="0" w:beforeAutospacing="0" w:line="480" w:lineRule="auto"/>
              <w:rPr>
                <w:rFonts w:cs="Calibri"/>
              </w:rPr>
            </w:pPr>
            <w:r>
              <w:rPr>
                <w:rFonts w:cs="Calibri"/>
              </w:rPr>
              <w:t>4</w:t>
            </w:r>
          </w:p>
        </w:tc>
        <w:tc>
          <w:tcPr>
            <w:tcW w:w="2310" w:type="dxa"/>
          </w:tcPr>
          <w:p w14:paraId="4A2DDC2B" w14:textId="77777777" w:rsidR="00705F85" w:rsidRDefault="00705F85" w:rsidP="00D801D6">
            <w:pPr>
              <w:spacing w:before="0" w:beforeAutospacing="0" w:line="480" w:lineRule="auto"/>
              <w:jc w:val="center"/>
              <w:rPr>
                <w:rFonts w:cs="Calibri"/>
              </w:rPr>
            </w:pPr>
          </w:p>
          <w:p w14:paraId="5C6440C0" w14:textId="77777777" w:rsidR="00705F85" w:rsidRDefault="00705F85" w:rsidP="00D801D6">
            <w:pPr>
              <w:spacing w:before="0" w:beforeAutospacing="0" w:line="480" w:lineRule="auto"/>
              <w:jc w:val="center"/>
              <w:rPr>
                <w:rFonts w:cs="Calibri"/>
              </w:rPr>
            </w:pPr>
            <w:r>
              <w:rPr>
                <w:rFonts w:cs="Calibri"/>
              </w:rPr>
              <w:t>2 (1.8)</w:t>
            </w:r>
          </w:p>
          <w:p w14:paraId="0D14EB82" w14:textId="77777777" w:rsidR="00705F85" w:rsidRDefault="00705F85" w:rsidP="00D801D6">
            <w:pPr>
              <w:spacing w:before="0" w:beforeAutospacing="0" w:line="480" w:lineRule="auto"/>
              <w:jc w:val="center"/>
              <w:rPr>
                <w:rFonts w:cs="Calibri"/>
              </w:rPr>
            </w:pPr>
            <w:r>
              <w:rPr>
                <w:rFonts w:cs="Calibri"/>
              </w:rPr>
              <w:t>3 (2.7)</w:t>
            </w:r>
          </w:p>
          <w:p w14:paraId="769B80F6" w14:textId="77777777" w:rsidR="00705F85" w:rsidRDefault="00705F85" w:rsidP="00D801D6">
            <w:pPr>
              <w:spacing w:before="0" w:beforeAutospacing="0" w:line="480" w:lineRule="auto"/>
              <w:jc w:val="center"/>
              <w:rPr>
                <w:rFonts w:cs="Calibri"/>
              </w:rPr>
            </w:pPr>
            <w:r>
              <w:rPr>
                <w:rFonts w:cs="Calibri"/>
              </w:rPr>
              <w:t>32 (28.8)</w:t>
            </w:r>
          </w:p>
          <w:p w14:paraId="46AF5A0C" w14:textId="77777777" w:rsidR="00705F85" w:rsidRDefault="00705F85" w:rsidP="00D801D6">
            <w:pPr>
              <w:spacing w:before="0" w:beforeAutospacing="0" w:line="480" w:lineRule="auto"/>
              <w:jc w:val="center"/>
              <w:rPr>
                <w:rFonts w:cs="Calibri"/>
              </w:rPr>
            </w:pPr>
            <w:r>
              <w:rPr>
                <w:rFonts w:cs="Calibri"/>
              </w:rPr>
              <w:t>66 (59.5)</w:t>
            </w:r>
          </w:p>
          <w:p w14:paraId="501E61CA" w14:textId="77777777" w:rsidR="00705F85" w:rsidRDefault="00705F85" w:rsidP="00D801D6">
            <w:pPr>
              <w:spacing w:before="0" w:beforeAutospacing="0" w:line="480" w:lineRule="auto"/>
              <w:jc w:val="center"/>
              <w:rPr>
                <w:rFonts w:cs="Calibri"/>
              </w:rPr>
            </w:pPr>
            <w:r>
              <w:rPr>
                <w:rFonts w:cs="Calibri"/>
              </w:rPr>
              <w:t>8 (7.2)</w:t>
            </w:r>
          </w:p>
        </w:tc>
        <w:tc>
          <w:tcPr>
            <w:tcW w:w="2311" w:type="dxa"/>
          </w:tcPr>
          <w:p w14:paraId="389A5DA5" w14:textId="77777777" w:rsidR="00705F85" w:rsidRDefault="00705F85" w:rsidP="00D801D6">
            <w:pPr>
              <w:spacing w:before="0" w:beforeAutospacing="0" w:line="480" w:lineRule="auto"/>
              <w:jc w:val="center"/>
              <w:rPr>
                <w:rFonts w:cs="Calibri"/>
              </w:rPr>
            </w:pPr>
          </w:p>
          <w:p w14:paraId="150765ED" w14:textId="77777777" w:rsidR="00705F85" w:rsidRDefault="00705F85" w:rsidP="00D801D6">
            <w:pPr>
              <w:spacing w:before="0" w:beforeAutospacing="0" w:line="480" w:lineRule="auto"/>
              <w:jc w:val="center"/>
              <w:rPr>
                <w:rFonts w:cs="Calibri"/>
              </w:rPr>
            </w:pPr>
            <w:r>
              <w:rPr>
                <w:rFonts w:cs="Calibri"/>
              </w:rPr>
              <w:t>0</w:t>
            </w:r>
          </w:p>
          <w:p w14:paraId="57DDE68D" w14:textId="77777777" w:rsidR="00705F85" w:rsidRDefault="00705F85" w:rsidP="00D801D6">
            <w:pPr>
              <w:spacing w:before="0" w:beforeAutospacing="0" w:line="480" w:lineRule="auto"/>
              <w:jc w:val="center"/>
              <w:rPr>
                <w:rFonts w:cs="Calibri"/>
              </w:rPr>
            </w:pPr>
            <w:r>
              <w:rPr>
                <w:rFonts w:cs="Calibri"/>
              </w:rPr>
              <w:t>0</w:t>
            </w:r>
          </w:p>
          <w:p w14:paraId="76E28490" w14:textId="77777777" w:rsidR="00705F85" w:rsidRDefault="00705F85" w:rsidP="00D801D6">
            <w:pPr>
              <w:spacing w:before="0" w:beforeAutospacing="0" w:line="480" w:lineRule="auto"/>
              <w:jc w:val="center"/>
              <w:rPr>
                <w:rFonts w:cs="Calibri"/>
              </w:rPr>
            </w:pPr>
            <w:r>
              <w:rPr>
                <w:rFonts w:cs="Calibri"/>
              </w:rPr>
              <w:t>3 (7.5)</w:t>
            </w:r>
          </w:p>
          <w:p w14:paraId="6B04843E" w14:textId="77777777" w:rsidR="00705F85" w:rsidRDefault="00705F85" w:rsidP="00D801D6">
            <w:pPr>
              <w:spacing w:before="0" w:beforeAutospacing="0" w:line="480" w:lineRule="auto"/>
              <w:jc w:val="center"/>
              <w:rPr>
                <w:rFonts w:cs="Calibri"/>
              </w:rPr>
            </w:pPr>
            <w:r>
              <w:rPr>
                <w:rFonts w:cs="Calibri"/>
              </w:rPr>
              <w:t>29 (72.5)</w:t>
            </w:r>
          </w:p>
          <w:p w14:paraId="27522926" w14:textId="77777777" w:rsidR="00705F85" w:rsidRDefault="00705F85" w:rsidP="00D801D6">
            <w:pPr>
              <w:spacing w:before="0" w:beforeAutospacing="0" w:line="480" w:lineRule="auto"/>
              <w:jc w:val="center"/>
              <w:rPr>
                <w:rFonts w:cs="Calibri"/>
              </w:rPr>
            </w:pPr>
            <w:r>
              <w:rPr>
                <w:rFonts w:cs="Calibri"/>
              </w:rPr>
              <w:t>8 (20.0)</w:t>
            </w:r>
          </w:p>
        </w:tc>
        <w:tc>
          <w:tcPr>
            <w:tcW w:w="2311" w:type="dxa"/>
          </w:tcPr>
          <w:p w14:paraId="16015C91" w14:textId="77777777" w:rsidR="00705F85" w:rsidRDefault="00705F85" w:rsidP="00D801D6">
            <w:pPr>
              <w:spacing w:before="0" w:beforeAutospacing="0" w:line="480" w:lineRule="auto"/>
              <w:jc w:val="center"/>
              <w:rPr>
                <w:rFonts w:cs="Calibri"/>
              </w:rPr>
            </w:pPr>
          </w:p>
          <w:p w14:paraId="4D48DE46" w14:textId="74077DA8" w:rsidR="00705F85" w:rsidRDefault="005B4976" w:rsidP="00D801D6">
            <w:pPr>
              <w:spacing w:before="0" w:beforeAutospacing="0" w:line="480" w:lineRule="auto"/>
              <w:jc w:val="center"/>
              <w:rPr>
                <w:rFonts w:cs="Calibri"/>
              </w:rPr>
            </w:pPr>
            <w:r>
              <w:rPr>
                <w:rFonts w:cs="Calibri"/>
              </w:rPr>
              <w:t>0.01</w:t>
            </w:r>
            <w:r w:rsidR="00705F85">
              <w:rPr>
                <w:rFonts w:cs="Calibri"/>
              </w:rPr>
              <w:t>* §</w:t>
            </w:r>
          </w:p>
          <w:p w14:paraId="7F83F4B9" w14:textId="77777777" w:rsidR="00705F85" w:rsidRDefault="00705F85" w:rsidP="00D801D6">
            <w:pPr>
              <w:spacing w:before="0" w:beforeAutospacing="0" w:line="480" w:lineRule="auto"/>
              <w:jc w:val="center"/>
              <w:rPr>
                <w:rFonts w:cs="Calibri"/>
              </w:rPr>
            </w:pPr>
          </w:p>
        </w:tc>
      </w:tr>
      <w:tr w:rsidR="00705F85" w14:paraId="4495EF93" w14:textId="77777777" w:rsidTr="00705F85">
        <w:tc>
          <w:tcPr>
            <w:tcW w:w="2310" w:type="dxa"/>
          </w:tcPr>
          <w:p w14:paraId="1A923184" w14:textId="53A22E74" w:rsidR="00705F85" w:rsidRDefault="00705F85" w:rsidP="00D801D6">
            <w:pPr>
              <w:spacing w:before="0" w:beforeAutospacing="0" w:line="480" w:lineRule="auto"/>
              <w:rPr>
                <w:rFonts w:cs="Calibri"/>
              </w:rPr>
            </w:pPr>
            <w:r>
              <w:rPr>
                <w:rFonts w:cs="Calibri"/>
              </w:rPr>
              <w:t>Pre</w:t>
            </w:r>
            <w:r w:rsidR="00E17471">
              <w:rPr>
                <w:rFonts w:cs="Calibri"/>
              </w:rPr>
              <w:t>-</w:t>
            </w:r>
            <w:r>
              <w:rPr>
                <w:rFonts w:cs="Calibri"/>
              </w:rPr>
              <w:t>operative cN stage</w:t>
            </w:r>
          </w:p>
          <w:p w14:paraId="75825ED4" w14:textId="77777777" w:rsidR="00705F85" w:rsidRDefault="00705F85" w:rsidP="00D801D6">
            <w:pPr>
              <w:spacing w:before="0" w:beforeAutospacing="0" w:line="480" w:lineRule="auto"/>
              <w:rPr>
                <w:rFonts w:cs="Calibri"/>
              </w:rPr>
            </w:pPr>
            <w:r>
              <w:rPr>
                <w:rFonts w:cs="Calibri"/>
              </w:rPr>
              <w:t>0</w:t>
            </w:r>
          </w:p>
          <w:p w14:paraId="257CEEF7" w14:textId="77777777" w:rsidR="00705F85" w:rsidRDefault="00705F85" w:rsidP="00D801D6">
            <w:pPr>
              <w:spacing w:before="0" w:beforeAutospacing="0" w:line="480" w:lineRule="auto"/>
              <w:rPr>
                <w:rFonts w:cs="Calibri"/>
              </w:rPr>
            </w:pPr>
            <w:r>
              <w:rPr>
                <w:rFonts w:cs="Calibri"/>
              </w:rPr>
              <w:t>1</w:t>
            </w:r>
          </w:p>
          <w:p w14:paraId="44E84EA0" w14:textId="77777777" w:rsidR="00705F85" w:rsidRDefault="00705F85" w:rsidP="00D801D6">
            <w:pPr>
              <w:spacing w:before="0" w:beforeAutospacing="0" w:line="480" w:lineRule="auto"/>
              <w:rPr>
                <w:rFonts w:cs="Calibri"/>
              </w:rPr>
            </w:pPr>
            <w:r>
              <w:rPr>
                <w:rFonts w:cs="Calibri"/>
              </w:rPr>
              <w:t>2</w:t>
            </w:r>
          </w:p>
          <w:p w14:paraId="1F1D2240" w14:textId="77777777" w:rsidR="00705F85" w:rsidRDefault="00705F85" w:rsidP="00D801D6">
            <w:pPr>
              <w:spacing w:before="0" w:beforeAutospacing="0" w:line="480" w:lineRule="auto"/>
              <w:rPr>
                <w:rFonts w:cs="Calibri"/>
              </w:rPr>
            </w:pPr>
            <w:r>
              <w:rPr>
                <w:rFonts w:cs="Calibri"/>
              </w:rPr>
              <w:lastRenderedPageBreak/>
              <w:t>3</w:t>
            </w:r>
          </w:p>
        </w:tc>
        <w:tc>
          <w:tcPr>
            <w:tcW w:w="2310" w:type="dxa"/>
          </w:tcPr>
          <w:p w14:paraId="3BB7A7B9" w14:textId="77777777" w:rsidR="00705F85" w:rsidRDefault="00705F85" w:rsidP="00D801D6">
            <w:pPr>
              <w:spacing w:before="0" w:beforeAutospacing="0" w:line="480" w:lineRule="auto"/>
              <w:jc w:val="center"/>
              <w:rPr>
                <w:rFonts w:cs="Calibri"/>
              </w:rPr>
            </w:pPr>
          </w:p>
          <w:p w14:paraId="0FAA4013" w14:textId="77777777" w:rsidR="00705F85" w:rsidRDefault="00705F85" w:rsidP="00D801D6">
            <w:pPr>
              <w:spacing w:before="0" w:beforeAutospacing="0" w:line="480" w:lineRule="auto"/>
              <w:jc w:val="center"/>
              <w:rPr>
                <w:rFonts w:cs="Calibri"/>
              </w:rPr>
            </w:pPr>
            <w:r>
              <w:rPr>
                <w:rFonts w:cs="Calibri"/>
              </w:rPr>
              <w:t>32 (28.8)</w:t>
            </w:r>
          </w:p>
          <w:p w14:paraId="1168C08B" w14:textId="77777777" w:rsidR="00705F85" w:rsidRDefault="00705F85" w:rsidP="00D801D6">
            <w:pPr>
              <w:spacing w:before="0" w:beforeAutospacing="0" w:line="480" w:lineRule="auto"/>
              <w:jc w:val="center"/>
              <w:rPr>
                <w:rFonts w:cs="Calibri"/>
              </w:rPr>
            </w:pPr>
            <w:r>
              <w:rPr>
                <w:rFonts w:cs="Calibri"/>
              </w:rPr>
              <w:t>58 (52.3)</w:t>
            </w:r>
          </w:p>
          <w:p w14:paraId="7AAF4B57" w14:textId="77777777" w:rsidR="00705F85" w:rsidRDefault="00705F85" w:rsidP="00D801D6">
            <w:pPr>
              <w:spacing w:before="0" w:beforeAutospacing="0" w:line="480" w:lineRule="auto"/>
              <w:jc w:val="center"/>
              <w:rPr>
                <w:rFonts w:cs="Calibri"/>
              </w:rPr>
            </w:pPr>
            <w:r>
              <w:rPr>
                <w:rFonts w:cs="Calibri"/>
              </w:rPr>
              <w:t>21 (18.9)</w:t>
            </w:r>
          </w:p>
          <w:p w14:paraId="31EA474F" w14:textId="77777777" w:rsidR="00705F85" w:rsidRDefault="00705F85" w:rsidP="00D801D6">
            <w:pPr>
              <w:spacing w:before="0" w:beforeAutospacing="0" w:line="480" w:lineRule="auto"/>
              <w:jc w:val="center"/>
              <w:rPr>
                <w:rFonts w:cs="Calibri"/>
              </w:rPr>
            </w:pPr>
            <w:r>
              <w:rPr>
                <w:rFonts w:cs="Calibri"/>
              </w:rPr>
              <w:lastRenderedPageBreak/>
              <w:t>0</w:t>
            </w:r>
          </w:p>
        </w:tc>
        <w:tc>
          <w:tcPr>
            <w:tcW w:w="2311" w:type="dxa"/>
          </w:tcPr>
          <w:p w14:paraId="03BE8189" w14:textId="77777777" w:rsidR="00705F85" w:rsidRDefault="00705F85" w:rsidP="00D801D6">
            <w:pPr>
              <w:spacing w:before="0" w:beforeAutospacing="0" w:line="480" w:lineRule="auto"/>
              <w:jc w:val="center"/>
              <w:rPr>
                <w:rFonts w:cs="Calibri"/>
              </w:rPr>
            </w:pPr>
          </w:p>
          <w:p w14:paraId="3E7C2476" w14:textId="77777777" w:rsidR="00705F85" w:rsidRDefault="00705F85" w:rsidP="00D801D6">
            <w:pPr>
              <w:spacing w:before="0" w:beforeAutospacing="0" w:line="480" w:lineRule="auto"/>
              <w:jc w:val="center"/>
              <w:rPr>
                <w:rFonts w:cs="Calibri"/>
              </w:rPr>
            </w:pPr>
            <w:r>
              <w:rPr>
                <w:rFonts w:cs="Calibri"/>
              </w:rPr>
              <w:t>7 (17.5)</w:t>
            </w:r>
          </w:p>
          <w:p w14:paraId="3B8F857B" w14:textId="77777777" w:rsidR="00705F85" w:rsidRDefault="00705F85" w:rsidP="00D801D6">
            <w:pPr>
              <w:spacing w:before="0" w:beforeAutospacing="0" w:line="480" w:lineRule="auto"/>
              <w:jc w:val="center"/>
              <w:rPr>
                <w:rFonts w:cs="Calibri"/>
              </w:rPr>
            </w:pPr>
            <w:r>
              <w:rPr>
                <w:rFonts w:cs="Calibri"/>
              </w:rPr>
              <w:t>23 (57.5)</w:t>
            </w:r>
          </w:p>
          <w:p w14:paraId="0C008585" w14:textId="77777777" w:rsidR="00705F85" w:rsidRDefault="00705F85" w:rsidP="00D801D6">
            <w:pPr>
              <w:spacing w:before="0" w:beforeAutospacing="0" w:line="480" w:lineRule="auto"/>
              <w:jc w:val="center"/>
              <w:rPr>
                <w:rFonts w:cs="Calibri"/>
              </w:rPr>
            </w:pPr>
            <w:r>
              <w:rPr>
                <w:rFonts w:cs="Calibri"/>
              </w:rPr>
              <w:t>9 (22.5)</w:t>
            </w:r>
          </w:p>
          <w:p w14:paraId="0B0EFDE3" w14:textId="77777777" w:rsidR="00705F85" w:rsidRDefault="00705F85" w:rsidP="00D801D6">
            <w:pPr>
              <w:spacing w:before="0" w:beforeAutospacing="0" w:line="480" w:lineRule="auto"/>
              <w:jc w:val="center"/>
              <w:rPr>
                <w:rFonts w:cs="Calibri"/>
              </w:rPr>
            </w:pPr>
            <w:r>
              <w:rPr>
                <w:rFonts w:cs="Calibri"/>
              </w:rPr>
              <w:lastRenderedPageBreak/>
              <w:t>1 (2.5)</w:t>
            </w:r>
          </w:p>
        </w:tc>
        <w:tc>
          <w:tcPr>
            <w:tcW w:w="2311" w:type="dxa"/>
          </w:tcPr>
          <w:p w14:paraId="592E9447" w14:textId="77777777" w:rsidR="00705F85" w:rsidRDefault="00705F85" w:rsidP="00D801D6">
            <w:pPr>
              <w:spacing w:before="0" w:beforeAutospacing="0" w:line="480" w:lineRule="auto"/>
              <w:jc w:val="center"/>
              <w:rPr>
                <w:rFonts w:cs="Calibri"/>
              </w:rPr>
            </w:pPr>
          </w:p>
          <w:p w14:paraId="6AFB4514" w14:textId="4B9A8B1B" w:rsidR="00705F85" w:rsidRDefault="005B4976" w:rsidP="00D801D6">
            <w:pPr>
              <w:spacing w:before="0" w:beforeAutospacing="0" w:line="480" w:lineRule="auto"/>
              <w:jc w:val="center"/>
              <w:rPr>
                <w:rFonts w:cs="Calibri"/>
              </w:rPr>
            </w:pPr>
            <w:r>
              <w:rPr>
                <w:rFonts w:cs="Calibri"/>
              </w:rPr>
              <w:t>0.2</w:t>
            </w:r>
            <w:r w:rsidR="00705F85">
              <w:rPr>
                <w:rFonts w:cs="Calibri"/>
              </w:rPr>
              <w:t xml:space="preserve"> §</w:t>
            </w:r>
          </w:p>
        </w:tc>
      </w:tr>
      <w:tr w:rsidR="00705F85" w14:paraId="60A64114" w14:textId="77777777" w:rsidTr="00705F85">
        <w:tc>
          <w:tcPr>
            <w:tcW w:w="2310" w:type="dxa"/>
          </w:tcPr>
          <w:p w14:paraId="4714B60A" w14:textId="77777777" w:rsidR="00705F85" w:rsidRDefault="00705F85" w:rsidP="00D801D6">
            <w:pPr>
              <w:spacing w:before="0" w:beforeAutospacing="0" w:line="480" w:lineRule="auto"/>
              <w:rPr>
                <w:rFonts w:cs="Calibri"/>
              </w:rPr>
            </w:pPr>
            <w:r>
              <w:rPr>
                <w:rFonts w:cs="Calibri"/>
              </w:rPr>
              <w:lastRenderedPageBreak/>
              <w:t>Neoadjuvant treatment (NAT)</w:t>
            </w:r>
          </w:p>
          <w:p w14:paraId="00987D18" w14:textId="77777777" w:rsidR="00705F85" w:rsidRDefault="00705F85" w:rsidP="00D801D6">
            <w:pPr>
              <w:spacing w:before="0" w:beforeAutospacing="0" w:line="480" w:lineRule="auto"/>
              <w:rPr>
                <w:rFonts w:cs="Calibri"/>
              </w:rPr>
            </w:pPr>
            <w:r>
              <w:rPr>
                <w:rFonts w:cs="Calibri"/>
              </w:rPr>
              <w:t>Chemotherapy</w:t>
            </w:r>
          </w:p>
          <w:p w14:paraId="7503C4ED" w14:textId="77777777" w:rsidR="00705F85" w:rsidRDefault="00705F85" w:rsidP="00D801D6">
            <w:pPr>
              <w:spacing w:before="0" w:beforeAutospacing="0" w:line="480" w:lineRule="auto"/>
              <w:rPr>
                <w:rFonts w:cs="Calibri"/>
              </w:rPr>
            </w:pPr>
            <w:r>
              <w:rPr>
                <w:rFonts w:cs="Calibri"/>
              </w:rPr>
              <w:t>Chemoradiotherapy</w:t>
            </w:r>
          </w:p>
          <w:p w14:paraId="2CA6B5AE" w14:textId="77777777" w:rsidR="00705F85" w:rsidRDefault="00705F85" w:rsidP="00D801D6">
            <w:pPr>
              <w:spacing w:before="0" w:beforeAutospacing="0" w:line="480" w:lineRule="auto"/>
              <w:rPr>
                <w:rFonts w:cs="Calibri"/>
              </w:rPr>
            </w:pPr>
            <w:r>
              <w:rPr>
                <w:rFonts w:cs="Calibri"/>
              </w:rPr>
              <w:t>Did not receive NAT</w:t>
            </w:r>
          </w:p>
        </w:tc>
        <w:tc>
          <w:tcPr>
            <w:tcW w:w="2310" w:type="dxa"/>
          </w:tcPr>
          <w:p w14:paraId="1294A3B7" w14:textId="77777777" w:rsidR="00705F85" w:rsidRDefault="00705F85" w:rsidP="00D801D6">
            <w:pPr>
              <w:spacing w:before="0" w:beforeAutospacing="0" w:line="480" w:lineRule="auto"/>
              <w:jc w:val="center"/>
            </w:pPr>
          </w:p>
          <w:p w14:paraId="6B594C3D" w14:textId="77777777" w:rsidR="00705F85" w:rsidRDefault="00705F85" w:rsidP="00D801D6">
            <w:pPr>
              <w:spacing w:before="0" w:beforeAutospacing="0" w:line="480" w:lineRule="auto"/>
              <w:jc w:val="center"/>
            </w:pPr>
          </w:p>
          <w:p w14:paraId="5BCEB92B" w14:textId="77777777" w:rsidR="00705F85" w:rsidRDefault="00705F85" w:rsidP="00D801D6">
            <w:pPr>
              <w:spacing w:before="0" w:beforeAutospacing="0" w:line="480" w:lineRule="auto"/>
              <w:jc w:val="center"/>
            </w:pPr>
            <w:r>
              <w:t>23 (20.7)</w:t>
            </w:r>
          </w:p>
          <w:p w14:paraId="24A28DF3" w14:textId="77777777" w:rsidR="00705F85" w:rsidRDefault="00705F85" w:rsidP="00D801D6">
            <w:pPr>
              <w:spacing w:before="0" w:beforeAutospacing="0" w:line="480" w:lineRule="auto"/>
              <w:jc w:val="center"/>
            </w:pPr>
            <w:r>
              <w:t>55 (49.5)</w:t>
            </w:r>
          </w:p>
          <w:p w14:paraId="0B2C6944" w14:textId="77777777" w:rsidR="00705F85" w:rsidRDefault="00705F85" w:rsidP="00D801D6">
            <w:pPr>
              <w:spacing w:before="0" w:beforeAutospacing="0" w:line="480" w:lineRule="auto"/>
              <w:jc w:val="center"/>
            </w:pPr>
            <w:r>
              <w:t>33 (29.7)</w:t>
            </w:r>
          </w:p>
        </w:tc>
        <w:tc>
          <w:tcPr>
            <w:tcW w:w="2311" w:type="dxa"/>
          </w:tcPr>
          <w:p w14:paraId="41CEFBD8" w14:textId="77777777" w:rsidR="00705F85" w:rsidRDefault="00705F85" w:rsidP="00D801D6">
            <w:pPr>
              <w:spacing w:before="0" w:beforeAutospacing="0" w:line="480" w:lineRule="auto"/>
              <w:jc w:val="center"/>
            </w:pPr>
          </w:p>
          <w:p w14:paraId="3CA05267" w14:textId="77777777" w:rsidR="00705F85" w:rsidRDefault="00705F85" w:rsidP="00D801D6">
            <w:pPr>
              <w:spacing w:before="0" w:beforeAutospacing="0" w:line="480" w:lineRule="auto"/>
              <w:jc w:val="center"/>
            </w:pPr>
          </w:p>
          <w:p w14:paraId="6D861773" w14:textId="77777777" w:rsidR="00705F85" w:rsidRDefault="00705F85" w:rsidP="00D801D6">
            <w:pPr>
              <w:spacing w:before="0" w:beforeAutospacing="0" w:line="480" w:lineRule="auto"/>
              <w:jc w:val="center"/>
            </w:pPr>
            <w:r>
              <w:t>12 (30.0)</w:t>
            </w:r>
          </w:p>
          <w:p w14:paraId="4C3E9568" w14:textId="77777777" w:rsidR="00705F85" w:rsidRDefault="00705F85" w:rsidP="00D801D6">
            <w:pPr>
              <w:spacing w:before="0" w:beforeAutospacing="0" w:line="480" w:lineRule="auto"/>
              <w:jc w:val="center"/>
            </w:pPr>
            <w:r>
              <w:t>24 (60.0)</w:t>
            </w:r>
          </w:p>
          <w:p w14:paraId="17F68FB9" w14:textId="77777777" w:rsidR="00705F85" w:rsidRDefault="00705F85" w:rsidP="00D801D6">
            <w:pPr>
              <w:spacing w:before="0" w:beforeAutospacing="0" w:line="480" w:lineRule="auto"/>
              <w:jc w:val="center"/>
            </w:pPr>
            <w:r>
              <w:t>4 (10.0)</w:t>
            </w:r>
          </w:p>
        </w:tc>
        <w:tc>
          <w:tcPr>
            <w:tcW w:w="2311" w:type="dxa"/>
          </w:tcPr>
          <w:p w14:paraId="68F476FC" w14:textId="77777777" w:rsidR="00705F85" w:rsidRDefault="00705F85" w:rsidP="00D801D6">
            <w:pPr>
              <w:spacing w:before="0" w:beforeAutospacing="0" w:line="480" w:lineRule="auto"/>
              <w:jc w:val="center"/>
            </w:pPr>
          </w:p>
          <w:p w14:paraId="05858608" w14:textId="77777777" w:rsidR="00705F85" w:rsidRDefault="00705F85" w:rsidP="00D801D6">
            <w:pPr>
              <w:spacing w:before="0" w:beforeAutospacing="0" w:line="480" w:lineRule="auto"/>
              <w:jc w:val="center"/>
            </w:pPr>
          </w:p>
          <w:p w14:paraId="6E738445" w14:textId="3E0C93F1" w:rsidR="00705F85" w:rsidRDefault="005B4976" w:rsidP="00D801D6">
            <w:pPr>
              <w:spacing w:before="0" w:beforeAutospacing="0" w:line="480" w:lineRule="auto"/>
              <w:jc w:val="center"/>
            </w:pPr>
            <w:r>
              <w:rPr>
                <w:rFonts w:cs="Calibri"/>
              </w:rPr>
              <w:t>&lt;0.05</w:t>
            </w:r>
            <w:r w:rsidR="00705F85">
              <w:rPr>
                <w:rFonts w:cs="Calibri"/>
              </w:rPr>
              <w:t>* §</w:t>
            </w:r>
          </w:p>
        </w:tc>
      </w:tr>
      <w:tr w:rsidR="00D04D6C" w14:paraId="5AF0962D" w14:textId="77777777" w:rsidTr="00705F85">
        <w:tc>
          <w:tcPr>
            <w:tcW w:w="2310" w:type="dxa"/>
          </w:tcPr>
          <w:p w14:paraId="67C9614B" w14:textId="77777777" w:rsidR="00D04D6C" w:rsidRDefault="00D04D6C" w:rsidP="00D801D6">
            <w:pPr>
              <w:spacing w:before="0" w:beforeAutospacing="0" w:line="480" w:lineRule="auto"/>
            </w:pPr>
            <w:r>
              <w:t>Clavien Dindo complications &gt;3b</w:t>
            </w:r>
          </w:p>
          <w:p w14:paraId="33A67342" w14:textId="77777777" w:rsidR="00D04D6C" w:rsidRDefault="00D04D6C" w:rsidP="00D801D6">
            <w:pPr>
              <w:spacing w:before="0" w:beforeAutospacing="0" w:line="480" w:lineRule="auto"/>
            </w:pPr>
            <w:r>
              <w:t>Yes</w:t>
            </w:r>
          </w:p>
          <w:p w14:paraId="17D56A44" w14:textId="13A06BDE" w:rsidR="00D04D6C" w:rsidRDefault="00D04D6C" w:rsidP="00D801D6">
            <w:pPr>
              <w:spacing w:before="0" w:beforeAutospacing="0" w:line="480" w:lineRule="auto"/>
            </w:pPr>
            <w:r>
              <w:t>No</w:t>
            </w:r>
          </w:p>
        </w:tc>
        <w:tc>
          <w:tcPr>
            <w:tcW w:w="2310" w:type="dxa"/>
          </w:tcPr>
          <w:p w14:paraId="7C426461" w14:textId="77777777" w:rsidR="00D04D6C" w:rsidRDefault="00D04D6C" w:rsidP="00D801D6">
            <w:pPr>
              <w:spacing w:before="0" w:beforeAutospacing="0" w:line="480" w:lineRule="auto"/>
              <w:jc w:val="center"/>
            </w:pPr>
          </w:p>
          <w:p w14:paraId="1A11C82A" w14:textId="77777777" w:rsidR="00D04D6C" w:rsidRDefault="00D04D6C" w:rsidP="00D801D6">
            <w:pPr>
              <w:spacing w:before="0" w:beforeAutospacing="0" w:line="480" w:lineRule="auto"/>
              <w:jc w:val="center"/>
            </w:pPr>
          </w:p>
          <w:p w14:paraId="3738AE87" w14:textId="77777777" w:rsidR="00D04D6C" w:rsidRDefault="00D04D6C" w:rsidP="00D801D6">
            <w:pPr>
              <w:spacing w:before="0" w:beforeAutospacing="0" w:line="480" w:lineRule="auto"/>
              <w:jc w:val="center"/>
            </w:pPr>
            <w:r>
              <w:t>22 (19.8)</w:t>
            </w:r>
          </w:p>
          <w:p w14:paraId="6312678C" w14:textId="148C3E86" w:rsidR="00D04D6C" w:rsidRDefault="00D04D6C" w:rsidP="00D801D6">
            <w:pPr>
              <w:spacing w:before="0" w:beforeAutospacing="0" w:line="480" w:lineRule="auto"/>
              <w:jc w:val="center"/>
            </w:pPr>
            <w:r>
              <w:t>89 (80.2)</w:t>
            </w:r>
          </w:p>
        </w:tc>
        <w:tc>
          <w:tcPr>
            <w:tcW w:w="2311" w:type="dxa"/>
          </w:tcPr>
          <w:p w14:paraId="407FF25C" w14:textId="77777777" w:rsidR="00D04D6C" w:rsidRDefault="00D04D6C" w:rsidP="00D801D6">
            <w:pPr>
              <w:spacing w:before="0" w:beforeAutospacing="0" w:line="480" w:lineRule="auto"/>
              <w:jc w:val="center"/>
            </w:pPr>
          </w:p>
          <w:p w14:paraId="07819090" w14:textId="77777777" w:rsidR="00D04D6C" w:rsidRDefault="00D04D6C" w:rsidP="00D801D6">
            <w:pPr>
              <w:spacing w:before="0" w:beforeAutospacing="0" w:line="480" w:lineRule="auto"/>
              <w:jc w:val="center"/>
            </w:pPr>
          </w:p>
          <w:p w14:paraId="10938F53" w14:textId="77777777" w:rsidR="00D04D6C" w:rsidRDefault="00D04D6C" w:rsidP="00D801D6">
            <w:pPr>
              <w:spacing w:before="0" w:beforeAutospacing="0" w:line="480" w:lineRule="auto"/>
              <w:jc w:val="center"/>
            </w:pPr>
            <w:r>
              <w:t>10 (25.0)</w:t>
            </w:r>
          </w:p>
          <w:p w14:paraId="5843EC16" w14:textId="07EE20AC" w:rsidR="00D04D6C" w:rsidRDefault="00D04D6C" w:rsidP="00D801D6">
            <w:pPr>
              <w:spacing w:before="0" w:beforeAutospacing="0" w:line="480" w:lineRule="auto"/>
              <w:jc w:val="center"/>
            </w:pPr>
            <w:r>
              <w:t>30 (75.0)</w:t>
            </w:r>
          </w:p>
        </w:tc>
        <w:tc>
          <w:tcPr>
            <w:tcW w:w="2311" w:type="dxa"/>
          </w:tcPr>
          <w:p w14:paraId="55681ED4" w14:textId="77777777" w:rsidR="00D04D6C" w:rsidRDefault="00D04D6C" w:rsidP="00D801D6">
            <w:pPr>
              <w:spacing w:before="0" w:beforeAutospacing="0" w:line="480" w:lineRule="auto"/>
              <w:jc w:val="center"/>
            </w:pPr>
          </w:p>
          <w:p w14:paraId="16739BA3" w14:textId="77777777" w:rsidR="00D04D6C" w:rsidRDefault="00D04D6C" w:rsidP="00D801D6">
            <w:pPr>
              <w:spacing w:before="0" w:beforeAutospacing="0" w:line="480" w:lineRule="auto"/>
              <w:jc w:val="center"/>
            </w:pPr>
          </w:p>
          <w:p w14:paraId="6C266FEA" w14:textId="7E74E9FE" w:rsidR="00D04D6C" w:rsidRPr="006D1169" w:rsidRDefault="005B4976" w:rsidP="00D801D6">
            <w:pPr>
              <w:pStyle w:val="ListParagraph"/>
              <w:spacing w:before="0" w:beforeAutospacing="0" w:line="480" w:lineRule="auto"/>
              <w:rPr>
                <w:sz w:val="20"/>
                <w:szCs w:val="20"/>
              </w:rPr>
            </w:pPr>
            <w:r>
              <w:rPr>
                <w:rFonts w:cs="Calibri"/>
              </w:rPr>
              <w:t>0.3</w:t>
            </w:r>
            <w:r w:rsidR="00D04D6C">
              <w:rPr>
                <w:rFonts w:cs="Calibri"/>
              </w:rPr>
              <w:t xml:space="preserve"> </w:t>
            </w:r>
            <w:r w:rsidR="00D04D6C" w:rsidRPr="006D1169">
              <w:rPr>
                <w:rFonts w:cs="Calibri"/>
                <w:sz w:val="20"/>
                <w:szCs w:val="20"/>
              </w:rPr>
              <w:t>§</w:t>
            </w:r>
          </w:p>
          <w:p w14:paraId="08D7D41A" w14:textId="77777777" w:rsidR="00D04D6C" w:rsidRDefault="00D04D6C" w:rsidP="00D801D6">
            <w:pPr>
              <w:spacing w:before="0" w:beforeAutospacing="0" w:line="480" w:lineRule="auto"/>
              <w:jc w:val="center"/>
            </w:pPr>
          </w:p>
        </w:tc>
      </w:tr>
      <w:tr w:rsidR="00705F85" w14:paraId="61CF05E8" w14:textId="77777777" w:rsidTr="00705F85">
        <w:tc>
          <w:tcPr>
            <w:tcW w:w="2310" w:type="dxa"/>
          </w:tcPr>
          <w:p w14:paraId="5ABE270B" w14:textId="77777777" w:rsidR="00705F85" w:rsidRDefault="00705F85" w:rsidP="00D801D6">
            <w:pPr>
              <w:spacing w:before="0" w:beforeAutospacing="0" w:line="480" w:lineRule="auto"/>
            </w:pPr>
            <w:r>
              <w:t>Post-operative length of hospital stay (days)</w:t>
            </w:r>
          </w:p>
        </w:tc>
        <w:tc>
          <w:tcPr>
            <w:tcW w:w="2310" w:type="dxa"/>
          </w:tcPr>
          <w:p w14:paraId="4BECC403" w14:textId="77777777" w:rsidR="00705F85" w:rsidRDefault="00705F85" w:rsidP="00D801D6">
            <w:pPr>
              <w:spacing w:before="0" w:beforeAutospacing="0" w:line="480" w:lineRule="auto"/>
              <w:jc w:val="center"/>
            </w:pPr>
            <w:r>
              <w:t>10 (8-15)</w:t>
            </w:r>
          </w:p>
        </w:tc>
        <w:tc>
          <w:tcPr>
            <w:tcW w:w="2311" w:type="dxa"/>
          </w:tcPr>
          <w:p w14:paraId="552879F6" w14:textId="77777777" w:rsidR="00705F85" w:rsidRDefault="00705F85" w:rsidP="00D801D6">
            <w:pPr>
              <w:spacing w:before="0" w:beforeAutospacing="0" w:line="480" w:lineRule="auto"/>
              <w:jc w:val="center"/>
            </w:pPr>
            <w:r>
              <w:t>10 (8-12.5)</w:t>
            </w:r>
          </w:p>
        </w:tc>
        <w:tc>
          <w:tcPr>
            <w:tcW w:w="2311" w:type="dxa"/>
          </w:tcPr>
          <w:p w14:paraId="0CDBA82A" w14:textId="4F2B15F0" w:rsidR="00705F85" w:rsidRDefault="005B4976" w:rsidP="00D801D6">
            <w:pPr>
              <w:spacing w:before="0" w:beforeAutospacing="0" w:line="480" w:lineRule="auto"/>
              <w:jc w:val="center"/>
            </w:pPr>
            <w:r>
              <w:rPr>
                <w:rFonts w:cs="Calibri"/>
              </w:rPr>
              <w:t>0.4</w:t>
            </w:r>
            <w:r w:rsidR="00705F85">
              <w:rPr>
                <w:rFonts w:cs="Calibri"/>
              </w:rPr>
              <w:t xml:space="preserve"> ¶</w:t>
            </w:r>
          </w:p>
        </w:tc>
      </w:tr>
      <w:tr w:rsidR="004A4E7D" w14:paraId="58269EB9" w14:textId="77777777" w:rsidTr="00705F85">
        <w:tc>
          <w:tcPr>
            <w:tcW w:w="2310" w:type="dxa"/>
          </w:tcPr>
          <w:p w14:paraId="0018CFBA" w14:textId="77777777" w:rsidR="004A4E7D" w:rsidRDefault="004A4E7D" w:rsidP="0002460C">
            <w:pPr>
              <w:spacing w:before="0" w:beforeAutospacing="0" w:line="480" w:lineRule="auto"/>
            </w:pPr>
            <w:r>
              <w:t>Adjuvant treatment given</w:t>
            </w:r>
          </w:p>
          <w:p w14:paraId="52E5BD47" w14:textId="77777777" w:rsidR="004A4E7D" w:rsidRDefault="004A4E7D" w:rsidP="0002460C">
            <w:pPr>
              <w:spacing w:before="0" w:beforeAutospacing="0" w:line="480" w:lineRule="auto"/>
            </w:pPr>
            <w:r>
              <w:t>Yes</w:t>
            </w:r>
          </w:p>
          <w:p w14:paraId="076DC7F3" w14:textId="529B3B2A" w:rsidR="004A4E7D" w:rsidRDefault="004A4E7D" w:rsidP="00D801D6">
            <w:pPr>
              <w:spacing w:before="0" w:beforeAutospacing="0" w:line="480" w:lineRule="auto"/>
            </w:pPr>
            <w:r>
              <w:t>No</w:t>
            </w:r>
          </w:p>
        </w:tc>
        <w:tc>
          <w:tcPr>
            <w:tcW w:w="2310" w:type="dxa"/>
          </w:tcPr>
          <w:p w14:paraId="5F466A80" w14:textId="77777777" w:rsidR="004A4E7D" w:rsidRDefault="004A4E7D" w:rsidP="00D801D6">
            <w:pPr>
              <w:spacing w:before="0" w:beforeAutospacing="0" w:line="480" w:lineRule="auto"/>
              <w:jc w:val="center"/>
            </w:pPr>
          </w:p>
          <w:p w14:paraId="5B80C116" w14:textId="77777777" w:rsidR="004A4E7D" w:rsidRDefault="004A4E7D" w:rsidP="00D801D6">
            <w:pPr>
              <w:spacing w:before="0" w:beforeAutospacing="0" w:line="480" w:lineRule="auto"/>
              <w:jc w:val="center"/>
            </w:pPr>
          </w:p>
          <w:p w14:paraId="3B02D837" w14:textId="02205239" w:rsidR="00F573E0" w:rsidRDefault="00F573E0" w:rsidP="00D801D6">
            <w:pPr>
              <w:spacing w:before="0" w:beforeAutospacing="0" w:line="480" w:lineRule="auto"/>
              <w:jc w:val="center"/>
            </w:pPr>
            <w:r>
              <w:t>8 (7.2)</w:t>
            </w:r>
          </w:p>
          <w:p w14:paraId="199C5CB1" w14:textId="2CFF0423" w:rsidR="00F573E0" w:rsidRDefault="00F573E0" w:rsidP="00D801D6">
            <w:pPr>
              <w:spacing w:before="0" w:beforeAutospacing="0" w:line="480" w:lineRule="auto"/>
              <w:jc w:val="center"/>
            </w:pPr>
            <w:r>
              <w:t>103 (92.8)</w:t>
            </w:r>
          </w:p>
        </w:tc>
        <w:tc>
          <w:tcPr>
            <w:tcW w:w="2311" w:type="dxa"/>
          </w:tcPr>
          <w:p w14:paraId="6DA61ED0" w14:textId="77777777" w:rsidR="004A4E7D" w:rsidRDefault="004A4E7D" w:rsidP="00D801D6">
            <w:pPr>
              <w:spacing w:before="0" w:beforeAutospacing="0" w:line="480" w:lineRule="auto"/>
              <w:jc w:val="center"/>
            </w:pPr>
          </w:p>
          <w:p w14:paraId="18F8FAB1" w14:textId="77777777" w:rsidR="004A4E7D" w:rsidRDefault="004A4E7D" w:rsidP="00D801D6">
            <w:pPr>
              <w:spacing w:before="0" w:beforeAutospacing="0" w:line="480" w:lineRule="auto"/>
              <w:jc w:val="center"/>
            </w:pPr>
          </w:p>
          <w:p w14:paraId="29B3FFCF" w14:textId="4E4E8BBB" w:rsidR="004A4E7D" w:rsidRDefault="00F573E0" w:rsidP="00D801D6">
            <w:pPr>
              <w:spacing w:before="0" w:beforeAutospacing="0" w:line="480" w:lineRule="auto"/>
              <w:jc w:val="center"/>
            </w:pPr>
            <w:r>
              <w:t>3 (7.5)</w:t>
            </w:r>
          </w:p>
          <w:p w14:paraId="1E9CBA9C" w14:textId="36536DAF" w:rsidR="00F573E0" w:rsidRDefault="00F573E0" w:rsidP="00D801D6">
            <w:pPr>
              <w:spacing w:before="0" w:beforeAutospacing="0" w:line="480" w:lineRule="auto"/>
              <w:jc w:val="center"/>
            </w:pPr>
            <w:r>
              <w:t>37 (92.5)</w:t>
            </w:r>
          </w:p>
        </w:tc>
        <w:tc>
          <w:tcPr>
            <w:tcW w:w="2311" w:type="dxa"/>
          </w:tcPr>
          <w:p w14:paraId="283990BA" w14:textId="77777777" w:rsidR="004A4E7D" w:rsidRDefault="004A4E7D" w:rsidP="0002460C">
            <w:pPr>
              <w:spacing w:before="0" w:beforeAutospacing="0" w:line="480" w:lineRule="auto"/>
              <w:jc w:val="center"/>
            </w:pPr>
          </w:p>
          <w:p w14:paraId="4371FA93" w14:textId="77777777" w:rsidR="004A4E7D" w:rsidRDefault="004A4E7D" w:rsidP="0002460C">
            <w:pPr>
              <w:spacing w:before="0" w:beforeAutospacing="0" w:line="480" w:lineRule="auto"/>
              <w:jc w:val="center"/>
            </w:pPr>
          </w:p>
          <w:p w14:paraId="7DAFB102" w14:textId="42D1B52D" w:rsidR="004A4E7D" w:rsidRDefault="00F573E0" w:rsidP="00D801D6">
            <w:pPr>
              <w:spacing w:before="0" w:beforeAutospacing="0" w:line="480" w:lineRule="auto"/>
              <w:jc w:val="center"/>
              <w:rPr>
                <w:rFonts w:cs="Calibri"/>
              </w:rPr>
            </w:pPr>
            <w:r>
              <w:rPr>
                <w:rFonts w:cs="Calibri"/>
              </w:rPr>
              <w:t>1.0</w:t>
            </w:r>
            <w:r w:rsidR="004A4E7D">
              <w:rPr>
                <w:rFonts w:cs="Calibri"/>
              </w:rPr>
              <w:t>§</w:t>
            </w:r>
          </w:p>
        </w:tc>
      </w:tr>
      <w:tr w:rsidR="004A4E7D" w14:paraId="4559502E" w14:textId="77777777" w:rsidTr="00705F85">
        <w:tc>
          <w:tcPr>
            <w:tcW w:w="2310" w:type="dxa"/>
          </w:tcPr>
          <w:p w14:paraId="218BB4B8" w14:textId="79696929" w:rsidR="004A4E7D" w:rsidRDefault="004A4E7D" w:rsidP="00D801D6">
            <w:pPr>
              <w:spacing w:before="0" w:beforeAutospacing="0" w:line="480" w:lineRule="auto"/>
            </w:pPr>
            <w:r>
              <w:t>90 day mortality</w:t>
            </w:r>
          </w:p>
          <w:p w14:paraId="07A0CB5E" w14:textId="77777777" w:rsidR="004A4E7D" w:rsidRDefault="004A4E7D" w:rsidP="00D801D6">
            <w:pPr>
              <w:spacing w:before="0" w:beforeAutospacing="0" w:line="480" w:lineRule="auto"/>
            </w:pPr>
            <w:r>
              <w:t>Yes</w:t>
            </w:r>
          </w:p>
          <w:p w14:paraId="3EA6846E" w14:textId="77777777" w:rsidR="004A4E7D" w:rsidRDefault="004A4E7D" w:rsidP="00D801D6">
            <w:pPr>
              <w:spacing w:before="0" w:beforeAutospacing="0" w:line="480" w:lineRule="auto"/>
            </w:pPr>
            <w:r>
              <w:t xml:space="preserve">No </w:t>
            </w:r>
          </w:p>
        </w:tc>
        <w:tc>
          <w:tcPr>
            <w:tcW w:w="2310" w:type="dxa"/>
          </w:tcPr>
          <w:p w14:paraId="15333B0B" w14:textId="77777777" w:rsidR="004A4E7D" w:rsidRDefault="004A4E7D" w:rsidP="00D801D6">
            <w:pPr>
              <w:spacing w:before="0" w:beforeAutospacing="0" w:line="480" w:lineRule="auto"/>
              <w:jc w:val="center"/>
            </w:pPr>
          </w:p>
          <w:p w14:paraId="696CC89F" w14:textId="77777777" w:rsidR="004A4E7D" w:rsidRDefault="004A4E7D" w:rsidP="00D801D6">
            <w:pPr>
              <w:spacing w:before="0" w:beforeAutospacing="0" w:line="480" w:lineRule="auto"/>
              <w:jc w:val="center"/>
            </w:pPr>
            <w:r>
              <w:t>1 (0.9)</w:t>
            </w:r>
          </w:p>
          <w:p w14:paraId="0D595B60" w14:textId="77777777" w:rsidR="004A4E7D" w:rsidRDefault="004A4E7D" w:rsidP="00D801D6">
            <w:pPr>
              <w:spacing w:before="0" w:beforeAutospacing="0" w:line="480" w:lineRule="auto"/>
              <w:jc w:val="center"/>
            </w:pPr>
            <w:r>
              <w:t>110 (99.1)</w:t>
            </w:r>
          </w:p>
        </w:tc>
        <w:tc>
          <w:tcPr>
            <w:tcW w:w="2311" w:type="dxa"/>
          </w:tcPr>
          <w:p w14:paraId="38131CA9" w14:textId="77777777" w:rsidR="004A4E7D" w:rsidRDefault="004A4E7D" w:rsidP="00D801D6">
            <w:pPr>
              <w:spacing w:before="0" w:beforeAutospacing="0" w:line="480" w:lineRule="auto"/>
              <w:jc w:val="center"/>
            </w:pPr>
          </w:p>
          <w:p w14:paraId="503F4E5E" w14:textId="77777777" w:rsidR="004A4E7D" w:rsidRDefault="004A4E7D" w:rsidP="00D801D6">
            <w:pPr>
              <w:spacing w:before="0" w:beforeAutospacing="0" w:line="480" w:lineRule="auto"/>
              <w:jc w:val="center"/>
            </w:pPr>
            <w:r>
              <w:t>6 (15.0)</w:t>
            </w:r>
          </w:p>
          <w:p w14:paraId="27AE5739" w14:textId="77777777" w:rsidR="004A4E7D" w:rsidRDefault="004A4E7D" w:rsidP="00D801D6">
            <w:pPr>
              <w:spacing w:before="0" w:beforeAutospacing="0" w:line="480" w:lineRule="auto"/>
              <w:jc w:val="center"/>
            </w:pPr>
            <w:r>
              <w:t>34 (85.0)</w:t>
            </w:r>
          </w:p>
        </w:tc>
        <w:tc>
          <w:tcPr>
            <w:tcW w:w="2311" w:type="dxa"/>
          </w:tcPr>
          <w:p w14:paraId="6654EED6" w14:textId="77777777" w:rsidR="004A4E7D" w:rsidRDefault="004A4E7D" w:rsidP="00D801D6">
            <w:pPr>
              <w:spacing w:before="0" w:beforeAutospacing="0" w:line="480" w:lineRule="auto"/>
              <w:jc w:val="center"/>
            </w:pPr>
          </w:p>
          <w:p w14:paraId="635B6C5E" w14:textId="77777777" w:rsidR="004A4E7D" w:rsidRDefault="004A4E7D" w:rsidP="00D801D6">
            <w:pPr>
              <w:spacing w:before="0" w:beforeAutospacing="0" w:line="480" w:lineRule="auto"/>
              <w:jc w:val="center"/>
            </w:pPr>
            <w:r>
              <w:rPr>
                <w:rFonts w:cs="Calibri"/>
              </w:rPr>
              <w:t>0.001* §</w:t>
            </w:r>
          </w:p>
        </w:tc>
      </w:tr>
      <w:tr w:rsidR="004A4E7D" w14:paraId="30C06C16" w14:textId="77777777" w:rsidTr="00705F85">
        <w:tc>
          <w:tcPr>
            <w:tcW w:w="2310" w:type="dxa"/>
          </w:tcPr>
          <w:p w14:paraId="58C7BD96" w14:textId="77777777" w:rsidR="004A4E7D" w:rsidRDefault="004A4E7D" w:rsidP="00D801D6">
            <w:pPr>
              <w:spacing w:before="0" w:beforeAutospacing="0" w:line="480" w:lineRule="auto"/>
            </w:pPr>
            <w:r>
              <w:t>1 year mortality</w:t>
            </w:r>
          </w:p>
          <w:p w14:paraId="01C0FAA3" w14:textId="77777777" w:rsidR="004A4E7D" w:rsidRDefault="004A4E7D" w:rsidP="00D801D6">
            <w:pPr>
              <w:spacing w:before="0" w:beforeAutospacing="0" w:line="480" w:lineRule="auto"/>
            </w:pPr>
            <w:r>
              <w:t>Yes</w:t>
            </w:r>
          </w:p>
          <w:p w14:paraId="635BFC34" w14:textId="77777777" w:rsidR="004A4E7D" w:rsidRDefault="004A4E7D" w:rsidP="00D801D6">
            <w:pPr>
              <w:spacing w:before="0" w:beforeAutospacing="0" w:line="480" w:lineRule="auto"/>
            </w:pPr>
            <w:r>
              <w:t>No</w:t>
            </w:r>
          </w:p>
          <w:p w14:paraId="74FF5331" w14:textId="5AE7518D" w:rsidR="004A4E7D" w:rsidRDefault="004A4E7D" w:rsidP="00D801D6">
            <w:pPr>
              <w:spacing w:before="0" w:beforeAutospacing="0" w:line="480" w:lineRule="auto"/>
            </w:pPr>
            <w:r>
              <w:t>Time point not reached</w:t>
            </w:r>
          </w:p>
        </w:tc>
        <w:tc>
          <w:tcPr>
            <w:tcW w:w="2310" w:type="dxa"/>
          </w:tcPr>
          <w:p w14:paraId="773065F6" w14:textId="77777777" w:rsidR="004A4E7D" w:rsidRDefault="004A4E7D" w:rsidP="00D801D6">
            <w:pPr>
              <w:spacing w:before="0" w:beforeAutospacing="0" w:line="480" w:lineRule="auto"/>
              <w:jc w:val="center"/>
            </w:pPr>
          </w:p>
          <w:p w14:paraId="16C4831C" w14:textId="77777777" w:rsidR="004A4E7D" w:rsidRDefault="004A4E7D" w:rsidP="00D801D6">
            <w:pPr>
              <w:spacing w:before="0" w:beforeAutospacing="0" w:line="480" w:lineRule="auto"/>
              <w:jc w:val="center"/>
            </w:pPr>
            <w:r>
              <w:t>13 (12.5)</w:t>
            </w:r>
          </w:p>
          <w:p w14:paraId="0BE67CA7" w14:textId="77777777" w:rsidR="004A4E7D" w:rsidRDefault="004A4E7D" w:rsidP="00D801D6">
            <w:pPr>
              <w:spacing w:before="0" w:beforeAutospacing="0" w:line="480" w:lineRule="auto"/>
              <w:jc w:val="center"/>
            </w:pPr>
            <w:r>
              <w:t>91 (87.5)</w:t>
            </w:r>
          </w:p>
          <w:p w14:paraId="022783A7" w14:textId="2448BDFB" w:rsidR="004A4E7D" w:rsidRDefault="004A4E7D" w:rsidP="00D801D6">
            <w:pPr>
              <w:spacing w:before="0" w:beforeAutospacing="0" w:line="480" w:lineRule="auto"/>
              <w:jc w:val="center"/>
            </w:pPr>
            <w:r>
              <w:t>7</w:t>
            </w:r>
          </w:p>
        </w:tc>
        <w:tc>
          <w:tcPr>
            <w:tcW w:w="2311" w:type="dxa"/>
          </w:tcPr>
          <w:p w14:paraId="15ACF936" w14:textId="77777777" w:rsidR="004A4E7D" w:rsidRDefault="004A4E7D" w:rsidP="00D801D6">
            <w:pPr>
              <w:spacing w:before="0" w:beforeAutospacing="0" w:line="480" w:lineRule="auto"/>
              <w:jc w:val="center"/>
            </w:pPr>
          </w:p>
          <w:p w14:paraId="27E15AD8" w14:textId="77777777" w:rsidR="004A4E7D" w:rsidRDefault="004A4E7D" w:rsidP="00D801D6">
            <w:pPr>
              <w:spacing w:before="0" w:beforeAutospacing="0" w:line="480" w:lineRule="auto"/>
              <w:jc w:val="center"/>
            </w:pPr>
            <w:r>
              <w:t>12 (33.3)</w:t>
            </w:r>
          </w:p>
          <w:p w14:paraId="0B66DC3A" w14:textId="77777777" w:rsidR="004A4E7D" w:rsidRDefault="004A4E7D" w:rsidP="00D801D6">
            <w:pPr>
              <w:spacing w:before="0" w:beforeAutospacing="0" w:line="480" w:lineRule="auto"/>
              <w:jc w:val="center"/>
            </w:pPr>
            <w:r>
              <w:t>24 (66.7)</w:t>
            </w:r>
          </w:p>
          <w:p w14:paraId="40F25318" w14:textId="041B42B0" w:rsidR="004A4E7D" w:rsidRDefault="004A4E7D" w:rsidP="00D801D6">
            <w:pPr>
              <w:spacing w:before="0" w:beforeAutospacing="0" w:line="480" w:lineRule="auto"/>
              <w:jc w:val="center"/>
            </w:pPr>
            <w:r>
              <w:t>4</w:t>
            </w:r>
          </w:p>
        </w:tc>
        <w:tc>
          <w:tcPr>
            <w:tcW w:w="2311" w:type="dxa"/>
          </w:tcPr>
          <w:p w14:paraId="24DA1475" w14:textId="77777777" w:rsidR="004A4E7D" w:rsidRDefault="004A4E7D" w:rsidP="00D801D6">
            <w:pPr>
              <w:spacing w:before="0" w:beforeAutospacing="0" w:line="480" w:lineRule="auto"/>
              <w:jc w:val="center"/>
            </w:pPr>
          </w:p>
          <w:p w14:paraId="2B6A86C1" w14:textId="2BA13DE8" w:rsidR="004A4E7D" w:rsidRDefault="004A4E7D" w:rsidP="00D801D6">
            <w:pPr>
              <w:spacing w:before="0" w:beforeAutospacing="0" w:line="480" w:lineRule="auto"/>
              <w:jc w:val="center"/>
            </w:pPr>
            <w:r>
              <w:rPr>
                <w:rFonts w:cs="Calibri"/>
              </w:rPr>
              <w:t xml:space="preserve"> &lt;0.01* §</w:t>
            </w:r>
          </w:p>
        </w:tc>
      </w:tr>
    </w:tbl>
    <w:p w14:paraId="32667C1C" w14:textId="77777777" w:rsidR="00705F85" w:rsidRDefault="00705F85" w:rsidP="00D801D6">
      <w:pPr>
        <w:spacing w:before="0" w:beforeAutospacing="0" w:line="480" w:lineRule="auto"/>
        <w:rPr>
          <w:rFonts w:cs="Calibri"/>
        </w:rPr>
      </w:pPr>
      <w:r>
        <w:rPr>
          <w:rFonts w:cs="Calibri"/>
        </w:rPr>
        <w:t>Data presented as absolute number (%) and median (IQR), *&lt;0.05, § χ</w:t>
      </w:r>
      <w:r w:rsidRPr="009D6FFA">
        <w:rPr>
          <w:rFonts w:cs="Calibri"/>
          <w:vertAlign w:val="superscript"/>
        </w:rPr>
        <w:t>2</w:t>
      </w:r>
      <w:r>
        <w:rPr>
          <w:rFonts w:cs="Calibri"/>
        </w:rPr>
        <w:t xml:space="preserve"> test, ¶ Mann-Whitney U test</w:t>
      </w:r>
    </w:p>
    <w:p w14:paraId="1B46D421" w14:textId="43318EF7" w:rsidR="00E46153" w:rsidRDefault="000603A6" w:rsidP="00D801D6">
      <w:pPr>
        <w:spacing w:before="0" w:beforeAutospacing="0" w:line="480" w:lineRule="auto"/>
        <w:rPr>
          <w:rFonts w:cs="Calibri"/>
        </w:rPr>
      </w:pPr>
      <w:r w:rsidRPr="001A0E0B">
        <w:rPr>
          <w:noProof/>
        </w:rPr>
        <w:lastRenderedPageBreak/>
        <w:drawing>
          <wp:anchor distT="0" distB="0" distL="114300" distR="114300" simplePos="0" relativeHeight="251660288" behindDoc="1" locked="0" layoutInCell="1" allowOverlap="1" wp14:anchorId="365EE041" wp14:editId="4BCB2D57">
            <wp:simplePos x="0" y="0"/>
            <wp:positionH relativeFrom="column">
              <wp:posOffset>163195</wp:posOffset>
            </wp:positionH>
            <wp:positionV relativeFrom="paragraph">
              <wp:posOffset>547370</wp:posOffset>
            </wp:positionV>
            <wp:extent cx="4999355" cy="3023235"/>
            <wp:effectExtent l="19050" t="19050" r="10795" b="24765"/>
            <wp:wrapTight wrapText="bothSides">
              <wp:wrapPolygon edited="0">
                <wp:start x="-82" y="-136"/>
                <wp:lineTo x="-82" y="21641"/>
                <wp:lineTo x="21564" y="21641"/>
                <wp:lineTo x="21564" y="-136"/>
                <wp:lineTo x="-82" y="-13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1" cstate="print"/>
                    <a:srcRect l="1557" t="4511" r="1340" b="5403"/>
                    <a:stretch/>
                  </pic:blipFill>
                  <pic:spPr bwMode="auto">
                    <a:xfrm>
                      <a:off x="0" y="0"/>
                      <a:ext cx="4999355" cy="3023235"/>
                    </a:xfrm>
                    <a:prstGeom prst="rect">
                      <a:avLst/>
                    </a:prstGeom>
                    <a:solidFill>
                      <a:srgbClr val="FFFFFF"/>
                    </a:solidFill>
                    <a:ln w="9525" cap="flat" cmpd="sng" algn="ctr">
                      <a:solidFill>
                        <a:sysClr val="window" lastClr="FFFFFF"/>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4F99" w:rsidRPr="001A0E0B">
        <w:rPr>
          <w:rFonts w:cs="Calibri"/>
        </w:rPr>
        <w:t>Figure 1</w:t>
      </w:r>
      <w:r w:rsidR="004F09D0" w:rsidRPr="001A0E0B">
        <w:rPr>
          <w:rFonts w:cs="Calibri"/>
        </w:rPr>
        <w:t xml:space="preserve">: </w:t>
      </w:r>
      <w:r w:rsidR="004F09D0">
        <w:rPr>
          <w:rFonts w:cs="Calibri"/>
        </w:rPr>
        <w:t>Effect of early or late nutrition support on post</w:t>
      </w:r>
      <w:r w:rsidR="00E17471">
        <w:rPr>
          <w:rFonts w:cs="Calibri"/>
        </w:rPr>
        <w:t>-</w:t>
      </w:r>
      <w:r w:rsidR="004F09D0">
        <w:rPr>
          <w:rFonts w:cs="Calibri"/>
        </w:rPr>
        <w:t xml:space="preserve">operative weight </w:t>
      </w:r>
      <w:r w:rsidR="00D84091">
        <w:rPr>
          <w:rFonts w:cs="Calibri"/>
        </w:rPr>
        <w:t>(*p=</w:t>
      </w:r>
      <w:r w:rsidR="005B4976">
        <w:rPr>
          <w:rFonts w:cs="Calibri"/>
        </w:rPr>
        <w:t>&lt;0.05</w:t>
      </w:r>
      <w:r>
        <w:rPr>
          <w:rFonts w:cs="Calibri"/>
        </w:rPr>
        <w:t>, **p=</w:t>
      </w:r>
      <w:r w:rsidR="005B4976">
        <w:rPr>
          <w:rFonts w:cs="Calibri"/>
        </w:rPr>
        <w:t>&lt;0.05</w:t>
      </w:r>
      <w:r>
        <w:rPr>
          <w:rFonts w:cs="Calibri"/>
        </w:rPr>
        <w:t>, ***p=</w:t>
      </w:r>
      <w:r w:rsidR="005B4976">
        <w:rPr>
          <w:rFonts w:cs="Calibri"/>
        </w:rPr>
        <w:t>&lt;0.0</w:t>
      </w:r>
      <w:r>
        <w:rPr>
          <w:rFonts w:cs="Calibri"/>
        </w:rPr>
        <w:t>0</w:t>
      </w:r>
      <w:r w:rsidR="00D84091">
        <w:rPr>
          <w:rFonts w:cs="Calibri"/>
        </w:rPr>
        <w:t>1)</w:t>
      </w:r>
    </w:p>
    <w:p w14:paraId="0744AE57" w14:textId="08420967" w:rsidR="001A0E0B" w:rsidRDefault="001A0E0B" w:rsidP="00D801D6">
      <w:pPr>
        <w:spacing w:before="0" w:beforeAutospacing="0" w:line="480" w:lineRule="auto"/>
        <w:rPr>
          <w:rFonts w:cs="Calibri"/>
        </w:rPr>
      </w:pPr>
    </w:p>
    <w:p w14:paraId="1FA8E18D" w14:textId="77777777" w:rsidR="001A0E0B" w:rsidRPr="001A0E0B" w:rsidRDefault="001A0E0B" w:rsidP="00D801D6">
      <w:pPr>
        <w:spacing w:line="480" w:lineRule="auto"/>
        <w:rPr>
          <w:rFonts w:cs="Calibri"/>
        </w:rPr>
      </w:pPr>
    </w:p>
    <w:p w14:paraId="4C972F2F" w14:textId="77777777" w:rsidR="00646EF7" w:rsidRDefault="00646EF7" w:rsidP="00D801D6">
      <w:pPr>
        <w:spacing w:before="0" w:beforeAutospacing="0" w:line="480" w:lineRule="auto"/>
        <w:rPr>
          <w:rFonts w:cs="Calibri"/>
        </w:rPr>
      </w:pPr>
    </w:p>
    <w:p w14:paraId="5EF9F570" w14:textId="77777777" w:rsidR="00646EF7" w:rsidRDefault="00646EF7" w:rsidP="00D801D6">
      <w:pPr>
        <w:spacing w:before="0" w:beforeAutospacing="0" w:line="480" w:lineRule="auto"/>
        <w:rPr>
          <w:rFonts w:cs="Calibri"/>
        </w:rPr>
      </w:pPr>
    </w:p>
    <w:p w14:paraId="3649C1F3" w14:textId="77777777" w:rsidR="00646EF7" w:rsidRDefault="00646EF7" w:rsidP="00D801D6">
      <w:pPr>
        <w:spacing w:before="0" w:beforeAutospacing="0" w:line="480" w:lineRule="auto"/>
        <w:rPr>
          <w:rFonts w:cs="Calibri"/>
        </w:rPr>
      </w:pPr>
    </w:p>
    <w:p w14:paraId="46A24F35" w14:textId="77777777" w:rsidR="00646EF7" w:rsidRDefault="00646EF7" w:rsidP="00D801D6">
      <w:pPr>
        <w:spacing w:before="0" w:beforeAutospacing="0" w:line="480" w:lineRule="auto"/>
        <w:rPr>
          <w:rFonts w:cs="Calibri"/>
        </w:rPr>
      </w:pPr>
    </w:p>
    <w:p w14:paraId="56E7C95F" w14:textId="5D7A2CF9" w:rsidR="001A0E0B" w:rsidRDefault="00646EF7" w:rsidP="00D801D6">
      <w:pPr>
        <w:spacing w:before="0" w:beforeAutospacing="0" w:line="480" w:lineRule="auto"/>
        <w:rPr>
          <w:rFonts w:cs="Calibri"/>
        </w:rPr>
      </w:pPr>
      <w:r>
        <w:rPr>
          <w:rFonts w:cs="Calibri"/>
          <w:noProof/>
        </w:rPr>
        <w:drawing>
          <wp:anchor distT="0" distB="0" distL="114300" distR="114300" simplePos="0" relativeHeight="251661312" behindDoc="1" locked="0" layoutInCell="1" allowOverlap="1" wp14:anchorId="2313C0F2" wp14:editId="331C2EEA">
            <wp:simplePos x="0" y="0"/>
            <wp:positionH relativeFrom="column">
              <wp:posOffset>-117475</wp:posOffset>
            </wp:positionH>
            <wp:positionV relativeFrom="paragraph">
              <wp:posOffset>281940</wp:posOffset>
            </wp:positionV>
            <wp:extent cx="5236845" cy="4406900"/>
            <wp:effectExtent l="0" t="0" r="1905" b="0"/>
            <wp:wrapTight wrapText="bothSides">
              <wp:wrapPolygon edited="0">
                <wp:start x="0" y="0"/>
                <wp:lineTo x="0" y="21476"/>
                <wp:lineTo x="21529" y="21476"/>
                <wp:lineTo x="21529" y="0"/>
                <wp:lineTo x="0" y="0"/>
              </wp:wrapPolygon>
            </wp:wrapTight>
            <wp:docPr id="1" name="Picture 1" descr="C:\Users\daviesk\AppData\Local\Microsoft\Windows\INetCache\Content.Outlook\NNOHQNS9\Rplot76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esk\AppData\Local\Microsoft\Windows\INetCache\Content.Outlook\NNOHQNS9\Rplot76 (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6845" cy="440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E0B" w:rsidRPr="00D52255">
        <w:rPr>
          <w:rFonts w:cs="Calibri"/>
        </w:rPr>
        <w:t>Figure 2: Kaplan-Meier survival curve</w:t>
      </w:r>
      <w:r w:rsidR="00C83294">
        <w:rPr>
          <w:rFonts w:cs="Calibri"/>
        </w:rPr>
        <w:t xml:space="preserve"> (colour to be used for figure in print)</w:t>
      </w:r>
    </w:p>
    <w:p w14:paraId="68A92A70" w14:textId="4EF9BAA5" w:rsidR="00D52255" w:rsidRPr="00D52255" w:rsidRDefault="00D52255" w:rsidP="00D801D6">
      <w:pPr>
        <w:spacing w:before="0" w:beforeAutospacing="0" w:line="480" w:lineRule="auto"/>
        <w:rPr>
          <w:rFonts w:cs="Calibri"/>
        </w:rPr>
      </w:pPr>
      <w:r>
        <w:rPr>
          <w:rFonts w:cs="Calibri"/>
        </w:rPr>
        <w:t xml:space="preserve"> </w:t>
      </w:r>
    </w:p>
    <w:p w14:paraId="686F674B" w14:textId="20BA264A" w:rsidR="00E46153" w:rsidRPr="001A0E0B" w:rsidRDefault="00E46153" w:rsidP="00D801D6">
      <w:pPr>
        <w:spacing w:line="480" w:lineRule="auto"/>
        <w:ind w:firstLine="720"/>
        <w:rPr>
          <w:rFonts w:cs="Calibri"/>
        </w:rPr>
      </w:pPr>
    </w:p>
    <w:sectPr w:rsidR="00E46153" w:rsidRPr="001A0E0B" w:rsidSect="00AA7D69">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A22854" w15:done="0"/>
  <w15:commentEx w15:paraId="778C0976" w15:done="0"/>
  <w15:commentEx w15:paraId="49F0F09B" w15:done="0"/>
  <w15:commentEx w15:paraId="32B9F4FF" w15:done="0"/>
  <w15:commentEx w15:paraId="0E95E9A4" w15:done="0"/>
  <w15:commentEx w15:paraId="170AB5BA" w15:done="0"/>
  <w15:commentEx w15:paraId="4CB55BFC" w15:done="0"/>
  <w15:commentEx w15:paraId="232571C0" w15:done="0"/>
  <w15:commentEx w15:paraId="152FC841" w15:done="0"/>
  <w15:commentEx w15:paraId="486B46C5" w15:done="0"/>
  <w15:commentEx w15:paraId="68C8865F" w15:done="0"/>
  <w15:commentEx w15:paraId="2D2D4EAF" w15:done="0"/>
  <w15:commentEx w15:paraId="704B0143" w15:done="0"/>
  <w15:commentEx w15:paraId="655A3C00" w15:done="0"/>
  <w15:commentEx w15:paraId="646C3D8A" w15:done="0"/>
  <w15:commentEx w15:paraId="6CC75C73" w15:done="0"/>
  <w15:commentEx w15:paraId="276260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15B0A" w16cex:dateUtc="2020-07-09T07:59:00Z"/>
  <w16cex:commentExtensible w16cex:durableId="22B15CFC" w16cex:dateUtc="2020-07-09T08:08:00Z"/>
  <w16cex:commentExtensible w16cex:durableId="22B15D2E" w16cex:dateUtc="2020-07-09T08:09:00Z"/>
  <w16cex:commentExtensible w16cex:durableId="22B15D52" w16cex:dateUtc="2020-07-09T08:09:00Z"/>
  <w16cex:commentExtensible w16cex:durableId="22B160C4" w16cex:dateUtc="2020-07-09T08:24:00Z"/>
  <w16cex:commentExtensible w16cex:durableId="22B1614C" w16cex:dateUtc="2020-07-09T08:26:00Z"/>
  <w16cex:commentExtensible w16cex:durableId="22B1617B" w16cex:dateUtc="2020-07-09T08:27:00Z"/>
  <w16cex:commentExtensible w16cex:durableId="22B161B8" w16cex:dateUtc="2020-07-09T08:28:00Z"/>
  <w16cex:commentExtensible w16cex:durableId="22B1623E" w16cex:dateUtc="2020-07-09T08:30:00Z"/>
  <w16cex:commentExtensible w16cex:durableId="22B16209" w16cex:dateUtc="2020-07-09T08:29:00Z"/>
  <w16cex:commentExtensible w16cex:durableId="22B16277" w16cex:dateUtc="2020-07-09T08:31:00Z"/>
  <w16cex:commentExtensible w16cex:durableId="22B162D4" w16cex:dateUtc="2020-07-09T08:33:00Z"/>
  <w16cex:commentExtensible w16cex:durableId="22B1632F" w16cex:dateUtc="2020-07-09T08:34:00Z"/>
  <w16cex:commentExtensible w16cex:durableId="22B163BB" w16cex:dateUtc="2020-07-09T08:36:00Z"/>
  <w16cex:commentExtensible w16cex:durableId="22B163EF" w16cex:dateUtc="2020-07-09T08:37:00Z"/>
  <w16cex:commentExtensible w16cex:durableId="22B1641B" w16cex:dateUtc="2020-07-09T08:38:00Z"/>
  <w16cex:commentExtensible w16cex:durableId="22B1645F" w16cex:dateUtc="2020-07-09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A22854" w16cid:durableId="22B15B0A"/>
  <w16cid:commentId w16cid:paraId="778C0976" w16cid:durableId="22B15CFC"/>
  <w16cid:commentId w16cid:paraId="49F0F09B" w16cid:durableId="22B15D2E"/>
  <w16cid:commentId w16cid:paraId="32B9F4FF" w16cid:durableId="22B15D52"/>
  <w16cid:commentId w16cid:paraId="0E95E9A4" w16cid:durableId="22B160C4"/>
  <w16cid:commentId w16cid:paraId="170AB5BA" w16cid:durableId="22B1614C"/>
  <w16cid:commentId w16cid:paraId="4CB55BFC" w16cid:durableId="22B1617B"/>
  <w16cid:commentId w16cid:paraId="232571C0" w16cid:durableId="22B161B8"/>
  <w16cid:commentId w16cid:paraId="152FC841" w16cid:durableId="22B1623E"/>
  <w16cid:commentId w16cid:paraId="486B46C5" w16cid:durableId="22B16209"/>
  <w16cid:commentId w16cid:paraId="68C8865F" w16cid:durableId="22B16277"/>
  <w16cid:commentId w16cid:paraId="2D2D4EAF" w16cid:durableId="22B162D4"/>
  <w16cid:commentId w16cid:paraId="704B0143" w16cid:durableId="22B1632F"/>
  <w16cid:commentId w16cid:paraId="655A3C00" w16cid:durableId="22B163BB"/>
  <w16cid:commentId w16cid:paraId="646C3D8A" w16cid:durableId="22B163EF"/>
  <w16cid:commentId w16cid:paraId="6CC75C73" w16cid:durableId="22B1641B"/>
  <w16cid:commentId w16cid:paraId="27626028" w16cid:durableId="22B164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80A4E" w14:textId="77777777" w:rsidR="003F666C" w:rsidRDefault="003F666C">
      <w:pPr>
        <w:spacing w:before="0" w:after="0" w:line="240" w:lineRule="auto"/>
      </w:pPr>
      <w:r>
        <w:separator/>
      </w:r>
    </w:p>
  </w:endnote>
  <w:endnote w:type="continuationSeparator" w:id="0">
    <w:p w14:paraId="39F99A81" w14:textId="77777777" w:rsidR="003F666C" w:rsidRDefault="003F66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 w:name="Open Sans">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529C4" w14:textId="77777777" w:rsidR="003F666C" w:rsidRDefault="003F666C">
    <w:pPr>
      <w:pStyle w:val="Footer"/>
    </w:pPr>
    <w:r>
      <w:rPr>
        <w:noProof/>
      </w:rPr>
      <mc:AlternateContent>
        <mc:Choice Requires="wps">
          <w:drawing>
            <wp:anchor distT="0" distB="0" distL="114300" distR="114300" simplePos="0" relativeHeight="251658240" behindDoc="0" locked="0" layoutInCell="1" allowOverlap="1" wp14:anchorId="305BB736" wp14:editId="4990729A">
              <wp:simplePos x="0" y="0"/>
              <wp:positionH relativeFrom="margin">
                <wp:align>right</wp:align>
              </wp:positionH>
              <wp:positionV relativeFrom="paragraph">
                <wp:posOffset>0</wp:posOffset>
              </wp:positionV>
              <wp:extent cx="58420" cy="285750"/>
              <wp:effectExtent l="0" t="0" r="114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285750"/>
                      </a:xfrm>
                      <a:prstGeom prst="rect">
                        <a:avLst/>
                      </a:prstGeom>
                      <a:noFill/>
                      <a:ln w="6350">
                        <a:noFill/>
                      </a:ln>
                    </wps:spPr>
                    <wps:txbx>
                      <w:txbxContent>
                        <w:p w14:paraId="45894B92" w14:textId="77777777" w:rsidR="003F666C" w:rsidRDefault="003F666C">
                          <w:pPr>
                            <w:pStyle w:val="Footer"/>
                          </w:pPr>
                          <w:r>
                            <w:fldChar w:fldCharType="begin"/>
                          </w:r>
                          <w:r>
                            <w:instrText xml:space="preserve"> PAGE  \* MERGEFORMAT </w:instrText>
                          </w:r>
                          <w:r>
                            <w:fldChar w:fldCharType="separate"/>
                          </w:r>
                          <w:r w:rsidR="00567DFD">
                            <w:rPr>
                              <w:noProof/>
                            </w:rPr>
                            <w:t>2</w:t>
                          </w:r>
                          <w:r>
                            <w:rPr>
                              <w:noProof/>
                            </w:rPr>
                            <w:fldChar w:fldCharType="end"/>
                          </w:r>
                        </w:p>
                      </w:txbxContent>
                    </wps:txbx>
                    <wps:bodyPr wrap="none" lIns="0" tIns="0" rIns="0" bIns="0" anchor="t"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6.6pt;margin-top:0;width:4.6pt;height:22.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" filled="f" stroked="f" strokeweight=".5pt">
              <v:path arrowok="t"/>
              <v:textbox style="mso-fit-shape-to-text:t" inset="0,0,0,0">
                <w:txbxContent>
                  <w:p w14:paraId="45894B92" w14:textId="77777777" w:rsidR="003F666C" w:rsidRDefault="003F666C">
                    <w:pPr>
                      <w:pStyle w:val="Footer"/>
                    </w:pPr>
                    <w:r>
                      <w:fldChar w:fldCharType="begin"/>
                    </w:r>
                    <w:r>
                      <w:instrText xml:space="preserve"> PAGE  \* MERGEFORMAT </w:instrText>
                    </w:r>
                    <w:r>
                      <w:fldChar w:fldCharType="separate"/>
                    </w:r>
                    <w:r w:rsidR="00567DFD">
                      <w:rPr>
                        <w:noProof/>
                      </w:rPr>
                      <w:t>2</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8ECBF" w14:textId="77777777" w:rsidR="003F666C" w:rsidRDefault="003F666C">
      <w:pPr>
        <w:spacing w:before="0" w:after="0" w:line="240" w:lineRule="auto"/>
      </w:pPr>
      <w:r>
        <w:separator/>
      </w:r>
    </w:p>
  </w:footnote>
  <w:footnote w:type="continuationSeparator" w:id="0">
    <w:p w14:paraId="0CEC73DB" w14:textId="77777777" w:rsidR="003F666C" w:rsidRDefault="003F666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CFE"/>
    <w:multiLevelType w:val="multilevel"/>
    <w:tmpl w:val="C0BC5C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C7E786D"/>
    <w:multiLevelType w:val="multilevel"/>
    <w:tmpl w:val="A0D481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450FF9"/>
    <w:multiLevelType w:val="hybridMultilevel"/>
    <w:tmpl w:val="0344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DA1A10"/>
    <w:multiLevelType w:val="hybridMultilevel"/>
    <w:tmpl w:val="9FFE7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8E5A58"/>
    <w:multiLevelType w:val="multilevel"/>
    <w:tmpl w:val="4484F3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E9279DB"/>
    <w:multiLevelType w:val="multilevel"/>
    <w:tmpl w:val="2A403C9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8F25351"/>
    <w:multiLevelType w:val="multilevel"/>
    <w:tmpl w:val="2284878A"/>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3FEF7088"/>
    <w:multiLevelType w:val="multilevel"/>
    <w:tmpl w:val="CC78B45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nsid w:val="42F20CC3"/>
    <w:multiLevelType w:val="multilevel"/>
    <w:tmpl w:val="93906A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4704539"/>
    <w:multiLevelType w:val="multilevel"/>
    <w:tmpl w:val="51CA3D02"/>
    <w:lvl w:ilvl="0">
      <w:start w:val="1"/>
      <w:numFmt w:val="decimal"/>
      <w:lvlText w:val="%1."/>
      <w:lvlJc w:val="left"/>
      <w:pPr>
        <w:ind w:left="107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BE2DEF"/>
    <w:multiLevelType w:val="hybridMultilevel"/>
    <w:tmpl w:val="C482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361C96"/>
    <w:multiLevelType w:val="multilevel"/>
    <w:tmpl w:val="C8C000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0B07BC5"/>
    <w:multiLevelType w:val="hybridMultilevel"/>
    <w:tmpl w:val="137A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146450"/>
    <w:multiLevelType w:val="multilevel"/>
    <w:tmpl w:val="2E8049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78C3B0A"/>
    <w:multiLevelType w:val="multilevel"/>
    <w:tmpl w:val="678C3B0A"/>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68B24D23"/>
    <w:multiLevelType w:val="multilevel"/>
    <w:tmpl w:val="01822A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DA35CD2"/>
    <w:multiLevelType w:val="multilevel"/>
    <w:tmpl w:val="51848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9"/>
  </w:num>
  <w:num w:numId="3">
    <w:abstractNumId w:val="3"/>
  </w:num>
  <w:num w:numId="4">
    <w:abstractNumId w:val="16"/>
  </w:num>
  <w:num w:numId="5">
    <w:abstractNumId w:val="0"/>
  </w:num>
  <w:num w:numId="6">
    <w:abstractNumId w:val="15"/>
  </w:num>
  <w:num w:numId="7">
    <w:abstractNumId w:val="11"/>
  </w:num>
  <w:num w:numId="8">
    <w:abstractNumId w:val="1"/>
  </w:num>
  <w:num w:numId="9">
    <w:abstractNumId w:val="4"/>
  </w:num>
  <w:num w:numId="10">
    <w:abstractNumId w:val="7"/>
  </w:num>
  <w:num w:numId="11">
    <w:abstractNumId w:val="6"/>
  </w:num>
  <w:num w:numId="12">
    <w:abstractNumId w:val="5"/>
  </w:num>
  <w:num w:numId="13">
    <w:abstractNumId w:val="8"/>
  </w:num>
  <w:num w:numId="14">
    <w:abstractNumId w:val="13"/>
  </w:num>
  <w:num w:numId="15">
    <w:abstractNumId w:val="2"/>
  </w:num>
  <w:num w:numId="16">
    <w:abstractNumId w:val="12"/>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nderwood T.">
    <w15:presenceInfo w15:providerId="AD" w15:userId="S::tju@soton.ac.uk::5918bd0f-0d92-455e-a893-0dda3872b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noPunctuationKerning/>
  <w:characterSpacingControl w:val="doNotCompress"/>
  <w:hdrShapeDefaults>
    <o:shapedefaults v:ext="edit" spidmax="69633"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57A7F"/>
    <w:rsid w:val="00001A8B"/>
    <w:rsid w:val="00004B5C"/>
    <w:rsid w:val="00012341"/>
    <w:rsid w:val="00022204"/>
    <w:rsid w:val="0002460C"/>
    <w:rsid w:val="00026AAA"/>
    <w:rsid w:val="000274D2"/>
    <w:rsid w:val="00050AEB"/>
    <w:rsid w:val="00053E11"/>
    <w:rsid w:val="000603A6"/>
    <w:rsid w:val="00064FE8"/>
    <w:rsid w:val="00076A02"/>
    <w:rsid w:val="00080DB7"/>
    <w:rsid w:val="00083494"/>
    <w:rsid w:val="00086E81"/>
    <w:rsid w:val="0009226C"/>
    <w:rsid w:val="00092FAA"/>
    <w:rsid w:val="000A6B0A"/>
    <w:rsid w:val="000B0FF4"/>
    <w:rsid w:val="000B6057"/>
    <w:rsid w:val="000B7A14"/>
    <w:rsid w:val="000C7323"/>
    <w:rsid w:val="000D0143"/>
    <w:rsid w:val="000D247F"/>
    <w:rsid w:val="000E2AAB"/>
    <w:rsid w:val="000F6E99"/>
    <w:rsid w:val="00102C26"/>
    <w:rsid w:val="001030AF"/>
    <w:rsid w:val="00106A8A"/>
    <w:rsid w:val="001107FB"/>
    <w:rsid w:val="0011507B"/>
    <w:rsid w:val="00124CE3"/>
    <w:rsid w:val="0014783F"/>
    <w:rsid w:val="0016040A"/>
    <w:rsid w:val="00163AB4"/>
    <w:rsid w:val="00163C41"/>
    <w:rsid w:val="0018740A"/>
    <w:rsid w:val="001903DD"/>
    <w:rsid w:val="001907C3"/>
    <w:rsid w:val="00191FC2"/>
    <w:rsid w:val="001A0E0B"/>
    <w:rsid w:val="001A199A"/>
    <w:rsid w:val="001A6AE5"/>
    <w:rsid w:val="001C227B"/>
    <w:rsid w:val="001D3DBE"/>
    <w:rsid w:val="001E7901"/>
    <w:rsid w:val="001F38F5"/>
    <w:rsid w:val="002020AF"/>
    <w:rsid w:val="0020341C"/>
    <w:rsid w:val="002060F0"/>
    <w:rsid w:val="002073DA"/>
    <w:rsid w:val="00212EFE"/>
    <w:rsid w:val="00225D5B"/>
    <w:rsid w:val="002268FC"/>
    <w:rsid w:val="00235DC0"/>
    <w:rsid w:val="00252195"/>
    <w:rsid w:val="0025377D"/>
    <w:rsid w:val="0025416A"/>
    <w:rsid w:val="002561FC"/>
    <w:rsid w:val="0025720B"/>
    <w:rsid w:val="002632F8"/>
    <w:rsid w:val="00263526"/>
    <w:rsid w:val="002717CB"/>
    <w:rsid w:val="002742C5"/>
    <w:rsid w:val="00274B86"/>
    <w:rsid w:val="00281032"/>
    <w:rsid w:val="00283992"/>
    <w:rsid w:val="00286E2F"/>
    <w:rsid w:val="00294D82"/>
    <w:rsid w:val="00294E78"/>
    <w:rsid w:val="002A5BF1"/>
    <w:rsid w:val="002B0D46"/>
    <w:rsid w:val="002B0F8E"/>
    <w:rsid w:val="002B14D1"/>
    <w:rsid w:val="002B3983"/>
    <w:rsid w:val="002D4AA6"/>
    <w:rsid w:val="002E1ED5"/>
    <w:rsid w:val="002E3E68"/>
    <w:rsid w:val="002E7D6E"/>
    <w:rsid w:val="002F5C13"/>
    <w:rsid w:val="00303701"/>
    <w:rsid w:val="00321983"/>
    <w:rsid w:val="00322465"/>
    <w:rsid w:val="00330D48"/>
    <w:rsid w:val="00331C44"/>
    <w:rsid w:val="00342A85"/>
    <w:rsid w:val="003567B5"/>
    <w:rsid w:val="00357A7F"/>
    <w:rsid w:val="00360455"/>
    <w:rsid w:val="00363E28"/>
    <w:rsid w:val="0038172B"/>
    <w:rsid w:val="003852ED"/>
    <w:rsid w:val="003A0F52"/>
    <w:rsid w:val="003A100D"/>
    <w:rsid w:val="003A1BA8"/>
    <w:rsid w:val="003A1C06"/>
    <w:rsid w:val="003A2750"/>
    <w:rsid w:val="003A4ACF"/>
    <w:rsid w:val="003A4B2A"/>
    <w:rsid w:val="003A538B"/>
    <w:rsid w:val="003B3AEF"/>
    <w:rsid w:val="003D783F"/>
    <w:rsid w:val="003D7B7A"/>
    <w:rsid w:val="003E1E5F"/>
    <w:rsid w:val="003E2AF2"/>
    <w:rsid w:val="003F3783"/>
    <w:rsid w:val="003F666C"/>
    <w:rsid w:val="004142DA"/>
    <w:rsid w:val="00432C8A"/>
    <w:rsid w:val="00434225"/>
    <w:rsid w:val="0045080C"/>
    <w:rsid w:val="00453209"/>
    <w:rsid w:val="004554C6"/>
    <w:rsid w:val="00455EEB"/>
    <w:rsid w:val="00464BDD"/>
    <w:rsid w:val="00465250"/>
    <w:rsid w:val="00473F0A"/>
    <w:rsid w:val="00473FB6"/>
    <w:rsid w:val="00474D8F"/>
    <w:rsid w:val="00481F04"/>
    <w:rsid w:val="00486AC4"/>
    <w:rsid w:val="00492A8E"/>
    <w:rsid w:val="00497C26"/>
    <w:rsid w:val="004A10A9"/>
    <w:rsid w:val="004A3D42"/>
    <w:rsid w:val="004A4E7D"/>
    <w:rsid w:val="004A7657"/>
    <w:rsid w:val="004B01C7"/>
    <w:rsid w:val="004B4DBC"/>
    <w:rsid w:val="004B79B9"/>
    <w:rsid w:val="004C7705"/>
    <w:rsid w:val="004D184A"/>
    <w:rsid w:val="004D7EC5"/>
    <w:rsid w:val="004E2369"/>
    <w:rsid w:val="004E57F6"/>
    <w:rsid w:val="004E695C"/>
    <w:rsid w:val="004F09D0"/>
    <w:rsid w:val="004F157B"/>
    <w:rsid w:val="004F55E3"/>
    <w:rsid w:val="004F7054"/>
    <w:rsid w:val="0050076F"/>
    <w:rsid w:val="00501DF1"/>
    <w:rsid w:val="005110AC"/>
    <w:rsid w:val="00512D30"/>
    <w:rsid w:val="005169F2"/>
    <w:rsid w:val="00517A91"/>
    <w:rsid w:val="00531324"/>
    <w:rsid w:val="00565972"/>
    <w:rsid w:val="00567DFD"/>
    <w:rsid w:val="00580405"/>
    <w:rsid w:val="005844D2"/>
    <w:rsid w:val="0058534A"/>
    <w:rsid w:val="005A65D2"/>
    <w:rsid w:val="005B4976"/>
    <w:rsid w:val="005B5EF4"/>
    <w:rsid w:val="005B6ADF"/>
    <w:rsid w:val="005D320A"/>
    <w:rsid w:val="005E2D23"/>
    <w:rsid w:val="005F10C6"/>
    <w:rsid w:val="005F185D"/>
    <w:rsid w:val="005F30E0"/>
    <w:rsid w:val="005F4E40"/>
    <w:rsid w:val="00601452"/>
    <w:rsid w:val="0061516F"/>
    <w:rsid w:val="00620390"/>
    <w:rsid w:val="00634CDD"/>
    <w:rsid w:val="00641CC1"/>
    <w:rsid w:val="00646EF7"/>
    <w:rsid w:val="00650487"/>
    <w:rsid w:val="00652134"/>
    <w:rsid w:val="00661FA9"/>
    <w:rsid w:val="0066299F"/>
    <w:rsid w:val="00665031"/>
    <w:rsid w:val="006673AF"/>
    <w:rsid w:val="0067356A"/>
    <w:rsid w:val="00680A19"/>
    <w:rsid w:val="006939ED"/>
    <w:rsid w:val="00696593"/>
    <w:rsid w:val="006A3CE8"/>
    <w:rsid w:val="006B3FF6"/>
    <w:rsid w:val="006C17E1"/>
    <w:rsid w:val="006C3A31"/>
    <w:rsid w:val="006C5D69"/>
    <w:rsid w:val="006C765E"/>
    <w:rsid w:val="006D1DD1"/>
    <w:rsid w:val="006E4D69"/>
    <w:rsid w:val="006F2D2C"/>
    <w:rsid w:val="00705F85"/>
    <w:rsid w:val="00720F4C"/>
    <w:rsid w:val="0072137F"/>
    <w:rsid w:val="00733890"/>
    <w:rsid w:val="00747EF9"/>
    <w:rsid w:val="00752DA9"/>
    <w:rsid w:val="00771B04"/>
    <w:rsid w:val="00783345"/>
    <w:rsid w:val="007B0F6A"/>
    <w:rsid w:val="007B1F1B"/>
    <w:rsid w:val="007C0C90"/>
    <w:rsid w:val="007C4604"/>
    <w:rsid w:val="007C6E4A"/>
    <w:rsid w:val="007D7BAC"/>
    <w:rsid w:val="007E0C29"/>
    <w:rsid w:val="007E176B"/>
    <w:rsid w:val="007E5DCE"/>
    <w:rsid w:val="00810671"/>
    <w:rsid w:val="00814F99"/>
    <w:rsid w:val="00820AE9"/>
    <w:rsid w:val="008277D8"/>
    <w:rsid w:val="00851D0C"/>
    <w:rsid w:val="00852024"/>
    <w:rsid w:val="00853C58"/>
    <w:rsid w:val="00855276"/>
    <w:rsid w:val="00865E09"/>
    <w:rsid w:val="0086721F"/>
    <w:rsid w:val="00867370"/>
    <w:rsid w:val="008715E6"/>
    <w:rsid w:val="00871887"/>
    <w:rsid w:val="00874998"/>
    <w:rsid w:val="008770CF"/>
    <w:rsid w:val="00887DBA"/>
    <w:rsid w:val="008948D2"/>
    <w:rsid w:val="008A2B62"/>
    <w:rsid w:val="008B319C"/>
    <w:rsid w:val="008B4A33"/>
    <w:rsid w:val="008B60FD"/>
    <w:rsid w:val="008F1640"/>
    <w:rsid w:val="008F224B"/>
    <w:rsid w:val="008F3B56"/>
    <w:rsid w:val="008F5E4D"/>
    <w:rsid w:val="009037CD"/>
    <w:rsid w:val="00916748"/>
    <w:rsid w:val="00920EF5"/>
    <w:rsid w:val="00937EB7"/>
    <w:rsid w:val="00941697"/>
    <w:rsid w:val="00942029"/>
    <w:rsid w:val="00944DBF"/>
    <w:rsid w:val="00957CA6"/>
    <w:rsid w:val="00960C8C"/>
    <w:rsid w:val="009764A1"/>
    <w:rsid w:val="00981FAD"/>
    <w:rsid w:val="00982047"/>
    <w:rsid w:val="00983AC6"/>
    <w:rsid w:val="00992602"/>
    <w:rsid w:val="00997082"/>
    <w:rsid w:val="009A1CD7"/>
    <w:rsid w:val="009A46B2"/>
    <w:rsid w:val="009C06F3"/>
    <w:rsid w:val="009C2B21"/>
    <w:rsid w:val="009D3DA8"/>
    <w:rsid w:val="009D76CE"/>
    <w:rsid w:val="009E25BE"/>
    <w:rsid w:val="00A12EE4"/>
    <w:rsid w:val="00A16FB8"/>
    <w:rsid w:val="00A457E0"/>
    <w:rsid w:val="00A50BDB"/>
    <w:rsid w:val="00A54ACB"/>
    <w:rsid w:val="00A5568A"/>
    <w:rsid w:val="00A6062C"/>
    <w:rsid w:val="00A8223A"/>
    <w:rsid w:val="00A86EF3"/>
    <w:rsid w:val="00A955CB"/>
    <w:rsid w:val="00A961ED"/>
    <w:rsid w:val="00A975EC"/>
    <w:rsid w:val="00AA3600"/>
    <w:rsid w:val="00AA5D8A"/>
    <w:rsid w:val="00AA7D69"/>
    <w:rsid w:val="00AB0FDC"/>
    <w:rsid w:val="00AB3A10"/>
    <w:rsid w:val="00AB5496"/>
    <w:rsid w:val="00AB704A"/>
    <w:rsid w:val="00AC0420"/>
    <w:rsid w:val="00AC5559"/>
    <w:rsid w:val="00AD69CC"/>
    <w:rsid w:val="00B01EC1"/>
    <w:rsid w:val="00B063CF"/>
    <w:rsid w:val="00B064AF"/>
    <w:rsid w:val="00B12523"/>
    <w:rsid w:val="00B171EB"/>
    <w:rsid w:val="00B211F8"/>
    <w:rsid w:val="00B278A3"/>
    <w:rsid w:val="00B27D3A"/>
    <w:rsid w:val="00B33EA0"/>
    <w:rsid w:val="00B66017"/>
    <w:rsid w:val="00B71DE3"/>
    <w:rsid w:val="00B745C0"/>
    <w:rsid w:val="00B75570"/>
    <w:rsid w:val="00B86D8B"/>
    <w:rsid w:val="00B9001E"/>
    <w:rsid w:val="00B973BE"/>
    <w:rsid w:val="00BA2FC7"/>
    <w:rsid w:val="00BA4FFE"/>
    <w:rsid w:val="00BA53F2"/>
    <w:rsid w:val="00BA561A"/>
    <w:rsid w:val="00BB154A"/>
    <w:rsid w:val="00BB74EA"/>
    <w:rsid w:val="00BC116B"/>
    <w:rsid w:val="00BC21A6"/>
    <w:rsid w:val="00BD0D8A"/>
    <w:rsid w:val="00BD6FE0"/>
    <w:rsid w:val="00BF0A0A"/>
    <w:rsid w:val="00BF52D8"/>
    <w:rsid w:val="00BF7239"/>
    <w:rsid w:val="00C032E0"/>
    <w:rsid w:val="00C0639C"/>
    <w:rsid w:val="00C14F6C"/>
    <w:rsid w:val="00C16D68"/>
    <w:rsid w:val="00C42A85"/>
    <w:rsid w:val="00C44AE5"/>
    <w:rsid w:val="00C45157"/>
    <w:rsid w:val="00C52312"/>
    <w:rsid w:val="00C56B22"/>
    <w:rsid w:val="00C643E9"/>
    <w:rsid w:val="00C72367"/>
    <w:rsid w:val="00C83294"/>
    <w:rsid w:val="00C8473C"/>
    <w:rsid w:val="00C96460"/>
    <w:rsid w:val="00C96E0C"/>
    <w:rsid w:val="00CA1253"/>
    <w:rsid w:val="00CC6758"/>
    <w:rsid w:val="00CD7A55"/>
    <w:rsid w:val="00CE2233"/>
    <w:rsid w:val="00CE66EF"/>
    <w:rsid w:val="00CF0ABE"/>
    <w:rsid w:val="00CF79E6"/>
    <w:rsid w:val="00D04D6C"/>
    <w:rsid w:val="00D07E15"/>
    <w:rsid w:val="00D13E65"/>
    <w:rsid w:val="00D15122"/>
    <w:rsid w:val="00D17597"/>
    <w:rsid w:val="00D25BD6"/>
    <w:rsid w:val="00D32270"/>
    <w:rsid w:val="00D33081"/>
    <w:rsid w:val="00D402FE"/>
    <w:rsid w:val="00D43847"/>
    <w:rsid w:val="00D4418A"/>
    <w:rsid w:val="00D44E77"/>
    <w:rsid w:val="00D51C37"/>
    <w:rsid w:val="00D52255"/>
    <w:rsid w:val="00D71D57"/>
    <w:rsid w:val="00D801D6"/>
    <w:rsid w:val="00D84091"/>
    <w:rsid w:val="00D853E6"/>
    <w:rsid w:val="00D93A9D"/>
    <w:rsid w:val="00DA7005"/>
    <w:rsid w:val="00DB15B0"/>
    <w:rsid w:val="00DE11C5"/>
    <w:rsid w:val="00DE16BA"/>
    <w:rsid w:val="00DE369E"/>
    <w:rsid w:val="00DF1206"/>
    <w:rsid w:val="00DF1A31"/>
    <w:rsid w:val="00DF357C"/>
    <w:rsid w:val="00E029EA"/>
    <w:rsid w:val="00E079A7"/>
    <w:rsid w:val="00E17471"/>
    <w:rsid w:val="00E30783"/>
    <w:rsid w:val="00E407B9"/>
    <w:rsid w:val="00E40B05"/>
    <w:rsid w:val="00E40C8B"/>
    <w:rsid w:val="00E4404C"/>
    <w:rsid w:val="00E46153"/>
    <w:rsid w:val="00E5609D"/>
    <w:rsid w:val="00E61B01"/>
    <w:rsid w:val="00E7367E"/>
    <w:rsid w:val="00E7570C"/>
    <w:rsid w:val="00E774DF"/>
    <w:rsid w:val="00E81489"/>
    <w:rsid w:val="00E8415A"/>
    <w:rsid w:val="00E904B4"/>
    <w:rsid w:val="00EA2319"/>
    <w:rsid w:val="00EA2D0B"/>
    <w:rsid w:val="00EA3F36"/>
    <w:rsid w:val="00EB4B4A"/>
    <w:rsid w:val="00ED72D4"/>
    <w:rsid w:val="00EE1AA7"/>
    <w:rsid w:val="00EE1F2A"/>
    <w:rsid w:val="00EE385D"/>
    <w:rsid w:val="00EE3ADF"/>
    <w:rsid w:val="00EF70D3"/>
    <w:rsid w:val="00F01FB4"/>
    <w:rsid w:val="00F11BED"/>
    <w:rsid w:val="00F12FD8"/>
    <w:rsid w:val="00F21FA0"/>
    <w:rsid w:val="00F47CE4"/>
    <w:rsid w:val="00F513B3"/>
    <w:rsid w:val="00F573E0"/>
    <w:rsid w:val="00F64FF5"/>
    <w:rsid w:val="00F667BB"/>
    <w:rsid w:val="00F7106B"/>
    <w:rsid w:val="00F92875"/>
    <w:rsid w:val="00F96AF0"/>
    <w:rsid w:val="00FA1CAA"/>
    <w:rsid w:val="00FA4103"/>
    <w:rsid w:val="00FA55FD"/>
    <w:rsid w:val="00FB2518"/>
    <w:rsid w:val="00FC732A"/>
    <w:rsid w:val="00FD1298"/>
    <w:rsid w:val="00FD28AD"/>
    <w:rsid w:val="00FD3790"/>
    <w:rsid w:val="00FD6838"/>
    <w:rsid w:val="00FE11A6"/>
    <w:rsid w:val="00FF1F3B"/>
    <w:rsid w:val="00FF7954"/>
    <w:rsid w:val="02394B40"/>
    <w:rsid w:val="09530D73"/>
    <w:rsid w:val="099B04AD"/>
    <w:rsid w:val="0AAD3394"/>
    <w:rsid w:val="0FFD6370"/>
    <w:rsid w:val="13F44571"/>
    <w:rsid w:val="1435105F"/>
    <w:rsid w:val="1F251121"/>
    <w:rsid w:val="20477859"/>
    <w:rsid w:val="2A76232E"/>
    <w:rsid w:val="2E8B1249"/>
    <w:rsid w:val="30EE7AE4"/>
    <w:rsid w:val="325B7C39"/>
    <w:rsid w:val="32DD6BD5"/>
    <w:rsid w:val="374F5988"/>
    <w:rsid w:val="39026A4B"/>
    <w:rsid w:val="3B1E239B"/>
    <w:rsid w:val="41141F8C"/>
    <w:rsid w:val="461D4467"/>
    <w:rsid w:val="49EC435F"/>
    <w:rsid w:val="4A5C07C2"/>
    <w:rsid w:val="4BC251E6"/>
    <w:rsid w:val="4DB23C19"/>
    <w:rsid w:val="568B18D3"/>
    <w:rsid w:val="57EF5AA5"/>
    <w:rsid w:val="58203E35"/>
    <w:rsid w:val="5AC21499"/>
    <w:rsid w:val="5E207513"/>
    <w:rsid w:val="64C9276D"/>
    <w:rsid w:val="65D0021A"/>
    <w:rsid w:val="68031D28"/>
    <w:rsid w:val="6A617A15"/>
    <w:rsid w:val="6A8E6EE2"/>
    <w:rsid w:val="6CA81653"/>
    <w:rsid w:val="6FA23688"/>
    <w:rsid w:val="7283421E"/>
    <w:rsid w:val="73BC0281"/>
    <w:rsid w:val="74257F89"/>
    <w:rsid w:val="781B4F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9633" fillcolor="white">
      <v:fill color="white"/>
    </o:shapedefaults>
    <o:shapelayout v:ext="edit">
      <o:idmap v:ext="edit" data="1"/>
    </o:shapelayout>
  </w:shapeDefaults>
  <w:decimalSymbol w:val="."/>
  <w:listSeparator w:val=","/>
  <w14:docId w14:val="24FD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Grid"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7F"/>
    <w:pPr>
      <w:spacing w:before="100" w:beforeAutospacing="1" w:line="273" w:lineRule="auto"/>
    </w:pPr>
    <w:rPr>
      <w:rFonts w:ascii="Calibri" w:eastAsia="Times New Roman" w:hAnsi="Calibri"/>
      <w:sz w:val="22"/>
      <w:szCs w:val="22"/>
    </w:rPr>
  </w:style>
  <w:style w:type="paragraph" w:styleId="Heading2">
    <w:name w:val="heading 2"/>
    <w:basedOn w:val="Normal"/>
    <w:link w:val="Heading2Char"/>
    <w:uiPriority w:val="9"/>
    <w:qFormat/>
    <w:rsid w:val="00053E11"/>
    <w:pPr>
      <w:spacing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37F"/>
    <w:pPr>
      <w:spacing w:before="0"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72137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2137F"/>
    <w:rPr>
      <w:b/>
      <w:bCs/>
    </w:rPr>
  </w:style>
  <w:style w:type="paragraph" w:styleId="Footer">
    <w:name w:val="footer"/>
    <w:basedOn w:val="Normal"/>
    <w:uiPriority w:val="99"/>
    <w:unhideWhenUsed/>
    <w:rsid w:val="0072137F"/>
    <w:pPr>
      <w:tabs>
        <w:tab w:val="center" w:pos="4153"/>
        <w:tab w:val="right" w:pos="8306"/>
      </w:tabs>
      <w:snapToGrid w:val="0"/>
    </w:pPr>
    <w:rPr>
      <w:sz w:val="18"/>
      <w:szCs w:val="18"/>
    </w:rPr>
  </w:style>
  <w:style w:type="paragraph" w:styleId="Header">
    <w:name w:val="header"/>
    <w:basedOn w:val="Normal"/>
    <w:uiPriority w:val="99"/>
    <w:unhideWhenUsed/>
    <w:rsid w:val="0072137F"/>
    <w:pPr>
      <w:tabs>
        <w:tab w:val="center" w:pos="4153"/>
        <w:tab w:val="right" w:pos="8306"/>
      </w:tabs>
      <w:snapToGrid w:val="0"/>
    </w:pPr>
    <w:rPr>
      <w:sz w:val="18"/>
      <w:szCs w:val="18"/>
    </w:rPr>
  </w:style>
  <w:style w:type="paragraph" w:styleId="NormalWeb">
    <w:name w:val="Normal (Web)"/>
    <w:basedOn w:val="Normal"/>
    <w:uiPriority w:val="99"/>
    <w:unhideWhenUsed/>
    <w:qFormat/>
    <w:rsid w:val="0072137F"/>
    <w:pPr>
      <w:spacing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qFormat/>
    <w:rsid w:val="0072137F"/>
    <w:rPr>
      <w:sz w:val="16"/>
      <w:szCs w:val="16"/>
    </w:rPr>
  </w:style>
  <w:style w:type="character" w:styleId="Emphasis">
    <w:name w:val="Emphasis"/>
    <w:basedOn w:val="DefaultParagraphFont"/>
    <w:uiPriority w:val="20"/>
    <w:qFormat/>
    <w:rsid w:val="0072137F"/>
    <w:rPr>
      <w:i/>
      <w:iCs/>
    </w:rPr>
  </w:style>
  <w:style w:type="character" w:styleId="FollowedHyperlink">
    <w:name w:val="FollowedHyperlink"/>
    <w:basedOn w:val="DefaultParagraphFont"/>
    <w:uiPriority w:val="99"/>
    <w:semiHidden/>
    <w:unhideWhenUsed/>
    <w:rsid w:val="0072137F"/>
    <w:rPr>
      <w:color w:val="954F72" w:themeColor="followedHyperlink"/>
      <w:u w:val="single"/>
    </w:rPr>
  </w:style>
  <w:style w:type="character" w:styleId="Hyperlink">
    <w:name w:val="Hyperlink"/>
    <w:basedOn w:val="DefaultParagraphFont"/>
    <w:uiPriority w:val="99"/>
    <w:unhideWhenUsed/>
    <w:qFormat/>
    <w:rsid w:val="0072137F"/>
    <w:rPr>
      <w:color w:val="0563C1" w:themeColor="hyperlink"/>
      <w:u w:val="single"/>
    </w:rPr>
  </w:style>
  <w:style w:type="character" w:styleId="LineNumber">
    <w:name w:val="line number"/>
    <w:basedOn w:val="DefaultParagraphFont"/>
    <w:uiPriority w:val="99"/>
    <w:semiHidden/>
    <w:unhideWhenUsed/>
    <w:qFormat/>
    <w:rsid w:val="0072137F"/>
  </w:style>
  <w:style w:type="table" w:styleId="TableGrid">
    <w:name w:val="Table Grid"/>
    <w:basedOn w:val="TableNormal"/>
    <w:uiPriority w:val="59"/>
    <w:qFormat/>
    <w:rsid w:val="0072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72137F"/>
    <w:rPr>
      <w:color w:val="605E5C"/>
      <w:shd w:val="clear" w:color="auto" w:fill="E1DFDD"/>
    </w:rPr>
  </w:style>
  <w:style w:type="paragraph" w:styleId="ListParagraph">
    <w:name w:val="List Paragraph"/>
    <w:basedOn w:val="Normal"/>
    <w:uiPriority w:val="34"/>
    <w:qFormat/>
    <w:rsid w:val="0072137F"/>
    <w:pPr>
      <w:ind w:left="720"/>
      <w:contextualSpacing/>
    </w:pPr>
  </w:style>
  <w:style w:type="character" w:customStyle="1" w:styleId="15">
    <w:name w:val="15"/>
    <w:basedOn w:val="DefaultParagraphFont"/>
    <w:qFormat/>
    <w:rsid w:val="0072137F"/>
    <w:rPr>
      <w:rFonts w:ascii="Calibri" w:hAnsi="Calibri" w:cs="Calibri" w:hint="default"/>
      <w:color w:val="0000FF"/>
      <w:u w:val="single"/>
    </w:rPr>
  </w:style>
  <w:style w:type="character" w:customStyle="1" w:styleId="nlmpublisher-loc">
    <w:name w:val="nlm_publisher-loc"/>
    <w:basedOn w:val="DefaultParagraphFont"/>
    <w:qFormat/>
    <w:rsid w:val="0072137F"/>
  </w:style>
  <w:style w:type="character" w:customStyle="1" w:styleId="nlmpublisher-name">
    <w:name w:val="nlm_publisher-name"/>
    <w:basedOn w:val="DefaultParagraphFont"/>
    <w:qFormat/>
    <w:rsid w:val="0072137F"/>
  </w:style>
  <w:style w:type="character" w:customStyle="1" w:styleId="nlmyear">
    <w:name w:val="nlm_year"/>
    <w:basedOn w:val="DefaultParagraphFont"/>
    <w:qFormat/>
    <w:rsid w:val="0072137F"/>
  </w:style>
  <w:style w:type="character" w:customStyle="1" w:styleId="selectable">
    <w:name w:val="selectable"/>
    <w:basedOn w:val="DefaultParagraphFont"/>
    <w:qFormat/>
    <w:rsid w:val="0072137F"/>
  </w:style>
  <w:style w:type="paragraph" w:styleId="NoSpacing">
    <w:name w:val="No Spacing"/>
    <w:uiPriority w:val="1"/>
    <w:qFormat/>
    <w:rsid w:val="0072137F"/>
    <w:pPr>
      <w:spacing w:after="0" w:line="240" w:lineRule="auto"/>
    </w:pPr>
    <w:rPr>
      <w:rFonts w:ascii="Arial" w:eastAsia="Times New Roman" w:hAnsi="Arial"/>
      <w:sz w:val="22"/>
      <w:lang w:val="en-AU"/>
    </w:rPr>
  </w:style>
  <w:style w:type="character" w:customStyle="1" w:styleId="CommentTextChar">
    <w:name w:val="Comment Text Char"/>
    <w:basedOn w:val="DefaultParagraphFont"/>
    <w:link w:val="CommentText"/>
    <w:uiPriority w:val="99"/>
    <w:semiHidden/>
    <w:qFormat/>
    <w:rsid w:val="0072137F"/>
    <w:rPr>
      <w:rFonts w:ascii="Calibri" w:eastAsia="Times New Roman"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72137F"/>
    <w:rPr>
      <w:rFonts w:ascii="Calibri" w:eastAsia="Times New Roman" w:hAnsi="Calibri" w:cs="Times New Roman"/>
      <w:b/>
      <w:bCs/>
      <w:sz w:val="20"/>
      <w:szCs w:val="20"/>
      <w:lang w:eastAsia="en-GB"/>
    </w:rPr>
  </w:style>
  <w:style w:type="character" w:customStyle="1" w:styleId="BalloonTextChar">
    <w:name w:val="Balloon Text Char"/>
    <w:basedOn w:val="DefaultParagraphFont"/>
    <w:link w:val="BalloonText"/>
    <w:uiPriority w:val="99"/>
    <w:semiHidden/>
    <w:rsid w:val="0072137F"/>
    <w:rPr>
      <w:rFonts w:ascii="Tahoma" w:eastAsia="Times New Roman" w:hAnsi="Tahoma" w:cs="Tahoma"/>
      <w:sz w:val="16"/>
      <w:szCs w:val="16"/>
      <w:lang w:eastAsia="en-GB"/>
    </w:rPr>
  </w:style>
  <w:style w:type="character" w:customStyle="1" w:styleId="None">
    <w:name w:val="None"/>
    <w:rsid w:val="0072137F"/>
  </w:style>
  <w:style w:type="paragraph" w:customStyle="1" w:styleId="EndNoteBibliographyTitle">
    <w:name w:val="EndNote Bibliography Title"/>
    <w:rsid w:val="0072137F"/>
    <w:pPr>
      <w:jc w:val="center"/>
    </w:pPr>
    <w:rPr>
      <w:rFonts w:ascii="Calibri" w:eastAsia="Times New Roman" w:hAnsi="Calibri"/>
      <w:sz w:val="22"/>
      <w:szCs w:val="22"/>
    </w:rPr>
  </w:style>
  <w:style w:type="paragraph" w:customStyle="1" w:styleId="EndNoteBibliography">
    <w:name w:val="EndNote Bibliography"/>
    <w:rsid w:val="0072137F"/>
    <w:pPr>
      <w:spacing w:line="240" w:lineRule="auto"/>
    </w:pPr>
    <w:rPr>
      <w:rFonts w:ascii="Calibri" w:eastAsia="Times New Roman" w:hAnsi="Calibri"/>
      <w:sz w:val="22"/>
      <w:szCs w:val="22"/>
    </w:rPr>
  </w:style>
  <w:style w:type="character" w:customStyle="1" w:styleId="Heading2Char">
    <w:name w:val="Heading 2 Char"/>
    <w:basedOn w:val="DefaultParagraphFont"/>
    <w:link w:val="Heading2"/>
    <w:uiPriority w:val="9"/>
    <w:rsid w:val="00053E11"/>
    <w:rPr>
      <w:rFonts w:eastAsia="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Grid"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7F"/>
    <w:pPr>
      <w:spacing w:before="100" w:beforeAutospacing="1" w:line="273" w:lineRule="auto"/>
    </w:pPr>
    <w:rPr>
      <w:rFonts w:ascii="Calibri" w:eastAsia="Times New Roman" w:hAnsi="Calibri"/>
      <w:sz w:val="22"/>
      <w:szCs w:val="22"/>
    </w:rPr>
  </w:style>
  <w:style w:type="paragraph" w:styleId="Heading2">
    <w:name w:val="heading 2"/>
    <w:basedOn w:val="Normal"/>
    <w:link w:val="Heading2Char"/>
    <w:uiPriority w:val="9"/>
    <w:qFormat/>
    <w:rsid w:val="00053E11"/>
    <w:pPr>
      <w:spacing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37F"/>
    <w:pPr>
      <w:spacing w:before="0"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72137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2137F"/>
    <w:rPr>
      <w:b/>
      <w:bCs/>
    </w:rPr>
  </w:style>
  <w:style w:type="paragraph" w:styleId="Footer">
    <w:name w:val="footer"/>
    <w:basedOn w:val="Normal"/>
    <w:uiPriority w:val="99"/>
    <w:unhideWhenUsed/>
    <w:rsid w:val="0072137F"/>
    <w:pPr>
      <w:tabs>
        <w:tab w:val="center" w:pos="4153"/>
        <w:tab w:val="right" w:pos="8306"/>
      </w:tabs>
      <w:snapToGrid w:val="0"/>
    </w:pPr>
    <w:rPr>
      <w:sz w:val="18"/>
      <w:szCs w:val="18"/>
    </w:rPr>
  </w:style>
  <w:style w:type="paragraph" w:styleId="Header">
    <w:name w:val="header"/>
    <w:basedOn w:val="Normal"/>
    <w:uiPriority w:val="99"/>
    <w:unhideWhenUsed/>
    <w:rsid w:val="0072137F"/>
    <w:pPr>
      <w:tabs>
        <w:tab w:val="center" w:pos="4153"/>
        <w:tab w:val="right" w:pos="8306"/>
      </w:tabs>
      <w:snapToGrid w:val="0"/>
    </w:pPr>
    <w:rPr>
      <w:sz w:val="18"/>
      <w:szCs w:val="18"/>
    </w:rPr>
  </w:style>
  <w:style w:type="paragraph" w:styleId="NormalWeb">
    <w:name w:val="Normal (Web)"/>
    <w:basedOn w:val="Normal"/>
    <w:uiPriority w:val="99"/>
    <w:unhideWhenUsed/>
    <w:qFormat/>
    <w:rsid w:val="0072137F"/>
    <w:pPr>
      <w:spacing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qFormat/>
    <w:rsid w:val="0072137F"/>
    <w:rPr>
      <w:sz w:val="16"/>
      <w:szCs w:val="16"/>
    </w:rPr>
  </w:style>
  <w:style w:type="character" w:styleId="Emphasis">
    <w:name w:val="Emphasis"/>
    <w:basedOn w:val="DefaultParagraphFont"/>
    <w:uiPriority w:val="20"/>
    <w:qFormat/>
    <w:rsid w:val="0072137F"/>
    <w:rPr>
      <w:i/>
      <w:iCs/>
    </w:rPr>
  </w:style>
  <w:style w:type="character" w:styleId="FollowedHyperlink">
    <w:name w:val="FollowedHyperlink"/>
    <w:basedOn w:val="DefaultParagraphFont"/>
    <w:uiPriority w:val="99"/>
    <w:semiHidden/>
    <w:unhideWhenUsed/>
    <w:rsid w:val="0072137F"/>
    <w:rPr>
      <w:color w:val="954F72" w:themeColor="followedHyperlink"/>
      <w:u w:val="single"/>
    </w:rPr>
  </w:style>
  <w:style w:type="character" w:styleId="Hyperlink">
    <w:name w:val="Hyperlink"/>
    <w:basedOn w:val="DefaultParagraphFont"/>
    <w:uiPriority w:val="99"/>
    <w:unhideWhenUsed/>
    <w:qFormat/>
    <w:rsid w:val="0072137F"/>
    <w:rPr>
      <w:color w:val="0563C1" w:themeColor="hyperlink"/>
      <w:u w:val="single"/>
    </w:rPr>
  </w:style>
  <w:style w:type="character" w:styleId="LineNumber">
    <w:name w:val="line number"/>
    <w:basedOn w:val="DefaultParagraphFont"/>
    <w:uiPriority w:val="99"/>
    <w:semiHidden/>
    <w:unhideWhenUsed/>
    <w:qFormat/>
    <w:rsid w:val="0072137F"/>
  </w:style>
  <w:style w:type="table" w:styleId="TableGrid">
    <w:name w:val="Table Grid"/>
    <w:basedOn w:val="TableNormal"/>
    <w:uiPriority w:val="59"/>
    <w:qFormat/>
    <w:rsid w:val="0072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72137F"/>
    <w:rPr>
      <w:color w:val="605E5C"/>
      <w:shd w:val="clear" w:color="auto" w:fill="E1DFDD"/>
    </w:rPr>
  </w:style>
  <w:style w:type="paragraph" w:styleId="ListParagraph">
    <w:name w:val="List Paragraph"/>
    <w:basedOn w:val="Normal"/>
    <w:uiPriority w:val="34"/>
    <w:qFormat/>
    <w:rsid w:val="0072137F"/>
    <w:pPr>
      <w:ind w:left="720"/>
      <w:contextualSpacing/>
    </w:pPr>
  </w:style>
  <w:style w:type="character" w:customStyle="1" w:styleId="15">
    <w:name w:val="15"/>
    <w:basedOn w:val="DefaultParagraphFont"/>
    <w:qFormat/>
    <w:rsid w:val="0072137F"/>
    <w:rPr>
      <w:rFonts w:ascii="Calibri" w:hAnsi="Calibri" w:cs="Calibri" w:hint="default"/>
      <w:color w:val="0000FF"/>
      <w:u w:val="single"/>
    </w:rPr>
  </w:style>
  <w:style w:type="character" w:customStyle="1" w:styleId="nlmpublisher-loc">
    <w:name w:val="nlm_publisher-loc"/>
    <w:basedOn w:val="DefaultParagraphFont"/>
    <w:qFormat/>
    <w:rsid w:val="0072137F"/>
  </w:style>
  <w:style w:type="character" w:customStyle="1" w:styleId="nlmpublisher-name">
    <w:name w:val="nlm_publisher-name"/>
    <w:basedOn w:val="DefaultParagraphFont"/>
    <w:qFormat/>
    <w:rsid w:val="0072137F"/>
  </w:style>
  <w:style w:type="character" w:customStyle="1" w:styleId="nlmyear">
    <w:name w:val="nlm_year"/>
    <w:basedOn w:val="DefaultParagraphFont"/>
    <w:qFormat/>
    <w:rsid w:val="0072137F"/>
  </w:style>
  <w:style w:type="character" w:customStyle="1" w:styleId="selectable">
    <w:name w:val="selectable"/>
    <w:basedOn w:val="DefaultParagraphFont"/>
    <w:qFormat/>
    <w:rsid w:val="0072137F"/>
  </w:style>
  <w:style w:type="paragraph" w:styleId="NoSpacing">
    <w:name w:val="No Spacing"/>
    <w:uiPriority w:val="1"/>
    <w:qFormat/>
    <w:rsid w:val="0072137F"/>
    <w:pPr>
      <w:spacing w:after="0" w:line="240" w:lineRule="auto"/>
    </w:pPr>
    <w:rPr>
      <w:rFonts w:ascii="Arial" w:eastAsia="Times New Roman" w:hAnsi="Arial"/>
      <w:sz w:val="22"/>
      <w:lang w:val="en-AU"/>
    </w:rPr>
  </w:style>
  <w:style w:type="character" w:customStyle="1" w:styleId="CommentTextChar">
    <w:name w:val="Comment Text Char"/>
    <w:basedOn w:val="DefaultParagraphFont"/>
    <w:link w:val="CommentText"/>
    <w:uiPriority w:val="99"/>
    <w:semiHidden/>
    <w:qFormat/>
    <w:rsid w:val="0072137F"/>
    <w:rPr>
      <w:rFonts w:ascii="Calibri" w:eastAsia="Times New Roman"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72137F"/>
    <w:rPr>
      <w:rFonts w:ascii="Calibri" w:eastAsia="Times New Roman" w:hAnsi="Calibri" w:cs="Times New Roman"/>
      <w:b/>
      <w:bCs/>
      <w:sz w:val="20"/>
      <w:szCs w:val="20"/>
      <w:lang w:eastAsia="en-GB"/>
    </w:rPr>
  </w:style>
  <w:style w:type="character" w:customStyle="1" w:styleId="BalloonTextChar">
    <w:name w:val="Balloon Text Char"/>
    <w:basedOn w:val="DefaultParagraphFont"/>
    <w:link w:val="BalloonText"/>
    <w:uiPriority w:val="99"/>
    <w:semiHidden/>
    <w:rsid w:val="0072137F"/>
    <w:rPr>
      <w:rFonts w:ascii="Tahoma" w:eastAsia="Times New Roman" w:hAnsi="Tahoma" w:cs="Tahoma"/>
      <w:sz w:val="16"/>
      <w:szCs w:val="16"/>
      <w:lang w:eastAsia="en-GB"/>
    </w:rPr>
  </w:style>
  <w:style w:type="character" w:customStyle="1" w:styleId="None">
    <w:name w:val="None"/>
    <w:rsid w:val="0072137F"/>
  </w:style>
  <w:style w:type="paragraph" w:customStyle="1" w:styleId="EndNoteBibliographyTitle">
    <w:name w:val="EndNote Bibliography Title"/>
    <w:rsid w:val="0072137F"/>
    <w:pPr>
      <w:jc w:val="center"/>
    </w:pPr>
    <w:rPr>
      <w:rFonts w:ascii="Calibri" w:eastAsia="Times New Roman" w:hAnsi="Calibri"/>
      <w:sz w:val="22"/>
      <w:szCs w:val="22"/>
    </w:rPr>
  </w:style>
  <w:style w:type="paragraph" w:customStyle="1" w:styleId="EndNoteBibliography">
    <w:name w:val="EndNote Bibliography"/>
    <w:rsid w:val="0072137F"/>
    <w:pPr>
      <w:spacing w:line="240" w:lineRule="auto"/>
    </w:pPr>
    <w:rPr>
      <w:rFonts w:ascii="Calibri" w:eastAsia="Times New Roman" w:hAnsi="Calibri"/>
      <w:sz w:val="22"/>
      <w:szCs w:val="22"/>
    </w:rPr>
  </w:style>
  <w:style w:type="character" w:customStyle="1" w:styleId="Heading2Char">
    <w:name w:val="Heading 2 Char"/>
    <w:basedOn w:val="DefaultParagraphFont"/>
    <w:link w:val="Heading2"/>
    <w:uiPriority w:val="9"/>
    <w:rsid w:val="00053E11"/>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12563">
      <w:bodyDiv w:val="1"/>
      <w:marLeft w:val="0"/>
      <w:marRight w:val="0"/>
      <w:marTop w:val="0"/>
      <w:marBottom w:val="0"/>
      <w:divBdr>
        <w:top w:val="none" w:sz="0" w:space="0" w:color="auto"/>
        <w:left w:val="none" w:sz="0" w:space="0" w:color="auto"/>
        <w:bottom w:val="none" w:sz="0" w:space="0" w:color="auto"/>
        <w:right w:val="none" w:sz="0" w:space="0" w:color="auto"/>
      </w:divBdr>
    </w:div>
    <w:div w:id="2043553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bout-cancer.cancerresearchuk.org/about-cancer/oesophageal-cancer/about"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sarah.davies2@uhs.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4586</Words>
  <Characters>26144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Davies</dc:creator>
  <cp:lastModifiedBy>Davies, Sarah</cp:lastModifiedBy>
  <cp:revision>2</cp:revision>
  <cp:lastPrinted>2020-07-24T14:26:00Z</cp:lastPrinted>
  <dcterms:created xsi:type="dcterms:W3CDTF">2021-02-03T15:21:00Z</dcterms:created>
  <dcterms:modified xsi:type="dcterms:W3CDTF">2021-02-03T15:21:00Z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