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4279F" w14:textId="17B8E84B" w:rsidR="004C314B" w:rsidRDefault="004C314B" w:rsidP="004A3565">
      <w:pPr>
        <w:jc w:val="both"/>
        <w:rPr>
          <w:lang w:val="en-US"/>
        </w:rPr>
      </w:pPr>
      <w:r>
        <w:rPr>
          <w:lang w:val="en-US"/>
        </w:rPr>
        <w:t>Title Page</w:t>
      </w:r>
    </w:p>
    <w:p w14:paraId="75A0B502" w14:textId="77777777" w:rsidR="004C314B" w:rsidRDefault="004C314B" w:rsidP="004A3565">
      <w:pPr>
        <w:jc w:val="both"/>
        <w:rPr>
          <w:lang w:val="en-US"/>
        </w:rPr>
      </w:pPr>
    </w:p>
    <w:p w14:paraId="7147D5CC" w14:textId="208E62CF" w:rsidR="004C314B" w:rsidRDefault="00901A65" w:rsidP="004A3565">
      <w:pPr>
        <w:jc w:val="both"/>
        <w:rPr>
          <w:b/>
          <w:lang w:val="en-US"/>
        </w:rPr>
      </w:pPr>
      <w:r>
        <w:rPr>
          <w:b/>
          <w:lang w:val="en-US"/>
        </w:rPr>
        <w:t>Children of Asian ethnicity</w:t>
      </w:r>
      <w:r w:rsidR="00027187" w:rsidRPr="008B6F78">
        <w:rPr>
          <w:b/>
          <w:lang w:val="en-US"/>
        </w:rPr>
        <w:t xml:space="preserve"> </w:t>
      </w:r>
      <w:r w:rsidR="009054BB">
        <w:rPr>
          <w:b/>
          <w:lang w:val="en-US"/>
        </w:rPr>
        <w:t xml:space="preserve">in Australia </w:t>
      </w:r>
      <w:r w:rsidR="00027187" w:rsidRPr="008B6F78">
        <w:rPr>
          <w:b/>
          <w:lang w:val="en-US"/>
        </w:rPr>
        <w:t xml:space="preserve">have higher </w:t>
      </w:r>
      <w:r w:rsidR="008B1E40">
        <w:rPr>
          <w:b/>
          <w:lang w:val="en-US"/>
        </w:rPr>
        <w:t xml:space="preserve">risk of </w:t>
      </w:r>
      <w:r w:rsidR="00027187" w:rsidRPr="008B6F78">
        <w:rPr>
          <w:b/>
          <w:lang w:val="en-US"/>
        </w:rPr>
        <w:t>food allergy and ea</w:t>
      </w:r>
      <w:r>
        <w:rPr>
          <w:b/>
          <w:lang w:val="en-US"/>
        </w:rPr>
        <w:t>rly onset eczema than those</w:t>
      </w:r>
      <w:r w:rsidR="00027187" w:rsidRPr="008B6F78">
        <w:rPr>
          <w:b/>
          <w:lang w:val="en-US"/>
        </w:rPr>
        <w:t xml:space="preserve"> in Singapore</w:t>
      </w:r>
    </w:p>
    <w:p w14:paraId="31509911" w14:textId="77777777" w:rsidR="00901A65" w:rsidRDefault="00901A65" w:rsidP="004A3565">
      <w:pPr>
        <w:jc w:val="both"/>
        <w:rPr>
          <w:b/>
          <w:lang w:val="en-US"/>
        </w:rPr>
      </w:pPr>
    </w:p>
    <w:p w14:paraId="2B92A8C1" w14:textId="77777777" w:rsidR="00FE2920" w:rsidRPr="00FE2920" w:rsidRDefault="00901A65" w:rsidP="00FE2920">
      <w:pPr>
        <w:rPr>
          <w:lang w:val="en-AU"/>
        </w:rPr>
      </w:pPr>
      <w:r w:rsidRPr="00FD1CFA">
        <w:t xml:space="preserve">Running title: </w:t>
      </w:r>
      <w:r w:rsidR="00FE2920" w:rsidRPr="00FE2920">
        <w:rPr>
          <w:bCs/>
          <w:lang w:val="en-AU"/>
        </w:rPr>
        <w:t>Risk factors for food allergy in Australia &amp; Singapore</w:t>
      </w:r>
      <w:r w:rsidR="00FE2920" w:rsidRPr="00FE2920">
        <w:rPr>
          <w:b/>
          <w:bCs/>
          <w:lang w:val="en-AU"/>
        </w:rPr>
        <w:t> </w:t>
      </w:r>
    </w:p>
    <w:p w14:paraId="3E654E32" w14:textId="77777777" w:rsidR="00901A65" w:rsidRDefault="00901A65" w:rsidP="00901A65">
      <w:pPr>
        <w:rPr>
          <w:b/>
        </w:rPr>
      </w:pPr>
    </w:p>
    <w:p w14:paraId="51E1E831" w14:textId="4B41A5F5" w:rsidR="004C314B" w:rsidRPr="004C10CF" w:rsidRDefault="004C314B" w:rsidP="004A3565">
      <w:pPr>
        <w:jc w:val="both"/>
        <w:rPr>
          <w:lang w:val="en-US"/>
        </w:rPr>
      </w:pPr>
      <w:r w:rsidRPr="004C10CF">
        <w:rPr>
          <w:lang w:val="en-US"/>
        </w:rPr>
        <w:t>Author list &amp; Affiliations</w:t>
      </w:r>
    </w:p>
    <w:p w14:paraId="44F4FC93" w14:textId="42D13730" w:rsidR="00096C36" w:rsidRPr="004C10CF" w:rsidRDefault="00096C36" w:rsidP="004C10CF">
      <w:pPr>
        <w:jc w:val="both"/>
      </w:pPr>
      <w:r w:rsidRPr="004C10CF">
        <w:rPr>
          <w:bCs/>
        </w:rPr>
        <w:t>Noor H. A. Suaini</w:t>
      </w:r>
      <w:r w:rsidRPr="004C10CF">
        <w:rPr>
          <w:bCs/>
          <w:vertAlign w:val="superscript"/>
        </w:rPr>
        <w:t>1,2</w:t>
      </w:r>
      <w:r w:rsidRPr="004C10CF">
        <w:rPr>
          <w:bCs/>
        </w:rPr>
        <w:t>,</w:t>
      </w:r>
      <w:r w:rsidRPr="004C10CF">
        <w:rPr>
          <w:rFonts w:eastAsiaTheme="majorEastAsia"/>
          <w:bCs/>
        </w:rPr>
        <w:t xml:space="preserve"> Evelyn </w:t>
      </w:r>
      <w:proofErr w:type="spellStart"/>
      <w:r w:rsidRPr="004C10CF">
        <w:rPr>
          <w:rFonts w:eastAsiaTheme="majorEastAsia"/>
          <w:bCs/>
        </w:rPr>
        <w:t>Xiu</w:t>
      </w:r>
      <w:proofErr w:type="spellEnd"/>
      <w:r w:rsidRPr="004C10CF">
        <w:rPr>
          <w:rFonts w:eastAsiaTheme="majorEastAsia"/>
          <w:bCs/>
        </w:rPr>
        <w:t>-Ling Loo</w:t>
      </w:r>
      <w:r w:rsidR="00005F93" w:rsidRPr="00005F93">
        <w:rPr>
          <w:rFonts w:eastAsiaTheme="majorEastAsia"/>
          <w:bCs/>
          <w:vertAlign w:val="superscript"/>
        </w:rPr>
        <w:t>2,</w:t>
      </w:r>
      <w:r w:rsidRPr="004C10CF">
        <w:rPr>
          <w:rFonts w:eastAsiaTheme="majorEastAsia"/>
          <w:bCs/>
          <w:vertAlign w:val="superscript"/>
        </w:rPr>
        <w:t>3</w:t>
      </w:r>
      <w:r w:rsidRPr="004C10CF">
        <w:rPr>
          <w:rFonts w:eastAsiaTheme="majorEastAsia"/>
          <w:bCs/>
        </w:rPr>
        <w:t xml:space="preserve">, </w:t>
      </w:r>
      <w:r w:rsidRPr="004C10CF">
        <w:rPr>
          <w:bCs/>
        </w:rPr>
        <w:t>Rachel L. Peters</w:t>
      </w:r>
      <w:r w:rsidRPr="004C10CF">
        <w:rPr>
          <w:bCs/>
          <w:vertAlign w:val="superscript"/>
        </w:rPr>
        <w:t>1,</w:t>
      </w:r>
      <w:r w:rsidR="00005F93">
        <w:rPr>
          <w:bCs/>
          <w:vertAlign w:val="superscript"/>
        </w:rPr>
        <w:t>4</w:t>
      </w:r>
      <w:r w:rsidRPr="004C10CF">
        <w:rPr>
          <w:bCs/>
        </w:rPr>
        <w:t>,</w:t>
      </w:r>
      <w:r w:rsidRPr="004C10CF">
        <w:rPr>
          <w:rFonts w:eastAsiaTheme="majorEastAsia"/>
          <w:bCs/>
        </w:rPr>
        <w:t xml:space="preserve"> </w:t>
      </w:r>
      <w:proofErr w:type="spellStart"/>
      <w:r w:rsidR="00005F93">
        <w:rPr>
          <w:rFonts w:eastAsiaTheme="majorEastAsia"/>
          <w:bCs/>
        </w:rPr>
        <w:t>Gaik</w:t>
      </w:r>
      <w:proofErr w:type="spellEnd"/>
      <w:r w:rsidR="00005F93">
        <w:rPr>
          <w:rFonts w:eastAsiaTheme="majorEastAsia"/>
          <w:bCs/>
        </w:rPr>
        <w:t xml:space="preserve"> Chin Yap</w:t>
      </w:r>
      <w:r w:rsidR="00005F93" w:rsidRPr="00005F93">
        <w:rPr>
          <w:rFonts w:eastAsiaTheme="majorEastAsia"/>
          <w:bCs/>
          <w:vertAlign w:val="superscript"/>
        </w:rPr>
        <w:t>3</w:t>
      </w:r>
      <w:r w:rsidR="00005F93">
        <w:rPr>
          <w:rFonts w:eastAsiaTheme="majorEastAsia"/>
          <w:bCs/>
        </w:rPr>
        <w:t xml:space="preserve">, </w:t>
      </w:r>
      <w:r w:rsidR="00005F93" w:rsidRPr="004C10CF">
        <w:rPr>
          <w:bCs/>
        </w:rPr>
        <w:t>Katrina J. Allen</w:t>
      </w:r>
      <w:r w:rsidR="00005F93" w:rsidRPr="004C10CF">
        <w:rPr>
          <w:bCs/>
          <w:vertAlign w:val="superscript"/>
        </w:rPr>
        <w:t>1,</w:t>
      </w:r>
      <w:r w:rsidR="00005F93">
        <w:rPr>
          <w:bCs/>
          <w:vertAlign w:val="superscript"/>
        </w:rPr>
        <w:t>4</w:t>
      </w:r>
      <w:r w:rsidR="00036693">
        <w:rPr>
          <w:bCs/>
          <w:vertAlign w:val="superscript"/>
        </w:rPr>
        <w:t>,5,6</w:t>
      </w:r>
      <w:r w:rsidR="00005F93" w:rsidRPr="004C10CF">
        <w:rPr>
          <w:bCs/>
          <w:vertAlign w:val="superscript"/>
        </w:rPr>
        <w:t>,*</w:t>
      </w:r>
      <w:r w:rsidR="00005F93" w:rsidRPr="004C10CF">
        <w:rPr>
          <w:bCs/>
        </w:rPr>
        <w:t>,</w:t>
      </w:r>
      <w:r w:rsidR="00005F93" w:rsidRPr="004C10CF">
        <w:rPr>
          <w:rFonts w:eastAsiaTheme="majorEastAsia"/>
          <w:bCs/>
        </w:rPr>
        <w:t xml:space="preserve"> </w:t>
      </w:r>
      <w:r w:rsidRPr="004C10CF">
        <w:rPr>
          <w:rFonts w:eastAsiaTheme="majorEastAsia"/>
          <w:bCs/>
        </w:rPr>
        <w:t xml:space="preserve">Hugo </w:t>
      </w:r>
      <w:r w:rsidR="00F6389D">
        <w:rPr>
          <w:rFonts w:eastAsiaTheme="majorEastAsia"/>
          <w:bCs/>
        </w:rPr>
        <w:t>V</w:t>
      </w:r>
      <w:r w:rsidRPr="004C10CF">
        <w:rPr>
          <w:rFonts w:eastAsiaTheme="majorEastAsia"/>
          <w:bCs/>
        </w:rPr>
        <w:t>an Bever</w:t>
      </w:r>
      <w:r w:rsidR="00036693">
        <w:rPr>
          <w:rFonts w:eastAsiaTheme="majorEastAsia"/>
          <w:bCs/>
          <w:vertAlign w:val="superscript"/>
        </w:rPr>
        <w:t>3,7</w:t>
      </w:r>
      <w:r w:rsidRPr="004C10CF">
        <w:rPr>
          <w:rFonts w:eastAsiaTheme="majorEastAsia"/>
          <w:bCs/>
        </w:rPr>
        <w:t xml:space="preserve">, </w:t>
      </w:r>
      <w:r w:rsidR="00005F93" w:rsidRPr="004C10CF">
        <w:rPr>
          <w:bCs/>
        </w:rPr>
        <w:t>David J. Martino</w:t>
      </w:r>
      <w:r w:rsidR="00036693">
        <w:rPr>
          <w:bCs/>
          <w:vertAlign w:val="superscript"/>
        </w:rPr>
        <w:t>1,4,8</w:t>
      </w:r>
      <w:r w:rsidR="00005F93" w:rsidRPr="00005F93">
        <w:rPr>
          <w:bCs/>
        </w:rPr>
        <w:t>,</w:t>
      </w:r>
      <w:r w:rsidR="00005F93">
        <w:rPr>
          <w:bCs/>
          <w:vertAlign w:val="superscript"/>
        </w:rPr>
        <w:t xml:space="preserve"> </w:t>
      </w:r>
      <w:r w:rsidRPr="004C10CF">
        <w:rPr>
          <w:rFonts w:eastAsiaTheme="majorEastAsia"/>
          <w:bCs/>
        </w:rPr>
        <w:t xml:space="preserve">Anne </w:t>
      </w:r>
      <w:proofErr w:type="spellStart"/>
      <w:r w:rsidRPr="004C10CF">
        <w:rPr>
          <w:rFonts w:eastAsiaTheme="majorEastAsia"/>
          <w:bCs/>
        </w:rPr>
        <w:t>Eng</w:t>
      </w:r>
      <w:proofErr w:type="spellEnd"/>
      <w:r w:rsidRPr="004C10CF">
        <w:rPr>
          <w:rFonts w:eastAsiaTheme="majorEastAsia"/>
          <w:bCs/>
        </w:rPr>
        <w:t xml:space="preserve"> Neo Goh</w:t>
      </w:r>
      <w:r w:rsidR="00036693">
        <w:rPr>
          <w:rFonts w:eastAsiaTheme="majorEastAsia"/>
          <w:bCs/>
          <w:vertAlign w:val="superscript"/>
        </w:rPr>
        <w:t>9</w:t>
      </w:r>
      <w:r w:rsidRPr="004C10CF">
        <w:rPr>
          <w:rFonts w:eastAsiaTheme="majorEastAsia"/>
          <w:bCs/>
        </w:rPr>
        <w:t>,</w:t>
      </w:r>
      <w:r w:rsidR="00005F93" w:rsidRPr="00005F93">
        <w:rPr>
          <w:rFonts w:eastAsia="DengXian"/>
          <w:bCs/>
        </w:rPr>
        <w:t xml:space="preserve"> </w:t>
      </w:r>
      <w:proofErr w:type="spellStart"/>
      <w:r w:rsidR="00005F93" w:rsidRPr="004C10CF">
        <w:rPr>
          <w:rFonts w:eastAsia="DengXian"/>
          <w:bCs/>
        </w:rPr>
        <w:t>Shyamali</w:t>
      </w:r>
      <w:proofErr w:type="spellEnd"/>
      <w:r w:rsidR="00005F93" w:rsidRPr="004C10CF">
        <w:rPr>
          <w:rFonts w:eastAsia="DengXian"/>
          <w:bCs/>
        </w:rPr>
        <w:t xml:space="preserve"> C. Dharmage</w:t>
      </w:r>
      <w:r w:rsidR="00036693">
        <w:rPr>
          <w:rFonts w:eastAsia="DengXian"/>
          <w:bCs/>
          <w:vertAlign w:val="superscript"/>
        </w:rPr>
        <w:t>10</w:t>
      </w:r>
      <w:r w:rsidRPr="004C10CF">
        <w:rPr>
          <w:bCs/>
        </w:rPr>
        <w:t>,</w:t>
      </w:r>
      <w:r w:rsidRPr="004C10CF">
        <w:rPr>
          <w:rFonts w:eastAsiaTheme="majorEastAsia"/>
          <w:bCs/>
        </w:rPr>
        <w:t xml:space="preserve"> </w:t>
      </w:r>
      <w:proofErr w:type="spellStart"/>
      <w:r w:rsidR="007B1A7D" w:rsidRPr="007B1A7D">
        <w:rPr>
          <w:rFonts w:eastAsiaTheme="majorEastAsia"/>
          <w:bCs/>
          <w:lang w:val="en-US"/>
        </w:rPr>
        <w:t>Marjorelee</w:t>
      </w:r>
      <w:proofErr w:type="spellEnd"/>
      <w:r w:rsidR="007B1A7D" w:rsidRPr="007B1A7D">
        <w:rPr>
          <w:rFonts w:eastAsiaTheme="majorEastAsia"/>
          <w:bCs/>
          <w:lang w:val="en-US"/>
        </w:rPr>
        <w:t xml:space="preserve"> </w:t>
      </w:r>
      <w:r w:rsidR="00CC220E">
        <w:rPr>
          <w:rFonts w:eastAsiaTheme="majorEastAsia"/>
          <w:bCs/>
          <w:lang w:val="en-US"/>
        </w:rPr>
        <w:t xml:space="preserve">T. </w:t>
      </w:r>
      <w:r w:rsidR="007B1A7D" w:rsidRPr="007B1A7D">
        <w:rPr>
          <w:rFonts w:eastAsiaTheme="majorEastAsia"/>
          <w:bCs/>
          <w:lang w:val="en-US"/>
        </w:rPr>
        <w:t>Colega</w:t>
      </w:r>
      <w:r w:rsidR="007B1A7D" w:rsidRPr="007B1A7D">
        <w:rPr>
          <w:rFonts w:eastAsiaTheme="majorEastAsia"/>
          <w:bCs/>
          <w:vertAlign w:val="superscript"/>
          <w:lang w:val="en-US"/>
        </w:rPr>
        <w:t>2</w:t>
      </w:r>
      <w:r w:rsidR="007B1A7D">
        <w:rPr>
          <w:rFonts w:eastAsiaTheme="majorEastAsia"/>
          <w:bCs/>
        </w:rPr>
        <w:t>,</w:t>
      </w:r>
      <w:r w:rsidR="007B1A7D" w:rsidRPr="007B1A7D">
        <w:rPr>
          <w:rFonts w:eastAsiaTheme="majorEastAsia"/>
          <w:bCs/>
        </w:rPr>
        <w:t xml:space="preserve"> </w:t>
      </w:r>
      <w:r w:rsidR="007B1A7D" w:rsidRPr="004C10CF">
        <w:rPr>
          <w:rFonts w:eastAsiaTheme="majorEastAsia"/>
          <w:bCs/>
        </w:rPr>
        <w:t xml:space="preserve">Mary </w:t>
      </w:r>
      <w:proofErr w:type="spellStart"/>
      <w:r w:rsidR="007B1A7D" w:rsidRPr="004C10CF">
        <w:rPr>
          <w:rFonts w:eastAsiaTheme="majorEastAsia"/>
          <w:bCs/>
        </w:rPr>
        <w:t>Foong</w:t>
      </w:r>
      <w:proofErr w:type="spellEnd"/>
      <w:r w:rsidR="007B1A7D" w:rsidRPr="004C10CF">
        <w:rPr>
          <w:rFonts w:eastAsiaTheme="majorEastAsia"/>
          <w:bCs/>
        </w:rPr>
        <w:t xml:space="preserve"> Fong Chong</w:t>
      </w:r>
      <w:r w:rsidR="007B1A7D">
        <w:rPr>
          <w:rFonts w:eastAsiaTheme="majorEastAsia"/>
          <w:bCs/>
        </w:rPr>
        <w:t xml:space="preserve"> </w:t>
      </w:r>
      <w:r w:rsidR="007B1A7D" w:rsidRPr="00E3442C">
        <w:rPr>
          <w:rFonts w:eastAsiaTheme="majorEastAsia"/>
          <w:bCs/>
          <w:vertAlign w:val="superscript"/>
        </w:rPr>
        <w:t>2,</w:t>
      </w:r>
      <w:r w:rsidR="007B1A7D" w:rsidRPr="004C10CF">
        <w:rPr>
          <w:rFonts w:eastAsiaTheme="majorEastAsia"/>
          <w:bCs/>
          <w:vertAlign w:val="superscript"/>
        </w:rPr>
        <w:t>11</w:t>
      </w:r>
      <w:r w:rsidR="007B1A7D" w:rsidRPr="007B1A7D">
        <w:rPr>
          <w:rFonts w:eastAsiaTheme="majorEastAsia"/>
          <w:bCs/>
        </w:rPr>
        <w:t>,</w:t>
      </w:r>
      <w:r w:rsidR="007B1A7D">
        <w:rPr>
          <w:rFonts w:eastAsiaTheme="majorEastAsia"/>
          <w:bCs/>
        </w:rPr>
        <w:t xml:space="preserve"> </w:t>
      </w:r>
      <w:r w:rsidR="00005F93" w:rsidRPr="004C10CF">
        <w:rPr>
          <w:rFonts w:eastAsia="DengXian"/>
          <w:bCs/>
        </w:rPr>
        <w:t>Anne-Louise Ponsonby</w:t>
      </w:r>
      <w:r w:rsidR="008318AE">
        <w:rPr>
          <w:rFonts w:eastAsia="DengXian"/>
          <w:bCs/>
          <w:vertAlign w:val="superscript"/>
        </w:rPr>
        <w:t>10,1</w:t>
      </w:r>
      <w:r w:rsidR="001B1E54">
        <w:rPr>
          <w:rFonts w:eastAsia="DengXian"/>
          <w:bCs/>
          <w:vertAlign w:val="superscript"/>
        </w:rPr>
        <w:t>2</w:t>
      </w:r>
      <w:r w:rsidR="004C10CF" w:rsidRPr="004C10CF">
        <w:t xml:space="preserve">, </w:t>
      </w:r>
      <w:proofErr w:type="spellStart"/>
      <w:r w:rsidRPr="004C10CF">
        <w:rPr>
          <w:rFonts w:eastAsiaTheme="majorEastAsia"/>
        </w:rPr>
        <w:t>Kok</w:t>
      </w:r>
      <w:proofErr w:type="spellEnd"/>
      <w:r w:rsidRPr="004C10CF">
        <w:rPr>
          <w:rFonts w:eastAsiaTheme="majorEastAsia"/>
        </w:rPr>
        <w:t xml:space="preserve"> </w:t>
      </w:r>
      <w:proofErr w:type="spellStart"/>
      <w:r w:rsidRPr="004C10CF">
        <w:rPr>
          <w:rFonts w:eastAsiaTheme="majorEastAsia"/>
        </w:rPr>
        <w:t>Hian</w:t>
      </w:r>
      <w:proofErr w:type="spellEnd"/>
      <w:r w:rsidRPr="004C10CF">
        <w:rPr>
          <w:rFonts w:eastAsiaTheme="majorEastAsia"/>
        </w:rPr>
        <w:t xml:space="preserve"> Tan</w:t>
      </w:r>
      <w:r w:rsidR="008318AE">
        <w:rPr>
          <w:rFonts w:eastAsiaTheme="majorEastAsia"/>
          <w:vertAlign w:val="superscript"/>
        </w:rPr>
        <w:t>1</w:t>
      </w:r>
      <w:r w:rsidR="001B1E54">
        <w:rPr>
          <w:rFonts w:eastAsiaTheme="majorEastAsia"/>
          <w:vertAlign w:val="superscript"/>
        </w:rPr>
        <w:t>3</w:t>
      </w:r>
      <w:r w:rsidRPr="004C10CF">
        <w:rPr>
          <w:rFonts w:eastAsiaTheme="majorEastAsia"/>
          <w:bCs/>
        </w:rPr>
        <w:t>,</w:t>
      </w:r>
      <w:r w:rsidR="004C10CF" w:rsidRPr="004C10CF">
        <w:rPr>
          <w:rFonts w:eastAsiaTheme="majorEastAsia"/>
          <w:bCs/>
        </w:rPr>
        <w:t xml:space="preserve"> </w:t>
      </w:r>
      <w:r w:rsidR="00005F93" w:rsidRPr="004C10CF">
        <w:rPr>
          <w:rFonts w:eastAsia="DengXian"/>
          <w:bCs/>
        </w:rPr>
        <w:t>Mimi L. K. Tang</w:t>
      </w:r>
      <w:r w:rsidR="008318AE">
        <w:rPr>
          <w:rFonts w:eastAsia="DengXian"/>
          <w:bCs/>
          <w:vertAlign w:val="superscript"/>
        </w:rPr>
        <w:t>1,4</w:t>
      </w:r>
      <w:r w:rsidR="00005F93" w:rsidRPr="004C10CF">
        <w:rPr>
          <w:rFonts w:eastAsia="DengXian"/>
          <w:bCs/>
          <w:vertAlign w:val="superscript"/>
        </w:rPr>
        <w:t>,</w:t>
      </w:r>
      <w:r w:rsidR="008318AE">
        <w:rPr>
          <w:rFonts w:eastAsia="DengXian"/>
          <w:bCs/>
          <w:vertAlign w:val="superscript"/>
        </w:rPr>
        <w:t>5</w:t>
      </w:r>
      <w:r w:rsidR="004C10CF" w:rsidRPr="004C10CF">
        <w:rPr>
          <w:rFonts w:eastAsiaTheme="majorEastAsia"/>
          <w:bCs/>
        </w:rPr>
        <w:t xml:space="preserve">, </w:t>
      </w:r>
      <w:r w:rsidRPr="004C10CF">
        <w:rPr>
          <w:rFonts w:eastAsiaTheme="majorEastAsia"/>
        </w:rPr>
        <w:t>Keith M Godfrey</w:t>
      </w:r>
      <w:r w:rsidRPr="004C10CF">
        <w:rPr>
          <w:rFonts w:eastAsiaTheme="majorEastAsia"/>
          <w:vertAlign w:val="superscript"/>
        </w:rPr>
        <w:t>1</w:t>
      </w:r>
      <w:r w:rsidR="001B1E54">
        <w:rPr>
          <w:rFonts w:eastAsiaTheme="majorEastAsia"/>
          <w:vertAlign w:val="superscript"/>
        </w:rPr>
        <w:t>4,15</w:t>
      </w:r>
      <w:r w:rsidRPr="004C10CF">
        <w:rPr>
          <w:rFonts w:eastAsiaTheme="majorEastAsia"/>
          <w:bCs/>
        </w:rPr>
        <w:t xml:space="preserve">, </w:t>
      </w:r>
      <w:r w:rsidRPr="004C10CF">
        <w:rPr>
          <w:bCs/>
        </w:rPr>
        <w:t>Bee Wah Lee</w:t>
      </w:r>
      <w:r w:rsidR="008318AE">
        <w:rPr>
          <w:bCs/>
          <w:vertAlign w:val="superscript"/>
        </w:rPr>
        <w:t>3</w:t>
      </w:r>
      <w:r w:rsidRPr="004C10CF">
        <w:rPr>
          <w:bCs/>
        </w:rPr>
        <w:t xml:space="preserve">, </w:t>
      </w:r>
      <w:r w:rsidRPr="004C10CF">
        <w:rPr>
          <w:rFonts w:eastAsiaTheme="majorEastAsia"/>
        </w:rPr>
        <w:t>Lynette Pei-Chi Shek</w:t>
      </w:r>
      <w:r w:rsidR="002D20A4" w:rsidRPr="002D20A4">
        <w:rPr>
          <w:rFonts w:eastAsiaTheme="majorEastAsia"/>
          <w:vertAlign w:val="superscript"/>
        </w:rPr>
        <w:t>2,</w:t>
      </w:r>
      <w:r w:rsidR="008318AE">
        <w:rPr>
          <w:rFonts w:eastAsiaTheme="majorEastAsia"/>
          <w:vertAlign w:val="superscript"/>
        </w:rPr>
        <w:t>3,7</w:t>
      </w:r>
      <w:r w:rsidRPr="004C10CF">
        <w:rPr>
          <w:rFonts w:eastAsiaTheme="majorEastAsia"/>
        </w:rPr>
        <w:t xml:space="preserve">, </w:t>
      </w:r>
      <w:r w:rsidRPr="004C10CF">
        <w:rPr>
          <w:bCs/>
        </w:rPr>
        <w:t>Jennifer J. Koplin</w:t>
      </w:r>
      <w:r w:rsidR="008318AE">
        <w:rPr>
          <w:bCs/>
          <w:vertAlign w:val="superscript"/>
        </w:rPr>
        <w:t>1,4,10</w:t>
      </w:r>
      <w:r w:rsidRPr="004C10CF">
        <w:rPr>
          <w:bCs/>
        </w:rPr>
        <w:t>#</w:t>
      </w:r>
      <w:r w:rsidRPr="004C10CF">
        <w:rPr>
          <w:rFonts w:eastAsiaTheme="majorEastAsia"/>
          <w:bCs/>
        </w:rPr>
        <w:t xml:space="preserve">, Elizabeth </w:t>
      </w:r>
      <w:proofErr w:type="spellStart"/>
      <w:r w:rsidRPr="004C10CF">
        <w:rPr>
          <w:rFonts w:eastAsiaTheme="majorEastAsia"/>
          <w:bCs/>
        </w:rPr>
        <w:t>Huiwen</w:t>
      </w:r>
      <w:proofErr w:type="spellEnd"/>
      <w:r w:rsidRPr="004C10CF">
        <w:rPr>
          <w:rFonts w:eastAsiaTheme="majorEastAsia"/>
          <w:bCs/>
        </w:rPr>
        <w:t xml:space="preserve"> Tham</w:t>
      </w:r>
      <w:r w:rsidR="008318AE">
        <w:rPr>
          <w:rFonts w:eastAsiaTheme="majorEastAsia"/>
          <w:bCs/>
          <w:vertAlign w:val="superscript"/>
        </w:rPr>
        <w:t>2</w:t>
      </w:r>
      <w:r w:rsidR="00931573">
        <w:rPr>
          <w:rFonts w:eastAsiaTheme="majorEastAsia"/>
          <w:bCs/>
          <w:vertAlign w:val="superscript"/>
        </w:rPr>
        <w:t>,</w:t>
      </w:r>
      <w:r w:rsidR="008318AE">
        <w:rPr>
          <w:rFonts w:eastAsiaTheme="majorEastAsia"/>
          <w:bCs/>
          <w:vertAlign w:val="superscript"/>
        </w:rPr>
        <w:t>3,7</w:t>
      </w:r>
      <w:r w:rsidRPr="004C10CF">
        <w:rPr>
          <w:bCs/>
        </w:rPr>
        <w:t>#</w:t>
      </w:r>
    </w:p>
    <w:p w14:paraId="058A6C59" w14:textId="0431A8D8" w:rsidR="00096C36" w:rsidRDefault="00096C36" w:rsidP="00096C36">
      <w:pPr>
        <w:jc w:val="both"/>
      </w:pPr>
    </w:p>
    <w:p w14:paraId="6E2021DD" w14:textId="77777777" w:rsidR="00096C36" w:rsidRDefault="00096C36" w:rsidP="00096C36">
      <w:pPr>
        <w:jc w:val="both"/>
        <w:rPr>
          <w:lang w:val="en-US"/>
        </w:rPr>
      </w:pPr>
      <w:r>
        <w:rPr>
          <w:lang w:val="en-US"/>
        </w:rPr>
        <w:t>#joint senior authors</w:t>
      </w:r>
    </w:p>
    <w:p w14:paraId="61C00B60" w14:textId="77777777" w:rsidR="00096C36" w:rsidRDefault="00096C36" w:rsidP="00096C36">
      <w:pPr>
        <w:jc w:val="both"/>
        <w:rPr>
          <w:lang w:val="en-US"/>
        </w:rPr>
      </w:pPr>
    </w:p>
    <w:p w14:paraId="1F8157E4" w14:textId="66FB1BAF" w:rsidR="00096C36" w:rsidRPr="002C2F77" w:rsidRDefault="00096C36" w:rsidP="00096C36">
      <w:pPr>
        <w:autoSpaceDE w:val="0"/>
        <w:autoSpaceDN w:val="0"/>
        <w:adjustRightInd w:val="0"/>
        <w:jc w:val="both"/>
        <w:rPr>
          <w:b/>
          <w:bCs/>
        </w:rPr>
      </w:pPr>
      <w:r w:rsidRPr="008318AE">
        <w:rPr>
          <w:b/>
          <w:bCs/>
        </w:rPr>
        <w:t>Affiliations:</w:t>
      </w:r>
    </w:p>
    <w:p w14:paraId="65C7BE53" w14:textId="7D0D0EE0" w:rsidR="004C10CF" w:rsidRDefault="00096C36" w:rsidP="004C10CF">
      <w:pPr>
        <w:autoSpaceDE w:val="0"/>
        <w:autoSpaceDN w:val="0"/>
        <w:adjustRightInd w:val="0"/>
        <w:jc w:val="both"/>
      </w:pPr>
      <w:r w:rsidRPr="00CE3393">
        <w:rPr>
          <w:vertAlign w:val="superscript"/>
        </w:rPr>
        <w:t>1</w:t>
      </w:r>
      <w:r w:rsidR="004C10CF" w:rsidRPr="00CE3393">
        <w:t>Centre for Food and Allergy Research, Murdoch Children’s Research Institute, Parkville, Victoria, Australia</w:t>
      </w:r>
    </w:p>
    <w:p w14:paraId="27004414" w14:textId="4EA09B65" w:rsidR="00005F93" w:rsidRPr="000C6AB7" w:rsidRDefault="00096C36" w:rsidP="00005F93">
      <w:pPr>
        <w:autoSpaceDE w:val="0"/>
        <w:autoSpaceDN w:val="0"/>
        <w:adjustRightInd w:val="0"/>
        <w:contextualSpacing/>
        <w:jc w:val="both"/>
      </w:pPr>
      <w:r w:rsidRPr="00CE3393">
        <w:rPr>
          <w:vertAlign w:val="superscript"/>
        </w:rPr>
        <w:t>2</w:t>
      </w:r>
      <w:r w:rsidR="00005F93" w:rsidRPr="000C6AB7">
        <w:t xml:space="preserve">Singapore Institute for Clinical Sciences (SICS), Agency for Science, Technology and Research (A*STAR), Singapore </w:t>
      </w:r>
    </w:p>
    <w:p w14:paraId="55C2BF6B" w14:textId="46D83A9C" w:rsidR="00005F93" w:rsidRPr="000C6AB7" w:rsidRDefault="00096C36" w:rsidP="00005F93">
      <w:pPr>
        <w:autoSpaceDE w:val="0"/>
        <w:autoSpaceDN w:val="0"/>
        <w:adjustRightInd w:val="0"/>
        <w:contextualSpacing/>
        <w:jc w:val="both"/>
      </w:pPr>
      <w:r w:rsidRPr="000C6AB7">
        <w:rPr>
          <w:vertAlign w:val="superscript"/>
        </w:rPr>
        <w:t>3</w:t>
      </w:r>
      <w:r w:rsidR="00005F93" w:rsidRPr="000C6AB7">
        <w:t>Department of Paediatrics, Yong Loo Lin School of Medicine, National University of Singapore (NUS), Singapore</w:t>
      </w:r>
    </w:p>
    <w:p w14:paraId="7BA1B37E" w14:textId="1B17338D" w:rsidR="00005F93" w:rsidRPr="000C6AB7" w:rsidRDefault="00096C36" w:rsidP="00005F93">
      <w:pPr>
        <w:autoSpaceDE w:val="0"/>
        <w:autoSpaceDN w:val="0"/>
        <w:adjustRightInd w:val="0"/>
        <w:contextualSpacing/>
        <w:jc w:val="both"/>
      </w:pPr>
      <w:r>
        <w:rPr>
          <w:vertAlign w:val="superscript"/>
        </w:rPr>
        <w:t>4</w:t>
      </w:r>
      <w:r w:rsidR="00005F93" w:rsidRPr="00B74177">
        <w:rPr>
          <w:rFonts w:eastAsia="DengXian"/>
        </w:rPr>
        <w:t>Department of Paediatrics, University of Melbourne, Parkville, Victoria, Australia</w:t>
      </w:r>
    </w:p>
    <w:p w14:paraId="23C8789F" w14:textId="7149C64E" w:rsidR="00036693" w:rsidRDefault="00096C36" w:rsidP="00036693">
      <w:pPr>
        <w:autoSpaceDE w:val="0"/>
        <w:autoSpaceDN w:val="0"/>
        <w:adjustRightInd w:val="0"/>
        <w:jc w:val="both"/>
      </w:pPr>
      <w:r>
        <w:rPr>
          <w:vertAlign w:val="superscript"/>
        </w:rPr>
        <w:t>5</w:t>
      </w:r>
      <w:r w:rsidR="00036693" w:rsidRPr="00CE3393">
        <w:t>Department of Allergy and Clinical Immunology, Royal Children's Hospital, Parkville, Victoria, Australia</w:t>
      </w:r>
    </w:p>
    <w:p w14:paraId="760E8869" w14:textId="34118A66" w:rsidR="00036693" w:rsidRDefault="00096C36" w:rsidP="00036693">
      <w:pPr>
        <w:autoSpaceDE w:val="0"/>
        <w:autoSpaceDN w:val="0"/>
        <w:adjustRightInd w:val="0"/>
        <w:jc w:val="both"/>
      </w:pPr>
      <w:r>
        <w:rPr>
          <w:vertAlign w:val="superscript"/>
        </w:rPr>
        <w:t>6</w:t>
      </w:r>
      <w:r w:rsidR="00036693" w:rsidRPr="00CE3393">
        <w:t>Institute of Inflammation and Repair, University of Manches</w:t>
      </w:r>
      <w:r w:rsidR="00036693">
        <w:t>ter, Manchester, United Kingdom</w:t>
      </w:r>
    </w:p>
    <w:p w14:paraId="000DACF4" w14:textId="1BFAB837" w:rsidR="00036693" w:rsidRPr="000C6AB7" w:rsidRDefault="00096C36" w:rsidP="00036693">
      <w:pPr>
        <w:autoSpaceDE w:val="0"/>
        <w:autoSpaceDN w:val="0"/>
        <w:adjustRightInd w:val="0"/>
        <w:contextualSpacing/>
        <w:jc w:val="both"/>
      </w:pPr>
      <w:r>
        <w:rPr>
          <w:vertAlign w:val="superscript"/>
        </w:rPr>
        <w:t>7</w:t>
      </w:r>
      <w:r w:rsidR="00036693" w:rsidRPr="000C6AB7">
        <w:t xml:space="preserve">Khoo Teck </w:t>
      </w:r>
      <w:proofErr w:type="spellStart"/>
      <w:r w:rsidR="00036693" w:rsidRPr="000C6AB7">
        <w:t>Puat</w:t>
      </w:r>
      <w:proofErr w:type="spellEnd"/>
      <w:r w:rsidR="00036693" w:rsidRPr="000C6AB7">
        <w:t>-National University Children’s Medical Institute, National University Health System (NUHS), Singapore</w:t>
      </w:r>
    </w:p>
    <w:p w14:paraId="1EF36B35" w14:textId="621DF411" w:rsidR="00036693" w:rsidRDefault="00096C36" w:rsidP="00036693">
      <w:pPr>
        <w:autoSpaceDE w:val="0"/>
        <w:autoSpaceDN w:val="0"/>
        <w:adjustRightInd w:val="0"/>
        <w:jc w:val="both"/>
      </w:pPr>
      <w:r>
        <w:rPr>
          <w:vertAlign w:val="superscript"/>
        </w:rPr>
        <w:t>8</w:t>
      </w:r>
      <w:r w:rsidR="00036693" w:rsidRPr="00F75B0C">
        <w:t>Telethon Kids Institute, University of Western Australia, Perth</w:t>
      </w:r>
      <w:r w:rsidR="00036693">
        <w:t>, Australia</w:t>
      </w:r>
    </w:p>
    <w:p w14:paraId="347CA585" w14:textId="423EE754" w:rsidR="00036693" w:rsidRPr="000C6AB7" w:rsidRDefault="00096C36" w:rsidP="00036693">
      <w:pPr>
        <w:autoSpaceDE w:val="0"/>
        <w:autoSpaceDN w:val="0"/>
        <w:adjustRightInd w:val="0"/>
        <w:contextualSpacing/>
        <w:jc w:val="both"/>
      </w:pPr>
      <w:r>
        <w:rPr>
          <w:vertAlign w:val="superscript"/>
        </w:rPr>
        <w:t>9</w:t>
      </w:r>
      <w:r w:rsidR="00036693" w:rsidRPr="000C6AB7">
        <w:t xml:space="preserve">Allergy service, Department of Paediatrics, KK Women’s and Children’s Hospital (KKH), Singapore </w:t>
      </w:r>
    </w:p>
    <w:p w14:paraId="4038B3CC" w14:textId="60668141" w:rsidR="00036693" w:rsidRDefault="00096C36" w:rsidP="00096C36">
      <w:pPr>
        <w:jc w:val="both"/>
        <w:rPr>
          <w:rFonts w:eastAsia="DengXian"/>
        </w:rPr>
      </w:pPr>
      <w:r>
        <w:rPr>
          <w:rFonts w:eastAsia="Times New Roman"/>
          <w:vertAlign w:val="superscript"/>
          <w:lang w:val="en-US"/>
        </w:rPr>
        <w:t>10</w:t>
      </w:r>
      <w:r w:rsidR="00036693" w:rsidRPr="00B74177">
        <w:rPr>
          <w:rFonts w:eastAsia="DengXian"/>
        </w:rPr>
        <w:t>The School of Population and Global Health, University of Melbourne, Carlton</w:t>
      </w:r>
    </w:p>
    <w:p w14:paraId="69BB0BBE" w14:textId="770D9F10" w:rsidR="00036693" w:rsidRPr="000C6AB7" w:rsidRDefault="00096C36" w:rsidP="00036693">
      <w:pPr>
        <w:jc w:val="both"/>
        <w:rPr>
          <w:rFonts w:eastAsia="Times New Roman"/>
          <w:lang w:val="en-US"/>
        </w:rPr>
      </w:pPr>
      <w:r>
        <w:rPr>
          <w:rFonts w:eastAsia="Times New Roman"/>
          <w:vertAlign w:val="superscript"/>
          <w:lang w:val="en-US"/>
        </w:rPr>
        <w:t>11</w:t>
      </w:r>
      <w:r w:rsidR="00036693" w:rsidRPr="000C6AB7">
        <w:rPr>
          <w:rFonts w:eastAsia="Times New Roman"/>
          <w:lang w:val="en-US"/>
        </w:rPr>
        <w:t xml:space="preserve">Saw </w:t>
      </w:r>
      <w:proofErr w:type="spellStart"/>
      <w:r w:rsidR="00036693" w:rsidRPr="000C6AB7">
        <w:rPr>
          <w:rFonts w:eastAsia="Times New Roman"/>
          <w:lang w:val="en-US"/>
        </w:rPr>
        <w:t>Swee</w:t>
      </w:r>
      <w:proofErr w:type="spellEnd"/>
      <w:r w:rsidR="00036693" w:rsidRPr="000C6AB7">
        <w:rPr>
          <w:rFonts w:eastAsia="Times New Roman"/>
          <w:lang w:val="en-US"/>
        </w:rPr>
        <w:t xml:space="preserve"> Hock School of Public Health, National University of Singapore, Singapore</w:t>
      </w:r>
    </w:p>
    <w:p w14:paraId="05C3F751" w14:textId="30656EDC" w:rsidR="001B1E54" w:rsidRPr="00AA1D14" w:rsidRDefault="00036693" w:rsidP="001B1E54">
      <w:pPr>
        <w:autoSpaceDE w:val="0"/>
        <w:autoSpaceDN w:val="0"/>
        <w:adjustRightInd w:val="0"/>
        <w:contextualSpacing/>
        <w:jc w:val="both"/>
        <w:rPr>
          <w:lang w:val="en-US"/>
        </w:rPr>
      </w:pPr>
      <w:r w:rsidRPr="001B1E54">
        <w:rPr>
          <w:vertAlign w:val="superscript"/>
        </w:rPr>
        <w:t>12</w:t>
      </w:r>
      <w:r w:rsidR="001B1E54" w:rsidRPr="008318AE">
        <w:rPr>
          <w:szCs w:val="24"/>
        </w:rPr>
        <w:t>Neuroepidemiology Research Group, Florey Institute for Neuroscience and Mental Health, Parkville, Australia</w:t>
      </w:r>
    </w:p>
    <w:p w14:paraId="0B8300E4" w14:textId="17138532" w:rsidR="008318AE" w:rsidRPr="00AA1D14" w:rsidRDefault="00096C36" w:rsidP="008318AE">
      <w:pPr>
        <w:autoSpaceDE w:val="0"/>
        <w:autoSpaceDN w:val="0"/>
        <w:adjustRightInd w:val="0"/>
        <w:contextualSpacing/>
        <w:jc w:val="both"/>
        <w:rPr>
          <w:lang w:val="en-US"/>
        </w:rPr>
      </w:pPr>
      <w:r w:rsidRPr="004C10CF">
        <w:rPr>
          <w:vertAlign w:val="superscript"/>
        </w:rPr>
        <w:t>13</w:t>
      </w:r>
      <w:r w:rsidR="001B1E54" w:rsidRPr="000C6AB7">
        <w:t xml:space="preserve">Department of Maternal </w:t>
      </w:r>
      <w:proofErr w:type="spellStart"/>
      <w:r w:rsidR="001B1E54" w:rsidRPr="000C6AB7">
        <w:t>Fetal</w:t>
      </w:r>
      <w:proofErr w:type="spellEnd"/>
      <w:r w:rsidR="001B1E54" w:rsidRPr="000C6AB7">
        <w:t xml:space="preserve"> Medicine, KK Women</w:t>
      </w:r>
      <w:r w:rsidR="00226582">
        <w:t>’s and Children’s Hospital (KK</w:t>
      </w:r>
      <w:r w:rsidR="001B1E54" w:rsidRPr="000C6AB7">
        <w:t>H), Singapore</w:t>
      </w:r>
    </w:p>
    <w:p w14:paraId="065DF969" w14:textId="5E35D496" w:rsidR="001B1E54" w:rsidRPr="000C6AB7" w:rsidRDefault="008318AE" w:rsidP="001B1E54">
      <w:pPr>
        <w:autoSpaceDE w:val="0"/>
        <w:autoSpaceDN w:val="0"/>
        <w:adjustRightInd w:val="0"/>
        <w:contextualSpacing/>
        <w:jc w:val="both"/>
      </w:pPr>
      <w:r>
        <w:rPr>
          <w:vertAlign w:val="superscript"/>
        </w:rPr>
        <w:t>14</w:t>
      </w:r>
      <w:r w:rsidR="001B1E54" w:rsidRPr="001B1E54">
        <w:t xml:space="preserve"> </w:t>
      </w:r>
      <w:r w:rsidR="001B1E54" w:rsidRPr="000C6AB7">
        <w:t xml:space="preserve">NIHR Southampton Biomedical Research Centre, University of </w:t>
      </w:r>
      <w:proofErr w:type="gramStart"/>
      <w:r w:rsidR="001B1E54" w:rsidRPr="000C6AB7">
        <w:t>Southampton</w:t>
      </w:r>
      <w:proofErr w:type="gramEnd"/>
      <w:r w:rsidR="001B1E54" w:rsidRPr="000C6AB7">
        <w:t xml:space="preserve"> and University Hospital Southampton NHS Foundation Trust, SO16 6YD, Southampton, United Kingdom </w:t>
      </w:r>
    </w:p>
    <w:p w14:paraId="7EFFD9D6" w14:textId="65866CED" w:rsidR="00096C36" w:rsidRDefault="008318AE" w:rsidP="00096C36">
      <w:pPr>
        <w:autoSpaceDE w:val="0"/>
        <w:autoSpaceDN w:val="0"/>
        <w:adjustRightInd w:val="0"/>
        <w:contextualSpacing/>
        <w:jc w:val="both"/>
      </w:pPr>
      <w:r>
        <w:rPr>
          <w:vertAlign w:val="superscript"/>
        </w:rPr>
        <w:t>15</w:t>
      </w:r>
      <w:r w:rsidR="001B1E54" w:rsidRPr="000C6AB7">
        <w:t>Medical Research Council Lifecourse Epidemiology Unit, SO16 6YD, Southampton, United Kingdom</w:t>
      </w:r>
    </w:p>
    <w:p w14:paraId="1E9BB1E0" w14:textId="0FE9C3DA" w:rsidR="002907DD" w:rsidRDefault="002907DD" w:rsidP="00096C36">
      <w:pPr>
        <w:autoSpaceDE w:val="0"/>
        <w:autoSpaceDN w:val="0"/>
        <w:adjustRightInd w:val="0"/>
        <w:contextualSpacing/>
        <w:jc w:val="both"/>
      </w:pPr>
      <w:r>
        <w:t>*Former affiliations when this work was undertaken. No current affiliations</w:t>
      </w:r>
      <w:r w:rsidR="004E1C22">
        <w:t xml:space="preserve"> at the time of publication</w:t>
      </w:r>
      <w:r>
        <w:t>.</w:t>
      </w:r>
      <w:r w:rsidR="00A2226A">
        <w:t xml:space="preserve"> </w:t>
      </w:r>
      <w:r w:rsidR="00A2226A" w:rsidRPr="00224CA8">
        <w:t>K. J. Allen</w:t>
      </w:r>
      <w:r w:rsidR="00A2226A">
        <w:t xml:space="preserve"> is currently a member of the Australian Parliament, but all work for this article was undertaken before April 12, 2019, by which time she had resigned from all paid and honorary appointments listed.</w:t>
      </w:r>
    </w:p>
    <w:p w14:paraId="3F21E330" w14:textId="77777777" w:rsidR="004E1C22" w:rsidRDefault="004E1C22" w:rsidP="00096C36">
      <w:pPr>
        <w:autoSpaceDE w:val="0"/>
        <w:autoSpaceDN w:val="0"/>
        <w:adjustRightInd w:val="0"/>
        <w:contextualSpacing/>
        <w:jc w:val="both"/>
      </w:pPr>
    </w:p>
    <w:p w14:paraId="3F4B3462" w14:textId="77777777" w:rsidR="004C314B" w:rsidRDefault="004C314B" w:rsidP="004A3565">
      <w:pPr>
        <w:jc w:val="both"/>
        <w:rPr>
          <w:lang w:val="en-US"/>
        </w:rPr>
      </w:pPr>
    </w:p>
    <w:p w14:paraId="4880312C" w14:textId="77777777" w:rsidR="00801F3D" w:rsidRDefault="002C2F77" w:rsidP="00801F3D">
      <w:pPr>
        <w:pStyle w:val="Default"/>
        <w:spacing w:line="480" w:lineRule="auto"/>
        <w:rPr>
          <w:b/>
        </w:rPr>
      </w:pPr>
      <w:r>
        <w:rPr>
          <w:b/>
        </w:rPr>
        <w:t>Corresponding Author</w:t>
      </w:r>
      <w:bookmarkStart w:id="0" w:name="_Hlk9576619"/>
      <w:r w:rsidR="00801F3D">
        <w:rPr>
          <w:b/>
        </w:rPr>
        <w:t>s</w:t>
      </w:r>
    </w:p>
    <w:p w14:paraId="57032428" w14:textId="37CB70D4" w:rsidR="00801F3D" w:rsidRPr="000E375B" w:rsidRDefault="00801F3D" w:rsidP="00801F3D">
      <w:pPr>
        <w:pStyle w:val="Default"/>
      </w:pPr>
      <w:r w:rsidRPr="00947CB8">
        <w:rPr>
          <w:b/>
        </w:rPr>
        <w:lastRenderedPageBreak/>
        <w:t xml:space="preserve">1) </w:t>
      </w:r>
      <w:r w:rsidRPr="00947CB8">
        <w:rPr>
          <w:b/>
          <w:lang w:val="en-SG"/>
        </w:rPr>
        <w:t xml:space="preserve"> Name:</w:t>
      </w:r>
      <w:r>
        <w:rPr>
          <w:lang w:val="en-SG"/>
        </w:rPr>
        <w:t xml:space="preserve"> </w:t>
      </w:r>
      <w:r>
        <w:rPr>
          <w:lang w:val="en-SG"/>
        </w:rPr>
        <w:tab/>
      </w:r>
      <w:r w:rsidRPr="000E375B">
        <w:rPr>
          <w:lang w:val="en-SG"/>
        </w:rPr>
        <w:t>Dr Elizabeth</w:t>
      </w:r>
      <w:r w:rsidRPr="000E375B">
        <w:t xml:space="preserve"> </w:t>
      </w:r>
      <w:proofErr w:type="spellStart"/>
      <w:r w:rsidRPr="000E375B">
        <w:t>Huiwen</w:t>
      </w:r>
      <w:proofErr w:type="spellEnd"/>
      <w:r w:rsidRPr="000E375B">
        <w:t xml:space="preserve"> </w:t>
      </w:r>
      <w:proofErr w:type="spellStart"/>
      <w:r w:rsidRPr="000E375B">
        <w:t>Tham</w:t>
      </w:r>
      <w:proofErr w:type="spellEnd"/>
    </w:p>
    <w:p w14:paraId="2E8EF510" w14:textId="12B45228" w:rsidR="00801F3D" w:rsidRPr="000E375B" w:rsidRDefault="00801F3D" w:rsidP="00801F3D">
      <w:pPr>
        <w:pStyle w:val="Default"/>
        <w:rPr>
          <w:lang w:val="en-SG"/>
        </w:rPr>
      </w:pPr>
      <w:r w:rsidRPr="000E375B">
        <w:rPr>
          <w:b/>
          <w:lang w:val="en-SG"/>
        </w:rPr>
        <w:t>Address</w:t>
      </w:r>
      <w:r>
        <w:rPr>
          <w:b/>
          <w:lang w:val="en-SG"/>
        </w:rPr>
        <w:t xml:space="preserve">: </w:t>
      </w:r>
      <w:r>
        <w:rPr>
          <w:b/>
          <w:lang w:val="en-SG"/>
        </w:rPr>
        <w:tab/>
      </w:r>
      <w:r w:rsidRPr="000E375B">
        <w:rPr>
          <w:lang w:val="en-SG"/>
        </w:rPr>
        <w:t>Division of Allergy &amp; Immunology</w:t>
      </w:r>
    </w:p>
    <w:p w14:paraId="3D5C3B2F" w14:textId="77777777" w:rsidR="00801F3D" w:rsidRPr="000E375B" w:rsidRDefault="00801F3D" w:rsidP="00801F3D">
      <w:pPr>
        <w:pStyle w:val="Default"/>
        <w:ind w:left="720" w:firstLine="720"/>
        <w:rPr>
          <w:lang w:val="en-SG"/>
        </w:rPr>
      </w:pPr>
      <w:r w:rsidRPr="000E375B">
        <w:t>Department of Paediatrics</w:t>
      </w:r>
    </w:p>
    <w:p w14:paraId="165741C9" w14:textId="77777777" w:rsidR="00801F3D" w:rsidRPr="000E375B" w:rsidRDefault="00801F3D" w:rsidP="00801F3D">
      <w:pPr>
        <w:pStyle w:val="Default"/>
        <w:ind w:left="720" w:firstLine="720"/>
      </w:pPr>
      <w:r w:rsidRPr="000E375B">
        <w:t>Yong Loo Lin School of Medicine</w:t>
      </w:r>
    </w:p>
    <w:p w14:paraId="2C8368FA" w14:textId="77777777" w:rsidR="00801F3D" w:rsidRPr="000E375B" w:rsidRDefault="00801F3D" w:rsidP="00801F3D">
      <w:pPr>
        <w:pStyle w:val="Default"/>
        <w:ind w:left="720" w:firstLine="720"/>
      </w:pPr>
      <w:r w:rsidRPr="000E375B">
        <w:t>National University of Singapore</w:t>
      </w:r>
    </w:p>
    <w:p w14:paraId="485F180F" w14:textId="2AC0738B" w:rsidR="00801F3D" w:rsidRPr="000E375B" w:rsidRDefault="00801F3D" w:rsidP="00801F3D">
      <w:pPr>
        <w:ind w:left="720" w:firstLine="720"/>
        <w:rPr>
          <w:szCs w:val="24"/>
        </w:rPr>
      </w:pPr>
      <w:r w:rsidRPr="000E375B">
        <w:rPr>
          <w:szCs w:val="24"/>
        </w:rPr>
        <w:t>1E Kent Ridge Road</w:t>
      </w:r>
    </w:p>
    <w:p w14:paraId="032ADE1B" w14:textId="77777777" w:rsidR="00801F3D" w:rsidRPr="000E375B" w:rsidRDefault="00801F3D" w:rsidP="00801F3D">
      <w:pPr>
        <w:ind w:left="720" w:firstLine="720"/>
        <w:rPr>
          <w:szCs w:val="24"/>
        </w:rPr>
      </w:pPr>
      <w:r w:rsidRPr="000E375B">
        <w:rPr>
          <w:szCs w:val="24"/>
        </w:rPr>
        <w:t>Level 12 NUHS Tower Block</w:t>
      </w:r>
    </w:p>
    <w:p w14:paraId="1E975F71" w14:textId="77777777" w:rsidR="00801F3D" w:rsidRDefault="00801F3D" w:rsidP="00801F3D">
      <w:pPr>
        <w:ind w:left="720" w:firstLine="720"/>
        <w:rPr>
          <w:szCs w:val="24"/>
        </w:rPr>
      </w:pPr>
      <w:r w:rsidRPr="000E375B">
        <w:rPr>
          <w:szCs w:val="24"/>
        </w:rPr>
        <w:t>Singapore 119228</w:t>
      </w:r>
    </w:p>
    <w:bookmarkEnd w:id="0"/>
    <w:p w14:paraId="67F434AB" w14:textId="190A35BC" w:rsidR="00801F3D" w:rsidRPr="00C0787F" w:rsidRDefault="00801F3D" w:rsidP="00801F3D">
      <w:pPr>
        <w:pStyle w:val="Default"/>
        <w:rPr>
          <w:rStyle w:val="Hyperlink"/>
          <w:lang w:val="nl-BE"/>
        </w:rPr>
      </w:pPr>
      <w:r w:rsidRPr="00C0787F">
        <w:rPr>
          <w:b/>
          <w:lang w:val="nl-BE"/>
        </w:rPr>
        <w:t xml:space="preserve">Email: </w:t>
      </w:r>
      <w:r w:rsidRPr="00C0787F">
        <w:rPr>
          <w:b/>
          <w:lang w:val="nl-BE"/>
        </w:rPr>
        <w:tab/>
      </w:r>
      <w:r w:rsidR="00213751">
        <w:fldChar w:fldCharType="begin"/>
      </w:r>
      <w:r w:rsidR="00213751">
        <w:instrText xml:space="preserve"> HYPERLINK "mailto:elizabeth_tham@nuh</w:instrText>
      </w:r>
      <w:r w:rsidR="00213751">
        <w:instrText xml:space="preserve">s.edu.sg" </w:instrText>
      </w:r>
      <w:r w:rsidR="00213751">
        <w:fldChar w:fldCharType="separate"/>
      </w:r>
      <w:r w:rsidRPr="00C0787F">
        <w:rPr>
          <w:rStyle w:val="Hyperlink"/>
          <w:lang w:val="nl-BE"/>
        </w:rPr>
        <w:t>elizabeth_tham@nuhs.edu.sg</w:t>
      </w:r>
      <w:r w:rsidR="00213751">
        <w:rPr>
          <w:rStyle w:val="Hyperlink"/>
          <w:lang w:val="nl-BE"/>
        </w:rPr>
        <w:fldChar w:fldCharType="end"/>
      </w:r>
    </w:p>
    <w:p w14:paraId="66F7D1AA" w14:textId="37BC3561" w:rsidR="00801F3D" w:rsidRPr="00C0787F" w:rsidRDefault="00801F3D" w:rsidP="00801F3D">
      <w:pPr>
        <w:pStyle w:val="Default"/>
        <w:rPr>
          <w:rStyle w:val="Hyperlink"/>
          <w:lang w:val="nl-BE"/>
        </w:rPr>
      </w:pPr>
    </w:p>
    <w:p w14:paraId="4A589A09" w14:textId="7CAD5386" w:rsidR="00801F3D" w:rsidRPr="00C0787F" w:rsidRDefault="00801F3D" w:rsidP="00801F3D">
      <w:pPr>
        <w:pStyle w:val="Default"/>
        <w:rPr>
          <w:rStyle w:val="Hyperlink"/>
          <w:color w:val="auto"/>
          <w:u w:val="none"/>
          <w:lang w:val="nl-BE"/>
        </w:rPr>
      </w:pPr>
      <w:r w:rsidRPr="00C0787F">
        <w:rPr>
          <w:rStyle w:val="Hyperlink"/>
          <w:b/>
          <w:color w:val="auto"/>
          <w:u w:val="none"/>
          <w:lang w:val="nl-BE"/>
        </w:rPr>
        <w:t>2) Name:</w:t>
      </w:r>
      <w:r w:rsidRPr="00C0787F">
        <w:rPr>
          <w:rStyle w:val="Hyperlink"/>
          <w:color w:val="auto"/>
          <w:u w:val="none"/>
          <w:lang w:val="nl-BE"/>
        </w:rPr>
        <w:t xml:space="preserve"> </w:t>
      </w:r>
      <w:r w:rsidRPr="00C0787F">
        <w:rPr>
          <w:rStyle w:val="Hyperlink"/>
          <w:color w:val="auto"/>
          <w:u w:val="none"/>
          <w:lang w:val="nl-BE"/>
        </w:rPr>
        <w:tab/>
        <w:t>Dr Jennifer Koplin</w:t>
      </w:r>
      <w:r w:rsidRPr="00C0787F">
        <w:rPr>
          <w:rStyle w:val="Hyperlink"/>
          <w:color w:val="auto"/>
          <w:u w:val="none"/>
          <w:lang w:val="nl-BE"/>
        </w:rPr>
        <w:tab/>
      </w:r>
    </w:p>
    <w:p w14:paraId="45D1E6F8" w14:textId="3E90AA85" w:rsidR="00947CB8" w:rsidRDefault="00801F3D" w:rsidP="00801F3D">
      <w:pPr>
        <w:pStyle w:val="Default"/>
        <w:rPr>
          <w:rStyle w:val="Hyperlink"/>
          <w:color w:val="auto"/>
          <w:u w:val="none"/>
          <w:lang w:val="en-SG"/>
        </w:rPr>
      </w:pPr>
      <w:r w:rsidRPr="00947CB8">
        <w:rPr>
          <w:rStyle w:val="Hyperlink"/>
          <w:b/>
          <w:color w:val="auto"/>
          <w:u w:val="none"/>
          <w:lang w:val="en-SG"/>
        </w:rPr>
        <w:t>Address:</w:t>
      </w:r>
      <w:r w:rsidR="00E6374D">
        <w:rPr>
          <w:rStyle w:val="Hyperlink"/>
          <w:color w:val="auto"/>
          <w:u w:val="none"/>
          <w:lang w:val="en-SG"/>
        </w:rPr>
        <w:t xml:space="preserve"> </w:t>
      </w:r>
      <w:r w:rsidR="00947CB8">
        <w:rPr>
          <w:rStyle w:val="Hyperlink"/>
          <w:color w:val="auto"/>
          <w:u w:val="none"/>
          <w:lang w:val="en-SG"/>
        </w:rPr>
        <w:tab/>
        <w:t>Murdoch Children’s Research Institute</w:t>
      </w:r>
    </w:p>
    <w:p w14:paraId="65B4EC5D" w14:textId="5F6DCAE9" w:rsidR="00947CB8" w:rsidRDefault="00947CB8" w:rsidP="00947CB8">
      <w:pPr>
        <w:pStyle w:val="Default"/>
        <w:rPr>
          <w:rStyle w:val="Hyperlink"/>
          <w:color w:val="auto"/>
          <w:u w:val="none"/>
          <w:lang w:val="en-SG"/>
        </w:rPr>
      </w:pPr>
      <w:r>
        <w:rPr>
          <w:rStyle w:val="Hyperlink"/>
          <w:color w:val="auto"/>
          <w:u w:val="none"/>
          <w:lang w:val="en-SG"/>
        </w:rPr>
        <w:tab/>
      </w:r>
      <w:r>
        <w:rPr>
          <w:rStyle w:val="Hyperlink"/>
          <w:color w:val="auto"/>
          <w:u w:val="none"/>
          <w:lang w:val="en-SG"/>
        </w:rPr>
        <w:tab/>
        <w:t>50 Flemington Road</w:t>
      </w:r>
      <w:r w:rsidR="00E6374D">
        <w:rPr>
          <w:rStyle w:val="Hyperlink"/>
          <w:color w:val="auto"/>
          <w:u w:val="none"/>
          <w:lang w:val="en-SG"/>
        </w:rPr>
        <w:t xml:space="preserve"> </w:t>
      </w:r>
    </w:p>
    <w:p w14:paraId="44E8BA50" w14:textId="77777777" w:rsidR="00947CB8" w:rsidRDefault="00947CB8" w:rsidP="00947CB8">
      <w:pPr>
        <w:pStyle w:val="Default"/>
        <w:ind w:left="720" w:firstLine="720"/>
        <w:rPr>
          <w:rStyle w:val="Hyperlink"/>
          <w:color w:val="auto"/>
          <w:u w:val="none"/>
          <w:lang w:val="en-SG"/>
        </w:rPr>
      </w:pPr>
      <w:r>
        <w:rPr>
          <w:rStyle w:val="Hyperlink"/>
          <w:color w:val="auto"/>
          <w:u w:val="none"/>
          <w:lang w:val="en-SG"/>
        </w:rPr>
        <w:t>Parkville</w:t>
      </w:r>
    </w:p>
    <w:p w14:paraId="206A4447" w14:textId="2F405F9D" w:rsidR="00801F3D" w:rsidRDefault="00E6374D" w:rsidP="00947CB8">
      <w:pPr>
        <w:pStyle w:val="Default"/>
        <w:ind w:left="720" w:firstLine="720"/>
        <w:rPr>
          <w:rStyle w:val="Hyperlink"/>
          <w:color w:val="auto"/>
          <w:u w:val="none"/>
          <w:lang w:val="en-SG"/>
        </w:rPr>
      </w:pPr>
      <w:r>
        <w:rPr>
          <w:rStyle w:val="Hyperlink"/>
          <w:color w:val="auto"/>
          <w:u w:val="none"/>
          <w:lang w:val="en-SG"/>
        </w:rPr>
        <w:t>VIC 3052</w:t>
      </w:r>
    </w:p>
    <w:p w14:paraId="53A0C7A0" w14:textId="5A172ACD" w:rsidR="00947CB8" w:rsidRDefault="00947CB8" w:rsidP="00947CB8">
      <w:pPr>
        <w:pStyle w:val="Default"/>
        <w:ind w:left="720" w:firstLine="720"/>
        <w:rPr>
          <w:rStyle w:val="Hyperlink"/>
          <w:color w:val="auto"/>
          <w:u w:val="none"/>
          <w:lang w:val="en-SG"/>
        </w:rPr>
      </w:pPr>
      <w:r>
        <w:rPr>
          <w:rStyle w:val="Hyperlink"/>
          <w:color w:val="auto"/>
          <w:u w:val="none"/>
          <w:lang w:val="en-SG"/>
        </w:rPr>
        <w:t>Australia</w:t>
      </w:r>
    </w:p>
    <w:p w14:paraId="53D68796" w14:textId="367C8541" w:rsidR="00801F3D" w:rsidRDefault="00801F3D" w:rsidP="00801F3D">
      <w:pPr>
        <w:pStyle w:val="Default"/>
        <w:rPr>
          <w:rStyle w:val="Hyperlink"/>
          <w:color w:val="auto"/>
          <w:u w:val="none"/>
          <w:lang w:val="en-SG"/>
        </w:rPr>
      </w:pPr>
      <w:r w:rsidRPr="00947CB8">
        <w:rPr>
          <w:rStyle w:val="Hyperlink"/>
          <w:b/>
          <w:color w:val="auto"/>
          <w:u w:val="none"/>
          <w:lang w:val="en-SG"/>
        </w:rPr>
        <w:t>Email:</w:t>
      </w:r>
      <w:r>
        <w:rPr>
          <w:rStyle w:val="Hyperlink"/>
          <w:color w:val="auto"/>
          <w:u w:val="none"/>
          <w:lang w:val="en-SG"/>
        </w:rPr>
        <w:t xml:space="preserve"> </w:t>
      </w:r>
      <w:r w:rsidR="00947CB8">
        <w:rPr>
          <w:rStyle w:val="Hyperlink"/>
          <w:color w:val="auto"/>
          <w:u w:val="none"/>
          <w:lang w:val="en-SG"/>
        </w:rPr>
        <w:tab/>
      </w:r>
      <w:hyperlink r:id="rId11" w:history="1">
        <w:r w:rsidR="008D71C4" w:rsidRPr="00817DC0">
          <w:rPr>
            <w:rStyle w:val="Hyperlink"/>
            <w:lang w:val="en-SG"/>
          </w:rPr>
          <w:t>jennifer.koplin@mcri.edu.au</w:t>
        </w:r>
      </w:hyperlink>
    </w:p>
    <w:p w14:paraId="3B1580FB" w14:textId="77777777" w:rsidR="002C2F77" w:rsidRDefault="002C2F77" w:rsidP="002C2F77">
      <w:pPr>
        <w:spacing w:line="480" w:lineRule="auto"/>
        <w:rPr>
          <w:b/>
        </w:rPr>
      </w:pPr>
    </w:p>
    <w:p w14:paraId="1B3F2656" w14:textId="7D372CB6" w:rsidR="002C2F77" w:rsidRPr="008B116C" w:rsidRDefault="002C2F77" w:rsidP="002C2F77">
      <w:pPr>
        <w:spacing w:line="480" w:lineRule="auto"/>
      </w:pPr>
      <w:r w:rsidRPr="008B116C">
        <w:rPr>
          <w:b/>
        </w:rPr>
        <w:t>Word count:</w:t>
      </w:r>
      <w:r>
        <w:rPr>
          <w:b/>
        </w:rPr>
        <w:t xml:space="preserve"> </w:t>
      </w:r>
    </w:p>
    <w:p w14:paraId="60AE6CF5" w14:textId="5DAD3AD0" w:rsidR="002C2F77" w:rsidRPr="00444868" w:rsidRDefault="002C2F77" w:rsidP="002C2F77">
      <w:pPr>
        <w:spacing w:line="480" w:lineRule="auto"/>
      </w:pPr>
      <w:r w:rsidRPr="00444868">
        <w:t xml:space="preserve">Main body of text: </w:t>
      </w:r>
      <w:r w:rsidR="00F044DE">
        <w:t>45</w:t>
      </w:r>
      <w:r w:rsidR="00CF7369">
        <w:t>57</w:t>
      </w:r>
      <w:r w:rsidR="00F044DE">
        <w:t xml:space="preserve"> </w:t>
      </w:r>
      <w:r w:rsidR="00E7276F">
        <w:t>words</w:t>
      </w:r>
    </w:p>
    <w:p w14:paraId="7266BA44" w14:textId="46C5E6BA" w:rsidR="00947CB8" w:rsidRPr="003043DC" w:rsidRDefault="002C2F77" w:rsidP="00BB012C">
      <w:pPr>
        <w:spacing w:line="480" w:lineRule="auto"/>
      </w:pPr>
      <w:r w:rsidRPr="00444868">
        <w:t xml:space="preserve">Abstract: </w:t>
      </w:r>
      <w:r w:rsidR="001356AB">
        <w:t>25</w:t>
      </w:r>
      <w:r w:rsidR="00FA565E">
        <w:t>0</w:t>
      </w:r>
      <w:r w:rsidR="00CC220E">
        <w:t xml:space="preserve"> words</w:t>
      </w:r>
      <w:r w:rsidR="00BD38ED">
        <w:rPr>
          <w:b/>
          <w:lang w:val="en-GB"/>
        </w:rPr>
        <w:br w:type="page"/>
      </w:r>
    </w:p>
    <w:p w14:paraId="1CBB0BF7" w14:textId="7C3443B9" w:rsidR="00901A65" w:rsidRDefault="00901A65" w:rsidP="00901A65">
      <w:pPr>
        <w:pStyle w:val="heading1nonumber"/>
      </w:pPr>
      <w:r>
        <w:lastRenderedPageBreak/>
        <w:t xml:space="preserve">Acknowledgements </w:t>
      </w:r>
      <w:r w:rsidRPr="00A7745D">
        <w:t xml:space="preserve"> </w:t>
      </w:r>
    </w:p>
    <w:p w14:paraId="38D7ECE5" w14:textId="44920C0F" w:rsidR="003B75B7" w:rsidRDefault="00F044DE" w:rsidP="003B75B7">
      <w:pPr>
        <w:spacing w:line="480" w:lineRule="auto"/>
        <w:ind w:firstLine="720"/>
        <w:jc w:val="both"/>
      </w:pPr>
      <w:r>
        <w:t xml:space="preserve">Drs </w:t>
      </w:r>
      <w:proofErr w:type="spellStart"/>
      <w:r>
        <w:t>Suaini</w:t>
      </w:r>
      <w:proofErr w:type="spellEnd"/>
      <w:r>
        <w:t>, Loo, Peters,</w:t>
      </w:r>
      <w:r w:rsidR="003B75B7">
        <w:t xml:space="preserve"> Yap</w:t>
      </w:r>
      <w:r>
        <w:t xml:space="preserve">, </w:t>
      </w:r>
      <w:proofErr w:type="gramStart"/>
      <w:r>
        <w:t>Allen,  Bever</w:t>
      </w:r>
      <w:proofErr w:type="gramEnd"/>
      <w:r>
        <w:t>,</w:t>
      </w:r>
      <w:r w:rsidR="003B75B7">
        <w:t xml:space="preserve"> Martino</w:t>
      </w:r>
      <w:r>
        <w:t xml:space="preserve">, Goh, </w:t>
      </w:r>
      <w:proofErr w:type="spellStart"/>
      <w:r>
        <w:t>Dharmage</w:t>
      </w:r>
      <w:proofErr w:type="spellEnd"/>
      <w:r>
        <w:t xml:space="preserve">, </w:t>
      </w:r>
      <w:proofErr w:type="spellStart"/>
      <w:r>
        <w:t>Colega</w:t>
      </w:r>
      <w:proofErr w:type="spellEnd"/>
      <w:r>
        <w:t>,  Fong, Ponsonby,</w:t>
      </w:r>
      <w:r w:rsidR="003B75B7">
        <w:t xml:space="preserve"> Tan</w:t>
      </w:r>
      <w:r>
        <w:t xml:space="preserve">, </w:t>
      </w:r>
      <w:r w:rsidR="00A57C82">
        <w:t xml:space="preserve">Lee, </w:t>
      </w:r>
      <w:proofErr w:type="spellStart"/>
      <w:r w:rsidR="00A57C82">
        <w:t>Shek</w:t>
      </w:r>
      <w:proofErr w:type="spellEnd"/>
      <w:r w:rsidR="00A57C82">
        <w:t xml:space="preserve">, </w:t>
      </w:r>
      <w:proofErr w:type="spellStart"/>
      <w:r w:rsidR="00A57C82">
        <w:t>Koplin</w:t>
      </w:r>
      <w:proofErr w:type="spellEnd"/>
      <w:r w:rsidR="00A57C82">
        <w:t xml:space="preserve"> and </w:t>
      </w:r>
      <w:proofErr w:type="spellStart"/>
      <w:r w:rsidR="00A57C82">
        <w:t>Tham</w:t>
      </w:r>
      <w:proofErr w:type="spellEnd"/>
      <w:r w:rsidR="003B75B7">
        <w:t xml:space="preserve"> have nothing to disclose. </w:t>
      </w:r>
    </w:p>
    <w:p w14:paraId="1D5CE137" w14:textId="77777777" w:rsidR="003B75B7" w:rsidRDefault="003B75B7" w:rsidP="003B75B7">
      <w:pPr>
        <w:spacing w:line="480" w:lineRule="auto"/>
        <w:ind w:firstLine="720"/>
        <w:jc w:val="both"/>
      </w:pPr>
      <w:proofErr w:type="spellStart"/>
      <w:r w:rsidRPr="003B75B7">
        <w:t>Dr.</w:t>
      </w:r>
      <w:proofErr w:type="spellEnd"/>
      <w:r w:rsidRPr="003B75B7">
        <w:t xml:space="preserve"> Tang reports personal fees from </w:t>
      </w:r>
      <w:proofErr w:type="spellStart"/>
      <w:r w:rsidRPr="003B75B7">
        <w:t>Prota</w:t>
      </w:r>
      <w:proofErr w:type="spellEnd"/>
      <w:r w:rsidRPr="003B75B7">
        <w:t xml:space="preserve"> Therapeutics, personal fees from Abbott </w:t>
      </w:r>
      <w:proofErr w:type="gramStart"/>
      <w:r w:rsidRPr="003B75B7">
        <w:t>Nutrition ,</w:t>
      </w:r>
      <w:proofErr w:type="gramEnd"/>
      <w:r w:rsidRPr="003B75B7">
        <w:t xml:space="preserve"> personal fees from Nestle Health Science, personal fees from Bayer Pharmaceutical</w:t>
      </w:r>
      <w:r>
        <w:t>s,  outside the submitted work</w:t>
      </w:r>
      <w:r w:rsidRPr="003B75B7">
        <w:t>.</w:t>
      </w:r>
      <w:r>
        <w:t xml:space="preserve"> </w:t>
      </w:r>
    </w:p>
    <w:p w14:paraId="4A2E7215" w14:textId="07853C09" w:rsidR="003B75B7" w:rsidRDefault="003B75B7" w:rsidP="003B75B7">
      <w:pPr>
        <w:spacing w:line="480" w:lineRule="auto"/>
        <w:ind w:firstLine="720"/>
        <w:jc w:val="both"/>
      </w:pPr>
      <w:proofErr w:type="spellStart"/>
      <w:r w:rsidRPr="003B75B7">
        <w:t>Dr.</w:t>
      </w:r>
      <w:proofErr w:type="spellEnd"/>
      <w:r w:rsidRPr="003B75B7">
        <w:t xml:space="preserve"> Godfrey reports other from Nestle Nutrition Institute, grants from </w:t>
      </w:r>
      <w:proofErr w:type="spellStart"/>
      <w:r w:rsidRPr="003B75B7">
        <w:t>Nestec</w:t>
      </w:r>
      <w:proofErr w:type="spellEnd"/>
      <w:r w:rsidRPr="003B75B7">
        <w:t xml:space="preserve">,  outside the submitted work;  In addition, </w:t>
      </w:r>
      <w:proofErr w:type="spellStart"/>
      <w:r w:rsidRPr="003B75B7">
        <w:t>Dr.</w:t>
      </w:r>
      <w:proofErr w:type="spellEnd"/>
      <w:r w:rsidRPr="003B75B7">
        <w:t xml:space="preserve"> Godfrey has a patent Phenotype prediction issued, a patent Predictive use of CpG methylation issued, a patent Maternal Nutrition Composition pending, a patent Vitamin B6 in maternal administration for the prevention of overweight or obesity in the offspring issued, and a patent Composition and its use pending.</w:t>
      </w:r>
      <w:r>
        <w:t xml:space="preserve"> </w:t>
      </w:r>
    </w:p>
    <w:p w14:paraId="4EC6C0D8" w14:textId="77777777" w:rsidR="00901A65" w:rsidRDefault="00901A65" w:rsidP="00901A65">
      <w:pPr>
        <w:spacing w:line="480" w:lineRule="auto"/>
        <w:ind w:firstLine="720"/>
        <w:jc w:val="both"/>
      </w:pPr>
      <w:r>
        <w:t xml:space="preserve">The authors acknowledge the contribution of the rest of the GUSTO study group which includes Lee Yung Seng, Wei </w:t>
      </w:r>
      <w:proofErr w:type="spellStart"/>
      <w:r>
        <w:t>Wei</w:t>
      </w:r>
      <w:proofErr w:type="spellEnd"/>
      <w:r>
        <w:t xml:space="preserve"> Pang, Pratibha Agarwal, Dennis Bier, Arijit Biswas, </w:t>
      </w:r>
      <w:proofErr w:type="spellStart"/>
      <w:r>
        <w:t>Shirong</w:t>
      </w:r>
      <w:proofErr w:type="spellEnd"/>
      <w:r>
        <w:t xml:space="preserve"> Cai, Jerry </w:t>
      </w:r>
      <w:proofErr w:type="spellStart"/>
      <w:r>
        <w:t>Kok</w:t>
      </w:r>
      <w:proofErr w:type="spellEnd"/>
      <w:r>
        <w:t xml:space="preserve"> Yen Chan, Cornelia Yin Ing Chee, Helen Y. H Chen, Audrey Chia, </w:t>
      </w:r>
      <w:proofErr w:type="spellStart"/>
      <w:r>
        <w:t>Amutha</w:t>
      </w:r>
      <w:proofErr w:type="spellEnd"/>
      <w:r>
        <w:t xml:space="preserve"> </w:t>
      </w:r>
      <w:proofErr w:type="spellStart"/>
      <w:r>
        <w:t>Chinnadurai</w:t>
      </w:r>
      <w:proofErr w:type="spellEnd"/>
      <w:r>
        <w:t xml:space="preserve">, Chai </w:t>
      </w:r>
      <w:proofErr w:type="spellStart"/>
      <w:r>
        <w:t>Kiat</w:t>
      </w:r>
      <w:proofErr w:type="spellEnd"/>
      <w:r>
        <w:t xml:space="preserve"> </w:t>
      </w:r>
      <w:proofErr w:type="spellStart"/>
      <w:r>
        <w:t>Chng</w:t>
      </w:r>
      <w:proofErr w:type="spellEnd"/>
      <w:r>
        <w:t xml:space="preserve">,, Shang Chee Chong, Mei </w:t>
      </w:r>
      <w:proofErr w:type="spellStart"/>
      <w:r>
        <w:t>Chien</w:t>
      </w:r>
      <w:proofErr w:type="spellEnd"/>
      <w:r>
        <w:t xml:space="preserve"> Chua, Chun Ming Ding, Eric Andrew Finkelstein, Doris </w:t>
      </w:r>
      <w:proofErr w:type="spellStart"/>
      <w:r>
        <w:t>Fok</w:t>
      </w:r>
      <w:proofErr w:type="spellEnd"/>
      <w:r>
        <w:t xml:space="preserve">, Marielle Fortier, Yam Thiam Daniel Goh, Joshua J. </w:t>
      </w:r>
      <w:proofErr w:type="spellStart"/>
      <w:r>
        <w:t>Gooley</w:t>
      </w:r>
      <w:proofErr w:type="spellEnd"/>
      <w:r>
        <w:t xml:space="preserve">, Wee Meng Han, Mark Hanson, </w:t>
      </w:r>
      <w:proofErr w:type="spellStart"/>
      <w:r>
        <w:t>Christiani</w:t>
      </w:r>
      <w:proofErr w:type="spellEnd"/>
      <w:r>
        <w:t xml:space="preserve"> </w:t>
      </w:r>
      <w:proofErr w:type="spellStart"/>
      <w:r>
        <w:t>Jeyakumar</w:t>
      </w:r>
      <w:proofErr w:type="spellEnd"/>
      <w:r>
        <w:t xml:space="preserve"> Henry, Joanna D </w:t>
      </w:r>
      <w:proofErr w:type="spellStart"/>
      <w:r>
        <w:t>Holbrook,Chin</w:t>
      </w:r>
      <w:proofErr w:type="spellEnd"/>
      <w:r>
        <w:t xml:space="preserve">-Ying Hsu, Hazel Inskip, </w:t>
      </w:r>
      <w:proofErr w:type="spellStart"/>
      <w:r>
        <w:t>Jeevesh</w:t>
      </w:r>
      <w:proofErr w:type="spellEnd"/>
      <w:r>
        <w:t xml:space="preserve"> </w:t>
      </w:r>
      <w:proofErr w:type="spellStart"/>
      <w:r>
        <w:t>Kapur</w:t>
      </w:r>
      <w:proofErr w:type="spellEnd"/>
      <w:r>
        <w:t xml:space="preserve">, </w:t>
      </w:r>
      <w:proofErr w:type="spellStart"/>
      <w:r>
        <w:t>Birit</w:t>
      </w:r>
      <w:proofErr w:type="spellEnd"/>
      <w:r>
        <w:t xml:space="preserve"> </w:t>
      </w:r>
      <w:proofErr w:type="spellStart"/>
      <w:r>
        <w:t>Leutscher-Broekman</w:t>
      </w:r>
      <w:proofErr w:type="spellEnd"/>
      <w:r>
        <w:t xml:space="preserve">, </w:t>
      </w:r>
      <w:proofErr w:type="spellStart"/>
      <w:r>
        <w:t>Sok</w:t>
      </w:r>
      <w:proofErr w:type="spellEnd"/>
      <w:r>
        <w:t xml:space="preserve"> Bee Lim, </w:t>
      </w:r>
      <w:proofErr w:type="spellStart"/>
      <w:r>
        <w:t>Seong</w:t>
      </w:r>
      <w:proofErr w:type="spellEnd"/>
      <w:r>
        <w:t xml:space="preserve"> </w:t>
      </w:r>
      <w:proofErr w:type="spellStart"/>
      <w:r>
        <w:t>Feei</w:t>
      </w:r>
      <w:proofErr w:type="spellEnd"/>
      <w:r>
        <w:t xml:space="preserve"> </w:t>
      </w:r>
      <w:proofErr w:type="spellStart"/>
      <w:r>
        <w:t>Loh</w:t>
      </w:r>
      <w:proofErr w:type="spellEnd"/>
      <w:r>
        <w:t xml:space="preserve">, Yen-Ling Low, Iliana </w:t>
      </w:r>
      <w:proofErr w:type="spellStart"/>
      <w:r>
        <w:t>Magiati</w:t>
      </w:r>
      <w:proofErr w:type="spellEnd"/>
      <w:r>
        <w:t xml:space="preserve">, Lourdes Mary Daniel, Michael Meaney, Susan Morton, Cheryl Ngo, Krishnamoorthy </w:t>
      </w:r>
      <w:proofErr w:type="spellStart"/>
      <w:r>
        <w:t>Niduvaje</w:t>
      </w:r>
      <w:proofErr w:type="spellEnd"/>
      <w:r>
        <w:t xml:space="preserve">, </w:t>
      </w:r>
      <w:proofErr w:type="spellStart"/>
      <w:r>
        <w:t>Anqi</w:t>
      </w:r>
      <w:proofErr w:type="spellEnd"/>
      <w:r>
        <w:t xml:space="preserve"> </w:t>
      </w:r>
      <w:proofErr w:type="spellStart"/>
      <w:r>
        <w:t>Qiu</w:t>
      </w:r>
      <w:proofErr w:type="spellEnd"/>
      <w:r>
        <w:t xml:space="preserve">, Boon Long Quah, Victor Samuel </w:t>
      </w:r>
      <w:proofErr w:type="spellStart"/>
      <w:r>
        <w:t>Rajadurai</w:t>
      </w:r>
      <w:proofErr w:type="spellEnd"/>
      <w:r>
        <w:t xml:space="preserve">, Mary </w:t>
      </w:r>
      <w:proofErr w:type="spellStart"/>
      <w:r>
        <w:t>Rauff</w:t>
      </w:r>
      <w:proofErr w:type="spellEnd"/>
      <w:r>
        <w:t>, Jenny L. Richmond, Anne Rifkin-</w:t>
      </w:r>
      <w:proofErr w:type="spellStart"/>
      <w:r>
        <w:t>Graboi</w:t>
      </w:r>
      <w:proofErr w:type="spellEnd"/>
      <w:r>
        <w:t xml:space="preserve">, Allan Sheppard, </w:t>
      </w:r>
      <w:proofErr w:type="spellStart"/>
      <w:r>
        <w:t>Borys</w:t>
      </w:r>
      <w:proofErr w:type="spellEnd"/>
      <w:r>
        <w:t xml:space="preserve"> </w:t>
      </w:r>
      <w:proofErr w:type="spellStart"/>
      <w:r>
        <w:t>Shuter</w:t>
      </w:r>
      <w:proofErr w:type="spellEnd"/>
      <w:r>
        <w:t xml:space="preserve">, </w:t>
      </w:r>
      <w:proofErr w:type="spellStart"/>
      <w:r>
        <w:t>Leher</w:t>
      </w:r>
      <w:proofErr w:type="spellEnd"/>
      <w:r>
        <w:t xml:space="preserve"> Singh, Wing Chee So, Walter </w:t>
      </w:r>
      <w:proofErr w:type="spellStart"/>
      <w:r>
        <w:t>Stunkel</w:t>
      </w:r>
      <w:proofErr w:type="spellEnd"/>
      <w:r>
        <w:t xml:space="preserve">, Lin </w:t>
      </w:r>
      <w:proofErr w:type="spellStart"/>
      <w:r>
        <w:t>Lin</w:t>
      </w:r>
      <w:proofErr w:type="spellEnd"/>
      <w:r>
        <w:t xml:space="preserve"> </w:t>
      </w:r>
      <w:proofErr w:type="spellStart"/>
      <w:r>
        <w:t>Su</w:t>
      </w:r>
      <w:proofErr w:type="spellEnd"/>
      <w:r>
        <w:t xml:space="preserve">, </w:t>
      </w:r>
      <w:proofErr w:type="spellStart"/>
      <w:r>
        <w:t>Soek</w:t>
      </w:r>
      <w:proofErr w:type="spellEnd"/>
      <w:r>
        <w:t xml:space="preserve"> Hui Tan, Rob, M. van Dam, Sudhakar K. Venkatesh, Inez Bik Yun Wong, P. C. Wong, George </w:t>
      </w:r>
      <w:proofErr w:type="spellStart"/>
      <w:r>
        <w:t>Seow</w:t>
      </w:r>
      <w:proofErr w:type="spellEnd"/>
      <w:r>
        <w:t xml:space="preserve"> </w:t>
      </w:r>
      <w:proofErr w:type="spellStart"/>
      <w:r>
        <w:t>Heong</w:t>
      </w:r>
      <w:proofErr w:type="spellEnd"/>
      <w:r>
        <w:t xml:space="preserve"> Yeo. We would also like to thank the GUSTO Executive committee, research staff and all parents and children who participated in the GUSTO study. </w:t>
      </w:r>
    </w:p>
    <w:p w14:paraId="39E10E90" w14:textId="77777777" w:rsidR="00901A65" w:rsidRDefault="00901A65" w:rsidP="00901A65">
      <w:pPr>
        <w:spacing w:line="480" w:lineRule="auto"/>
        <w:ind w:firstLine="720"/>
        <w:jc w:val="both"/>
        <w:rPr>
          <w:lang w:val="en-GB"/>
        </w:rPr>
      </w:pPr>
      <w:r>
        <w:lastRenderedPageBreak/>
        <w:t xml:space="preserve">The </w:t>
      </w:r>
      <w:proofErr w:type="spellStart"/>
      <w:r>
        <w:t>HealthNuts</w:t>
      </w:r>
      <w:proofErr w:type="spellEnd"/>
      <w:r>
        <w:t xml:space="preserve"> study group is made up of the </w:t>
      </w:r>
      <w:proofErr w:type="spellStart"/>
      <w:r>
        <w:t>HealthNuts</w:t>
      </w:r>
      <w:proofErr w:type="spellEnd"/>
      <w:r>
        <w:t xml:space="preserve"> investigators, including</w:t>
      </w:r>
      <w:r>
        <w:rPr>
          <w:bCs/>
          <w:szCs w:val="24"/>
        </w:rPr>
        <w:t xml:space="preserve"> Professor Melissa Wake, A/Prof Adrian Lowe, Professor Lyle </w:t>
      </w:r>
      <w:proofErr w:type="spellStart"/>
      <w:r>
        <w:rPr>
          <w:bCs/>
          <w:szCs w:val="24"/>
        </w:rPr>
        <w:t>Gurrin</w:t>
      </w:r>
      <w:proofErr w:type="spellEnd"/>
      <w:r>
        <w:rPr>
          <w:bCs/>
          <w:szCs w:val="24"/>
        </w:rPr>
        <w:t xml:space="preserve">, </w:t>
      </w:r>
      <w:r>
        <w:t xml:space="preserve">Professor Colin </w:t>
      </w:r>
      <w:proofErr w:type="gramStart"/>
      <w:r>
        <w:t>Robertson</w:t>
      </w:r>
      <w:proofErr w:type="gramEnd"/>
      <w:r>
        <w:t xml:space="preserve"> and Professor Terry Dwyer. </w:t>
      </w:r>
      <w:r w:rsidRPr="004A4B98">
        <w:t xml:space="preserve">We thank the </w:t>
      </w:r>
      <w:r>
        <w:t>parents and children</w:t>
      </w:r>
      <w:r w:rsidRPr="004A4B98">
        <w:t xml:space="preserve"> who participated in the </w:t>
      </w:r>
      <w:proofErr w:type="spellStart"/>
      <w:r w:rsidRPr="004A4B98">
        <w:t>HealthNuts</w:t>
      </w:r>
      <w:proofErr w:type="spellEnd"/>
      <w:r w:rsidRPr="004A4B98">
        <w:t xml:space="preserve"> Study as well as the staff of Melbourne’s Local Government Areas for access to community Immunization Clinics. We would also like to thank the </w:t>
      </w:r>
      <w:proofErr w:type="spellStart"/>
      <w:r w:rsidRPr="004A4B98">
        <w:t>HealthNuts</w:t>
      </w:r>
      <w:proofErr w:type="spellEnd"/>
      <w:r w:rsidRPr="004A4B98">
        <w:t xml:space="preserve"> safety committee: Associate Professor Noel Cranswick (Australian Paediatric Pharmacology Research Unit, Murdoch </w:t>
      </w:r>
      <w:proofErr w:type="spellStart"/>
      <w:r w:rsidRPr="004A4B98">
        <w:t>Childrens</w:t>
      </w:r>
      <w:proofErr w:type="spellEnd"/>
      <w:r w:rsidRPr="004A4B98">
        <w:t xml:space="preserve"> Research Institute), Dr Joanne Smart (Department of Allergy and Immunology, Royal Children’s Hospital, Melbourne, Australia) and Professor Jo Douglass (Director, Department of Allergy and Immunology, Royal Melbourne Hospital, Melbourne, Australia). We thank ALK </w:t>
      </w:r>
      <w:proofErr w:type="spellStart"/>
      <w:r w:rsidRPr="004A4B98">
        <w:t>Abe</w:t>
      </w:r>
      <w:r>
        <w:t>llo</w:t>
      </w:r>
      <w:proofErr w:type="spellEnd"/>
      <w:r>
        <w:t xml:space="preserve">, S.A. Madrid, </w:t>
      </w:r>
      <w:proofErr w:type="spellStart"/>
      <w:r>
        <w:t>España</w:t>
      </w:r>
      <w:proofErr w:type="spellEnd"/>
      <w:r>
        <w:t xml:space="preserve"> for providing the allergens for the skin prick tests</w:t>
      </w:r>
      <w:r w:rsidRPr="004A4B98">
        <w:t>.</w:t>
      </w:r>
      <w:r w:rsidRPr="004A4B98">
        <w:rPr>
          <w:lang w:val="en-GB"/>
        </w:rPr>
        <w:t xml:space="preserve"> We also thank the </w:t>
      </w:r>
      <w:proofErr w:type="spellStart"/>
      <w:r w:rsidRPr="00C87184">
        <w:rPr>
          <w:szCs w:val="24"/>
          <w:lang w:val="en-GB"/>
        </w:rPr>
        <w:t>HealthNuts</w:t>
      </w:r>
      <w:proofErr w:type="spellEnd"/>
      <w:r w:rsidRPr="00C87184">
        <w:rPr>
          <w:szCs w:val="24"/>
          <w:lang w:val="en-GB"/>
        </w:rPr>
        <w:t xml:space="preserve"> study research staff: Nicholas Osborne, Megan</w:t>
      </w:r>
      <w:r w:rsidRPr="004A4B98">
        <w:rPr>
          <w:lang w:val="en-GB"/>
        </w:rPr>
        <w:t xml:space="preserve"> Mathers, Dean </w:t>
      </w:r>
      <w:proofErr w:type="spellStart"/>
      <w:r w:rsidRPr="004A4B98">
        <w:rPr>
          <w:lang w:val="en-GB"/>
        </w:rPr>
        <w:t>Tey</w:t>
      </w:r>
      <w:proofErr w:type="spellEnd"/>
      <w:r w:rsidRPr="004A4B98">
        <w:rPr>
          <w:lang w:val="en-GB"/>
        </w:rPr>
        <w:t xml:space="preserve">, Marnie Robinson, Giovanni </w:t>
      </w:r>
      <w:proofErr w:type="spellStart"/>
      <w:r w:rsidRPr="004A4B98">
        <w:rPr>
          <w:lang w:val="en-GB"/>
        </w:rPr>
        <w:t>Zurzolo</w:t>
      </w:r>
      <w:proofErr w:type="spellEnd"/>
      <w:r w:rsidRPr="004A4B98">
        <w:rPr>
          <w:lang w:val="en-GB"/>
        </w:rPr>
        <w:t>, Leone Thiele, Helen Czech, Deborah Anderson, Carley Garner and John Molloy.</w:t>
      </w:r>
    </w:p>
    <w:p w14:paraId="09F879F7" w14:textId="77777777" w:rsidR="00901A65" w:rsidRDefault="00901A65" w:rsidP="00901A65">
      <w:pPr>
        <w:spacing w:line="480" w:lineRule="auto"/>
        <w:jc w:val="both"/>
        <w:rPr>
          <w:lang w:val="en-GB"/>
        </w:rPr>
      </w:pPr>
      <w:r>
        <w:rPr>
          <w:b/>
          <w:lang w:val="en-GB"/>
        </w:rPr>
        <w:t>Funding</w:t>
      </w:r>
    </w:p>
    <w:p w14:paraId="488E0DA2" w14:textId="2A201F1C" w:rsidR="003043DC" w:rsidRPr="003043DC" w:rsidRDefault="00901A65" w:rsidP="003043DC">
      <w:pPr>
        <w:spacing w:line="480" w:lineRule="auto"/>
        <w:ind w:firstLine="720"/>
        <w:jc w:val="both"/>
        <w:rPr>
          <w:bCs/>
          <w:iCs/>
          <w:szCs w:val="24"/>
        </w:rPr>
      </w:pPr>
      <w:r w:rsidRPr="005E36A7">
        <w:rPr>
          <w:lang w:val="en-GB"/>
        </w:rPr>
        <w:t xml:space="preserve">This research </w:t>
      </w:r>
      <w:r>
        <w:rPr>
          <w:lang w:val="en-GB"/>
        </w:rPr>
        <w:t>was</w:t>
      </w:r>
      <w:r w:rsidRPr="005E36A7">
        <w:rPr>
          <w:lang w:val="en-GB"/>
        </w:rPr>
        <w:t xml:space="preserve"> supported by the Singapore National Research Foundation under</w:t>
      </w:r>
      <w:r>
        <w:rPr>
          <w:lang w:val="en-GB"/>
        </w:rPr>
        <w:t xml:space="preserve"> </w:t>
      </w:r>
      <w:r w:rsidRPr="005E36A7">
        <w:rPr>
          <w:lang w:val="en-GB"/>
        </w:rPr>
        <w:t>its</w:t>
      </w:r>
      <w:r>
        <w:rPr>
          <w:lang w:val="en-GB"/>
        </w:rPr>
        <w:t xml:space="preserve"> </w:t>
      </w:r>
      <w:r w:rsidRPr="005E36A7">
        <w:rPr>
          <w:lang w:val="en-GB"/>
        </w:rPr>
        <w:t>Translational and Clinical Research (TCR) Flagship Programme and administered by the</w:t>
      </w:r>
      <w:r>
        <w:rPr>
          <w:lang w:val="en-GB"/>
        </w:rPr>
        <w:t xml:space="preserve"> </w:t>
      </w:r>
      <w:r w:rsidRPr="005E36A7">
        <w:rPr>
          <w:lang w:val="en-GB"/>
        </w:rPr>
        <w:t>Singapore Ministry of Health’s National Medical Research Council (NMRC), Singapore-</w:t>
      </w:r>
      <w:r>
        <w:rPr>
          <w:lang w:val="en-GB"/>
        </w:rPr>
        <w:t xml:space="preserve"> </w:t>
      </w:r>
      <w:r w:rsidRPr="005E36A7">
        <w:rPr>
          <w:lang w:val="en-GB"/>
        </w:rPr>
        <w:t>NMRC/TCR/004-NUS/2008; NMR</w:t>
      </w:r>
      <w:r>
        <w:rPr>
          <w:lang w:val="en-GB"/>
        </w:rPr>
        <w:t>C/TCR/012-NUHS/2014. This work wa</w:t>
      </w:r>
      <w:r w:rsidRPr="005E36A7">
        <w:rPr>
          <w:lang w:val="en-GB"/>
        </w:rPr>
        <w:t>s also supported by</w:t>
      </w:r>
      <w:r>
        <w:rPr>
          <w:lang w:val="en-GB"/>
        </w:rPr>
        <w:t xml:space="preserve"> </w:t>
      </w:r>
      <w:r w:rsidRPr="005E36A7">
        <w:rPr>
          <w:lang w:val="en-GB"/>
        </w:rPr>
        <w:t>the National Medical Research Council, NMRC/CSA/022/2010 and NRF370062-HUJ-NUS</w:t>
      </w:r>
      <w:r>
        <w:rPr>
          <w:lang w:val="en-GB"/>
        </w:rPr>
        <w:t xml:space="preserve"> </w:t>
      </w:r>
      <w:r w:rsidRPr="005E36A7">
        <w:rPr>
          <w:lang w:val="en-GB"/>
        </w:rPr>
        <w:t>(Project 10). Additional funding is provided by the Singapore Institute for Clinical Sciences,</w:t>
      </w:r>
      <w:r>
        <w:rPr>
          <w:lang w:val="en-GB"/>
        </w:rPr>
        <w:t xml:space="preserve"> </w:t>
      </w:r>
      <w:r w:rsidRPr="005E36A7">
        <w:rPr>
          <w:lang w:val="en-GB"/>
        </w:rPr>
        <w:t>Agency for Science Technology and Research (A*STAR), Singapore. K</w:t>
      </w:r>
      <w:r>
        <w:rPr>
          <w:lang w:val="en-GB"/>
        </w:rPr>
        <w:t xml:space="preserve">. </w:t>
      </w:r>
      <w:r w:rsidRPr="005E36A7">
        <w:rPr>
          <w:lang w:val="en-GB"/>
        </w:rPr>
        <w:t>M</w:t>
      </w:r>
      <w:r>
        <w:rPr>
          <w:lang w:val="en-GB"/>
        </w:rPr>
        <w:t xml:space="preserve">. </w:t>
      </w:r>
      <w:r w:rsidRPr="005E36A7">
        <w:rPr>
          <w:lang w:val="en-GB"/>
        </w:rPr>
        <w:t>G</w:t>
      </w:r>
      <w:r>
        <w:rPr>
          <w:lang w:val="en-GB"/>
        </w:rPr>
        <w:t>odfrey</w:t>
      </w:r>
      <w:r w:rsidRPr="005E36A7">
        <w:rPr>
          <w:lang w:val="en-GB"/>
        </w:rPr>
        <w:t xml:space="preserve"> is funded by the</w:t>
      </w:r>
      <w:r>
        <w:rPr>
          <w:lang w:val="en-GB"/>
        </w:rPr>
        <w:t xml:space="preserve"> </w:t>
      </w:r>
      <w:r w:rsidRPr="007741BF">
        <w:rPr>
          <w:lang w:val="en-GB"/>
        </w:rPr>
        <w:t>UK Medical R</w:t>
      </w:r>
      <w:r>
        <w:rPr>
          <w:lang w:val="en-GB"/>
        </w:rPr>
        <w:t>esearch Council (MC_UU_12011/4) and</w:t>
      </w:r>
      <w:r w:rsidRPr="007741BF">
        <w:rPr>
          <w:lang w:val="en-GB"/>
        </w:rPr>
        <w:t xml:space="preserve"> the National Institute for Health Research (</w:t>
      </w:r>
      <w:r w:rsidRPr="005E36A7">
        <w:rPr>
          <w:lang w:val="en-GB"/>
        </w:rPr>
        <w:t xml:space="preserve">NIHR </w:t>
      </w:r>
      <w:r w:rsidRPr="007741BF">
        <w:rPr>
          <w:lang w:val="en-GB"/>
        </w:rPr>
        <w:t>Senior Investigator (NF-SI-0515-10042)</w:t>
      </w:r>
      <w:r>
        <w:rPr>
          <w:lang w:val="en-GB"/>
        </w:rPr>
        <w:t xml:space="preserve"> and</w:t>
      </w:r>
      <w:r w:rsidRPr="005E36A7">
        <w:rPr>
          <w:lang w:val="en-GB"/>
        </w:rPr>
        <w:t xml:space="preserve"> NIHR Southampton Biomedical Research Centre</w:t>
      </w:r>
      <w:r w:rsidRPr="007741BF">
        <w:rPr>
          <w:lang w:val="en-GB"/>
        </w:rPr>
        <w:t xml:space="preserve"> (IS-BRC-1215-20004)</w:t>
      </w:r>
      <w:r w:rsidRPr="005E36A7">
        <w:rPr>
          <w:lang w:val="en-GB"/>
        </w:rPr>
        <w:t>.</w:t>
      </w:r>
      <w:r>
        <w:rPr>
          <w:lang w:val="en-GB"/>
        </w:rPr>
        <w:t xml:space="preserve"> </w:t>
      </w:r>
      <w:r w:rsidRPr="005A1C0D">
        <w:t>E</w:t>
      </w:r>
      <w:r>
        <w:t xml:space="preserve">. </w:t>
      </w:r>
      <w:r w:rsidRPr="005A1C0D">
        <w:t>H</w:t>
      </w:r>
      <w:r>
        <w:t xml:space="preserve">. </w:t>
      </w:r>
      <w:proofErr w:type="spellStart"/>
      <w:r>
        <w:t>Tham</w:t>
      </w:r>
      <w:proofErr w:type="spellEnd"/>
      <w:r w:rsidRPr="005A1C0D">
        <w:t xml:space="preserve"> is supported by the National Medical Research Council (NMRC) Research Training Fellowship grant [MH 095:003\008-</w:t>
      </w:r>
      <w:r w:rsidRPr="005A1C0D">
        <w:lastRenderedPageBreak/>
        <w:t>225] and the Transition Award [</w:t>
      </w:r>
      <w:r w:rsidRPr="005A1C0D">
        <w:rPr>
          <w:rFonts w:eastAsiaTheme="minorHAnsi"/>
        </w:rPr>
        <w:t xml:space="preserve">MOH-000269] </w:t>
      </w:r>
      <w:r w:rsidRPr="005A1C0D">
        <w:t>from NMRC, Singapore.</w:t>
      </w:r>
      <w:r w:rsidRPr="007741BF">
        <w:rPr>
          <w:lang w:val="en-GB"/>
        </w:rPr>
        <w:t xml:space="preserve"> </w:t>
      </w:r>
      <w:r>
        <w:rPr>
          <w:lang w:val="en-GB"/>
        </w:rPr>
        <w:t xml:space="preserve">The </w:t>
      </w:r>
      <w:proofErr w:type="spellStart"/>
      <w:r>
        <w:rPr>
          <w:lang w:val="en-GB"/>
        </w:rPr>
        <w:t>HealthNuts</w:t>
      </w:r>
      <w:proofErr w:type="spellEnd"/>
      <w:r>
        <w:rPr>
          <w:lang w:val="en-GB"/>
        </w:rPr>
        <w:t xml:space="preserve"> study</w:t>
      </w:r>
      <w:r w:rsidRPr="00536AD4">
        <w:rPr>
          <w:lang w:val="en-GB"/>
        </w:rPr>
        <w:t xml:space="preserve"> was </w:t>
      </w:r>
      <w:r>
        <w:rPr>
          <w:lang w:val="en-GB"/>
        </w:rPr>
        <w:t>funded by</w:t>
      </w:r>
      <w:r w:rsidRPr="00536AD4">
        <w:rPr>
          <w:lang w:val="en-GB"/>
        </w:rPr>
        <w:t xml:space="preserve"> the National Health &amp; Medical Research Council (NHMRC) of Australia, Ilhan Food Allergy Foundation</w:t>
      </w:r>
      <w:r>
        <w:rPr>
          <w:lang w:val="en-GB"/>
        </w:rPr>
        <w:t xml:space="preserve"> and</w:t>
      </w:r>
      <w:r w:rsidRPr="00536AD4">
        <w:rPr>
          <w:lang w:val="en-GB"/>
        </w:rPr>
        <w:t xml:space="preserve"> </w:t>
      </w:r>
      <w:proofErr w:type="spellStart"/>
      <w:r w:rsidRPr="00536AD4">
        <w:rPr>
          <w:lang w:val="en-GB"/>
        </w:rPr>
        <w:t>AnaphylaxiStop</w:t>
      </w:r>
      <w:proofErr w:type="spellEnd"/>
      <w:r>
        <w:rPr>
          <w:lang w:val="en-GB"/>
        </w:rPr>
        <w:t xml:space="preserve">. Support for research at the Murdoch Children’s Research Institute was provided by </w:t>
      </w:r>
      <w:r w:rsidRPr="00536AD4">
        <w:rPr>
          <w:lang w:val="en-GB"/>
        </w:rPr>
        <w:t>the Victorian Government’s Operational Infrastructure Support Program</w:t>
      </w:r>
      <w:r>
        <w:rPr>
          <w:lang w:val="en-GB"/>
        </w:rPr>
        <w:t xml:space="preserve">. N. H. A </w:t>
      </w:r>
      <w:proofErr w:type="spellStart"/>
      <w:r>
        <w:rPr>
          <w:lang w:val="en-GB"/>
        </w:rPr>
        <w:t>Suaini</w:t>
      </w:r>
      <w:proofErr w:type="spellEnd"/>
      <w:r>
        <w:rPr>
          <w:lang w:val="en-GB"/>
        </w:rPr>
        <w:t xml:space="preserve"> received funding from </w:t>
      </w:r>
      <w:r w:rsidRPr="00536AD4">
        <w:rPr>
          <w:lang w:val="en-GB"/>
        </w:rPr>
        <w:t xml:space="preserve">the NHMRC Centre for Food and Allergy Research. </w:t>
      </w:r>
      <w:r w:rsidR="003043DC">
        <w:br w:type="page"/>
      </w:r>
    </w:p>
    <w:p w14:paraId="4807F3E5" w14:textId="1C6ACED9" w:rsidR="004C314B" w:rsidRPr="003E14B6" w:rsidRDefault="007938A2" w:rsidP="000A2B74">
      <w:pPr>
        <w:pStyle w:val="heading1nonumber"/>
      </w:pPr>
      <w:r w:rsidRPr="009D4DED">
        <w:lastRenderedPageBreak/>
        <w:t>Abstract</w:t>
      </w:r>
    </w:p>
    <w:p w14:paraId="5CF23AF6" w14:textId="344F3C44" w:rsidR="008636AF" w:rsidRPr="00BF16FC" w:rsidRDefault="008636AF" w:rsidP="00E50761">
      <w:pPr>
        <w:spacing w:line="480" w:lineRule="auto"/>
        <w:jc w:val="both"/>
        <w:rPr>
          <w:lang w:val="en-US"/>
        </w:rPr>
      </w:pPr>
      <w:r w:rsidRPr="00BF16FC">
        <w:rPr>
          <w:b/>
          <w:lang w:val="en-US"/>
        </w:rPr>
        <w:t>Background:</w:t>
      </w:r>
      <w:r>
        <w:rPr>
          <w:lang w:val="en-US"/>
        </w:rPr>
        <w:t xml:space="preserve"> </w:t>
      </w:r>
      <w:r w:rsidR="009C1E33">
        <w:rPr>
          <w:lang w:val="en-US"/>
        </w:rPr>
        <w:t>I</w:t>
      </w:r>
      <w:r w:rsidR="00224354">
        <w:rPr>
          <w:lang w:val="en-US"/>
        </w:rPr>
        <w:t xml:space="preserve">n </w:t>
      </w:r>
      <w:r w:rsidR="00226582">
        <w:rPr>
          <w:lang w:val="en-US"/>
        </w:rPr>
        <w:t>W</w:t>
      </w:r>
      <w:r w:rsidR="007741BF">
        <w:rPr>
          <w:lang w:val="en-US"/>
        </w:rPr>
        <w:t xml:space="preserve">estern </w:t>
      </w:r>
      <w:r w:rsidR="00955FA1">
        <w:rPr>
          <w:lang w:val="en-US"/>
        </w:rPr>
        <w:t>countries</w:t>
      </w:r>
      <w:r w:rsidR="003A6C85">
        <w:rPr>
          <w:lang w:val="en-US"/>
        </w:rPr>
        <w:t xml:space="preserve">, </w:t>
      </w:r>
      <w:r w:rsidR="007D4730">
        <w:rPr>
          <w:lang w:val="en-US"/>
        </w:rPr>
        <w:t xml:space="preserve">Asian </w:t>
      </w:r>
      <w:r w:rsidR="005045A4">
        <w:rPr>
          <w:lang w:val="en-US"/>
        </w:rPr>
        <w:t xml:space="preserve">children </w:t>
      </w:r>
      <w:r w:rsidR="00FA565E">
        <w:rPr>
          <w:lang w:val="en-US"/>
        </w:rPr>
        <w:t>have</w:t>
      </w:r>
      <w:r w:rsidR="00E253BD">
        <w:rPr>
          <w:lang w:val="en-US"/>
        </w:rPr>
        <w:t xml:space="preserve"> high</w:t>
      </w:r>
      <w:r w:rsidR="003A6C85">
        <w:rPr>
          <w:lang w:val="en-US"/>
        </w:rPr>
        <w:t>er</w:t>
      </w:r>
      <w:r w:rsidR="00E253BD">
        <w:rPr>
          <w:lang w:val="en-US"/>
        </w:rPr>
        <w:t xml:space="preserve"> food allergy</w:t>
      </w:r>
      <w:r w:rsidR="00955FA1">
        <w:rPr>
          <w:lang w:val="en-US"/>
        </w:rPr>
        <w:t xml:space="preserve"> risk</w:t>
      </w:r>
      <w:r w:rsidR="003A6C85">
        <w:rPr>
          <w:lang w:val="en-US"/>
        </w:rPr>
        <w:t xml:space="preserve"> </w:t>
      </w:r>
      <w:r w:rsidR="007D4730">
        <w:rPr>
          <w:lang w:val="en-US"/>
        </w:rPr>
        <w:t>than</w:t>
      </w:r>
      <w:r w:rsidR="009D4DED">
        <w:rPr>
          <w:lang w:val="en-US"/>
        </w:rPr>
        <w:t xml:space="preserve"> </w:t>
      </w:r>
      <w:r w:rsidR="003A6C85">
        <w:rPr>
          <w:lang w:val="en-US"/>
        </w:rPr>
        <w:t>Caucasian children</w:t>
      </w:r>
      <w:r>
        <w:rPr>
          <w:lang w:val="en-US"/>
        </w:rPr>
        <w:t>.</w:t>
      </w:r>
      <w:r w:rsidR="00E253BD">
        <w:rPr>
          <w:lang w:val="en-US"/>
        </w:rPr>
        <w:t xml:space="preserve"> T</w:t>
      </w:r>
      <w:r w:rsidR="00F77DAF">
        <w:rPr>
          <w:lang w:val="en-US"/>
        </w:rPr>
        <w:t xml:space="preserve">he </w:t>
      </w:r>
      <w:r w:rsidR="003A6C85">
        <w:rPr>
          <w:lang w:val="en-US"/>
        </w:rPr>
        <w:t xml:space="preserve">early life environmental exposures </w:t>
      </w:r>
      <w:r w:rsidR="00F77DAF">
        <w:rPr>
          <w:lang w:val="en-US"/>
        </w:rPr>
        <w:t xml:space="preserve">for </w:t>
      </w:r>
      <w:r w:rsidR="003A6C85">
        <w:rPr>
          <w:lang w:val="en-US"/>
        </w:rPr>
        <w:t>this discrepancy</w:t>
      </w:r>
      <w:r w:rsidR="00F77DAF">
        <w:rPr>
          <w:lang w:val="en-US"/>
        </w:rPr>
        <w:t xml:space="preserve"> </w:t>
      </w:r>
      <w:r w:rsidR="008E000C">
        <w:rPr>
          <w:lang w:val="en-US"/>
        </w:rPr>
        <w:t xml:space="preserve">are </w:t>
      </w:r>
      <w:r w:rsidR="00FA565E">
        <w:rPr>
          <w:lang w:val="en-US"/>
        </w:rPr>
        <w:t>unclear</w:t>
      </w:r>
      <w:r w:rsidR="00363C56">
        <w:rPr>
          <w:lang w:val="en-US"/>
        </w:rPr>
        <w:t xml:space="preserve">. </w:t>
      </w:r>
      <w:r w:rsidR="001356AB">
        <w:rPr>
          <w:lang w:val="en-US"/>
        </w:rPr>
        <w:t>We aimed to</w:t>
      </w:r>
      <w:r w:rsidR="00364B9F">
        <w:rPr>
          <w:lang w:val="en-US"/>
        </w:rPr>
        <w:t xml:space="preserve"> </w:t>
      </w:r>
      <w:r w:rsidR="00256379">
        <w:t>compare</w:t>
      </w:r>
      <w:r w:rsidR="00E50761">
        <w:t xml:space="preserve"> prevalence of food allergy</w:t>
      </w:r>
      <w:r w:rsidR="00654EFC">
        <w:t xml:space="preserve"> </w:t>
      </w:r>
      <w:r w:rsidR="008B4312">
        <w:t xml:space="preserve">and associated risk factors </w:t>
      </w:r>
      <w:r w:rsidR="00654EFC">
        <w:t xml:space="preserve">between </w:t>
      </w:r>
      <w:r w:rsidR="00654EFC" w:rsidRPr="00BF16FC">
        <w:t>Asian children in Singapore and</w:t>
      </w:r>
      <w:r w:rsidR="00E3442C">
        <w:t xml:space="preserve"> </w:t>
      </w:r>
      <w:r w:rsidR="00654EFC" w:rsidRPr="00BF16FC">
        <w:t>Australia</w:t>
      </w:r>
      <w:r w:rsidR="008B4312">
        <w:t xml:space="preserve">. </w:t>
      </w:r>
    </w:p>
    <w:p w14:paraId="7D6420B0" w14:textId="09532AB2" w:rsidR="007509E5" w:rsidRDefault="00DB595C" w:rsidP="00B455A5">
      <w:pPr>
        <w:spacing w:line="480" w:lineRule="auto"/>
        <w:jc w:val="both"/>
      </w:pPr>
      <w:r>
        <w:rPr>
          <w:b/>
          <w:lang w:val="en-US"/>
        </w:rPr>
        <w:t>Methods:</w:t>
      </w:r>
      <w:r w:rsidR="00873DDF">
        <w:rPr>
          <w:b/>
          <w:lang w:val="en-US"/>
        </w:rPr>
        <w:t xml:space="preserve"> </w:t>
      </w:r>
      <w:r w:rsidR="00553F7D">
        <w:rPr>
          <w:lang w:val="en-US"/>
        </w:rPr>
        <w:t xml:space="preserve">We studied children </w:t>
      </w:r>
      <w:r w:rsidR="00873DDF">
        <w:rPr>
          <w:lang w:val="en-US"/>
        </w:rPr>
        <w:t>in the Growing Up in Singapore Towards healthy Outcomes (GUSTO) birth cohort</w:t>
      </w:r>
      <w:r w:rsidR="0084323D">
        <w:rPr>
          <w:lang w:val="en-US"/>
        </w:rPr>
        <w:t xml:space="preserve"> (n=878)</w:t>
      </w:r>
      <w:r w:rsidR="00873DDF">
        <w:rPr>
          <w:lang w:val="en-US"/>
        </w:rPr>
        <w:t xml:space="preserve"> and children </w:t>
      </w:r>
      <w:r w:rsidR="00C830F1">
        <w:rPr>
          <w:lang w:val="en-US"/>
        </w:rPr>
        <w:t>of Asian ancestry</w:t>
      </w:r>
      <w:r w:rsidR="00873DDF">
        <w:rPr>
          <w:lang w:val="en-US"/>
        </w:rPr>
        <w:t xml:space="preserve"> in the </w:t>
      </w:r>
      <w:proofErr w:type="spellStart"/>
      <w:r w:rsidR="0065294F">
        <w:rPr>
          <w:lang w:val="en-US"/>
        </w:rPr>
        <w:t>HealthNuts</w:t>
      </w:r>
      <w:proofErr w:type="spellEnd"/>
      <w:r w:rsidR="0065294F">
        <w:rPr>
          <w:lang w:val="en-US"/>
        </w:rPr>
        <w:t xml:space="preserve"> cohort </w:t>
      </w:r>
      <w:r w:rsidR="0084323D">
        <w:rPr>
          <w:lang w:val="en-US"/>
        </w:rPr>
        <w:t>(n=314</w:t>
      </w:r>
      <w:r w:rsidR="00DB366F">
        <w:rPr>
          <w:lang w:val="en-US"/>
        </w:rPr>
        <w:t>)</w:t>
      </w:r>
      <w:r w:rsidR="00B455A5">
        <w:rPr>
          <w:lang w:val="en-US"/>
        </w:rPr>
        <w:t>.</w:t>
      </w:r>
      <w:r w:rsidR="00BF7F20">
        <w:rPr>
          <w:lang w:val="en-US"/>
        </w:rPr>
        <w:t xml:space="preserve"> </w:t>
      </w:r>
      <w:r w:rsidR="00B455A5">
        <w:rPr>
          <w:lang w:val="en-US"/>
        </w:rPr>
        <w:t xml:space="preserve">Food allergy was defined as a </w:t>
      </w:r>
      <w:r w:rsidR="00B455A5">
        <w:t>positive SPT</w:t>
      </w:r>
      <w:r w:rsidR="00B455A5" w:rsidRPr="000B45EF">
        <w:t xml:space="preserve"> </w:t>
      </w:r>
      <w:r w:rsidR="00B455A5">
        <w:t xml:space="preserve">≥ 3 mm to egg or peanut AND </w:t>
      </w:r>
      <w:r w:rsidR="00B455A5">
        <w:rPr>
          <w:lang w:val="en-US"/>
        </w:rPr>
        <w:t xml:space="preserve">either a </w:t>
      </w:r>
      <w:r w:rsidR="00B455A5" w:rsidRPr="00880E62">
        <w:t xml:space="preserve">convincing history of </w:t>
      </w:r>
      <w:proofErr w:type="spellStart"/>
      <w:r w:rsidR="00B455A5">
        <w:t>IgE</w:t>
      </w:r>
      <w:proofErr w:type="spellEnd"/>
      <w:r w:rsidR="00B455A5">
        <w:t xml:space="preserve">-mediated </w:t>
      </w:r>
      <w:r w:rsidR="00B455A5" w:rsidRPr="00880E62">
        <w:t>reacti</w:t>
      </w:r>
      <w:r w:rsidR="00B455A5">
        <w:t xml:space="preserve">on at 18 months (GUSTO) or </w:t>
      </w:r>
      <w:r w:rsidR="00B455A5" w:rsidRPr="007359BA">
        <w:t xml:space="preserve">a positive oral food challenge </w:t>
      </w:r>
      <w:r w:rsidR="00B455A5">
        <w:t>at 14-18 months (</w:t>
      </w:r>
      <w:proofErr w:type="spellStart"/>
      <w:r w:rsidR="00B455A5">
        <w:t>HealthNuts</w:t>
      </w:r>
      <w:proofErr w:type="spellEnd"/>
      <w:r w:rsidR="00B455A5">
        <w:t xml:space="preserve">). Eczema </w:t>
      </w:r>
      <w:r w:rsidR="00A5335A">
        <w:t xml:space="preserve">was defined as parent-reported </w:t>
      </w:r>
      <w:r w:rsidR="00226582">
        <w:t>doctor</w:t>
      </w:r>
      <w:r w:rsidR="00A5335A">
        <w:t xml:space="preserve"> diagnosis. </w:t>
      </w:r>
    </w:p>
    <w:p w14:paraId="1EC5EFB8" w14:textId="4A6BEBFD" w:rsidR="00A6427D" w:rsidRDefault="007816C6" w:rsidP="00A6427D">
      <w:pPr>
        <w:spacing w:line="480" w:lineRule="auto"/>
        <w:jc w:val="both"/>
        <w:rPr>
          <w:szCs w:val="24"/>
        </w:rPr>
      </w:pPr>
      <w:r w:rsidRPr="007816C6">
        <w:rPr>
          <w:b/>
          <w:lang w:val="en-US"/>
        </w:rPr>
        <w:t xml:space="preserve">Results: </w:t>
      </w:r>
      <w:r w:rsidR="007D4730">
        <w:rPr>
          <w:lang w:val="en-AU"/>
        </w:rPr>
        <w:t>F</w:t>
      </w:r>
      <w:r w:rsidR="00AD7649" w:rsidRPr="00890856">
        <w:rPr>
          <w:lang w:val="en-AU"/>
        </w:rPr>
        <w:t xml:space="preserve">ood allergy </w:t>
      </w:r>
      <w:r w:rsidR="007D4730">
        <w:rPr>
          <w:lang w:val="en-AU"/>
        </w:rPr>
        <w:t xml:space="preserve">prevalence </w:t>
      </w:r>
      <w:r w:rsidR="00890856">
        <w:rPr>
          <w:lang w:val="en-AU"/>
        </w:rPr>
        <w:t xml:space="preserve">was </w:t>
      </w:r>
      <w:r w:rsidR="00B910E5">
        <w:rPr>
          <w:lang w:val="en-AU"/>
        </w:rPr>
        <w:t>1</w:t>
      </w:r>
      <w:r w:rsidR="00890856">
        <w:rPr>
          <w:lang w:val="en-AU"/>
        </w:rPr>
        <w:t>.</w:t>
      </w:r>
      <w:r w:rsidR="00B910E5">
        <w:rPr>
          <w:lang w:val="en-AU"/>
        </w:rPr>
        <w:t>1</w:t>
      </w:r>
      <w:r w:rsidR="00890856">
        <w:rPr>
          <w:lang w:val="en-AU"/>
        </w:rPr>
        <w:t xml:space="preserve">% </w:t>
      </w:r>
      <w:r w:rsidR="00980CBE">
        <w:rPr>
          <w:lang w:val="en-AU"/>
        </w:rPr>
        <w:t xml:space="preserve">in Singapore </w:t>
      </w:r>
      <w:r w:rsidR="00E064D8">
        <w:rPr>
          <w:lang w:val="en-AU"/>
        </w:rPr>
        <w:t>and</w:t>
      </w:r>
      <w:r w:rsidR="00890856">
        <w:rPr>
          <w:lang w:val="en-AU"/>
        </w:rPr>
        <w:t xml:space="preserve"> </w:t>
      </w:r>
      <w:r w:rsidR="00890856" w:rsidRPr="00A6427D">
        <w:rPr>
          <w:lang w:val="en-AU"/>
        </w:rPr>
        <w:t>15.</w:t>
      </w:r>
      <w:r w:rsidR="00B910E5">
        <w:rPr>
          <w:lang w:val="en-AU"/>
        </w:rPr>
        <w:t>0</w:t>
      </w:r>
      <w:r w:rsidR="00AD7649" w:rsidRPr="00A6427D">
        <w:rPr>
          <w:lang w:val="en-AU"/>
        </w:rPr>
        <w:t xml:space="preserve">% in </w:t>
      </w:r>
      <w:r w:rsidR="00E253BD">
        <w:rPr>
          <w:lang w:val="en-AU"/>
        </w:rPr>
        <w:t>Australia</w:t>
      </w:r>
      <w:r w:rsidR="009C1E33">
        <w:rPr>
          <w:lang w:val="en-AU"/>
        </w:rPr>
        <w:t xml:space="preserve"> </w:t>
      </w:r>
      <w:r w:rsidR="00AD7649" w:rsidRPr="00A6427D">
        <w:rPr>
          <w:lang w:val="en-AU"/>
        </w:rPr>
        <w:t xml:space="preserve">(p&lt;0.001). </w:t>
      </w:r>
      <w:r w:rsidR="00755B68">
        <w:rPr>
          <w:lang w:val="en-AU"/>
        </w:rPr>
        <w:t>E</w:t>
      </w:r>
      <w:r w:rsidR="00E253BD">
        <w:rPr>
          <w:lang w:val="en-AU"/>
        </w:rPr>
        <w:t>gg</w:t>
      </w:r>
      <w:r w:rsidR="00755B68">
        <w:rPr>
          <w:lang w:val="en-AU"/>
        </w:rPr>
        <w:t xml:space="preserve"> introduction</w:t>
      </w:r>
      <w:r w:rsidR="00E253BD">
        <w:rPr>
          <w:lang w:val="en-AU"/>
        </w:rPr>
        <w:t xml:space="preserve"> was </w:t>
      </w:r>
      <w:r w:rsidR="00A83E01">
        <w:rPr>
          <w:lang w:val="en-AU"/>
        </w:rPr>
        <w:t xml:space="preserve">more often </w:t>
      </w:r>
      <w:r w:rsidR="00E253BD">
        <w:rPr>
          <w:lang w:val="en-AU"/>
        </w:rPr>
        <w:t>delayed</w:t>
      </w:r>
      <w:r w:rsidR="00923B24">
        <w:rPr>
          <w:lang w:val="en-AU"/>
        </w:rPr>
        <w:t xml:space="preserve"> </w:t>
      </w:r>
      <w:r w:rsidR="0065294F">
        <w:rPr>
          <w:lang w:val="en-AU"/>
        </w:rPr>
        <w:t>(&gt;</w:t>
      </w:r>
      <w:r w:rsidR="0065294F" w:rsidRPr="00A6427D">
        <w:rPr>
          <w:lang w:val="en-AU"/>
        </w:rPr>
        <w:t>10 months</w:t>
      </w:r>
      <w:r w:rsidR="00923B24">
        <w:rPr>
          <w:lang w:val="en-AU"/>
        </w:rPr>
        <w:t>)</w:t>
      </w:r>
      <w:r w:rsidR="00E253BD">
        <w:rPr>
          <w:lang w:val="en-AU"/>
        </w:rPr>
        <w:t xml:space="preserve"> in Singapore </w:t>
      </w:r>
      <w:r w:rsidR="00923B24">
        <w:rPr>
          <w:lang w:val="en-AU"/>
        </w:rPr>
        <w:t>(</w:t>
      </w:r>
      <w:r w:rsidR="00923B24" w:rsidRPr="00A6427D">
        <w:rPr>
          <w:lang w:val="en-AU"/>
        </w:rPr>
        <w:t>63</w:t>
      </w:r>
      <w:r w:rsidR="00923B24">
        <w:rPr>
          <w:lang w:val="en-AU"/>
        </w:rPr>
        <w:t>.5</w:t>
      </w:r>
      <w:r w:rsidR="00923B24" w:rsidRPr="00A6427D">
        <w:rPr>
          <w:lang w:val="en-AU"/>
        </w:rPr>
        <w:t>%</w:t>
      </w:r>
      <w:r w:rsidR="00923B24">
        <w:rPr>
          <w:lang w:val="en-AU"/>
        </w:rPr>
        <w:t xml:space="preserve">) </w:t>
      </w:r>
      <w:r w:rsidR="00FA565E">
        <w:rPr>
          <w:lang w:val="en-AU"/>
        </w:rPr>
        <w:t>than</w:t>
      </w:r>
      <w:r w:rsidR="00E253BD">
        <w:rPr>
          <w:lang w:val="en-AU"/>
        </w:rPr>
        <w:t xml:space="preserve"> Australia</w:t>
      </w:r>
      <w:r w:rsidR="00AD7649" w:rsidRPr="00A6427D">
        <w:rPr>
          <w:lang w:val="en-AU"/>
        </w:rPr>
        <w:t xml:space="preserve"> </w:t>
      </w:r>
      <w:r w:rsidR="00923B24">
        <w:rPr>
          <w:lang w:val="en-AU"/>
        </w:rPr>
        <w:t>(</w:t>
      </w:r>
      <w:r w:rsidR="00AD7649" w:rsidRPr="00A6427D">
        <w:rPr>
          <w:lang w:val="en-AU"/>
        </w:rPr>
        <w:t>16</w:t>
      </w:r>
      <w:r w:rsidR="00755B68">
        <w:rPr>
          <w:lang w:val="en-AU"/>
        </w:rPr>
        <w:t>.3</w:t>
      </w:r>
      <w:r w:rsidR="00AD7649" w:rsidRPr="00A6427D">
        <w:rPr>
          <w:lang w:val="en-AU"/>
        </w:rPr>
        <w:t>%</w:t>
      </w:r>
      <w:r w:rsidR="00923B24">
        <w:rPr>
          <w:lang w:val="en-AU"/>
        </w:rPr>
        <w:t>;</w:t>
      </w:r>
      <w:r w:rsidR="00AD7649" w:rsidRPr="00A6427D">
        <w:rPr>
          <w:lang w:val="en-AU"/>
        </w:rPr>
        <w:t xml:space="preserve"> p&lt;0.001</w:t>
      </w:r>
      <w:r w:rsidR="00E253BD">
        <w:rPr>
          <w:lang w:val="en-AU"/>
        </w:rPr>
        <w:t>)</w:t>
      </w:r>
      <w:r w:rsidR="00854283">
        <w:rPr>
          <w:lang w:val="en-AU"/>
        </w:rPr>
        <w:t>.</w:t>
      </w:r>
      <w:r w:rsidR="00923B24">
        <w:rPr>
          <w:lang w:val="en-AU"/>
        </w:rPr>
        <w:t xml:space="preserve"> </w:t>
      </w:r>
      <w:r w:rsidR="00E064D8">
        <w:t xml:space="preserve">Prevalence of </w:t>
      </w:r>
      <w:r w:rsidR="009360C1">
        <w:t>early onset eczema (</w:t>
      </w:r>
      <w:r w:rsidR="00755B68">
        <w:t>&lt;</w:t>
      </w:r>
      <w:r w:rsidR="009360C1" w:rsidRPr="000B45EF">
        <w:t>6 months</w:t>
      </w:r>
      <w:r w:rsidR="009360C1">
        <w:t xml:space="preserve">) was </w:t>
      </w:r>
      <w:r w:rsidR="00923B24">
        <w:t xml:space="preserve">lower in Singapore </w:t>
      </w:r>
      <w:r w:rsidR="00F50F03">
        <w:t>(</w:t>
      </w:r>
      <w:r w:rsidR="00923B24">
        <w:t>8.4%</w:t>
      </w:r>
      <w:r w:rsidR="00F50F03">
        <w:t>)</w:t>
      </w:r>
      <w:r w:rsidR="00923B24">
        <w:t xml:space="preserve"> </w:t>
      </w:r>
      <w:r w:rsidR="007D4730">
        <w:t>than</w:t>
      </w:r>
      <w:r w:rsidR="009360C1">
        <w:t xml:space="preserve"> </w:t>
      </w:r>
      <w:r w:rsidR="00923B24">
        <w:t>Australia</w:t>
      </w:r>
      <w:r w:rsidR="00F50F03">
        <w:t xml:space="preserve"> (30.5%)</w:t>
      </w:r>
      <w:r w:rsidR="00DF0BB8">
        <w:t xml:space="preserve"> (</w:t>
      </w:r>
      <w:r w:rsidR="009360C1">
        <w:t>p&lt;0.001</w:t>
      </w:r>
      <w:r w:rsidR="00DF0BB8">
        <w:t>)</w:t>
      </w:r>
      <w:r w:rsidR="00BB3919">
        <w:t>.</w:t>
      </w:r>
      <w:r w:rsidR="00CA60D0">
        <w:t xml:space="preserve"> </w:t>
      </w:r>
      <w:r w:rsidR="00DA1BCF">
        <w:rPr>
          <w:szCs w:val="24"/>
        </w:rPr>
        <w:t xml:space="preserve">Children </w:t>
      </w:r>
      <w:r w:rsidR="00A6427D" w:rsidRPr="004354A5">
        <w:rPr>
          <w:szCs w:val="24"/>
        </w:rPr>
        <w:t xml:space="preserve">with early </w:t>
      </w:r>
      <w:r w:rsidR="00632DC5">
        <w:rPr>
          <w:szCs w:val="24"/>
        </w:rPr>
        <w:t xml:space="preserve">onset </w:t>
      </w:r>
      <w:r w:rsidR="00755B68">
        <w:rPr>
          <w:szCs w:val="24"/>
        </w:rPr>
        <w:t xml:space="preserve">eczema were </w:t>
      </w:r>
      <w:r w:rsidR="00A6427D" w:rsidRPr="004354A5">
        <w:rPr>
          <w:szCs w:val="24"/>
        </w:rPr>
        <w:t>more likely to have food allergy</w:t>
      </w:r>
      <w:r w:rsidR="005130FD">
        <w:rPr>
          <w:szCs w:val="24"/>
        </w:rPr>
        <w:t xml:space="preserve"> than those without eczema in </w:t>
      </w:r>
      <w:r w:rsidR="00B910E5">
        <w:rPr>
          <w:szCs w:val="24"/>
        </w:rPr>
        <w:t>Australia</w:t>
      </w:r>
      <w:r w:rsidR="00A6427D" w:rsidRPr="004354A5">
        <w:rPr>
          <w:szCs w:val="24"/>
        </w:rPr>
        <w:t xml:space="preserve"> </w:t>
      </w:r>
      <w:r w:rsidR="000236E2">
        <w:rPr>
          <w:szCs w:val="24"/>
        </w:rPr>
        <w:t>[</w:t>
      </w:r>
      <w:proofErr w:type="spellStart"/>
      <w:r w:rsidR="00A6427D" w:rsidRPr="004354A5">
        <w:rPr>
          <w:szCs w:val="24"/>
        </w:rPr>
        <w:t>aOR</w:t>
      </w:r>
      <w:proofErr w:type="spellEnd"/>
      <w:r w:rsidR="00755B68">
        <w:rPr>
          <w:szCs w:val="24"/>
        </w:rPr>
        <w:t xml:space="preserve"> </w:t>
      </w:r>
      <w:r w:rsidR="00755B68">
        <w:rPr>
          <w:lang w:val="en-AU"/>
        </w:rPr>
        <w:t>5</w:t>
      </w:r>
      <w:r w:rsidR="00755B68" w:rsidRPr="00DF6BA7">
        <w:rPr>
          <w:lang w:val="en-AU"/>
        </w:rPr>
        <w:t>.</w:t>
      </w:r>
      <w:r w:rsidR="005130FD">
        <w:rPr>
          <w:lang w:val="en-AU"/>
        </w:rPr>
        <w:t>11</w:t>
      </w:r>
      <w:r w:rsidR="00755B68" w:rsidRPr="00DF6BA7">
        <w:rPr>
          <w:lang w:val="en-AU"/>
        </w:rPr>
        <w:t xml:space="preserve"> (2.</w:t>
      </w:r>
      <w:r w:rsidR="005130FD">
        <w:rPr>
          <w:lang w:val="en-AU"/>
        </w:rPr>
        <w:t>34</w:t>
      </w:r>
      <w:r w:rsidR="00755B68" w:rsidRPr="00DF6BA7">
        <w:rPr>
          <w:lang w:val="en-AU"/>
        </w:rPr>
        <w:t>-1</w:t>
      </w:r>
      <w:r w:rsidR="00755B68">
        <w:rPr>
          <w:lang w:val="en-AU"/>
        </w:rPr>
        <w:t>1</w:t>
      </w:r>
      <w:r w:rsidR="00755B68" w:rsidRPr="00DF6BA7">
        <w:rPr>
          <w:lang w:val="en-AU"/>
        </w:rPr>
        <w:t>.</w:t>
      </w:r>
      <w:r w:rsidR="005130FD">
        <w:rPr>
          <w:lang w:val="en-AU"/>
        </w:rPr>
        <w:t>14</w:t>
      </w:r>
      <w:r w:rsidR="00755B68" w:rsidRPr="00DF6BA7">
        <w:rPr>
          <w:lang w:val="en-AU"/>
        </w:rPr>
        <w:t>)</w:t>
      </w:r>
      <w:r w:rsidR="00923B24">
        <w:rPr>
          <w:szCs w:val="24"/>
        </w:rPr>
        <w:t>; p&lt;0.001</w:t>
      </w:r>
      <w:r w:rsidR="000236E2">
        <w:rPr>
          <w:szCs w:val="24"/>
        </w:rPr>
        <w:t>]</w:t>
      </w:r>
      <w:r w:rsidR="00BB3919">
        <w:rPr>
          <w:szCs w:val="24"/>
        </w:rPr>
        <w:t xml:space="preserve"> </w:t>
      </w:r>
      <w:r w:rsidR="005B3411">
        <w:rPr>
          <w:szCs w:val="24"/>
        </w:rPr>
        <w:t>and</w:t>
      </w:r>
      <w:r w:rsidR="005130FD">
        <w:rPr>
          <w:szCs w:val="24"/>
        </w:rPr>
        <w:t xml:space="preserve"> Singapore [</w:t>
      </w:r>
      <w:proofErr w:type="spellStart"/>
      <w:r w:rsidR="005130FD" w:rsidRPr="004354A5">
        <w:rPr>
          <w:szCs w:val="24"/>
        </w:rPr>
        <w:t>aOR</w:t>
      </w:r>
      <w:proofErr w:type="spellEnd"/>
      <w:r w:rsidR="005130FD">
        <w:rPr>
          <w:szCs w:val="24"/>
        </w:rPr>
        <w:t xml:space="preserve"> </w:t>
      </w:r>
      <w:r w:rsidR="005130FD">
        <w:rPr>
          <w:lang w:val="en-AU"/>
        </w:rPr>
        <w:t>4.00</w:t>
      </w:r>
      <w:r w:rsidR="005130FD" w:rsidRPr="00DF6BA7">
        <w:rPr>
          <w:lang w:val="en-AU"/>
        </w:rPr>
        <w:t xml:space="preserve"> (</w:t>
      </w:r>
      <w:r w:rsidR="005130FD">
        <w:rPr>
          <w:lang w:val="en-AU"/>
        </w:rPr>
        <w:t>0.62</w:t>
      </w:r>
      <w:r w:rsidR="005130FD" w:rsidRPr="00DF6BA7">
        <w:rPr>
          <w:lang w:val="en-AU"/>
        </w:rPr>
        <w:t>-</w:t>
      </w:r>
      <w:r w:rsidR="005130FD">
        <w:rPr>
          <w:lang w:val="en-AU"/>
        </w:rPr>
        <w:t>25.8</w:t>
      </w:r>
      <w:r w:rsidR="005130FD" w:rsidRPr="00DF6BA7">
        <w:rPr>
          <w:lang w:val="en-AU"/>
        </w:rPr>
        <w:t>)</w:t>
      </w:r>
      <w:r w:rsidR="005130FD">
        <w:rPr>
          <w:szCs w:val="24"/>
        </w:rPr>
        <w:t>; p=0.145]</w:t>
      </w:r>
      <w:r w:rsidR="005E4CA9">
        <w:rPr>
          <w:szCs w:val="24"/>
        </w:rPr>
        <w:t>.</w:t>
      </w:r>
      <w:r w:rsidR="005130FD">
        <w:rPr>
          <w:szCs w:val="24"/>
        </w:rPr>
        <w:t xml:space="preserve"> </w:t>
      </w:r>
    </w:p>
    <w:p w14:paraId="21021EC1" w14:textId="371AF067" w:rsidR="00B710ED" w:rsidRDefault="00C836B0" w:rsidP="00603A01">
      <w:pPr>
        <w:spacing w:line="480" w:lineRule="auto"/>
        <w:jc w:val="both"/>
        <w:rPr>
          <w:b/>
          <w:lang w:val="en-US"/>
        </w:rPr>
      </w:pPr>
      <w:r>
        <w:rPr>
          <w:b/>
          <w:lang w:val="en-US"/>
        </w:rPr>
        <w:t>Conclusion</w:t>
      </w:r>
      <w:r w:rsidR="00065A55">
        <w:rPr>
          <w:b/>
          <w:lang w:val="en-US"/>
        </w:rPr>
        <w:t>s</w:t>
      </w:r>
      <w:r w:rsidR="00966C91" w:rsidRPr="00012CFE">
        <w:rPr>
          <w:b/>
          <w:lang w:val="en-US"/>
        </w:rPr>
        <w:t>:</w:t>
      </w:r>
      <w:r w:rsidR="00B61425">
        <w:rPr>
          <w:b/>
          <w:lang w:val="en-US"/>
        </w:rPr>
        <w:t xml:space="preserve"> </w:t>
      </w:r>
      <w:r w:rsidR="009A2035" w:rsidRPr="009A2035">
        <w:rPr>
          <w:lang w:val="en-US"/>
        </w:rPr>
        <w:t xml:space="preserve">Among </w:t>
      </w:r>
      <w:r w:rsidR="007D4730">
        <w:rPr>
          <w:lang w:val="en-US"/>
        </w:rPr>
        <w:t xml:space="preserve">Asian </w:t>
      </w:r>
      <w:r w:rsidR="009A2035" w:rsidRPr="009A2035">
        <w:rPr>
          <w:lang w:val="en-US"/>
        </w:rPr>
        <w:t xml:space="preserve">children, </w:t>
      </w:r>
      <w:r w:rsidR="00B710ED">
        <w:rPr>
          <w:lang w:val="en-US"/>
        </w:rPr>
        <w:t xml:space="preserve">prevalence of early onset eczema and food allergy </w:t>
      </w:r>
      <w:r w:rsidR="00AE7E55">
        <w:rPr>
          <w:lang w:val="en-US"/>
        </w:rPr>
        <w:t>was</w:t>
      </w:r>
      <w:r w:rsidR="00B710ED">
        <w:rPr>
          <w:lang w:val="en-US"/>
        </w:rPr>
        <w:t xml:space="preserve"> higher in Australia than Singapore.</w:t>
      </w:r>
      <w:r w:rsidR="004E1C22">
        <w:rPr>
          <w:lang w:val="en-US"/>
        </w:rPr>
        <w:t xml:space="preserve"> </w:t>
      </w:r>
      <w:r w:rsidR="004E1C22" w:rsidRPr="004E1C22">
        <w:rPr>
          <w:lang w:val="en-AU"/>
        </w:rPr>
        <w:t xml:space="preserve">Further research with larger sample sizes and harmonized definitions of food allergy between cohorts is </w:t>
      </w:r>
      <w:r w:rsidR="00E064D8">
        <w:rPr>
          <w:lang w:val="en-AU"/>
        </w:rPr>
        <w:t>required to confirm and extend</w:t>
      </w:r>
      <w:r w:rsidR="004E1C22" w:rsidRPr="004E1C22">
        <w:rPr>
          <w:lang w:val="en-AU"/>
        </w:rPr>
        <w:t xml:space="preserve"> these findings</w:t>
      </w:r>
      <w:r w:rsidR="004E1C22">
        <w:rPr>
          <w:lang w:val="en-AU"/>
        </w:rPr>
        <w:t>.</w:t>
      </w:r>
      <w:r w:rsidR="00B710ED">
        <w:rPr>
          <w:lang w:val="en-US"/>
        </w:rPr>
        <w:t xml:space="preserve"> </w:t>
      </w:r>
      <w:r w:rsidR="00955FA1">
        <w:rPr>
          <w:lang w:val="en-US"/>
        </w:rPr>
        <w:t>R</w:t>
      </w:r>
      <w:r w:rsidR="007D4730">
        <w:rPr>
          <w:lang w:val="en-US"/>
        </w:rPr>
        <w:t>esearch on</w:t>
      </w:r>
      <w:r w:rsidR="00094790">
        <w:rPr>
          <w:lang w:val="en-US"/>
        </w:rPr>
        <w:t xml:space="preserve"> environmental factors influencing eczema onset in Australia and Singapore may aid understanding of food allergy pathogenesis in different parts of the world.</w:t>
      </w:r>
      <w:r w:rsidR="000B7DED">
        <w:rPr>
          <w:lang w:val="en-US"/>
        </w:rPr>
        <w:t xml:space="preserve"> </w:t>
      </w:r>
      <w:r w:rsidR="00094790">
        <w:rPr>
          <w:lang w:val="en-US"/>
        </w:rPr>
        <w:t xml:space="preserve">  </w:t>
      </w:r>
      <w:r w:rsidR="009A2035">
        <w:rPr>
          <w:b/>
          <w:lang w:val="en-US"/>
        </w:rPr>
        <w:t xml:space="preserve"> </w:t>
      </w:r>
    </w:p>
    <w:p w14:paraId="71EFF96E" w14:textId="77777777" w:rsidR="00682D50" w:rsidRPr="008B116C" w:rsidRDefault="00682D50" w:rsidP="00682D50">
      <w:pPr>
        <w:spacing w:line="480" w:lineRule="auto"/>
      </w:pPr>
      <w:r w:rsidRPr="008B116C">
        <w:rPr>
          <w:b/>
        </w:rPr>
        <w:t>Key words:</w:t>
      </w:r>
    </w:p>
    <w:p w14:paraId="1E40E3D4" w14:textId="5F57E4C5" w:rsidR="00682D50" w:rsidRPr="008B116C" w:rsidRDefault="00FD1CFA" w:rsidP="00682D50">
      <w:pPr>
        <w:spacing w:line="480" w:lineRule="auto"/>
      </w:pPr>
      <w:r>
        <w:t>Asian children, eczema, food a</w:t>
      </w:r>
      <w:r w:rsidR="00682D50">
        <w:t xml:space="preserve">llergy, GUSTO, </w:t>
      </w:r>
      <w:proofErr w:type="spellStart"/>
      <w:r w:rsidR="00682D50">
        <w:t>HealthNuts</w:t>
      </w:r>
      <w:proofErr w:type="spellEnd"/>
      <w:r w:rsidR="00901A65">
        <w:t xml:space="preserve"> </w:t>
      </w:r>
    </w:p>
    <w:p w14:paraId="1C41282F" w14:textId="77777777" w:rsidR="00682D50" w:rsidRDefault="00682D50" w:rsidP="00682D50">
      <w:pPr>
        <w:spacing w:line="480" w:lineRule="auto"/>
        <w:rPr>
          <w:b/>
        </w:rPr>
      </w:pPr>
      <w:r w:rsidRPr="008B116C">
        <w:rPr>
          <w:b/>
        </w:rPr>
        <w:t xml:space="preserve">Abbreviations: </w:t>
      </w:r>
    </w:p>
    <w:p w14:paraId="204753CF" w14:textId="629E105B" w:rsidR="00413F70" w:rsidRDefault="00413F70" w:rsidP="00682D50">
      <w:pPr>
        <w:spacing w:line="480" w:lineRule="auto"/>
        <w:rPr>
          <w:szCs w:val="24"/>
        </w:rPr>
      </w:pPr>
      <w:r>
        <w:rPr>
          <w:szCs w:val="24"/>
        </w:rPr>
        <w:lastRenderedPageBreak/>
        <w:t>GUSTO: Growing Up in Singapore Towards healthy Outcomes</w:t>
      </w:r>
    </w:p>
    <w:p w14:paraId="0AAF6739" w14:textId="636E79E6" w:rsidR="00682D50" w:rsidRPr="00913BAA" w:rsidRDefault="00682D50" w:rsidP="00682D50">
      <w:pPr>
        <w:spacing w:line="480" w:lineRule="auto"/>
        <w:rPr>
          <w:szCs w:val="24"/>
        </w:rPr>
      </w:pPr>
      <w:r w:rsidRPr="00913BAA">
        <w:rPr>
          <w:szCs w:val="24"/>
        </w:rPr>
        <w:t>ISAAC: International Study of Asthma and Allergies in Childhood</w:t>
      </w:r>
    </w:p>
    <w:p w14:paraId="0617A883" w14:textId="77777777" w:rsidR="00682D50" w:rsidRPr="00913BAA" w:rsidRDefault="00682D50" w:rsidP="00682D50">
      <w:pPr>
        <w:spacing w:line="480" w:lineRule="auto"/>
        <w:rPr>
          <w:szCs w:val="24"/>
        </w:rPr>
      </w:pPr>
      <w:r w:rsidRPr="00913BAA">
        <w:rPr>
          <w:szCs w:val="24"/>
        </w:rPr>
        <w:t>SACC: Standard Australian Classification of Countries</w:t>
      </w:r>
    </w:p>
    <w:p w14:paraId="54A862E9" w14:textId="77777777" w:rsidR="00682D50" w:rsidRPr="00913BAA" w:rsidRDefault="00682D50" w:rsidP="00682D50">
      <w:pPr>
        <w:spacing w:line="480" w:lineRule="auto"/>
        <w:rPr>
          <w:szCs w:val="24"/>
        </w:rPr>
      </w:pPr>
      <w:r>
        <w:rPr>
          <w:szCs w:val="24"/>
        </w:rPr>
        <w:t>SPT: S</w:t>
      </w:r>
      <w:r w:rsidRPr="00913BAA">
        <w:rPr>
          <w:szCs w:val="24"/>
        </w:rPr>
        <w:t xml:space="preserve">kin </w:t>
      </w:r>
      <w:r>
        <w:rPr>
          <w:szCs w:val="24"/>
        </w:rPr>
        <w:t>Prick T</w:t>
      </w:r>
      <w:r w:rsidRPr="00913BAA">
        <w:rPr>
          <w:szCs w:val="24"/>
        </w:rPr>
        <w:t>est</w:t>
      </w:r>
    </w:p>
    <w:p w14:paraId="698EE666" w14:textId="0C9FDC33" w:rsidR="002C2F77" w:rsidRPr="003043DC" w:rsidRDefault="00682D50" w:rsidP="003043DC">
      <w:pPr>
        <w:spacing w:line="480" w:lineRule="auto"/>
        <w:rPr>
          <w:szCs w:val="24"/>
        </w:rPr>
      </w:pPr>
      <w:r>
        <w:rPr>
          <w:szCs w:val="24"/>
        </w:rPr>
        <w:t>OFC: Oral Food C</w:t>
      </w:r>
      <w:r w:rsidRPr="00913BAA">
        <w:rPr>
          <w:szCs w:val="24"/>
        </w:rPr>
        <w:t>hallenge</w:t>
      </w:r>
      <w:r w:rsidR="002C2F77">
        <w:rPr>
          <w:b/>
          <w:lang w:val="en-US"/>
        </w:rPr>
        <w:br w:type="page"/>
      </w:r>
    </w:p>
    <w:p w14:paraId="78B3E2C7" w14:textId="16C047CB" w:rsidR="007938A2" w:rsidRPr="007938A2" w:rsidRDefault="007938A2" w:rsidP="000A2B74">
      <w:pPr>
        <w:pStyle w:val="heading1nonumber"/>
      </w:pPr>
      <w:r w:rsidRPr="007938A2">
        <w:lastRenderedPageBreak/>
        <w:t>Introduction</w:t>
      </w:r>
    </w:p>
    <w:p w14:paraId="6DAB15AB" w14:textId="57D557DF" w:rsidR="008C6F31" w:rsidRDefault="00823303" w:rsidP="008C6F31">
      <w:pPr>
        <w:spacing w:line="480" w:lineRule="auto"/>
        <w:ind w:firstLine="360"/>
        <w:jc w:val="both"/>
        <w:rPr>
          <w:szCs w:val="24"/>
        </w:rPr>
      </w:pPr>
      <w:r w:rsidRPr="006940BC">
        <w:rPr>
          <w:szCs w:val="24"/>
        </w:rPr>
        <w:t>Food allergy rates are rising rapidly worldwide but this phenomenon seems to be observed mainly in Western populations</w:t>
      </w:r>
      <w:r w:rsidR="00230C2E" w:rsidRPr="00230C2E">
        <w:rPr>
          <w:noProof/>
          <w:szCs w:val="24"/>
          <w:vertAlign w:val="superscript"/>
        </w:rPr>
        <w:t>1</w:t>
      </w:r>
      <w:r w:rsidRPr="006940BC">
        <w:rPr>
          <w:szCs w:val="24"/>
        </w:rPr>
        <w:t xml:space="preserve"> whereas food allergy prevalence in children living in Asia remains </w:t>
      </w:r>
      <w:r w:rsidR="00FE1B01">
        <w:rPr>
          <w:szCs w:val="24"/>
        </w:rPr>
        <w:t xml:space="preserve">relatively </w:t>
      </w:r>
      <w:r w:rsidRPr="006940BC">
        <w:rPr>
          <w:szCs w:val="24"/>
        </w:rPr>
        <w:t>low</w:t>
      </w:r>
      <w:r w:rsidR="00CD6675">
        <w:rPr>
          <w:szCs w:val="24"/>
        </w:rPr>
        <w:t>.</w:t>
      </w:r>
      <w:r w:rsidR="00230C2E" w:rsidRPr="00230C2E">
        <w:rPr>
          <w:noProof/>
          <w:szCs w:val="24"/>
          <w:vertAlign w:val="superscript"/>
        </w:rPr>
        <w:t>2</w:t>
      </w:r>
      <w:r w:rsidR="00CD6675">
        <w:rPr>
          <w:szCs w:val="24"/>
        </w:rPr>
        <w:t xml:space="preserve"> </w:t>
      </w:r>
      <w:r w:rsidR="00C43949">
        <w:rPr>
          <w:szCs w:val="24"/>
        </w:rPr>
        <w:t>The prevalence of peanut allergy</w:t>
      </w:r>
      <w:r w:rsidR="009125DF">
        <w:rPr>
          <w:szCs w:val="24"/>
        </w:rPr>
        <w:t>, for example,</w:t>
      </w:r>
      <w:r w:rsidR="00C43949">
        <w:rPr>
          <w:szCs w:val="24"/>
        </w:rPr>
        <w:t xml:space="preserve"> is as high as 1-3% in children in the USA, UK and Australia,</w:t>
      </w:r>
      <w:r w:rsidR="00230C2E" w:rsidRPr="00230C2E">
        <w:rPr>
          <w:noProof/>
          <w:szCs w:val="24"/>
          <w:vertAlign w:val="superscript"/>
        </w:rPr>
        <w:t>3-5</w:t>
      </w:r>
      <w:r w:rsidR="00C43949">
        <w:rPr>
          <w:szCs w:val="24"/>
        </w:rPr>
        <w:t xml:space="preserve"> but </w:t>
      </w:r>
      <w:r w:rsidR="003F4338">
        <w:rPr>
          <w:szCs w:val="24"/>
        </w:rPr>
        <w:t>is &lt;1% in most Asian cou</w:t>
      </w:r>
      <w:r w:rsidR="00CD6675">
        <w:rPr>
          <w:szCs w:val="24"/>
        </w:rPr>
        <w:t>ntries.</w:t>
      </w:r>
      <w:r w:rsidR="00230C2E" w:rsidRPr="00230C2E">
        <w:rPr>
          <w:noProof/>
          <w:szCs w:val="24"/>
          <w:vertAlign w:val="superscript"/>
        </w:rPr>
        <w:t>2</w:t>
      </w:r>
      <w:r w:rsidR="00587D67">
        <w:rPr>
          <w:szCs w:val="24"/>
        </w:rPr>
        <w:t xml:space="preserve"> </w:t>
      </w:r>
      <w:r w:rsidR="00021FB5">
        <w:rPr>
          <w:szCs w:val="24"/>
        </w:rPr>
        <w:t xml:space="preserve">The Growing Up in Singapore Towards healthy Outcomes (GUSTO) </w:t>
      </w:r>
      <w:r w:rsidR="00913C35">
        <w:rPr>
          <w:szCs w:val="24"/>
        </w:rPr>
        <w:t>birth cohort</w:t>
      </w:r>
      <w:r w:rsidR="005950B8">
        <w:rPr>
          <w:szCs w:val="24"/>
        </w:rPr>
        <w:t xml:space="preserve"> study</w:t>
      </w:r>
      <w:r w:rsidR="00021FB5">
        <w:rPr>
          <w:szCs w:val="24"/>
        </w:rPr>
        <w:t xml:space="preserve"> found that the prevalence of parent</w:t>
      </w:r>
      <w:r w:rsidR="000A42AD">
        <w:rPr>
          <w:szCs w:val="24"/>
        </w:rPr>
        <w:t>al</w:t>
      </w:r>
      <w:r w:rsidR="00256379">
        <w:rPr>
          <w:szCs w:val="24"/>
        </w:rPr>
        <w:t xml:space="preserve"> </w:t>
      </w:r>
      <w:r w:rsidR="00021FB5">
        <w:rPr>
          <w:szCs w:val="24"/>
        </w:rPr>
        <w:t>reported peanut allergy was only 0.1-0.3% in children up to 4 years of age.</w:t>
      </w:r>
      <w:r w:rsidR="00230C2E" w:rsidRPr="00230C2E">
        <w:rPr>
          <w:noProof/>
          <w:szCs w:val="24"/>
          <w:vertAlign w:val="superscript"/>
        </w:rPr>
        <w:t>6</w:t>
      </w:r>
      <w:r w:rsidR="00021FB5">
        <w:rPr>
          <w:szCs w:val="24"/>
        </w:rPr>
        <w:t xml:space="preserve"> In contrast, the prevalence of peanut allergy</w:t>
      </w:r>
      <w:r w:rsidR="00906441">
        <w:rPr>
          <w:szCs w:val="24"/>
        </w:rPr>
        <w:t xml:space="preserve"> in a longitudinal food allergy cohort in Melbourne, Australia (</w:t>
      </w:r>
      <w:proofErr w:type="spellStart"/>
      <w:r w:rsidR="00021FB5">
        <w:rPr>
          <w:szCs w:val="24"/>
        </w:rPr>
        <w:t>HealthNuts</w:t>
      </w:r>
      <w:proofErr w:type="spellEnd"/>
      <w:r w:rsidR="00906441">
        <w:rPr>
          <w:szCs w:val="24"/>
        </w:rPr>
        <w:t>)</w:t>
      </w:r>
      <w:r w:rsidR="00021FB5">
        <w:rPr>
          <w:szCs w:val="24"/>
        </w:rPr>
        <w:t xml:space="preserve"> was 3.1% at 1 year of age and 1.9% at 4 years of age.</w:t>
      </w:r>
      <w:r w:rsidR="00230C2E" w:rsidRPr="00230C2E">
        <w:rPr>
          <w:noProof/>
          <w:szCs w:val="24"/>
          <w:vertAlign w:val="superscript"/>
        </w:rPr>
        <w:t>3</w:t>
      </w:r>
      <w:r w:rsidR="00021FB5">
        <w:rPr>
          <w:szCs w:val="24"/>
        </w:rPr>
        <w:t xml:space="preserve"> </w:t>
      </w:r>
      <w:r w:rsidR="00486D94">
        <w:rPr>
          <w:szCs w:val="24"/>
        </w:rPr>
        <w:t xml:space="preserve"> </w:t>
      </w:r>
      <w:r w:rsidR="009706D4">
        <w:rPr>
          <w:szCs w:val="24"/>
        </w:rPr>
        <w:t xml:space="preserve">In the same study, </w:t>
      </w:r>
      <w:r w:rsidR="00486D94">
        <w:rPr>
          <w:szCs w:val="24"/>
        </w:rPr>
        <w:t xml:space="preserve">egg </w:t>
      </w:r>
      <w:r w:rsidR="005B1EBE">
        <w:rPr>
          <w:szCs w:val="24"/>
        </w:rPr>
        <w:t>allergy</w:t>
      </w:r>
      <w:r w:rsidR="00486D94">
        <w:rPr>
          <w:szCs w:val="24"/>
        </w:rPr>
        <w:t xml:space="preserve"> prevalence was 9.5% and this dropped to 1.2% by age 4 years. </w:t>
      </w:r>
    </w:p>
    <w:p w14:paraId="76A68740" w14:textId="7E8FBA7F" w:rsidR="00084D68" w:rsidRDefault="003065C2" w:rsidP="00825977">
      <w:pPr>
        <w:spacing w:line="480" w:lineRule="auto"/>
        <w:ind w:firstLine="360"/>
        <w:jc w:val="both"/>
        <w:rPr>
          <w:lang w:val="en-US"/>
        </w:rPr>
      </w:pPr>
      <w:r w:rsidRPr="00B61425">
        <w:rPr>
          <w:szCs w:val="24"/>
        </w:rPr>
        <w:t>The c</w:t>
      </w:r>
      <w:r w:rsidR="00B61425" w:rsidRPr="00B61425">
        <w:rPr>
          <w:szCs w:val="24"/>
        </w:rPr>
        <w:t>ombined effects of migration,</w:t>
      </w:r>
      <w:r w:rsidRPr="00B61425">
        <w:rPr>
          <w:szCs w:val="24"/>
        </w:rPr>
        <w:t xml:space="preserve"> ethnicity</w:t>
      </w:r>
      <w:r w:rsidR="00B61425" w:rsidRPr="00B61425">
        <w:rPr>
          <w:szCs w:val="24"/>
        </w:rPr>
        <w:t xml:space="preserve"> and country of birth</w:t>
      </w:r>
      <w:r w:rsidRPr="00B61425">
        <w:rPr>
          <w:szCs w:val="24"/>
        </w:rPr>
        <w:t xml:space="preserve"> appear to </w:t>
      </w:r>
      <w:r w:rsidR="00E94CFC" w:rsidRPr="00B61425">
        <w:rPr>
          <w:szCs w:val="24"/>
        </w:rPr>
        <w:t xml:space="preserve">influence </w:t>
      </w:r>
      <w:r w:rsidR="00587D67" w:rsidRPr="00B61425">
        <w:rPr>
          <w:szCs w:val="24"/>
        </w:rPr>
        <w:t>the burden of allergic disease</w:t>
      </w:r>
      <w:r w:rsidR="00850751" w:rsidRPr="00B61425">
        <w:rPr>
          <w:szCs w:val="24"/>
        </w:rPr>
        <w:t>s</w:t>
      </w:r>
      <w:r w:rsidR="006877A6" w:rsidRPr="00B61425">
        <w:rPr>
          <w:szCs w:val="24"/>
        </w:rPr>
        <w:t>,</w:t>
      </w:r>
      <w:r w:rsidR="00230C2E" w:rsidRPr="00230C2E">
        <w:rPr>
          <w:noProof/>
          <w:szCs w:val="24"/>
          <w:vertAlign w:val="superscript"/>
        </w:rPr>
        <w:t>7</w:t>
      </w:r>
      <w:r w:rsidR="006877A6" w:rsidRPr="00B61425">
        <w:rPr>
          <w:szCs w:val="24"/>
        </w:rPr>
        <w:t xml:space="preserve"> particularly in children</w:t>
      </w:r>
      <w:r w:rsidR="00DB1E55" w:rsidRPr="00B61425">
        <w:rPr>
          <w:szCs w:val="24"/>
        </w:rPr>
        <w:t xml:space="preserve"> of Asian </w:t>
      </w:r>
      <w:r w:rsidR="004E4F7F" w:rsidRPr="00B61425">
        <w:rPr>
          <w:szCs w:val="24"/>
        </w:rPr>
        <w:t xml:space="preserve">ancestry </w:t>
      </w:r>
      <w:r w:rsidR="006877A6" w:rsidRPr="00B61425">
        <w:rPr>
          <w:szCs w:val="24"/>
        </w:rPr>
        <w:t xml:space="preserve">living in </w:t>
      </w:r>
      <w:r w:rsidR="00BF7211" w:rsidRPr="00B61425">
        <w:rPr>
          <w:szCs w:val="24"/>
        </w:rPr>
        <w:t xml:space="preserve">Western </w:t>
      </w:r>
      <w:r w:rsidR="008B6B55" w:rsidRPr="00B61425">
        <w:rPr>
          <w:szCs w:val="24"/>
        </w:rPr>
        <w:t>countries</w:t>
      </w:r>
      <w:r w:rsidR="006877A6" w:rsidRPr="00B61425">
        <w:rPr>
          <w:szCs w:val="24"/>
        </w:rPr>
        <w:t xml:space="preserve">. </w:t>
      </w:r>
      <w:r w:rsidR="00F543BD" w:rsidRPr="00B61425">
        <w:rPr>
          <w:szCs w:val="24"/>
        </w:rPr>
        <w:t xml:space="preserve">Previous work in the </w:t>
      </w:r>
      <w:proofErr w:type="spellStart"/>
      <w:r w:rsidR="00F543BD" w:rsidRPr="00B61425">
        <w:rPr>
          <w:szCs w:val="24"/>
        </w:rPr>
        <w:t>HealthNuts</w:t>
      </w:r>
      <w:proofErr w:type="spellEnd"/>
      <w:r w:rsidR="00F543BD" w:rsidRPr="00B61425">
        <w:rPr>
          <w:szCs w:val="24"/>
        </w:rPr>
        <w:t xml:space="preserve"> cohort </w:t>
      </w:r>
      <w:r w:rsidR="005A155B" w:rsidRPr="00B61425">
        <w:rPr>
          <w:szCs w:val="24"/>
        </w:rPr>
        <w:t>has shown</w:t>
      </w:r>
      <w:r w:rsidR="008C6F31" w:rsidRPr="00B61425">
        <w:rPr>
          <w:lang w:val="en-US"/>
        </w:rPr>
        <w:t xml:space="preserve"> that </w:t>
      </w:r>
      <w:r w:rsidR="000A0A04" w:rsidRPr="00B61425">
        <w:rPr>
          <w:lang w:val="en-US"/>
        </w:rPr>
        <w:t xml:space="preserve">Australian-born infants of Asian ancestry were more likely to be </w:t>
      </w:r>
      <w:r w:rsidR="002E73EB" w:rsidRPr="00B61425">
        <w:rPr>
          <w:lang w:val="en-US"/>
        </w:rPr>
        <w:t xml:space="preserve">food </w:t>
      </w:r>
      <w:r w:rsidR="000A0A04" w:rsidRPr="00B61425">
        <w:rPr>
          <w:lang w:val="en-US"/>
        </w:rPr>
        <w:t xml:space="preserve">allergic than </w:t>
      </w:r>
      <w:r w:rsidR="00816C36" w:rsidRPr="00B61425">
        <w:rPr>
          <w:lang w:val="en-US"/>
        </w:rPr>
        <w:t>Australian-born non-Asians</w:t>
      </w:r>
      <w:r w:rsidR="000A0A04" w:rsidRPr="00B61425">
        <w:rPr>
          <w:lang w:val="en-US"/>
        </w:rPr>
        <w:t>. The prevalence of pe</w:t>
      </w:r>
      <w:r w:rsidR="008B1EB9" w:rsidRPr="00B61425">
        <w:rPr>
          <w:lang w:val="en-US"/>
        </w:rPr>
        <w:t xml:space="preserve">anut allergy </w:t>
      </w:r>
      <w:r w:rsidR="008C6F31" w:rsidRPr="00B61425">
        <w:rPr>
          <w:lang w:val="en-US"/>
        </w:rPr>
        <w:t xml:space="preserve">was 3 times higher in </w:t>
      </w:r>
      <w:r w:rsidR="00C97933" w:rsidRPr="00B61425">
        <w:rPr>
          <w:lang w:val="en-US"/>
        </w:rPr>
        <w:t xml:space="preserve">infants </w:t>
      </w:r>
      <w:r w:rsidR="008C6F31" w:rsidRPr="00B61425">
        <w:rPr>
          <w:lang w:val="en-US"/>
        </w:rPr>
        <w:t>with at least one East Asian parent compared to those with</w:t>
      </w:r>
      <w:r w:rsidR="00F11A1C" w:rsidRPr="00B61425">
        <w:rPr>
          <w:lang w:val="en-US"/>
        </w:rPr>
        <w:t xml:space="preserve"> two Australian-born parents.</w:t>
      </w:r>
      <w:r w:rsidR="00230C2E" w:rsidRPr="00230C2E">
        <w:rPr>
          <w:noProof/>
          <w:vertAlign w:val="superscript"/>
          <w:lang w:val="en-US"/>
        </w:rPr>
        <w:t>8</w:t>
      </w:r>
      <w:r w:rsidR="008C6F31" w:rsidRPr="00B61425">
        <w:rPr>
          <w:lang w:val="en-US"/>
        </w:rPr>
        <w:t xml:space="preserve"> </w:t>
      </w:r>
      <w:r w:rsidR="00FE39FE" w:rsidRPr="00B61425">
        <w:rPr>
          <w:lang w:val="en-US"/>
        </w:rPr>
        <w:t xml:space="preserve"> </w:t>
      </w:r>
      <w:r w:rsidR="008C6F31" w:rsidRPr="00B61425">
        <w:rPr>
          <w:lang w:val="en-US"/>
        </w:rPr>
        <w:t>Up to 50% of infants with two East Asian parents developed eczema and 25% had challenge-pro</w:t>
      </w:r>
      <w:r w:rsidR="009846CA" w:rsidRPr="00B61425">
        <w:rPr>
          <w:lang w:val="en-US"/>
        </w:rPr>
        <w:t>ven food allergy by age 1 year.</w:t>
      </w:r>
      <w:r w:rsidR="008C04E0" w:rsidRPr="00B61425">
        <w:rPr>
          <w:lang w:val="en-US"/>
        </w:rPr>
        <w:t xml:space="preserve"> </w:t>
      </w:r>
      <w:r w:rsidR="00A83E01">
        <w:t>Paradoxically</w:t>
      </w:r>
      <w:r w:rsidR="008C04E0" w:rsidRPr="00B61425">
        <w:t>, the parents of these East Asian infants themselves ha</w:t>
      </w:r>
      <w:r w:rsidR="005F03C7" w:rsidRPr="00B61425">
        <w:t>d</w:t>
      </w:r>
      <w:r w:rsidR="008C04E0" w:rsidRPr="00B61425">
        <w:t xml:space="preserve"> lower rates of allergic disease</w:t>
      </w:r>
      <w:r w:rsidR="00256379">
        <w:t>s</w:t>
      </w:r>
      <w:r w:rsidR="008C04E0" w:rsidRPr="00B61425">
        <w:t xml:space="preserve"> compared with Australian-born parents.</w:t>
      </w:r>
      <w:r w:rsidR="00825977" w:rsidRPr="00B61425">
        <w:rPr>
          <w:lang w:val="en-US"/>
        </w:rPr>
        <w:t xml:space="preserve"> </w:t>
      </w:r>
      <w:r w:rsidR="00B61425" w:rsidRPr="00B61425">
        <w:rPr>
          <w:lang w:val="en-US"/>
        </w:rPr>
        <w:t xml:space="preserve">Further, </w:t>
      </w:r>
      <w:r w:rsidR="00A83E01">
        <w:rPr>
          <w:lang w:val="en-US"/>
        </w:rPr>
        <w:t>in a separate study</w:t>
      </w:r>
      <w:r w:rsidR="00B61425" w:rsidRPr="00B61425">
        <w:rPr>
          <w:lang w:val="en-US"/>
        </w:rPr>
        <w:t>, c</w:t>
      </w:r>
      <w:r w:rsidR="008C6F31" w:rsidRPr="00B61425">
        <w:rPr>
          <w:lang w:val="en-US"/>
        </w:rPr>
        <w:t xml:space="preserve">hildren who had migrated postnatally from Asia to Australia had a lower risk of </w:t>
      </w:r>
      <w:r w:rsidR="0002654B" w:rsidRPr="00B61425">
        <w:rPr>
          <w:lang w:val="en-US"/>
        </w:rPr>
        <w:t>peanut allergy</w:t>
      </w:r>
      <w:r w:rsidR="00230C2E" w:rsidRPr="00230C2E">
        <w:rPr>
          <w:noProof/>
          <w:vertAlign w:val="superscript"/>
          <w:lang w:val="en-US"/>
        </w:rPr>
        <w:t>9</w:t>
      </w:r>
      <w:r w:rsidR="0002654B" w:rsidRPr="00B61425">
        <w:rPr>
          <w:lang w:val="en-US"/>
        </w:rPr>
        <w:t>,</w:t>
      </w:r>
      <w:r w:rsidR="002E73EB" w:rsidRPr="00B61425">
        <w:rPr>
          <w:lang w:val="en-US"/>
        </w:rPr>
        <w:t xml:space="preserve"> any</w:t>
      </w:r>
      <w:r w:rsidR="0002654B" w:rsidRPr="00B61425">
        <w:rPr>
          <w:lang w:val="en-US"/>
        </w:rPr>
        <w:t xml:space="preserve"> </w:t>
      </w:r>
      <w:r w:rsidR="008C6F31" w:rsidRPr="00B61425">
        <w:rPr>
          <w:lang w:val="en-US"/>
        </w:rPr>
        <w:t>food allergy and asthma compared to Australian-born non-Asian children.</w:t>
      </w:r>
      <w:r w:rsidR="00230C2E" w:rsidRPr="00230C2E">
        <w:rPr>
          <w:noProof/>
          <w:vertAlign w:val="superscript"/>
          <w:lang w:val="en-US"/>
        </w:rPr>
        <w:t>10</w:t>
      </w:r>
      <w:r w:rsidR="008C6F31" w:rsidRPr="00B61425">
        <w:rPr>
          <w:lang w:val="en-US"/>
        </w:rPr>
        <w:t xml:space="preserve"> Among those of Asian ethnicity, being born in Australia conferred significantly higher risks of food allergy </w:t>
      </w:r>
      <w:r w:rsidR="00256379">
        <w:rPr>
          <w:lang w:val="en-US"/>
        </w:rPr>
        <w:t>[</w:t>
      </w:r>
      <w:proofErr w:type="spellStart"/>
      <w:r w:rsidR="008C6F31" w:rsidRPr="00B61425">
        <w:rPr>
          <w:lang w:val="en-US"/>
        </w:rPr>
        <w:t>a</w:t>
      </w:r>
      <w:r w:rsidR="00256379">
        <w:rPr>
          <w:lang w:val="en-US"/>
        </w:rPr>
        <w:t>OR</w:t>
      </w:r>
      <w:proofErr w:type="spellEnd"/>
      <w:r w:rsidR="00256379">
        <w:rPr>
          <w:lang w:val="en-US"/>
        </w:rPr>
        <w:t xml:space="preserve"> 6.96</w:t>
      </w:r>
      <w:r w:rsidR="008C6F31" w:rsidRPr="00B61425">
        <w:rPr>
          <w:lang w:val="en-US"/>
        </w:rPr>
        <w:t xml:space="preserve"> </w:t>
      </w:r>
      <w:r w:rsidR="00256379">
        <w:rPr>
          <w:lang w:val="en-US"/>
        </w:rPr>
        <w:t>(</w:t>
      </w:r>
      <w:r w:rsidR="008C6F31" w:rsidRPr="00B61425">
        <w:rPr>
          <w:lang w:val="en-US"/>
        </w:rPr>
        <w:t>4.14 – 11.74</w:t>
      </w:r>
      <w:r w:rsidR="00256379">
        <w:rPr>
          <w:lang w:val="en-US"/>
        </w:rPr>
        <w:t>);</w:t>
      </w:r>
      <w:r w:rsidR="008C6F31" w:rsidRPr="00B61425">
        <w:rPr>
          <w:lang w:val="en-US"/>
        </w:rPr>
        <w:t xml:space="preserve"> p&lt;0.001)</w:t>
      </w:r>
      <w:r w:rsidR="00D168A4" w:rsidRPr="00B61425">
        <w:rPr>
          <w:lang w:val="en-US"/>
        </w:rPr>
        <w:t>,</w:t>
      </w:r>
      <w:r w:rsidR="00256379">
        <w:rPr>
          <w:lang w:val="en-US"/>
        </w:rPr>
        <w:t xml:space="preserve"> eczema [</w:t>
      </w:r>
      <w:proofErr w:type="spellStart"/>
      <w:r w:rsidR="008C6F31" w:rsidRPr="00B61425">
        <w:rPr>
          <w:lang w:val="en-US"/>
        </w:rPr>
        <w:t>aOR</w:t>
      </w:r>
      <w:proofErr w:type="spellEnd"/>
      <w:r w:rsidR="008C6F31" w:rsidRPr="00B61425">
        <w:rPr>
          <w:lang w:val="en-US"/>
        </w:rPr>
        <w:t xml:space="preserve"> 5.50</w:t>
      </w:r>
      <w:r w:rsidR="00256379">
        <w:rPr>
          <w:lang w:val="en-US"/>
        </w:rPr>
        <w:t xml:space="preserve"> (</w:t>
      </w:r>
      <w:r w:rsidR="008C6F31" w:rsidRPr="00B61425">
        <w:rPr>
          <w:lang w:val="en-US"/>
        </w:rPr>
        <w:t>3.50-8.66</w:t>
      </w:r>
      <w:r w:rsidR="00256379">
        <w:rPr>
          <w:lang w:val="en-US"/>
        </w:rPr>
        <w:t>);</w:t>
      </w:r>
      <w:r w:rsidR="008C6F31" w:rsidRPr="00B61425">
        <w:rPr>
          <w:lang w:val="en-US"/>
        </w:rPr>
        <w:t xml:space="preserve"> p</w:t>
      </w:r>
      <w:r w:rsidR="009318D5" w:rsidRPr="00B61425">
        <w:rPr>
          <w:lang w:val="en-US"/>
        </w:rPr>
        <w:t>&lt;</w:t>
      </w:r>
      <w:r w:rsidR="00256379">
        <w:rPr>
          <w:lang w:val="en-US"/>
        </w:rPr>
        <w:t>0.001] and asthma [</w:t>
      </w:r>
      <w:proofErr w:type="spellStart"/>
      <w:r w:rsidR="008C6F31" w:rsidRPr="00B61425">
        <w:rPr>
          <w:lang w:val="en-US"/>
        </w:rPr>
        <w:t>aOR</w:t>
      </w:r>
      <w:proofErr w:type="spellEnd"/>
      <w:r w:rsidR="008C6F31" w:rsidRPr="00B61425">
        <w:rPr>
          <w:lang w:val="en-US"/>
        </w:rPr>
        <w:t xml:space="preserve"> 2.99</w:t>
      </w:r>
      <w:r w:rsidR="00256379">
        <w:rPr>
          <w:lang w:val="en-US"/>
        </w:rPr>
        <w:t xml:space="preserve"> (</w:t>
      </w:r>
      <w:r w:rsidR="008C6F31" w:rsidRPr="00B61425">
        <w:rPr>
          <w:lang w:val="en-US"/>
        </w:rPr>
        <w:t>2.12-4.22</w:t>
      </w:r>
      <w:r w:rsidR="00256379">
        <w:rPr>
          <w:lang w:val="en-US"/>
        </w:rPr>
        <w:t>);</w:t>
      </w:r>
      <w:r w:rsidR="008C6F31" w:rsidRPr="00B61425">
        <w:rPr>
          <w:lang w:val="en-US"/>
        </w:rPr>
        <w:t xml:space="preserve"> p&lt;0.001</w:t>
      </w:r>
      <w:r w:rsidR="00256379">
        <w:rPr>
          <w:lang w:val="en-US"/>
        </w:rPr>
        <w:t>]</w:t>
      </w:r>
      <w:r w:rsidR="008C6F31" w:rsidRPr="00B61425">
        <w:rPr>
          <w:lang w:val="en-US"/>
        </w:rPr>
        <w:t xml:space="preserve"> than being born in Asia</w:t>
      </w:r>
      <w:r w:rsidR="00230C2E" w:rsidRPr="00230C2E">
        <w:rPr>
          <w:noProof/>
          <w:vertAlign w:val="superscript"/>
          <w:lang w:val="en-US"/>
        </w:rPr>
        <w:t>10</w:t>
      </w:r>
      <w:r w:rsidR="008C6F31" w:rsidRPr="00B61425">
        <w:rPr>
          <w:lang w:val="en-US"/>
        </w:rPr>
        <w:t xml:space="preserve">. </w:t>
      </w:r>
      <w:r w:rsidR="00256379">
        <w:rPr>
          <w:lang w:val="en-US"/>
        </w:rPr>
        <w:t xml:space="preserve"> </w:t>
      </w:r>
    </w:p>
    <w:p w14:paraId="6D9F8B5F" w14:textId="6DB5E5BA" w:rsidR="00823303" w:rsidRPr="00C61764" w:rsidRDefault="008C6F31" w:rsidP="009D43D6">
      <w:pPr>
        <w:spacing w:line="480" w:lineRule="auto"/>
        <w:ind w:firstLine="360"/>
        <w:jc w:val="both"/>
        <w:rPr>
          <w:lang w:val="en-US"/>
        </w:rPr>
      </w:pPr>
      <w:r>
        <w:rPr>
          <w:lang w:val="en-US"/>
        </w:rPr>
        <w:lastRenderedPageBreak/>
        <w:t xml:space="preserve">The ethnic differences appear to extend to other allergic disorders as well. At age 6 years, children of Asian descent </w:t>
      </w:r>
      <w:r w:rsidR="002E73EB">
        <w:rPr>
          <w:lang w:val="en-US"/>
        </w:rPr>
        <w:t xml:space="preserve">living in Australia </w:t>
      </w:r>
      <w:r>
        <w:rPr>
          <w:lang w:val="en-US"/>
        </w:rPr>
        <w:t>had a higher prevalence of allergic rhinitis and aeroallergen sensitization co</w:t>
      </w:r>
      <w:r w:rsidR="00BF3197">
        <w:rPr>
          <w:lang w:val="en-US"/>
        </w:rPr>
        <w:t>mpared with Caucasian children.</w:t>
      </w:r>
      <w:r w:rsidR="00230C2E" w:rsidRPr="00230C2E">
        <w:rPr>
          <w:noProof/>
          <w:vertAlign w:val="superscript"/>
          <w:lang w:val="en-US"/>
        </w:rPr>
        <w:t>11</w:t>
      </w:r>
      <w:r w:rsidR="00BF3197">
        <w:rPr>
          <w:lang w:val="en-US"/>
        </w:rPr>
        <w:t xml:space="preserve"> </w:t>
      </w:r>
      <w:r w:rsidR="009D0304">
        <w:rPr>
          <w:szCs w:val="24"/>
        </w:rPr>
        <w:t xml:space="preserve">These observations suggest that both genetic and </w:t>
      </w:r>
      <w:r w:rsidR="00E3442C">
        <w:rPr>
          <w:szCs w:val="24"/>
        </w:rPr>
        <w:t xml:space="preserve">early life </w:t>
      </w:r>
      <w:r w:rsidR="009D0304">
        <w:rPr>
          <w:szCs w:val="24"/>
        </w:rPr>
        <w:t>environmental factors play a vital role in driving the development of allergies</w:t>
      </w:r>
      <w:r w:rsidR="00B85F75">
        <w:rPr>
          <w:szCs w:val="24"/>
        </w:rPr>
        <w:t xml:space="preserve"> in individuals of Asian ancestry</w:t>
      </w:r>
      <w:r w:rsidR="00EB4779">
        <w:rPr>
          <w:szCs w:val="24"/>
        </w:rPr>
        <w:t xml:space="preserve">. </w:t>
      </w:r>
      <w:r w:rsidR="001F783F">
        <w:rPr>
          <w:szCs w:val="24"/>
        </w:rPr>
        <w:t xml:space="preserve">However, </w:t>
      </w:r>
      <w:r w:rsidR="0040687F">
        <w:rPr>
          <w:szCs w:val="24"/>
        </w:rPr>
        <w:t>no</w:t>
      </w:r>
      <w:r w:rsidR="001F783F">
        <w:rPr>
          <w:szCs w:val="24"/>
        </w:rPr>
        <w:t xml:space="preserve"> direct comparison of </w:t>
      </w:r>
      <w:r w:rsidR="00A83E01">
        <w:rPr>
          <w:szCs w:val="24"/>
        </w:rPr>
        <w:t>the prevalence and</w:t>
      </w:r>
      <w:r w:rsidR="001F783F">
        <w:rPr>
          <w:szCs w:val="24"/>
        </w:rPr>
        <w:t xml:space="preserve"> risk factors for food allergy between Asians living in diffe</w:t>
      </w:r>
      <w:r w:rsidR="0040687F">
        <w:rPr>
          <w:szCs w:val="24"/>
        </w:rPr>
        <w:t xml:space="preserve">rent geographical locations </w:t>
      </w:r>
      <w:r w:rsidR="002E73EB">
        <w:rPr>
          <w:szCs w:val="24"/>
        </w:rPr>
        <w:t xml:space="preserve">has </w:t>
      </w:r>
      <w:r w:rsidR="00B61425">
        <w:rPr>
          <w:szCs w:val="24"/>
        </w:rPr>
        <w:t>been performed before.</w:t>
      </w:r>
    </w:p>
    <w:p w14:paraId="77BD0AD4" w14:textId="21D586F4" w:rsidR="002C2F77" w:rsidRPr="003043DC" w:rsidRDefault="008E07E6" w:rsidP="003043DC">
      <w:pPr>
        <w:spacing w:line="480" w:lineRule="auto"/>
        <w:jc w:val="both"/>
      </w:pPr>
      <w:r>
        <w:tab/>
        <w:t xml:space="preserve">Using data from the GUSTO </w:t>
      </w:r>
      <w:r w:rsidR="002E73EB">
        <w:t xml:space="preserve">cohort in Singapore </w:t>
      </w:r>
      <w:r>
        <w:t xml:space="preserve">and </w:t>
      </w:r>
      <w:r w:rsidR="002E73EB">
        <w:t xml:space="preserve">the </w:t>
      </w:r>
      <w:proofErr w:type="spellStart"/>
      <w:r w:rsidR="009D43D6">
        <w:t>Heal</w:t>
      </w:r>
      <w:r w:rsidR="00BA2773">
        <w:t>thNuts</w:t>
      </w:r>
      <w:proofErr w:type="spellEnd"/>
      <w:r w:rsidR="00BA2773">
        <w:t xml:space="preserve"> cohort</w:t>
      </w:r>
      <w:r w:rsidR="002E73EB">
        <w:t xml:space="preserve"> in Australia</w:t>
      </w:r>
      <w:r w:rsidR="00BA2773">
        <w:t xml:space="preserve">, we compared the prevalence </w:t>
      </w:r>
      <w:r w:rsidR="002E73EB">
        <w:t xml:space="preserve">of food allergy and </w:t>
      </w:r>
      <w:r w:rsidR="004C1B58">
        <w:t xml:space="preserve">evaluated </w:t>
      </w:r>
      <w:r w:rsidR="002E73EB">
        <w:t>risk factors</w:t>
      </w:r>
      <w:r w:rsidR="003D4354">
        <w:t xml:space="preserve"> such as eczema, environmental </w:t>
      </w:r>
      <w:proofErr w:type="gramStart"/>
      <w:r w:rsidR="003D4354">
        <w:t>exposures</w:t>
      </w:r>
      <w:proofErr w:type="gramEnd"/>
      <w:r w:rsidR="003D4354">
        <w:t xml:space="preserve"> and dietary factors</w:t>
      </w:r>
      <w:r w:rsidR="002E73EB">
        <w:t xml:space="preserve"> </w:t>
      </w:r>
      <w:r w:rsidR="009B2924">
        <w:t xml:space="preserve">in modulating food allergy risk </w:t>
      </w:r>
      <w:r w:rsidR="006A112E">
        <w:t xml:space="preserve">in </w:t>
      </w:r>
      <w:r w:rsidR="00BA2773">
        <w:t>Asian children living in Singapore and Australia</w:t>
      </w:r>
      <w:r w:rsidR="003D4354">
        <w:t xml:space="preserve">. </w:t>
      </w:r>
      <w:r w:rsidR="002C2F77">
        <w:rPr>
          <w:b/>
        </w:rPr>
        <w:br w:type="page"/>
      </w:r>
    </w:p>
    <w:p w14:paraId="7D4AD32C" w14:textId="2BAF1B74" w:rsidR="00C416F0" w:rsidRPr="00627F02" w:rsidRDefault="00C416F0" w:rsidP="00790553">
      <w:pPr>
        <w:pStyle w:val="heading1nonumber"/>
      </w:pPr>
      <w:r w:rsidRPr="00790553">
        <w:lastRenderedPageBreak/>
        <w:t>Methods</w:t>
      </w:r>
    </w:p>
    <w:p w14:paraId="3A9437D8" w14:textId="0695C680" w:rsidR="00627F02" w:rsidRPr="00627F02" w:rsidRDefault="006A0EDD" w:rsidP="00790553">
      <w:pPr>
        <w:pStyle w:val="Heading2"/>
      </w:pPr>
      <w:r>
        <w:t xml:space="preserve">Singapore </w:t>
      </w:r>
      <w:r w:rsidR="00627F02" w:rsidRPr="00627F02">
        <w:t>GUSTO cohort</w:t>
      </w:r>
    </w:p>
    <w:p w14:paraId="53B99027" w14:textId="3647E611" w:rsidR="00DA4DEB" w:rsidRPr="00DA4DEB" w:rsidRDefault="00627F02" w:rsidP="00DA4DEB">
      <w:pPr>
        <w:spacing w:line="480" w:lineRule="auto"/>
        <w:ind w:firstLine="720"/>
        <w:jc w:val="both"/>
        <w:rPr>
          <w:szCs w:val="24"/>
        </w:rPr>
      </w:pPr>
      <w:r>
        <w:rPr>
          <w:szCs w:val="24"/>
        </w:rPr>
        <w:t xml:space="preserve">The GUSTO cohort is a </w:t>
      </w:r>
      <w:proofErr w:type="gramStart"/>
      <w:r>
        <w:rPr>
          <w:szCs w:val="24"/>
        </w:rPr>
        <w:t>population based</w:t>
      </w:r>
      <w:proofErr w:type="gramEnd"/>
      <w:r>
        <w:rPr>
          <w:szCs w:val="24"/>
        </w:rPr>
        <w:t xml:space="preserve"> birth cohort study in Singapore comprising extensive longitudinal assessments of mother-infant </w:t>
      </w:r>
      <w:r w:rsidR="009817FB">
        <w:rPr>
          <w:szCs w:val="24"/>
        </w:rPr>
        <w:t>dyads</w:t>
      </w:r>
      <w:r>
        <w:rPr>
          <w:szCs w:val="24"/>
        </w:rPr>
        <w:t xml:space="preserve"> from pregnancy and through childhood. The GUSTO study methodology has been</w:t>
      </w:r>
      <w:r w:rsidR="00FD19B4">
        <w:rPr>
          <w:szCs w:val="24"/>
        </w:rPr>
        <w:t xml:space="preserve"> previously described in </w:t>
      </w:r>
      <w:r w:rsidR="00485ED7">
        <w:rPr>
          <w:szCs w:val="24"/>
        </w:rPr>
        <w:t>detail.</w:t>
      </w:r>
      <w:r w:rsidR="00230C2E" w:rsidRPr="00230C2E">
        <w:rPr>
          <w:noProof/>
          <w:szCs w:val="24"/>
          <w:vertAlign w:val="superscript"/>
        </w:rPr>
        <w:t>12</w:t>
      </w:r>
      <w:r>
        <w:rPr>
          <w:szCs w:val="24"/>
        </w:rPr>
        <w:t xml:space="preserve"> </w:t>
      </w:r>
      <w:r w:rsidR="00124C34">
        <w:rPr>
          <w:szCs w:val="24"/>
        </w:rPr>
        <w:t>Briefly, a</w:t>
      </w:r>
      <w:r w:rsidR="00134194">
        <w:rPr>
          <w:szCs w:val="24"/>
        </w:rPr>
        <w:t xml:space="preserve"> total of</w:t>
      </w:r>
      <w:r>
        <w:rPr>
          <w:szCs w:val="24"/>
        </w:rPr>
        <w:t xml:space="preserve"> 1247 women of Chinese, Malay and Indian ethnicity who were in their first trimester of pregnancy from the two major public obstetric hospitals in Singapore – the National University Hospital (NUH) and the KK Women’s and Children’s Hospital (KKH) </w:t>
      </w:r>
      <w:r w:rsidR="002E73EB">
        <w:rPr>
          <w:szCs w:val="24"/>
        </w:rPr>
        <w:t>–</w:t>
      </w:r>
      <w:r>
        <w:rPr>
          <w:szCs w:val="24"/>
        </w:rPr>
        <w:t xml:space="preserve"> </w:t>
      </w:r>
      <w:r w:rsidR="002E73EB">
        <w:rPr>
          <w:szCs w:val="24"/>
        </w:rPr>
        <w:t xml:space="preserve">were included </w:t>
      </w:r>
      <w:r>
        <w:rPr>
          <w:szCs w:val="24"/>
        </w:rPr>
        <w:t>betwee</w:t>
      </w:r>
      <w:r w:rsidR="00134194">
        <w:rPr>
          <w:szCs w:val="24"/>
        </w:rPr>
        <w:t xml:space="preserve">n June 2009 and September 2010. </w:t>
      </w:r>
    </w:p>
    <w:p w14:paraId="632F32DB" w14:textId="113D112E" w:rsidR="00627F02" w:rsidRDefault="00DA4DEB" w:rsidP="00DA4DEB">
      <w:pPr>
        <w:spacing w:line="480" w:lineRule="auto"/>
        <w:ind w:firstLine="720"/>
        <w:jc w:val="both"/>
        <w:rPr>
          <w:szCs w:val="24"/>
        </w:rPr>
      </w:pPr>
      <w:r w:rsidRPr="00DA4DEB">
        <w:rPr>
          <w:szCs w:val="24"/>
        </w:rPr>
        <w:t>Ethics approval was obtained from the Domain Specific Review Board of Singapore National</w:t>
      </w:r>
      <w:r>
        <w:rPr>
          <w:szCs w:val="24"/>
        </w:rPr>
        <w:t xml:space="preserve"> </w:t>
      </w:r>
      <w:r w:rsidRPr="00DA4DEB">
        <w:rPr>
          <w:szCs w:val="24"/>
        </w:rPr>
        <w:t xml:space="preserve">Healthcare Group and the Centralised Institutional Review Board of </w:t>
      </w:r>
      <w:proofErr w:type="spellStart"/>
      <w:r w:rsidRPr="00DA4DEB">
        <w:rPr>
          <w:szCs w:val="24"/>
        </w:rPr>
        <w:t>SingHealth</w:t>
      </w:r>
      <w:proofErr w:type="spellEnd"/>
      <w:r w:rsidRPr="00DA4DEB">
        <w:rPr>
          <w:szCs w:val="24"/>
        </w:rPr>
        <w:t>.</w:t>
      </w:r>
      <w:r>
        <w:rPr>
          <w:szCs w:val="24"/>
        </w:rPr>
        <w:t xml:space="preserve"> Written </w:t>
      </w:r>
      <w:r w:rsidR="00EC5A6E">
        <w:rPr>
          <w:szCs w:val="24"/>
        </w:rPr>
        <w:t>informed consent was taken from all participants</w:t>
      </w:r>
      <w:r w:rsidR="00627F02">
        <w:rPr>
          <w:szCs w:val="24"/>
        </w:rPr>
        <w:t xml:space="preserve">. </w:t>
      </w:r>
    </w:p>
    <w:p w14:paraId="24BEF026" w14:textId="36AF8502" w:rsidR="00C416F0" w:rsidRPr="003043DC" w:rsidRDefault="00C6353B" w:rsidP="003043DC">
      <w:pPr>
        <w:spacing w:line="480" w:lineRule="auto"/>
        <w:ind w:firstLine="576"/>
        <w:jc w:val="both"/>
        <w:rPr>
          <w:szCs w:val="24"/>
        </w:rPr>
      </w:pPr>
      <w:r>
        <w:rPr>
          <w:szCs w:val="24"/>
        </w:rPr>
        <w:t>Parental demographic data inclusive of age, ethnicity, education level and socio-economic status as well as family history of atopy (self-reported diagnosis of asthma, allergic rhinitis</w:t>
      </w:r>
      <w:r w:rsidR="002C6095">
        <w:rPr>
          <w:szCs w:val="24"/>
        </w:rPr>
        <w:t xml:space="preserve"> </w:t>
      </w:r>
      <w:r>
        <w:rPr>
          <w:szCs w:val="24"/>
        </w:rPr>
        <w:t xml:space="preserve">or eczema in the mother, </w:t>
      </w:r>
      <w:proofErr w:type="gramStart"/>
      <w:r>
        <w:rPr>
          <w:szCs w:val="24"/>
        </w:rPr>
        <w:t>father</w:t>
      </w:r>
      <w:proofErr w:type="gramEnd"/>
      <w:r>
        <w:rPr>
          <w:szCs w:val="24"/>
        </w:rPr>
        <w:t xml:space="preserve"> or sibling) were captured using interviewer-administered questionnaires. Maternal dietary intake during pregnancy w</w:t>
      </w:r>
      <w:r w:rsidR="003B45F4">
        <w:rPr>
          <w:szCs w:val="24"/>
        </w:rPr>
        <w:t>as captured using food diaries</w:t>
      </w:r>
      <w:r w:rsidR="00186581">
        <w:rPr>
          <w:szCs w:val="24"/>
        </w:rPr>
        <w:t xml:space="preserve"> administered in the third trimester</w:t>
      </w:r>
      <w:r w:rsidR="003B45F4">
        <w:rPr>
          <w:szCs w:val="24"/>
        </w:rPr>
        <w:t xml:space="preserve">. </w:t>
      </w:r>
      <w:r>
        <w:rPr>
          <w:szCs w:val="24"/>
        </w:rPr>
        <w:t xml:space="preserve">Information on birth and delivery, child health, pet ownership, childcare attendance, feeding practices in early life and </w:t>
      </w:r>
      <w:r w:rsidR="003B45F4">
        <w:rPr>
          <w:szCs w:val="24"/>
        </w:rPr>
        <w:t>allergic outcomes</w:t>
      </w:r>
      <w:r>
        <w:rPr>
          <w:szCs w:val="24"/>
        </w:rPr>
        <w:t xml:space="preserve"> were obtained from interviewer-administered questionnaires, including </w:t>
      </w:r>
      <w:r w:rsidRPr="002D3A5B">
        <w:rPr>
          <w:szCs w:val="24"/>
        </w:rPr>
        <w:t>the modified ISAAC questionnaire</w:t>
      </w:r>
      <w:r w:rsidR="00230C2E" w:rsidRPr="00230C2E">
        <w:rPr>
          <w:noProof/>
          <w:szCs w:val="24"/>
          <w:vertAlign w:val="superscript"/>
        </w:rPr>
        <w:t>13-15</w:t>
      </w:r>
      <w:r w:rsidR="000E3E79">
        <w:rPr>
          <w:szCs w:val="24"/>
        </w:rPr>
        <w:t xml:space="preserve"> </w:t>
      </w:r>
      <w:r w:rsidR="00245E02">
        <w:rPr>
          <w:szCs w:val="24"/>
        </w:rPr>
        <w:t xml:space="preserve">at </w:t>
      </w:r>
      <w:r w:rsidR="00BD01C9">
        <w:rPr>
          <w:szCs w:val="24"/>
        </w:rPr>
        <w:t xml:space="preserve">3-monthly </w:t>
      </w:r>
      <w:r w:rsidR="00245E02">
        <w:rPr>
          <w:szCs w:val="24"/>
        </w:rPr>
        <w:t xml:space="preserve">time-points from birth </w:t>
      </w:r>
      <w:r w:rsidR="00AB2BF0">
        <w:rPr>
          <w:szCs w:val="24"/>
        </w:rPr>
        <w:t>un</w:t>
      </w:r>
      <w:r w:rsidR="00BD01C9">
        <w:rPr>
          <w:szCs w:val="24"/>
        </w:rPr>
        <w:t xml:space="preserve">til 18 months of age and </w:t>
      </w:r>
      <w:r w:rsidR="00C75915">
        <w:rPr>
          <w:szCs w:val="24"/>
        </w:rPr>
        <w:t>6-</w:t>
      </w:r>
      <w:r w:rsidR="00BD01C9">
        <w:rPr>
          <w:szCs w:val="24"/>
        </w:rPr>
        <w:t>monthly thereafter</w:t>
      </w:r>
      <w:r w:rsidR="00BD01C9" w:rsidRPr="00E96EF2">
        <w:rPr>
          <w:szCs w:val="24"/>
        </w:rPr>
        <w:t xml:space="preserve">. </w:t>
      </w:r>
      <w:r w:rsidR="00EB72FE" w:rsidRPr="009D4DED">
        <w:rPr>
          <w:szCs w:val="24"/>
        </w:rPr>
        <w:t xml:space="preserve">Skin prick tests (SPT) were </w:t>
      </w:r>
      <w:r w:rsidR="002B4C87" w:rsidRPr="009D4DED">
        <w:rPr>
          <w:szCs w:val="24"/>
        </w:rPr>
        <w:t xml:space="preserve">offered to all </w:t>
      </w:r>
      <w:r w:rsidR="0041414F">
        <w:rPr>
          <w:szCs w:val="24"/>
        </w:rPr>
        <w:t>children</w:t>
      </w:r>
      <w:r w:rsidR="002B4C87" w:rsidRPr="009D4DED">
        <w:rPr>
          <w:szCs w:val="24"/>
        </w:rPr>
        <w:t xml:space="preserve"> at </w:t>
      </w:r>
      <w:r w:rsidR="00E96EF2" w:rsidRPr="009D4DED">
        <w:rPr>
          <w:szCs w:val="24"/>
        </w:rPr>
        <w:t xml:space="preserve">age 18, 36 and 60 months, while food </w:t>
      </w:r>
      <w:r w:rsidR="00A83E01" w:rsidRPr="009D4DED">
        <w:rPr>
          <w:szCs w:val="24"/>
        </w:rPr>
        <w:t xml:space="preserve">reaction </w:t>
      </w:r>
      <w:r w:rsidR="00E96EF2" w:rsidRPr="009D4DED">
        <w:rPr>
          <w:szCs w:val="24"/>
        </w:rPr>
        <w:t>data was obtained via questionnaires at ages 6, 12, 18, 36, 48 and 60 months.</w:t>
      </w:r>
    </w:p>
    <w:p w14:paraId="108212EE" w14:textId="018C750C" w:rsidR="006F7EB0" w:rsidRDefault="006A0EDD" w:rsidP="00790553">
      <w:pPr>
        <w:pStyle w:val="Heading2"/>
      </w:pPr>
      <w:r>
        <w:lastRenderedPageBreak/>
        <w:t xml:space="preserve">Australia </w:t>
      </w:r>
      <w:proofErr w:type="spellStart"/>
      <w:r w:rsidR="006F7EB0" w:rsidRPr="007A1B24">
        <w:t>HealthNuts</w:t>
      </w:r>
      <w:proofErr w:type="spellEnd"/>
      <w:r w:rsidR="006F7EB0" w:rsidRPr="007A1B24">
        <w:t xml:space="preserve"> cohort</w:t>
      </w:r>
      <w:r w:rsidR="00BE7EA5">
        <w:t xml:space="preserve"> </w:t>
      </w:r>
    </w:p>
    <w:p w14:paraId="0DD7FFD8" w14:textId="667FF264" w:rsidR="00C36C86" w:rsidRPr="00C36C86" w:rsidRDefault="002C2F77" w:rsidP="002C2F77">
      <w:pPr>
        <w:spacing w:line="480" w:lineRule="auto"/>
        <w:ind w:firstLine="720"/>
        <w:jc w:val="both"/>
      </w:pPr>
      <w:r>
        <w:t xml:space="preserve">The </w:t>
      </w:r>
      <w:proofErr w:type="spellStart"/>
      <w:r>
        <w:t>HealthNuts</w:t>
      </w:r>
      <w:proofErr w:type="spellEnd"/>
      <w:r>
        <w:t xml:space="preserve"> study is a</w:t>
      </w:r>
      <w:r w:rsidR="00C36C86" w:rsidRPr="00C36C86">
        <w:t xml:space="preserve"> </w:t>
      </w:r>
      <w:r>
        <w:t xml:space="preserve">population-based longitudinal study of food allergy </w:t>
      </w:r>
      <w:r w:rsidR="002E73EB">
        <w:t xml:space="preserve">that recruited </w:t>
      </w:r>
      <w:proofErr w:type="gramStart"/>
      <w:r w:rsidRPr="00C36C86">
        <w:t>11-15 month</w:t>
      </w:r>
      <w:r>
        <w:t xml:space="preserve"> old</w:t>
      </w:r>
      <w:proofErr w:type="gramEnd"/>
      <w:r>
        <w:t xml:space="preserve"> </w:t>
      </w:r>
      <w:r w:rsidR="0041414F">
        <w:t>children</w:t>
      </w:r>
      <w:r>
        <w:t xml:space="preserve"> </w:t>
      </w:r>
      <w:r w:rsidRPr="00C36C86">
        <w:t>(mean age 12.7 months)</w:t>
      </w:r>
      <w:r>
        <w:t xml:space="preserve"> recruited </w:t>
      </w:r>
      <w:r w:rsidR="00C36C86" w:rsidRPr="00C36C86">
        <w:t>at community immun</w:t>
      </w:r>
      <w:r>
        <w:t xml:space="preserve">isation centres </w:t>
      </w:r>
      <w:r w:rsidR="0003643B">
        <w:t xml:space="preserve">in Melbourne, Australia </w:t>
      </w:r>
      <w:r>
        <w:t>(N=5,276)</w:t>
      </w:r>
      <w:r w:rsidR="00C36C86" w:rsidRPr="00C36C86">
        <w:t xml:space="preserve">. </w:t>
      </w:r>
      <w:r w:rsidR="002E73EB">
        <w:t xml:space="preserve">The </w:t>
      </w:r>
      <w:proofErr w:type="spellStart"/>
      <w:r w:rsidR="002E73EB">
        <w:t>HealthNuts</w:t>
      </w:r>
      <w:proofErr w:type="spellEnd"/>
      <w:r w:rsidR="002E73EB">
        <w:t xml:space="preserve"> study methodology has previous</w:t>
      </w:r>
      <w:r w:rsidR="006712FF">
        <w:t>ly</w:t>
      </w:r>
      <w:r w:rsidR="002E73EB">
        <w:t xml:space="preserve"> been described in detail </w:t>
      </w:r>
      <w:r w:rsidR="00230C2E" w:rsidRPr="00230C2E">
        <w:rPr>
          <w:noProof/>
          <w:vertAlign w:val="superscript"/>
        </w:rPr>
        <w:t>16</w:t>
      </w:r>
      <w:r w:rsidR="002E73EB">
        <w:t xml:space="preserve">. </w:t>
      </w:r>
      <w:r w:rsidR="006712FF">
        <w:t>In summary</w:t>
      </w:r>
      <w:r w:rsidR="006A0EDD">
        <w:t xml:space="preserve">, </w:t>
      </w:r>
      <w:r w:rsidR="002218EA">
        <w:t>all children</w:t>
      </w:r>
      <w:r w:rsidR="00C36C86" w:rsidRPr="00C36C86">
        <w:t xml:space="preserve"> underwent skin prick testing to four common allergens (egg, </w:t>
      </w:r>
      <w:r w:rsidR="006712FF">
        <w:t>peanut, sesame and</w:t>
      </w:r>
      <w:r w:rsidR="00C36C86" w:rsidRPr="00C36C86">
        <w:t xml:space="preserve"> </w:t>
      </w:r>
      <w:r w:rsidR="006712FF">
        <w:t xml:space="preserve">either shrimp or </w:t>
      </w:r>
      <w:r w:rsidR="00C36C86" w:rsidRPr="00C36C86">
        <w:t xml:space="preserve">cow’s milk) at the immunisation centres. </w:t>
      </w:r>
      <w:r w:rsidR="002218EA">
        <w:t>Children</w:t>
      </w:r>
      <w:r w:rsidR="00C36C86" w:rsidRPr="00C36C86">
        <w:t xml:space="preserve"> with a detectable wheal size ≥ 1 mm to any of the foods were invited to the </w:t>
      </w:r>
      <w:proofErr w:type="spellStart"/>
      <w:r w:rsidR="00C36C86" w:rsidRPr="00C36C86">
        <w:t>HealthNuts</w:t>
      </w:r>
      <w:proofErr w:type="spellEnd"/>
      <w:r w:rsidR="00C36C86" w:rsidRPr="00C36C86">
        <w:t xml:space="preserve"> clinic at the Royal Children’s Hospital, Melbourne for an oral food challenge (OFC) to ascertain their food allergy status</w:t>
      </w:r>
      <w:r w:rsidR="009042A2">
        <w:t xml:space="preserve"> (</w:t>
      </w:r>
      <w:r w:rsidR="009042A2" w:rsidRPr="00F7038F">
        <w:t>generally between 14-18 months of age</w:t>
      </w:r>
      <w:r w:rsidR="009042A2">
        <w:t>)</w:t>
      </w:r>
      <w:r w:rsidR="00C36C86" w:rsidRPr="00C36C86">
        <w:t xml:space="preserve">. During the clinic visit, </w:t>
      </w:r>
      <w:r w:rsidR="002218EA">
        <w:t>children</w:t>
      </w:r>
      <w:r w:rsidR="00C36C86" w:rsidRPr="00C36C86">
        <w:t xml:space="preserve"> underwent repeat </w:t>
      </w:r>
      <w:r w:rsidR="006712FF">
        <w:t>SPT and a blood test</w:t>
      </w:r>
      <w:r w:rsidR="00C36C86" w:rsidRPr="00C36C86">
        <w:t xml:space="preserve"> to determine their food specific </w:t>
      </w:r>
      <w:proofErr w:type="spellStart"/>
      <w:r w:rsidR="00C36C86" w:rsidRPr="00C36C86">
        <w:t>IgE</w:t>
      </w:r>
      <w:proofErr w:type="spellEnd"/>
      <w:r w:rsidR="00C36C86" w:rsidRPr="00C36C86">
        <w:t xml:space="preserve"> level</w:t>
      </w:r>
      <w:r w:rsidR="006712FF">
        <w:t>s</w:t>
      </w:r>
      <w:r w:rsidR="002218EA">
        <w:t>. The children’s</w:t>
      </w:r>
      <w:r w:rsidR="00C36C86" w:rsidRPr="00C36C86">
        <w:t xml:space="preserve"> mean age at the first clinic visit was 13.9 ± 1.3 months</w:t>
      </w:r>
      <w:r w:rsidR="00975A7D">
        <w:t xml:space="preserve"> (standard deviation)</w:t>
      </w:r>
      <w:r w:rsidR="00C36C86" w:rsidRPr="00C36C86">
        <w:t xml:space="preserve">.  </w:t>
      </w:r>
      <w:r w:rsidR="00C36C86" w:rsidRPr="00A449F4">
        <w:t xml:space="preserve">OFCs were carried out using a pre-determined protocol described </w:t>
      </w:r>
      <w:r w:rsidR="007D4705" w:rsidRPr="00A449F4">
        <w:t>previously</w:t>
      </w:r>
      <w:r w:rsidR="003E4195">
        <w:t>.</w:t>
      </w:r>
      <w:r w:rsidR="00A449F4" w:rsidRPr="00A449F4">
        <w:t xml:space="preserve"> </w:t>
      </w:r>
      <w:r w:rsidR="00FD1CFA" w:rsidRPr="00FD1CFA">
        <w:rPr>
          <w:noProof/>
          <w:vertAlign w:val="superscript"/>
        </w:rPr>
        <w:t>17,18</w:t>
      </w:r>
      <w:r w:rsidR="00C36C86" w:rsidRPr="00C36C86">
        <w:t xml:space="preserve"> The following objective criteria were used to define a positive OFC: three or more concurrent, non-contact urticaria persisting for at least 5 minutes, perioral or periorbital angioedema, vomiting or evidence of circulatory or respiratory compromise, occurring within 2 hours of ingestion of a dose during food challenge. The food challenge was deemed negative if the </w:t>
      </w:r>
      <w:r w:rsidR="002218EA">
        <w:t>child</w:t>
      </w:r>
      <w:r w:rsidR="00C36C86" w:rsidRPr="00C36C86">
        <w:t xml:space="preserve"> was able to complete the challenge with no reaction</w:t>
      </w:r>
      <w:r w:rsidR="00413592">
        <w:t>.</w:t>
      </w:r>
      <w:r w:rsidR="00230C2E" w:rsidRPr="00230C2E">
        <w:rPr>
          <w:noProof/>
          <w:vertAlign w:val="superscript"/>
        </w:rPr>
        <w:t>18</w:t>
      </w:r>
    </w:p>
    <w:p w14:paraId="327EC069" w14:textId="77777777" w:rsidR="00C36C86" w:rsidRPr="00C36C86" w:rsidRDefault="00C36C86" w:rsidP="002C2F77">
      <w:pPr>
        <w:spacing w:line="480" w:lineRule="auto"/>
        <w:ind w:firstLine="720"/>
        <w:jc w:val="both"/>
      </w:pPr>
      <w:r w:rsidRPr="00C36C86">
        <w:rPr>
          <w:lang w:val="en-US"/>
        </w:rPr>
        <w:t xml:space="preserve">Ethics approval was obtained from the Human Research Ethics Committee (HREC) of the Victorian State Government Office for Children (reference no. CDF/07/492) and </w:t>
      </w:r>
      <w:r w:rsidRPr="00C36C86">
        <w:t xml:space="preserve">Department of Human Services (reference no. 10/07) as well as the </w:t>
      </w:r>
      <w:r w:rsidRPr="00C36C86">
        <w:rPr>
          <w:lang w:val="en-US"/>
        </w:rPr>
        <w:t xml:space="preserve">Royal Children’s Hospital HREC </w:t>
      </w:r>
      <w:r w:rsidRPr="00C36C86">
        <w:t>(reference no. 27047). Parents gave written consent for child’s participation in the study.</w:t>
      </w:r>
    </w:p>
    <w:p w14:paraId="635FC74F" w14:textId="3DB43967" w:rsidR="006C330A" w:rsidRDefault="00952029" w:rsidP="00790553">
      <w:pPr>
        <w:pStyle w:val="Heading2"/>
      </w:pPr>
      <w:r>
        <w:t>Definitions</w:t>
      </w:r>
    </w:p>
    <w:p w14:paraId="2E1E5F1E" w14:textId="3A4EE4C9" w:rsidR="00952029" w:rsidRDefault="00952029" w:rsidP="006F77B1">
      <w:pPr>
        <w:spacing w:line="480" w:lineRule="auto"/>
        <w:jc w:val="both"/>
        <w:rPr>
          <w:b/>
          <w:i/>
          <w:szCs w:val="24"/>
        </w:rPr>
      </w:pPr>
      <w:r>
        <w:rPr>
          <w:b/>
          <w:i/>
          <w:szCs w:val="24"/>
        </w:rPr>
        <w:t>Ethnicity Definitions</w:t>
      </w:r>
    </w:p>
    <w:p w14:paraId="6D755A64" w14:textId="46F7D443" w:rsidR="00952029" w:rsidRDefault="00952029" w:rsidP="004354A5">
      <w:pPr>
        <w:spacing w:line="480" w:lineRule="auto"/>
        <w:ind w:firstLine="720"/>
        <w:jc w:val="both"/>
        <w:rPr>
          <w:szCs w:val="24"/>
        </w:rPr>
      </w:pPr>
      <w:r w:rsidRPr="00952029">
        <w:rPr>
          <w:b/>
          <w:i/>
          <w:szCs w:val="24"/>
        </w:rPr>
        <w:lastRenderedPageBreak/>
        <w:t>Asians in GUSTO</w:t>
      </w:r>
      <w:r w:rsidRPr="00952029">
        <w:rPr>
          <w:szCs w:val="24"/>
        </w:rPr>
        <w:t xml:space="preserve"> were made up of children born in Singapore whose parents and grandparents were of homogenous Chinese, </w:t>
      </w:r>
      <w:proofErr w:type="gramStart"/>
      <w:r w:rsidRPr="00952029">
        <w:rPr>
          <w:szCs w:val="24"/>
        </w:rPr>
        <w:t>Malay</w:t>
      </w:r>
      <w:proofErr w:type="gramEnd"/>
      <w:r w:rsidRPr="00952029">
        <w:rPr>
          <w:szCs w:val="24"/>
        </w:rPr>
        <w:t xml:space="preserve"> or Indian ethnicity, which are the </w:t>
      </w:r>
      <w:r w:rsidR="00C36C86">
        <w:rPr>
          <w:szCs w:val="24"/>
        </w:rPr>
        <w:t>three</w:t>
      </w:r>
      <w:r w:rsidR="00C36C86" w:rsidRPr="00952029">
        <w:rPr>
          <w:szCs w:val="24"/>
        </w:rPr>
        <w:t xml:space="preserve"> </w:t>
      </w:r>
      <w:r w:rsidRPr="00952029">
        <w:rPr>
          <w:szCs w:val="24"/>
        </w:rPr>
        <w:t>main ethnic groups in Singapore.</w:t>
      </w:r>
    </w:p>
    <w:p w14:paraId="4A19913C" w14:textId="74C57FAF" w:rsidR="00952029" w:rsidRDefault="009706D4" w:rsidP="004354A5">
      <w:pPr>
        <w:spacing w:line="480" w:lineRule="auto"/>
        <w:ind w:firstLine="720"/>
        <w:jc w:val="both"/>
        <w:rPr>
          <w:szCs w:val="24"/>
        </w:rPr>
      </w:pPr>
      <w:r w:rsidRPr="00CD6A89">
        <w:rPr>
          <w:rFonts w:eastAsia="Times New Roman"/>
          <w:b/>
          <w:i/>
          <w:szCs w:val="24"/>
          <w:lang w:eastAsia="en-AU"/>
        </w:rPr>
        <w:t>Asians</w:t>
      </w:r>
      <w:r w:rsidR="00952029">
        <w:rPr>
          <w:rFonts w:eastAsia="Times New Roman"/>
          <w:szCs w:val="24"/>
          <w:lang w:eastAsia="en-AU"/>
        </w:rPr>
        <w:t xml:space="preserve"> </w:t>
      </w:r>
      <w:r w:rsidR="00952029" w:rsidRPr="00F820D8">
        <w:rPr>
          <w:rFonts w:eastAsia="Times New Roman"/>
          <w:b/>
          <w:i/>
          <w:szCs w:val="24"/>
          <w:lang w:eastAsia="en-AU"/>
        </w:rPr>
        <w:t xml:space="preserve">in </w:t>
      </w:r>
      <w:proofErr w:type="spellStart"/>
      <w:r w:rsidR="00952029" w:rsidRPr="00F820D8">
        <w:rPr>
          <w:rFonts w:eastAsia="Times New Roman"/>
          <w:b/>
          <w:i/>
          <w:szCs w:val="24"/>
          <w:lang w:eastAsia="en-AU"/>
        </w:rPr>
        <w:t>HealthNuts</w:t>
      </w:r>
      <w:proofErr w:type="spellEnd"/>
      <w:r w:rsidR="00952029">
        <w:rPr>
          <w:rFonts w:eastAsia="Times New Roman"/>
          <w:szCs w:val="24"/>
          <w:lang w:eastAsia="en-AU"/>
        </w:rPr>
        <w:t xml:space="preserve"> consisted of children born in Australia with</w:t>
      </w:r>
      <w:r w:rsidR="009D4DED">
        <w:rPr>
          <w:rFonts w:eastAsia="Times New Roman"/>
          <w:szCs w:val="24"/>
          <w:lang w:eastAsia="en-AU"/>
        </w:rPr>
        <w:t xml:space="preserve"> both</w:t>
      </w:r>
      <w:r w:rsidR="00952029">
        <w:rPr>
          <w:rFonts w:eastAsia="Times New Roman"/>
          <w:szCs w:val="24"/>
          <w:lang w:eastAsia="en-AU"/>
        </w:rPr>
        <w:t xml:space="preserve"> parents born in </w:t>
      </w:r>
      <w:r w:rsidR="00952029" w:rsidRPr="00E61DE7">
        <w:rPr>
          <w:rFonts w:eastAsia="Times New Roman"/>
          <w:bCs/>
        </w:rPr>
        <w:t xml:space="preserve">North East Asia region </w:t>
      </w:r>
      <w:r w:rsidR="00952029">
        <w:rPr>
          <w:rFonts w:eastAsia="Times New Roman"/>
          <w:bCs/>
        </w:rPr>
        <w:t>(</w:t>
      </w:r>
      <w:r w:rsidR="00952029" w:rsidRPr="00E61DE7">
        <w:rPr>
          <w:rFonts w:eastAsia="Times New Roman"/>
        </w:rPr>
        <w:t>China, Hong Kong, Japan, Taiwan, Macau, North Korea, South Korea</w:t>
      </w:r>
      <w:r w:rsidR="00952029">
        <w:rPr>
          <w:rFonts w:eastAsia="Times New Roman"/>
        </w:rPr>
        <w:t xml:space="preserve">), </w:t>
      </w:r>
      <w:r w:rsidR="00952029" w:rsidRPr="00E61DE7">
        <w:rPr>
          <w:rFonts w:eastAsia="Times New Roman"/>
          <w:bCs/>
        </w:rPr>
        <w:t xml:space="preserve">South East Asia region </w:t>
      </w:r>
      <w:r w:rsidR="00952029">
        <w:rPr>
          <w:rFonts w:eastAsia="Times New Roman"/>
          <w:bCs/>
        </w:rPr>
        <w:t>(</w:t>
      </w:r>
      <w:r w:rsidR="00952029" w:rsidRPr="00E61DE7">
        <w:rPr>
          <w:rFonts w:eastAsia="Times New Roman"/>
        </w:rPr>
        <w:t xml:space="preserve">Vietnam, Philippines, Singapore, Thailand, Indonesia, Malaysia, </w:t>
      </w:r>
      <w:r w:rsidR="00952029">
        <w:rPr>
          <w:rFonts w:eastAsia="Times New Roman"/>
        </w:rPr>
        <w:t xml:space="preserve">Cambodia, Laos) or South Asia region (India and Sri Lanka). </w:t>
      </w:r>
      <w:r w:rsidR="00952029">
        <w:rPr>
          <w:rFonts w:eastAsia="Times New Roman"/>
          <w:szCs w:val="24"/>
          <w:lang w:eastAsia="en-AU"/>
        </w:rPr>
        <w:t xml:space="preserve">These countries were grouped based </w:t>
      </w:r>
      <w:r w:rsidR="00952029" w:rsidRPr="00913BAA">
        <w:rPr>
          <w:szCs w:val="24"/>
        </w:rPr>
        <w:t>on the Standard Australian Classification of Countries (SACC) which were developed to be relevant to Australia's multicultural society for use in analysing Australian-based country of origin data</w:t>
      </w:r>
      <w:r w:rsidR="00952029">
        <w:rPr>
          <w:szCs w:val="24"/>
        </w:rPr>
        <w:t xml:space="preserve"> </w:t>
      </w:r>
      <w:r w:rsidR="00230C2E" w:rsidRPr="00230C2E">
        <w:rPr>
          <w:noProof/>
          <w:szCs w:val="24"/>
          <w:vertAlign w:val="superscript"/>
        </w:rPr>
        <w:t>19</w:t>
      </w:r>
      <w:r w:rsidR="00952029" w:rsidRPr="00913BAA">
        <w:rPr>
          <w:szCs w:val="24"/>
        </w:rPr>
        <w:t xml:space="preserve">. Groups in the SACC comprise geographically proximate countries which have broadly similar social, cultural, </w:t>
      </w:r>
      <w:proofErr w:type="gramStart"/>
      <w:r w:rsidR="00952029" w:rsidRPr="00913BAA">
        <w:rPr>
          <w:szCs w:val="24"/>
        </w:rPr>
        <w:t>economic</w:t>
      </w:r>
      <w:proofErr w:type="gramEnd"/>
      <w:r w:rsidR="00952029" w:rsidRPr="00913BAA">
        <w:rPr>
          <w:szCs w:val="24"/>
        </w:rPr>
        <w:t xml:space="preserve"> and political chara</w:t>
      </w:r>
      <w:r w:rsidR="00952029" w:rsidRPr="00340475">
        <w:rPr>
          <w:szCs w:val="24"/>
        </w:rPr>
        <w:t>cteristics</w:t>
      </w:r>
      <w:r w:rsidR="00952029">
        <w:rPr>
          <w:szCs w:val="24"/>
        </w:rPr>
        <w:t xml:space="preserve">. </w:t>
      </w:r>
      <w:r w:rsidR="00952029">
        <w:rPr>
          <w:szCs w:val="24"/>
          <w:lang w:val="en-US"/>
        </w:rPr>
        <w:t xml:space="preserve">The parent’s country of birth act as proxy for ancestry background in </w:t>
      </w:r>
      <w:proofErr w:type="spellStart"/>
      <w:r w:rsidR="00952029">
        <w:rPr>
          <w:szCs w:val="24"/>
          <w:lang w:val="en-US"/>
        </w:rPr>
        <w:t>HealthNuts</w:t>
      </w:r>
      <w:proofErr w:type="spellEnd"/>
      <w:r w:rsidR="00952029">
        <w:rPr>
          <w:szCs w:val="24"/>
          <w:lang w:val="en-US"/>
        </w:rPr>
        <w:t xml:space="preserve">. </w:t>
      </w:r>
      <w:r w:rsidR="001D7E23">
        <w:rPr>
          <w:szCs w:val="24"/>
          <w:lang w:val="en-US"/>
        </w:rPr>
        <w:t>It was</w:t>
      </w:r>
      <w:r w:rsidR="00952029">
        <w:rPr>
          <w:szCs w:val="24"/>
          <w:lang w:val="en-US"/>
        </w:rPr>
        <w:t xml:space="preserve"> shown previously that parent’s country of birth information correlated well with genetically inferred </w:t>
      </w:r>
      <w:r w:rsidR="00952029" w:rsidRPr="00F820D8">
        <w:rPr>
          <w:szCs w:val="24"/>
          <w:lang w:val="en-US"/>
        </w:rPr>
        <w:t>ancestry</w:t>
      </w:r>
      <w:r w:rsidR="009042A2">
        <w:rPr>
          <w:szCs w:val="24"/>
          <w:lang w:val="en-US"/>
        </w:rPr>
        <w:t xml:space="preserve"> in this cohort</w:t>
      </w:r>
      <w:r w:rsidR="00952029" w:rsidRPr="00F820D8">
        <w:rPr>
          <w:szCs w:val="24"/>
          <w:lang w:val="en-US"/>
        </w:rPr>
        <w:t xml:space="preserve"> </w:t>
      </w:r>
      <w:r w:rsidR="00230C2E" w:rsidRPr="00230C2E">
        <w:rPr>
          <w:rFonts w:eastAsia="Times New Roman"/>
          <w:noProof/>
          <w:szCs w:val="24"/>
          <w:vertAlign w:val="superscript"/>
          <w:lang w:eastAsia="en-AU"/>
        </w:rPr>
        <w:t>20</w:t>
      </w:r>
      <w:r w:rsidR="00952029">
        <w:rPr>
          <w:rFonts w:eastAsia="Times New Roman"/>
          <w:szCs w:val="24"/>
          <w:lang w:eastAsia="en-AU"/>
        </w:rPr>
        <w:t xml:space="preserve">.  </w:t>
      </w:r>
      <w:r w:rsidR="00166C38">
        <w:rPr>
          <w:rFonts w:eastAsia="Times New Roman"/>
          <w:szCs w:val="24"/>
          <w:lang w:eastAsia="en-AU"/>
        </w:rPr>
        <w:t xml:space="preserve">All analyses in the </w:t>
      </w:r>
      <w:proofErr w:type="spellStart"/>
      <w:r w:rsidR="00166C38">
        <w:rPr>
          <w:rFonts w:eastAsia="Times New Roman"/>
          <w:szCs w:val="24"/>
          <w:lang w:eastAsia="en-AU"/>
        </w:rPr>
        <w:t>HealthNuts</w:t>
      </w:r>
      <w:proofErr w:type="spellEnd"/>
      <w:r w:rsidR="00166C38">
        <w:rPr>
          <w:rFonts w:eastAsia="Times New Roman"/>
          <w:szCs w:val="24"/>
          <w:lang w:eastAsia="en-AU"/>
        </w:rPr>
        <w:t xml:space="preserve"> cohort were restricted to this Asian population. </w:t>
      </w:r>
    </w:p>
    <w:p w14:paraId="09D28B73" w14:textId="211E6932" w:rsidR="00334E74" w:rsidRPr="00334E74" w:rsidRDefault="00334E74" w:rsidP="006F77B1">
      <w:pPr>
        <w:spacing w:line="480" w:lineRule="auto"/>
        <w:jc w:val="both"/>
        <w:rPr>
          <w:b/>
          <w:i/>
        </w:rPr>
      </w:pPr>
      <w:r w:rsidRPr="00334E74">
        <w:rPr>
          <w:b/>
          <w:i/>
        </w:rPr>
        <w:t>Outcome Definitions – Food Allergy</w:t>
      </w:r>
    </w:p>
    <w:p w14:paraId="6BC54267" w14:textId="299717CE" w:rsidR="00952029" w:rsidRDefault="00952029" w:rsidP="004354A5">
      <w:pPr>
        <w:spacing w:line="480" w:lineRule="auto"/>
        <w:ind w:firstLine="720"/>
        <w:jc w:val="both"/>
      </w:pPr>
      <w:r>
        <w:t>In GUSTO, f</w:t>
      </w:r>
      <w:r w:rsidRPr="000B45EF">
        <w:t xml:space="preserve">ood allergy was defined by </w:t>
      </w:r>
      <w:r w:rsidRPr="00880E62">
        <w:t xml:space="preserve">a </w:t>
      </w:r>
      <w:r w:rsidR="00362138">
        <w:t>positive SPT</w:t>
      </w:r>
      <w:r w:rsidR="00362138" w:rsidRPr="000B45EF">
        <w:t xml:space="preserve"> </w:t>
      </w:r>
      <w:r w:rsidR="00362138">
        <w:t>of ≥ 3 mm to egg or peanut at 18 months</w:t>
      </w:r>
      <w:r w:rsidR="00362138" w:rsidRPr="00362138">
        <w:rPr>
          <w:b/>
          <w:u w:val="single"/>
        </w:rPr>
        <w:t xml:space="preserve"> </w:t>
      </w:r>
      <w:r w:rsidR="00362138" w:rsidRPr="00AF734D">
        <w:rPr>
          <w:b/>
          <w:u w:val="single"/>
        </w:rPr>
        <w:t>AND</w:t>
      </w:r>
      <w:r w:rsidR="00362138">
        <w:rPr>
          <w:b/>
          <w:u w:val="single"/>
        </w:rPr>
        <w:t xml:space="preserve"> </w:t>
      </w:r>
      <w:r w:rsidRPr="00880E62">
        <w:t xml:space="preserve">a convincing history of </w:t>
      </w:r>
      <w:r w:rsidR="001D7E23">
        <w:t xml:space="preserve">an </w:t>
      </w:r>
      <w:proofErr w:type="spellStart"/>
      <w:r>
        <w:t>IgE</w:t>
      </w:r>
      <w:proofErr w:type="spellEnd"/>
      <w:r>
        <w:t xml:space="preserve">-mediated </w:t>
      </w:r>
      <w:r w:rsidRPr="00880E62">
        <w:t>reacti</w:t>
      </w:r>
      <w:r>
        <w:t xml:space="preserve">on upon exposure to </w:t>
      </w:r>
      <w:r w:rsidR="00362138">
        <w:t>egg or peanut.</w:t>
      </w:r>
      <w:r>
        <w:t xml:space="preserve"> </w:t>
      </w:r>
    </w:p>
    <w:p w14:paraId="099164FA" w14:textId="42B77789" w:rsidR="00952029" w:rsidRDefault="00952029" w:rsidP="004354A5">
      <w:pPr>
        <w:spacing w:line="480" w:lineRule="auto"/>
        <w:ind w:firstLine="720"/>
        <w:jc w:val="both"/>
      </w:pPr>
      <w:r>
        <w:t xml:space="preserve">In </w:t>
      </w:r>
      <w:proofErr w:type="spellStart"/>
      <w:r>
        <w:t>HealthNuts</w:t>
      </w:r>
      <w:proofErr w:type="spellEnd"/>
      <w:r>
        <w:t>, food allergy was defined as a positive SPT</w:t>
      </w:r>
      <w:r w:rsidRPr="000B45EF">
        <w:t xml:space="preserve"> </w:t>
      </w:r>
      <w:r>
        <w:t>≥ 3 mm to egg</w:t>
      </w:r>
      <w:r w:rsidR="002C6095">
        <w:t xml:space="preserve"> or</w:t>
      </w:r>
      <w:r>
        <w:t xml:space="preserve"> peanut</w:t>
      </w:r>
      <w:r w:rsidR="009042A2">
        <w:t xml:space="preserve"> at the clinic visit at 14-18 months of age</w:t>
      </w:r>
      <w:r>
        <w:t xml:space="preserve"> </w:t>
      </w:r>
      <w:r w:rsidRPr="00013599">
        <w:rPr>
          <w:b/>
          <w:u w:val="single"/>
        </w:rPr>
        <w:t>AND</w:t>
      </w:r>
      <w:r>
        <w:t xml:space="preserve"> </w:t>
      </w:r>
      <w:r w:rsidRPr="007359BA">
        <w:t xml:space="preserve">a positive </w:t>
      </w:r>
      <w:r w:rsidR="006712FF">
        <w:t>OFC</w:t>
      </w:r>
      <w:r w:rsidRPr="007359BA">
        <w:t xml:space="preserve"> to egg or peanut</w:t>
      </w:r>
      <w:r w:rsidR="002C6095" w:rsidRPr="007359BA">
        <w:t>.</w:t>
      </w:r>
      <w:r>
        <w:t xml:space="preserve"> </w:t>
      </w:r>
      <w:r w:rsidR="002B4C87" w:rsidRPr="009D4DED">
        <w:t xml:space="preserve">Previous definitions using the </w:t>
      </w:r>
      <w:proofErr w:type="spellStart"/>
      <w:r w:rsidR="002B4C87" w:rsidRPr="009D4DED">
        <w:t>HealthNuts</w:t>
      </w:r>
      <w:proofErr w:type="spellEnd"/>
      <w:r w:rsidR="002B4C87" w:rsidRPr="009D4DED">
        <w:t xml:space="preserve"> data was based on </w:t>
      </w:r>
      <w:r w:rsidR="00E96EF2" w:rsidRPr="009D4DED">
        <w:t xml:space="preserve">a positive </w:t>
      </w:r>
      <w:r w:rsidR="002B4C87" w:rsidRPr="009D4DED">
        <w:t>SPT ≥ 2 mm</w:t>
      </w:r>
      <w:r w:rsidR="00E96EF2" w:rsidRPr="009D4DED">
        <w:t xml:space="preserve"> to relevant foods</w:t>
      </w:r>
      <w:r w:rsidR="002B4C87" w:rsidRPr="009D4DED">
        <w:t xml:space="preserve">. This was </w:t>
      </w:r>
      <w:r w:rsidR="00E96EF2" w:rsidRPr="009D4DED">
        <w:t>modified</w:t>
      </w:r>
      <w:r w:rsidR="002B4C87" w:rsidRPr="009D4DED">
        <w:t xml:space="preserve"> in </w:t>
      </w:r>
      <w:r w:rsidR="00362138" w:rsidRPr="009D4DED">
        <w:t>the current</w:t>
      </w:r>
      <w:r w:rsidR="002B4C87" w:rsidRPr="009D4DED">
        <w:t xml:space="preserve"> study in order to have a harmonised definition that is in line with GUSTO. </w:t>
      </w:r>
    </w:p>
    <w:p w14:paraId="33967714" w14:textId="4DD341D3" w:rsidR="00C36C86" w:rsidRPr="002F779D" w:rsidRDefault="00C36C86" w:rsidP="00C36C86">
      <w:pPr>
        <w:spacing w:line="480" w:lineRule="auto"/>
        <w:jc w:val="both"/>
        <w:rPr>
          <w:b/>
          <w:i/>
        </w:rPr>
      </w:pPr>
      <w:r w:rsidRPr="002F779D">
        <w:rPr>
          <w:b/>
          <w:i/>
        </w:rPr>
        <w:t>Exposure definitions</w:t>
      </w:r>
    </w:p>
    <w:p w14:paraId="40778C52" w14:textId="772051B6" w:rsidR="003201F7" w:rsidRPr="00397AF6" w:rsidRDefault="00C36C86" w:rsidP="003201F7">
      <w:pPr>
        <w:spacing w:line="480" w:lineRule="auto"/>
        <w:ind w:firstLine="720"/>
        <w:jc w:val="both"/>
      </w:pPr>
      <w:r>
        <w:lastRenderedPageBreak/>
        <w:t>We also used harmonised exp</w:t>
      </w:r>
      <w:r w:rsidR="00182833">
        <w:t>osure definitions to ensure they are comparable between the two studies</w:t>
      </w:r>
      <w:r>
        <w:t xml:space="preserve">. </w:t>
      </w:r>
      <w:r w:rsidRPr="00C36C86">
        <w:t xml:space="preserve">Definitions for all exposure variables included in the analysis are summarized in </w:t>
      </w:r>
      <w:r w:rsidR="001C439E" w:rsidRPr="001C439E">
        <w:t>T</w:t>
      </w:r>
      <w:r w:rsidRPr="001C439E">
        <w:t xml:space="preserve">able </w:t>
      </w:r>
      <w:r w:rsidR="00FE2920">
        <w:t>S</w:t>
      </w:r>
      <w:r w:rsidR="001C439E" w:rsidRPr="001C439E">
        <w:t>1</w:t>
      </w:r>
      <w:r w:rsidRPr="001C439E">
        <w:t>.</w:t>
      </w:r>
      <w:r w:rsidR="00CE35A3" w:rsidRPr="00397AF6">
        <w:t xml:space="preserve"> </w:t>
      </w:r>
      <w:r w:rsidR="003201F7" w:rsidRPr="00397AF6">
        <w:t>For eczema, the following definitions were used in each cohort:</w:t>
      </w:r>
    </w:p>
    <w:p w14:paraId="454F0459" w14:textId="77777777" w:rsidR="003201F7" w:rsidRPr="00397AF6" w:rsidRDefault="003201F7" w:rsidP="003201F7">
      <w:pPr>
        <w:spacing w:line="480" w:lineRule="auto"/>
        <w:ind w:firstLine="720"/>
        <w:jc w:val="both"/>
      </w:pPr>
      <w:r w:rsidRPr="00397AF6">
        <w:t xml:space="preserve">In GUSTO, eczema was defined as a parent-reported doctor's diagnosis of eczema at any time point up until 18 months. A categorical variable was also created with the following categories: “No eczema, Eczema that started before 6 months” and “Eczema that started after 6 months”.  </w:t>
      </w:r>
    </w:p>
    <w:p w14:paraId="0366AD04" w14:textId="389D5B5E" w:rsidR="003201F7" w:rsidRPr="00397AF6" w:rsidRDefault="003201F7" w:rsidP="003201F7">
      <w:pPr>
        <w:spacing w:line="480" w:lineRule="auto"/>
        <w:ind w:firstLine="720"/>
        <w:jc w:val="both"/>
      </w:pPr>
      <w:r w:rsidRPr="00397AF6">
        <w:t xml:space="preserve">Similarly, in </w:t>
      </w:r>
      <w:proofErr w:type="spellStart"/>
      <w:r w:rsidRPr="00397AF6">
        <w:t>HealthNuts</w:t>
      </w:r>
      <w:proofErr w:type="spellEnd"/>
      <w:r w:rsidRPr="00397AF6">
        <w:t>, eczema was defined as a parent-reported diagnosis of eczema based on an affirmative response to the question “Has your child ever been diagnosed with eczema?” In conjunction with responses to the question “Age when eczema was first diagnosed”, a categorical variable with the following categories were created “No eczema”, “Eczema that started before 6 months” and “Eczema that started after 6 months”.</w:t>
      </w:r>
    </w:p>
    <w:p w14:paraId="572B97B7" w14:textId="1794C51F" w:rsidR="00365110" w:rsidRPr="00E6374D" w:rsidRDefault="00E66F0C" w:rsidP="007149CD">
      <w:pPr>
        <w:spacing w:line="480" w:lineRule="auto"/>
        <w:jc w:val="both"/>
        <w:rPr>
          <w:b/>
        </w:rPr>
      </w:pPr>
      <w:r w:rsidRPr="00E6374D">
        <w:rPr>
          <w:b/>
        </w:rPr>
        <w:t>Statistical Analysis</w:t>
      </w:r>
    </w:p>
    <w:p w14:paraId="477ED5C6" w14:textId="21CC169E" w:rsidR="007149CD" w:rsidRPr="007149CD" w:rsidRDefault="004354A5" w:rsidP="00047AF9">
      <w:pPr>
        <w:tabs>
          <w:tab w:val="num" w:pos="284"/>
        </w:tabs>
        <w:spacing w:line="480" w:lineRule="auto"/>
        <w:jc w:val="both"/>
        <w:rPr>
          <w:szCs w:val="24"/>
        </w:rPr>
      </w:pPr>
      <w:r>
        <w:rPr>
          <w:szCs w:val="24"/>
        </w:rPr>
        <w:tab/>
      </w:r>
      <w:r w:rsidR="006712FF">
        <w:rPr>
          <w:szCs w:val="24"/>
        </w:rPr>
        <w:tab/>
      </w:r>
      <w:r w:rsidR="007149CD" w:rsidRPr="007149CD">
        <w:rPr>
          <w:szCs w:val="24"/>
        </w:rPr>
        <w:t>The prevalence of food allergy in each study was</w:t>
      </w:r>
      <w:r w:rsidR="007149CD" w:rsidRPr="007149CD">
        <w:rPr>
          <w:iCs/>
          <w:szCs w:val="24"/>
        </w:rPr>
        <w:t xml:space="preserve"> estimated as the observed proportion with 95% confidence intervals generated using the normal approximation to the binomial distribution</w:t>
      </w:r>
      <w:r w:rsidR="007149CD" w:rsidRPr="007149CD">
        <w:rPr>
          <w:szCs w:val="24"/>
        </w:rPr>
        <w:t xml:space="preserve">. </w:t>
      </w:r>
    </w:p>
    <w:p w14:paraId="7AD4BDDD" w14:textId="74CBA626" w:rsidR="007149CD" w:rsidRPr="007149CD" w:rsidRDefault="00047AF9" w:rsidP="00047AF9">
      <w:pPr>
        <w:tabs>
          <w:tab w:val="num" w:pos="284"/>
        </w:tabs>
        <w:spacing w:line="480" w:lineRule="auto"/>
        <w:jc w:val="both"/>
        <w:rPr>
          <w:szCs w:val="24"/>
        </w:rPr>
      </w:pPr>
      <w:r>
        <w:rPr>
          <w:szCs w:val="24"/>
        </w:rPr>
        <w:tab/>
      </w:r>
      <w:r w:rsidR="006712FF">
        <w:rPr>
          <w:szCs w:val="24"/>
        </w:rPr>
        <w:tab/>
      </w:r>
      <w:r w:rsidR="007149CD" w:rsidRPr="007149CD">
        <w:rPr>
          <w:szCs w:val="24"/>
        </w:rPr>
        <w:t>Baseline characteristics of each study were reported and compared using chi-square tests. Student’s t-test was carried out to compare continuous variables (</w:t>
      </w:r>
      <w:proofErr w:type="spellStart"/>
      <w:r w:rsidR="007149CD" w:rsidRPr="007149CD">
        <w:rPr>
          <w:szCs w:val="24"/>
        </w:rPr>
        <w:t>e.g</w:t>
      </w:r>
      <w:proofErr w:type="spellEnd"/>
      <w:r w:rsidR="007149CD" w:rsidRPr="007149CD">
        <w:rPr>
          <w:szCs w:val="24"/>
        </w:rPr>
        <w:t xml:space="preserve"> birthweight).</w:t>
      </w:r>
    </w:p>
    <w:p w14:paraId="561F8128" w14:textId="54750622" w:rsidR="007149CD" w:rsidRPr="007149CD" w:rsidRDefault="00166C38" w:rsidP="006712FF">
      <w:pPr>
        <w:spacing w:line="480" w:lineRule="auto"/>
        <w:ind w:firstLine="720"/>
        <w:jc w:val="both"/>
        <w:rPr>
          <w:szCs w:val="24"/>
          <w:lang w:val="en-US"/>
        </w:rPr>
      </w:pPr>
      <w:r>
        <w:rPr>
          <w:szCs w:val="24"/>
          <w:lang w:val="en-US"/>
        </w:rPr>
        <w:t>Adjusted l</w:t>
      </w:r>
      <w:r w:rsidR="007149CD" w:rsidRPr="007149CD">
        <w:rPr>
          <w:szCs w:val="24"/>
          <w:lang w:val="en-US"/>
        </w:rPr>
        <w:t xml:space="preserve">ogistic regression models were used to </w:t>
      </w:r>
      <w:r w:rsidR="007149CD" w:rsidRPr="00187100">
        <w:rPr>
          <w:szCs w:val="24"/>
        </w:rPr>
        <w:t>analyse</w:t>
      </w:r>
      <w:r w:rsidR="007149CD" w:rsidRPr="007149CD">
        <w:rPr>
          <w:szCs w:val="24"/>
          <w:lang w:val="en-US"/>
        </w:rPr>
        <w:t xml:space="preserve"> the association between exposure variables and food allergy in each of the two Asian populations separately, to obtain odds ratios (OR) and 95% confidence intervals. For this, t</w:t>
      </w:r>
      <w:r w:rsidR="00C36C86">
        <w:rPr>
          <w:szCs w:val="24"/>
          <w:lang w:val="en-US"/>
        </w:rPr>
        <w:t>hree sets</w:t>
      </w:r>
      <w:r w:rsidR="007149CD" w:rsidRPr="007149CD">
        <w:rPr>
          <w:szCs w:val="24"/>
          <w:lang w:val="en-US"/>
        </w:rPr>
        <w:t xml:space="preserve"> of </w:t>
      </w:r>
      <w:r w:rsidR="002C2F77">
        <w:rPr>
          <w:szCs w:val="24"/>
          <w:lang w:val="en-US"/>
        </w:rPr>
        <w:t xml:space="preserve">hypothesis-driven </w:t>
      </w:r>
      <w:r w:rsidR="007149CD" w:rsidRPr="007149CD">
        <w:rPr>
          <w:szCs w:val="24"/>
          <w:lang w:val="en-US"/>
        </w:rPr>
        <w:t>analyses were carried out:</w:t>
      </w:r>
    </w:p>
    <w:p w14:paraId="11AAAC4F" w14:textId="1FD80C56" w:rsidR="007149CD" w:rsidRPr="007D4705" w:rsidRDefault="00166C38" w:rsidP="007149CD">
      <w:pPr>
        <w:pStyle w:val="ListParagraph"/>
        <w:numPr>
          <w:ilvl w:val="0"/>
          <w:numId w:val="6"/>
        </w:numPr>
        <w:spacing w:after="240" w:line="480" w:lineRule="auto"/>
        <w:jc w:val="both"/>
        <w:rPr>
          <w:szCs w:val="24"/>
          <w:lang w:val="en-AU"/>
        </w:rPr>
      </w:pPr>
      <w:r>
        <w:rPr>
          <w:szCs w:val="24"/>
          <w:lang w:val="en-US"/>
        </w:rPr>
        <w:t>Association between e</w:t>
      </w:r>
      <w:r w:rsidR="002C2F77">
        <w:rPr>
          <w:szCs w:val="24"/>
          <w:lang w:val="en-US"/>
        </w:rPr>
        <w:t xml:space="preserve">czema </w:t>
      </w:r>
      <w:r>
        <w:rPr>
          <w:szCs w:val="24"/>
          <w:lang w:val="en-US"/>
        </w:rPr>
        <w:t xml:space="preserve">and food allergy (adjusted for </w:t>
      </w:r>
      <w:r w:rsidR="00DA1BCF">
        <w:rPr>
          <w:szCs w:val="24"/>
          <w:lang w:val="en-US"/>
        </w:rPr>
        <w:t>m</w:t>
      </w:r>
      <w:r w:rsidR="00D818F7">
        <w:rPr>
          <w:szCs w:val="24"/>
          <w:lang w:val="en-US"/>
        </w:rPr>
        <w:t>a</w:t>
      </w:r>
      <w:r w:rsidR="008234E2">
        <w:rPr>
          <w:szCs w:val="24"/>
          <w:lang w:val="en-US"/>
        </w:rPr>
        <w:t>ternal</w:t>
      </w:r>
      <w:r>
        <w:rPr>
          <w:szCs w:val="24"/>
          <w:lang w:val="en-US"/>
        </w:rPr>
        <w:t xml:space="preserve"> history of </w:t>
      </w:r>
      <w:r w:rsidR="00D818F7">
        <w:rPr>
          <w:szCs w:val="24"/>
          <w:lang w:val="en-US"/>
        </w:rPr>
        <w:t xml:space="preserve">self-reported </w:t>
      </w:r>
      <w:r>
        <w:rPr>
          <w:szCs w:val="24"/>
          <w:lang w:val="en-US"/>
        </w:rPr>
        <w:t>atopy, child</w:t>
      </w:r>
      <w:r w:rsidR="008234E2">
        <w:rPr>
          <w:szCs w:val="24"/>
          <w:lang w:val="en-US"/>
        </w:rPr>
        <w:t xml:space="preserve">’s </w:t>
      </w:r>
      <w:proofErr w:type="gramStart"/>
      <w:r w:rsidR="008234E2">
        <w:rPr>
          <w:szCs w:val="24"/>
          <w:lang w:val="en-US"/>
        </w:rPr>
        <w:t>sex</w:t>
      </w:r>
      <w:proofErr w:type="gramEnd"/>
      <w:r>
        <w:rPr>
          <w:szCs w:val="24"/>
          <w:lang w:val="en-US"/>
        </w:rPr>
        <w:t xml:space="preserve"> and pet ownership) </w:t>
      </w:r>
    </w:p>
    <w:p w14:paraId="29595350" w14:textId="4D09F32E" w:rsidR="007D4705" w:rsidRPr="0032531E" w:rsidRDefault="007D4705" w:rsidP="005C6B88">
      <w:pPr>
        <w:pStyle w:val="ListParagraph"/>
        <w:numPr>
          <w:ilvl w:val="0"/>
          <w:numId w:val="6"/>
        </w:numPr>
        <w:spacing w:after="240" w:line="480" w:lineRule="auto"/>
        <w:jc w:val="both"/>
        <w:rPr>
          <w:szCs w:val="24"/>
          <w:lang w:val="en-AU"/>
        </w:rPr>
      </w:pPr>
      <w:r w:rsidRPr="0032531E">
        <w:rPr>
          <w:szCs w:val="24"/>
          <w:lang w:val="en-US"/>
        </w:rPr>
        <w:lastRenderedPageBreak/>
        <w:t>A</w:t>
      </w:r>
      <w:r w:rsidR="00166C38" w:rsidRPr="0032531E">
        <w:rPr>
          <w:szCs w:val="24"/>
          <w:lang w:val="en-US"/>
        </w:rPr>
        <w:t>ssociation between</w:t>
      </w:r>
      <w:r w:rsidRPr="0032531E">
        <w:rPr>
          <w:szCs w:val="24"/>
          <w:lang w:val="en-US"/>
        </w:rPr>
        <w:t xml:space="preserve"> </w:t>
      </w:r>
      <w:r w:rsidR="009D4DED">
        <w:rPr>
          <w:szCs w:val="24"/>
          <w:lang w:val="en-US"/>
        </w:rPr>
        <w:t>household e</w:t>
      </w:r>
      <w:proofErr w:type="spellStart"/>
      <w:r w:rsidR="009D4DED">
        <w:rPr>
          <w:rFonts w:eastAsia="Times New Roman"/>
          <w:color w:val="000000"/>
          <w:szCs w:val="24"/>
          <w:lang w:val="en-AU" w:eastAsia="en-AU"/>
        </w:rPr>
        <w:t>xposure</w:t>
      </w:r>
      <w:proofErr w:type="spellEnd"/>
      <w:r w:rsidR="009D4DED">
        <w:rPr>
          <w:rFonts w:eastAsia="Times New Roman"/>
          <w:color w:val="000000"/>
          <w:szCs w:val="24"/>
          <w:lang w:val="en-AU" w:eastAsia="en-AU"/>
        </w:rPr>
        <w:t xml:space="preserve"> to tobacco smoke</w:t>
      </w:r>
      <w:r w:rsidR="009D4DED" w:rsidRPr="0032531E">
        <w:rPr>
          <w:szCs w:val="24"/>
          <w:lang w:val="en-US"/>
        </w:rPr>
        <w:t xml:space="preserve"> </w:t>
      </w:r>
      <w:r w:rsidR="009D4DED">
        <w:rPr>
          <w:szCs w:val="24"/>
          <w:lang w:val="en-US"/>
        </w:rPr>
        <w:t xml:space="preserve">and </w:t>
      </w:r>
      <w:r w:rsidR="001175A0">
        <w:rPr>
          <w:szCs w:val="24"/>
          <w:lang w:val="en-US"/>
        </w:rPr>
        <w:t>proxy markers of</w:t>
      </w:r>
      <w:r w:rsidR="00166C38" w:rsidRPr="0032531E">
        <w:rPr>
          <w:szCs w:val="24"/>
          <w:lang w:val="en-US"/>
        </w:rPr>
        <w:t xml:space="preserve"> </w:t>
      </w:r>
      <w:r w:rsidRPr="0032531E">
        <w:rPr>
          <w:szCs w:val="24"/>
          <w:lang w:val="en-US"/>
        </w:rPr>
        <w:t>hygiene hypothesis</w:t>
      </w:r>
      <w:r w:rsidR="0032531E" w:rsidRPr="0032531E">
        <w:rPr>
          <w:szCs w:val="24"/>
          <w:lang w:val="en-US"/>
        </w:rPr>
        <w:t xml:space="preserve"> (</w:t>
      </w:r>
      <w:r w:rsidR="0032531E">
        <w:rPr>
          <w:szCs w:val="24"/>
          <w:lang w:val="en-US"/>
        </w:rPr>
        <w:t>u</w:t>
      </w:r>
      <w:r w:rsidR="0032531E" w:rsidRPr="0032531E">
        <w:rPr>
          <w:szCs w:val="24"/>
          <w:lang w:val="en-US"/>
        </w:rPr>
        <w:t xml:space="preserve">se of antibiotics, </w:t>
      </w:r>
      <w:r w:rsidR="0032531E">
        <w:rPr>
          <w:szCs w:val="24"/>
          <w:lang w:val="en-US"/>
        </w:rPr>
        <w:t>d</w:t>
      </w:r>
      <w:r w:rsidR="0032531E" w:rsidRPr="0032531E">
        <w:rPr>
          <w:szCs w:val="24"/>
          <w:lang w:val="en-US"/>
        </w:rPr>
        <w:t>og ownership, cat ownership, chi</w:t>
      </w:r>
      <w:r w:rsidR="009D4DED">
        <w:rPr>
          <w:szCs w:val="24"/>
          <w:lang w:val="en-US"/>
        </w:rPr>
        <w:t xml:space="preserve">ldcare attendance, any </w:t>
      </w:r>
      <w:proofErr w:type="gramStart"/>
      <w:r w:rsidR="009D4DED">
        <w:rPr>
          <w:szCs w:val="24"/>
          <w:lang w:val="en-US"/>
        </w:rPr>
        <w:t>siblings</w:t>
      </w:r>
      <w:proofErr w:type="gramEnd"/>
      <w:r w:rsidR="009D4DED">
        <w:rPr>
          <w:szCs w:val="24"/>
          <w:lang w:val="en-US"/>
        </w:rPr>
        <w:t xml:space="preserve"> and</w:t>
      </w:r>
      <w:r w:rsidR="0032531E" w:rsidRPr="0032531E">
        <w:rPr>
          <w:szCs w:val="24"/>
          <w:lang w:val="en-US"/>
        </w:rPr>
        <w:t xml:space="preserve"> </w:t>
      </w:r>
      <w:r w:rsidR="0032531E">
        <w:rPr>
          <w:szCs w:val="24"/>
          <w:lang w:val="en-US"/>
        </w:rPr>
        <w:t>c</w:t>
      </w:r>
      <w:r w:rsidR="0032531E" w:rsidRPr="0032531E">
        <w:rPr>
          <w:szCs w:val="24"/>
          <w:lang w:val="en-US"/>
        </w:rPr>
        <w:t>aesarean delivery</w:t>
      </w:r>
      <w:r w:rsidR="0032531E">
        <w:rPr>
          <w:szCs w:val="24"/>
          <w:lang w:val="en-US"/>
        </w:rPr>
        <w:t>)</w:t>
      </w:r>
      <w:r w:rsidR="009D4DED">
        <w:rPr>
          <w:szCs w:val="24"/>
          <w:lang w:val="en-US"/>
        </w:rPr>
        <w:t xml:space="preserve"> with </w:t>
      </w:r>
      <w:r w:rsidR="00166C38" w:rsidRPr="0032531E">
        <w:rPr>
          <w:szCs w:val="24"/>
          <w:lang w:val="en-US"/>
        </w:rPr>
        <w:t xml:space="preserve">food allergy (adjusted for </w:t>
      </w:r>
      <w:r w:rsidR="00DA1BCF">
        <w:rPr>
          <w:szCs w:val="24"/>
          <w:lang w:val="en-US"/>
        </w:rPr>
        <w:t>m</w:t>
      </w:r>
      <w:r w:rsidR="008234E2">
        <w:rPr>
          <w:szCs w:val="24"/>
          <w:lang w:val="en-US"/>
        </w:rPr>
        <w:t>aternal</w:t>
      </w:r>
      <w:r w:rsidR="00166C38" w:rsidRPr="0032531E">
        <w:rPr>
          <w:szCs w:val="24"/>
          <w:lang w:val="en-US"/>
        </w:rPr>
        <w:t xml:space="preserve"> history of </w:t>
      </w:r>
      <w:r w:rsidR="00B1721D">
        <w:rPr>
          <w:szCs w:val="24"/>
          <w:lang w:val="en-US"/>
        </w:rPr>
        <w:t xml:space="preserve">self-reported </w:t>
      </w:r>
      <w:r w:rsidR="00166C38" w:rsidRPr="0032531E">
        <w:rPr>
          <w:szCs w:val="24"/>
          <w:lang w:val="en-US"/>
        </w:rPr>
        <w:t>atopy</w:t>
      </w:r>
      <w:r w:rsidR="00D818F7">
        <w:rPr>
          <w:szCs w:val="24"/>
          <w:lang w:val="en-US"/>
        </w:rPr>
        <w:t xml:space="preserve"> and</w:t>
      </w:r>
      <w:r w:rsidR="00166C38" w:rsidRPr="0032531E">
        <w:rPr>
          <w:szCs w:val="24"/>
          <w:lang w:val="en-US"/>
        </w:rPr>
        <w:t xml:space="preserve"> child</w:t>
      </w:r>
      <w:r w:rsidR="008234E2">
        <w:rPr>
          <w:szCs w:val="24"/>
          <w:lang w:val="en-US"/>
        </w:rPr>
        <w:t>’s sex</w:t>
      </w:r>
      <w:r w:rsidR="00166C38" w:rsidRPr="0032531E">
        <w:rPr>
          <w:szCs w:val="24"/>
          <w:lang w:val="en-US"/>
        </w:rPr>
        <w:t xml:space="preserve">)  </w:t>
      </w:r>
    </w:p>
    <w:p w14:paraId="72361A96" w14:textId="43DF8830" w:rsidR="007D4705" w:rsidRPr="007D4705" w:rsidRDefault="00166C38" w:rsidP="007D4705">
      <w:pPr>
        <w:pStyle w:val="ListParagraph"/>
        <w:numPr>
          <w:ilvl w:val="0"/>
          <w:numId w:val="6"/>
        </w:numPr>
        <w:spacing w:after="240" w:line="480" w:lineRule="auto"/>
        <w:jc w:val="both"/>
        <w:rPr>
          <w:szCs w:val="24"/>
          <w:lang w:val="en-AU"/>
        </w:rPr>
      </w:pPr>
      <w:r>
        <w:rPr>
          <w:szCs w:val="24"/>
          <w:lang w:val="en-US"/>
        </w:rPr>
        <w:t>Association between infant diet and f</w:t>
      </w:r>
      <w:r w:rsidR="00D818F7">
        <w:rPr>
          <w:szCs w:val="24"/>
          <w:lang w:val="en-US"/>
        </w:rPr>
        <w:t>ood allergy (adjusted for child’s sex</w:t>
      </w:r>
      <w:r>
        <w:rPr>
          <w:szCs w:val="24"/>
          <w:lang w:val="en-US"/>
        </w:rPr>
        <w:t xml:space="preserve">, </w:t>
      </w:r>
      <w:r w:rsidR="008234E2">
        <w:rPr>
          <w:szCs w:val="24"/>
          <w:lang w:val="en-US"/>
        </w:rPr>
        <w:t>maternal</w:t>
      </w:r>
      <w:r>
        <w:rPr>
          <w:szCs w:val="24"/>
          <w:lang w:val="en-US"/>
        </w:rPr>
        <w:t xml:space="preserve"> history of atopy and child history of eczema) </w:t>
      </w:r>
    </w:p>
    <w:p w14:paraId="4A5D0AB1" w14:textId="13DA6E31" w:rsidR="007149CD" w:rsidRDefault="00C726DE" w:rsidP="006712FF">
      <w:pPr>
        <w:spacing w:line="480" w:lineRule="auto"/>
        <w:ind w:firstLine="720"/>
        <w:jc w:val="both"/>
        <w:rPr>
          <w:szCs w:val="24"/>
        </w:rPr>
      </w:pPr>
      <w:r>
        <w:rPr>
          <w:szCs w:val="24"/>
        </w:rPr>
        <w:t>I</w:t>
      </w:r>
      <w:r w:rsidR="007149CD" w:rsidRPr="007149CD">
        <w:rPr>
          <w:szCs w:val="24"/>
        </w:rPr>
        <w:t xml:space="preserve">nteraction analyses </w:t>
      </w:r>
      <w:r>
        <w:rPr>
          <w:szCs w:val="24"/>
        </w:rPr>
        <w:t xml:space="preserve">were carried out </w:t>
      </w:r>
      <w:r w:rsidR="007149CD" w:rsidRPr="007149CD">
        <w:rPr>
          <w:szCs w:val="24"/>
        </w:rPr>
        <w:t xml:space="preserve">to assess whether the relationship between each potential risk factor and food allergy differed between the two cohorts. Regression models were fitted to the combined group of </w:t>
      </w:r>
      <w:r w:rsidR="0003643B">
        <w:rPr>
          <w:szCs w:val="24"/>
        </w:rPr>
        <w:t>Singapore</w:t>
      </w:r>
      <w:r w:rsidR="007149CD" w:rsidRPr="007149CD">
        <w:rPr>
          <w:szCs w:val="24"/>
        </w:rPr>
        <w:t xml:space="preserve"> and </w:t>
      </w:r>
      <w:r w:rsidR="0003643B">
        <w:rPr>
          <w:szCs w:val="24"/>
        </w:rPr>
        <w:t>Australian</w:t>
      </w:r>
      <w:r w:rsidR="007149CD" w:rsidRPr="007149CD">
        <w:rPr>
          <w:szCs w:val="24"/>
        </w:rPr>
        <w:t xml:space="preserve"> </w:t>
      </w:r>
      <w:r w:rsidR="0041414F">
        <w:rPr>
          <w:szCs w:val="24"/>
        </w:rPr>
        <w:t>children</w:t>
      </w:r>
      <w:r w:rsidR="007149CD" w:rsidRPr="007149CD">
        <w:rPr>
          <w:szCs w:val="24"/>
        </w:rPr>
        <w:t>, with product terms added to test for interactions between the study cohort and each risk factor</w:t>
      </w:r>
      <w:r w:rsidR="00166C38">
        <w:rPr>
          <w:szCs w:val="24"/>
        </w:rPr>
        <w:t xml:space="preserve">. Models </w:t>
      </w:r>
      <w:r w:rsidR="0003643B">
        <w:rPr>
          <w:szCs w:val="24"/>
        </w:rPr>
        <w:t>wi</w:t>
      </w:r>
      <w:r>
        <w:rPr>
          <w:szCs w:val="24"/>
        </w:rPr>
        <w:t xml:space="preserve">th and without interaction terms </w:t>
      </w:r>
      <w:r w:rsidR="00166C38">
        <w:rPr>
          <w:szCs w:val="24"/>
        </w:rPr>
        <w:t xml:space="preserve">were compared </w:t>
      </w:r>
      <w:r>
        <w:rPr>
          <w:szCs w:val="24"/>
        </w:rPr>
        <w:t>using the likelihood ratio test</w:t>
      </w:r>
      <w:r w:rsidR="007149CD" w:rsidRPr="007149CD">
        <w:rPr>
          <w:szCs w:val="24"/>
        </w:rPr>
        <w:t xml:space="preserve">. </w:t>
      </w:r>
    </w:p>
    <w:p w14:paraId="7E7786A6" w14:textId="31B30636" w:rsidR="00CA7CB2" w:rsidRDefault="00CA7CB2" w:rsidP="00413F70">
      <w:pPr>
        <w:spacing w:line="480" w:lineRule="auto"/>
        <w:ind w:firstLine="360"/>
        <w:jc w:val="both"/>
        <w:rPr>
          <w:szCs w:val="24"/>
        </w:rPr>
      </w:pPr>
    </w:p>
    <w:p w14:paraId="3C0203BC" w14:textId="5C6C7021" w:rsidR="00CD5013" w:rsidRDefault="00CD5013">
      <w:pPr>
        <w:rPr>
          <w:szCs w:val="24"/>
        </w:rPr>
      </w:pPr>
      <w:r>
        <w:rPr>
          <w:szCs w:val="24"/>
        </w:rPr>
        <w:br w:type="page"/>
      </w:r>
    </w:p>
    <w:p w14:paraId="6EADBA08" w14:textId="6ADD0E8D" w:rsidR="00C416F0" w:rsidRDefault="00C416F0" w:rsidP="00166C38">
      <w:pPr>
        <w:pStyle w:val="heading1nonumber"/>
      </w:pPr>
      <w:r w:rsidRPr="0099084C">
        <w:lastRenderedPageBreak/>
        <w:t>Results</w:t>
      </w:r>
    </w:p>
    <w:p w14:paraId="6F72C57E" w14:textId="77777777" w:rsidR="00DF6BA7" w:rsidRPr="00DF6BA7" w:rsidRDefault="00DF6BA7" w:rsidP="00790553">
      <w:pPr>
        <w:pStyle w:val="Heading2"/>
      </w:pPr>
      <w:bookmarkStart w:id="1" w:name="_Toc2954986"/>
      <w:r w:rsidRPr="00DF6BA7">
        <w:t>Prevalence of food allergy</w:t>
      </w:r>
      <w:bookmarkEnd w:id="1"/>
    </w:p>
    <w:p w14:paraId="210F7620" w14:textId="0C1D7C17" w:rsidR="00DF6BA7" w:rsidRPr="00DF6BA7" w:rsidRDefault="004C2A74" w:rsidP="00790553">
      <w:pPr>
        <w:spacing w:line="480" w:lineRule="auto"/>
        <w:ind w:firstLine="576"/>
        <w:jc w:val="both"/>
        <w:rPr>
          <w:lang w:val="en-AU"/>
        </w:rPr>
      </w:pPr>
      <w:r>
        <w:rPr>
          <w:lang w:val="en-AU"/>
        </w:rPr>
        <w:t xml:space="preserve">The </w:t>
      </w:r>
      <w:r w:rsidR="005B1EBE">
        <w:rPr>
          <w:lang w:val="en-AU"/>
        </w:rPr>
        <w:t>p</w:t>
      </w:r>
      <w:r w:rsidR="005B1EBE" w:rsidRPr="00DF6BA7">
        <w:rPr>
          <w:lang w:val="en-AU"/>
        </w:rPr>
        <w:t>revalence</w:t>
      </w:r>
      <w:r w:rsidR="00DF6BA7" w:rsidRPr="00DF6BA7">
        <w:rPr>
          <w:lang w:val="en-AU"/>
        </w:rPr>
        <w:t xml:space="preserve"> of food allergy among </w:t>
      </w:r>
      <w:r w:rsidR="00DB366F">
        <w:rPr>
          <w:lang w:val="en-AU"/>
        </w:rPr>
        <w:t xml:space="preserve">18 month old </w:t>
      </w:r>
      <w:r w:rsidR="00DF6BA7" w:rsidRPr="00DF6BA7">
        <w:rPr>
          <w:lang w:val="en-AU"/>
        </w:rPr>
        <w:t>Asian children</w:t>
      </w:r>
      <w:r w:rsidR="002D66E2">
        <w:rPr>
          <w:lang w:val="en-AU"/>
        </w:rPr>
        <w:t xml:space="preserve"> in</w:t>
      </w:r>
      <w:r w:rsidR="00DF6BA7" w:rsidRPr="00DF6BA7">
        <w:rPr>
          <w:lang w:val="en-AU"/>
        </w:rPr>
        <w:t xml:space="preserve"> </w:t>
      </w:r>
      <w:r w:rsidR="00166C38">
        <w:rPr>
          <w:lang w:val="en-AU"/>
        </w:rPr>
        <w:t xml:space="preserve">Singapore </w:t>
      </w:r>
      <w:r w:rsidR="00DF6BA7" w:rsidRPr="00DF6BA7">
        <w:rPr>
          <w:lang w:val="en-AU"/>
        </w:rPr>
        <w:t xml:space="preserve">was </w:t>
      </w:r>
      <w:r w:rsidR="002C6095">
        <w:rPr>
          <w:lang w:val="en-AU"/>
        </w:rPr>
        <w:t>1</w:t>
      </w:r>
      <w:r w:rsidR="00DF6BA7" w:rsidRPr="00DF6BA7">
        <w:rPr>
          <w:lang w:val="en-AU"/>
        </w:rPr>
        <w:t>.</w:t>
      </w:r>
      <w:r w:rsidR="002C6095">
        <w:rPr>
          <w:lang w:val="en-AU"/>
        </w:rPr>
        <w:t>1</w:t>
      </w:r>
      <w:r w:rsidR="00DF6BA7" w:rsidRPr="00DF6BA7">
        <w:rPr>
          <w:lang w:val="en-AU"/>
        </w:rPr>
        <w:t xml:space="preserve">% </w:t>
      </w:r>
      <w:r w:rsidR="00DB366F">
        <w:rPr>
          <w:lang w:val="en-AU"/>
        </w:rPr>
        <w:t>(</w:t>
      </w:r>
      <w:r w:rsidR="007C0F65">
        <w:rPr>
          <w:lang w:val="en-AU"/>
        </w:rPr>
        <w:t>n=</w:t>
      </w:r>
      <w:r w:rsidR="00DB366F">
        <w:rPr>
          <w:lang w:val="en-AU"/>
        </w:rPr>
        <w:t>10/878)</w:t>
      </w:r>
      <w:r w:rsidR="00DB366F" w:rsidRPr="00DF6BA7">
        <w:rPr>
          <w:lang w:val="en-AU"/>
        </w:rPr>
        <w:t xml:space="preserve"> </w:t>
      </w:r>
      <w:r w:rsidR="00DF6BA7" w:rsidRPr="00DF6BA7">
        <w:rPr>
          <w:lang w:val="en-AU"/>
        </w:rPr>
        <w:t xml:space="preserve">(95% CI </w:t>
      </w:r>
      <w:r w:rsidR="002C6095">
        <w:rPr>
          <w:lang w:val="en-AU"/>
        </w:rPr>
        <w:t>0</w:t>
      </w:r>
      <w:r w:rsidR="00DF6BA7" w:rsidRPr="00DF6BA7">
        <w:rPr>
          <w:lang w:val="en-AU"/>
        </w:rPr>
        <w:t xml:space="preserve">.6 - </w:t>
      </w:r>
      <w:r w:rsidR="002C6095">
        <w:rPr>
          <w:lang w:val="en-AU"/>
        </w:rPr>
        <w:t>2</w:t>
      </w:r>
      <w:r w:rsidR="00DF6BA7" w:rsidRPr="00DF6BA7">
        <w:rPr>
          <w:lang w:val="en-AU"/>
        </w:rPr>
        <w:t>.</w:t>
      </w:r>
      <w:r w:rsidR="002C6095">
        <w:rPr>
          <w:lang w:val="en-AU"/>
        </w:rPr>
        <w:t>1</w:t>
      </w:r>
      <w:r w:rsidR="00DF6BA7" w:rsidRPr="00DF6BA7">
        <w:rPr>
          <w:lang w:val="en-AU"/>
        </w:rPr>
        <w:t>%) compared to 15.</w:t>
      </w:r>
      <w:r w:rsidR="002C6095">
        <w:rPr>
          <w:lang w:val="en-AU"/>
        </w:rPr>
        <w:t>0</w:t>
      </w:r>
      <w:r w:rsidR="00DF6BA7" w:rsidRPr="00DF6BA7">
        <w:rPr>
          <w:lang w:val="en-AU"/>
        </w:rPr>
        <w:t>%</w:t>
      </w:r>
      <w:r w:rsidR="00DB366F">
        <w:rPr>
          <w:lang w:val="en-AU"/>
        </w:rPr>
        <w:t xml:space="preserve"> (</w:t>
      </w:r>
      <w:r w:rsidR="007C0F65">
        <w:rPr>
          <w:lang w:val="en-AU"/>
        </w:rPr>
        <w:t>n=</w:t>
      </w:r>
      <w:r w:rsidR="00DB366F">
        <w:rPr>
          <w:lang w:val="en-AU"/>
        </w:rPr>
        <w:t>47/314)</w:t>
      </w:r>
      <w:r w:rsidR="00DF6BA7" w:rsidRPr="00DF6BA7">
        <w:rPr>
          <w:lang w:val="en-AU"/>
        </w:rPr>
        <w:t xml:space="preserve"> (95% CI 11.</w:t>
      </w:r>
      <w:r w:rsidR="002C6095">
        <w:rPr>
          <w:lang w:val="en-AU"/>
        </w:rPr>
        <w:t>4</w:t>
      </w:r>
      <w:r w:rsidR="00DF6BA7" w:rsidRPr="00DF6BA7">
        <w:rPr>
          <w:lang w:val="en-AU"/>
        </w:rPr>
        <w:t>-19.</w:t>
      </w:r>
      <w:r w:rsidR="002C6095">
        <w:rPr>
          <w:lang w:val="en-AU"/>
        </w:rPr>
        <w:t>4</w:t>
      </w:r>
      <w:r w:rsidR="00DF6BA7" w:rsidRPr="00DF6BA7">
        <w:rPr>
          <w:lang w:val="en-AU"/>
        </w:rPr>
        <w:t xml:space="preserve">%) in </w:t>
      </w:r>
      <w:r w:rsidR="00DB366F">
        <w:rPr>
          <w:lang w:val="en-AU"/>
        </w:rPr>
        <w:t xml:space="preserve">14-18 month old </w:t>
      </w:r>
      <w:r w:rsidR="00DF6BA7" w:rsidRPr="00DF6BA7">
        <w:rPr>
          <w:lang w:val="en-AU"/>
        </w:rPr>
        <w:t xml:space="preserve">Asian children in </w:t>
      </w:r>
      <w:r w:rsidR="00166C38">
        <w:rPr>
          <w:lang w:val="en-AU"/>
        </w:rPr>
        <w:t xml:space="preserve">Australia </w:t>
      </w:r>
      <w:r w:rsidR="00DF6BA7" w:rsidRPr="00DF6BA7">
        <w:rPr>
          <w:lang w:val="en-AU"/>
        </w:rPr>
        <w:t>(p&lt;0.001)</w:t>
      </w:r>
      <w:r w:rsidR="005C6B88">
        <w:rPr>
          <w:lang w:val="en-AU"/>
        </w:rPr>
        <w:t>.</w:t>
      </w:r>
      <w:r w:rsidR="00DF6BA7" w:rsidRPr="00DF6BA7">
        <w:rPr>
          <w:lang w:val="en-AU"/>
        </w:rPr>
        <w:t xml:space="preserve"> </w:t>
      </w:r>
    </w:p>
    <w:p w14:paraId="3B236893" w14:textId="48C836AF" w:rsidR="00DF6BA7" w:rsidRPr="00790553" w:rsidRDefault="00DF6BA7" w:rsidP="00790553">
      <w:pPr>
        <w:pStyle w:val="Heading2"/>
      </w:pPr>
      <w:bookmarkStart w:id="2" w:name="_Toc2954987"/>
      <w:r w:rsidRPr="00DF6BA7">
        <w:t xml:space="preserve">Demographics of </w:t>
      </w:r>
      <w:bookmarkEnd w:id="2"/>
      <w:r w:rsidR="00166C38">
        <w:t xml:space="preserve">Asian participants in each study cohort </w:t>
      </w:r>
    </w:p>
    <w:p w14:paraId="586FAFC3" w14:textId="1EA1FB9C" w:rsidR="00DF6BA7" w:rsidRDefault="00DF6BA7" w:rsidP="00790553">
      <w:pPr>
        <w:spacing w:line="480" w:lineRule="auto"/>
        <w:ind w:firstLine="720"/>
        <w:jc w:val="both"/>
        <w:rPr>
          <w:lang w:val="en-AU"/>
        </w:rPr>
      </w:pPr>
      <w:r w:rsidRPr="00DF6BA7">
        <w:rPr>
          <w:lang w:val="en-AU"/>
        </w:rPr>
        <w:t xml:space="preserve">The demographics of participants in each study </w:t>
      </w:r>
      <w:r w:rsidR="0099084C" w:rsidRPr="00DF6BA7">
        <w:rPr>
          <w:lang w:val="en-AU"/>
        </w:rPr>
        <w:t>are</w:t>
      </w:r>
      <w:r w:rsidRPr="00DF6BA7">
        <w:rPr>
          <w:lang w:val="en-AU"/>
        </w:rPr>
        <w:t xml:space="preserve"> shown in </w:t>
      </w:r>
      <w:r w:rsidR="004471C1">
        <w:rPr>
          <w:lang w:val="en-AU"/>
        </w:rPr>
        <w:t>Table S2</w:t>
      </w:r>
      <w:r w:rsidR="00166C38">
        <w:t xml:space="preserve">. In the </w:t>
      </w:r>
      <w:r w:rsidR="001E5B7A">
        <w:t>Australia</w:t>
      </w:r>
      <w:r w:rsidR="0003643B">
        <w:t>n</w:t>
      </w:r>
      <w:r w:rsidR="00166C38">
        <w:t xml:space="preserve"> cohort this analysis was restricted to </w:t>
      </w:r>
      <w:r w:rsidR="0041414F">
        <w:t>children</w:t>
      </w:r>
      <w:r w:rsidR="00166C38">
        <w:t xml:space="preserve"> with </w:t>
      </w:r>
      <w:r w:rsidR="009D4DED">
        <w:t xml:space="preserve">two </w:t>
      </w:r>
      <w:r w:rsidR="00166C38">
        <w:t xml:space="preserve">Asian-born </w:t>
      </w:r>
      <w:r w:rsidR="005B1EBE">
        <w:t>parents (n=314)</w:t>
      </w:r>
      <w:r w:rsidR="004C1B58" w:rsidRPr="00DF6BA7">
        <w:rPr>
          <w:lang w:val="en-AU"/>
        </w:rPr>
        <w:t xml:space="preserve"> </w:t>
      </w:r>
      <w:r w:rsidR="004C1B58">
        <w:t>whereas the Singapore cohort consisted of 878 Asian children</w:t>
      </w:r>
      <w:r w:rsidR="004471C1">
        <w:t xml:space="preserve"> (</w:t>
      </w:r>
      <w:r w:rsidR="004471C1">
        <w:rPr>
          <w:lang w:val="en-AU"/>
        </w:rPr>
        <w:t>Table S2)</w:t>
      </w:r>
      <w:r w:rsidRPr="00DF6BA7">
        <w:rPr>
          <w:lang w:val="en-AU"/>
        </w:rPr>
        <w:t xml:space="preserve">. </w:t>
      </w:r>
      <w:r w:rsidR="005615FD">
        <w:rPr>
          <w:lang w:val="en-AU"/>
        </w:rPr>
        <w:t>M</w:t>
      </w:r>
      <w:r w:rsidRPr="00DF6BA7">
        <w:rPr>
          <w:lang w:val="en-AU"/>
        </w:rPr>
        <w:t xml:space="preserve">ore </w:t>
      </w:r>
      <w:r w:rsidR="0003643B">
        <w:rPr>
          <w:lang w:val="en-AU"/>
        </w:rPr>
        <w:t xml:space="preserve">Singapore </w:t>
      </w:r>
      <w:r w:rsidR="0041414F">
        <w:rPr>
          <w:lang w:val="en-AU"/>
        </w:rPr>
        <w:t>children</w:t>
      </w:r>
      <w:r w:rsidR="0003643B">
        <w:rPr>
          <w:lang w:val="en-AU"/>
        </w:rPr>
        <w:t xml:space="preserve"> </w:t>
      </w:r>
      <w:r w:rsidRPr="00DF6BA7">
        <w:rPr>
          <w:lang w:val="en-AU"/>
        </w:rPr>
        <w:t>had siblings (</w:t>
      </w:r>
      <w:r w:rsidR="002C6095">
        <w:rPr>
          <w:lang w:val="en-AU"/>
        </w:rPr>
        <w:t>58</w:t>
      </w:r>
      <w:r w:rsidR="002E1785">
        <w:rPr>
          <w:lang w:val="en-AU"/>
        </w:rPr>
        <w:t>.</w:t>
      </w:r>
      <w:r w:rsidR="002C6095">
        <w:rPr>
          <w:lang w:val="en-AU"/>
        </w:rPr>
        <w:t>2</w:t>
      </w:r>
      <w:r w:rsidR="002E1785">
        <w:rPr>
          <w:lang w:val="en-AU"/>
        </w:rPr>
        <w:t>% vs 45.5%</w:t>
      </w:r>
      <w:r w:rsidR="00626FA2">
        <w:rPr>
          <w:lang w:val="en-AU"/>
        </w:rPr>
        <w:t xml:space="preserve">, </w:t>
      </w:r>
      <w:r w:rsidRPr="00DF6BA7">
        <w:rPr>
          <w:lang w:val="en-AU"/>
        </w:rPr>
        <w:t>p&lt;0.001</w:t>
      </w:r>
      <w:r w:rsidR="00166C38" w:rsidRPr="00DF6BA7">
        <w:rPr>
          <w:lang w:val="en-AU"/>
        </w:rPr>
        <w:t>)</w:t>
      </w:r>
      <w:r w:rsidR="00166C38">
        <w:rPr>
          <w:lang w:val="en-AU"/>
        </w:rPr>
        <w:t xml:space="preserve"> while fewer mothers had completed tertiary education </w:t>
      </w:r>
      <w:r w:rsidR="002E1785">
        <w:rPr>
          <w:lang w:val="en-AU"/>
        </w:rPr>
        <w:t>(34.1%</w:t>
      </w:r>
      <w:r w:rsidR="00166C38">
        <w:rPr>
          <w:lang w:val="en-AU"/>
        </w:rPr>
        <w:t xml:space="preserve"> vs 76.9%</w:t>
      </w:r>
      <w:r w:rsidR="002E1785">
        <w:rPr>
          <w:lang w:val="en-AU"/>
        </w:rPr>
        <w:t>)</w:t>
      </w:r>
      <w:r w:rsidRPr="00DF6BA7">
        <w:rPr>
          <w:lang w:val="en-AU"/>
        </w:rPr>
        <w:t xml:space="preserve">. </w:t>
      </w:r>
      <w:r w:rsidR="00EB2907">
        <w:rPr>
          <w:lang w:val="en-AU"/>
        </w:rPr>
        <w:t>P</w:t>
      </w:r>
      <w:r w:rsidRPr="00EB2907">
        <w:rPr>
          <w:lang w:val="en-AU"/>
        </w:rPr>
        <w:t>aternal</w:t>
      </w:r>
      <w:r w:rsidR="00EB2907" w:rsidRPr="00EB2907">
        <w:rPr>
          <w:lang w:val="en-AU"/>
        </w:rPr>
        <w:t xml:space="preserve"> </w:t>
      </w:r>
      <w:r w:rsidRPr="00EB2907">
        <w:rPr>
          <w:lang w:val="en-AU"/>
        </w:rPr>
        <w:t xml:space="preserve">history of allergy was more common in </w:t>
      </w:r>
      <w:r w:rsidR="001957EB">
        <w:rPr>
          <w:lang w:val="en-AU"/>
        </w:rPr>
        <w:t xml:space="preserve">Australia. </w:t>
      </w:r>
    </w:p>
    <w:p w14:paraId="60FFF9C3" w14:textId="551ABB8F" w:rsidR="00DF6BA7" w:rsidRPr="00DF6BA7" w:rsidRDefault="00DF6BA7" w:rsidP="00790553">
      <w:pPr>
        <w:pStyle w:val="Heading2"/>
      </w:pPr>
      <w:bookmarkStart w:id="3" w:name="_Toc2954988"/>
      <w:r w:rsidRPr="00DF6BA7">
        <w:t>Environmental Exposure</w:t>
      </w:r>
      <w:bookmarkEnd w:id="3"/>
      <w:r w:rsidR="00166C38">
        <w:t>s</w:t>
      </w:r>
    </w:p>
    <w:p w14:paraId="16EA17DA" w14:textId="3D713472" w:rsidR="00954069" w:rsidRDefault="00DF6BA7" w:rsidP="00E836F7">
      <w:pPr>
        <w:spacing w:line="480" w:lineRule="auto"/>
        <w:ind w:firstLine="576"/>
        <w:jc w:val="both"/>
        <w:rPr>
          <w:lang w:val="en-AU"/>
        </w:rPr>
      </w:pPr>
      <w:r w:rsidRPr="00DF6BA7">
        <w:rPr>
          <w:lang w:val="en-AU"/>
        </w:rPr>
        <w:t xml:space="preserve">Maternal </w:t>
      </w:r>
      <w:r w:rsidR="00BC6067">
        <w:rPr>
          <w:lang w:val="en-AU"/>
        </w:rPr>
        <w:t xml:space="preserve">smoking during pregnancy </w:t>
      </w:r>
      <w:r w:rsidRPr="00DF6BA7">
        <w:rPr>
          <w:lang w:val="en-AU"/>
        </w:rPr>
        <w:t xml:space="preserve">and household </w:t>
      </w:r>
      <w:r w:rsidR="00BC6067">
        <w:rPr>
          <w:rFonts w:eastAsia="Times New Roman"/>
          <w:color w:val="000000"/>
          <w:szCs w:val="24"/>
          <w:lang w:val="en-AU" w:eastAsia="en-AU"/>
        </w:rPr>
        <w:t>exposure to tobacco smoke</w:t>
      </w:r>
      <w:r w:rsidRPr="00DF6BA7">
        <w:rPr>
          <w:lang w:val="en-AU"/>
        </w:rPr>
        <w:t xml:space="preserve"> were more prevalent in </w:t>
      </w:r>
      <w:r w:rsidR="002D66E2">
        <w:rPr>
          <w:lang w:val="en-AU"/>
        </w:rPr>
        <w:t>Singapore</w:t>
      </w:r>
      <w:r w:rsidRPr="00DF6BA7">
        <w:rPr>
          <w:lang w:val="en-AU"/>
        </w:rPr>
        <w:t xml:space="preserve"> (</w:t>
      </w:r>
      <w:r w:rsidR="00B94B30">
        <w:rPr>
          <w:lang w:val="en-AU"/>
        </w:rPr>
        <w:t xml:space="preserve">Table </w:t>
      </w:r>
      <w:r w:rsidR="00EE1F9A">
        <w:rPr>
          <w:lang w:val="en-AU"/>
        </w:rPr>
        <w:t>1</w:t>
      </w:r>
      <w:r w:rsidRPr="00DF6BA7">
        <w:rPr>
          <w:lang w:val="en-AU"/>
        </w:rPr>
        <w:t xml:space="preserve">). Childcare attendance in the first 12 months of life was more common in </w:t>
      </w:r>
      <w:r w:rsidR="002D66E2">
        <w:rPr>
          <w:lang w:val="en-AU"/>
        </w:rPr>
        <w:t>Australia</w:t>
      </w:r>
      <w:r w:rsidRPr="00DF6BA7">
        <w:rPr>
          <w:lang w:val="en-AU"/>
        </w:rPr>
        <w:t xml:space="preserve"> compared with </w:t>
      </w:r>
      <w:r w:rsidR="002D66E2">
        <w:rPr>
          <w:lang w:val="en-AU"/>
        </w:rPr>
        <w:t>Singapore</w:t>
      </w:r>
      <w:r w:rsidRPr="00DF6BA7">
        <w:rPr>
          <w:lang w:val="en-AU"/>
        </w:rPr>
        <w:t xml:space="preserve"> (</w:t>
      </w:r>
      <w:r w:rsidR="000B137B">
        <w:rPr>
          <w:lang w:val="en-AU"/>
        </w:rPr>
        <w:t>p&lt;0.001</w:t>
      </w:r>
      <w:r w:rsidRPr="00DF6BA7">
        <w:rPr>
          <w:lang w:val="en-AU"/>
        </w:rPr>
        <w:t xml:space="preserve">). </w:t>
      </w:r>
      <w:r w:rsidR="00EC7BA7">
        <w:rPr>
          <w:lang w:val="en-AU"/>
        </w:rPr>
        <w:t>A</w:t>
      </w:r>
      <w:r w:rsidRPr="00DF6BA7">
        <w:rPr>
          <w:lang w:val="en-AU"/>
        </w:rPr>
        <w:t xml:space="preserve">mong those attending childcare, a larger proportion of </w:t>
      </w:r>
      <w:r w:rsidR="002D66E2">
        <w:rPr>
          <w:lang w:val="en-AU"/>
        </w:rPr>
        <w:t>Singaporean</w:t>
      </w:r>
      <w:r w:rsidRPr="00DF6BA7">
        <w:rPr>
          <w:lang w:val="en-AU"/>
        </w:rPr>
        <w:t xml:space="preserve"> </w:t>
      </w:r>
      <w:r w:rsidR="0041414F">
        <w:rPr>
          <w:lang w:val="en-AU"/>
        </w:rPr>
        <w:t>children</w:t>
      </w:r>
      <w:r w:rsidRPr="00DF6BA7">
        <w:rPr>
          <w:lang w:val="en-AU"/>
        </w:rPr>
        <w:t xml:space="preserve"> started childcare before 6 months whereas more </w:t>
      </w:r>
      <w:r w:rsidR="002D66E2">
        <w:rPr>
          <w:lang w:val="en-AU"/>
        </w:rPr>
        <w:t xml:space="preserve">Australian </w:t>
      </w:r>
      <w:r w:rsidR="0041414F">
        <w:rPr>
          <w:lang w:val="en-AU"/>
        </w:rPr>
        <w:t>children</w:t>
      </w:r>
      <w:r w:rsidRPr="00DF6BA7">
        <w:rPr>
          <w:lang w:val="en-AU"/>
        </w:rPr>
        <w:t xml:space="preserve"> started childcare after 6 months.  Rates of pet ownership and use of antibiotics</w:t>
      </w:r>
      <w:r w:rsidR="00621271">
        <w:rPr>
          <w:lang w:val="en-AU"/>
        </w:rPr>
        <w:t xml:space="preserve"> in infancy</w:t>
      </w:r>
      <w:r w:rsidRPr="00DF6BA7">
        <w:rPr>
          <w:lang w:val="en-AU"/>
        </w:rPr>
        <w:t xml:space="preserve"> were similar between the two studies. </w:t>
      </w:r>
      <w:bookmarkStart w:id="4" w:name="_Toc2954989"/>
      <w:bookmarkEnd w:id="4"/>
    </w:p>
    <w:p w14:paraId="3AF5DBF2" w14:textId="77777777" w:rsidR="00954069" w:rsidRDefault="00954069">
      <w:pPr>
        <w:rPr>
          <w:lang w:val="en-AU"/>
        </w:rPr>
      </w:pPr>
      <w:r>
        <w:rPr>
          <w:lang w:val="en-AU"/>
        </w:rPr>
        <w:br w:type="page"/>
      </w:r>
    </w:p>
    <w:p w14:paraId="4EFBCE85" w14:textId="2C44DB3E" w:rsidR="00E836F7" w:rsidRPr="00DF6BA7" w:rsidRDefault="00E836F7" w:rsidP="00E836F7">
      <w:pPr>
        <w:pStyle w:val="Heading2"/>
      </w:pPr>
      <w:r w:rsidRPr="00DF6BA7">
        <w:lastRenderedPageBreak/>
        <w:t>E</w:t>
      </w:r>
      <w:r>
        <w:t>czema</w:t>
      </w:r>
    </w:p>
    <w:p w14:paraId="0ED69720" w14:textId="0F5F7E53" w:rsidR="00621271" w:rsidRPr="00E836F7" w:rsidRDefault="005045A4" w:rsidP="00954069">
      <w:pPr>
        <w:spacing w:line="480" w:lineRule="auto"/>
        <w:ind w:firstLine="576"/>
        <w:jc w:val="both"/>
        <w:rPr>
          <w:lang w:val="en-AU"/>
        </w:rPr>
      </w:pPr>
      <w:r>
        <w:fldChar w:fldCharType="begin"/>
      </w:r>
      <w:r>
        <w:instrText xml:space="preserve"> REF _Ref535662467 \h </w:instrText>
      </w:r>
      <w:r w:rsidR="00B6490E">
        <w:instrText xml:space="preserve"> \* MERGEFORMAT </w:instrText>
      </w:r>
      <w:r>
        <w:fldChar w:fldCharType="end"/>
      </w:r>
      <w:r w:rsidR="00DF6BA7" w:rsidRPr="00DF6BA7">
        <w:t xml:space="preserve">Eczema diagnosis was more common in </w:t>
      </w:r>
      <w:r w:rsidR="002D66E2">
        <w:t>Australian</w:t>
      </w:r>
      <w:r w:rsidR="00DF6BA7" w:rsidRPr="00DF6BA7">
        <w:t xml:space="preserve"> </w:t>
      </w:r>
      <w:r w:rsidR="0041414F">
        <w:t>children</w:t>
      </w:r>
      <w:r w:rsidR="00DF6BA7" w:rsidRPr="00DF6BA7">
        <w:t xml:space="preserve"> than </w:t>
      </w:r>
      <w:r w:rsidR="002D66E2">
        <w:t>Singaporean</w:t>
      </w:r>
      <w:r w:rsidR="00DF6BA7" w:rsidRPr="00DF6BA7">
        <w:t xml:space="preserve"> </w:t>
      </w:r>
      <w:r w:rsidR="0041414F">
        <w:t>children</w:t>
      </w:r>
      <w:r w:rsidR="00DF6BA7" w:rsidRPr="00DF6BA7">
        <w:t>.</w:t>
      </w:r>
      <w:r w:rsidR="00621271" w:rsidRPr="00621271">
        <w:t xml:space="preserve"> </w:t>
      </w:r>
      <w:r w:rsidR="00621271">
        <w:t>In particular, the</w:t>
      </w:r>
      <w:r w:rsidR="00621271" w:rsidRPr="00DF6BA7">
        <w:t xml:space="preserve"> percentage of </w:t>
      </w:r>
      <w:r w:rsidR="0041414F">
        <w:t>children</w:t>
      </w:r>
      <w:r w:rsidR="00621271" w:rsidRPr="00DF6BA7">
        <w:t xml:space="preserve"> with early onset eczema (before 6 months) was higher in </w:t>
      </w:r>
      <w:r w:rsidR="002D66E2">
        <w:t>Australia</w:t>
      </w:r>
      <w:r w:rsidR="00621271" w:rsidRPr="00DF6BA7">
        <w:t xml:space="preserve"> at 30.5% compared to 8.4% in GUSTO, p&lt;0.001</w:t>
      </w:r>
      <w:r w:rsidR="00621271">
        <w:t xml:space="preserve">, while the percentage of </w:t>
      </w:r>
      <w:r w:rsidR="0041414F">
        <w:t>children</w:t>
      </w:r>
      <w:r w:rsidR="00621271">
        <w:t xml:space="preserve"> with later onset eczema was similar between the two cohorts</w:t>
      </w:r>
      <w:r w:rsidR="00975A7D">
        <w:t xml:space="preserve"> </w:t>
      </w:r>
      <w:r w:rsidR="00EE4BF7">
        <w:t xml:space="preserve">(Table </w:t>
      </w:r>
      <w:r w:rsidR="00EE1F9A">
        <w:t>1</w:t>
      </w:r>
      <w:r w:rsidR="00EE4BF7">
        <w:t>)</w:t>
      </w:r>
      <w:r w:rsidR="00B8431B">
        <w:t>.</w:t>
      </w:r>
    </w:p>
    <w:p w14:paraId="30C90335" w14:textId="39F13263" w:rsidR="00DF6BA7" w:rsidRPr="00DF6BA7" w:rsidRDefault="00DF6BA7" w:rsidP="00B6490E">
      <w:pPr>
        <w:spacing w:line="480" w:lineRule="auto"/>
        <w:ind w:firstLine="576"/>
        <w:jc w:val="both"/>
        <w:rPr>
          <w:lang w:val="en-AU"/>
        </w:rPr>
      </w:pPr>
      <w:r w:rsidRPr="00DF6BA7">
        <w:rPr>
          <w:lang w:val="en-AU"/>
        </w:rPr>
        <w:t xml:space="preserve">Of those with eczema, a higher proportion of </w:t>
      </w:r>
      <w:r w:rsidR="002D66E2">
        <w:rPr>
          <w:lang w:val="en-AU"/>
        </w:rPr>
        <w:t>Australian</w:t>
      </w:r>
      <w:r w:rsidRPr="00DF6BA7">
        <w:rPr>
          <w:lang w:val="en-AU"/>
        </w:rPr>
        <w:t xml:space="preserve"> </w:t>
      </w:r>
      <w:r w:rsidR="0041414F">
        <w:rPr>
          <w:lang w:val="en-AU"/>
        </w:rPr>
        <w:t>children</w:t>
      </w:r>
      <w:r w:rsidRPr="00DF6BA7">
        <w:rPr>
          <w:lang w:val="en-AU"/>
        </w:rPr>
        <w:t xml:space="preserve"> (84.2%) </w:t>
      </w:r>
      <w:r w:rsidR="007A635F">
        <w:rPr>
          <w:lang w:val="en-AU"/>
        </w:rPr>
        <w:t>required</w:t>
      </w:r>
      <w:r w:rsidRPr="00DF6BA7">
        <w:rPr>
          <w:lang w:val="en-AU"/>
        </w:rPr>
        <w:t xml:space="preserve"> topical steroids compared to </w:t>
      </w:r>
      <w:r w:rsidR="002D66E2">
        <w:rPr>
          <w:lang w:val="en-AU"/>
        </w:rPr>
        <w:t>Singaporean</w:t>
      </w:r>
      <w:r w:rsidRPr="00DF6BA7">
        <w:rPr>
          <w:lang w:val="en-AU"/>
        </w:rPr>
        <w:t xml:space="preserve"> </w:t>
      </w:r>
      <w:r w:rsidR="0041414F">
        <w:rPr>
          <w:lang w:val="en-AU"/>
        </w:rPr>
        <w:t>children</w:t>
      </w:r>
      <w:r w:rsidRPr="00DF6BA7">
        <w:rPr>
          <w:lang w:val="en-AU"/>
        </w:rPr>
        <w:t xml:space="preserve"> (61.9%), p=0.001. </w:t>
      </w:r>
    </w:p>
    <w:p w14:paraId="7EA3A08A" w14:textId="6CB85665" w:rsidR="00DF6BA7" w:rsidRPr="00DF6BA7" w:rsidRDefault="00DF6BA7" w:rsidP="00790553">
      <w:pPr>
        <w:pStyle w:val="Heading2"/>
      </w:pPr>
      <w:bookmarkStart w:id="5" w:name="_Toc2954990"/>
      <w:r w:rsidRPr="00DF6BA7">
        <w:t>Infant’s Diet</w:t>
      </w:r>
      <w:bookmarkEnd w:id="5"/>
    </w:p>
    <w:p w14:paraId="6652C6C4" w14:textId="210B2D29" w:rsidR="00DF6BA7" w:rsidRDefault="00115B7E" w:rsidP="00790553">
      <w:pPr>
        <w:spacing w:line="480" w:lineRule="auto"/>
        <w:ind w:firstLine="720"/>
        <w:jc w:val="both"/>
        <w:rPr>
          <w:lang w:val="en-AU"/>
        </w:rPr>
      </w:pPr>
      <w:r>
        <w:rPr>
          <w:lang w:val="en-AU"/>
        </w:rPr>
        <w:t>D</w:t>
      </w:r>
      <w:r w:rsidRPr="00DF6BA7">
        <w:rPr>
          <w:lang w:val="en-AU"/>
        </w:rPr>
        <w:t xml:space="preserve">elayed </w:t>
      </w:r>
      <w:r w:rsidR="005E5FDB">
        <w:rPr>
          <w:lang w:val="en-AU"/>
        </w:rPr>
        <w:t>introduction of solids (</w:t>
      </w:r>
      <w:r w:rsidR="00DF6BA7" w:rsidRPr="00DF6BA7">
        <w:rPr>
          <w:lang w:val="en-AU"/>
        </w:rPr>
        <w:t>&gt; 6 months</w:t>
      </w:r>
      <w:r w:rsidR="00621271" w:rsidRPr="00DF6BA7">
        <w:rPr>
          <w:lang w:val="en-AU"/>
        </w:rPr>
        <w:t>)</w:t>
      </w:r>
      <w:r w:rsidR="00621271">
        <w:rPr>
          <w:lang w:val="en-AU"/>
        </w:rPr>
        <w:t xml:space="preserve"> and</w:t>
      </w:r>
      <w:r w:rsidR="00621271" w:rsidRPr="00DF6BA7">
        <w:rPr>
          <w:lang w:val="en-AU"/>
        </w:rPr>
        <w:t xml:space="preserve"> </w:t>
      </w:r>
      <w:r w:rsidR="00DF6BA7" w:rsidRPr="00DF6BA7">
        <w:rPr>
          <w:lang w:val="en-AU"/>
        </w:rPr>
        <w:t xml:space="preserve">egg into the </w:t>
      </w:r>
      <w:r>
        <w:rPr>
          <w:lang w:val="en-AU"/>
        </w:rPr>
        <w:t xml:space="preserve">infant’s </w:t>
      </w:r>
      <w:r w:rsidR="00DF6BA7" w:rsidRPr="00DF6BA7">
        <w:rPr>
          <w:lang w:val="en-AU"/>
        </w:rPr>
        <w:t xml:space="preserve">diet </w:t>
      </w:r>
      <w:r>
        <w:rPr>
          <w:lang w:val="en-AU"/>
        </w:rPr>
        <w:t>was more common in</w:t>
      </w:r>
      <w:r w:rsidR="002D66E2">
        <w:rPr>
          <w:lang w:val="en-AU"/>
        </w:rPr>
        <w:t xml:space="preserve"> Singapore</w:t>
      </w:r>
      <w:r>
        <w:rPr>
          <w:lang w:val="en-AU"/>
        </w:rPr>
        <w:t xml:space="preserve"> </w:t>
      </w:r>
      <w:r w:rsidR="00DF6BA7" w:rsidRPr="00DF6BA7">
        <w:rPr>
          <w:lang w:val="en-AU"/>
        </w:rPr>
        <w:t xml:space="preserve">compared with </w:t>
      </w:r>
      <w:r w:rsidR="002D66E2">
        <w:rPr>
          <w:lang w:val="en-AU"/>
        </w:rPr>
        <w:t>Australia</w:t>
      </w:r>
      <w:r w:rsidR="00921E6A">
        <w:rPr>
          <w:lang w:val="en-AU"/>
        </w:rPr>
        <w:t xml:space="preserve"> (Table </w:t>
      </w:r>
      <w:r w:rsidR="00EE1F9A">
        <w:rPr>
          <w:lang w:val="en-AU"/>
        </w:rPr>
        <w:t>1</w:t>
      </w:r>
      <w:r w:rsidR="00921E6A">
        <w:rPr>
          <w:lang w:val="en-AU"/>
        </w:rPr>
        <w:t>)</w:t>
      </w:r>
      <w:r w:rsidR="00DF6BA7" w:rsidRPr="00DF6BA7">
        <w:rPr>
          <w:lang w:val="en-AU"/>
        </w:rPr>
        <w:t xml:space="preserve">. </w:t>
      </w:r>
      <w:r w:rsidR="004E14B8">
        <w:rPr>
          <w:lang w:val="en-AU"/>
        </w:rPr>
        <w:t>A significantly larger proportion of</w:t>
      </w:r>
      <w:r w:rsidR="00DF6BA7" w:rsidRPr="00DF6BA7">
        <w:rPr>
          <w:lang w:val="en-AU"/>
        </w:rPr>
        <w:t xml:space="preserve"> </w:t>
      </w:r>
      <w:r w:rsidR="002D66E2">
        <w:rPr>
          <w:lang w:val="en-AU"/>
        </w:rPr>
        <w:t>Singaporean</w:t>
      </w:r>
      <w:r w:rsidR="00DF6BA7" w:rsidRPr="00DF6BA7">
        <w:rPr>
          <w:lang w:val="en-AU"/>
        </w:rPr>
        <w:t xml:space="preserve"> </w:t>
      </w:r>
      <w:r w:rsidR="00074FD7">
        <w:rPr>
          <w:lang w:val="en-AU"/>
        </w:rPr>
        <w:t xml:space="preserve">children </w:t>
      </w:r>
      <w:r w:rsidR="0047031E">
        <w:rPr>
          <w:lang w:val="en-AU"/>
        </w:rPr>
        <w:t>had not been introduced to</w:t>
      </w:r>
      <w:r w:rsidR="00DF6BA7" w:rsidRPr="00DF6BA7">
        <w:rPr>
          <w:lang w:val="en-AU"/>
        </w:rPr>
        <w:t xml:space="preserve"> egg by 12 months </w:t>
      </w:r>
      <w:r w:rsidR="0047031E">
        <w:rPr>
          <w:lang w:val="en-AU"/>
        </w:rPr>
        <w:t xml:space="preserve">of age </w:t>
      </w:r>
      <w:r w:rsidR="00DF6BA7" w:rsidRPr="00DF6BA7">
        <w:rPr>
          <w:lang w:val="en-AU"/>
        </w:rPr>
        <w:t xml:space="preserve">compared to only 3.9% of </w:t>
      </w:r>
      <w:r w:rsidR="002D66E2">
        <w:rPr>
          <w:lang w:val="en-AU"/>
        </w:rPr>
        <w:t>Australian</w:t>
      </w:r>
      <w:r w:rsidR="00DF6BA7" w:rsidRPr="00DF6BA7">
        <w:rPr>
          <w:lang w:val="en-AU"/>
        </w:rPr>
        <w:t xml:space="preserve"> </w:t>
      </w:r>
      <w:r w:rsidR="0041414F">
        <w:rPr>
          <w:lang w:val="en-AU"/>
        </w:rPr>
        <w:t>children</w:t>
      </w:r>
      <w:r w:rsidR="00DF6BA7" w:rsidRPr="00DF6BA7">
        <w:rPr>
          <w:lang w:val="en-AU"/>
        </w:rPr>
        <w:t>. Peanut introduction was delayed in both cohorts,</w:t>
      </w:r>
      <w:r w:rsidR="00033453">
        <w:rPr>
          <w:lang w:val="en-AU"/>
        </w:rPr>
        <w:t xml:space="preserve"> </w:t>
      </w:r>
      <w:r w:rsidR="00033453" w:rsidRPr="003B0BF9">
        <w:rPr>
          <w:lang w:val="en-AU"/>
        </w:rPr>
        <w:t xml:space="preserve">with only 10.6% of Singaporean </w:t>
      </w:r>
      <w:r w:rsidR="0041414F">
        <w:rPr>
          <w:lang w:val="en-AU"/>
        </w:rPr>
        <w:t>children</w:t>
      </w:r>
      <w:r w:rsidR="00033453" w:rsidRPr="003B0BF9">
        <w:rPr>
          <w:lang w:val="en-AU"/>
        </w:rPr>
        <w:t xml:space="preserve"> and 13.8% of Australian </w:t>
      </w:r>
      <w:r w:rsidR="0041414F">
        <w:rPr>
          <w:lang w:val="en-AU"/>
        </w:rPr>
        <w:t>children</w:t>
      </w:r>
      <w:r w:rsidR="00033453" w:rsidRPr="003B0BF9">
        <w:rPr>
          <w:lang w:val="en-AU"/>
        </w:rPr>
        <w:t xml:space="preserve"> introducing peanut before 10 months of age. </w:t>
      </w:r>
      <w:r w:rsidR="00495AB2" w:rsidRPr="003B0BF9">
        <w:rPr>
          <w:lang w:val="en-AU"/>
        </w:rPr>
        <w:t xml:space="preserve">By age 12 months, </w:t>
      </w:r>
      <w:proofErr w:type="gramStart"/>
      <w:r w:rsidR="00495AB2" w:rsidRPr="003B0BF9">
        <w:rPr>
          <w:lang w:val="en-AU"/>
        </w:rPr>
        <w:t>the majority of</w:t>
      </w:r>
      <w:proofErr w:type="gramEnd"/>
      <w:r w:rsidR="00495AB2" w:rsidRPr="003B0BF9">
        <w:rPr>
          <w:lang w:val="en-AU"/>
        </w:rPr>
        <w:t xml:space="preserve"> Singaporean </w:t>
      </w:r>
      <w:r w:rsidR="0041414F">
        <w:rPr>
          <w:lang w:val="en-AU"/>
        </w:rPr>
        <w:t>children</w:t>
      </w:r>
      <w:r w:rsidR="00495AB2" w:rsidRPr="003B0BF9">
        <w:rPr>
          <w:lang w:val="en-AU"/>
        </w:rPr>
        <w:t xml:space="preserve"> </w:t>
      </w:r>
      <w:r w:rsidR="008501D8" w:rsidRPr="003B0BF9">
        <w:rPr>
          <w:lang w:val="en-AU"/>
        </w:rPr>
        <w:t xml:space="preserve">and Australian </w:t>
      </w:r>
      <w:r w:rsidR="0041414F">
        <w:rPr>
          <w:lang w:val="en-AU"/>
        </w:rPr>
        <w:t>children</w:t>
      </w:r>
      <w:r w:rsidR="008501D8" w:rsidRPr="003B0BF9">
        <w:rPr>
          <w:lang w:val="en-AU"/>
        </w:rPr>
        <w:t xml:space="preserve"> </w:t>
      </w:r>
      <w:r w:rsidR="00495AB2" w:rsidRPr="003B0BF9">
        <w:rPr>
          <w:lang w:val="en-AU"/>
        </w:rPr>
        <w:t>had still not been introduced to peanut</w:t>
      </w:r>
      <w:r w:rsidR="00DF6BA7" w:rsidRPr="003B0BF9">
        <w:rPr>
          <w:lang w:val="en-AU"/>
        </w:rPr>
        <w:t>.</w:t>
      </w:r>
      <w:r w:rsidR="002C272C">
        <w:rPr>
          <w:lang w:val="en-AU"/>
        </w:rPr>
        <w:t xml:space="preserve"> </w:t>
      </w:r>
    </w:p>
    <w:p w14:paraId="0DBFD3D9" w14:textId="073B77A3" w:rsidR="00EF4422" w:rsidRDefault="00EF4422" w:rsidP="00790553">
      <w:pPr>
        <w:spacing w:line="480" w:lineRule="auto"/>
        <w:ind w:firstLine="720"/>
        <w:jc w:val="both"/>
        <w:rPr>
          <w:lang w:val="en-AU"/>
        </w:rPr>
      </w:pPr>
      <w:r w:rsidRPr="00647FB7">
        <w:rPr>
          <w:lang w:val="en-AU"/>
        </w:rPr>
        <w:t>We investigated whether the timing of introduction of food in the two cohorts differ</w:t>
      </w:r>
      <w:r w:rsidR="007F5EF2" w:rsidRPr="00647FB7">
        <w:rPr>
          <w:lang w:val="en-AU"/>
        </w:rPr>
        <w:t>ed</w:t>
      </w:r>
      <w:r w:rsidRPr="00647FB7">
        <w:rPr>
          <w:lang w:val="en-AU"/>
        </w:rPr>
        <w:t xml:space="preserve"> by eczema status, since </w:t>
      </w:r>
      <w:r w:rsidR="008A5160" w:rsidRPr="00647FB7">
        <w:rPr>
          <w:lang w:val="en-AU"/>
        </w:rPr>
        <w:t>pre-existing eczema</w:t>
      </w:r>
      <w:r w:rsidRPr="00647FB7">
        <w:rPr>
          <w:lang w:val="en-AU"/>
        </w:rPr>
        <w:t xml:space="preserve"> can influence food introduction</w:t>
      </w:r>
      <w:r w:rsidR="0094040A" w:rsidRPr="00647FB7">
        <w:rPr>
          <w:lang w:val="en-AU"/>
        </w:rPr>
        <w:t xml:space="preserve"> practices</w:t>
      </w:r>
      <w:r w:rsidRPr="00647FB7">
        <w:rPr>
          <w:lang w:val="en-AU"/>
        </w:rPr>
        <w:t xml:space="preserve">. </w:t>
      </w:r>
      <w:r w:rsidRPr="004E4D9B">
        <w:rPr>
          <w:lang w:val="en-AU"/>
        </w:rPr>
        <w:t xml:space="preserve">Regardless of eczema status, a higher proportion of Singapore </w:t>
      </w:r>
      <w:r w:rsidR="0041414F">
        <w:rPr>
          <w:lang w:val="en-AU"/>
        </w:rPr>
        <w:t>children</w:t>
      </w:r>
      <w:r w:rsidRPr="004E4D9B">
        <w:rPr>
          <w:lang w:val="en-AU"/>
        </w:rPr>
        <w:t xml:space="preserve"> were introduced to egg after 10 months compared to Australian </w:t>
      </w:r>
      <w:r w:rsidR="0041414F">
        <w:rPr>
          <w:lang w:val="en-AU"/>
        </w:rPr>
        <w:t>children</w:t>
      </w:r>
      <w:r w:rsidR="009343A9">
        <w:rPr>
          <w:lang w:val="en-AU"/>
        </w:rPr>
        <w:t xml:space="preserve"> </w:t>
      </w:r>
      <w:r w:rsidR="009343A9" w:rsidRPr="004E4D9B">
        <w:rPr>
          <w:lang w:val="en-AU"/>
        </w:rPr>
        <w:t>(</w:t>
      </w:r>
      <w:r w:rsidR="009343A9">
        <w:rPr>
          <w:lang w:val="en-AU"/>
        </w:rPr>
        <w:t>Table S3</w:t>
      </w:r>
      <w:r w:rsidR="009343A9" w:rsidRPr="004E4D9B">
        <w:rPr>
          <w:lang w:val="en-AU"/>
        </w:rPr>
        <w:t>)</w:t>
      </w:r>
      <w:r w:rsidRPr="004E4D9B">
        <w:rPr>
          <w:lang w:val="en-AU"/>
        </w:rPr>
        <w:t xml:space="preserve">. Among those with eczema, </w:t>
      </w:r>
      <w:r w:rsidR="00255E3F" w:rsidRPr="004E4D9B">
        <w:rPr>
          <w:lang w:val="en-AU"/>
        </w:rPr>
        <w:t xml:space="preserve">17.9% of Singapore </w:t>
      </w:r>
      <w:r w:rsidR="0041414F">
        <w:rPr>
          <w:lang w:val="en-AU"/>
        </w:rPr>
        <w:t>children</w:t>
      </w:r>
      <w:r w:rsidR="00255E3F" w:rsidRPr="004E4D9B">
        <w:rPr>
          <w:lang w:val="en-AU"/>
        </w:rPr>
        <w:t xml:space="preserve"> were introduced to egg between 10 – 12 months and 59.0% still had not been introduced to egg by age 12 months</w:t>
      </w:r>
      <w:r w:rsidR="009343A9">
        <w:rPr>
          <w:lang w:val="en-AU"/>
        </w:rPr>
        <w:t xml:space="preserve">. This is compared to in Australia where </w:t>
      </w:r>
      <w:r w:rsidR="00255E3F" w:rsidRPr="004E4D9B">
        <w:rPr>
          <w:lang w:val="en-AU"/>
        </w:rPr>
        <w:t>14.4%</w:t>
      </w:r>
      <w:r w:rsidR="009343A9">
        <w:rPr>
          <w:lang w:val="en-AU"/>
        </w:rPr>
        <w:t xml:space="preserve"> had been introduced between </w:t>
      </w:r>
      <w:r w:rsidR="00255E3F" w:rsidRPr="004E4D9B">
        <w:rPr>
          <w:lang w:val="en-AU"/>
        </w:rPr>
        <w:t xml:space="preserve">10-12 months and 7.2% </w:t>
      </w:r>
      <w:r w:rsidR="009343A9">
        <w:rPr>
          <w:lang w:val="en-AU"/>
        </w:rPr>
        <w:t>were still not introduced by 1</w:t>
      </w:r>
      <w:r w:rsidR="00255E3F" w:rsidRPr="004E4D9B">
        <w:rPr>
          <w:lang w:val="en-AU"/>
        </w:rPr>
        <w:t xml:space="preserve">2 months (p&lt;0.001 for both). For peanut introduction, </w:t>
      </w:r>
      <w:r w:rsidRPr="004E4D9B">
        <w:rPr>
          <w:lang w:val="en-AU"/>
        </w:rPr>
        <w:t xml:space="preserve">23.8% of Singapore </w:t>
      </w:r>
      <w:r w:rsidR="0041414F">
        <w:rPr>
          <w:lang w:val="en-AU"/>
        </w:rPr>
        <w:t>children</w:t>
      </w:r>
      <w:r w:rsidRPr="004E4D9B">
        <w:rPr>
          <w:lang w:val="en-AU"/>
        </w:rPr>
        <w:t xml:space="preserve"> </w:t>
      </w:r>
      <w:r w:rsidR="00255E3F" w:rsidRPr="004E4D9B">
        <w:rPr>
          <w:lang w:val="en-AU"/>
        </w:rPr>
        <w:t xml:space="preserve">with eczema </w:t>
      </w:r>
      <w:r w:rsidRPr="004E4D9B">
        <w:rPr>
          <w:lang w:val="en-AU"/>
        </w:rPr>
        <w:t xml:space="preserve">were introduced to peanut between 10-12 months of age compared to only 5.8% of Australian </w:t>
      </w:r>
      <w:r w:rsidR="0041414F">
        <w:rPr>
          <w:lang w:val="en-AU"/>
        </w:rPr>
        <w:lastRenderedPageBreak/>
        <w:t>children</w:t>
      </w:r>
      <w:r w:rsidR="00255E3F" w:rsidRPr="004E4D9B">
        <w:rPr>
          <w:lang w:val="en-AU"/>
        </w:rPr>
        <w:t xml:space="preserve"> with eczema (p=0.022). </w:t>
      </w:r>
      <w:r w:rsidR="00746941" w:rsidRPr="004E4D9B">
        <w:rPr>
          <w:lang w:val="en-AU"/>
        </w:rPr>
        <w:t>However, t</w:t>
      </w:r>
      <w:r w:rsidR="00255E3F" w:rsidRPr="004E4D9B">
        <w:rPr>
          <w:lang w:val="en-AU"/>
        </w:rPr>
        <w:t xml:space="preserve">he percentage of </w:t>
      </w:r>
      <w:r w:rsidR="0041414F">
        <w:rPr>
          <w:lang w:val="en-AU"/>
        </w:rPr>
        <w:t>children</w:t>
      </w:r>
      <w:r w:rsidR="00746941" w:rsidRPr="004E4D9B">
        <w:rPr>
          <w:lang w:val="en-AU"/>
        </w:rPr>
        <w:t xml:space="preserve"> </w:t>
      </w:r>
      <w:r w:rsidR="00255E3F" w:rsidRPr="004E4D9B">
        <w:rPr>
          <w:lang w:val="en-AU"/>
        </w:rPr>
        <w:t>not introduced to peanut by 12 months was higher in Australia</w:t>
      </w:r>
      <w:r w:rsidR="00746941" w:rsidRPr="004E4D9B">
        <w:rPr>
          <w:lang w:val="en-AU"/>
        </w:rPr>
        <w:t xml:space="preserve"> </w:t>
      </w:r>
      <w:r w:rsidR="00255E3F" w:rsidRPr="004E4D9B">
        <w:rPr>
          <w:lang w:val="en-AU"/>
        </w:rPr>
        <w:t>compared to Singapore</w:t>
      </w:r>
      <w:r w:rsidR="00746941" w:rsidRPr="004E4D9B">
        <w:rPr>
          <w:lang w:val="en-AU"/>
        </w:rPr>
        <w:t xml:space="preserve">, regardless of eczema </w:t>
      </w:r>
      <w:proofErr w:type="gramStart"/>
      <w:r w:rsidR="00746941" w:rsidRPr="004E4D9B">
        <w:rPr>
          <w:lang w:val="en-AU"/>
        </w:rPr>
        <w:t>status</w:t>
      </w:r>
      <w:r w:rsidR="00255E3F" w:rsidRPr="004E4D9B">
        <w:rPr>
          <w:lang w:val="en-AU"/>
        </w:rPr>
        <w:t xml:space="preserve"> </w:t>
      </w:r>
      <w:r w:rsidRPr="004E4D9B">
        <w:rPr>
          <w:lang w:val="en-AU"/>
        </w:rPr>
        <w:t xml:space="preserve"> .</w:t>
      </w:r>
      <w:proofErr w:type="gramEnd"/>
      <w:r w:rsidRPr="004E4D9B">
        <w:rPr>
          <w:lang w:val="en-AU"/>
        </w:rPr>
        <w:t xml:space="preserve">  </w:t>
      </w:r>
    </w:p>
    <w:p w14:paraId="005E3EC8" w14:textId="510A6E8D" w:rsidR="00D3642E" w:rsidRDefault="00647FB7" w:rsidP="00647FB7">
      <w:pPr>
        <w:spacing w:line="480" w:lineRule="auto"/>
        <w:ind w:firstLine="720"/>
        <w:jc w:val="both"/>
      </w:pPr>
      <w:r>
        <w:rPr>
          <w:lang w:val="en-AU"/>
        </w:rPr>
        <w:t>When we examined within group compari</w:t>
      </w:r>
      <w:r w:rsidR="00D3642E">
        <w:rPr>
          <w:lang w:val="en-AU"/>
        </w:rPr>
        <w:t>s</w:t>
      </w:r>
      <w:r>
        <w:rPr>
          <w:lang w:val="en-AU"/>
        </w:rPr>
        <w:t xml:space="preserve">ons, we found that </w:t>
      </w:r>
      <w:r w:rsidRPr="00647FB7">
        <w:t>among</w:t>
      </w:r>
      <w:r>
        <w:t xml:space="preserve"> </w:t>
      </w:r>
      <w:r w:rsidRPr="00647FB7">
        <w:t xml:space="preserve">Australian </w:t>
      </w:r>
      <w:r w:rsidR="0041414F">
        <w:t>children</w:t>
      </w:r>
      <w:r w:rsidRPr="00647FB7">
        <w:t xml:space="preserve">, </w:t>
      </w:r>
      <w:r w:rsidR="00646B00">
        <w:t>a</w:t>
      </w:r>
      <w:r w:rsidR="00EF0F7D">
        <w:t xml:space="preserve"> </w:t>
      </w:r>
      <w:r w:rsidRPr="00647FB7">
        <w:t xml:space="preserve">higher percentage of </w:t>
      </w:r>
      <w:r w:rsidR="0041414F">
        <w:t>children</w:t>
      </w:r>
      <w:r w:rsidRPr="00647FB7">
        <w:t xml:space="preserve"> with eczema (85</w:t>
      </w:r>
      <w:r w:rsidR="00EF0F7D">
        <w:t>.4</w:t>
      </w:r>
      <w:r w:rsidRPr="00647FB7">
        <w:t>%) were not introduced to peanut by 12 months compared to those without eczema (76</w:t>
      </w:r>
      <w:r w:rsidR="00EF0F7D">
        <w:t>.0</w:t>
      </w:r>
      <w:r w:rsidRPr="00647FB7">
        <w:t>%)</w:t>
      </w:r>
      <w:r w:rsidR="00EF0F7D">
        <w:t>; p=</w:t>
      </w:r>
      <w:r w:rsidR="00FE2920">
        <w:t xml:space="preserve">0.031 (Table </w:t>
      </w:r>
      <w:r w:rsidR="009343A9">
        <w:t>S4</w:t>
      </w:r>
      <w:r w:rsidR="00EF0F7D">
        <w:t>)</w:t>
      </w:r>
      <w:r w:rsidRPr="00647FB7">
        <w:t xml:space="preserve">. </w:t>
      </w:r>
      <w:r w:rsidR="00D3642E">
        <w:t>I</w:t>
      </w:r>
      <w:r w:rsidR="00D3642E" w:rsidRPr="00647FB7">
        <w:t xml:space="preserve">n </w:t>
      </w:r>
      <w:r w:rsidR="00D3642E">
        <w:t xml:space="preserve">the </w:t>
      </w:r>
      <w:r w:rsidR="00D3642E" w:rsidRPr="00647FB7">
        <w:t>Singapore cohort</w:t>
      </w:r>
      <w:r w:rsidR="00D3642E">
        <w:t>, there was</w:t>
      </w:r>
      <w:r w:rsidR="00D3642E" w:rsidRPr="00647FB7">
        <w:t xml:space="preserve"> </w:t>
      </w:r>
      <w:r w:rsidR="00D3642E">
        <w:t>n</w:t>
      </w:r>
      <w:r w:rsidRPr="00647FB7">
        <w:t xml:space="preserve">o difference in </w:t>
      </w:r>
      <w:r w:rsidR="00EF0F7D">
        <w:t>p</w:t>
      </w:r>
      <w:r w:rsidR="00D3642E">
        <w:t>roportion</w:t>
      </w:r>
      <w:r w:rsidR="00EF0F7D">
        <w:t xml:space="preserve"> of </w:t>
      </w:r>
      <w:r w:rsidR="0041414F">
        <w:t>children</w:t>
      </w:r>
      <w:r w:rsidRPr="00647FB7">
        <w:t xml:space="preserve"> introduced to peanut by 12 months </w:t>
      </w:r>
      <w:r w:rsidR="00D3642E">
        <w:t xml:space="preserve">stratified </w:t>
      </w:r>
      <w:r w:rsidRPr="00647FB7">
        <w:t xml:space="preserve">by eczema status. </w:t>
      </w:r>
    </w:p>
    <w:p w14:paraId="25C7D6D0" w14:textId="346F83B8" w:rsidR="00647FB7" w:rsidRPr="00647FB7" w:rsidRDefault="00D3642E" w:rsidP="00647FB7">
      <w:pPr>
        <w:spacing w:line="480" w:lineRule="auto"/>
        <w:ind w:firstLine="720"/>
        <w:jc w:val="both"/>
      </w:pPr>
      <w:r w:rsidRPr="003D7A6A">
        <w:t>I</w:t>
      </w:r>
      <w:r w:rsidR="00EF0F7D" w:rsidRPr="003D7A6A">
        <w:t>n both Singapore and</w:t>
      </w:r>
      <w:r w:rsidR="00647FB7" w:rsidRPr="003D7A6A">
        <w:t xml:space="preserve"> Australia, more </w:t>
      </w:r>
      <w:r w:rsidR="0041414F">
        <w:t>children</w:t>
      </w:r>
      <w:r w:rsidR="00647FB7" w:rsidRPr="003D7A6A">
        <w:t xml:space="preserve"> with eczema </w:t>
      </w:r>
      <w:r w:rsidR="0041414F">
        <w:t xml:space="preserve">had </w:t>
      </w:r>
      <w:r w:rsidRPr="003D7A6A">
        <w:t xml:space="preserve">delayed </w:t>
      </w:r>
      <w:r w:rsidR="0041414F">
        <w:t xml:space="preserve">egg </w:t>
      </w:r>
      <w:r w:rsidRPr="003D7A6A">
        <w:t>introduction</w:t>
      </w:r>
      <w:r w:rsidR="00647FB7" w:rsidRPr="003D7A6A">
        <w:t xml:space="preserve"> compared to those without eczema</w:t>
      </w:r>
      <w:r w:rsidR="00647FB7" w:rsidRPr="00647FB7">
        <w:t xml:space="preserve">. </w:t>
      </w:r>
      <w:r w:rsidR="00196816">
        <w:t xml:space="preserve">7.2% of Australian </w:t>
      </w:r>
      <w:r w:rsidR="0041414F">
        <w:t>children</w:t>
      </w:r>
      <w:r w:rsidR="00196816">
        <w:t xml:space="preserve"> with eczema were still not introduced to egg </w:t>
      </w:r>
      <w:r w:rsidR="0041414F">
        <w:t xml:space="preserve">by 12 months </w:t>
      </w:r>
      <w:r w:rsidR="00196816">
        <w:t xml:space="preserve">compared to only 1.8% who had no eczema (p=0.021). </w:t>
      </w:r>
      <w:proofErr w:type="gramStart"/>
      <w:r w:rsidR="00196816">
        <w:t>Similarly</w:t>
      </w:r>
      <w:proofErr w:type="gramEnd"/>
      <w:r w:rsidR="00196816">
        <w:t xml:space="preserve"> in Singapore, 59% of </w:t>
      </w:r>
      <w:r w:rsidR="0041414F">
        <w:t>children</w:t>
      </w:r>
      <w:r w:rsidR="00196816">
        <w:t xml:space="preserve"> with eczema were not introduced to egg while 43.8% with no eczema were already introduced to egg</w:t>
      </w:r>
      <w:r w:rsidR="0041414F">
        <w:t xml:space="preserve"> by 12 months</w:t>
      </w:r>
      <w:r w:rsidR="00646B00">
        <w:t xml:space="preserve"> (p&lt;0.001)</w:t>
      </w:r>
      <w:r w:rsidR="00196816">
        <w:t xml:space="preserve">. </w:t>
      </w:r>
    </w:p>
    <w:p w14:paraId="10A03821" w14:textId="7B6C0A7F" w:rsidR="00DF6BA7" w:rsidRPr="00DF6BA7" w:rsidRDefault="00DF6BA7" w:rsidP="00790553">
      <w:pPr>
        <w:spacing w:line="480" w:lineRule="auto"/>
        <w:ind w:firstLine="720"/>
        <w:jc w:val="both"/>
        <w:rPr>
          <w:lang w:val="en-AU"/>
        </w:rPr>
      </w:pPr>
      <w:r w:rsidRPr="00DF6BA7">
        <w:rPr>
          <w:lang w:val="en-AU"/>
        </w:rPr>
        <w:t xml:space="preserve">Additionally, duration of breastfeeding was shorter among </w:t>
      </w:r>
      <w:r w:rsidR="002D66E2">
        <w:rPr>
          <w:lang w:val="en-AU"/>
        </w:rPr>
        <w:t>Singapore</w:t>
      </w:r>
      <w:r w:rsidRPr="00DF6BA7">
        <w:rPr>
          <w:lang w:val="en-AU"/>
        </w:rPr>
        <w:t xml:space="preserve"> </w:t>
      </w:r>
      <w:r w:rsidR="0041414F">
        <w:rPr>
          <w:lang w:val="en-AU"/>
        </w:rPr>
        <w:t>children</w:t>
      </w:r>
      <w:r w:rsidR="005574D9">
        <w:rPr>
          <w:lang w:val="en-AU"/>
        </w:rPr>
        <w:t>.</w:t>
      </w:r>
      <w:r w:rsidRPr="00DF6BA7">
        <w:rPr>
          <w:lang w:val="en-AU"/>
        </w:rPr>
        <w:t xml:space="preserve"> </w:t>
      </w:r>
      <w:r w:rsidR="00011C6E" w:rsidRPr="00DF6BA7">
        <w:rPr>
          <w:lang w:val="en-AU"/>
        </w:rPr>
        <w:t xml:space="preserve"> </w:t>
      </w:r>
      <w:r w:rsidRPr="00DF6BA7">
        <w:rPr>
          <w:lang w:val="en-AU"/>
        </w:rPr>
        <w:t xml:space="preserve">87.5% of </w:t>
      </w:r>
      <w:r w:rsidR="002D66E2">
        <w:rPr>
          <w:lang w:val="en-AU"/>
        </w:rPr>
        <w:t>Singaporean</w:t>
      </w:r>
      <w:r w:rsidRPr="00DF6BA7">
        <w:rPr>
          <w:lang w:val="en-AU"/>
        </w:rPr>
        <w:t xml:space="preserve"> </w:t>
      </w:r>
      <w:r w:rsidR="0041414F">
        <w:rPr>
          <w:lang w:val="en-AU"/>
        </w:rPr>
        <w:t>children</w:t>
      </w:r>
      <w:r w:rsidRPr="00DF6BA7">
        <w:rPr>
          <w:lang w:val="en-AU"/>
        </w:rPr>
        <w:t xml:space="preserve"> </w:t>
      </w:r>
      <w:proofErr w:type="gramStart"/>
      <w:r w:rsidRPr="00DF6BA7">
        <w:rPr>
          <w:lang w:val="en-AU"/>
        </w:rPr>
        <w:t xml:space="preserve">were </w:t>
      </w:r>
      <w:r w:rsidR="005574D9">
        <w:rPr>
          <w:lang w:val="en-AU"/>
        </w:rPr>
        <w:t xml:space="preserve"> already</w:t>
      </w:r>
      <w:proofErr w:type="gramEnd"/>
      <w:r w:rsidR="005574D9">
        <w:rPr>
          <w:lang w:val="en-AU"/>
        </w:rPr>
        <w:t xml:space="preserve"> </w:t>
      </w:r>
      <w:r w:rsidR="007A5B75">
        <w:rPr>
          <w:lang w:val="en-AU"/>
        </w:rPr>
        <w:t xml:space="preserve">on </w:t>
      </w:r>
      <w:r w:rsidRPr="00DF6BA7">
        <w:rPr>
          <w:lang w:val="en-AU"/>
        </w:rPr>
        <w:t xml:space="preserve">mixed feeding in the first 6 months of life compared to 63% in </w:t>
      </w:r>
      <w:r w:rsidR="002D66E2">
        <w:rPr>
          <w:lang w:val="en-AU"/>
        </w:rPr>
        <w:t>Australia</w:t>
      </w:r>
      <w:r w:rsidR="006A54DE">
        <w:rPr>
          <w:lang w:val="en-AU"/>
        </w:rPr>
        <w:t xml:space="preserve"> (Table </w:t>
      </w:r>
      <w:r w:rsidR="00EE1F9A">
        <w:rPr>
          <w:lang w:val="en-AU"/>
        </w:rPr>
        <w:t>1</w:t>
      </w:r>
      <w:r w:rsidR="006A54DE">
        <w:rPr>
          <w:lang w:val="en-AU"/>
        </w:rPr>
        <w:t>)</w:t>
      </w:r>
      <w:r w:rsidRPr="00DF6BA7">
        <w:rPr>
          <w:lang w:val="en-AU"/>
        </w:rPr>
        <w:t xml:space="preserve">. </w:t>
      </w:r>
    </w:p>
    <w:p w14:paraId="200DB752" w14:textId="379AF78F" w:rsidR="00DF6BA7" w:rsidRPr="00DF6BA7" w:rsidRDefault="00DF6BA7" w:rsidP="00892810">
      <w:pPr>
        <w:pStyle w:val="Heading2"/>
        <w:ind w:left="0" w:firstLine="0"/>
      </w:pPr>
      <w:bookmarkStart w:id="6" w:name="_Toc2954991"/>
      <w:r w:rsidRPr="00DF6BA7">
        <w:t>Maternal diet</w:t>
      </w:r>
      <w:bookmarkEnd w:id="6"/>
    </w:p>
    <w:p w14:paraId="1EDDA558" w14:textId="7ADBA504" w:rsidR="005A56A7" w:rsidRDefault="00DF6BA7" w:rsidP="003043DC">
      <w:pPr>
        <w:spacing w:line="480" w:lineRule="auto"/>
        <w:ind w:firstLine="576"/>
        <w:jc w:val="both"/>
        <w:rPr>
          <w:b/>
          <w:iCs/>
          <w:lang w:val="en-AU"/>
        </w:rPr>
      </w:pPr>
      <w:r w:rsidRPr="00DF6BA7">
        <w:rPr>
          <w:lang w:val="en-AU"/>
        </w:rPr>
        <w:t>Maternal diet</w:t>
      </w:r>
      <w:r w:rsidR="00A70656">
        <w:rPr>
          <w:lang w:val="en-AU"/>
        </w:rPr>
        <w:t>ary</w:t>
      </w:r>
      <w:r w:rsidRPr="00DF6BA7">
        <w:rPr>
          <w:lang w:val="en-AU"/>
        </w:rPr>
        <w:t xml:space="preserve"> practices during pregnancy varied between the two studies for all investigated foods</w:t>
      </w:r>
      <w:r w:rsidR="006A54DE">
        <w:rPr>
          <w:lang w:val="en-AU"/>
        </w:rPr>
        <w:t xml:space="preserve"> (Table </w:t>
      </w:r>
      <w:r w:rsidR="00EE1F9A">
        <w:rPr>
          <w:lang w:val="en-AU"/>
        </w:rPr>
        <w:t>1</w:t>
      </w:r>
      <w:r w:rsidR="006A54DE">
        <w:rPr>
          <w:lang w:val="en-AU"/>
        </w:rPr>
        <w:t>)</w:t>
      </w:r>
      <w:r w:rsidRPr="00DF6BA7">
        <w:rPr>
          <w:lang w:val="en-AU"/>
        </w:rPr>
        <w:t xml:space="preserve">. Fewer mothers of </w:t>
      </w:r>
      <w:r w:rsidR="002D66E2">
        <w:rPr>
          <w:lang w:val="en-AU"/>
        </w:rPr>
        <w:t>Singaporean</w:t>
      </w:r>
      <w:r w:rsidRPr="00DF6BA7">
        <w:rPr>
          <w:lang w:val="en-AU"/>
        </w:rPr>
        <w:t xml:space="preserve"> </w:t>
      </w:r>
      <w:r w:rsidR="0041414F">
        <w:rPr>
          <w:lang w:val="en-AU"/>
        </w:rPr>
        <w:t>children</w:t>
      </w:r>
      <w:r w:rsidRPr="00DF6BA7">
        <w:rPr>
          <w:lang w:val="en-AU"/>
        </w:rPr>
        <w:t xml:space="preserve"> consumed nut</w:t>
      </w:r>
      <w:r w:rsidR="00472220">
        <w:rPr>
          <w:lang w:val="en-AU"/>
        </w:rPr>
        <w:t>s</w:t>
      </w:r>
      <w:r w:rsidRPr="00DF6BA7">
        <w:rPr>
          <w:lang w:val="en-AU"/>
        </w:rPr>
        <w:t>, peanuts, shellfish</w:t>
      </w:r>
      <w:r w:rsidR="00666933">
        <w:rPr>
          <w:lang w:val="en-AU"/>
        </w:rPr>
        <w:t xml:space="preserve">, </w:t>
      </w:r>
      <w:proofErr w:type="gramStart"/>
      <w:r w:rsidR="00666933">
        <w:rPr>
          <w:lang w:val="en-AU"/>
        </w:rPr>
        <w:t>egg</w:t>
      </w:r>
      <w:proofErr w:type="gramEnd"/>
      <w:r w:rsidRPr="00DF6BA7">
        <w:rPr>
          <w:lang w:val="en-AU"/>
        </w:rPr>
        <w:t xml:space="preserve"> and soy during pregnancy compared to mothers of </w:t>
      </w:r>
      <w:r w:rsidR="002D66E2">
        <w:rPr>
          <w:lang w:val="en-AU"/>
        </w:rPr>
        <w:t>Australian</w:t>
      </w:r>
      <w:r w:rsidRPr="00DF6BA7">
        <w:rPr>
          <w:lang w:val="en-AU"/>
        </w:rPr>
        <w:t xml:space="preserve"> </w:t>
      </w:r>
      <w:r w:rsidR="0041414F">
        <w:rPr>
          <w:lang w:val="en-AU"/>
        </w:rPr>
        <w:t>children</w:t>
      </w:r>
      <w:r w:rsidRPr="00DF6BA7">
        <w:rPr>
          <w:lang w:val="en-AU"/>
        </w:rPr>
        <w:t xml:space="preserve"> (all p&lt;0.001). </w:t>
      </w:r>
      <w:bookmarkStart w:id="7" w:name="_Ref535662546"/>
      <w:r w:rsidR="005A56A7">
        <w:rPr>
          <w:b/>
          <w:iCs/>
          <w:lang w:val="en-AU"/>
        </w:rPr>
        <w:br w:type="page"/>
      </w:r>
    </w:p>
    <w:p w14:paraId="72A0C25D" w14:textId="2D712806" w:rsidR="00DF6BA7" w:rsidRPr="00DF6BA7" w:rsidRDefault="005615FD" w:rsidP="00790553">
      <w:pPr>
        <w:pStyle w:val="Heading2"/>
      </w:pPr>
      <w:bookmarkStart w:id="8" w:name="_Toc2954992"/>
      <w:bookmarkEnd w:id="7"/>
      <w:r>
        <w:lastRenderedPageBreak/>
        <w:t>Association between food allergy and potential</w:t>
      </w:r>
      <w:r w:rsidR="00DF6BA7" w:rsidRPr="00DF6BA7">
        <w:t xml:space="preserve"> risk factors</w:t>
      </w:r>
      <w:bookmarkEnd w:id="8"/>
    </w:p>
    <w:p w14:paraId="774DF4BC" w14:textId="49134CE9" w:rsidR="00A936C1" w:rsidRDefault="002D55F1" w:rsidP="00A936C1">
      <w:pPr>
        <w:spacing w:line="480" w:lineRule="auto"/>
        <w:ind w:firstLine="720"/>
        <w:jc w:val="both"/>
        <w:rPr>
          <w:szCs w:val="24"/>
        </w:rPr>
      </w:pPr>
      <w:r>
        <w:rPr>
          <w:lang w:val="en-AU"/>
        </w:rPr>
        <w:t>In the unadjusted model, f</w:t>
      </w:r>
      <w:r w:rsidR="00DF6BA7" w:rsidRPr="00DF6BA7">
        <w:rPr>
          <w:lang w:val="en-AU"/>
        </w:rPr>
        <w:t xml:space="preserve">amily history of allergic disease, </w:t>
      </w:r>
      <w:r w:rsidR="007A4DFB">
        <w:rPr>
          <w:lang w:val="en-AU"/>
        </w:rPr>
        <w:t>particularly</w:t>
      </w:r>
      <w:r w:rsidR="007A4DFB" w:rsidRPr="00DF6BA7">
        <w:rPr>
          <w:lang w:val="en-AU"/>
        </w:rPr>
        <w:t xml:space="preserve"> </w:t>
      </w:r>
      <w:r w:rsidR="00DF6BA7" w:rsidRPr="00DF6BA7">
        <w:rPr>
          <w:lang w:val="en-AU"/>
        </w:rPr>
        <w:t>maternal</w:t>
      </w:r>
      <w:r w:rsidR="007A4DFB">
        <w:rPr>
          <w:lang w:val="en-AU"/>
        </w:rPr>
        <w:t xml:space="preserve"> and</w:t>
      </w:r>
      <w:r w:rsidR="00DF6BA7" w:rsidRPr="00DF6BA7">
        <w:rPr>
          <w:lang w:val="en-AU"/>
        </w:rPr>
        <w:t xml:space="preserve"> paternal </w:t>
      </w:r>
      <w:r w:rsidR="007A4DFB">
        <w:rPr>
          <w:lang w:val="en-AU"/>
        </w:rPr>
        <w:t>history,</w:t>
      </w:r>
      <w:r w:rsidR="007A4DFB" w:rsidRPr="00DF6BA7">
        <w:rPr>
          <w:lang w:val="en-AU"/>
        </w:rPr>
        <w:t xml:space="preserve"> </w:t>
      </w:r>
      <w:r w:rsidR="00DF6BA7" w:rsidRPr="00DF6BA7">
        <w:rPr>
          <w:lang w:val="en-AU"/>
        </w:rPr>
        <w:t xml:space="preserve">were associated with an increased risk of food allergy in </w:t>
      </w:r>
      <w:r w:rsidR="006A0EDD">
        <w:rPr>
          <w:lang w:val="en-AU"/>
        </w:rPr>
        <w:t xml:space="preserve">the Australian cohort but </w:t>
      </w:r>
      <w:r w:rsidR="00863783">
        <w:rPr>
          <w:lang w:val="en-AU"/>
        </w:rPr>
        <w:t xml:space="preserve">only maternal history was associated </w:t>
      </w:r>
      <w:r w:rsidR="00833478">
        <w:rPr>
          <w:lang w:val="en-AU"/>
        </w:rPr>
        <w:t xml:space="preserve">with food allergy </w:t>
      </w:r>
      <w:r w:rsidR="006A0EDD">
        <w:rPr>
          <w:lang w:val="en-AU"/>
        </w:rPr>
        <w:t>in the Singapore cohort</w:t>
      </w:r>
      <w:r w:rsidR="00873B2B">
        <w:rPr>
          <w:lang w:val="en-AU"/>
        </w:rPr>
        <w:t xml:space="preserve"> (Table </w:t>
      </w:r>
      <w:r w:rsidR="00EE1F9A">
        <w:rPr>
          <w:lang w:val="en-AU"/>
        </w:rPr>
        <w:t>2</w:t>
      </w:r>
      <w:r w:rsidR="00873B2B">
        <w:rPr>
          <w:lang w:val="en-AU"/>
        </w:rPr>
        <w:t>)</w:t>
      </w:r>
      <w:r w:rsidR="008501D8">
        <w:rPr>
          <w:lang w:val="en-AU"/>
        </w:rPr>
        <w:t>.</w:t>
      </w:r>
      <w:r w:rsidR="005E211A">
        <w:rPr>
          <w:lang w:val="en-AU"/>
        </w:rPr>
        <w:t xml:space="preserve"> </w:t>
      </w:r>
      <w:proofErr w:type="gramStart"/>
      <w:r w:rsidR="005E211A">
        <w:rPr>
          <w:lang w:val="en-AU"/>
        </w:rPr>
        <w:t>We</w:t>
      </w:r>
      <w:proofErr w:type="gramEnd"/>
      <w:r w:rsidR="005E211A">
        <w:rPr>
          <w:lang w:val="en-AU"/>
        </w:rPr>
        <w:t xml:space="preserve"> </w:t>
      </w:r>
      <w:r w:rsidR="00A936C1">
        <w:rPr>
          <w:lang w:val="en-AU"/>
        </w:rPr>
        <w:t xml:space="preserve">therefore, </w:t>
      </w:r>
      <w:r w:rsidR="005E211A">
        <w:rPr>
          <w:lang w:val="en-AU"/>
        </w:rPr>
        <w:t xml:space="preserve">adjusted for </w:t>
      </w:r>
      <w:r w:rsidR="00A936C1">
        <w:rPr>
          <w:lang w:val="en-AU"/>
        </w:rPr>
        <w:t>maternal atopic history in our model</w:t>
      </w:r>
      <w:r w:rsidR="005E211A">
        <w:rPr>
          <w:lang w:val="en-AU"/>
        </w:rPr>
        <w:t xml:space="preserve"> when </w:t>
      </w:r>
      <w:r w:rsidR="004E1C22">
        <w:rPr>
          <w:lang w:val="en-AU"/>
        </w:rPr>
        <w:t>examining</w:t>
      </w:r>
      <w:r w:rsidR="005E211A">
        <w:rPr>
          <w:lang w:val="en-AU"/>
        </w:rPr>
        <w:t xml:space="preserve"> the association between eczema and food allergy risk. </w:t>
      </w:r>
      <w:r w:rsidR="00A936C1">
        <w:rPr>
          <w:szCs w:val="24"/>
        </w:rPr>
        <w:t>Early onset eczema</w:t>
      </w:r>
      <w:r w:rsidR="00A936C1" w:rsidRPr="004354A5">
        <w:rPr>
          <w:szCs w:val="24"/>
        </w:rPr>
        <w:t xml:space="preserve"> was associated with an increased risk of food </w:t>
      </w:r>
      <w:r w:rsidR="00A936C1">
        <w:rPr>
          <w:szCs w:val="24"/>
        </w:rPr>
        <w:t xml:space="preserve">allergy in </w:t>
      </w:r>
      <w:r w:rsidR="004E1C22">
        <w:rPr>
          <w:szCs w:val="24"/>
        </w:rPr>
        <w:t xml:space="preserve">both </w:t>
      </w:r>
      <w:r w:rsidR="00A936C1">
        <w:rPr>
          <w:szCs w:val="24"/>
        </w:rPr>
        <w:t>Australia and Singapore (Table 3</w:t>
      </w:r>
      <w:r w:rsidR="00A936C1" w:rsidRPr="004354A5">
        <w:rPr>
          <w:szCs w:val="24"/>
        </w:rPr>
        <w:t xml:space="preserve">). </w:t>
      </w:r>
      <w:r w:rsidR="00A936C1">
        <w:rPr>
          <w:szCs w:val="24"/>
        </w:rPr>
        <w:t>Children</w:t>
      </w:r>
      <w:r w:rsidR="00A936C1" w:rsidRPr="004354A5">
        <w:rPr>
          <w:szCs w:val="24"/>
        </w:rPr>
        <w:t xml:space="preserve"> </w:t>
      </w:r>
      <w:r w:rsidR="004E1C22">
        <w:rPr>
          <w:szCs w:val="24"/>
        </w:rPr>
        <w:t xml:space="preserve">in Australia </w:t>
      </w:r>
      <w:r w:rsidR="00A936C1" w:rsidRPr="004354A5">
        <w:rPr>
          <w:szCs w:val="24"/>
        </w:rPr>
        <w:t xml:space="preserve">with early </w:t>
      </w:r>
      <w:r w:rsidR="00A936C1">
        <w:rPr>
          <w:szCs w:val="24"/>
        </w:rPr>
        <w:t>onset eczema</w:t>
      </w:r>
      <w:r w:rsidR="00A936C1" w:rsidRPr="004354A5">
        <w:rPr>
          <w:szCs w:val="24"/>
        </w:rPr>
        <w:t xml:space="preserve"> (&lt;6 months) were 5 times more likely to also have food allergy compared to those with later </w:t>
      </w:r>
      <w:r w:rsidR="00A936C1">
        <w:rPr>
          <w:szCs w:val="24"/>
        </w:rPr>
        <w:t>onset</w:t>
      </w:r>
      <w:r w:rsidR="00A936C1" w:rsidRPr="004354A5">
        <w:rPr>
          <w:szCs w:val="24"/>
        </w:rPr>
        <w:t xml:space="preserve">. </w:t>
      </w:r>
      <w:r w:rsidR="00A936C1" w:rsidRPr="002B4C87">
        <w:rPr>
          <w:szCs w:val="24"/>
        </w:rPr>
        <w:t>The magnitude of association was similar for GUSTO but lacked precision and included the null [</w:t>
      </w:r>
      <w:proofErr w:type="spellStart"/>
      <w:r w:rsidR="00A936C1" w:rsidRPr="002B4C87">
        <w:rPr>
          <w:szCs w:val="24"/>
        </w:rPr>
        <w:t>aOR</w:t>
      </w:r>
      <w:proofErr w:type="spellEnd"/>
      <w:r w:rsidR="00A936C1" w:rsidRPr="002B4C87">
        <w:rPr>
          <w:szCs w:val="24"/>
        </w:rPr>
        <w:t xml:space="preserve"> </w:t>
      </w:r>
      <w:r w:rsidR="00A936C1" w:rsidRPr="002B4C87">
        <w:rPr>
          <w:lang w:val="en-AU"/>
        </w:rPr>
        <w:t>4.00 (0.62-25.8)</w:t>
      </w:r>
      <w:r w:rsidR="00A936C1" w:rsidRPr="002B4C87">
        <w:rPr>
          <w:szCs w:val="24"/>
        </w:rPr>
        <w:t>; p=0.145].</w:t>
      </w:r>
      <w:r w:rsidR="00A936C1">
        <w:rPr>
          <w:szCs w:val="24"/>
        </w:rPr>
        <w:t xml:space="preserve"> </w:t>
      </w:r>
      <w:r w:rsidR="00A936C1">
        <w:rPr>
          <w:lang w:val="en-AU"/>
        </w:rPr>
        <w:t xml:space="preserve">However, </w:t>
      </w:r>
      <w:r w:rsidR="00A936C1">
        <w:t>o</w:t>
      </w:r>
      <w:r w:rsidR="00A936C1" w:rsidRPr="00DF6BA7">
        <w:t xml:space="preserve">f those with early onset eczema, only </w:t>
      </w:r>
      <w:r w:rsidR="00A936C1">
        <w:t>5.7</w:t>
      </w:r>
      <w:r w:rsidR="00A936C1" w:rsidRPr="00DF6BA7">
        <w:t xml:space="preserve">% of </w:t>
      </w:r>
      <w:r w:rsidR="00A936C1">
        <w:t>Singaporean</w:t>
      </w:r>
      <w:r w:rsidR="00A936C1" w:rsidRPr="00DF6BA7">
        <w:t xml:space="preserve"> </w:t>
      </w:r>
      <w:r w:rsidR="00A936C1">
        <w:t>children</w:t>
      </w:r>
      <w:r w:rsidR="00A936C1" w:rsidRPr="00DF6BA7">
        <w:t xml:space="preserve"> also ha</w:t>
      </w:r>
      <w:r w:rsidR="00A936C1">
        <w:t>d</w:t>
      </w:r>
      <w:r w:rsidR="00A936C1" w:rsidRPr="00DF6BA7">
        <w:t xml:space="preserve"> food allergy compared to 3</w:t>
      </w:r>
      <w:r w:rsidR="00A936C1">
        <w:t>2</w:t>
      </w:r>
      <w:r w:rsidR="00A936C1" w:rsidRPr="00DF6BA7">
        <w:t>.</w:t>
      </w:r>
      <w:r w:rsidR="00A936C1">
        <w:t>6</w:t>
      </w:r>
      <w:r w:rsidR="00A936C1" w:rsidRPr="00DF6BA7">
        <w:t xml:space="preserve">% of </w:t>
      </w:r>
      <w:r w:rsidR="00A936C1">
        <w:t>Australian</w:t>
      </w:r>
      <w:r w:rsidR="00A936C1" w:rsidRPr="00DF6BA7">
        <w:t xml:space="preserve"> </w:t>
      </w:r>
      <w:r w:rsidR="00A936C1">
        <w:t>children (p&lt;0.001)</w:t>
      </w:r>
      <w:r w:rsidR="00A936C1" w:rsidRPr="00DF6BA7">
        <w:t>.</w:t>
      </w:r>
    </w:p>
    <w:p w14:paraId="4CBBC499" w14:textId="3448F59D" w:rsidR="00A936C1" w:rsidRPr="0041417E" w:rsidRDefault="00A936C1" w:rsidP="00A936C1">
      <w:pPr>
        <w:spacing w:line="480" w:lineRule="auto"/>
        <w:ind w:firstLine="720"/>
        <w:jc w:val="both"/>
        <w:rPr>
          <w:szCs w:val="24"/>
          <w:lang w:val="en-AU"/>
        </w:rPr>
      </w:pPr>
      <w:r w:rsidRPr="00CF0DFC">
        <w:rPr>
          <w:szCs w:val="24"/>
        </w:rPr>
        <w:t xml:space="preserve">Eczema with use of topical steroids were </w:t>
      </w:r>
      <w:r>
        <w:rPr>
          <w:szCs w:val="24"/>
        </w:rPr>
        <w:t xml:space="preserve">strongly </w:t>
      </w:r>
      <w:r w:rsidRPr="00CF0DFC">
        <w:rPr>
          <w:szCs w:val="24"/>
        </w:rPr>
        <w:t xml:space="preserve">associated with an increased risk of food allergy in </w:t>
      </w:r>
      <w:r>
        <w:rPr>
          <w:szCs w:val="24"/>
        </w:rPr>
        <w:t xml:space="preserve">the </w:t>
      </w:r>
      <w:r w:rsidRPr="00CF0DFC">
        <w:rPr>
          <w:szCs w:val="24"/>
        </w:rPr>
        <w:t>Australian cohort</w:t>
      </w:r>
      <w:r>
        <w:rPr>
          <w:szCs w:val="24"/>
        </w:rPr>
        <w:t xml:space="preserve"> (p&lt;0.001)</w:t>
      </w:r>
      <w:r w:rsidRPr="00CF0DFC">
        <w:rPr>
          <w:szCs w:val="24"/>
        </w:rPr>
        <w:t xml:space="preserve"> </w:t>
      </w:r>
      <w:r w:rsidRPr="00CF0DFC">
        <w:rPr>
          <w:szCs w:val="24"/>
          <w:lang w:val="en-AU"/>
        </w:rPr>
        <w:t xml:space="preserve">(Table </w:t>
      </w:r>
      <w:r>
        <w:rPr>
          <w:szCs w:val="24"/>
          <w:lang w:val="en-AU"/>
        </w:rPr>
        <w:t>S6</w:t>
      </w:r>
      <w:r w:rsidRPr="00CF0DFC">
        <w:rPr>
          <w:szCs w:val="24"/>
          <w:lang w:val="en-AU"/>
        </w:rPr>
        <w:t xml:space="preserve">). </w:t>
      </w:r>
      <w:r w:rsidRPr="009D4DED">
        <w:rPr>
          <w:szCs w:val="24"/>
          <w:lang w:val="en-AU"/>
        </w:rPr>
        <w:t xml:space="preserve">There was weak evidence of a similar association between </w:t>
      </w:r>
      <w:r w:rsidRPr="009D4DED">
        <w:rPr>
          <w:szCs w:val="24"/>
        </w:rPr>
        <w:t xml:space="preserve">eczema with use of topical steroids and food allergy </w:t>
      </w:r>
      <w:r w:rsidRPr="009D4DED">
        <w:rPr>
          <w:szCs w:val="24"/>
          <w:lang w:val="en-AU"/>
        </w:rPr>
        <w:t>in the Singapore cohort (p=0.074).</w:t>
      </w:r>
      <w:r>
        <w:rPr>
          <w:szCs w:val="24"/>
          <w:lang w:val="en-AU"/>
        </w:rPr>
        <w:t xml:space="preserve"> Conversely, </w:t>
      </w:r>
      <w:r w:rsidRPr="00CF0DFC">
        <w:rPr>
          <w:szCs w:val="24"/>
          <w:lang w:val="en-AU"/>
        </w:rPr>
        <w:t xml:space="preserve">children </w:t>
      </w:r>
      <w:r>
        <w:rPr>
          <w:szCs w:val="24"/>
          <w:lang w:val="en-AU"/>
        </w:rPr>
        <w:t xml:space="preserve">in Singapore </w:t>
      </w:r>
      <w:r w:rsidRPr="00CF0DFC">
        <w:rPr>
          <w:szCs w:val="24"/>
          <w:lang w:val="en-AU"/>
        </w:rPr>
        <w:t>with</w:t>
      </w:r>
      <w:r w:rsidRPr="00CF0DFC">
        <w:rPr>
          <w:szCs w:val="24"/>
        </w:rPr>
        <w:t xml:space="preserve"> eczema not requiring use of topical steroids</w:t>
      </w:r>
      <w:r>
        <w:rPr>
          <w:szCs w:val="24"/>
        </w:rPr>
        <w:t xml:space="preserve"> had greater odds of developing food allergy compared to those without ec</w:t>
      </w:r>
      <w:r w:rsidR="004E1C22">
        <w:rPr>
          <w:szCs w:val="24"/>
        </w:rPr>
        <w:t xml:space="preserve">zema (p=0.021). Weak evidence </w:t>
      </w:r>
      <w:r>
        <w:rPr>
          <w:szCs w:val="24"/>
        </w:rPr>
        <w:t>f</w:t>
      </w:r>
      <w:r w:rsidR="004E1C22">
        <w:rPr>
          <w:szCs w:val="24"/>
        </w:rPr>
        <w:t>or a</w:t>
      </w:r>
      <w:r>
        <w:rPr>
          <w:szCs w:val="24"/>
        </w:rPr>
        <w:t xml:space="preserve"> similar association was observed in the Australian cohort (p=0.075)</w:t>
      </w:r>
      <w:r w:rsidRPr="00CF0DFC">
        <w:rPr>
          <w:szCs w:val="24"/>
        </w:rPr>
        <w:t xml:space="preserve"> (</w:t>
      </w:r>
      <w:r w:rsidRPr="00CF0DFC">
        <w:rPr>
          <w:szCs w:val="24"/>
          <w:lang w:val="en-AU"/>
        </w:rPr>
        <w:t xml:space="preserve">Table </w:t>
      </w:r>
      <w:r>
        <w:rPr>
          <w:szCs w:val="24"/>
          <w:lang w:val="en-AU"/>
        </w:rPr>
        <w:t>S6</w:t>
      </w:r>
      <w:r w:rsidRPr="00CF0DFC">
        <w:rPr>
          <w:szCs w:val="24"/>
          <w:lang w:val="en-AU"/>
        </w:rPr>
        <w:t>)</w:t>
      </w:r>
      <w:r w:rsidRPr="00CF0DFC">
        <w:rPr>
          <w:szCs w:val="24"/>
        </w:rPr>
        <w:t>.</w:t>
      </w:r>
      <w:r>
        <w:rPr>
          <w:szCs w:val="24"/>
        </w:rPr>
        <w:t xml:space="preserve"> When comparing the use of </w:t>
      </w:r>
      <w:r w:rsidR="004E1C22">
        <w:rPr>
          <w:szCs w:val="24"/>
        </w:rPr>
        <w:t xml:space="preserve">topical </w:t>
      </w:r>
      <w:r>
        <w:rPr>
          <w:szCs w:val="24"/>
        </w:rPr>
        <w:t>steroids among those with eczema, there was no evidence of an associa</w:t>
      </w:r>
      <w:r w:rsidR="004E1C22">
        <w:rPr>
          <w:szCs w:val="24"/>
        </w:rPr>
        <w:t>tion between eczema and steroid</w:t>
      </w:r>
      <w:r>
        <w:rPr>
          <w:szCs w:val="24"/>
        </w:rPr>
        <w:t xml:space="preserve"> use with risk of food allergy in both cohorts (data not shown).</w:t>
      </w:r>
    </w:p>
    <w:p w14:paraId="5E4CFEA9" w14:textId="279F748F" w:rsidR="00DF6BA7" w:rsidRPr="00DF6BA7" w:rsidRDefault="00DF6BA7" w:rsidP="004354A5">
      <w:pPr>
        <w:spacing w:line="480" w:lineRule="auto"/>
        <w:ind w:firstLine="720"/>
        <w:jc w:val="both"/>
        <w:rPr>
          <w:lang w:val="en-AU"/>
        </w:rPr>
      </w:pPr>
    </w:p>
    <w:p w14:paraId="475F2159" w14:textId="3D9DAEF0" w:rsidR="00AA17CF" w:rsidRPr="00A37B3E" w:rsidRDefault="00AC0FED" w:rsidP="00A936C1">
      <w:pPr>
        <w:spacing w:line="480" w:lineRule="auto"/>
        <w:jc w:val="both"/>
        <w:sectPr w:rsidR="00AA17CF" w:rsidRPr="00A37B3E" w:rsidSect="00002A2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r>
        <w:tab/>
      </w:r>
      <w:r w:rsidR="00A936C1" w:rsidRPr="00DA584F">
        <w:rPr>
          <w:szCs w:val="24"/>
        </w:rPr>
        <w:t xml:space="preserve">In </w:t>
      </w:r>
      <w:r w:rsidR="00A936C1">
        <w:rPr>
          <w:szCs w:val="24"/>
        </w:rPr>
        <w:t>the adjusted models assessing environmental</w:t>
      </w:r>
      <w:r w:rsidR="00A936C1" w:rsidRPr="00DA584F">
        <w:rPr>
          <w:szCs w:val="24"/>
        </w:rPr>
        <w:t xml:space="preserve"> </w:t>
      </w:r>
      <w:r w:rsidR="00A936C1">
        <w:rPr>
          <w:szCs w:val="24"/>
        </w:rPr>
        <w:t>factors</w:t>
      </w:r>
      <w:r w:rsidR="00A936C1" w:rsidRPr="00DA584F">
        <w:rPr>
          <w:szCs w:val="24"/>
        </w:rPr>
        <w:t xml:space="preserve"> </w:t>
      </w:r>
      <w:r w:rsidR="00A936C1">
        <w:rPr>
          <w:szCs w:val="24"/>
        </w:rPr>
        <w:t>and infant diet</w:t>
      </w:r>
      <w:r w:rsidR="00A936C1" w:rsidRPr="00DA584F">
        <w:rPr>
          <w:szCs w:val="24"/>
        </w:rPr>
        <w:t xml:space="preserve">, </w:t>
      </w:r>
      <w:r w:rsidR="00A936C1">
        <w:rPr>
          <w:szCs w:val="24"/>
        </w:rPr>
        <w:t>there was no evidence of an association between any of the factors examined and food allergy (Table 3)</w:t>
      </w:r>
      <w:r w:rsidR="00A936C1" w:rsidRPr="00DA584F">
        <w:rPr>
          <w:szCs w:val="24"/>
        </w:rPr>
        <w:t>.</w:t>
      </w:r>
      <w:r w:rsidR="00A936C1">
        <w:rPr>
          <w:iCs/>
          <w:lang w:val="en-AU"/>
        </w:rPr>
        <w:t xml:space="preserve"> </w:t>
      </w:r>
      <w:bookmarkStart w:id="9" w:name="_Ref535662566"/>
      <w:r w:rsidR="00A936C1">
        <w:rPr>
          <w:iCs/>
          <w:lang w:val="en-AU"/>
        </w:rPr>
        <w:t>T</w:t>
      </w:r>
      <w:r w:rsidR="00C91532">
        <w:rPr>
          <w:iCs/>
          <w:lang w:val="en-AU"/>
        </w:rPr>
        <w:t xml:space="preserve">here was </w:t>
      </w:r>
      <w:r w:rsidR="002D55F1">
        <w:rPr>
          <w:iCs/>
          <w:lang w:val="en-AU"/>
        </w:rPr>
        <w:t xml:space="preserve">also </w:t>
      </w:r>
      <w:r w:rsidR="00C91532">
        <w:rPr>
          <w:iCs/>
          <w:lang w:val="en-AU"/>
        </w:rPr>
        <w:t>no strong evidence that the association between any of the</w:t>
      </w:r>
      <w:r w:rsidR="00A936C1">
        <w:rPr>
          <w:iCs/>
          <w:lang w:val="en-AU"/>
        </w:rPr>
        <w:t xml:space="preserve"> examined</w:t>
      </w:r>
      <w:r w:rsidR="00C91532">
        <w:rPr>
          <w:iCs/>
          <w:lang w:val="en-AU"/>
        </w:rPr>
        <w:t xml:space="preserve"> factors </w:t>
      </w:r>
      <w:r w:rsidR="00C91532">
        <w:rPr>
          <w:iCs/>
          <w:lang w:val="en-AU"/>
        </w:rPr>
        <w:lastRenderedPageBreak/>
        <w:t>and food allergy differe</w:t>
      </w:r>
      <w:r w:rsidR="003B514C">
        <w:rPr>
          <w:iCs/>
          <w:lang w:val="en-AU"/>
        </w:rPr>
        <w:t xml:space="preserve">d between cohorts (all </w:t>
      </w:r>
      <w:r w:rsidR="0020437E">
        <w:rPr>
          <w:iCs/>
          <w:lang w:val="en-AU"/>
        </w:rPr>
        <w:t xml:space="preserve">interaction </w:t>
      </w:r>
      <w:r w:rsidR="003B514C">
        <w:rPr>
          <w:iCs/>
          <w:lang w:val="en-AU"/>
        </w:rPr>
        <w:t>P&gt;0.05)</w:t>
      </w:r>
      <w:r w:rsidR="00A936C1">
        <w:rPr>
          <w:iCs/>
          <w:lang w:val="en-AU"/>
        </w:rPr>
        <w:t xml:space="preserve">, apart from paternal history of atopy and type of milk </w:t>
      </w:r>
      <w:proofErr w:type="gramStart"/>
      <w:r w:rsidR="00A936C1">
        <w:rPr>
          <w:iCs/>
          <w:lang w:val="en-AU"/>
        </w:rPr>
        <w:t xml:space="preserve">feeding </w:t>
      </w:r>
      <w:r w:rsidR="009343A9">
        <w:rPr>
          <w:iCs/>
          <w:lang w:val="en-AU"/>
        </w:rPr>
        <w:t xml:space="preserve"> (</w:t>
      </w:r>
      <w:proofErr w:type="gramEnd"/>
      <w:r w:rsidR="009343A9">
        <w:rPr>
          <w:iCs/>
          <w:lang w:val="en-AU"/>
        </w:rPr>
        <w:t>Table S5)</w:t>
      </w:r>
      <w:r w:rsidR="003B514C">
        <w:rPr>
          <w:iCs/>
          <w:lang w:val="en-AU"/>
        </w:rPr>
        <w:t>.</w:t>
      </w:r>
      <w:bookmarkEnd w:id="9"/>
      <w:r w:rsidR="00664B7A">
        <w:rPr>
          <w:iCs/>
          <w:lang w:val="en-AU"/>
        </w:rPr>
        <w:t xml:space="preserve"> In the Singapore cohort, those who were fully breastfed had increased odds of food allergy compared to those who </w:t>
      </w:r>
      <w:r w:rsidR="004E1C22">
        <w:rPr>
          <w:iCs/>
          <w:lang w:val="en-AU"/>
        </w:rPr>
        <w:t>received</w:t>
      </w:r>
      <w:r w:rsidR="00664B7A">
        <w:rPr>
          <w:iCs/>
          <w:lang w:val="en-AU"/>
        </w:rPr>
        <w:t xml:space="preserve"> mixed feeding [OR </w:t>
      </w:r>
      <w:r w:rsidR="00664B7A">
        <w:rPr>
          <w:lang w:val="en-AU"/>
        </w:rPr>
        <w:t>9.89 (2.59-37.87)]</w:t>
      </w:r>
      <w:r w:rsidR="00A37B3E">
        <w:rPr>
          <w:iCs/>
          <w:lang w:val="en-AU"/>
        </w:rPr>
        <w:t>.</w:t>
      </w:r>
    </w:p>
    <w:p w14:paraId="319163D9" w14:textId="45A33C62" w:rsidR="001361C6" w:rsidRPr="003B514C" w:rsidRDefault="003B7459" w:rsidP="007509E5">
      <w:pPr>
        <w:pStyle w:val="heading1nonumber"/>
        <w:rPr>
          <w:b w:val="0"/>
          <w:szCs w:val="24"/>
        </w:rPr>
      </w:pPr>
      <w:r w:rsidRPr="009D4DED">
        <w:lastRenderedPageBreak/>
        <w:t>Discussion</w:t>
      </w:r>
    </w:p>
    <w:p w14:paraId="31B05440" w14:textId="09B0F1D3" w:rsidR="00A263C4" w:rsidRDefault="00B55B4B" w:rsidP="00D648F3">
      <w:pPr>
        <w:spacing w:line="480" w:lineRule="auto"/>
        <w:ind w:firstLine="357"/>
        <w:jc w:val="both"/>
      </w:pPr>
      <w:r>
        <w:t>This is the first study directly comparing the prevalence</w:t>
      </w:r>
      <w:r w:rsidR="001C12B4">
        <w:t xml:space="preserve"> </w:t>
      </w:r>
      <w:r w:rsidR="000B137B">
        <w:t xml:space="preserve">of food allergy </w:t>
      </w:r>
      <w:r w:rsidR="00923B24">
        <w:t>and identify</w:t>
      </w:r>
      <w:r w:rsidR="00EF7099">
        <w:t>ing</w:t>
      </w:r>
      <w:r w:rsidR="000B137B">
        <w:t xml:space="preserve"> whether known</w:t>
      </w:r>
      <w:r w:rsidR="00923B24">
        <w:t xml:space="preserve"> risk factors</w:t>
      </w:r>
      <w:r w:rsidR="00076092">
        <w:t xml:space="preserve"> </w:t>
      </w:r>
      <w:r w:rsidR="004A624C">
        <w:t>for food allergy</w:t>
      </w:r>
      <w:r w:rsidR="000B137B">
        <w:t xml:space="preserve"> are different </w:t>
      </w:r>
      <w:r>
        <w:t>in Asian children living in two different geographical locations</w:t>
      </w:r>
      <w:r w:rsidR="00C4391A">
        <w:t xml:space="preserve">, utilizing combined data from </w:t>
      </w:r>
      <w:r w:rsidR="00E6214D">
        <w:t xml:space="preserve">two </w:t>
      </w:r>
      <w:r w:rsidR="00C4391A">
        <w:t>cohorts</w:t>
      </w:r>
      <w:r w:rsidR="00F74E08">
        <w:t xml:space="preserve"> – </w:t>
      </w:r>
      <w:proofErr w:type="spellStart"/>
      <w:r w:rsidR="00F74E08">
        <w:t>HealthNuts</w:t>
      </w:r>
      <w:proofErr w:type="spellEnd"/>
      <w:r w:rsidR="002E621A">
        <w:t xml:space="preserve"> (Australia)</w:t>
      </w:r>
      <w:r w:rsidR="00F74E08">
        <w:t xml:space="preserve"> and GUSTO</w:t>
      </w:r>
      <w:r w:rsidR="002E621A">
        <w:t xml:space="preserve"> (Singapore)</w:t>
      </w:r>
      <w:r>
        <w:t xml:space="preserve">. </w:t>
      </w:r>
      <w:r w:rsidR="001D5C3B">
        <w:t xml:space="preserve">Despite the </w:t>
      </w:r>
      <w:r w:rsidR="00AB3A36">
        <w:t>ethnic similarities between b</w:t>
      </w:r>
      <w:r w:rsidR="00A17E9E">
        <w:t xml:space="preserve">oth </w:t>
      </w:r>
      <w:r w:rsidR="00F74E08">
        <w:t>cohorts</w:t>
      </w:r>
      <w:r w:rsidR="00A17E9E">
        <w:t>, t</w:t>
      </w:r>
      <w:r w:rsidR="007517A3">
        <w:t>he</w:t>
      </w:r>
      <w:r w:rsidR="001C601F">
        <w:t xml:space="preserve"> prevalence of food allergy in </w:t>
      </w:r>
      <w:r w:rsidR="002E621A">
        <w:t>Singapore</w:t>
      </w:r>
      <w:r w:rsidR="002F4DF9">
        <w:t xml:space="preserve"> (1.1</w:t>
      </w:r>
      <w:r w:rsidR="001C601F">
        <w:t xml:space="preserve">%) was </w:t>
      </w:r>
      <w:r w:rsidR="00FB64C6">
        <w:t xml:space="preserve">substantially </w:t>
      </w:r>
      <w:r w:rsidR="001C601F">
        <w:t xml:space="preserve">lower than in </w:t>
      </w:r>
      <w:r w:rsidR="002E621A">
        <w:t xml:space="preserve">Asians living in Australia </w:t>
      </w:r>
      <w:r w:rsidR="00F165A7">
        <w:t>(15</w:t>
      </w:r>
      <w:r w:rsidR="001C601F">
        <w:t>%)</w:t>
      </w:r>
      <w:r w:rsidR="00860DE8">
        <w:t xml:space="preserve"> (p&lt;0.001).</w:t>
      </w:r>
      <w:r w:rsidR="00E9164B">
        <w:t xml:space="preserve"> </w:t>
      </w:r>
      <w:r w:rsidR="008604B3">
        <w:t xml:space="preserve">Prevalence of eczema was also lower in Singapore. </w:t>
      </w:r>
      <w:r w:rsidR="00E9164B">
        <w:t>We also showed that e</w:t>
      </w:r>
      <w:r w:rsidR="004A624C">
        <w:t>arly onset eczema was associated with food allergy in Australia</w:t>
      </w:r>
      <w:r w:rsidR="007E572A">
        <w:t>; the magnitude of association was similar in</w:t>
      </w:r>
      <w:r w:rsidR="004A624C">
        <w:t xml:space="preserve"> Singapore</w:t>
      </w:r>
      <w:r w:rsidR="007E572A">
        <w:t xml:space="preserve"> </w:t>
      </w:r>
      <w:r w:rsidR="003A1275">
        <w:t>but lacked precision with 95% CI</w:t>
      </w:r>
      <w:r w:rsidR="007E572A">
        <w:t>s including the null</w:t>
      </w:r>
      <w:r w:rsidR="004A624C">
        <w:t xml:space="preserve">. </w:t>
      </w:r>
      <w:r w:rsidR="00370EAB">
        <w:t>These findings suggest</w:t>
      </w:r>
      <w:r w:rsidR="00DE3958">
        <w:t xml:space="preserve"> that </w:t>
      </w:r>
      <w:r w:rsidR="00E3442C">
        <w:t xml:space="preserve">early life </w:t>
      </w:r>
      <w:r w:rsidR="00DE3958">
        <w:t xml:space="preserve">environmental factors </w:t>
      </w:r>
      <w:r w:rsidR="0034444C">
        <w:t xml:space="preserve">and gene-environment interactions are </w:t>
      </w:r>
      <w:r w:rsidR="00D32CB9">
        <w:t>likely</w:t>
      </w:r>
      <w:r w:rsidR="0034444C">
        <w:t xml:space="preserve"> to</w:t>
      </w:r>
      <w:r w:rsidR="00DE3958">
        <w:t xml:space="preserve"> play a significant role in modulating food allergy development in </w:t>
      </w:r>
      <w:r w:rsidR="000C46BE">
        <w:t xml:space="preserve">ethnic </w:t>
      </w:r>
      <w:r w:rsidR="00DE3958">
        <w:t xml:space="preserve">Asians. </w:t>
      </w:r>
    </w:p>
    <w:p w14:paraId="549CDB9D" w14:textId="084994E9" w:rsidR="00DB2F88" w:rsidRDefault="00E466F8" w:rsidP="00EA54CA">
      <w:pPr>
        <w:spacing w:line="480" w:lineRule="auto"/>
        <w:ind w:firstLine="357"/>
        <w:jc w:val="both"/>
      </w:pPr>
      <w:r>
        <w:t>We found that the</w:t>
      </w:r>
      <w:r w:rsidR="004A6EBC">
        <w:t xml:space="preserve"> prevalence of several risk</w:t>
      </w:r>
      <w:r w:rsidR="00EC39C1">
        <w:t xml:space="preserve"> factors and environmental exposures differed between the cohort</w:t>
      </w:r>
      <w:r w:rsidR="003C29E9">
        <w:t>s</w:t>
      </w:r>
      <w:r w:rsidR="00C94024">
        <w:t xml:space="preserve">, namely higher maternal and </w:t>
      </w:r>
      <w:r w:rsidR="00BC6067">
        <w:t xml:space="preserve">household </w:t>
      </w:r>
      <w:r w:rsidR="00BC6067">
        <w:rPr>
          <w:rFonts w:eastAsia="Times New Roman"/>
          <w:color w:val="000000"/>
          <w:szCs w:val="24"/>
          <w:lang w:val="en-AU" w:eastAsia="en-AU"/>
        </w:rPr>
        <w:t>exposure to tobacco smoke</w:t>
      </w:r>
      <w:r w:rsidR="00BC6067">
        <w:t xml:space="preserve"> </w:t>
      </w:r>
      <w:r w:rsidR="00610EFE">
        <w:t>and</w:t>
      </w:r>
      <w:r w:rsidR="00C94024">
        <w:t xml:space="preserve"> </w:t>
      </w:r>
      <w:r w:rsidR="00F674D2">
        <w:t>larger familie</w:t>
      </w:r>
      <w:r w:rsidR="00610EFE">
        <w:t xml:space="preserve">s in </w:t>
      </w:r>
      <w:r w:rsidR="002E621A">
        <w:t xml:space="preserve">Singapore as well as </w:t>
      </w:r>
      <w:r w:rsidR="004E2714">
        <w:t>a</w:t>
      </w:r>
      <w:r w:rsidR="00C94024">
        <w:t xml:space="preserve"> higher proportion of children with delayed introduction of solids</w:t>
      </w:r>
      <w:r w:rsidR="002E621A">
        <w:t xml:space="preserve"> and</w:t>
      </w:r>
      <w:r w:rsidR="00C94024">
        <w:t xml:space="preserve"> egg and shorter </w:t>
      </w:r>
      <w:r w:rsidR="00991C4A">
        <w:t xml:space="preserve">duration of </w:t>
      </w:r>
      <w:r w:rsidR="002372E4">
        <w:t xml:space="preserve">exclusive </w:t>
      </w:r>
      <w:r w:rsidR="00C94024">
        <w:t>breastfeeding</w:t>
      </w:r>
      <w:r w:rsidR="00921D43">
        <w:t xml:space="preserve">. </w:t>
      </w:r>
      <w:r w:rsidR="00610EFE">
        <w:t xml:space="preserve">More </w:t>
      </w:r>
      <w:r w:rsidR="002E621A">
        <w:t xml:space="preserve">Asian </w:t>
      </w:r>
      <w:r w:rsidR="00610EFE">
        <w:t xml:space="preserve">children </w:t>
      </w:r>
      <w:r w:rsidR="002E621A">
        <w:t xml:space="preserve">in Australia </w:t>
      </w:r>
      <w:r w:rsidR="00610EFE">
        <w:t>had a family history of atopy</w:t>
      </w:r>
      <w:r w:rsidR="002E621A">
        <w:t xml:space="preserve">, </w:t>
      </w:r>
      <w:r w:rsidR="00921D43">
        <w:t>more mothers reported intake of allergenic foods during pregnancy</w:t>
      </w:r>
      <w:r w:rsidR="002E621A">
        <w:t xml:space="preserve"> and more mothers </w:t>
      </w:r>
      <w:r w:rsidR="00E819EF">
        <w:t xml:space="preserve">had completed tertiary education. </w:t>
      </w:r>
      <w:r w:rsidR="00167B9C">
        <w:t xml:space="preserve">The differences in these factors may be due to </w:t>
      </w:r>
      <w:r w:rsidR="00010681">
        <w:t xml:space="preserve">cultural </w:t>
      </w:r>
      <w:r w:rsidR="00AE5306">
        <w:t xml:space="preserve">and societal </w:t>
      </w:r>
      <w:r w:rsidR="00010681">
        <w:t>influences</w:t>
      </w:r>
      <w:r w:rsidR="003B2DBD">
        <w:t xml:space="preserve">, as well as </w:t>
      </w:r>
      <w:r w:rsidR="003B67E9">
        <w:t xml:space="preserve">maternal </w:t>
      </w:r>
      <w:r w:rsidR="00652AE9">
        <w:t>educational backgrou</w:t>
      </w:r>
      <w:r w:rsidR="00B815DE">
        <w:t>nd and awareness</w:t>
      </w:r>
      <w:r w:rsidR="00953322">
        <w:t xml:space="preserve"> of prevailing infant feeding guidelines</w:t>
      </w:r>
      <w:r w:rsidR="00B815DE">
        <w:t>.</w:t>
      </w:r>
      <w:r w:rsidR="004A624C">
        <w:t xml:space="preserve"> </w:t>
      </w:r>
      <w:r w:rsidR="006A5B92">
        <w:t xml:space="preserve">Despite </w:t>
      </w:r>
      <w:r w:rsidR="00E06F04">
        <w:t xml:space="preserve">the observed differences, these risk factors were not </w:t>
      </w:r>
      <w:r w:rsidR="00370EAB">
        <w:t>strongly</w:t>
      </w:r>
      <w:r w:rsidR="00E06F04">
        <w:t xml:space="preserve"> associated with food allergy in the respective cohorts.</w:t>
      </w:r>
      <w:r w:rsidR="00885103" w:rsidRPr="00885103">
        <w:t xml:space="preserve"> </w:t>
      </w:r>
      <w:r w:rsidR="00885103">
        <w:t xml:space="preserve">There was also little </w:t>
      </w:r>
      <w:proofErr w:type="gramStart"/>
      <w:r w:rsidR="00885103">
        <w:t>evidence  that</w:t>
      </w:r>
      <w:proofErr w:type="gramEnd"/>
      <w:r w:rsidR="00885103">
        <w:t xml:space="preserve"> the relationship between individual risk factors and food allergy differed between the two cohorts.</w:t>
      </w:r>
    </w:p>
    <w:p w14:paraId="7FB5B5F7" w14:textId="7CE5F25E" w:rsidR="00370EAB" w:rsidRDefault="002C35E9" w:rsidP="009D4DED">
      <w:pPr>
        <w:spacing w:line="480" w:lineRule="auto"/>
        <w:ind w:firstLine="357"/>
        <w:jc w:val="both"/>
      </w:pPr>
      <w:r w:rsidRPr="00874023">
        <w:t>Previous allergy guidelines</w:t>
      </w:r>
      <w:r w:rsidR="002E621A">
        <w:t xml:space="preserve"> internationally</w:t>
      </w:r>
      <w:r w:rsidRPr="00874023">
        <w:t xml:space="preserve"> recommended avoidance of allergenic foods during pregnancy</w:t>
      </w:r>
      <w:r w:rsidR="00D87D1D">
        <w:t xml:space="preserve"> and in early life</w:t>
      </w:r>
      <w:r w:rsidRPr="00874023">
        <w:t xml:space="preserve"> for the prevention of food allergy in infants</w:t>
      </w:r>
      <w:r w:rsidR="009F570B">
        <w:t>.</w:t>
      </w:r>
      <w:r w:rsidR="00FD1CFA" w:rsidRPr="00FD1CFA">
        <w:rPr>
          <w:noProof/>
          <w:vertAlign w:val="superscript"/>
        </w:rPr>
        <w:t>21,22</w:t>
      </w:r>
      <w:r w:rsidRPr="00874023">
        <w:t xml:space="preserve"> However, as the evidence base for this recommendation was weak, </w:t>
      </w:r>
      <w:r w:rsidR="002C6405" w:rsidRPr="00874023">
        <w:t>this guideline was later revoked</w:t>
      </w:r>
      <w:r w:rsidR="00F131C0">
        <w:t>.</w:t>
      </w:r>
      <w:r w:rsidR="00230C2E" w:rsidRPr="00230C2E">
        <w:rPr>
          <w:noProof/>
          <w:vertAlign w:val="superscript"/>
        </w:rPr>
        <w:t>23</w:t>
      </w:r>
      <w:r w:rsidR="00F131C0">
        <w:t xml:space="preserve"> </w:t>
      </w:r>
      <w:r w:rsidR="00370EAB">
        <w:lastRenderedPageBreak/>
        <w:t>More recently, clinical trials,</w:t>
      </w:r>
      <w:r w:rsidR="008D728C">
        <w:t xml:space="preserve"> systematic reviews and meta-analyses have </w:t>
      </w:r>
      <w:r w:rsidR="00ED14D6">
        <w:t xml:space="preserve">shown </w:t>
      </w:r>
      <w:r w:rsidR="008D728C">
        <w:t xml:space="preserve">early introduction </w:t>
      </w:r>
      <w:r w:rsidR="00370EAB">
        <w:t>of peanut and egg into the infant diet</w:t>
      </w:r>
      <w:r w:rsidR="008D728C">
        <w:t xml:space="preserve"> to be protective </w:t>
      </w:r>
      <w:r w:rsidR="00ED14D6">
        <w:t xml:space="preserve">against food allergy </w:t>
      </w:r>
      <w:r w:rsidR="00FD1CFA" w:rsidRPr="00FD1CFA">
        <w:rPr>
          <w:noProof/>
          <w:vertAlign w:val="superscript"/>
        </w:rPr>
        <w:t>24,25</w:t>
      </w:r>
      <w:r w:rsidR="00ED14D6">
        <w:t xml:space="preserve">. </w:t>
      </w:r>
      <w:r w:rsidR="00A75EA6" w:rsidRPr="00874023">
        <w:t>Many mothers</w:t>
      </w:r>
      <w:r w:rsidR="002E621A">
        <w:t xml:space="preserve"> in Singapore</w:t>
      </w:r>
      <w:r w:rsidR="00A75EA6" w:rsidRPr="00874023">
        <w:t>, however, still do not routinely consume allergenic foods during pregnancy</w:t>
      </w:r>
      <w:r w:rsidR="00413F70">
        <w:t xml:space="preserve"> </w:t>
      </w:r>
      <w:r w:rsidR="00635CBE">
        <w:t xml:space="preserve">and more </w:t>
      </w:r>
      <w:r w:rsidR="005C33EB">
        <w:t xml:space="preserve">mothers </w:t>
      </w:r>
      <w:r w:rsidR="002E621A">
        <w:t xml:space="preserve">in Singapore </w:t>
      </w:r>
      <w:r w:rsidR="005C33EB">
        <w:t xml:space="preserve">also delayed the introduction of eggs into their </w:t>
      </w:r>
      <w:r w:rsidR="0041414F">
        <w:t>children</w:t>
      </w:r>
      <w:r w:rsidR="005C33EB">
        <w:t>’</w:t>
      </w:r>
      <w:r w:rsidR="0041414F">
        <w:t>s</w:t>
      </w:r>
      <w:r w:rsidR="005C33EB">
        <w:t xml:space="preserve"> diets co</w:t>
      </w:r>
      <w:r w:rsidR="00D644DB">
        <w:t xml:space="preserve">mpared to </w:t>
      </w:r>
      <w:r w:rsidR="002E621A">
        <w:t xml:space="preserve">Asian </w:t>
      </w:r>
      <w:r w:rsidR="00D644DB">
        <w:t>mothers</w:t>
      </w:r>
      <w:r w:rsidR="002E621A">
        <w:t xml:space="preserve"> in Australia</w:t>
      </w:r>
      <w:r w:rsidR="00370EAB">
        <w:t>. P</w:t>
      </w:r>
      <w:r w:rsidR="00D644DB">
        <w:t xml:space="preserve">eanut introduction </w:t>
      </w:r>
      <w:r w:rsidR="00370EAB">
        <w:t>mostly occurred</w:t>
      </w:r>
      <w:r w:rsidR="002E621A">
        <w:t xml:space="preserve"> after 12 months</w:t>
      </w:r>
      <w:r w:rsidR="00662869">
        <w:t xml:space="preserve"> in both cohorts.</w:t>
      </w:r>
      <w:r w:rsidR="008763C0" w:rsidRPr="00874023">
        <w:t xml:space="preserve"> </w:t>
      </w:r>
      <w:r w:rsidR="00885103">
        <w:t xml:space="preserve">There was no evidence of an association between timing of egg or peanut introduction in the Asian population in Singapore or Australia in adjusted models, perhaps due to limited power to detect associations. </w:t>
      </w:r>
      <w:r w:rsidR="008763C0">
        <w:t xml:space="preserve">However, </w:t>
      </w:r>
      <w:r w:rsidR="00885103">
        <w:t>we have previously shown that Singaporean children have a low prevalence of food allergy despite delayed introduction of allergenic food</w:t>
      </w:r>
      <w:r w:rsidR="00230C2E" w:rsidRPr="00230C2E">
        <w:rPr>
          <w:noProof/>
          <w:vertAlign w:val="superscript"/>
        </w:rPr>
        <w:t>6</w:t>
      </w:r>
      <w:r w:rsidR="00885103">
        <w:t>.</w:t>
      </w:r>
      <w:r w:rsidR="009D4DED">
        <w:t xml:space="preserve"> </w:t>
      </w:r>
      <w:r w:rsidR="00885103">
        <w:t>Collectively, ti</w:t>
      </w:r>
      <w:r w:rsidR="00370EAB">
        <w:t xml:space="preserve">ming of introduction of allergenic foods into the infant diet is therefore unlikely to explain the higher prevalence of food allergy among Asian children in Australia. </w:t>
      </w:r>
      <w:r w:rsidR="00E31620">
        <w:t xml:space="preserve">It may also be that early introduction of </w:t>
      </w:r>
      <w:r w:rsidR="004E1C22">
        <w:t xml:space="preserve">certain </w:t>
      </w:r>
      <w:r w:rsidR="00E31620">
        <w:t>food</w:t>
      </w:r>
      <w:r w:rsidR="004E1C22">
        <w:t>s</w:t>
      </w:r>
      <w:r w:rsidR="00E31620">
        <w:t xml:space="preserve"> is beneficial only in groups at high risk of developing food allergy and given that </w:t>
      </w:r>
      <w:r w:rsidR="004E1C22">
        <w:t xml:space="preserve">the </w:t>
      </w:r>
      <w:r w:rsidR="00E31620">
        <w:t>prevalenc</w:t>
      </w:r>
      <w:r w:rsidR="004E1C22">
        <w:t>e of allergy was</w:t>
      </w:r>
      <w:r w:rsidR="00E31620">
        <w:t xml:space="preserve"> generally lower in Singapore, the delay in food introduction </w:t>
      </w:r>
      <w:r w:rsidR="004E1C22">
        <w:t>seems unlikely to</w:t>
      </w:r>
      <w:r w:rsidR="00E31620">
        <w:t xml:space="preserve"> </w:t>
      </w:r>
      <w:r w:rsidR="004E1C22">
        <w:t>contribute</w:t>
      </w:r>
      <w:r w:rsidR="00E31620">
        <w:t xml:space="preserve"> a </w:t>
      </w:r>
      <w:r w:rsidR="004E1C22">
        <w:t>detrimental effect o</w:t>
      </w:r>
      <w:r w:rsidR="00E31620">
        <w:t xml:space="preserve">n the development of food allergy. </w:t>
      </w:r>
    </w:p>
    <w:p w14:paraId="45DF62B4" w14:textId="53AB287C" w:rsidR="00BD73EC" w:rsidRDefault="00FF5B82" w:rsidP="00B8431B">
      <w:pPr>
        <w:spacing w:line="480" w:lineRule="auto"/>
        <w:ind w:firstLine="357"/>
        <w:jc w:val="both"/>
      </w:pPr>
      <w:r>
        <w:t>We foun</w:t>
      </w:r>
      <w:r w:rsidR="00B557E0">
        <w:t xml:space="preserve">d </w:t>
      </w:r>
      <w:r>
        <w:t xml:space="preserve">a </w:t>
      </w:r>
      <w:r w:rsidR="00885103">
        <w:t xml:space="preserve">much </w:t>
      </w:r>
      <w:r>
        <w:t xml:space="preserve">higher prevalence </w:t>
      </w:r>
      <w:r w:rsidR="00885103">
        <w:t>of early onset eczema</w:t>
      </w:r>
      <w:r>
        <w:t xml:space="preserve"> </w:t>
      </w:r>
      <w:r w:rsidR="002B4C87">
        <w:t>in Australia</w:t>
      </w:r>
      <w:r w:rsidR="00885103">
        <w:t xml:space="preserve">, while the association between early onset eczema and food allergy was similar in </w:t>
      </w:r>
      <w:r>
        <w:t xml:space="preserve">Australian </w:t>
      </w:r>
      <w:r w:rsidR="002B4C87">
        <w:t xml:space="preserve">and </w:t>
      </w:r>
      <w:r>
        <w:t xml:space="preserve">Singaporean </w:t>
      </w:r>
      <w:r w:rsidR="0041414F">
        <w:t>children</w:t>
      </w:r>
      <w:r>
        <w:t>.</w:t>
      </w:r>
      <w:r w:rsidR="00C31DA6">
        <w:t xml:space="preserve"> </w:t>
      </w:r>
      <w:r w:rsidR="00B8431B">
        <w:t>T</w:t>
      </w:r>
      <w:r w:rsidR="00C31DA6">
        <w:t>he</w:t>
      </w:r>
      <w:r w:rsidR="00885103">
        <w:t xml:space="preserve"> strong</w:t>
      </w:r>
      <w:r w:rsidR="00C31DA6">
        <w:t xml:space="preserve"> association between early onset eczema and food allergy is</w:t>
      </w:r>
      <w:r w:rsidR="001E2733">
        <w:t xml:space="preserve"> consistent with other cohort and mechanistic studies which </w:t>
      </w:r>
      <w:r w:rsidR="002C45D5">
        <w:t>implicate</w:t>
      </w:r>
      <w:r w:rsidR="001E2733">
        <w:t xml:space="preserve"> </w:t>
      </w:r>
      <w:proofErr w:type="spellStart"/>
      <w:r w:rsidR="001E2733">
        <w:t>epicutaneous</w:t>
      </w:r>
      <w:proofErr w:type="spellEnd"/>
      <w:r w:rsidR="001E2733">
        <w:t xml:space="preserve"> sensitization</w:t>
      </w:r>
      <w:r w:rsidR="00B3758B">
        <w:t xml:space="preserve"> to food allergens</w:t>
      </w:r>
      <w:r w:rsidR="001E2733">
        <w:t xml:space="preserve"> through an impaired skin barrier as the primary trigger driving the development of food allergy.</w:t>
      </w:r>
      <w:r w:rsidR="00230C2E" w:rsidRPr="00230C2E">
        <w:rPr>
          <w:noProof/>
          <w:vertAlign w:val="superscript"/>
        </w:rPr>
        <w:t>26-28</w:t>
      </w:r>
      <w:r w:rsidR="001E2733">
        <w:t xml:space="preserve"> </w:t>
      </w:r>
      <w:r w:rsidR="00E84444" w:rsidRPr="00FA6093">
        <w:t>Notably, the prevalence of early onset eczema</w:t>
      </w:r>
      <w:r w:rsidR="001F5446" w:rsidRPr="00FA6093">
        <w:t xml:space="preserve"> with increased severity</w:t>
      </w:r>
      <w:r w:rsidR="00E84444" w:rsidRPr="00FA6093">
        <w:t xml:space="preserve"> was </w:t>
      </w:r>
      <w:r w:rsidR="00BC1002">
        <w:t xml:space="preserve">also </w:t>
      </w:r>
      <w:r w:rsidR="00E84444" w:rsidRPr="00FA6093">
        <w:t xml:space="preserve">higher in </w:t>
      </w:r>
      <w:r w:rsidR="002E621A" w:rsidRPr="00FA6093">
        <w:t xml:space="preserve">Australian-born </w:t>
      </w:r>
      <w:r w:rsidR="00E84444" w:rsidRPr="00FA6093">
        <w:t>Asian children than in children</w:t>
      </w:r>
      <w:r w:rsidR="002E621A" w:rsidRPr="00FA6093">
        <w:t xml:space="preserve"> in Singapore</w:t>
      </w:r>
      <w:r w:rsidR="00E63A88" w:rsidRPr="00FA6093">
        <w:t>.</w:t>
      </w:r>
      <w:r w:rsidR="000F3F0C" w:rsidRPr="000F3F0C">
        <w:t xml:space="preserve"> </w:t>
      </w:r>
      <w:r w:rsidR="000F3F0C" w:rsidRPr="005E312D">
        <w:t>However, g</w:t>
      </w:r>
      <w:r w:rsidR="000F3F0C" w:rsidRPr="005E312D">
        <w:rPr>
          <w:rFonts w:cstheme="minorHAnsi"/>
        </w:rPr>
        <w:t xml:space="preserve">uidelines for the management of eczema and use of topical steroids are similar </w:t>
      </w:r>
      <w:r w:rsidR="004E1C22" w:rsidRPr="005E312D">
        <w:rPr>
          <w:rFonts w:cstheme="minorHAnsi"/>
        </w:rPr>
        <w:t>in</w:t>
      </w:r>
      <w:r w:rsidR="000F3F0C" w:rsidRPr="005E312D">
        <w:rPr>
          <w:rFonts w:cstheme="minorHAnsi"/>
        </w:rPr>
        <w:t xml:space="preserve"> the two countries. Use of moisturisers are recommended regardless of severity of eczema and topical steroids are recommended in the presence of eczema flares. It is possible </w:t>
      </w:r>
      <w:r w:rsidR="000F3F0C" w:rsidRPr="005E312D">
        <w:rPr>
          <w:rFonts w:cstheme="minorHAnsi"/>
        </w:rPr>
        <w:lastRenderedPageBreak/>
        <w:t xml:space="preserve">that </w:t>
      </w:r>
      <w:r w:rsidR="004E1C22" w:rsidRPr="005E312D">
        <w:rPr>
          <w:rFonts w:cstheme="minorHAnsi"/>
        </w:rPr>
        <w:t>parental attitudes to treatment may differ</w:t>
      </w:r>
      <w:r w:rsidR="000F3F0C" w:rsidRPr="005E312D">
        <w:rPr>
          <w:rFonts w:cstheme="minorHAnsi"/>
        </w:rPr>
        <w:t xml:space="preserve"> between these two populations, </w:t>
      </w:r>
      <w:r w:rsidR="004E1C22" w:rsidRPr="005E312D">
        <w:rPr>
          <w:rFonts w:cstheme="minorHAnsi"/>
        </w:rPr>
        <w:t>but</w:t>
      </w:r>
      <w:r w:rsidR="000F3F0C" w:rsidRPr="005E312D">
        <w:rPr>
          <w:rFonts w:cstheme="minorHAnsi"/>
        </w:rPr>
        <w:t xml:space="preserve"> parents from both countries typically do seek medical attention for eczema that is severe and not responding to moisturizers alone. It is thus likely that the difference in the use of topical steroids between the two studies reflects </w:t>
      </w:r>
      <w:r w:rsidR="004E1C22" w:rsidRPr="005E312D">
        <w:rPr>
          <w:rFonts w:cstheme="minorHAnsi"/>
        </w:rPr>
        <w:t>a</w:t>
      </w:r>
      <w:r w:rsidR="000F3F0C" w:rsidRPr="005E312D">
        <w:rPr>
          <w:rFonts w:cstheme="minorHAnsi"/>
        </w:rPr>
        <w:t xml:space="preserve"> difference in eczema severity of infants in the two countries.</w:t>
      </w:r>
      <w:r w:rsidR="00E06F04" w:rsidRPr="005E312D">
        <w:t xml:space="preserve"> </w:t>
      </w:r>
      <w:r w:rsidR="000F3F0C">
        <w:t>E</w:t>
      </w:r>
      <w:r w:rsidR="00276239">
        <w:t xml:space="preserve">arly risk factors for eczema </w:t>
      </w:r>
      <w:r w:rsidR="000F3F0C">
        <w:t xml:space="preserve">may also </w:t>
      </w:r>
      <w:r w:rsidR="00276239">
        <w:t xml:space="preserve">differ in Australia compared to Singapore. </w:t>
      </w:r>
    </w:p>
    <w:p w14:paraId="2473946F" w14:textId="1E2738F5" w:rsidR="00A620A6" w:rsidRDefault="00D05707" w:rsidP="00752ECF">
      <w:pPr>
        <w:spacing w:line="480" w:lineRule="auto"/>
        <w:ind w:firstLine="357"/>
        <w:jc w:val="both"/>
        <w:rPr>
          <w:color w:val="000000"/>
          <w:shd w:val="clear" w:color="auto" w:fill="FFFFFF"/>
        </w:rPr>
      </w:pPr>
      <w:r>
        <w:t xml:space="preserve">Predisposition to eczema among Asians may be compounded by the weaker skin barrier of the </w:t>
      </w:r>
      <w:r w:rsidR="00496C8C">
        <w:t xml:space="preserve">East Asian skin, </w:t>
      </w:r>
      <w:r w:rsidR="00B8431B">
        <w:t>compared to Caucasians and African Americans</w:t>
      </w:r>
      <w:r w:rsidR="00C926C5">
        <w:t xml:space="preserve"> </w:t>
      </w:r>
      <w:r w:rsidR="00230C2E" w:rsidRPr="00230C2E">
        <w:rPr>
          <w:noProof/>
          <w:vertAlign w:val="superscript"/>
        </w:rPr>
        <w:t>29</w:t>
      </w:r>
      <w:r w:rsidR="00496C8C">
        <w:t xml:space="preserve">. </w:t>
      </w:r>
      <w:r w:rsidR="004C7F0A">
        <w:t>A</w:t>
      </w:r>
      <w:r w:rsidR="00496C8C">
        <w:t xml:space="preserve"> </w:t>
      </w:r>
      <w:r w:rsidR="00C43F99">
        <w:t xml:space="preserve">relatively </w:t>
      </w:r>
      <w:r w:rsidR="00496C8C">
        <w:t>weake</w:t>
      </w:r>
      <w:r w:rsidR="00C43F99">
        <w:t>r</w:t>
      </w:r>
      <w:r w:rsidR="00496C8C">
        <w:t xml:space="preserve"> skin barrier of East Asians </w:t>
      </w:r>
      <w:r w:rsidR="00C926C5">
        <w:t xml:space="preserve">living in Australia </w:t>
      </w:r>
      <w:r w:rsidR="00496C8C">
        <w:t xml:space="preserve">may be further compromised by exposure to environmental risk factors </w:t>
      </w:r>
      <w:r w:rsidR="004C7F0A">
        <w:t xml:space="preserve">such as a </w:t>
      </w:r>
      <w:r w:rsidR="00496C8C">
        <w:t>dry climate in Melbourne, further aggravating severity of eczema.</w:t>
      </w:r>
      <w:r w:rsidR="00C926C5">
        <w:t xml:space="preserve"> </w:t>
      </w:r>
      <w:r w:rsidR="00FA6093">
        <w:rPr>
          <w:lang w:val="en-US"/>
        </w:rPr>
        <w:t>The prevalence of eczema</w:t>
      </w:r>
      <w:r w:rsidR="004C7F0A">
        <w:rPr>
          <w:lang w:val="en-US"/>
        </w:rPr>
        <w:t xml:space="preserve"> has previously been shown to be </w:t>
      </w:r>
      <w:r w:rsidR="00FA6093">
        <w:rPr>
          <w:lang w:val="en-US"/>
        </w:rPr>
        <w:t>inversely related to relative ambient humidity in US children.</w:t>
      </w:r>
      <w:r w:rsidR="00230C2E" w:rsidRPr="00230C2E">
        <w:rPr>
          <w:noProof/>
          <w:vertAlign w:val="superscript"/>
          <w:lang w:val="en-US"/>
        </w:rPr>
        <w:t>30</w:t>
      </w:r>
      <w:r w:rsidR="00FA6093">
        <w:rPr>
          <w:lang w:val="en-US"/>
        </w:rPr>
        <w:t xml:space="preserve"> </w:t>
      </w:r>
      <w:r w:rsidR="004C7F0A">
        <w:t>Other studies have</w:t>
      </w:r>
      <w:r w:rsidR="006A5B92">
        <w:t xml:space="preserve"> shown that low humid</w:t>
      </w:r>
      <w:r w:rsidR="00407077">
        <w:t>i</w:t>
      </w:r>
      <w:r w:rsidR="006A5B92">
        <w:t>ty and low temperature decrease skin barrier function</w:t>
      </w:r>
      <w:r w:rsidR="00E31E76">
        <w:t>,</w:t>
      </w:r>
      <w:r w:rsidR="006A5B92">
        <w:t xml:space="preserve"> making the skin more reactive towards irritants and allergens </w:t>
      </w:r>
      <w:r w:rsidR="00230C2E" w:rsidRPr="00230C2E">
        <w:rPr>
          <w:noProof/>
          <w:vertAlign w:val="superscript"/>
        </w:rPr>
        <w:t>31</w:t>
      </w:r>
      <w:r w:rsidR="006A5B92">
        <w:t xml:space="preserve">. </w:t>
      </w:r>
      <w:r w:rsidR="006A5B92">
        <w:rPr>
          <w:lang w:val="en-US"/>
        </w:rPr>
        <w:t xml:space="preserve">Therefore, an environment with high </w:t>
      </w:r>
      <w:r w:rsidR="006A5B92">
        <w:t xml:space="preserve">humidity, such as that in Singapore, may moderate the adverse consequences of </w:t>
      </w:r>
      <w:r>
        <w:t>eczem</w:t>
      </w:r>
      <w:r w:rsidR="008238BC">
        <w:t>a</w:t>
      </w:r>
      <w:r>
        <w:t xml:space="preserve"> </w:t>
      </w:r>
      <w:r w:rsidR="006A5B92">
        <w:t xml:space="preserve">on </w:t>
      </w:r>
      <w:proofErr w:type="spellStart"/>
      <w:r w:rsidR="006A5B92">
        <w:t>epicutaneous</w:t>
      </w:r>
      <w:proofErr w:type="spellEnd"/>
      <w:r w:rsidR="006A5B92">
        <w:t xml:space="preserve"> food allergen sensitization, contributing to the lower prevalence of eczema </w:t>
      </w:r>
      <w:r w:rsidR="000C7840">
        <w:t xml:space="preserve">and food allergy </w:t>
      </w:r>
      <w:r w:rsidR="006A5B92">
        <w:t>observed</w:t>
      </w:r>
      <w:r>
        <w:t xml:space="preserve"> compared to that in Australia</w:t>
      </w:r>
      <w:r w:rsidR="006A5B92">
        <w:t xml:space="preserve">. </w:t>
      </w:r>
    </w:p>
    <w:p w14:paraId="4D087B6A" w14:textId="2961648C" w:rsidR="006A54DE" w:rsidRPr="00020E36" w:rsidRDefault="006A5B92" w:rsidP="006A54DE">
      <w:pPr>
        <w:spacing w:line="480" w:lineRule="auto"/>
        <w:ind w:firstLine="357"/>
        <w:jc w:val="both"/>
        <w:rPr>
          <w:lang w:val="en-US"/>
        </w:rPr>
      </w:pPr>
      <w:r>
        <w:rPr>
          <w:lang w:val="en-US"/>
        </w:rPr>
        <w:t>A combination of factors, such as environmental food allergen exposures and eczema severity, may also modulate a</w:t>
      </w:r>
      <w:r w:rsidR="002218EA">
        <w:rPr>
          <w:lang w:val="en-US"/>
        </w:rPr>
        <w:t xml:space="preserve"> child</w:t>
      </w:r>
      <w:r>
        <w:rPr>
          <w:lang w:val="en-US"/>
        </w:rPr>
        <w:t xml:space="preserve">’s risk of developing food allergy. We have shown here that maternal allergen consumption during pregnancy was significantly lower in Singapore. This may in turn be a surrogate indicator of household allergen consumption, which has been linked with increased risks of allergen sensitization in high-risk children with eczema, in a series of studies by Brough et al. </w:t>
      </w:r>
      <w:r w:rsidR="00230C2E" w:rsidRPr="00230C2E">
        <w:rPr>
          <w:noProof/>
          <w:vertAlign w:val="superscript"/>
          <w:lang w:val="en-US"/>
        </w:rPr>
        <w:t>32-35</w:t>
      </w:r>
      <w:r>
        <w:rPr>
          <w:lang w:val="en-US"/>
        </w:rPr>
        <w:t xml:space="preserve"> </w:t>
      </w:r>
      <w:r w:rsidR="00866DD9">
        <w:rPr>
          <w:lang w:val="en-US"/>
        </w:rPr>
        <w:t xml:space="preserve">Exposure to </w:t>
      </w:r>
      <w:proofErr w:type="spellStart"/>
      <w:r w:rsidR="00866DD9">
        <w:rPr>
          <w:lang w:val="en-US"/>
        </w:rPr>
        <w:t>airbone</w:t>
      </w:r>
      <w:proofErr w:type="spellEnd"/>
      <w:r w:rsidR="00866DD9">
        <w:rPr>
          <w:lang w:val="en-US"/>
        </w:rPr>
        <w:t xml:space="preserve"> peanut protein was associated with peanut sensitization and peanut allergy in children with eczema. </w:t>
      </w:r>
      <w:r>
        <w:rPr>
          <w:lang w:val="en-US"/>
        </w:rPr>
        <w:t xml:space="preserve">It could thus be speculated that a combination of lower household food allergen exposures in the homes of children in Singapore, along with a lower prevalence of eczema compared to Asian children in Australia, could </w:t>
      </w:r>
      <w:r>
        <w:rPr>
          <w:lang w:val="en-US"/>
        </w:rPr>
        <w:lastRenderedPageBreak/>
        <w:t>contribute to the lower prevalence of food allergy in the former. In this study, we were not able to test this hypothesis as environmental allergen exposures</w:t>
      </w:r>
      <w:r w:rsidR="00C10112">
        <w:rPr>
          <w:lang w:val="en-US"/>
        </w:rPr>
        <w:t>, including household consumption of peanut or/and egg</w:t>
      </w:r>
      <w:r>
        <w:rPr>
          <w:lang w:val="en-US"/>
        </w:rPr>
        <w:t xml:space="preserve"> were not directly measured in both cohorts, but this </w:t>
      </w:r>
      <w:r w:rsidR="004E1C22">
        <w:rPr>
          <w:lang w:val="en-US"/>
        </w:rPr>
        <w:t>is</w:t>
      </w:r>
      <w:r>
        <w:rPr>
          <w:lang w:val="en-US"/>
        </w:rPr>
        <w:t xml:space="preserve"> an important research question to be addressed in future studies. </w:t>
      </w:r>
      <w:r w:rsidR="006A54DE">
        <w:rPr>
          <w:lang w:val="en-US"/>
        </w:rPr>
        <w:t>Other factors such as vitamin D levels</w:t>
      </w:r>
      <w:r w:rsidR="00A74357">
        <w:rPr>
          <w:lang w:val="en-US"/>
        </w:rPr>
        <w:t xml:space="preserve"> </w:t>
      </w:r>
      <w:proofErr w:type="spellStart"/>
      <w:r w:rsidR="00A74357">
        <w:rPr>
          <w:lang w:val="en-US"/>
        </w:rPr>
        <w:t>and</w:t>
      </w:r>
      <w:r w:rsidR="006A54DE">
        <w:rPr>
          <w:noProof/>
          <w:szCs w:val="24"/>
          <w:lang w:val="en-US"/>
        </w:rPr>
        <w:t>c</w:t>
      </w:r>
      <w:r w:rsidR="006A54DE" w:rsidRPr="00EB72FE">
        <w:rPr>
          <w:noProof/>
          <w:szCs w:val="24"/>
          <w:lang w:val="en-US"/>
        </w:rPr>
        <w:t>hildhood</w:t>
      </w:r>
      <w:proofErr w:type="spellEnd"/>
      <w:r w:rsidR="006A54DE" w:rsidRPr="00EB72FE">
        <w:rPr>
          <w:noProof/>
          <w:szCs w:val="24"/>
          <w:lang w:val="en-US"/>
        </w:rPr>
        <w:t xml:space="preserve"> </w:t>
      </w:r>
      <w:r w:rsidR="006A54DE" w:rsidRPr="00020E36">
        <w:rPr>
          <w:lang w:val="en-US"/>
        </w:rPr>
        <w:t>vaccinations</w:t>
      </w:r>
      <w:r w:rsidR="006A54DE">
        <w:rPr>
          <w:lang w:val="en-US"/>
        </w:rPr>
        <w:t xml:space="preserve"> schedules, which have been shown to influence food allergy risk, were also not directly measured in this study. However, we speculate that differential effect of these factors between the two countries could contribute to the difference in prevalence observed. </w:t>
      </w:r>
    </w:p>
    <w:p w14:paraId="644D24BD" w14:textId="40C5A8F4" w:rsidR="008054FE" w:rsidRDefault="006A5B92" w:rsidP="00D857F1">
      <w:pPr>
        <w:spacing w:line="480" w:lineRule="auto"/>
        <w:ind w:firstLine="357"/>
        <w:jc w:val="both"/>
        <w:rPr>
          <w:lang w:val="en-US"/>
        </w:rPr>
      </w:pPr>
      <w:r>
        <w:rPr>
          <w:lang w:val="en-US"/>
        </w:rPr>
        <w:t>D</w:t>
      </w:r>
      <w:proofErr w:type="spellStart"/>
      <w:r w:rsidR="009B42B9">
        <w:t>ata</w:t>
      </w:r>
      <w:proofErr w:type="spellEnd"/>
      <w:r w:rsidR="009B42B9">
        <w:t xml:space="preserve"> obtained from the World Health Organisation (WHO) showed a stark difference in UVR exposure between Singapore and Melbourne. In a</w:t>
      </w:r>
      <w:r w:rsidR="00204AAD">
        <w:t>ny</w:t>
      </w:r>
      <w:r w:rsidR="009B42B9">
        <w:t xml:space="preserve"> given year, Singapore’s UVR is in the extreme </w:t>
      </w:r>
      <w:r w:rsidR="00156225">
        <w:t xml:space="preserve">high </w:t>
      </w:r>
      <w:r w:rsidR="009B42B9">
        <w:t>range (UV index 10-13) throughout the year whereas Melbourne’s UVR fluctuates according to the different seasons, (UV index 2</w:t>
      </w:r>
      <w:r w:rsidR="007B3707">
        <w:t xml:space="preserve"> in winter and 9 in summer</w:t>
      </w:r>
      <w:r w:rsidR="009B42B9">
        <w:t xml:space="preserve">) </w:t>
      </w:r>
      <w:r w:rsidR="00230C2E" w:rsidRPr="00230C2E">
        <w:rPr>
          <w:noProof/>
          <w:vertAlign w:val="superscript"/>
        </w:rPr>
        <w:t>36</w:t>
      </w:r>
      <w:r w:rsidR="009B42B9">
        <w:t>.</w:t>
      </w:r>
      <w:r w:rsidR="00E6374D">
        <w:rPr>
          <w:lang w:val="en-US"/>
        </w:rPr>
        <w:t xml:space="preserve"> </w:t>
      </w:r>
      <w:r w:rsidR="004C7F0A">
        <w:rPr>
          <w:lang w:val="en-US"/>
        </w:rPr>
        <w:t>A</w:t>
      </w:r>
      <w:r w:rsidR="00D31F96">
        <w:rPr>
          <w:lang w:val="en-US"/>
        </w:rPr>
        <w:t xml:space="preserve"> lower U</w:t>
      </w:r>
      <w:r w:rsidR="006907A4" w:rsidRPr="006907A4">
        <w:rPr>
          <w:noProof/>
          <w:szCs w:val="24"/>
        </w:rPr>
        <w:t>V</w:t>
      </w:r>
      <w:r w:rsidR="00D31F96">
        <w:rPr>
          <w:noProof/>
          <w:szCs w:val="24"/>
        </w:rPr>
        <w:t>-B</w:t>
      </w:r>
      <w:r w:rsidR="006907A4" w:rsidRPr="006907A4">
        <w:rPr>
          <w:noProof/>
          <w:szCs w:val="24"/>
        </w:rPr>
        <w:t xml:space="preserve"> exposure </w:t>
      </w:r>
      <w:r w:rsidR="00D31F96">
        <w:rPr>
          <w:noProof/>
          <w:szCs w:val="24"/>
        </w:rPr>
        <w:t xml:space="preserve">during </w:t>
      </w:r>
      <w:r w:rsidR="006907A4" w:rsidRPr="006907A4">
        <w:rPr>
          <w:noProof/>
          <w:szCs w:val="24"/>
        </w:rPr>
        <w:t>fall and winter</w:t>
      </w:r>
      <w:r w:rsidR="004C7F0A">
        <w:rPr>
          <w:noProof/>
          <w:szCs w:val="24"/>
        </w:rPr>
        <w:t xml:space="preserve"> in Australia</w:t>
      </w:r>
      <w:r w:rsidR="00D31F96">
        <w:rPr>
          <w:noProof/>
          <w:szCs w:val="24"/>
        </w:rPr>
        <w:t xml:space="preserve">, along with reduced </w:t>
      </w:r>
      <w:r w:rsidR="0057638E">
        <w:rPr>
          <w:noProof/>
          <w:szCs w:val="24"/>
        </w:rPr>
        <w:t>v</w:t>
      </w:r>
      <w:r w:rsidR="00D31F96">
        <w:rPr>
          <w:noProof/>
          <w:szCs w:val="24"/>
        </w:rPr>
        <w:t>itamin D synthesis, might play a role in the pathogenesis of food allergy.</w:t>
      </w:r>
      <w:r w:rsidR="00230C2E" w:rsidRPr="00230C2E">
        <w:rPr>
          <w:noProof/>
          <w:szCs w:val="24"/>
          <w:vertAlign w:val="superscript"/>
        </w:rPr>
        <w:t>38</w:t>
      </w:r>
      <w:r w:rsidR="00D31F96">
        <w:rPr>
          <w:noProof/>
          <w:szCs w:val="24"/>
        </w:rPr>
        <w:t xml:space="preserve"> </w:t>
      </w:r>
      <w:r w:rsidR="00B8431B">
        <w:rPr>
          <w:noProof/>
          <w:szCs w:val="24"/>
        </w:rPr>
        <w:t xml:space="preserve">In addition, </w:t>
      </w:r>
      <w:r w:rsidR="00EB72FE">
        <w:rPr>
          <w:noProof/>
          <w:szCs w:val="24"/>
          <w:lang w:val="en-US"/>
        </w:rPr>
        <w:t>c</w:t>
      </w:r>
      <w:r w:rsidR="00EB72FE" w:rsidRPr="00EB72FE">
        <w:rPr>
          <w:noProof/>
          <w:szCs w:val="24"/>
          <w:lang w:val="en-US"/>
        </w:rPr>
        <w:t xml:space="preserve">hildhood </w:t>
      </w:r>
      <w:r w:rsidR="00020E36" w:rsidRPr="00020E36">
        <w:rPr>
          <w:lang w:val="en-US"/>
        </w:rPr>
        <w:t xml:space="preserve">vaccinations </w:t>
      </w:r>
      <w:r>
        <w:rPr>
          <w:lang w:val="en-US"/>
        </w:rPr>
        <w:t xml:space="preserve">can </w:t>
      </w:r>
      <w:r w:rsidR="00020E36" w:rsidRPr="00020E36">
        <w:rPr>
          <w:lang w:val="en-US"/>
        </w:rPr>
        <w:t>exert an important immunologic effect on the infant</w:t>
      </w:r>
      <w:r w:rsidR="005078FC">
        <w:rPr>
          <w:lang w:val="en-US"/>
        </w:rPr>
        <w:t>’s</w:t>
      </w:r>
      <w:r w:rsidR="00020E36" w:rsidRPr="00020E36">
        <w:rPr>
          <w:lang w:val="en-US"/>
        </w:rPr>
        <w:t xml:space="preserve"> immune system.</w:t>
      </w:r>
      <w:r w:rsidR="00B92D99">
        <w:rPr>
          <w:lang w:val="en-US"/>
        </w:rPr>
        <w:t xml:space="preserve"> </w:t>
      </w:r>
      <w:r w:rsidR="000763AA">
        <w:rPr>
          <w:lang w:val="en-US"/>
        </w:rPr>
        <w:t>Tuber</w:t>
      </w:r>
      <w:r w:rsidR="000959FC">
        <w:rPr>
          <w:lang w:val="en-US"/>
        </w:rPr>
        <w:t xml:space="preserve">culosis is endemic in </w:t>
      </w:r>
      <w:proofErr w:type="gramStart"/>
      <w:r w:rsidR="000959FC">
        <w:rPr>
          <w:lang w:val="en-US"/>
        </w:rPr>
        <w:t>Singapore,</w:t>
      </w:r>
      <w:proofErr w:type="gramEnd"/>
      <w:r w:rsidR="000959FC">
        <w:rPr>
          <w:lang w:val="en-US"/>
        </w:rPr>
        <w:t xml:space="preserve"> thus the </w:t>
      </w:r>
      <w:proofErr w:type="spellStart"/>
      <w:r w:rsidR="00F165A7">
        <w:rPr>
          <w:lang w:val="en-US"/>
        </w:rPr>
        <w:t>Bacille</w:t>
      </w:r>
      <w:proofErr w:type="spellEnd"/>
      <w:r w:rsidR="00F165A7">
        <w:rPr>
          <w:lang w:val="en-US"/>
        </w:rPr>
        <w:t xml:space="preserve">-Calmette-Guerin (BCG) </w:t>
      </w:r>
      <w:r w:rsidR="00115924">
        <w:rPr>
          <w:lang w:val="en-US"/>
        </w:rPr>
        <w:t xml:space="preserve">vaccine is part of the </w:t>
      </w:r>
      <w:r w:rsidR="00165861">
        <w:rPr>
          <w:lang w:val="en-US"/>
        </w:rPr>
        <w:t xml:space="preserve">compulsory </w:t>
      </w:r>
      <w:r w:rsidR="00115924">
        <w:rPr>
          <w:lang w:val="en-US"/>
        </w:rPr>
        <w:t xml:space="preserve">immunization schedule and </w:t>
      </w:r>
      <w:r w:rsidR="00931BF4">
        <w:rPr>
          <w:lang w:val="en-US"/>
        </w:rPr>
        <w:t xml:space="preserve">is </w:t>
      </w:r>
      <w:r w:rsidR="00165861">
        <w:rPr>
          <w:lang w:val="en-US"/>
        </w:rPr>
        <w:t>routinely given to all infants at birth.</w:t>
      </w:r>
      <w:r w:rsidR="00EB72FE">
        <w:rPr>
          <w:lang w:val="en-US"/>
        </w:rPr>
        <w:t xml:space="preserve"> It is, however, not compulsory in Australia, where the incidence of tuberculosis is low.</w:t>
      </w:r>
      <w:r w:rsidR="00165861">
        <w:rPr>
          <w:lang w:val="en-US"/>
        </w:rPr>
        <w:t xml:space="preserve"> </w:t>
      </w:r>
      <w:r w:rsidR="000B137B">
        <w:rPr>
          <w:lang w:val="en-US"/>
        </w:rPr>
        <w:t>As a potent immune modulator, t</w:t>
      </w:r>
      <w:r w:rsidR="00E7155A">
        <w:rPr>
          <w:lang w:val="en-US"/>
        </w:rPr>
        <w:t>here has been</w:t>
      </w:r>
      <w:r w:rsidR="007E4F82">
        <w:rPr>
          <w:lang w:val="en-US"/>
        </w:rPr>
        <w:t xml:space="preserve"> much interest </w:t>
      </w:r>
      <w:r w:rsidR="008E156F">
        <w:rPr>
          <w:lang w:val="en-US"/>
        </w:rPr>
        <w:t>in the role of the</w:t>
      </w:r>
      <w:r w:rsidR="00F165A7">
        <w:rPr>
          <w:lang w:val="en-US"/>
        </w:rPr>
        <w:t xml:space="preserve"> BCG</w:t>
      </w:r>
      <w:r w:rsidR="007E4F82">
        <w:rPr>
          <w:lang w:val="en-US"/>
        </w:rPr>
        <w:t xml:space="preserve"> vaccine </w:t>
      </w:r>
      <w:r w:rsidR="00643CEF">
        <w:rPr>
          <w:lang w:val="en-US"/>
        </w:rPr>
        <w:t>as</w:t>
      </w:r>
      <w:r w:rsidR="008E156F">
        <w:rPr>
          <w:lang w:val="en-US"/>
        </w:rPr>
        <w:t xml:space="preserve"> a</w:t>
      </w:r>
      <w:r w:rsidR="007E4F82">
        <w:rPr>
          <w:lang w:val="en-US"/>
        </w:rPr>
        <w:t xml:space="preserve"> primary preventative strategy against childhood atopic disorders.</w:t>
      </w:r>
      <w:r w:rsidR="00230C2E" w:rsidRPr="00230C2E">
        <w:rPr>
          <w:noProof/>
          <w:vertAlign w:val="superscript"/>
          <w:lang w:val="en-US"/>
        </w:rPr>
        <w:t>39</w:t>
      </w:r>
      <w:r w:rsidR="0017275F">
        <w:rPr>
          <w:lang w:val="en-US"/>
        </w:rPr>
        <w:t xml:space="preserve"> </w:t>
      </w:r>
      <w:r>
        <w:rPr>
          <w:lang w:val="en-US"/>
        </w:rPr>
        <w:t>Further</w:t>
      </w:r>
      <w:r w:rsidR="00CA55BC">
        <w:rPr>
          <w:lang w:val="en-US"/>
        </w:rPr>
        <w:t>more</w:t>
      </w:r>
      <w:r w:rsidR="00EB72FE">
        <w:rPr>
          <w:lang w:val="en-US"/>
        </w:rPr>
        <w:t>, p</w:t>
      </w:r>
      <w:r w:rsidR="00EB72FE" w:rsidRPr="0095339E">
        <w:rPr>
          <w:lang w:val="en-US"/>
        </w:rPr>
        <w:t xml:space="preserve">erturbations in the </w:t>
      </w:r>
      <w:r w:rsidR="00EB72FE">
        <w:rPr>
          <w:lang w:val="en-US"/>
        </w:rPr>
        <w:t xml:space="preserve">gut </w:t>
      </w:r>
      <w:r w:rsidR="00EB72FE" w:rsidRPr="0095339E">
        <w:rPr>
          <w:lang w:val="en-US"/>
        </w:rPr>
        <w:t xml:space="preserve">microbiome have </w:t>
      </w:r>
      <w:r w:rsidR="00EB72FE">
        <w:rPr>
          <w:lang w:val="en-US"/>
        </w:rPr>
        <w:t xml:space="preserve">also </w:t>
      </w:r>
      <w:r w:rsidR="00EB72FE" w:rsidRPr="0095339E">
        <w:rPr>
          <w:lang w:val="en-US"/>
        </w:rPr>
        <w:t>been linked to food allergy.</w:t>
      </w:r>
      <w:r w:rsidR="00EB72FE">
        <w:rPr>
          <w:lang w:val="en-US"/>
        </w:rPr>
        <w:t xml:space="preserve"> </w:t>
      </w:r>
      <w:r w:rsidR="00376606">
        <w:rPr>
          <w:lang w:val="en-US"/>
        </w:rPr>
        <w:t xml:space="preserve">There was a significant reduction in biodiversity of </w:t>
      </w:r>
      <w:r w:rsidR="003A4401">
        <w:rPr>
          <w:lang w:val="en-US"/>
        </w:rPr>
        <w:t>gut</w:t>
      </w:r>
      <w:r w:rsidR="00EA121E">
        <w:rPr>
          <w:lang w:val="en-US"/>
        </w:rPr>
        <w:t xml:space="preserve"> </w:t>
      </w:r>
      <w:r w:rsidR="00376606">
        <w:rPr>
          <w:lang w:val="en-US"/>
        </w:rPr>
        <w:t xml:space="preserve">microbiota in self-reported food allergic adults in the Human Gut </w:t>
      </w:r>
      <w:r w:rsidR="00B0464D">
        <w:rPr>
          <w:lang w:val="en-US"/>
        </w:rPr>
        <w:t>P</w:t>
      </w:r>
      <w:r w:rsidR="00376606">
        <w:rPr>
          <w:lang w:val="en-US"/>
        </w:rPr>
        <w:t>rojec</w:t>
      </w:r>
      <w:r w:rsidR="00170540">
        <w:rPr>
          <w:lang w:val="en-US"/>
        </w:rPr>
        <w:t>t.</w:t>
      </w:r>
      <w:r w:rsidR="00230C2E" w:rsidRPr="00230C2E">
        <w:rPr>
          <w:noProof/>
          <w:vertAlign w:val="superscript"/>
          <w:lang w:val="en-US"/>
        </w:rPr>
        <w:t>40</w:t>
      </w:r>
      <w:r w:rsidR="00170540">
        <w:rPr>
          <w:lang w:val="en-US"/>
        </w:rPr>
        <w:t xml:space="preserve"> </w:t>
      </w:r>
      <w:r w:rsidR="00B04F55">
        <w:rPr>
          <w:lang w:val="en-US"/>
        </w:rPr>
        <w:t xml:space="preserve">Gut microbiota comparisons were however not possible in this study and remains a </w:t>
      </w:r>
      <w:r w:rsidR="00B703C7">
        <w:rPr>
          <w:lang w:val="en-US"/>
        </w:rPr>
        <w:t>research gap that could be filled in future</w:t>
      </w:r>
      <w:r w:rsidR="007D6334">
        <w:rPr>
          <w:lang w:val="en-US"/>
        </w:rPr>
        <w:t xml:space="preserve"> inter-geographic</w:t>
      </w:r>
      <w:r w:rsidR="00B703C7">
        <w:rPr>
          <w:lang w:val="en-US"/>
        </w:rPr>
        <w:t xml:space="preserve"> studies. </w:t>
      </w:r>
    </w:p>
    <w:p w14:paraId="34DF3584" w14:textId="52FBC467" w:rsidR="0085665C" w:rsidRPr="00393A6D" w:rsidRDefault="00393A6D" w:rsidP="00470C94">
      <w:pPr>
        <w:spacing w:line="480" w:lineRule="auto"/>
        <w:jc w:val="both"/>
        <w:rPr>
          <w:lang w:val="en-US"/>
        </w:rPr>
      </w:pPr>
      <w:r>
        <w:rPr>
          <w:lang w:val="en-US"/>
        </w:rPr>
        <w:lastRenderedPageBreak/>
        <w:tab/>
      </w:r>
      <w:r w:rsidR="006A5B92">
        <w:rPr>
          <w:lang w:val="en-US"/>
        </w:rPr>
        <w:t>A limitation of this study is the d</w:t>
      </w:r>
      <w:r>
        <w:rPr>
          <w:lang w:val="en-US"/>
        </w:rPr>
        <w:t xml:space="preserve">ifference in food allergy definitions between the </w:t>
      </w:r>
      <w:r w:rsidR="00201D2F">
        <w:rPr>
          <w:lang w:val="en-US"/>
        </w:rPr>
        <w:t>two</w:t>
      </w:r>
      <w:r>
        <w:rPr>
          <w:lang w:val="en-US"/>
        </w:rPr>
        <w:t xml:space="preserve"> cohorts. </w:t>
      </w:r>
      <w:r w:rsidR="00E37329">
        <w:rPr>
          <w:lang w:val="en-US"/>
        </w:rPr>
        <w:t xml:space="preserve">Food allergy in the </w:t>
      </w:r>
      <w:r w:rsidR="00201D2F">
        <w:rPr>
          <w:lang w:val="en-US"/>
        </w:rPr>
        <w:t>Singapore</w:t>
      </w:r>
      <w:r w:rsidR="00E37329">
        <w:rPr>
          <w:lang w:val="en-US"/>
        </w:rPr>
        <w:t xml:space="preserve"> cohort was defined as a parental report of a suggestive history of reaction to the food</w:t>
      </w:r>
      <w:r w:rsidR="00DE0053">
        <w:rPr>
          <w:lang w:val="en-US"/>
        </w:rPr>
        <w:t xml:space="preserve"> with a positive SPT, while in </w:t>
      </w:r>
      <w:r w:rsidR="00201D2F">
        <w:rPr>
          <w:lang w:val="en-US"/>
        </w:rPr>
        <w:t>the Australia cohort</w:t>
      </w:r>
      <w:r w:rsidR="00DE0053">
        <w:rPr>
          <w:lang w:val="en-US"/>
        </w:rPr>
        <w:t xml:space="preserve">, it was defined as a positive </w:t>
      </w:r>
      <w:r w:rsidR="00212406">
        <w:rPr>
          <w:lang w:val="en-US"/>
        </w:rPr>
        <w:t>OFC</w:t>
      </w:r>
      <w:r w:rsidR="00DE0053">
        <w:rPr>
          <w:lang w:val="en-US"/>
        </w:rPr>
        <w:t xml:space="preserve">. </w:t>
      </w:r>
      <w:r w:rsidR="007C339E">
        <w:rPr>
          <w:lang w:val="en-US"/>
        </w:rPr>
        <w:t>However, s</w:t>
      </w:r>
      <w:r w:rsidR="0063586A">
        <w:rPr>
          <w:lang w:val="en-US"/>
        </w:rPr>
        <w:t>elf</w:t>
      </w:r>
      <w:r w:rsidR="00616416">
        <w:rPr>
          <w:lang w:val="en-US"/>
        </w:rPr>
        <w:t>-reported prevalence tends to overestimate the true prevalence</w:t>
      </w:r>
      <w:r w:rsidR="00226756">
        <w:rPr>
          <w:lang w:val="en-US"/>
        </w:rPr>
        <w:t>, thus</w:t>
      </w:r>
      <w:r w:rsidR="00616416">
        <w:rPr>
          <w:lang w:val="en-US"/>
        </w:rPr>
        <w:t xml:space="preserve"> the true prevalence of food allergy may b</w:t>
      </w:r>
      <w:r w:rsidR="00210498">
        <w:rPr>
          <w:lang w:val="en-US"/>
        </w:rPr>
        <w:t>e even lower in</w:t>
      </w:r>
      <w:r w:rsidR="00201D2F">
        <w:rPr>
          <w:lang w:val="en-US"/>
        </w:rPr>
        <w:t xml:space="preserve"> Singaporean</w:t>
      </w:r>
      <w:r w:rsidR="00210498">
        <w:rPr>
          <w:lang w:val="en-US"/>
        </w:rPr>
        <w:t xml:space="preserve"> children,</w:t>
      </w:r>
      <w:r w:rsidR="000472D3">
        <w:rPr>
          <w:lang w:val="en-US"/>
        </w:rPr>
        <w:t xml:space="preserve"> which would further increase</w:t>
      </w:r>
      <w:r w:rsidR="00210498">
        <w:rPr>
          <w:lang w:val="en-US"/>
        </w:rPr>
        <w:t xml:space="preserve"> </w:t>
      </w:r>
      <w:r w:rsidR="002328C0">
        <w:rPr>
          <w:lang w:val="en-US"/>
        </w:rPr>
        <w:t>the magnitude of difference</w:t>
      </w:r>
      <w:r w:rsidR="00F45156">
        <w:rPr>
          <w:lang w:val="en-US"/>
        </w:rPr>
        <w:t xml:space="preserve"> </w:t>
      </w:r>
      <w:r w:rsidR="00210498">
        <w:rPr>
          <w:lang w:val="en-US"/>
        </w:rPr>
        <w:t>between the two cohorts</w:t>
      </w:r>
      <w:r w:rsidR="00490545">
        <w:rPr>
          <w:lang w:val="en-US"/>
        </w:rPr>
        <w:t xml:space="preserve"> rather than nullifying it</w:t>
      </w:r>
      <w:r w:rsidR="00210498">
        <w:rPr>
          <w:lang w:val="en-US"/>
        </w:rPr>
        <w:t xml:space="preserve">. </w:t>
      </w:r>
      <w:r w:rsidR="0072190C">
        <w:rPr>
          <w:lang w:val="en-US"/>
        </w:rPr>
        <w:t xml:space="preserve">The low food </w:t>
      </w:r>
      <w:r w:rsidR="00845BCA">
        <w:rPr>
          <w:lang w:val="en-US"/>
        </w:rPr>
        <w:t xml:space="preserve">allergy prevalence in Singaporean children </w:t>
      </w:r>
      <w:r w:rsidR="0072190C">
        <w:rPr>
          <w:lang w:val="en-US"/>
        </w:rPr>
        <w:t>is also consistent w</w:t>
      </w:r>
      <w:r w:rsidR="007D6FDD">
        <w:rPr>
          <w:lang w:val="en-US"/>
        </w:rPr>
        <w:t>ith previous published studies.</w:t>
      </w:r>
      <w:r w:rsidR="00FD1CFA" w:rsidRPr="00FD1CFA">
        <w:rPr>
          <w:noProof/>
          <w:vertAlign w:val="superscript"/>
          <w:lang w:val="en-US"/>
        </w:rPr>
        <w:t>42,43</w:t>
      </w:r>
      <w:r w:rsidR="00C11A4C">
        <w:rPr>
          <w:lang w:val="en-US"/>
        </w:rPr>
        <w:t xml:space="preserve"> </w:t>
      </w:r>
      <w:r w:rsidR="003A0ED1">
        <w:rPr>
          <w:lang w:val="en-US"/>
        </w:rPr>
        <w:t xml:space="preserve">Furthermore, the magnitude of differences in </w:t>
      </w:r>
      <w:proofErr w:type="spellStart"/>
      <w:r w:rsidR="003A0ED1">
        <w:rPr>
          <w:lang w:val="en-US"/>
        </w:rPr>
        <w:t>sensitisation</w:t>
      </w:r>
      <w:proofErr w:type="spellEnd"/>
      <w:r w:rsidR="003A0ED1">
        <w:rPr>
          <w:lang w:val="en-US"/>
        </w:rPr>
        <w:t xml:space="preserve"> to egg and peanut (based on SPT) between the two studies is consistent with the differences in food allergy prevalence. </w:t>
      </w:r>
      <w:r w:rsidR="00F26B06">
        <w:t>Additionally,</w:t>
      </w:r>
      <w:r w:rsidR="000F3F0C">
        <w:t xml:space="preserve"> </w:t>
      </w:r>
      <w:r w:rsidR="00F26B06">
        <w:t>eczema definition</w:t>
      </w:r>
      <w:r w:rsidR="002D4AC2">
        <w:t xml:space="preserve"> and eczema severity</w:t>
      </w:r>
      <w:r w:rsidR="00F26B06">
        <w:t xml:space="preserve"> in both cohorts was not based on an objective measure</w:t>
      </w:r>
      <w:r w:rsidR="002D4AC2">
        <w:t xml:space="preserve"> or a validated severity score</w:t>
      </w:r>
      <w:r w:rsidR="004E1C22">
        <w:t>,</w:t>
      </w:r>
      <w:r w:rsidR="00F26B06">
        <w:t xml:space="preserve"> but instead on parent-reported doctor diagnosis</w:t>
      </w:r>
      <w:r w:rsidR="002D4AC2">
        <w:t xml:space="preserve"> and topical steroid use as a proxy measure</w:t>
      </w:r>
      <w:r w:rsidR="00F26B06">
        <w:t xml:space="preserve"> obtained from questionnaires. </w:t>
      </w:r>
      <w:r w:rsidR="00153E4B">
        <w:t xml:space="preserve">The </w:t>
      </w:r>
      <w:r w:rsidR="00C11A4C">
        <w:t xml:space="preserve">analysis </w:t>
      </w:r>
      <w:r w:rsidR="00153E4B">
        <w:t xml:space="preserve">of risk factors for food allergy in the individual cohorts has limited statistical power due to the </w:t>
      </w:r>
      <w:r w:rsidR="0045147B">
        <w:t>relatively</w:t>
      </w:r>
      <w:r w:rsidR="00153E4B">
        <w:t xml:space="preserve"> </w:t>
      </w:r>
      <w:r w:rsidR="00C11A4C">
        <w:t xml:space="preserve">small sample size of the Asian population in </w:t>
      </w:r>
      <w:r w:rsidR="00201D2F">
        <w:t>the Australian cohort study</w:t>
      </w:r>
      <w:r w:rsidR="00C11A4C">
        <w:t xml:space="preserve"> and </w:t>
      </w:r>
      <w:r w:rsidR="00293B88">
        <w:t xml:space="preserve">small number of food allergic </w:t>
      </w:r>
      <w:r w:rsidR="00C11A4C">
        <w:t>subjects in</w:t>
      </w:r>
      <w:r w:rsidR="00201D2F">
        <w:t xml:space="preserve"> Singapore cohort study</w:t>
      </w:r>
      <w:r w:rsidR="00C11A4C">
        <w:t xml:space="preserve">. We may be insufficiently powered to detect an association for some of the key </w:t>
      </w:r>
      <w:r w:rsidR="008500D1">
        <w:t xml:space="preserve">epidemiological </w:t>
      </w:r>
      <w:r w:rsidR="00C11A4C">
        <w:t>risk factors</w:t>
      </w:r>
      <w:r w:rsidR="006A499E">
        <w:t xml:space="preserve"> such as that with topical steroids use as the Singapore cohort were made up of infants with predominantly mild eczema and few severe cases</w:t>
      </w:r>
      <w:r w:rsidR="00C11A4C">
        <w:t xml:space="preserve">. </w:t>
      </w:r>
    </w:p>
    <w:p w14:paraId="34869571" w14:textId="39D54153" w:rsidR="00077ADD" w:rsidRDefault="00F76F8E" w:rsidP="00211FDD">
      <w:pPr>
        <w:spacing w:line="480" w:lineRule="auto"/>
        <w:jc w:val="both"/>
        <w:rPr>
          <w:lang w:val="en-AU"/>
        </w:rPr>
      </w:pPr>
      <w:r>
        <w:rPr>
          <w:lang w:val="en-US"/>
        </w:rPr>
        <w:tab/>
      </w:r>
      <w:r w:rsidR="008500D1">
        <w:rPr>
          <w:lang w:val="en-US"/>
        </w:rPr>
        <w:t>Despite these limitations, t</w:t>
      </w:r>
      <w:r w:rsidR="008F62C5">
        <w:rPr>
          <w:lang w:val="en-US"/>
        </w:rPr>
        <w:t xml:space="preserve">he GUSTO and </w:t>
      </w:r>
      <w:proofErr w:type="spellStart"/>
      <w:r w:rsidR="008F62C5">
        <w:rPr>
          <w:lang w:val="en-US"/>
        </w:rPr>
        <w:t>HealthNuts</w:t>
      </w:r>
      <w:proofErr w:type="spellEnd"/>
      <w:r w:rsidR="008F62C5">
        <w:rPr>
          <w:lang w:val="en-US"/>
        </w:rPr>
        <w:t xml:space="preserve"> cohorts</w:t>
      </w:r>
      <w:r w:rsidR="004841BC">
        <w:rPr>
          <w:lang w:val="en-US"/>
        </w:rPr>
        <w:t xml:space="preserve"> are two of the largest</w:t>
      </w:r>
      <w:r w:rsidR="0084490C">
        <w:rPr>
          <w:lang w:val="en-US"/>
        </w:rPr>
        <w:t>, well-</w:t>
      </w:r>
      <w:proofErr w:type="spellStart"/>
      <w:r w:rsidR="0084490C">
        <w:rPr>
          <w:lang w:val="en-US"/>
        </w:rPr>
        <w:t>phenotyped</w:t>
      </w:r>
      <w:proofErr w:type="spellEnd"/>
      <w:r w:rsidR="008F62C5">
        <w:rPr>
          <w:lang w:val="en-US"/>
        </w:rPr>
        <w:t xml:space="preserve"> </w:t>
      </w:r>
      <w:r w:rsidR="00C11A4C">
        <w:rPr>
          <w:lang w:val="en-US"/>
        </w:rPr>
        <w:t xml:space="preserve">and comprehensive </w:t>
      </w:r>
      <w:r w:rsidR="008F62C5">
        <w:rPr>
          <w:lang w:val="en-US"/>
        </w:rPr>
        <w:t xml:space="preserve">population-based childhood cohorts in the Asia Pacific region, </w:t>
      </w:r>
      <w:r w:rsidR="00730830">
        <w:rPr>
          <w:lang w:val="en-US"/>
        </w:rPr>
        <w:t xml:space="preserve">which are unselected for allergy risk and </w:t>
      </w:r>
      <w:r w:rsidR="00201D2F">
        <w:t>and have been shown to be reflective of the characteristics of the general population</w:t>
      </w:r>
      <w:r w:rsidR="008D728C">
        <w:t xml:space="preserve"> </w:t>
      </w:r>
      <w:r w:rsidR="00230C2E" w:rsidRPr="00230C2E">
        <w:rPr>
          <w:noProof/>
          <w:vertAlign w:val="superscript"/>
        </w:rPr>
        <w:t>16</w:t>
      </w:r>
      <w:r w:rsidR="00201D2F">
        <w:rPr>
          <w:lang w:val="en-US"/>
        </w:rPr>
        <w:t>.</w:t>
      </w:r>
      <w:r w:rsidR="00404B73">
        <w:rPr>
          <w:lang w:val="en-US"/>
        </w:rPr>
        <w:t xml:space="preserve"> </w:t>
      </w:r>
      <w:r w:rsidR="006D79E2">
        <w:rPr>
          <w:lang w:val="en-US"/>
        </w:rPr>
        <w:t xml:space="preserve">This is also the first inter-geographical comparison of food allergy and its risk factors in Asian children </w:t>
      </w:r>
      <w:r w:rsidR="00554732">
        <w:rPr>
          <w:lang w:val="en-US"/>
        </w:rPr>
        <w:t xml:space="preserve">residing </w:t>
      </w:r>
      <w:r w:rsidR="006D79E2">
        <w:rPr>
          <w:lang w:val="en-US"/>
        </w:rPr>
        <w:t>in two diff</w:t>
      </w:r>
      <w:r w:rsidR="008C43A2">
        <w:rPr>
          <w:lang w:val="en-US"/>
        </w:rPr>
        <w:t>erent geographical locations. The statistical comparisons made possible through raw data sharing between the cohorts is also unparalleled.</w:t>
      </w:r>
      <w:r w:rsidR="00211FDD" w:rsidRPr="00211FDD">
        <w:rPr>
          <w:lang w:val="en-AU"/>
        </w:rPr>
        <w:t xml:space="preserve"> These findings highlight the children of East Asian-born parents </w:t>
      </w:r>
      <w:r w:rsidR="00293B88">
        <w:rPr>
          <w:lang w:val="en-AU"/>
        </w:rPr>
        <w:lastRenderedPageBreak/>
        <w:t xml:space="preserve">living in Western countries </w:t>
      </w:r>
      <w:r w:rsidR="00211FDD" w:rsidRPr="00211FDD">
        <w:rPr>
          <w:lang w:val="en-AU"/>
        </w:rPr>
        <w:t xml:space="preserve">as a </w:t>
      </w:r>
      <w:r w:rsidR="00201D2F" w:rsidRPr="00211FDD">
        <w:rPr>
          <w:lang w:val="en-AU"/>
        </w:rPr>
        <w:t>high-risk</w:t>
      </w:r>
      <w:r w:rsidR="00211FDD" w:rsidRPr="00211FDD">
        <w:rPr>
          <w:lang w:val="en-AU"/>
        </w:rPr>
        <w:t xml:space="preserve"> allergic group. This group of children therefore might benefit from more frequent monitoring clinically. These findings are also important clinically with regards to targeted implementation of nutritional strategies as a prevention and management strategy. </w:t>
      </w:r>
      <w:r w:rsidR="00077ADD">
        <w:rPr>
          <w:lang w:val="en-AU"/>
        </w:rPr>
        <w:br w:type="page"/>
      </w:r>
    </w:p>
    <w:p w14:paraId="7B350236" w14:textId="43520F2B" w:rsidR="006467DB" w:rsidRPr="0001159C" w:rsidRDefault="006467DB" w:rsidP="00C836B0">
      <w:pPr>
        <w:pStyle w:val="heading1nonumber"/>
      </w:pPr>
      <w:r w:rsidRPr="0001159C">
        <w:lastRenderedPageBreak/>
        <w:t>Conclusion</w:t>
      </w:r>
    </w:p>
    <w:p w14:paraId="2736A1AB" w14:textId="4C3429FB" w:rsidR="00901A65" w:rsidRDefault="006467DB" w:rsidP="00B01789">
      <w:pPr>
        <w:spacing w:line="480" w:lineRule="auto"/>
        <w:jc w:val="both"/>
        <w:rPr>
          <w:lang w:val="en-US"/>
        </w:rPr>
      </w:pPr>
      <w:r>
        <w:rPr>
          <w:lang w:val="en-US"/>
        </w:rPr>
        <w:tab/>
        <w:t xml:space="preserve">The prevalence of food allergy </w:t>
      </w:r>
      <w:r w:rsidR="005C46E0">
        <w:rPr>
          <w:lang w:val="en-US"/>
        </w:rPr>
        <w:t xml:space="preserve">and early onset eczema </w:t>
      </w:r>
      <w:r>
        <w:rPr>
          <w:lang w:val="en-US"/>
        </w:rPr>
        <w:t xml:space="preserve">is much higher in Australian children of Asian ancestry compared to Asian children in </w:t>
      </w:r>
      <w:r w:rsidR="003D5C00">
        <w:rPr>
          <w:lang w:val="en-US"/>
        </w:rPr>
        <w:t xml:space="preserve">Singapore. </w:t>
      </w:r>
      <w:r w:rsidR="00257CF1">
        <w:rPr>
          <w:lang w:val="en-US"/>
        </w:rPr>
        <w:t xml:space="preserve">Genetically predisposed children of Asian ancestry may have an increased risk of food allergy upon exposure to environmental risk factors. </w:t>
      </w:r>
      <w:r w:rsidR="002B61FD">
        <w:t>E</w:t>
      </w:r>
      <w:r w:rsidR="008500D1" w:rsidRPr="00B61425">
        <w:t>czema appear</w:t>
      </w:r>
      <w:r w:rsidR="00364A44">
        <w:t>s</w:t>
      </w:r>
      <w:r w:rsidR="008500D1" w:rsidRPr="00B61425">
        <w:t xml:space="preserve"> to be</w:t>
      </w:r>
      <w:r w:rsidR="008500D1">
        <w:t xml:space="preserve"> more</w:t>
      </w:r>
      <w:r w:rsidR="008500D1" w:rsidRPr="00B61425">
        <w:t xml:space="preserve"> </w:t>
      </w:r>
      <w:r w:rsidR="002B4C87">
        <w:t>severe</w:t>
      </w:r>
      <w:r w:rsidR="008500D1">
        <w:t xml:space="preserve"> in Australia</w:t>
      </w:r>
      <w:r w:rsidR="00257CF1">
        <w:t>, whereas the high humidity in Singapore may abrogate the</w:t>
      </w:r>
      <w:r w:rsidR="00F54F19">
        <w:t xml:space="preserve"> impact of</w:t>
      </w:r>
      <w:r w:rsidR="00257CF1">
        <w:t xml:space="preserve"> </w:t>
      </w:r>
      <w:r w:rsidR="00F54F19">
        <w:t xml:space="preserve">skin barrier deficits on </w:t>
      </w:r>
      <w:proofErr w:type="spellStart"/>
      <w:r w:rsidR="00F54F19">
        <w:t>epicutaneous</w:t>
      </w:r>
      <w:proofErr w:type="spellEnd"/>
      <w:r w:rsidR="00F54F19">
        <w:t xml:space="preserve"> food allergen sensitization and food allergy</w:t>
      </w:r>
      <w:r w:rsidR="00257CF1">
        <w:t>, contributing to the lower prevalence of food allergy in Singapore. This calls into question the role of epigenetics and o</w:t>
      </w:r>
      <w:r w:rsidR="00257CF1" w:rsidRPr="00B61425">
        <w:t xml:space="preserve">ther yet to be identified risk factors </w:t>
      </w:r>
      <w:r w:rsidR="00257CF1">
        <w:t xml:space="preserve">such as </w:t>
      </w:r>
      <w:r w:rsidR="00257CF1">
        <w:rPr>
          <w:lang w:val="en-US"/>
        </w:rPr>
        <w:t xml:space="preserve">diet, </w:t>
      </w:r>
      <w:proofErr w:type="gramStart"/>
      <w:r w:rsidR="00257CF1">
        <w:rPr>
          <w:lang w:val="en-US"/>
        </w:rPr>
        <w:t>microbiome</w:t>
      </w:r>
      <w:proofErr w:type="gramEnd"/>
      <w:r w:rsidR="00257CF1">
        <w:rPr>
          <w:lang w:val="en-US"/>
        </w:rPr>
        <w:t xml:space="preserve"> and meteorological influences</w:t>
      </w:r>
      <w:r w:rsidR="00901A65">
        <w:rPr>
          <w:lang w:val="en-US"/>
        </w:rPr>
        <w:t>.</w:t>
      </w:r>
      <w:r w:rsidR="00901A65">
        <w:rPr>
          <w:lang w:val="en-US"/>
        </w:rPr>
        <w:br w:type="page"/>
      </w:r>
    </w:p>
    <w:p w14:paraId="76681F7E" w14:textId="515C480C" w:rsidR="00901A65" w:rsidRPr="00DF6BA7" w:rsidRDefault="00901A65" w:rsidP="00901A65">
      <w:pPr>
        <w:spacing w:line="480" w:lineRule="auto"/>
        <w:jc w:val="both"/>
        <w:rPr>
          <w:b/>
          <w:iCs/>
          <w:lang w:val="en-AU"/>
        </w:rPr>
      </w:pPr>
      <w:r w:rsidRPr="005A56A7">
        <w:rPr>
          <w:b/>
          <w:szCs w:val="24"/>
        </w:rPr>
        <w:lastRenderedPageBreak/>
        <w:t xml:space="preserve">Table </w:t>
      </w:r>
      <w:r w:rsidRPr="005A56A7">
        <w:rPr>
          <w:b/>
          <w:szCs w:val="24"/>
        </w:rPr>
        <w:fldChar w:fldCharType="begin"/>
      </w:r>
      <w:r w:rsidRPr="005A56A7">
        <w:rPr>
          <w:b/>
          <w:szCs w:val="24"/>
        </w:rPr>
        <w:instrText xml:space="preserve"> SEQ Table \* ARABIC </w:instrText>
      </w:r>
      <w:r w:rsidRPr="005A56A7">
        <w:rPr>
          <w:b/>
          <w:szCs w:val="24"/>
        </w:rPr>
        <w:fldChar w:fldCharType="separate"/>
      </w:r>
      <w:r w:rsidR="004471C1">
        <w:rPr>
          <w:b/>
          <w:noProof/>
          <w:szCs w:val="24"/>
        </w:rPr>
        <w:t>1</w:t>
      </w:r>
      <w:r w:rsidRPr="005A56A7">
        <w:rPr>
          <w:b/>
          <w:szCs w:val="24"/>
        </w:rPr>
        <w:fldChar w:fldCharType="end"/>
      </w:r>
      <w:r>
        <w:rPr>
          <w:b/>
          <w:szCs w:val="24"/>
        </w:rPr>
        <w:t xml:space="preserve"> </w:t>
      </w:r>
      <w:r w:rsidRPr="00DF6BA7">
        <w:rPr>
          <w:iCs/>
          <w:lang w:val="en-AU"/>
        </w:rPr>
        <w:t xml:space="preserve">Comparison of </w:t>
      </w:r>
      <w:r>
        <w:rPr>
          <w:iCs/>
          <w:lang w:val="en-AU"/>
        </w:rPr>
        <w:t>hygiene hypothesis-associated variables, eczema status, infant and maternal dietary intake</w:t>
      </w:r>
      <w:r w:rsidRPr="00DF6BA7">
        <w:rPr>
          <w:iCs/>
          <w:lang w:val="en-AU"/>
        </w:rPr>
        <w:t xml:space="preserve"> between</w:t>
      </w:r>
      <w:r w:rsidRPr="00DF6BA7">
        <w:rPr>
          <w:b/>
          <w:iCs/>
          <w:lang w:val="en-AU"/>
        </w:rPr>
        <w:t xml:space="preserve"> </w:t>
      </w:r>
      <w:r>
        <w:rPr>
          <w:iCs/>
          <w:lang w:val="en-AU"/>
        </w:rPr>
        <w:t>Australia</w:t>
      </w:r>
      <w:r w:rsidRPr="00DF6BA7">
        <w:rPr>
          <w:iCs/>
          <w:lang w:val="en-AU"/>
        </w:rPr>
        <w:t xml:space="preserve"> (N=314) and</w:t>
      </w:r>
      <w:r>
        <w:rPr>
          <w:iCs/>
          <w:lang w:val="en-AU"/>
        </w:rPr>
        <w:t xml:space="preserve"> Singapore</w:t>
      </w:r>
      <w:r w:rsidRPr="00DF6BA7">
        <w:rPr>
          <w:iCs/>
          <w:lang w:val="en-AU"/>
        </w:rPr>
        <w:t xml:space="preserve"> (N=878)</w:t>
      </w:r>
      <w:r>
        <w:rPr>
          <w:iCs/>
          <w:lang w:val="en-AU"/>
        </w:rPr>
        <w:t>.</w:t>
      </w:r>
    </w:p>
    <w:tbl>
      <w:tblPr>
        <w:tblStyle w:val="ListTable21"/>
        <w:tblW w:w="8960" w:type="dxa"/>
        <w:tblBorders>
          <w:insideH w:val="none" w:sz="0" w:space="0" w:color="auto"/>
        </w:tblBorders>
        <w:tblLook w:val="04A0" w:firstRow="1" w:lastRow="0" w:firstColumn="1" w:lastColumn="0" w:noHBand="0" w:noVBand="1"/>
      </w:tblPr>
      <w:tblGrid>
        <w:gridCol w:w="4111"/>
        <w:gridCol w:w="66"/>
        <w:gridCol w:w="2003"/>
        <w:gridCol w:w="1670"/>
        <w:gridCol w:w="1110"/>
      </w:tblGrid>
      <w:tr w:rsidR="00901A65" w:rsidRPr="005A56A7" w14:paraId="20B71679" w14:textId="77777777" w:rsidTr="00901A65">
        <w:trPr>
          <w:cnfStyle w:val="100000000000" w:firstRow="1" w:lastRow="0" w:firstColumn="0" w:lastColumn="0" w:oddVBand="0" w:evenVBand="0" w:oddHBand="0" w:evenHBand="0" w:firstRowFirstColumn="0" w:firstRowLastColumn="0" w:lastRowFirstColumn="0" w:lastRowLastColumn="0"/>
          <w:trHeight w:val="330"/>
          <w:tblHeader/>
        </w:trPr>
        <w:tc>
          <w:tcPr>
            <w:cnfStyle w:val="001000000000" w:firstRow="0" w:lastRow="0" w:firstColumn="1" w:lastColumn="0" w:oddVBand="0" w:evenVBand="0" w:oddHBand="0" w:evenHBand="0" w:firstRowFirstColumn="0" w:firstRowLastColumn="0" w:lastRowFirstColumn="0" w:lastRowLastColumn="0"/>
            <w:tcW w:w="4177" w:type="dxa"/>
            <w:gridSpan w:val="2"/>
            <w:tcBorders>
              <w:top w:val="single" w:sz="4" w:space="0" w:color="666666" w:themeColor="text1" w:themeTint="99"/>
              <w:bottom w:val="single" w:sz="4" w:space="0" w:color="auto"/>
            </w:tcBorders>
            <w:noWrap/>
            <w:vAlign w:val="center"/>
            <w:hideMark/>
          </w:tcPr>
          <w:p w14:paraId="138D2C2C"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Exposure</w:t>
            </w:r>
          </w:p>
        </w:tc>
        <w:tc>
          <w:tcPr>
            <w:tcW w:w="2003" w:type="dxa"/>
            <w:tcBorders>
              <w:top w:val="single" w:sz="4" w:space="0" w:color="666666" w:themeColor="text1" w:themeTint="99"/>
              <w:bottom w:val="single" w:sz="4" w:space="0" w:color="auto"/>
            </w:tcBorders>
            <w:vAlign w:val="center"/>
            <w:hideMark/>
          </w:tcPr>
          <w:p w14:paraId="29E45027" w14:textId="77777777" w:rsidR="00901A65" w:rsidRDefault="00901A65" w:rsidP="00901A6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val="en-AU" w:eastAsia="en-AU"/>
              </w:rPr>
            </w:pPr>
            <w:r>
              <w:rPr>
                <w:rFonts w:eastAsia="Times New Roman"/>
                <w:color w:val="000000"/>
                <w:szCs w:val="24"/>
                <w:lang w:val="en-AU" w:eastAsia="en-AU"/>
              </w:rPr>
              <w:t xml:space="preserve">Australia </w:t>
            </w:r>
          </w:p>
          <w:p w14:paraId="36E3BC8A" w14:textId="77777777" w:rsidR="00901A65" w:rsidRPr="005A56A7" w:rsidRDefault="00901A65" w:rsidP="00901A6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N</w:t>
            </w:r>
            <w:r w:rsidRPr="005A56A7">
              <w:rPr>
                <w:rFonts w:eastAsia="Times New Roman"/>
                <w:color w:val="000000"/>
                <w:szCs w:val="24"/>
                <w:lang w:val="en-AU" w:eastAsia="en-AU"/>
              </w:rPr>
              <w:t xml:space="preserve"> (%)</w:t>
            </w:r>
          </w:p>
        </w:tc>
        <w:tc>
          <w:tcPr>
            <w:tcW w:w="1670" w:type="dxa"/>
            <w:tcBorders>
              <w:top w:val="single" w:sz="4" w:space="0" w:color="666666" w:themeColor="text1" w:themeTint="99"/>
              <w:bottom w:val="single" w:sz="4" w:space="0" w:color="auto"/>
            </w:tcBorders>
            <w:noWrap/>
            <w:vAlign w:val="center"/>
            <w:hideMark/>
          </w:tcPr>
          <w:p w14:paraId="59C4C1D7" w14:textId="77777777" w:rsidR="00901A65" w:rsidRDefault="00901A65" w:rsidP="00901A6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color w:val="000000"/>
                <w:szCs w:val="24"/>
                <w:lang w:val="en-AU" w:eastAsia="en-AU"/>
              </w:rPr>
            </w:pPr>
            <w:r>
              <w:rPr>
                <w:rFonts w:eastAsia="Times New Roman"/>
                <w:color w:val="000000"/>
                <w:szCs w:val="24"/>
                <w:lang w:val="en-AU" w:eastAsia="en-AU"/>
              </w:rPr>
              <w:t>Singapore</w:t>
            </w:r>
          </w:p>
          <w:p w14:paraId="6C4D286C" w14:textId="77777777" w:rsidR="00901A65" w:rsidRPr="005A56A7" w:rsidRDefault="00901A65" w:rsidP="00901A6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N</w:t>
            </w:r>
            <w:r w:rsidRPr="005A56A7">
              <w:rPr>
                <w:rFonts w:eastAsia="Times New Roman"/>
                <w:color w:val="000000"/>
                <w:szCs w:val="24"/>
                <w:lang w:val="en-AU" w:eastAsia="en-AU"/>
              </w:rPr>
              <w:t xml:space="preserve"> (%)</w:t>
            </w:r>
          </w:p>
        </w:tc>
        <w:tc>
          <w:tcPr>
            <w:tcW w:w="1110" w:type="dxa"/>
            <w:tcBorders>
              <w:top w:val="single" w:sz="4" w:space="0" w:color="666666" w:themeColor="text1" w:themeTint="99"/>
              <w:bottom w:val="single" w:sz="4" w:space="0" w:color="auto"/>
            </w:tcBorders>
            <w:noWrap/>
            <w:vAlign w:val="center"/>
            <w:hideMark/>
          </w:tcPr>
          <w:p w14:paraId="6714B6D6" w14:textId="6059C25C" w:rsidR="00901A65" w:rsidRPr="001209FE" w:rsidRDefault="00901A65" w:rsidP="00901A65">
            <w:pPr>
              <w:spacing w:line="360" w:lineRule="auto"/>
              <w:jc w:val="center"/>
              <w:cnfStyle w:val="100000000000" w:firstRow="1" w:lastRow="0" w:firstColumn="0" w:lastColumn="0" w:oddVBand="0" w:evenVBand="0" w:oddHBand="0" w:evenHBand="0" w:firstRowFirstColumn="0" w:firstRowLastColumn="0" w:lastRowFirstColumn="0" w:lastRowLastColumn="0"/>
              <w:rPr>
                <w:rFonts w:eastAsia="Times New Roman"/>
                <w:color w:val="000000"/>
                <w:szCs w:val="24"/>
                <w:vertAlign w:val="superscript"/>
                <w:lang w:val="en-AU" w:eastAsia="en-AU"/>
              </w:rPr>
            </w:pPr>
            <w:r>
              <w:rPr>
                <w:rFonts w:eastAsia="Times New Roman"/>
                <w:color w:val="000000"/>
                <w:szCs w:val="24"/>
                <w:lang w:val="en-AU" w:eastAsia="en-AU"/>
              </w:rPr>
              <w:t>P-value</w:t>
            </w:r>
            <w:r w:rsidR="008E4A16">
              <w:rPr>
                <w:color w:val="1C1D1E"/>
                <w:szCs w:val="24"/>
                <w:shd w:val="clear" w:color="auto" w:fill="FFFFFF"/>
                <w:vertAlign w:val="superscript"/>
              </w:rPr>
              <w:t>*</w:t>
            </w:r>
          </w:p>
        </w:tc>
      </w:tr>
      <w:tr w:rsidR="00901A65" w:rsidRPr="005A56A7" w14:paraId="4E18390E"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8960" w:type="dxa"/>
            <w:gridSpan w:val="5"/>
            <w:tcBorders>
              <w:top w:val="single" w:sz="4" w:space="0" w:color="auto"/>
            </w:tcBorders>
            <w:noWrap/>
            <w:vAlign w:val="center"/>
            <w:hideMark/>
          </w:tcPr>
          <w:p w14:paraId="2AE5D48F" w14:textId="77777777" w:rsidR="00901A65" w:rsidRPr="005A56A7" w:rsidRDefault="00901A65" w:rsidP="00901A65">
            <w:pPr>
              <w:spacing w:line="360" w:lineRule="auto"/>
              <w:jc w:val="center"/>
              <w:rPr>
                <w:rFonts w:eastAsia="Times New Roman"/>
                <w:color w:val="000000"/>
                <w:szCs w:val="24"/>
                <w:lang w:val="en-AU" w:eastAsia="en-AU"/>
              </w:rPr>
            </w:pPr>
            <w:r>
              <w:rPr>
                <w:rFonts w:eastAsia="Times New Roman"/>
                <w:color w:val="000000"/>
                <w:szCs w:val="24"/>
                <w:lang w:val="en-AU" w:eastAsia="en-AU"/>
              </w:rPr>
              <w:t>Hygiene hypothesis variables</w:t>
            </w:r>
          </w:p>
        </w:tc>
      </w:tr>
      <w:tr w:rsidR="00901A65" w:rsidRPr="005A56A7" w14:paraId="1AF12068" w14:textId="77777777" w:rsidTr="00901A65">
        <w:trPr>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1251B664"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color w:val="000000"/>
                <w:szCs w:val="24"/>
                <w:lang w:val="en-AU" w:eastAsia="en-AU"/>
              </w:rPr>
              <w:t>Maternal smoking during pregnancy</w:t>
            </w:r>
            <w:r w:rsidRPr="005A56A7">
              <w:rPr>
                <w:rFonts w:eastAsia="Times New Roman"/>
                <w:b w:val="0"/>
                <w:color w:val="000000"/>
                <w:szCs w:val="24"/>
                <w:lang w:val="en-AU" w:eastAsia="en-AU"/>
              </w:rPr>
              <w:t xml:space="preserve"> </w:t>
            </w:r>
          </w:p>
        </w:tc>
        <w:tc>
          <w:tcPr>
            <w:tcW w:w="2069" w:type="dxa"/>
            <w:gridSpan w:val="2"/>
            <w:vAlign w:val="center"/>
            <w:hideMark/>
          </w:tcPr>
          <w:p w14:paraId="63CEC7C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 (0.3)</w:t>
            </w:r>
          </w:p>
        </w:tc>
        <w:tc>
          <w:tcPr>
            <w:tcW w:w="1670" w:type="dxa"/>
            <w:noWrap/>
            <w:vAlign w:val="center"/>
            <w:hideMark/>
          </w:tcPr>
          <w:p w14:paraId="0ED433D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21 (2.4)</w:t>
            </w:r>
          </w:p>
        </w:tc>
        <w:tc>
          <w:tcPr>
            <w:tcW w:w="1110" w:type="dxa"/>
            <w:noWrap/>
            <w:vAlign w:val="center"/>
            <w:hideMark/>
          </w:tcPr>
          <w:p w14:paraId="7DD6225C"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0.018</w:t>
            </w:r>
          </w:p>
        </w:tc>
      </w:tr>
      <w:tr w:rsidR="00901A65" w:rsidRPr="005A56A7" w14:paraId="12563328"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2F74E85C"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Household exposure to tobacco smoke</w:t>
            </w:r>
          </w:p>
        </w:tc>
        <w:tc>
          <w:tcPr>
            <w:tcW w:w="2069" w:type="dxa"/>
            <w:gridSpan w:val="2"/>
            <w:vAlign w:val="center"/>
            <w:hideMark/>
          </w:tcPr>
          <w:p w14:paraId="3302DC3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62 (19.8)</w:t>
            </w:r>
          </w:p>
        </w:tc>
        <w:tc>
          <w:tcPr>
            <w:tcW w:w="1670" w:type="dxa"/>
            <w:noWrap/>
            <w:vAlign w:val="center"/>
            <w:hideMark/>
          </w:tcPr>
          <w:p w14:paraId="0FC67502"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276 (38.2)</w:t>
            </w:r>
          </w:p>
        </w:tc>
        <w:tc>
          <w:tcPr>
            <w:tcW w:w="1110" w:type="dxa"/>
            <w:noWrap/>
            <w:vAlign w:val="center"/>
            <w:hideMark/>
          </w:tcPr>
          <w:p w14:paraId="4B839775"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3FBBD433" w14:textId="77777777" w:rsidTr="00901A65">
        <w:trPr>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0FF53C3B"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Age started childcare</w:t>
            </w:r>
          </w:p>
        </w:tc>
        <w:tc>
          <w:tcPr>
            <w:tcW w:w="2069" w:type="dxa"/>
            <w:gridSpan w:val="2"/>
            <w:vAlign w:val="center"/>
            <w:hideMark/>
          </w:tcPr>
          <w:p w14:paraId="4E146DD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670" w:type="dxa"/>
            <w:noWrap/>
            <w:vAlign w:val="center"/>
            <w:hideMark/>
          </w:tcPr>
          <w:p w14:paraId="00C692B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5CF8615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en-AU" w:eastAsia="en-AU"/>
              </w:rPr>
            </w:pPr>
          </w:p>
        </w:tc>
      </w:tr>
      <w:tr w:rsidR="00901A65" w:rsidRPr="005A56A7" w14:paraId="35566A8D"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23C87C4D"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None (ref)</w:t>
            </w:r>
          </w:p>
        </w:tc>
        <w:tc>
          <w:tcPr>
            <w:tcW w:w="2069" w:type="dxa"/>
            <w:gridSpan w:val="2"/>
            <w:vAlign w:val="center"/>
            <w:hideMark/>
          </w:tcPr>
          <w:p w14:paraId="5D554C4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254 (81.7)</w:t>
            </w:r>
          </w:p>
        </w:tc>
        <w:tc>
          <w:tcPr>
            <w:tcW w:w="1670" w:type="dxa"/>
            <w:noWrap/>
            <w:vAlign w:val="center"/>
            <w:hideMark/>
          </w:tcPr>
          <w:p w14:paraId="2C5CCD89"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651 (90.4)</w:t>
            </w:r>
          </w:p>
        </w:tc>
        <w:tc>
          <w:tcPr>
            <w:tcW w:w="1110" w:type="dxa"/>
            <w:noWrap/>
            <w:vAlign w:val="center"/>
            <w:hideMark/>
          </w:tcPr>
          <w:p w14:paraId="7F45D702"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37ADC8CF" w14:textId="77777777" w:rsidTr="00901A65">
        <w:trPr>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4F4282C1"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&lt; 6 months</w:t>
            </w:r>
          </w:p>
        </w:tc>
        <w:tc>
          <w:tcPr>
            <w:tcW w:w="2069" w:type="dxa"/>
            <w:gridSpan w:val="2"/>
            <w:vAlign w:val="center"/>
            <w:hideMark/>
          </w:tcPr>
          <w:p w14:paraId="459F16A8"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11 (3.5)</w:t>
            </w:r>
          </w:p>
        </w:tc>
        <w:tc>
          <w:tcPr>
            <w:tcW w:w="1670" w:type="dxa"/>
            <w:noWrap/>
            <w:vAlign w:val="center"/>
            <w:hideMark/>
          </w:tcPr>
          <w:p w14:paraId="0334FE21"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44 (6.1)</w:t>
            </w:r>
          </w:p>
        </w:tc>
        <w:tc>
          <w:tcPr>
            <w:tcW w:w="1110" w:type="dxa"/>
            <w:noWrap/>
            <w:vAlign w:val="center"/>
            <w:hideMark/>
          </w:tcPr>
          <w:p w14:paraId="2305FC53"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2FA9E00D"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20FD70B6"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w:t>
            </w:r>
            <w:r w:rsidRPr="005A56A7">
              <w:rPr>
                <w:rFonts w:eastAsia="Times New Roman"/>
                <w:b w:val="0"/>
                <w:color w:val="000000"/>
                <w:szCs w:val="24"/>
                <w:lang w:val="en-AU" w:eastAsia="en-AU"/>
              </w:rPr>
              <w:t xml:space="preserve"> 6 months</w:t>
            </w:r>
          </w:p>
        </w:tc>
        <w:tc>
          <w:tcPr>
            <w:tcW w:w="2069" w:type="dxa"/>
            <w:gridSpan w:val="2"/>
            <w:vAlign w:val="center"/>
            <w:hideMark/>
          </w:tcPr>
          <w:p w14:paraId="35D9C2D8"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46 (14.8)</w:t>
            </w:r>
          </w:p>
        </w:tc>
        <w:tc>
          <w:tcPr>
            <w:tcW w:w="1670" w:type="dxa"/>
            <w:noWrap/>
            <w:vAlign w:val="center"/>
            <w:hideMark/>
          </w:tcPr>
          <w:p w14:paraId="7E14B24E"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25 (3.5)</w:t>
            </w:r>
          </w:p>
        </w:tc>
        <w:tc>
          <w:tcPr>
            <w:tcW w:w="1110" w:type="dxa"/>
            <w:noWrap/>
            <w:vAlign w:val="center"/>
            <w:hideMark/>
          </w:tcPr>
          <w:p w14:paraId="7B09525E"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7A968C11" w14:textId="77777777" w:rsidTr="00901A65">
        <w:trPr>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23052EF6"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color w:val="000000"/>
                <w:szCs w:val="24"/>
                <w:lang w:val="en-AU" w:eastAsia="en-AU"/>
              </w:rPr>
              <w:t>Cat ownership</w:t>
            </w:r>
            <w:r w:rsidRPr="005A56A7">
              <w:rPr>
                <w:rFonts w:eastAsia="Times New Roman"/>
                <w:b w:val="0"/>
                <w:color w:val="000000"/>
                <w:szCs w:val="24"/>
                <w:lang w:val="en-AU" w:eastAsia="en-AU"/>
              </w:rPr>
              <w:t xml:space="preserve"> </w:t>
            </w:r>
          </w:p>
        </w:tc>
        <w:tc>
          <w:tcPr>
            <w:tcW w:w="2069" w:type="dxa"/>
            <w:gridSpan w:val="2"/>
            <w:vAlign w:val="center"/>
            <w:hideMark/>
          </w:tcPr>
          <w:p w14:paraId="18E75DD9"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10 (3.2)</w:t>
            </w:r>
          </w:p>
        </w:tc>
        <w:tc>
          <w:tcPr>
            <w:tcW w:w="1670" w:type="dxa"/>
            <w:noWrap/>
            <w:vAlign w:val="center"/>
            <w:hideMark/>
          </w:tcPr>
          <w:p w14:paraId="7F08166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26 (3.1)</w:t>
            </w:r>
          </w:p>
        </w:tc>
        <w:tc>
          <w:tcPr>
            <w:tcW w:w="1110" w:type="dxa"/>
            <w:noWrap/>
            <w:vAlign w:val="center"/>
            <w:hideMark/>
          </w:tcPr>
          <w:p w14:paraId="7451A0E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0.956</w:t>
            </w:r>
          </w:p>
        </w:tc>
      </w:tr>
      <w:tr w:rsidR="00901A65" w:rsidRPr="005A56A7" w14:paraId="33F7B7D1"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7C885365"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color w:val="000000"/>
                <w:szCs w:val="24"/>
                <w:lang w:val="en-AU" w:eastAsia="en-AU"/>
              </w:rPr>
              <w:t>Dog ownership</w:t>
            </w:r>
            <w:r w:rsidRPr="005A56A7">
              <w:rPr>
                <w:rFonts w:eastAsia="Times New Roman"/>
                <w:b w:val="0"/>
                <w:color w:val="000000"/>
                <w:szCs w:val="24"/>
                <w:lang w:val="en-AU" w:eastAsia="en-AU"/>
              </w:rPr>
              <w:t xml:space="preserve"> </w:t>
            </w:r>
          </w:p>
        </w:tc>
        <w:tc>
          <w:tcPr>
            <w:tcW w:w="2069" w:type="dxa"/>
            <w:gridSpan w:val="2"/>
            <w:vAlign w:val="center"/>
            <w:hideMark/>
          </w:tcPr>
          <w:p w14:paraId="14F44733"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24 (7.6)</w:t>
            </w:r>
          </w:p>
        </w:tc>
        <w:tc>
          <w:tcPr>
            <w:tcW w:w="1670" w:type="dxa"/>
            <w:noWrap/>
            <w:vAlign w:val="center"/>
            <w:hideMark/>
          </w:tcPr>
          <w:p w14:paraId="7A5C2C97"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39 (5.5)</w:t>
            </w:r>
          </w:p>
        </w:tc>
        <w:tc>
          <w:tcPr>
            <w:tcW w:w="1110" w:type="dxa"/>
            <w:noWrap/>
            <w:vAlign w:val="center"/>
            <w:hideMark/>
          </w:tcPr>
          <w:p w14:paraId="3D279E7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0.176</w:t>
            </w:r>
          </w:p>
        </w:tc>
      </w:tr>
      <w:tr w:rsidR="00901A65" w:rsidRPr="005A56A7" w14:paraId="146F5776" w14:textId="77777777" w:rsidTr="00901A65">
        <w:trPr>
          <w:trHeight w:val="330"/>
        </w:trPr>
        <w:tc>
          <w:tcPr>
            <w:cnfStyle w:val="001000000000" w:firstRow="0" w:lastRow="0" w:firstColumn="1" w:lastColumn="0" w:oddVBand="0" w:evenVBand="0" w:oddHBand="0" w:evenHBand="0" w:firstRowFirstColumn="0" w:firstRowLastColumn="0" w:lastRowFirstColumn="0" w:lastRowLastColumn="0"/>
            <w:tcW w:w="4111" w:type="dxa"/>
            <w:noWrap/>
            <w:vAlign w:val="center"/>
            <w:hideMark/>
          </w:tcPr>
          <w:p w14:paraId="41538C51"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Infant a</w:t>
            </w:r>
            <w:r w:rsidRPr="005A56A7">
              <w:rPr>
                <w:rFonts w:eastAsia="Times New Roman"/>
                <w:color w:val="000000"/>
                <w:szCs w:val="24"/>
                <w:lang w:val="en-AU" w:eastAsia="en-AU"/>
              </w:rPr>
              <w:t>ntibiotic use</w:t>
            </w:r>
            <w:r>
              <w:rPr>
                <w:rFonts w:eastAsia="Times New Roman"/>
                <w:color w:val="000000"/>
                <w:szCs w:val="24"/>
                <w:lang w:val="en-AU" w:eastAsia="en-AU"/>
              </w:rPr>
              <w:t xml:space="preserve"> (ever) </w:t>
            </w:r>
          </w:p>
        </w:tc>
        <w:tc>
          <w:tcPr>
            <w:tcW w:w="2069" w:type="dxa"/>
            <w:gridSpan w:val="2"/>
            <w:vAlign w:val="center"/>
            <w:hideMark/>
          </w:tcPr>
          <w:p w14:paraId="3D3ACC87"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124 (40.9)</w:t>
            </w:r>
          </w:p>
        </w:tc>
        <w:tc>
          <w:tcPr>
            <w:tcW w:w="1670" w:type="dxa"/>
            <w:noWrap/>
            <w:vAlign w:val="center"/>
            <w:hideMark/>
          </w:tcPr>
          <w:p w14:paraId="13C52D5D"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351 (45.9)</w:t>
            </w:r>
          </w:p>
        </w:tc>
        <w:tc>
          <w:tcPr>
            <w:tcW w:w="1110" w:type="dxa"/>
            <w:noWrap/>
            <w:vAlign w:val="center"/>
            <w:hideMark/>
          </w:tcPr>
          <w:p w14:paraId="0E6A05D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0.137</w:t>
            </w:r>
          </w:p>
        </w:tc>
      </w:tr>
      <w:tr w:rsidR="00901A65" w:rsidRPr="005A56A7" w14:paraId="20B49ADD" w14:textId="77777777" w:rsidTr="00901A65">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8960" w:type="dxa"/>
            <w:gridSpan w:val="5"/>
            <w:noWrap/>
            <w:vAlign w:val="center"/>
            <w:hideMark/>
          </w:tcPr>
          <w:p w14:paraId="0E7B067D" w14:textId="77777777" w:rsidR="00901A65" w:rsidRPr="005A56A7" w:rsidRDefault="00901A65" w:rsidP="00901A65">
            <w:pPr>
              <w:spacing w:line="360" w:lineRule="auto"/>
              <w:jc w:val="center"/>
              <w:rPr>
                <w:rFonts w:eastAsia="Times New Roman"/>
                <w:color w:val="000000"/>
                <w:szCs w:val="24"/>
                <w:lang w:val="en-AU" w:eastAsia="en-AU"/>
              </w:rPr>
            </w:pPr>
            <w:r w:rsidRPr="005A56A7">
              <w:rPr>
                <w:rFonts w:eastAsia="Times New Roman"/>
                <w:color w:val="000000"/>
                <w:szCs w:val="24"/>
                <w:lang w:val="en-AU" w:eastAsia="en-AU"/>
              </w:rPr>
              <w:t>Eczema</w:t>
            </w:r>
          </w:p>
        </w:tc>
      </w:tr>
      <w:tr w:rsidR="00901A65" w:rsidRPr="005A56A7" w14:paraId="6A48D8AE"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BA5E5A1"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Infant eczema</w:t>
            </w:r>
          </w:p>
        </w:tc>
        <w:tc>
          <w:tcPr>
            <w:tcW w:w="2003" w:type="dxa"/>
            <w:vAlign w:val="center"/>
            <w:hideMark/>
          </w:tcPr>
          <w:p w14:paraId="3667270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670" w:type="dxa"/>
            <w:noWrap/>
            <w:vAlign w:val="center"/>
            <w:hideMark/>
          </w:tcPr>
          <w:p w14:paraId="2E522E8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21D1021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0100B9C8"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07AD863F"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None (ref)</w:t>
            </w:r>
          </w:p>
        </w:tc>
        <w:tc>
          <w:tcPr>
            <w:tcW w:w="2003" w:type="dxa"/>
            <w:vAlign w:val="center"/>
            <w:hideMark/>
          </w:tcPr>
          <w:p w14:paraId="2703DC1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168 (59.6)</w:t>
            </w:r>
          </w:p>
        </w:tc>
        <w:tc>
          <w:tcPr>
            <w:tcW w:w="1670" w:type="dxa"/>
            <w:noWrap/>
            <w:vAlign w:val="center"/>
            <w:hideMark/>
          </w:tcPr>
          <w:p w14:paraId="5A1FBAA5"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691 (83.2)</w:t>
            </w:r>
          </w:p>
        </w:tc>
        <w:tc>
          <w:tcPr>
            <w:tcW w:w="1110" w:type="dxa"/>
            <w:noWrap/>
            <w:vAlign w:val="center"/>
            <w:hideMark/>
          </w:tcPr>
          <w:p w14:paraId="0E4826AF"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14AAB8E3"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13E3D599"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&lt; 6 months</w:t>
            </w:r>
          </w:p>
        </w:tc>
        <w:tc>
          <w:tcPr>
            <w:tcW w:w="2003" w:type="dxa"/>
            <w:vAlign w:val="center"/>
            <w:hideMark/>
          </w:tcPr>
          <w:p w14:paraId="2685FAF1"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86 (30.5)</w:t>
            </w:r>
          </w:p>
        </w:tc>
        <w:tc>
          <w:tcPr>
            <w:tcW w:w="1670" w:type="dxa"/>
            <w:noWrap/>
            <w:vAlign w:val="center"/>
            <w:hideMark/>
          </w:tcPr>
          <w:p w14:paraId="7CF8C2E8"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70 (8.4)</w:t>
            </w:r>
          </w:p>
        </w:tc>
        <w:tc>
          <w:tcPr>
            <w:tcW w:w="1110" w:type="dxa"/>
            <w:noWrap/>
            <w:vAlign w:val="center"/>
            <w:hideMark/>
          </w:tcPr>
          <w:p w14:paraId="6E5A2E2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 0.001</w:t>
            </w:r>
          </w:p>
        </w:tc>
      </w:tr>
      <w:tr w:rsidR="00901A65" w:rsidRPr="005A56A7" w14:paraId="01164D3D"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7483A105"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w:t>
            </w:r>
            <w:r w:rsidRPr="005A56A7">
              <w:rPr>
                <w:rFonts w:eastAsia="Times New Roman"/>
                <w:b w:val="0"/>
                <w:color w:val="000000"/>
                <w:szCs w:val="24"/>
                <w:lang w:val="en-AU" w:eastAsia="en-AU"/>
              </w:rPr>
              <w:t xml:space="preserve"> 6 months</w:t>
            </w:r>
          </w:p>
        </w:tc>
        <w:tc>
          <w:tcPr>
            <w:tcW w:w="2003" w:type="dxa"/>
            <w:vAlign w:val="center"/>
            <w:hideMark/>
          </w:tcPr>
          <w:p w14:paraId="78C544BC"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28 (9.9)</w:t>
            </w:r>
          </w:p>
        </w:tc>
        <w:tc>
          <w:tcPr>
            <w:tcW w:w="1670" w:type="dxa"/>
            <w:noWrap/>
            <w:vAlign w:val="center"/>
            <w:hideMark/>
          </w:tcPr>
          <w:p w14:paraId="42EACD51"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70 (8.4)</w:t>
            </w:r>
          </w:p>
        </w:tc>
        <w:tc>
          <w:tcPr>
            <w:tcW w:w="1110" w:type="dxa"/>
            <w:noWrap/>
            <w:vAlign w:val="center"/>
            <w:hideMark/>
          </w:tcPr>
          <w:p w14:paraId="44D3815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Pr>
                <w:rFonts w:eastAsia="Times New Roman"/>
                <w:b/>
                <w:bCs/>
                <w:color w:val="000000"/>
                <w:szCs w:val="24"/>
                <w:lang w:val="en-AU" w:eastAsia="en-AU"/>
              </w:rPr>
              <w:t>0.036</w:t>
            </w:r>
          </w:p>
        </w:tc>
      </w:tr>
      <w:tr w:rsidR="00901A65" w:rsidRPr="005A56A7" w14:paraId="6308DC53" w14:textId="77777777" w:rsidTr="00901A65">
        <w:trPr>
          <w:trHeight w:val="317"/>
        </w:trPr>
        <w:tc>
          <w:tcPr>
            <w:cnfStyle w:val="001000000000" w:firstRow="0" w:lastRow="0" w:firstColumn="1" w:lastColumn="0" w:oddVBand="0" w:evenVBand="0" w:oddHBand="0" w:evenHBand="0" w:firstRowFirstColumn="0" w:firstRowLastColumn="0" w:lastRowFirstColumn="0" w:lastRowLastColumn="0"/>
            <w:tcW w:w="6180" w:type="dxa"/>
            <w:gridSpan w:val="3"/>
            <w:noWrap/>
            <w:vAlign w:val="center"/>
            <w:hideMark/>
          </w:tcPr>
          <w:p w14:paraId="4F9DD415" w14:textId="77777777" w:rsidR="00901A65" w:rsidRPr="005A56A7" w:rsidRDefault="00901A65" w:rsidP="00901A65">
            <w:pPr>
              <w:spacing w:line="360" w:lineRule="auto"/>
              <w:rPr>
                <w:rFonts w:eastAsia="Times New Roman"/>
                <w:color w:val="000000"/>
                <w:szCs w:val="24"/>
                <w:lang w:val="en-AU" w:eastAsia="en-AU"/>
              </w:rPr>
            </w:pPr>
            <w:r>
              <w:rPr>
                <w:rFonts w:eastAsia="Times New Roman"/>
                <w:color w:val="000000"/>
                <w:szCs w:val="24"/>
                <w:lang w:val="en-AU" w:eastAsia="en-AU"/>
              </w:rPr>
              <w:t xml:space="preserve">Use </w:t>
            </w:r>
            <w:r w:rsidRPr="005A56A7">
              <w:rPr>
                <w:rFonts w:eastAsia="Times New Roman"/>
                <w:color w:val="000000"/>
                <w:szCs w:val="24"/>
                <w:lang w:val="en-AU" w:eastAsia="en-AU"/>
              </w:rPr>
              <w:t>of topical steroids</w:t>
            </w:r>
            <w:r>
              <w:rPr>
                <w:rFonts w:eastAsia="Times New Roman"/>
                <w:color w:val="000000"/>
                <w:szCs w:val="24"/>
                <w:lang w:val="en-AU" w:eastAsia="en-AU"/>
              </w:rPr>
              <w:t xml:space="preserve"> to treat eczema</w:t>
            </w:r>
          </w:p>
        </w:tc>
        <w:tc>
          <w:tcPr>
            <w:tcW w:w="1670" w:type="dxa"/>
            <w:noWrap/>
            <w:vAlign w:val="center"/>
            <w:hideMark/>
          </w:tcPr>
          <w:p w14:paraId="74DE08F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0509C64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5E17A544"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65F93504"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No eczema (ref)</w:t>
            </w:r>
          </w:p>
        </w:tc>
        <w:tc>
          <w:tcPr>
            <w:tcW w:w="2003" w:type="dxa"/>
            <w:vAlign w:val="center"/>
            <w:hideMark/>
          </w:tcPr>
          <w:p w14:paraId="2473C4A1"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168 (67.2)</w:t>
            </w:r>
          </w:p>
        </w:tc>
        <w:tc>
          <w:tcPr>
            <w:tcW w:w="1670" w:type="dxa"/>
            <w:noWrap/>
            <w:vAlign w:val="center"/>
            <w:hideMark/>
          </w:tcPr>
          <w:p w14:paraId="084B16B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635 (85.8)</w:t>
            </w:r>
          </w:p>
        </w:tc>
        <w:tc>
          <w:tcPr>
            <w:tcW w:w="1110" w:type="dxa"/>
            <w:noWrap/>
            <w:vAlign w:val="center"/>
            <w:hideMark/>
          </w:tcPr>
          <w:p w14:paraId="43B3A6ED"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7D1D1FAA"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C2C135E"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Eczema + steroids</w:t>
            </w:r>
          </w:p>
        </w:tc>
        <w:tc>
          <w:tcPr>
            <w:tcW w:w="2003" w:type="dxa"/>
            <w:vAlign w:val="center"/>
            <w:hideMark/>
          </w:tcPr>
          <w:p w14:paraId="51EFEC0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69 (27.6)</w:t>
            </w:r>
          </w:p>
        </w:tc>
        <w:tc>
          <w:tcPr>
            <w:tcW w:w="1670" w:type="dxa"/>
            <w:noWrap/>
            <w:vAlign w:val="center"/>
            <w:hideMark/>
          </w:tcPr>
          <w:p w14:paraId="7C3F353D"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65 (8.8)</w:t>
            </w:r>
          </w:p>
        </w:tc>
        <w:tc>
          <w:tcPr>
            <w:tcW w:w="1110" w:type="dxa"/>
            <w:noWrap/>
            <w:vAlign w:val="center"/>
            <w:hideMark/>
          </w:tcPr>
          <w:p w14:paraId="1FEA5DCC"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 0.001</w:t>
            </w:r>
          </w:p>
        </w:tc>
      </w:tr>
      <w:tr w:rsidR="00901A65" w:rsidRPr="005A56A7" w14:paraId="0998D506"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6154C4AD"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Eczema + no steroids</w:t>
            </w:r>
          </w:p>
        </w:tc>
        <w:tc>
          <w:tcPr>
            <w:tcW w:w="2003" w:type="dxa"/>
            <w:vAlign w:val="center"/>
            <w:hideMark/>
          </w:tcPr>
          <w:p w14:paraId="0C0A0DDF"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13 (5.2)</w:t>
            </w:r>
          </w:p>
        </w:tc>
        <w:tc>
          <w:tcPr>
            <w:tcW w:w="1670" w:type="dxa"/>
            <w:noWrap/>
            <w:vAlign w:val="center"/>
            <w:hideMark/>
          </w:tcPr>
          <w:p w14:paraId="78C2E280"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40 (5.4)</w:t>
            </w:r>
          </w:p>
        </w:tc>
        <w:tc>
          <w:tcPr>
            <w:tcW w:w="1110" w:type="dxa"/>
            <w:noWrap/>
            <w:vAlign w:val="center"/>
            <w:hideMark/>
          </w:tcPr>
          <w:p w14:paraId="67783512" w14:textId="77777777" w:rsidR="00901A65" w:rsidRPr="00D70705"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szCs w:val="24"/>
                <w:lang w:val="en-AU" w:eastAsia="en-AU"/>
              </w:rPr>
            </w:pPr>
            <w:r w:rsidRPr="00D70705">
              <w:rPr>
                <w:rFonts w:eastAsia="Times New Roman"/>
                <w:bCs/>
                <w:color w:val="000000"/>
                <w:szCs w:val="24"/>
                <w:lang w:val="en-AU" w:eastAsia="en-AU"/>
              </w:rPr>
              <w:t>0.533</w:t>
            </w:r>
          </w:p>
        </w:tc>
      </w:tr>
      <w:tr w:rsidR="00901A65" w:rsidRPr="005A56A7" w14:paraId="3EDB9BE2"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8960" w:type="dxa"/>
            <w:gridSpan w:val="5"/>
            <w:noWrap/>
            <w:vAlign w:val="center"/>
            <w:hideMark/>
          </w:tcPr>
          <w:p w14:paraId="473106B8" w14:textId="77777777" w:rsidR="00901A65" w:rsidRPr="005A56A7" w:rsidRDefault="00901A65" w:rsidP="00901A65">
            <w:pPr>
              <w:spacing w:line="360" w:lineRule="auto"/>
              <w:jc w:val="center"/>
              <w:rPr>
                <w:rFonts w:eastAsia="Times New Roman"/>
                <w:szCs w:val="24"/>
                <w:lang w:val="en-AU" w:eastAsia="en-AU"/>
              </w:rPr>
            </w:pPr>
            <w:r w:rsidRPr="005A56A7">
              <w:rPr>
                <w:rFonts w:eastAsia="Times New Roman"/>
                <w:color w:val="000000"/>
                <w:szCs w:val="24"/>
                <w:lang w:val="en-AU" w:eastAsia="en-AU"/>
              </w:rPr>
              <w:t>Infant diet</w:t>
            </w:r>
          </w:p>
        </w:tc>
      </w:tr>
      <w:tr w:rsidR="00901A65" w:rsidRPr="005A56A7" w14:paraId="6C98DB84" w14:textId="77777777" w:rsidTr="00901A65">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09F7FB2E"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Age at solid introduction</w:t>
            </w:r>
          </w:p>
        </w:tc>
        <w:tc>
          <w:tcPr>
            <w:tcW w:w="2003" w:type="dxa"/>
            <w:noWrap/>
            <w:vAlign w:val="center"/>
            <w:hideMark/>
          </w:tcPr>
          <w:p w14:paraId="096BD188"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p>
        </w:tc>
        <w:tc>
          <w:tcPr>
            <w:tcW w:w="1670" w:type="dxa"/>
            <w:noWrap/>
            <w:vAlign w:val="center"/>
            <w:hideMark/>
          </w:tcPr>
          <w:p w14:paraId="0851FC4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p>
        </w:tc>
        <w:tc>
          <w:tcPr>
            <w:tcW w:w="1110" w:type="dxa"/>
            <w:noWrap/>
            <w:vAlign w:val="center"/>
            <w:hideMark/>
          </w:tcPr>
          <w:p w14:paraId="4C477679"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p>
        </w:tc>
      </w:tr>
      <w:tr w:rsidR="00901A65" w:rsidRPr="005A56A7" w14:paraId="7FF3B9E9"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3F2A55CF" w14:textId="77777777" w:rsidR="00901A65" w:rsidRPr="005A56A7" w:rsidRDefault="00901A65" w:rsidP="00901A65">
            <w:pPr>
              <w:spacing w:line="360" w:lineRule="auto"/>
              <w:rPr>
                <w:rFonts w:eastAsia="DengXian"/>
                <w:b w:val="0"/>
                <w:color w:val="000000"/>
                <w:szCs w:val="24"/>
                <w:lang w:val="en-AU" w:eastAsia="en-AU"/>
              </w:rPr>
            </w:pPr>
            <w:r w:rsidRPr="005A56A7">
              <w:rPr>
                <w:rFonts w:eastAsia="DengXian"/>
                <w:b w:val="0"/>
                <w:color w:val="000000"/>
                <w:szCs w:val="24"/>
                <w:lang w:val="en-AU"/>
              </w:rPr>
              <w:t>≤ 6 months</w:t>
            </w:r>
          </w:p>
        </w:tc>
        <w:tc>
          <w:tcPr>
            <w:tcW w:w="2003" w:type="dxa"/>
            <w:noWrap/>
            <w:vAlign w:val="center"/>
            <w:hideMark/>
          </w:tcPr>
          <w:p w14:paraId="562AAD9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273 (91.6)</w:t>
            </w:r>
          </w:p>
        </w:tc>
        <w:tc>
          <w:tcPr>
            <w:tcW w:w="1670" w:type="dxa"/>
            <w:noWrap/>
            <w:vAlign w:val="center"/>
            <w:hideMark/>
          </w:tcPr>
          <w:p w14:paraId="3E52F11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664 (84.1)</w:t>
            </w:r>
          </w:p>
        </w:tc>
        <w:tc>
          <w:tcPr>
            <w:tcW w:w="1110" w:type="dxa"/>
            <w:noWrap/>
            <w:vAlign w:val="center"/>
            <w:hideMark/>
          </w:tcPr>
          <w:p w14:paraId="0EF8F5A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447778A6"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4302817"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&gt; 6 months</w:t>
            </w:r>
          </w:p>
        </w:tc>
        <w:tc>
          <w:tcPr>
            <w:tcW w:w="2003" w:type="dxa"/>
            <w:noWrap/>
            <w:vAlign w:val="center"/>
            <w:hideMark/>
          </w:tcPr>
          <w:p w14:paraId="067ECB5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25 (8.4)</w:t>
            </w:r>
          </w:p>
        </w:tc>
        <w:tc>
          <w:tcPr>
            <w:tcW w:w="1670" w:type="dxa"/>
            <w:noWrap/>
            <w:vAlign w:val="center"/>
            <w:hideMark/>
          </w:tcPr>
          <w:p w14:paraId="494C2319"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126 (16.0)</w:t>
            </w:r>
          </w:p>
        </w:tc>
        <w:tc>
          <w:tcPr>
            <w:tcW w:w="1110" w:type="dxa"/>
            <w:noWrap/>
            <w:vAlign w:val="center"/>
            <w:hideMark/>
          </w:tcPr>
          <w:p w14:paraId="08EB4309"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0.001</w:t>
            </w:r>
          </w:p>
        </w:tc>
      </w:tr>
      <w:tr w:rsidR="00901A65" w:rsidRPr="005A56A7" w14:paraId="1F687BBA"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365C63FA"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Age at egg introduction</w:t>
            </w:r>
          </w:p>
        </w:tc>
        <w:tc>
          <w:tcPr>
            <w:tcW w:w="2003" w:type="dxa"/>
            <w:noWrap/>
            <w:vAlign w:val="center"/>
            <w:hideMark/>
          </w:tcPr>
          <w:p w14:paraId="1174485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670" w:type="dxa"/>
            <w:noWrap/>
            <w:vAlign w:val="center"/>
            <w:hideMark/>
          </w:tcPr>
          <w:p w14:paraId="3507CEE7"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07994E9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40A781E4"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065F60FF" w14:textId="77777777" w:rsidR="00901A65" w:rsidRPr="005A56A7" w:rsidRDefault="00901A65" w:rsidP="00901A65">
            <w:pPr>
              <w:spacing w:line="360" w:lineRule="auto"/>
              <w:rPr>
                <w:rFonts w:eastAsia="DengXian"/>
                <w:b w:val="0"/>
                <w:color w:val="000000"/>
                <w:szCs w:val="24"/>
                <w:lang w:val="en-AU" w:eastAsia="en-AU"/>
              </w:rPr>
            </w:pPr>
            <w:r w:rsidRPr="005A56A7">
              <w:rPr>
                <w:rFonts w:eastAsia="DengXian"/>
                <w:b w:val="0"/>
                <w:color w:val="000000"/>
                <w:szCs w:val="24"/>
                <w:lang w:val="en-AU"/>
              </w:rPr>
              <w:t>≤ 10 months</w:t>
            </w:r>
          </w:p>
        </w:tc>
        <w:tc>
          <w:tcPr>
            <w:tcW w:w="2003" w:type="dxa"/>
            <w:noWrap/>
            <w:vAlign w:val="center"/>
            <w:hideMark/>
          </w:tcPr>
          <w:p w14:paraId="1418C29F"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257 (83.7)</w:t>
            </w:r>
          </w:p>
        </w:tc>
        <w:tc>
          <w:tcPr>
            <w:tcW w:w="1670" w:type="dxa"/>
            <w:noWrap/>
            <w:vAlign w:val="center"/>
            <w:hideMark/>
          </w:tcPr>
          <w:p w14:paraId="14EF192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295 (36.5)</w:t>
            </w:r>
          </w:p>
        </w:tc>
        <w:tc>
          <w:tcPr>
            <w:tcW w:w="1110" w:type="dxa"/>
            <w:noWrap/>
            <w:vAlign w:val="center"/>
            <w:hideMark/>
          </w:tcPr>
          <w:p w14:paraId="33A4499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1B8268AA"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752EDA79"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&gt; 10 months</w:t>
            </w:r>
          </w:p>
        </w:tc>
        <w:tc>
          <w:tcPr>
            <w:tcW w:w="2003" w:type="dxa"/>
            <w:noWrap/>
            <w:vAlign w:val="center"/>
            <w:hideMark/>
          </w:tcPr>
          <w:p w14:paraId="21803B3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38 (12.4)</w:t>
            </w:r>
          </w:p>
        </w:tc>
        <w:tc>
          <w:tcPr>
            <w:tcW w:w="1670" w:type="dxa"/>
            <w:noWrap/>
            <w:vAlign w:val="center"/>
            <w:hideMark/>
          </w:tcPr>
          <w:p w14:paraId="4F6C45C8"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140 (17.3)</w:t>
            </w:r>
          </w:p>
        </w:tc>
        <w:tc>
          <w:tcPr>
            <w:tcW w:w="1110" w:type="dxa"/>
            <w:noWrap/>
            <w:vAlign w:val="center"/>
            <w:hideMark/>
          </w:tcPr>
          <w:p w14:paraId="07BDE838"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&lt;0.001</w:t>
            </w:r>
          </w:p>
        </w:tc>
      </w:tr>
      <w:tr w:rsidR="00901A65" w:rsidRPr="005A56A7" w14:paraId="53922345"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74F5FDB3"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Not yet given by 12 m</w:t>
            </w:r>
            <w:r>
              <w:rPr>
                <w:rFonts w:eastAsia="Times New Roman"/>
                <w:b w:val="0"/>
                <w:color w:val="000000"/>
                <w:szCs w:val="24"/>
                <w:lang w:val="en-AU" w:eastAsia="en-AU"/>
              </w:rPr>
              <w:t>on</w:t>
            </w:r>
            <w:r w:rsidRPr="005A56A7">
              <w:rPr>
                <w:rFonts w:eastAsia="Times New Roman"/>
                <w:b w:val="0"/>
                <w:color w:val="000000"/>
                <w:szCs w:val="24"/>
                <w:lang w:val="en-AU" w:eastAsia="en-AU"/>
              </w:rPr>
              <w:t>ths</w:t>
            </w:r>
          </w:p>
        </w:tc>
        <w:tc>
          <w:tcPr>
            <w:tcW w:w="2003" w:type="dxa"/>
            <w:noWrap/>
            <w:vAlign w:val="center"/>
            <w:hideMark/>
          </w:tcPr>
          <w:p w14:paraId="1C12A1D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 (3.9)</w:t>
            </w:r>
          </w:p>
        </w:tc>
        <w:tc>
          <w:tcPr>
            <w:tcW w:w="1670" w:type="dxa"/>
            <w:noWrap/>
            <w:vAlign w:val="center"/>
            <w:hideMark/>
          </w:tcPr>
          <w:p w14:paraId="11D822B5"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373 (46.2)</w:t>
            </w:r>
          </w:p>
        </w:tc>
        <w:tc>
          <w:tcPr>
            <w:tcW w:w="1110" w:type="dxa"/>
            <w:noWrap/>
            <w:vAlign w:val="center"/>
            <w:hideMark/>
          </w:tcPr>
          <w:p w14:paraId="2BB82C8F"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&lt;0.001</w:t>
            </w:r>
          </w:p>
        </w:tc>
      </w:tr>
      <w:tr w:rsidR="00901A65" w:rsidRPr="005A56A7" w14:paraId="457BB89F"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285FE62F"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Age at peanut introduction</w:t>
            </w:r>
          </w:p>
        </w:tc>
        <w:tc>
          <w:tcPr>
            <w:tcW w:w="2003" w:type="dxa"/>
            <w:noWrap/>
            <w:vAlign w:val="center"/>
            <w:hideMark/>
          </w:tcPr>
          <w:p w14:paraId="020E63E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670" w:type="dxa"/>
            <w:noWrap/>
            <w:vAlign w:val="center"/>
            <w:hideMark/>
          </w:tcPr>
          <w:p w14:paraId="7D1C668B"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4596CE78"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7D7F2E4C"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36667C3C" w14:textId="77777777" w:rsidR="00901A65" w:rsidRPr="005A56A7" w:rsidRDefault="00901A65" w:rsidP="00901A65">
            <w:pPr>
              <w:spacing w:line="360" w:lineRule="auto"/>
              <w:rPr>
                <w:rFonts w:eastAsia="DengXian"/>
                <w:b w:val="0"/>
                <w:color w:val="000000"/>
                <w:szCs w:val="24"/>
                <w:lang w:val="en-AU" w:eastAsia="en-AU"/>
              </w:rPr>
            </w:pPr>
            <w:r w:rsidRPr="005A56A7">
              <w:rPr>
                <w:rFonts w:eastAsia="DengXian"/>
                <w:b w:val="0"/>
                <w:color w:val="000000"/>
                <w:szCs w:val="24"/>
                <w:lang w:val="en-AU"/>
              </w:rPr>
              <w:lastRenderedPageBreak/>
              <w:t>≤ 10 months</w:t>
            </w:r>
          </w:p>
        </w:tc>
        <w:tc>
          <w:tcPr>
            <w:tcW w:w="2003" w:type="dxa"/>
            <w:noWrap/>
            <w:vAlign w:val="center"/>
            <w:hideMark/>
          </w:tcPr>
          <w:p w14:paraId="14B8E6C9"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40 (13.8)</w:t>
            </w:r>
          </w:p>
        </w:tc>
        <w:tc>
          <w:tcPr>
            <w:tcW w:w="1670" w:type="dxa"/>
            <w:noWrap/>
            <w:vAlign w:val="center"/>
            <w:hideMark/>
          </w:tcPr>
          <w:p w14:paraId="147A7075"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82 (10.6)</w:t>
            </w:r>
          </w:p>
        </w:tc>
        <w:tc>
          <w:tcPr>
            <w:tcW w:w="1110" w:type="dxa"/>
            <w:noWrap/>
            <w:vAlign w:val="center"/>
            <w:hideMark/>
          </w:tcPr>
          <w:p w14:paraId="3838FE43"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599879A5"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13201146"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10-12 months</w:t>
            </w:r>
          </w:p>
        </w:tc>
        <w:tc>
          <w:tcPr>
            <w:tcW w:w="2003" w:type="dxa"/>
            <w:noWrap/>
            <w:vAlign w:val="center"/>
            <w:hideMark/>
          </w:tcPr>
          <w:p w14:paraId="5043610D"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18 (6.2)</w:t>
            </w:r>
          </w:p>
        </w:tc>
        <w:tc>
          <w:tcPr>
            <w:tcW w:w="1670" w:type="dxa"/>
            <w:noWrap/>
            <w:vAlign w:val="center"/>
            <w:hideMark/>
          </w:tcPr>
          <w:p w14:paraId="43EF1986"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177 (22.9)</w:t>
            </w:r>
          </w:p>
        </w:tc>
        <w:tc>
          <w:tcPr>
            <w:tcW w:w="1110" w:type="dxa"/>
            <w:noWrap/>
            <w:vAlign w:val="center"/>
            <w:hideMark/>
          </w:tcPr>
          <w:p w14:paraId="46B2EF7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&lt;0.001</w:t>
            </w:r>
          </w:p>
        </w:tc>
      </w:tr>
      <w:tr w:rsidR="00901A65" w:rsidRPr="005A56A7" w14:paraId="7C8A46D6"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97FA69A"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Not yet given by 12 m</w:t>
            </w:r>
            <w:r>
              <w:rPr>
                <w:rFonts w:eastAsia="Times New Roman"/>
                <w:b w:val="0"/>
                <w:color w:val="000000"/>
                <w:szCs w:val="24"/>
                <w:lang w:val="en-AU" w:eastAsia="en-AU"/>
              </w:rPr>
              <w:t>on</w:t>
            </w:r>
            <w:r w:rsidRPr="005A56A7">
              <w:rPr>
                <w:rFonts w:eastAsia="Times New Roman"/>
                <w:b w:val="0"/>
                <w:color w:val="000000"/>
                <w:szCs w:val="24"/>
                <w:lang w:val="en-AU" w:eastAsia="en-AU"/>
              </w:rPr>
              <w:t>ths</w:t>
            </w:r>
          </w:p>
        </w:tc>
        <w:tc>
          <w:tcPr>
            <w:tcW w:w="2003" w:type="dxa"/>
            <w:noWrap/>
            <w:vAlign w:val="center"/>
            <w:hideMark/>
          </w:tcPr>
          <w:p w14:paraId="41273EDB"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232 (80.0)</w:t>
            </w:r>
          </w:p>
        </w:tc>
        <w:tc>
          <w:tcPr>
            <w:tcW w:w="1670" w:type="dxa"/>
            <w:noWrap/>
            <w:vAlign w:val="center"/>
            <w:hideMark/>
          </w:tcPr>
          <w:p w14:paraId="19A33A6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516 (66.6)</w:t>
            </w:r>
          </w:p>
        </w:tc>
        <w:tc>
          <w:tcPr>
            <w:tcW w:w="1110" w:type="dxa"/>
            <w:noWrap/>
            <w:vAlign w:val="center"/>
            <w:hideMark/>
          </w:tcPr>
          <w:p w14:paraId="2603D836"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2C1FB4">
              <w:rPr>
                <w:rFonts w:eastAsia="Times New Roman"/>
                <w:bCs/>
                <w:color w:val="000000"/>
                <w:szCs w:val="24"/>
                <w:lang w:val="en-AU" w:eastAsia="en-AU"/>
              </w:rPr>
              <w:t>0.696</w:t>
            </w:r>
          </w:p>
        </w:tc>
      </w:tr>
      <w:tr w:rsidR="00901A65" w:rsidRPr="005A56A7" w14:paraId="5AFAF535"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7850" w:type="dxa"/>
            <w:gridSpan w:val="4"/>
            <w:noWrap/>
            <w:vAlign w:val="center"/>
            <w:hideMark/>
          </w:tcPr>
          <w:p w14:paraId="5FCC7AEC"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Type of milk feeding in the first 6 months of life</w:t>
            </w:r>
          </w:p>
        </w:tc>
        <w:tc>
          <w:tcPr>
            <w:tcW w:w="1110" w:type="dxa"/>
            <w:noWrap/>
            <w:vAlign w:val="center"/>
            <w:hideMark/>
          </w:tcPr>
          <w:p w14:paraId="4294A14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901A65" w:rsidRPr="005A56A7" w14:paraId="67181868"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tcPr>
          <w:p w14:paraId="689DCDBD" w14:textId="77777777" w:rsidR="00901A65" w:rsidRPr="008E65FE" w:rsidRDefault="00901A65" w:rsidP="00901A65">
            <w:pPr>
              <w:spacing w:line="360" w:lineRule="auto"/>
              <w:rPr>
                <w:rFonts w:eastAsia="Times New Roman"/>
                <w:b w:val="0"/>
                <w:color w:val="000000"/>
                <w:szCs w:val="24"/>
                <w:lang w:val="en-AU" w:eastAsia="en-AU"/>
              </w:rPr>
            </w:pPr>
            <w:r w:rsidRPr="008E65FE">
              <w:rPr>
                <w:b w:val="0"/>
              </w:rPr>
              <w:t>Mixed feeding</w:t>
            </w:r>
          </w:p>
        </w:tc>
        <w:tc>
          <w:tcPr>
            <w:tcW w:w="2003" w:type="dxa"/>
            <w:noWrap/>
          </w:tcPr>
          <w:p w14:paraId="08EAC38D"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154AFC">
              <w:t>194 (63.0)</w:t>
            </w:r>
          </w:p>
        </w:tc>
        <w:tc>
          <w:tcPr>
            <w:tcW w:w="1670" w:type="dxa"/>
            <w:noWrap/>
          </w:tcPr>
          <w:p w14:paraId="315C9D50"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154AFC">
              <w:t>710 (87.</w:t>
            </w:r>
            <w:r>
              <w:t>6</w:t>
            </w:r>
            <w:r w:rsidRPr="00154AFC">
              <w:t>)</w:t>
            </w:r>
          </w:p>
        </w:tc>
        <w:tc>
          <w:tcPr>
            <w:tcW w:w="1110" w:type="dxa"/>
            <w:noWrap/>
          </w:tcPr>
          <w:p w14:paraId="490BDC88"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p>
        </w:tc>
      </w:tr>
      <w:tr w:rsidR="00901A65" w:rsidRPr="005A56A7" w14:paraId="3844CEEE"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226D472B"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Fully formula fed</w:t>
            </w:r>
          </w:p>
        </w:tc>
        <w:tc>
          <w:tcPr>
            <w:tcW w:w="2003" w:type="dxa"/>
            <w:noWrap/>
            <w:vAlign w:val="center"/>
            <w:hideMark/>
          </w:tcPr>
          <w:p w14:paraId="554FF9FD"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 (3.9)</w:t>
            </w:r>
          </w:p>
        </w:tc>
        <w:tc>
          <w:tcPr>
            <w:tcW w:w="1670" w:type="dxa"/>
            <w:noWrap/>
            <w:vAlign w:val="center"/>
            <w:hideMark/>
          </w:tcPr>
          <w:p w14:paraId="78362FAE"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40 (4.9)</w:t>
            </w:r>
          </w:p>
        </w:tc>
        <w:tc>
          <w:tcPr>
            <w:tcW w:w="1110" w:type="dxa"/>
            <w:noWrap/>
            <w:vAlign w:val="center"/>
            <w:hideMark/>
          </w:tcPr>
          <w:p w14:paraId="51D01F12"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0.783</w:t>
            </w:r>
          </w:p>
        </w:tc>
      </w:tr>
      <w:tr w:rsidR="00901A65" w:rsidRPr="005A56A7" w14:paraId="5FE39C5D"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2C34EB0"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Fully breastfed</w:t>
            </w:r>
          </w:p>
        </w:tc>
        <w:tc>
          <w:tcPr>
            <w:tcW w:w="2003" w:type="dxa"/>
            <w:noWrap/>
            <w:vAlign w:val="center"/>
            <w:hideMark/>
          </w:tcPr>
          <w:p w14:paraId="59AE81B0"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102 (33.1)</w:t>
            </w:r>
          </w:p>
        </w:tc>
        <w:tc>
          <w:tcPr>
            <w:tcW w:w="1670" w:type="dxa"/>
            <w:noWrap/>
            <w:vAlign w:val="center"/>
            <w:hideMark/>
          </w:tcPr>
          <w:p w14:paraId="16B22F48"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61 (7.5)</w:t>
            </w:r>
          </w:p>
        </w:tc>
        <w:tc>
          <w:tcPr>
            <w:tcW w:w="1110" w:type="dxa"/>
            <w:noWrap/>
            <w:vAlign w:val="center"/>
            <w:hideMark/>
          </w:tcPr>
          <w:p w14:paraId="4CCC97AD"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4F195696"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39F297CB" w14:textId="77777777" w:rsidR="00901A65" w:rsidRPr="005A56A7" w:rsidRDefault="00901A65" w:rsidP="00901A65">
            <w:pPr>
              <w:spacing w:line="360" w:lineRule="auto"/>
              <w:rPr>
                <w:rFonts w:eastAsia="Times New Roman"/>
                <w:color w:val="000000"/>
                <w:szCs w:val="24"/>
                <w:lang w:val="en-AU" w:eastAsia="en-AU"/>
              </w:rPr>
            </w:pPr>
            <w:r w:rsidRPr="005A56A7">
              <w:rPr>
                <w:rFonts w:eastAsia="Times New Roman"/>
                <w:color w:val="000000"/>
                <w:szCs w:val="24"/>
                <w:lang w:val="en-AU" w:eastAsia="en-AU"/>
              </w:rPr>
              <w:t>Duration of breastfeeding</w:t>
            </w:r>
          </w:p>
        </w:tc>
        <w:tc>
          <w:tcPr>
            <w:tcW w:w="2003" w:type="dxa"/>
            <w:noWrap/>
            <w:vAlign w:val="center"/>
            <w:hideMark/>
          </w:tcPr>
          <w:p w14:paraId="2AB611D3"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670" w:type="dxa"/>
            <w:noWrap/>
            <w:vAlign w:val="center"/>
            <w:hideMark/>
          </w:tcPr>
          <w:p w14:paraId="25D6A5A5"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c>
          <w:tcPr>
            <w:tcW w:w="1110" w:type="dxa"/>
            <w:noWrap/>
            <w:vAlign w:val="center"/>
            <w:hideMark/>
          </w:tcPr>
          <w:p w14:paraId="369D643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p>
        </w:tc>
      </w:tr>
      <w:tr w:rsidR="007002EB" w:rsidRPr="005A56A7" w14:paraId="60DC69C6"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tcPr>
          <w:p w14:paraId="4E0D3061" w14:textId="50EA01F0" w:rsidR="007002EB" w:rsidRPr="007002EB" w:rsidRDefault="007002EB" w:rsidP="00901A65">
            <w:pPr>
              <w:spacing w:line="360" w:lineRule="auto"/>
              <w:rPr>
                <w:rFonts w:eastAsia="Times New Roman"/>
                <w:b w:val="0"/>
                <w:color w:val="000000"/>
                <w:szCs w:val="24"/>
                <w:lang w:val="en-AU" w:eastAsia="en-AU"/>
              </w:rPr>
            </w:pPr>
            <w:r w:rsidRPr="007002EB">
              <w:rPr>
                <w:rFonts w:eastAsia="Times New Roman"/>
                <w:b w:val="0"/>
                <w:color w:val="000000"/>
                <w:szCs w:val="24"/>
                <w:lang w:val="en-AU" w:eastAsia="en-AU"/>
              </w:rPr>
              <w:t>&lt; 1 month</w:t>
            </w:r>
          </w:p>
        </w:tc>
        <w:tc>
          <w:tcPr>
            <w:tcW w:w="2003" w:type="dxa"/>
            <w:noWrap/>
            <w:vAlign w:val="center"/>
          </w:tcPr>
          <w:p w14:paraId="6B05E475" w14:textId="7BE14504" w:rsidR="007002EB" w:rsidRPr="005A56A7"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21 (6.9)</w:t>
            </w:r>
          </w:p>
        </w:tc>
        <w:tc>
          <w:tcPr>
            <w:tcW w:w="1670" w:type="dxa"/>
            <w:noWrap/>
            <w:vAlign w:val="center"/>
          </w:tcPr>
          <w:p w14:paraId="5C1A59EF" w14:textId="5B07DF4F" w:rsidR="007002EB" w:rsidRPr="005A56A7"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208 (24.6)</w:t>
            </w:r>
          </w:p>
        </w:tc>
        <w:tc>
          <w:tcPr>
            <w:tcW w:w="1110" w:type="dxa"/>
            <w:noWrap/>
            <w:vAlign w:val="center"/>
          </w:tcPr>
          <w:p w14:paraId="79F9025C" w14:textId="661AE52A" w:rsidR="007002EB" w:rsidRPr="005A56A7"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 0.001</w:t>
            </w:r>
          </w:p>
        </w:tc>
      </w:tr>
      <w:tr w:rsidR="007002EB" w:rsidRPr="005A56A7" w14:paraId="0FCF4C72"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tcPr>
          <w:p w14:paraId="02D2AF91" w14:textId="0756E8F3" w:rsidR="007002EB" w:rsidRPr="007002EB" w:rsidRDefault="007002EB"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1</w:t>
            </w:r>
            <w:r w:rsidRPr="007002EB">
              <w:rPr>
                <w:rFonts w:eastAsia="Times New Roman"/>
                <w:b w:val="0"/>
                <w:color w:val="000000"/>
                <w:szCs w:val="24"/>
                <w:lang w:val="en-AU" w:eastAsia="en-AU"/>
              </w:rPr>
              <w:t xml:space="preserve"> - </w:t>
            </w:r>
            <w:r>
              <w:rPr>
                <w:rFonts w:eastAsia="Times New Roman"/>
                <w:b w:val="0"/>
                <w:color w:val="000000"/>
                <w:szCs w:val="24"/>
                <w:lang w:val="en-AU" w:eastAsia="en-AU"/>
              </w:rPr>
              <w:t>2</w:t>
            </w:r>
            <w:r w:rsidRPr="007002EB">
              <w:rPr>
                <w:rFonts w:eastAsia="Times New Roman"/>
                <w:b w:val="0"/>
                <w:color w:val="000000"/>
                <w:szCs w:val="24"/>
                <w:lang w:val="en-AU" w:eastAsia="en-AU"/>
              </w:rPr>
              <w:t xml:space="preserve"> months</w:t>
            </w:r>
          </w:p>
        </w:tc>
        <w:tc>
          <w:tcPr>
            <w:tcW w:w="2003" w:type="dxa"/>
            <w:noWrap/>
            <w:vAlign w:val="center"/>
          </w:tcPr>
          <w:p w14:paraId="67A610F6" w14:textId="3F500CB3" w:rsidR="007002EB" w:rsidRPr="005A56A7" w:rsidRDefault="007002EB"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25 (8.2)</w:t>
            </w:r>
          </w:p>
        </w:tc>
        <w:tc>
          <w:tcPr>
            <w:tcW w:w="1670" w:type="dxa"/>
            <w:noWrap/>
            <w:vAlign w:val="center"/>
          </w:tcPr>
          <w:p w14:paraId="68E58B8D" w14:textId="2B151EB7" w:rsidR="007002EB" w:rsidRPr="005A56A7" w:rsidRDefault="007002EB"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157 (18.6)</w:t>
            </w:r>
          </w:p>
        </w:tc>
        <w:tc>
          <w:tcPr>
            <w:tcW w:w="1110" w:type="dxa"/>
            <w:noWrap/>
            <w:vAlign w:val="center"/>
          </w:tcPr>
          <w:p w14:paraId="49279D6D" w14:textId="1407716E" w:rsidR="007002EB" w:rsidRPr="005A56A7" w:rsidRDefault="007002EB"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b/>
                <w:bCs/>
                <w:color w:val="000000"/>
                <w:szCs w:val="24"/>
                <w:lang w:val="en-AU" w:eastAsia="en-AU"/>
              </w:rPr>
              <w:t>&lt; 0.001</w:t>
            </w:r>
          </w:p>
        </w:tc>
      </w:tr>
      <w:tr w:rsidR="007002EB" w:rsidRPr="005A56A7" w14:paraId="7C6D3CB5"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tcPr>
          <w:p w14:paraId="1EB46FD5" w14:textId="7A68C1D0" w:rsidR="007002EB" w:rsidRPr="007002EB" w:rsidRDefault="007002EB" w:rsidP="00901A65">
            <w:pPr>
              <w:spacing w:line="360" w:lineRule="auto"/>
              <w:rPr>
                <w:rFonts w:eastAsia="Times New Roman"/>
                <w:b w:val="0"/>
                <w:color w:val="000000"/>
                <w:szCs w:val="24"/>
                <w:lang w:val="en-AU" w:eastAsia="en-AU"/>
              </w:rPr>
            </w:pPr>
            <w:r>
              <w:rPr>
                <w:rFonts w:eastAsia="Times New Roman"/>
                <w:b w:val="0"/>
                <w:color w:val="000000"/>
                <w:szCs w:val="24"/>
                <w:lang w:val="en-AU" w:eastAsia="en-AU"/>
              </w:rPr>
              <w:t>3</w:t>
            </w:r>
            <w:r w:rsidRPr="007002EB">
              <w:rPr>
                <w:rFonts w:eastAsia="Times New Roman"/>
                <w:b w:val="0"/>
                <w:color w:val="000000"/>
                <w:szCs w:val="24"/>
                <w:lang w:val="en-AU" w:eastAsia="en-AU"/>
              </w:rPr>
              <w:t xml:space="preserve"> - </w:t>
            </w:r>
            <w:r>
              <w:rPr>
                <w:rFonts w:eastAsia="Times New Roman"/>
                <w:b w:val="0"/>
                <w:color w:val="000000"/>
                <w:szCs w:val="24"/>
                <w:lang w:val="en-AU" w:eastAsia="en-AU"/>
              </w:rPr>
              <w:t>5</w:t>
            </w:r>
            <w:r w:rsidRPr="007002EB">
              <w:rPr>
                <w:rFonts w:eastAsia="Times New Roman"/>
                <w:b w:val="0"/>
                <w:color w:val="000000"/>
                <w:szCs w:val="24"/>
                <w:lang w:val="en-AU" w:eastAsia="en-AU"/>
              </w:rPr>
              <w:t xml:space="preserve"> months</w:t>
            </w:r>
          </w:p>
        </w:tc>
        <w:tc>
          <w:tcPr>
            <w:tcW w:w="2003" w:type="dxa"/>
            <w:noWrap/>
            <w:vAlign w:val="center"/>
          </w:tcPr>
          <w:p w14:paraId="0B32FD9F" w14:textId="0A27DD80" w:rsidR="007002EB" w:rsidRPr="005A56A7"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56 (18.4)</w:t>
            </w:r>
          </w:p>
        </w:tc>
        <w:tc>
          <w:tcPr>
            <w:tcW w:w="1670" w:type="dxa"/>
            <w:noWrap/>
            <w:vAlign w:val="center"/>
          </w:tcPr>
          <w:p w14:paraId="3E387BED" w14:textId="650034FC" w:rsidR="007002EB" w:rsidRPr="005A56A7"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149 (17.6)</w:t>
            </w:r>
          </w:p>
        </w:tc>
        <w:tc>
          <w:tcPr>
            <w:tcW w:w="1110" w:type="dxa"/>
            <w:noWrap/>
            <w:vAlign w:val="center"/>
          </w:tcPr>
          <w:p w14:paraId="17F711A9" w14:textId="74782723" w:rsidR="007002EB" w:rsidRPr="007002EB" w:rsidRDefault="007002EB"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Cs w:val="24"/>
                <w:lang w:val="en-AU" w:eastAsia="en-AU"/>
              </w:rPr>
            </w:pPr>
            <w:r w:rsidRPr="007002EB">
              <w:rPr>
                <w:rFonts w:eastAsia="Times New Roman"/>
                <w:b/>
                <w:color w:val="000000"/>
                <w:szCs w:val="24"/>
                <w:lang w:val="en-AU" w:eastAsia="en-AU"/>
              </w:rPr>
              <w:t>0.004</w:t>
            </w:r>
          </w:p>
        </w:tc>
      </w:tr>
      <w:tr w:rsidR="00901A65" w:rsidRPr="005A56A7" w14:paraId="735F6F3E"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5132F443" w14:textId="77777777" w:rsidR="00901A65" w:rsidRPr="005A56A7" w:rsidRDefault="00901A65" w:rsidP="00901A65">
            <w:pPr>
              <w:spacing w:line="360" w:lineRule="auto"/>
              <w:rPr>
                <w:rFonts w:eastAsia="Times New Roman"/>
                <w:b w:val="0"/>
                <w:color w:val="000000"/>
                <w:szCs w:val="24"/>
                <w:lang w:val="en-AU" w:eastAsia="en-AU"/>
              </w:rPr>
            </w:pPr>
            <w:r w:rsidRPr="005A56A7">
              <w:rPr>
                <w:rFonts w:eastAsia="Times New Roman"/>
                <w:b w:val="0"/>
                <w:color w:val="000000"/>
                <w:szCs w:val="24"/>
                <w:lang w:val="en-AU" w:eastAsia="en-AU"/>
              </w:rPr>
              <w:t>6-11 months</w:t>
            </w:r>
          </w:p>
        </w:tc>
        <w:tc>
          <w:tcPr>
            <w:tcW w:w="2003" w:type="dxa"/>
            <w:noWrap/>
            <w:vAlign w:val="center"/>
            <w:hideMark/>
          </w:tcPr>
          <w:p w14:paraId="2AD18C27" w14:textId="375FE0DC" w:rsidR="00901A65" w:rsidRPr="005A56A7" w:rsidRDefault="00901A65" w:rsidP="007002E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82 (27.0)</w:t>
            </w:r>
          </w:p>
        </w:tc>
        <w:tc>
          <w:tcPr>
            <w:tcW w:w="1670" w:type="dxa"/>
            <w:noWrap/>
            <w:vAlign w:val="center"/>
            <w:hideMark/>
          </w:tcPr>
          <w:p w14:paraId="43FA7787" w14:textId="23025B9F" w:rsidR="00901A65" w:rsidRPr="005A56A7" w:rsidRDefault="007002EB" w:rsidP="007002EB">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w:t>
            </w:r>
            <w:r>
              <w:rPr>
                <w:rFonts w:eastAsia="Times New Roman"/>
                <w:color w:val="000000"/>
                <w:szCs w:val="24"/>
                <w:lang w:val="en-AU" w:eastAsia="en-AU"/>
              </w:rPr>
              <w:t>51</w:t>
            </w:r>
            <w:r w:rsidRPr="005A56A7">
              <w:rPr>
                <w:rFonts w:eastAsia="Times New Roman"/>
                <w:color w:val="000000"/>
                <w:szCs w:val="24"/>
                <w:lang w:val="en-AU" w:eastAsia="en-AU"/>
              </w:rPr>
              <w:t xml:space="preserve"> </w:t>
            </w:r>
            <w:r w:rsidR="00901A65" w:rsidRPr="005A56A7">
              <w:rPr>
                <w:rFonts w:eastAsia="Times New Roman"/>
                <w:color w:val="000000"/>
                <w:szCs w:val="24"/>
                <w:lang w:val="en-AU" w:eastAsia="en-AU"/>
              </w:rPr>
              <w:t>(</w:t>
            </w:r>
            <w:r>
              <w:rPr>
                <w:rFonts w:eastAsia="Times New Roman"/>
                <w:color w:val="000000"/>
                <w:szCs w:val="24"/>
                <w:lang w:val="en-AU" w:eastAsia="en-AU"/>
              </w:rPr>
              <w:t>17.9</w:t>
            </w:r>
            <w:r w:rsidR="00901A65" w:rsidRPr="005A56A7">
              <w:rPr>
                <w:rFonts w:eastAsia="Times New Roman"/>
                <w:color w:val="000000"/>
                <w:szCs w:val="24"/>
                <w:lang w:val="en-AU" w:eastAsia="en-AU"/>
              </w:rPr>
              <w:t>)</w:t>
            </w:r>
          </w:p>
        </w:tc>
        <w:tc>
          <w:tcPr>
            <w:tcW w:w="1110" w:type="dxa"/>
            <w:noWrap/>
            <w:vAlign w:val="center"/>
            <w:hideMark/>
          </w:tcPr>
          <w:p w14:paraId="7AC85B31" w14:textId="2C81981D" w:rsidR="00901A65" w:rsidRPr="007002EB" w:rsidRDefault="007002EB"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7002EB">
              <w:rPr>
                <w:rFonts w:eastAsia="Times New Roman"/>
                <w:color w:val="000000"/>
                <w:szCs w:val="24"/>
                <w:lang w:val="en-AU" w:eastAsia="en-AU"/>
              </w:rPr>
              <w:t>0.269</w:t>
            </w:r>
          </w:p>
        </w:tc>
      </w:tr>
      <w:tr w:rsidR="00901A65" w:rsidRPr="005A56A7" w14:paraId="25DEF436"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2F3B94E3" w14:textId="77777777" w:rsidR="00901A65" w:rsidRPr="005A56A7" w:rsidRDefault="00901A65" w:rsidP="00901A65">
            <w:pPr>
              <w:spacing w:line="360" w:lineRule="auto"/>
              <w:rPr>
                <w:rFonts w:eastAsia="DengXian"/>
                <w:b w:val="0"/>
                <w:color w:val="000000"/>
                <w:szCs w:val="24"/>
                <w:lang w:val="en-AU" w:eastAsia="en-AU"/>
              </w:rPr>
            </w:pPr>
            <w:r w:rsidRPr="005A56A7">
              <w:rPr>
                <w:rFonts w:eastAsia="DengXian"/>
                <w:b w:val="0"/>
                <w:color w:val="000000"/>
                <w:szCs w:val="24"/>
                <w:lang w:val="en-AU"/>
              </w:rPr>
              <w:t>≥ 12 months</w:t>
            </w:r>
          </w:p>
        </w:tc>
        <w:tc>
          <w:tcPr>
            <w:tcW w:w="2003" w:type="dxa"/>
            <w:noWrap/>
            <w:vAlign w:val="center"/>
            <w:hideMark/>
          </w:tcPr>
          <w:p w14:paraId="1BCB8994" w14:textId="00DA9037" w:rsidR="00901A65" w:rsidRPr="005A56A7" w:rsidRDefault="00901A65" w:rsidP="007002E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120 (39.5)</w:t>
            </w:r>
          </w:p>
        </w:tc>
        <w:tc>
          <w:tcPr>
            <w:tcW w:w="1670" w:type="dxa"/>
            <w:noWrap/>
            <w:vAlign w:val="center"/>
            <w:hideMark/>
          </w:tcPr>
          <w:p w14:paraId="6A69C6AF" w14:textId="00E1E30A" w:rsidR="00901A65" w:rsidRPr="005A56A7" w:rsidRDefault="007002EB" w:rsidP="007002EB">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Pr>
                <w:rFonts w:eastAsia="Times New Roman"/>
                <w:color w:val="000000"/>
                <w:szCs w:val="24"/>
                <w:lang w:val="en-AU" w:eastAsia="en-AU"/>
              </w:rPr>
              <w:t>181</w:t>
            </w:r>
            <w:r w:rsidRPr="005A56A7">
              <w:rPr>
                <w:rFonts w:eastAsia="Times New Roman"/>
                <w:color w:val="000000"/>
                <w:szCs w:val="24"/>
                <w:lang w:val="en-AU" w:eastAsia="en-AU"/>
              </w:rPr>
              <w:t xml:space="preserve"> </w:t>
            </w:r>
            <w:r w:rsidR="00901A65" w:rsidRPr="005A56A7">
              <w:rPr>
                <w:rFonts w:eastAsia="Times New Roman"/>
                <w:color w:val="000000"/>
                <w:szCs w:val="24"/>
                <w:lang w:val="en-AU" w:eastAsia="en-AU"/>
              </w:rPr>
              <w:t>(21.</w:t>
            </w:r>
            <w:r>
              <w:rPr>
                <w:rFonts w:eastAsia="Times New Roman"/>
                <w:color w:val="000000"/>
                <w:szCs w:val="24"/>
                <w:lang w:val="en-AU" w:eastAsia="en-AU"/>
              </w:rPr>
              <w:t>4</w:t>
            </w:r>
            <w:r w:rsidR="00901A65" w:rsidRPr="005A56A7">
              <w:rPr>
                <w:rFonts w:eastAsia="Times New Roman"/>
                <w:color w:val="000000"/>
                <w:szCs w:val="24"/>
                <w:lang w:val="en-AU" w:eastAsia="en-AU"/>
              </w:rPr>
              <w:t>)</w:t>
            </w:r>
          </w:p>
        </w:tc>
        <w:tc>
          <w:tcPr>
            <w:tcW w:w="1110" w:type="dxa"/>
            <w:noWrap/>
            <w:vAlign w:val="center"/>
            <w:hideMark/>
          </w:tcPr>
          <w:p w14:paraId="76F81232" w14:textId="74CFA7DC"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p>
        </w:tc>
      </w:tr>
      <w:tr w:rsidR="00901A65" w:rsidRPr="005A56A7" w14:paraId="6F49FFD4"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8960" w:type="dxa"/>
            <w:gridSpan w:val="5"/>
            <w:noWrap/>
            <w:vAlign w:val="center"/>
            <w:hideMark/>
          </w:tcPr>
          <w:p w14:paraId="754B92C2" w14:textId="77777777" w:rsidR="00901A65" w:rsidRPr="005A56A7" w:rsidRDefault="00901A65" w:rsidP="00901A65">
            <w:pPr>
              <w:spacing w:line="360" w:lineRule="auto"/>
              <w:jc w:val="center"/>
              <w:rPr>
                <w:rFonts w:eastAsia="Times New Roman"/>
                <w:szCs w:val="24"/>
                <w:lang w:val="en-AU" w:eastAsia="en-AU"/>
              </w:rPr>
            </w:pPr>
            <w:r w:rsidRPr="005A56A7">
              <w:rPr>
                <w:rFonts w:eastAsia="DengXian"/>
                <w:color w:val="000000"/>
                <w:szCs w:val="24"/>
                <w:lang w:val="en-AU" w:eastAsia="en-AU"/>
              </w:rPr>
              <w:t>Maternal diet</w:t>
            </w:r>
            <w:r>
              <w:rPr>
                <w:rFonts w:eastAsia="DengXian"/>
                <w:color w:val="000000"/>
                <w:szCs w:val="24"/>
                <w:lang w:val="en-AU" w:eastAsia="en-AU"/>
              </w:rPr>
              <w:t xml:space="preserve"> during pregnancy</w:t>
            </w:r>
          </w:p>
        </w:tc>
      </w:tr>
      <w:tr w:rsidR="00901A65" w:rsidRPr="005A56A7" w14:paraId="2D0FAA0E"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04E862D4"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Any p</w:t>
            </w:r>
            <w:r w:rsidRPr="005A56A7">
              <w:rPr>
                <w:rFonts w:eastAsia="Times New Roman"/>
                <w:color w:val="000000"/>
                <w:szCs w:val="24"/>
                <w:lang w:val="en-AU" w:eastAsia="en-AU"/>
              </w:rPr>
              <w:t xml:space="preserve">eanut </w:t>
            </w:r>
            <w:r>
              <w:rPr>
                <w:rFonts w:eastAsia="Times New Roman"/>
                <w:color w:val="000000"/>
                <w:szCs w:val="24"/>
                <w:lang w:val="en-AU" w:eastAsia="en-AU"/>
              </w:rPr>
              <w:t>consumption</w:t>
            </w:r>
          </w:p>
        </w:tc>
        <w:tc>
          <w:tcPr>
            <w:tcW w:w="2003" w:type="dxa"/>
            <w:noWrap/>
            <w:vAlign w:val="center"/>
            <w:hideMark/>
          </w:tcPr>
          <w:p w14:paraId="62240766"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244 (85.6)</w:t>
            </w:r>
          </w:p>
        </w:tc>
        <w:tc>
          <w:tcPr>
            <w:tcW w:w="1670" w:type="dxa"/>
            <w:noWrap/>
            <w:vAlign w:val="center"/>
            <w:hideMark/>
          </w:tcPr>
          <w:p w14:paraId="1B3CD097"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121 (14.0)</w:t>
            </w:r>
          </w:p>
        </w:tc>
        <w:tc>
          <w:tcPr>
            <w:tcW w:w="1110" w:type="dxa"/>
            <w:noWrap/>
            <w:vAlign w:val="center"/>
            <w:hideMark/>
          </w:tcPr>
          <w:p w14:paraId="071ADFFD"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3070BB89"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4CFB96F4"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Any e</w:t>
            </w:r>
            <w:r w:rsidRPr="005A56A7">
              <w:rPr>
                <w:rFonts w:eastAsia="Times New Roman"/>
                <w:color w:val="000000"/>
                <w:szCs w:val="24"/>
                <w:lang w:val="en-AU" w:eastAsia="en-AU"/>
              </w:rPr>
              <w:t xml:space="preserve">gg </w:t>
            </w:r>
            <w:r>
              <w:rPr>
                <w:rFonts w:eastAsia="Times New Roman"/>
                <w:color w:val="000000"/>
                <w:szCs w:val="24"/>
                <w:lang w:val="en-AU" w:eastAsia="en-AU"/>
              </w:rPr>
              <w:t>consumption</w:t>
            </w:r>
          </w:p>
        </w:tc>
        <w:tc>
          <w:tcPr>
            <w:tcW w:w="2003" w:type="dxa"/>
            <w:noWrap/>
            <w:vAlign w:val="center"/>
            <w:hideMark/>
          </w:tcPr>
          <w:p w14:paraId="6ADAED7F"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277 (94.5)</w:t>
            </w:r>
          </w:p>
        </w:tc>
        <w:tc>
          <w:tcPr>
            <w:tcW w:w="1670" w:type="dxa"/>
            <w:noWrap/>
            <w:vAlign w:val="center"/>
            <w:hideMark/>
          </w:tcPr>
          <w:p w14:paraId="6BD61FB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486 (56.4)</w:t>
            </w:r>
          </w:p>
        </w:tc>
        <w:tc>
          <w:tcPr>
            <w:tcW w:w="1110" w:type="dxa"/>
            <w:noWrap/>
            <w:vAlign w:val="center"/>
            <w:hideMark/>
          </w:tcPr>
          <w:p w14:paraId="108A9B33"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1FB35330"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6FD73F99"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Any t</w:t>
            </w:r>
            <w:r w:rsidRPr="005A56A7">
              <w:rPr>
                <w:rFonts w:eastAsia="Times New Roman"/>
                <w:color w:val="000000"/>
                <w:szCs w:val="24"/>
                <w:lang w:val="en-AU" w:eastAsia="en-AU"/>
              </w:rPr>
              <w:t xml:space="preserve">ree </w:t>
            </w:r>
            <w:r>
              <w:rPr>
                <w:rFonts w:eastAsia="Times New Roman"/>
                <w:color w:val="000000"/>
                <w:szCs w:val="24"/>
                <w:lang w:val="en-AU" w:eastAsia="en-AU"/>
              </w:rPr>
              <w:t>nut</w:t>
            </w:r>
            <w:r w:rsidRPr="005A56A7">
              <w:rPr>
                <w:rFonts w:eastAsia="Times New Roman"/>
                <w:color w:val="000000"/>
                <w:szCs w:val="24"/>
                <w:lang w:val="en-AU" w:eastAsia="en-AU"/>
              </w:rPr>
              <w:t xml:space="preserve"> </w:t>
            </w:r>
            <w:r>
              <w:rPr>
                <w:rFonts w:eastAsia="Times New Roman"/>
                <w:color w:val="000000"/>
                <w:szCs w:val="24"/>
                <w:lang w:val="en-AU" w:eastAsia="en-AU"/>
              </w:rPr>
              <w:t>consumption</w:t>
            </w:r>
          </w:p>
        </w:tc>
        <w:tc>
          <w:tcPr>
            <w:tcW w:w="2003" w:type="dxa"/>
            <w:noWrap/>
            <w:vAlign w:val="center"/>
            <w:hideMark/>
          </w:tcPr>
          <w:p w14:paraId="2FAFBFB4"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215 (83.0)</w:t>
            </w:r>
          </w:p>
        </w:tc>
        <w:tc>
          <w:tcPr>
            <w:tcW w:w="1670" w:type="dxa"/>
            <w:noWrap/>
            <w:vAlign w:val="center"/>
            <w:hideMark/>
          </w:tcPr>
          <w:p w14:paraId="045A1E42"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67 (7.8)</w:t>
            </w:r>
          </w:p>
        </w:tc>
        <w:tc>
          <w:tcPr>
            <w:tcW w:w="1110" w:type="dxa"/>
            <w:noWrap/>
            <w:vAlign w:val="center"/>
            <w:hideMark/>
          </w:tcPr>
          <w:p w14:paraId="1047707E"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48FAADED" w14:textId="77777777" w:rsidTr="00901A65">
        <w:trPr>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3D8B21DE"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Any s</w:t>
            </w:r>
            <w:r w:rsidRPr="005A56A7">
              <w:rPr>
                <w:rFonts w:eastAsia="Times New Roman"/>
                <w:color w:val="000000"/>
                <w:szCs w:val="24"/>
                <w:lang w:val="en-AU" w:eastAsia="en-AU"/>
              </w:rPr>
              <w:t>hellfish</w:t>
            </w:r>
            <w:r>
              <w:rPr>
                <w:rFonts w:eastAsia="Times New Roman"/>
                <w:color w:val="000000"/>
                <w:szCs w:val="24"/>
                <w:lang w:val="en-AU" w:eastAsia="en-AU"/>
              </w:rPr>
              <w:t>/</w:t>
            </w:r>
            <w:r w:rsidRPr="005A56A7">
              <w:rPr>
                <w:rFonts w:eastAsia="Times New Roman"/>
                <w:color w:val="000000"/>
                <w:szCs w:val="24"/>
                <w:lang w:val="en-AU" w:eastAsia="en-AU"/>
              </w:rPr>
              <w:t>crustacean consumption</w:t>
            </w:r>
          </w:p>
        </w:tc>
        <w:tc>
          <w:tcPr>
            <w:tcW w:w="2003" w:type="dxa"/>
            <w:noWrap/>
            <w:vAlign w:val="center"/>
            <w:hideMark/>
          </w:tcPr>
          <w:p w14:paraId="1D9F1BCA"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189 (69.2)</w:t>
            </w:r>
          </w:p>
        </w:tc>
        <w:tc>
          <w:tcPr>
            <w:tcW w:w="1670" w:type="dxa"/>
            <w:noWrap/>
            <w:vAlign w:val="center"/>
            <w:hideMark/>
          </w:tcPr>
          <w:p w14:paraId="7BF9DB90"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256 (29.7)</w:t>
            </w:r>
          </w:p>
        </w:tc>
        <w:tc>
          <w:tcPr>
            <w:tcW w:w="1110" w:type="dxa"/>
            <w:noWrap/>
            <w:vAlign w:val="center"/>
            <w:hideMark/>
          </w:tcPr>
          <w:p w14:paraId="3B691295" w14:textId="77777777" w:rsidR="00901A65" w:rsidRPr="005A56A7" w:rsidRDefault="00901A65" w:rsidP="00901A65">
            <w:pPr>
              <w:spacing w:line="360" w:lineRule="auto"/>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r w:rsidR="00901A65" w:rsidRPr="005A56A7" w14:paraId="299B6023" w14:textId="77777777" w:rsidTr="00901A6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177" w:type="dxa"/>
            <w:gridSpan w:val="2"/>
            <w:noWrap/>
            <w:vAlign w:val="center"/>
            <w:hideMark/>
          </w:tcPr>
          <w:p w14:paraId="53EF4818" w14:textId="77777777" w:rsidR="00901A65" w:rsidRPr="005A56A7" w:rsidRDefault="00901A65" w:rsidP="00901A65">
            <w:pPr>
              <w:spacing w:line="360" w:lineRule="auto"/>
              <w:rPr>
                <w:rFonts w:eastAsia="Times New Roman"/>
                <w:b w:val="0"/>
                <w:color w:val="000000"/>
                <w:szCs w:val="24"/>
                <w:lang w:val="en-AU" w:eastAsia="en-AU"/>
              </w:rPr>
            </w:pPr>
            <w:r>
              <w:rPr>
                <w:rFonts w:eastAsia="Times New Roman"/>
                <w:color w:val="000000"/>
                <w:szCs w:val="24"/>
                <w:lang w:val="en-AU" w:eastAsia="en-AU"/>
              </w:rPr>
              <w:t>Any s</w:t>
            </w:r>
            <w:r w:rsidRPr="005A56A7">
              <w:rPr>
                <w:rFonts w:eastAsia="Times New Roman"/>
                <w:color w:val="000000"/>
                <w:szCs w:val="24"/>
                <w:lang w:val="en-AU" w:eastAsia="en-AU"/>
              </w:rPr>
              <w:t>oy consumption</w:t>
            </w:r>
          </w:p>
        </w:tc>
        <w:tc>
          <w:tcPr>
            <w:tcW w:w="2003" w:type="dxa"/>
            <w:noWrap/>
            <w:vAlign w:val="center"/>
            <w:hideMark/>
          </w:tcPr>
          <w:p w14:paraId="1DADA93F"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243 (87.4)</w:t>
            </w:r>
          </w:p>
        </w:tc>
        <w:tc>
          <w:tcPr>
            <w:tcW w:w="1670" w:type="dxa"/>
            <w:noWrap/>
            <w:vAlign w:val="center"/>
            <w:hideMark/>
          </w:tcPr>
          <w:p w14:paraId="2A429846"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val="en-AU" w:eastAsia="en-AU"/>
              </w:rPr>
            </w:pPr>
            <w:r w:rsidRPr="005A56A7">
              <w:rPr>
                <w:rFonts w:eastAsia="Times New Roman"/>
                <w:color w:val="000000"/>
                <w:szCs w:val="24"/>
                <w:lang w:val="en-AU" w:eastAsia="en-AU"/>
              </w:rPr>
              <w:t>343 (39.8)</w:t>
            </w:r>
          </w:p>
        </w:tc>
        <w:tc>
          <w:tcPr>
            <w:tcW w:w="1110" w:type="dxa"/>
            <w:noWrap/>
            <w:vAlign w:val="center"/>
            <w:hideMark/>
          </w:tcPr>
          <w:p w14:paraId="57D88CB8" w14:textId="77777777" w:rsidR="00901A65" w:rsidRPr="005A56A7" w:rsidRDefault="00901A65" w:rsidP="00901A65">
            <w:pPr>
              <w:spacing w:line="360" w:lineRule="auto"/>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Cs w:val="24"/>
                <w:lang w:val="en-AU" w:eastAsia="en-AU"/>
              </w:rPr>
            </w:pPr>
            <w:r w:rsidRPr="005A56A7">
              <w:rPr>
                <w:rFonts w:eastAsia="Times New Roman"/>
                <w:b/>
                <w:bCs/>
                <w:color w:val="000000"/>
                <w:szCs w:val="24"/>
                <w:lang w:val="en-AU" w:eastAsia="en-AU"/>
              </w:rPr>
              <w:t>&lt; 0.001</w:t>
            </w:r>
          </w:p>
        </w:tc>
      </w:tr>
    </w:tbl>
    <w:p w14:paraId="48C3EAC4" w14:textId="2364805B" w:rsidR="00901A65" w:rsidRPr="001209FE" w:rsidRDefault="008E4A16" w:rsidP="00901A65">
      <w:pPr>
        <w:spacing w:line="480" w:lineRule="auto"/>
        <w:jc w:val="both"/>
        <w:rPr>
          <w:iCs/>
          <w:vertAlign w:val="superscript"/>
          <w:lang w:val="en-AU"/>
        </w:rPr>
      </w:pPr>
      <w:r w:rsidRPr="008E4A16">
        <w:rPr>
          <w:vertAlign w:val="superscript"/>
        </w:rPr>
        <w:t>*</w:t>
      </w:r>
      <w:r w:rsidR="00901A65" w:rsidRPr="003D7A6A">
        <w:t>For variables with more than 2 categories, P-values shown are pairwise P-values obtained from comparison of the relevant category against reference category.</w:t>
      </w:r>
    </w:p>
    <w:p w14:paraId="0B37FA95" w14:textId="77777777" w:rsidR="00901A65" w:rsidRDefault="00901A65" w:rsidP="00B01789">
      <w:pPr>
        <w:spacing w:line="480" w:lineRule="auto"/>
        <w:jc w:val="both"/>
        <w:rPr>
          <w:lang w:val="en-US"/>
        </w:rPr>
        <w:sectPr w:rsidR="00901A65" w:rsidSect="00002A23">
          <w:pgSz w:w="11906" w:h="16838"/>
          <w:pgMar w:top="1440" w:right="1440" w:bottom="1440" w:left="1440" w:header="708" w:footer="708" w:gutter="0"/>
          <w:cols w:space="708"/>
          <w:docGrid w:linePitch="360"/>
        </w:sectPr>
      </w:pPr>
    </w:p>
    <w:p w14:paraId="1B55BAE6" w14:textId="5D67A0B8" w:rsidR="009054BB" w:rsidRPr="00DF6BA7" w:rsidRDefault="009054BB" w:rsidP="009054BB">
      <w:pPr>
        <w:spacing w:line="480" w:lineRule="auto"/>
        <w:jc w:val="both"/>
        <w:rPr>
          <w:b/>
          <w:iCs/>
          <w:lang w:val="en-AU"/>
        </w:rPr>
      </w:pPr>
      <w:r w:rsidRPr="004B45B9">
        <w:rPr>
          <w:b/>
          <w:iCs/>
          <w:lang w:val="en-AU"/>
        </w:rPr>
        <w:lastRenderedPageBreak/>
        <w:t xml:space="preserve">Table </w:t>
      </w:r>
      <w:r w:rsidRPr="004B45B9">
        <w:rPr>
          <w:b/>
          <w:iCs/>
          <w:lang w:val="en-AU"/>
        </w:rPr>
        <w:fldChar w:fldCharType="begin"/>
      </w:r>
      <w:r w:rsidRPr="004B45B9">
        <w:rPr>
          <w:b/>
          <w:iCs/>
          <w:lang w:val="en-AU"/>
        </w:rPr>
        <w:instrText xml:space="preserve"> SEQ Table \* ARABIC </w:instrText>
      </w:r>
      <w:r w:rsidRPr="004B45B9">
        <w:rPr>
          <w:b/>
          <w:iCs/>
          <w:lang w:val="en-AU"/>
        </w:rPr>
        <w:fldChar w:fldCharType="separate"/>
      </w:r>
      <w:r w:rsidR="00EE1F9A">
        <w:rPr>
          <w:b/>
          <w:iCs/>
          <w:noProof/>
          <w:lang w:val="en-AU"/>
        </w:rPr>
        <w:t>2</w:t>
      </w:r>
      <w:r w:rsidRPr="004B45B9">
        <w:rPr>
          <w:b/>
          <w:iCs/>
          <w:lang w:val="en-AU"/>
        </w:rPr>
        <w:fldChar w:fldCharType="end"/>
      </w:r>
      <w:r w:rsidRPr="00DF6BA7">
        <w:rPr>
          <w:b/>
          <w:iCs/>
          <w:lang w:val="en-AU"/>
        </w:rPr>
        <w:t xml:space="preserve"> </w:t>
      </w:r>
      <w:r w:rsidRPr="00DF6BA7">
        <w:rPr>
          <w:iCs/>
          <w:lang w:val="en-AU"/>
        </w:rPr>
        <w:t xml:space="preserve">Univariate analyses of </w:t>
      </w:r>
      <w:r w:rsidR="005615FD">
        <w:rPr>
          <w:iCs/>
          <w:lang w:val="en-AU"/>
        </w:rPr>
        <w:t xml:space="preserve">key </w:t>
      </w:r>
      <w:r w:rsidRPr="00DF6BA7">
        <w:rPr>
          <w:iCs/>
          <w:lang w:val="en-AU"/>
        </w:rPr>
        <w:t>association</w:t>
      </w:r>
      <w:r w:rsidR="005615FD">
        <w:rPr>
          <w:iCs/>
          <w:lang w:val="en-AU"/>
        </w:rPr>
        <w:t>s (p&lt;0.05)</w:t>
      </w:r>
      <w:r w:rsidRPr="00DF6BA7">
        <w:rPr>
          <w:iCs/>
          <w:lang w:val="en-AU"/>
        </w:rPr>
        <w:t xml:space="preserve"> between environmental exposure and food allergy in </w:t>
      </w:r>
      <w:r>
        <w:rPr>
          <w:iCs/>
          <w:lang w:val="en-AU"/>
        </w:rPr>
        <w:t>Australia</w:t>
      </w:r>
      <w:r w:rsidRPr="00DF6BA7">
        <w:rPr>
          <w:iCs/>
          <w:lang w:val="en-AU"/>
        </w:rPr>
        <w:t xml:space="preserve"> and </w:t>
      </w:r>
      <w:r>
        <w:rPr>
          <w:iCs/>
          <w:lang w:val="en-AU"/>
        </w:rPr>
        <w:t>Singapore</w:t>
      </w:r>
    </w:p>
    <w:tbl>
      <w:tblPr>
        <w:tblStyle w:val="ListTable1Light1"/>
        <w:tblW w:w="0" w:type="auto"/>
        <w:tblLayout w:type="fixed"/>
        <w:tblLook w:val="04A0" w:firstRow="1" w:lastRow="0" w:firstColumn="1" w:lastColumn="0" w:noHBand="0" w:noVBand="1"/>
      </w:tblPr>
      <w:tblGrid>
        <w:gridCol w:w="2017"/>
        <w:gridCol w:w="1363"/>
        <w:gridCol w:w="1119"/>
        <w:gridCol w:w="1376"/>
        <w:gridCol w:w="1100"/>
        <w:gridCol w:w="1912"/>
        <w:gridCol w:w="918"/>
        <w:gridCol w:w="1961"/>
        <w:gridCol w:w="1129"/>
        <w:gridCol w:w="963"/>
      </w:tblGrid>
      <w:tr w:rsidR="009054BB" w:rsidRPr="00DF6BA7" w14:paraId="079D97B3" w14:textId="77777777" w:rsidTr="00FD0B37">
        <w:trPr>
          <w:cnfStyle w:val="100000000000" w:firstRow="1" w:lastRow="0" w:firstColumn="0" w:lastColumn="0" w:oddVBand="0" w:evenVBand="0" w:oddHBand="0" w:evenHBand="0" w:firstRowFirstColumn="0" w:firstRowLastColumn="0" w:lastRowFirstColumn="0" w:lastRowLastColumn="0"/>
          <w:trHeight w:val="470"/>
          <w:tblHeader/>
        </w:trPr>
        <w:tc>
          <w:tcPr>
            <w:cnfStyle w:val="001000000000" w:firstRow="0" w:lastRow="0" w:firstColumn="1" w:lastColumn="0" w:oddVBand="0" w:evenVBand="0" w:oddHBand="0" w:evenHBand="0" w:firstRowFirstColumn="0" w:firstRowLastColumn="0" w:lastRowFirstColumn="0" w:lastRowLastColumn="0"/>
            <w:tcW w:w="2017" w:type="dxa"/>
            <w:tcBorders>
              <w:top w:val="single" w:sz="4" w:space="0" w:color="auto"/>
            </w:tcBorders>
            <w:noWrap/>
            <w:vAlign w:val="center"/>
            <w:hideMark/>
          </w:tcPr>
          <w:p w14:paraId="42EFC4C0" w14:textId="77777777" w:rsidR="009054BB" w:rsidRPr="00DF6BA7" w:rsidRDefault="009054BB" w:rsidP="00FD0B37">
            <w:pPr>
              <w:spacing w:line="276" w:lineRule="auto"/>
              <w:rPr>
                <w:lang w:val="en-AU"/>
              </w:rPr>
            </w:pPr>
          </w:p>
        </w:tc>
        <w:tc>
          <w:tcPr>
            <w:tcW w:w="2482" w:type="dxa"/>
            <w:gridSpan w:val="2"/>
            <w:tcBorders>
              <w:top w:val="single" w:sz="4" w:space="0" w:color="auto"/>
            </w:tcBorders>
            <w:noWrap/>
            <w:vAlign w:val="center"/>
            <w:hideMark/>
          </w:tcPr>
          <w:p w14:paraId="035BC043"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lang w:val="en-AU"/>
              </w:rPr>
            </w:pPr>
            <w:r>
              <w:rPr>
                <w:lang w:val="en-AU"/>
              </w:rPr>
              <w:t>Australia</w:t>
            </w:r>
            <w:r w:rsidRPr="00DF6BA7">
              <w:rPr>
                <w:lang w:val="en-AU"/>
              </w:rPr>
              <w:t xml:space="preserve"> (N=314)</w:t>
            </w:r>
          </w:p>
        </w:tc>
        <w:tc>
          <w:tcPr>
            <w:tcW w:w="2476" w:type="dxa"/>
            <w:gridSpan w:val="2"/>
            <w:tcBorders>
              <w:top w:val="single" w:sz="4" w:space="0" w:color="auto"/>
            </w:tcBorders>
            <w:noWrap/>
            <w:vAlign w:val="center"/>
            <w:hideMark/>
          </w:tcPr>
          <w:p w14:paraId="71EB7AE4" w14:textId="77777777" w:rsidR="009054BB" w:rsidRPr="00DF6BA7" w:rsidRDefault="009054BB" w:rsidP="00FD0B37">
            <w:pPr>
              <w:spacing w:line="276" w:lineRule="auto"/>
              <w:cnfStyle w:val="100000000000" w:firstRow="1" w:lastRow="0" w:firstColumn="0" w:lastColumn="0" w:oddVBand="0" w:evenVBand="0" w:oddHBand="0" w:evenHBand="0" w:firstRowFirstColumn="0" w:firstRowLastColumn="0" w:lastRowFirstColumn="0" w:lastRowLastColumn="0"/>
              <w:rPr>
                <w:lang w:val="en-AU"/>
              </w:rPr>
            </w:pPr>
            <w:r>
              <w:rPr>
                <w:lang w:val="en-AU"/>
              </w:rPr>
              <w:t>Singapore</w:t>
            </w:r>
            <w:r w:rsidRPr="00DF6BA7">
              <w:rPr>
                <w:lang w:val="en-AU"/>
              </w:rPr>
              <w:t xml:space="preserve"> (N=878)</w:t>
            </w:r>
          </w:p>
        </w:tc>
        <w:tc>
          <w:tcPr>
            <w:tcW w:w="2830" w:type="dxa"/>
            <w:gridSpan w:val="2"/>
            <w:tcBorders>
              <w:top w:val="single" w:sz="4" w:space="0" w:color="auto"/>
            </w:tcBorders>
            <w:noWrap/>
            <w:vAlign w:val="center"/>
            <w:hideMark/>
          </w:tcPr>
          <w:p w14:paraId="71D671A3"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lang w:val="en-AU"/>
              </w:rPr>
            </w:pPr>
            <w:r>
              <w:rPr>
                <w:lang w:val="en-AU"/>
              </w:rPr>
              <w:t>Australia</w:t>
            </w:r>
            <w:r w:rsidRPr="00DF6BA7">
              <w:rPr>
                <w:lang w:val="en-AU"/>
              </w:rPr>
              <w:t xml:space="preserve"> (N=314)</w:t>
            </w:r>
          </w:p>
        </w:tc>
        <w:tc>
          <w:tcPr>
            <w:tcW w:w="3090" w:type="dxa"/>
            <w:gridSpan w:val="2"/>
            <w:tcBorders>
              <w:top w:val="single" w:sz="4" w:space="0" w:color="auto"/>
            </w:tcBorders>
            <w:noWrap/>
            <w:vAlign w:val="center"/>
            <w:hideMark/>
          </w:tcPr>
          <w:p w14:paraId="4AD2814F"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lang w:val="en-AU"/>
              </w:rPr>
            </w:pPr>
            <w:r>
              <w:rPr>
                <w:lang w:val="en-AU"/>
              </w:rPr>
              <w:t>Singapore</w:t>
            </w:r>
            <w:r w:rsidRPr="00DF6BA7">
              <w:rPr>
                <w:lang w:val="en-AU"/>
              </w:rPr>
              <w:t xml:space="preserve"> (N=878)</w:t>
            </w:r>
          </w:p>
        </w:tc>
        <w:tc>
          <w:tcPr>
            <w:tcW w:w="963" w:type="dxa"/>
            <w:tcBorders>
              <w:top w:val="single" w:sz="4" w:space="0" w:color="auto"/>
            </w:tcBorders>
            <w:vAlign w:val="center"/>
            <w:hideMark/>
          </w:tcPr>
          <w:p w14:paraId="08B7A0B9"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lang w:val="en-AU"/>
              </w:rPr>
            </w:pPr>
          </w:p>
        </w:tc>
      </w:tr>
      <w:tr w:rsidR="009054BB" w:rsidRPr="00DF6BA7" w14:paraId="12C66FF5" w14:textId="77777777" w:rsidTr="00FD0B37">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3D1743C" w14:textId="77777777" w:rsidR="009054BB" w:rsidRPr="00DF6BA7" w:rsidRDefault="009054BB" w:rsidP="00FD0B37">
            <w:pPr>
              <w:spacing w:line="276" w:lineRule="auto"/>
              <w:rPr>
                <w:lang w:val="en-AU"/>
              </w:rPr>
            </w:pPr>
          </w:p>
        </w:tc>
        <w:tc>
          <w:tcPr>
            <w:tcW w:w="1363" w:type="dxa"/>
            <w:noWrap/>
            <w:vAlign w:val="center"/>
            <w:hideMark/>
          </w:tcPr>
          <w:p w14:paraId="55650334" w14:textId="77777777" w:rsidR="009054BB"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proofErr w:type="gramStart"/>
            <w:r w:rsidRPr="00DF6BA7">
              <w:rPr>
                <w:b w:val="0"/>
                <w:bCs w:val="0"/>
                <w:lang w:val="en-AU"/>
              </w:rPr>
              <w:t>Non Food</w:t>
            </w:r>
            <w:proofErr w:type="gramEnd"/>
            <w:r w:rsidRPr="00DF6BA7">
              <w:rPr>
                <w:b w:val="0"/>
                <w:bCs w:val="0"/>
                <w:lang w:val="en-AU"/>
              </w:rPr>
              <w:t>-Allergic</w:t>
            </w:r>
          </w:p>
          <w:p w14:paraId="1F38C0D4"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N</w:t>
            </w:r>
            <w:r w:rsidRPr="00DF6BA7">
              <w:rPr>
                <w:b w:val="0"/>
                <w:bCs w:val="0"/>
                <w:lang w:val="en-AU"/>
              </w:rPr>
              <w:t xml:space="preserve"> (%)</w:t>
            </w:r>
          </w:p>
        </w:tc>
        <w:tc>
          <w:tcPr>
            <w:tcW w:w="1119" w:type="dxa"/>
            <w:noWrap/>
            <w:vAlign w:val="center"/>
            <w:hideMark/>
          </w:tcPr>
          <w:p w14:paraId="5F4A3DCF"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sidRPr="00DF6BA7">
              <w:rPr>
                <w:b w:val="0"/>
                <w:bCs w:val="0"/>
                <w:lang w:val="en-AU"/>
              </w:rPr>
              <w:t>Food Allerg</w:t>
            </w:r>
            <w:r>
              <w:rPr>
                <w:b w:val="0"/>
                <w:bCs w:val="0"/>
                <w:lang w:val="en-AU"/>
              </w:rPr>
              <w:t>ic</w:t>
            </w:r>
            <w:r w:rsidRPr="00DF6BA7">
              <w:rPr>
                <w:b w:val="0"/>
                <w:bCs w:val="0"/>
                <w:lang w:val="en-AU"/>
              </w:rPr>
              <w:t xml:space="preserve"> </w:t>
            </w:r>
            <w:r>
              <w:rPr>
                <w:b w:val="0"/>
                <w:bCs w:val="0"/>
                <w:lang w:val="en-AU"/>
              </w:rPr>
              <w:t>N</w:t>
            </w:r>
            <w:r w:rsidRPr="00DF6BA7">
              <w:rPr>
                <w:b w:val="0"/>
                <w:bCs w:val="0"/>
                <w:lang w:val="en-AU"/>
              </w:rPr>
              <w:t xml:space="preserve"> (%)</w:t>
            </w:r>
          </w:p>
        </w:tc>
        <w:tc>
          <w:tcPr>
            <w:tcW w:w="1376" w:type="dxa"/>
            <w:noWrap/>
            <w:vAlign w:val="center"/>
            <w:hideMark/>
          </w:tcPr>
          <w:p w14:paraId="3E322243" w14:textId="77777777" w:rsidR="009054BB"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proofErr w:type="gramStart"/>
            <w:r w:rsidRPr="00DF6BA7">
              <w:rPr>
                <w:b w:val="0"/>
                <w:bCs w:val="0"/>
                <w:lang w:val="en-AU"/>
              </w:rPr>
              <w:t>Non Food</w:t>
            </w:r>
            <w:proofErr w:type="gramEnd"/>
            <w:r w:rsidRPr="00DF6BA7">
              <w:rPr>
                <w:b w:val="0"/>
                <w:bCs w:val="0"/>
                <w:lang w:val="en-AU"/>
              </w:rPr>
              <w:t>-Allergic</w:t>
            </w:r>
          </w:p>
          <w:p w14:paraId="24594C0B"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N</w:t>
            </w:r>
            <w:r w:rsidRPr="00DF6BA7">
              <w:rPr>
                <w:b w:val="0"/>
                <w:bCs w:val="0"/>
                <w:lang w:val="en-AU"/>
              </w:rPr>
              <w:t xml:space="preserve"> (%)</w:t>
            </w:r>
          </w:p>
        </w:tc>
        <w:tc>
          <w:tcPr>
            <w:tcW w:w="1100" w:type="dxa"/>
            <w:noWrap/>
            <w:vAlign w:val="center"/>
            <w:hideMark/>
          </w:tcPr>
          <w:p w14:paraId="10C70476"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sidRPr="00DF6BA7">
              <w:rPr>
                <w:b w:val="0"/>
                <w:bCs w:val="0"/>
                <w:lang w:val="en-AU"/>
              </w:rPr>
              <w:t>Food Allerg</w:t>
            </w:r>
            <w:r>
              <w:rPr>
                <w:b w:val="0"/>
                <w:bCs w:val="0"/>
                <w:lang w:val="en-AU"/>
              </w:rPr>
              <w:t>ic</w:t>
            </w:r>
            <w:r w:rsidRPr="00DF6BA7">
              <w:rPr>
                <w:b w:val="0"/>
                <w:bCs w:val="0"/>
                <w:lang w:val="en-AU"/>
              </w:rPr>
              <w:t xml:space="preserve"> </w:t>
            </w:r>
            <w:r>
              <w:rPr>
                <w:b w:val="0"/>
                <w:bCs w:val="0"/>
                <w:lang w:val="en-AU"/>
              </w:rPr>
              <w:t>N</w:t>
            </w:r>
            <w:r w:rsidRPr="00DF6BA7">
              <w:rPr>
                <w:b w:val="0"/>
                <w:bCs w:val="0"/>
                <w:lang w:val="en-AU"/>
              </w:rPr>
              <w:t xml:space="preserve"> (%)</w:t>
            </w:r>
          </w:p>
        </w:tc>
        <w:tc>
          <w:tcPr>
            <w:tcW w:w="1912" w:type="dxa"/>
            <w:noWrap/>
            <w:vAlign w:val="center"/>
            <w:hideMark/>
          </w:tcPr>
          <w:p w14:paraId="3E02DAC4"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sidRPr="00DF6BA7">
              <w:rPr>
                <w:b w:val="0"/>
                <w:bCs w:val="0"/>
                <w:lang w:val="en-AU"/>
              </w:rPr>
              <w:t>OR (95% CI)</w:t>
            </w:r>
          </w:p>
        </w:tc>
        <w:tc>
          <w:tcPr>
            <w:tcW w:w="918" w:type="dxa"/>
            <w:noWrap/>
            <w:vAlign w:val="center"/>
            <w:hideMark/>
          </w:tcPr>
          <w:p w14:paraId="0E8F5804"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P-value</w:t>
            </w:r>
          </w:p>
        </w:tc>
        <w:tc>
          <w:tcPr>
            <w:tcW w:w="1961" w:type="dxa"/>
            <w:noWrap/>
            <w:vAlign w:val="center"/>
            <w:hideMark/>
          </w:tcPr>
          <w:p w14:paraId="2C303785"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sidRPr="00DF6BA7">
              <w:rPr>
                <w:b w:val="0"/>
                <w:bCs w:val="0"/>
                <w:lang w:val="en-AU"/>
              </w:rPr>
              <w:t>OR (95% CI)</w:t>
            </w:r>
          </w:p>
        </w:tc>
        <w:tc>
          <w:tcPr>
            <w:tcW w:w="1129" w:type="dxa"/>
            <w:shd w:val="clear" w:color="auto" w:fill="auto"/>
            <w:noWrap/>
            <w:vAlign w:val="center"/>
            <w:hideMark/>
          </w:tcPr>
          <w:p w14:paraId="50CEA748" w14:textId="77777777" w:rsidR="009054BB" w:rsidRPr="00DF6BA7"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Pr>
                <w:b w:val="0"/>
                <w:bCs w:val="0"/>
                <w:lang w:val="en-AU"/>
              </w:rPr>
              <w:t>P-value</w:t>
            </w:r>
          </w:p>
        </w:tc>
        <w:tc>
          <w:tcPr>
            <w:tcW w:w="963" w:type="dxa"/>
            <w:shd w:val="clear" w:color="auto" w:fill="auto"/>
            <w:vAlign w:val="center"/>
            <w:hideMark/>
          </w:tcPr>
          <w:p w14:paraId="22F45750" w14:textId="77777777" w:rsidR="009054BB" w:rsidRPr="002E1785" w:rsidRDefault="009054BB" w:rsidP="00FD0B37">
            <w:pPr>
              <w:spacing w:line="276" w:lineRule="auto"/>
              <w:jc w:val="center"/>
              <w:cnfStyle w:val="100000000000" w:firstRow="1" w:lastRow="0" w:firstColumn="0" w:lastColumn="0" w:oddVBand="0" w:evenVBand="0" w:oddHBand="0" w:evenHBand="0" w:firstRowFirstColumn="0" w:firstRowLastColumn="0" w:lastRowFirstColumn="0" w:lastRowLastColumn="0"/>
              <w:rPr>
                <w:b w:val="0"/>
                <w:bCs w:val="0"/>
                <w:lang w:val="en-AU"/>
              </w:rPr>
            </w:pPr>
            <w:r w:rsidRPr="002E1785">
              <w:rPr>
                <w:b w:val="0"/>
                <w:lang w:val="en-AU"/>
              </w:rPr>
              <w:t xml:space="preserve">P </w:t>
            </w:r>
            <w:r w:rsidRPr="002E1785">
              <w:rPr>
                <w:b w:val="0"/>
                <w:vertAlign w:val="subscript"/>
                <w:lang w:val="en-AU"/>
              </w:rPr>
              <w:t>interaction</w:t>
            </w:r>
          </w:p>
        </w:tc>
      </w:tr>
      <w:tr w:rsidR="009054BB" w:rsidRPr="00DF6BA7" w14:paraId="498515ED" w14:textId="77777777" w:rsidTr="00FD0B3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4499" w:type="dxa"/>
            <w:gridSpan w:val="3"/>
            <w:noWrap/>
            <w:vAlign w:val="center"/>
            <w:hideMark/>
          </w:tcPr>
          <w:p w14:paraId="61C1BFF3" w14:textId="77777777" w:rsidR="009054BB" w:rsidRPr="00DF6BA7" w:rsidRDefault="009054BB" w:rsidP="00FD0B37">
            <w:pPr>
              <w:spacing w:line="276" w:lineRule="auto"/>
              <w:jc w:val="center"/>
              <w:rPr>
                <w:lang w:val="en-AU"/>
              </w:rPr>
            </w:pPr>
            <w:r w:rsidRPr="00DF6BA7">
              <w:rPr>
                <w:lang w:val="en-AU"/>
              </w:rPr>
              <w:t>Demographics and environmental factors</w:t>
            </w:r>
          </w:p>
        </w:tc>
        <w:tc>
          <w:tcPr>
            <w:tcW w:w="1376" w:type="dxa"/>
            <w:noWrap/>
            <w:vAlign w:val="center"/>
            <w:hideMark/>
          </w:tcPr>
          <w:p w14:paraId="60EDC51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1CAEC7D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78355DB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3258404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7EA753C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74463E5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45D2F81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388A18E1" w14:textId="77777777" w:rsidTr="00FD0B37">
        <w:trPr>
          <w:trHeight w:val="345"/>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11A6F114" w14:textId="77777777" w:rsidR="009054BB" w:rsidRPr="00B25D75" w:rsidRDefault="009054BB" w:rsidP="00FD0B37">
            <w:pPr>
              <w:spacing w:line="276" w:lineRule="auto"/>
              <w:rPr>
                <w:lang w:val="en-AU"/>
              </w:rPr>
            </w:pPr>
            <w:r w:rsidRPr="00B25D75">
              <w:rPr>
                <w:lang w:val="en-AU"/>
              </w:rPr>
              <w:t>Gender</w:t>
            </w:r>
          </w:p>
        </w:tc>
        <w:tc>
          <w:tcPr>
            <w:tcW w:w="1363" w:type="dxa"/>
            <w:noWrap/>
            <w:vAlign w:val="center"/>
            <w:hideMark/>
          </w:tcPr>
          <w:p w14:paraId="4C7B46C9"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19" w:type="dxa"/>
            <w:noWrap/>
            <w:vAlign w:val="center"/>
            <w:hideMark/>
          </w:tcPr>
          <w:p w14:paraId="3057618A"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376" w:type="dxa"/>
            <w:noWrap/>
            <w:vAlign w:val="center"/>
            <w:hideMark/>
          </w:tcPr>
          <w:p w14:paraId="2345C0C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46015D5F"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3D67DF8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54F6111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7EFB305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057988C4"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22808C1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1805470F" w14:textId="77777777" w:rsidTr="00FD0B3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24E94C20" w14:textId="77777777" w:rsidR="009054BB" w:rsidRPr="00BA5496" w:rsidRDefault="009054BB" w:rsidP="00FD0B37">
            <w:pPr>
              <w:spacing w:line="276" w:lineRule="auto"/>
              <w:rPr>
                <w:b w:val="0"/>
                <w:iCs/>
                <w:lang w:val="en-AU"/>
              </w:rPr>
            </w:pPr>
            <w:r w:rsidRPr="00BA5496">
              <w:rPr>
                <w:b w:val="0"/>
                <w:iCs/>
                <w:lang w:val="en-AU"/>
              </w:rPr>
              <w:t>Male</w:t>
            </w:r>
          </w:p>
        </w:tc>
        <w:tc>
          <w:tcPr>
            <w:tcW w:w="1363" w:type="dxa"/>
            <w:noWrap/>
            <w:vAlign w:val="center"/>
            <w:hideMark/>
          </w:tcPr>
          <w:p w14:paraId="251A400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134 (51)</w:t>
            </w:r>
          </w:p>
        </w:tc>
        <w:tc>
          <w:tcPr>
            <w:tcW w:w="1119" w:type="dxa"/>
            <w:noWrap/>
            <w:vAlign w:val="center"/>
            <w:hideMark/>
          </w:tcPr>
          <w:p w14:paraId="7B17A65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35 (7</w:t>
            </w:r>
            <w:r>
              <w:rPr>
                <w:lang w:val="en-AU"/>
              </w:rPr>
              <w:t>4</w:t>
            </w:r>
            <w:r w:rsidRPr="00DF6BA7">
              <w:rPr>
                <w:lang w:val="en-AU"/>
              </w:rPr>
              <w:t>.</w:t>
            </w:r>
            <w:r>
              <w:rPr>
                <w:lang w:val="en-AU"/>
              </w:rPr>
              <w:t>5</w:t>
            </w:r>
            <w:r w:rsidRPr="00DF6BA7">
              <w:rPr>
                <w:lang w:val="en-AU"/>
              </w:rPr>
              <w:t>)</w:t>
            </w:r>
          </w:p>
        </w:tc>
        <w:tc>
          <w:tcPr>
            <w:tcW w:w="1376" w:type="dxa"/>
            <w:noWrap/>
            <w:vAlign w:val="center"/>
            <w:hideMark/>
          </w:tcPr>
          <w:p w14:paraId="5555F26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4</w:t>
            </w:r>
            <w:r>
              <w:rPr>
                <w:lang w:val="en-AU"/>
              </w:rPr>
              <w:t>51</w:t>
            </w:r>
            <w:r w:rsidRPr="00DF6BA7">
              <w:rPr>
                <w:lang w:val="en-AU"/>
              </w:rPr>
              <w:t xml:space="preserve"> (5</w:t>
            </w:r>
            <w:r>
              <w:rPr>
                <w:lang w:val="en-AU"/>
              </w:rPr>
              <w:t>2</w:t>
            </w:r>
            <w:r w:rsidRPr="00DF6BA7">
              <w:rPr>
                <w:lang w:val="en-AU"/>
              </w:rPr>
              <w:t>)</w:t>
            </w:r>
          </w:p>
        </w:tc>
        <w:tc>
          <w:tcPr>
            <w:tcW w:w="1100" w:type="dxa"/>
            <w:noWrap/>
            <w:vAlign w:val="center"/>
            <w:hideMark/>
          </w:tcPr>
          <w:p w14:paraId="5D40873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7</w:t>
            </w:r>
            <w:r w:rsidRPr="00DF6BA7">
              <w:rPr>
                <w:lang w:val="en-AU"/>
              </w:rPr>
              <w:t xml:space="preserve"> (7</w:t>
            </w:r>
            <w:r>
              <w:rPr>
                <w:lang w:val="en-AU"/>
              </w:rPr>
              <w:t>0</w:t>
            </w:r>
            <w:r w:rsidRPr="00DF6BA7">
              <w:rPr>
                <w:lang w:val="en-AU"/>
              </w:rPr>
              <w:t>)</w:t>
            </w:r>
          </w:p>
        </w:tc>
        <w:tc>
          <w:tcPr>
            <w:tcW w:w="1912" w:type="dxa"/>
            <w:noWrap/>
            <w:vAlign w:val="center"/>
            <w:hideMark/>
          </w:tcPr>
          <w:p w14:paraId="0F90659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918" w:type="dxa"/>
            <w:noWrap/>
            <w:vAlign w:val="center"/>
            <w:hideMark/>
          </w:tcPr>
          <w:p w14:paraId="3195D0BC" w14:textId="77777777" w:rsidR="009054BB" w:rsidRPr="00DD3F9B"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DD3F9B">
              <w:rPr>
                <w:b/>
                <w:lang w:val="en-AU"/>
              </w:rPr>
              <w:t>-</w:t>
            </w:r>
          </w:p>
        </w:tc>
        <w:tc>
          <w:tcPr>
            <w:tcW w:w="1961" w:type="dxa"/>
            <w:noWrap/>
            <w:vAlign w:val="center"/>
            <w:hideMark/>
          </w:tcPr>
          <w:p w14:paraId="5B757A5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1129" w:type="dxa"/>
            <w:noWrap/>
            <w:hideMark/>
          </w:tcPr>
          <w:p w14:paraId="44E31E5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F7DF8">
              <w:rPr>
                <w:b/>
                <w:lang w:val="en-AU"/>
              </w:rPr>
              <w:t>-</w:t>
            </w:r>
          </w:p>
        </w:tc>
        <w:tc>
          <w:tcPr>
            <w:tcW w:w="963" w:type="dxa"/>
            <w:noWrap/>
            <w:hideMark/>
          </w:tcPr>
          <w:p w14:paraId="5810CFE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F7DF8">
              <w:rPr>
                <w:b/>
                <w:lang w:val="en-AU"/>
              </w:rPr>
              <w:t>-</w:t>
            </w:r>
          </w:p>
        </w:tc>
      </w:tr>
      <w:tr w:rsidR="009054BB" w:rsidRPr="00DF6BA7" w14:paraId="4279E349" w14:textId="77777777" w:rsidTr="00FD0B37">
        <w:trPr>
          <w:trHeight w:val="345"/>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1D83D861" w14:textId="77777777" w:rsidR="009054BB" w:rsidRPr="00BA5496" w:rsidRDefault="009054BB" w:rsidP="00FD0B37">
            <w:pPr>
              <w:spacing w:line="276" w:lineRule="auto"/>
              <w:rPr>
                <w:b w:val="0"/>
                <w:iCs/>
                <w:lang w:val="en-AU"/>
              </w:rPr>
            </w:pPr>
            <w:r w:rsidRPr="00BA5496">
              <w:rPr>
                <w:b w:val="0"/>
                <w:iCs/>
                <w:lang w:val="en-AU"/>
              </w:rPr>
              <w:t>Female</w:t>
            </w:r>
          </w:p>
        </w:tc>
        <w:tc>
          <w:tcPr>
            <w:tcW w:w="1363" w:type="dxa"/>
            <w:noWrap/>
            <w:vAlign w:val="center"/>
            <w:hideMark/>
          </w:tcPr>
          <w:p w14:paraId="6610B11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12</w:t>
            </w:r>
            <w:r>
              <w:rPr>
                <w:lang w:val="en-AU"/>
              </w:rPr>
              <w:t>9</w:t>
            </w:r>
            <w:r w:rsidRPr="00DF6BA7">
              <w:rPr>
                <w:lang w:val="en-AU"/>
              </w:rPr>
              <w:t xml:space="preserve"> (49)</w:t>
            </w:r>
          </w:p>
        </w:tc>
        <w:tc>
          <w:tcPr>
            <w:tcW w:w="1119" w:type="dxa"/>
            <w:noWrap/>
            <w:vAlign w:val="center"/>
            <w:hideMark/>
          </w:tcPr>
          <w:p w14:paraId="2967A85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r>
              <w:rPr>
                <w:lang w:val="en-AU"/>
              </w:rPr>
              <w:t>2</w:t>
            </w:r>
            <w:r w:rsidRPr="00DF6BA7">
              <w:rPr>
                <w:lang w:val="en-AU"/>
              </w:rPr>
              <w:t xml:space="preserve"> (2</w:t>
            </w:r>
            <w:r>
              <w:rPr>
                <w:lang w:val="en-AU"/>
              </w:rPr>
              <w:t>5</w:t>
            </w:r>
            <w:r w:rsidRPr="00DF6BA7">
              <w:rPr>
                <w:lang w:val="en-AU"/>
              </w:rPr>
              <w:t>.</w:t>
            </w:r>
            <w:r>
              <w:rPr>
                <w:lang w:val="en-AU"/>
              </w:rPr>
              <w:t>5</w:t>
            </w:r>
            <w:r w:rsidRPr="00DF6BA7">
              <w:rPr>
                <w:lang w:val="en-AU"/>
              </w:rPr>
              <w:t>)</w:t>
            </w:r>
          </w:p>
        </w:tc>
        <w:tc>
          <w:tcPr>
            <w:tcW w:w="1376" w:type="dxa"/>
            <w:noWrap/>
            <w:vAlign w:val="center"/>
            <w:hideMark/>
          </w:tcPr>
          <w:p w14:paraId="08B2B0CF"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41</w:t>
            </w:r>
            <w:r>
              <w:rPr>
                <w:lang w:val="en-AU"/>
              </w:rPr>
              <w:t>7</w:t>
            </w:r>
            <w:r w:rsidRPr="00DF6BA7">
              <w:rPr>
                <w:lang w:val="en-AU"/>
              </w:rPr>
              <w:t xml:space="preserve"> (48)</w:t>
            </w:r>
          </w:p>
        </w:tc>
        <w:tc>
          <w:tcPr>
            <w:tcW w:w="1100" w:type="dxa"/>
            <w:noWrap/>
            <w:vAlign w:val="center"/>
            <w:hideMark/>
          </w:tcPr>
          <w:p w14:paraId="4A35B17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3</w:t>
            </w:r>
            <w:r w:rsidRPr="00DF6BA7">
              <w:rPr>
                <w:lang w:val="en-AU"/>
              </w:rPr>
              <w:t xml:space="preserve"> (</w:t>
            </w:r>
            <w:r>
              <w:rPr>
                <w:lang w:val="en-AU"/>
              </w:rPr>
              <w:t>30</w:t>
            </w:r>
            <w:r w:rsidRPr="00DF6BA7">
              <w:rPr>
                <w:lang w:val="en-AU"/>
              </w:rPr>
              <w:t>)</w:t>
            </w:r>
          </w:p>
        </w:tc>
        <w:tc>
          <w:tcPr>
            <w:tcW w:w="1912" w:type="dxa"/>
            <w:noWrap/>
            <w:vAlign w:val="center"/>
            <w:hideMark/>
          </w:tcPr>
          <w:p w14:paraId="08E51764"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0.3</w:t>
            </w:r>
            <w:r>
              <w:rPr>
                <w:lang w:val="en-AU"/>
              </w:rPr>
              <w:t>6</w:t>
            </w:r>
            <w:r w:rsidRPr="00DF6BA7">
              <w:rPr>
                <w:lang w:val="en-AU"/>
              </w:rPr>
              <w:t xml:space="preserve"> (0.</w:t>
            </w:r>
            <w:r>
              <w:rPr>
                <w:lang w:val="en-AU"/>
              </w:rPr>
              <w:t>18</w:t>
            </w:r>
            <w:r w:rsidRPr="00DF6BA7">
              <w:rPr>
                <w:lang w:val="en-AU"/>
              </w:rPr>
              <w:t>-0.7</w:t>
            </w:r>
            <w:r>
              <w:rPr>
                <w:lang w:val="en-AU"/>
              </w:rPr>
              <w:t>2</w:t>
            </w:r>
            <w:r w:rsidRPr="00DF6BA7">
              <w:rPr>
                <w:lang w:val="en-AU"/>
              </w:rPr>
              <w:t>)</w:t>
            </w:r>
          </w:p>
        </w:tc>
        <w:tc>
          <w:tcPr>
            <w:tcW w:w="918" w:type="dxa"/>
            <w:noWrap/>
            <w:vAlign w:val="center"/>
            <w:hideMark/>
          </w:tcPr>
          <w:p w14:paraId="57BF1AEA"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0.00</w:t>
            </w:r>
            <w:r>
              <w:rPr>
                <w:b/>
                <w:lang w:val="en-AU"/>
              </w:rPr>
              <w:t>4</w:t>
            </w:r>
          </w:p>
        </w:tc>
        <w:tc>
          <w:tcPr>
            <w:tcW w:w="1961" w:type="dxa"/>
            <w:noWrap/>
            <w:vAlign w:val="center"/>
            <w:hideMark/>
          </w:tcPr>
          <w:p w14:paraId="597856B4"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0.4</w:t>
            </w:r>
            <w:r>
              <w:rPr>
                <w:lang w:val="en-AU"/>
              </w:rPr>
              <w:t>6</w:t>
            </w:r>
            <w:r w:rsidRPr="00DF6BA7">
              <w:rPr>
                <w:lang w:val="en-AU"/>
              </w:rPr>
              <w:t xml:space="preserve"> (0.1</w:t>
            </w:r>
            <w:r>
              <w:rPr>
                <w:lang w:val="en-AU"/>
              </w:rPr>
              <w:t>2</w:t>
            </w:r>
            <w:r w:rsidRPr="00DF6BA7">
              <w:rPr>
                <w:lang w:val="en-AU"/>
              </w:rPr>
              <w:t>-1.</w:t>
            </w:r>
            <w:r>
              <w:rPr>
                <w:lang w:val="en-AU"/>
              </w:rPr>
              <w:t>80</w:t>
            </w:r>
            <w:r w:rsidRPr="00DF6BA7">
              <w:rPr>
                <w:lang w:val="en-AU"/>
              </w:rPr>
              <w:t>)</w:t>
            </w:r>
          </w:p>
        </w:tc>
        <w:tc>
          <w:tcPr>
            <w:tcW w:w="1129" w:type="dxa"/>
            <w:noWrap/>
            <w:vAlign w:val="center"/>
            <w:hideMark/>
          </w:tcPr>
          <w:p w14:paraId="78A30D1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w:t>
            </w:r>
            <w:r>
              <w:rPr>
                <w:lang w:val="en-AU"/>
              </w:rPr>
              <w:t>267</w:t>
            </w:r>
          </w:p>
        </w:tc>
        <w:tc>
          <w:tcPr>
            <w:tcW w:w="963" w:type="dxa"/>
            <w:noWrap/>
            <w:vAlign w:val="center"/>
            <w:hideMark/>
          </w:tcPr>
          <w:p w14:paraId="223ABD3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0.73</w:t>
            </w:r>
            <w:r>
              <w:rPr>
                <w:lang w:val="en-AU"/>
              </w:rPr>
              <w:t>5</w:t>
            </w:r>
          </w:p>
        </w:tc>
      </w:tr>
      <w:tr w:rsidR="009054BB" w:rsidRPr="00DF6BA7" w14:paraId="55EB77A0"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351E8C45" w14:textId="77777777" w:rsidR="009054BB" w:rsidRPr="00DF6BA7" w:rsidRDefault="009054BB" w:rsidP="00FD0B37">
            <w:pPr>
              <w:spacing w:line="276" w:lineRule="auto"/>
              <w:rPr>
                <w:lang w:val="en-AU"/>
              </w:rPr>
            </w:pPr>
            <w:r w:rsidRPr="00DF6BA7">
              <w:rPr>
                <w:lang w:val="en-AU"/>
              </w:rPr>
              <w:t>Cat Ownership</w:t>
            </w:r>
          </w:p>
        </w:tc>
        <w:tc>
          <w:tcPr>
            <w:tcW w:w="1363" w:type="dxa"/>
            <w:noWrap/>
            <w:vAlign w:val="center"/>
            <w:hideMark/>
          </w:tcPr>
          <w:p w14:paraId="6FF80C6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19" w:type="dxa"/>
            <w:noWrap/>
            <w:vAlign w:val="center"/>
            <w:hideMark/>
          </w:tcPr>
          <w:p w14:paraId="19FFD2D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376" w:type="dxa"/>
            <w:noWrap/>
            <w:vAlign w:val="center"/>
            <w:hideMark/>
          </w:tcPr>
          <w:p w14:paraId="064911E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3C3F6A9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67E8B66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65AAC3A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6320613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6C3D5CE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092119E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0BFE5DEC"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559249E"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07DEA60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26</w:t>
            </w:r>
            <w:r>
              <w:rPr>
                <w:lang w:val="en-AU"/>
              </w:rPr>
              <w:t>1</w:t>
            </w:r>
            <w:r w:rsidRPr="00DF6BA7">
              <w:rPr>
                <w:lang w:val="en-AU"/>
              </w:rPr>
              <w:t xml:space="preserve"> (97.</w:t>
            </w:r>
            <w:r>
              <w:rPr>
                <w:lang w:val="en-AU"/>
              </w:rPr>
              <w:t>8</w:t>
            </w:r>
            <w:r w:rsidRPr="00DF6BA7">
              <w:rPr>
                <w:lang w:val="en-AU"/>
              </w:rPr>
              <w:t>)</w:t>
            </w:r>
          </w:p>
        </w:tc>
        <w:tc>
          <w:tcPr>
            <w:tcW w:w="1119" w:type="dxa"/>
            <w:noWrap/>
            <w:vAlign w:val="center"/>
            <w:hideMark/>
          </w:tcPr>
          <w:p w14:paraId="0394323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4</w:t>
            </w:r>
            <w:r>
              <w:rPr>
                <w:lang w:val="en-AU"/>
              </w:rPr>
              <w:t>3</w:t>
            </w:r>
            <w:r w:rsidRPr="00DF6BA7">
              <w:rPr>
                <w:lang w:val="en-AU"/>
              </w:rPr>
              <w:t xml:space="preserve"> (91.</w:t>
            </w:r>
            <w:r>
              <w:rPr>
                <w:lang w:val="en-AU"/>
              </w:rPr>
              <w:t>5</w:t>
            </w:r>
            <w:r w:rsidRPr="00DF6BA7">
              <w:rPr>
                <w:lang w:val="en-AU"/>
              </w:rPr>
              <w:t>)</w:t>
            </w:r>
          </w:p>
        </w:tc>
        <w:tc>
          <w:tcPr>
            <w:tcW w:w="1376" w:type="dxa"/>
            <w:noWrap/>
            <w:vAlign w:val="center"/>
            <w:hideMark/>
          </w:tcPr>
          <w:p w14:paraId="6757090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7</w:t>
            </w:r>
            <w:r>
              <w:rPr>
                <w:lang w:val="en-AU"/>
              </w:rPr>
              <w:t>9</w:t>
            </w:r>
            <w:r w:rsidRPr="00DF6BA7">
              <w:rPr>
                <w:lang w:val="en-AU"/>
              </w:rPr>
              <w:t>7 (96.</w:t>
            </w:r>
            <w:r>
              <w:rPr>
                <w:lang w:val="en-AU"/>
              </w:rPr>
              <w:t>8</w:t>
            </w:r>
            <w:r w:rsidRPr="00DF6BA7">
              <w:rPr>
                <w:lang w:val="en-AU"/>
              </w:rPr>
              <w:t>)</w:t>
            </w:r>
          </w:p>
        </w:tc>
        <w:tc>
          <w:tcPr>
            <w:tcW w:w="1100" w:type="dxa"/>
            <w:noWrap/>
            <w:vAlign w:val="center"/>
            <w:hideMark/>
          </w:tcPr>
          <w:p w14:paraId="110208F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1</w:t>
            </w:r>
            <w:r w:rsidRPr="00DF6BA7">
              <w:rPr>
                <w:lang w:val="en-AU"/>
              </w:rPr>
              <w:t>0 (</w:t>
            </w:r>
            <w:r>
              <w:rPr>
                <w:lang w:val="en-AU"/>
              </w:rPr>
              <w:t>100</w:t>
            </w:r>
            <w:r w:rsidRPr="00DF6BA7">
              <w:rPr>
                <w:lang w:val="en-AU"/>
              </w:rPr>
              <w:t>)</w:t>
            </w:r>
          </w:p>
        </w:tc>
        <w:tc>
          <w:tcPr>
            <w:tcW w:w="1912" w:type="dxa"/>
            <w:noWrap/>
            <w:vAlign w:val="center"/>
            <w:hideMark/>
          </w:tcPr>
          <w:p w14:paraId="161FBBA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p>
        </w:tc>
        <w:tc>
          <w:tcPr>
            <w:tcW w:w="918" w:type="dxa"/>
            <w:noWrap/>
            <w:vAlign w:val="center"/>
            <w:hideMark/>
          </w:tcPr>
          <w:p w14:paraId="5A6E1B0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D3F9B">
              <w:rPr>
                <w:b/>
                <w:lang w:val="en-AU"/>
              </w:rPr>
              <w:t>-</w:t>
            </w:r>
          </w:p>
        </w:tc>
        <w:tc>
          <w:tcPr>
            <w:tcW w:w="1961" w:type="dxa"/>
            <w:noWrap/>
            <w:vAlign w:val="center"/>
            <w:hideMark/>
          </w:tcPr>
          <w:p w14:paraId="4D0ED77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p>
        </w:tc>
        <w:tc>
          <w:tcPr>
            <w:tcW w:w="1129" w:type="dxa"/>
            <w:noWrap/>
            <w:hideMark/>
          </w:tcPr>
          <w:p w14:paraId="4D6C015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7353B2">
              <w:rPr>
                <w:b/>
                <w:lang w:val="en-AU"/>
              </w:rPr>
              <w:t>-</w:t>
            </w:r>
          </w:p>
        </w:tc>
        <w:tc>
          <w:tcPr>
            <w:tcW w:w="963" w:type="dxa"/>
            <w:noWrap/>
            <w:hideMark/>
          </w:tcPr>
          <w:p w14:paraId="437C20A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7353B2">
              <w:rPr>
                <w:b/>
                <w:lang w:val="en-AU"/>
              </w:rPr>
              <w:t>-</w:t>
            </w:r>
          </w:p>
        </w:tc>
      </w:tr>
      <w:tr w:rsidR="009054BB" w:rsidRPr="00DF6BA7" w14:paraId="13FC5352"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3865EEBE" w14:textId="77777777" w:rsidR="009054BB" w:rsidRPr="00B25D75" w:rsidRDefault="009054BB" w:rsidP="00FD0B37">
            <w:pPr>
              <w:spacing w:line="276" w:lineRule="auto"/>
              <w:rPr>
                <w:b w:val="0"/>
                <w:iCs/>
                <w:lang w:val="en-AU"/>
              </w:rPr>
            </w:pPr>
            <w:r w:rsidRPr="00B25D75">
              <w:rPr>
                <w:b w:val="0"/>
                <w:iCs/>
                <w:lang w:val="en-AU"/>
              </w:rPr>
              <w:t>Yes</w:t>
            </w:r>
          </w:p>
        </w:tc>
        <w:tc>
          <w:tcPr>
            <w:tcW w:w="1363" w:type="dxa"/>
            <w:noWrap/>
            <w:vAlign w:val="center"/>
            <w:hideMark/>
          </w:tcPr>
          <w:p w14:paraId="3984B7D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6 (2.</w:t>
            </w:r>
            <w:r>
              <w:rPr>
                <w:lang w:val="en-AU"/>
              </w:rPr>
              <w:t>2</w:t>
            </w:r>
            <w:r w:rsidRPr="00DF6BA7">
              <w:rPr>
                <w:lang w:val="en-AU"/>
              </w:rPr>
              <w:t>)</w:t>
            </w:r>
          </w:p>
        </w:tc>
        <w:tc>
          <w:tcPr>
            <w:tcW w:w="1119" w:type="dxa"/>
            <w:noWrap/>
            <w:vAlign w:val="center"/>
            <w:hideMark/>
          </w:tcPr>
          <w:p w14:paraId="338E155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4 (8.</w:t>
            </w:r>
            <w:r>
              <w:rPr>
                <w:lang w:val="en-AU"/>
              </w:rPr>
              <w:t>5</w:t>
            </w:r>
            <w:r w:rsidRPr="00DF6BA7">
              <w:rPr>
                <w:lang w:val="en-AU"/>
              </w:rPr>
              <w:t>)</w:t>
            </w:r>
          </w:p>
        </w:tc>
        <w:tc>
          <w:tcPr>
            <w:tcW w:w="1376" w:type="dxa"/>
            <w:noWrap/>
            <w:vAlign w:val="center"/>
            <w:hideMark/>
          </w:tcPr>
          <w:p w14:paraId="6CD4863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2</w:t>
            </w:r>
            <w:r>
              <w:rPr>
                <w:lang w:val="en-AU"/>
              </w:rPr>
              <w:t>6</w:t>
            </w:r>
            <w:r w:rsidRPr="00DF6BA7">
              <w:rPr>
                <w:lang w:val="en-AU"/>
              </w:rPr>
              <w:t xml:space="preserve"> (3.</w:t>
            </w:r>
            <w:r>
              <w:rPr>
                <w:lang w:val="en-AU"/>
              </w:rPr>
              <w:t>2</w:t>
            </w:r>
            <w:r w:rsidRPr="00DF6BA7">
              <w:rPr>
                <w:lang w:val="en-AU"/>
              </w:rPr>
              <w:t>)</w:t>
            </w:r>
          </w:p>
        </w:tc>
        <w:tc>
          <w:tcPr>
            <w:tcW w:w="1100" w:type="dxa"/>
            <w:noWrap/>
            <w:vAlign w:val="center"/>
            <w:hideMark/>
          </w:tcPr>
          <w:p w14:paraId="302DB1E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0</w:t>
            </w:r>
            <w:r w:rsidRPr="00DF6BA7">
              <w:rPr>
                <w:lang w:val="en-AU"/>
              </w:rPr>
              <w:t xml:space="preserve"> (</w:t>
            </w:r>
            <w:r>
              <w:rPr>
                <w:lang w:val="en-AU"/>
              </w:rPr>
              <w:t>0</w:t>
            </w:r>
            <w:r w:rsidRPr="00DF6BA7">
              <w:rPr>
                <w:lang w:val="en-AU"/>
              </w:rPr>
              <w:t>)</w:t>
            </w:r>
          </w:p>
        </w:tc>
        <w:tc>
          <w:tcPr>
            <w:tcW w:w="1912" w:type="dxa"/>
            <w:noWrap/>
            <w:vAlign w:val="center"/>
            <w:hideMark/>
          </w:tcPr>
          <w:p w14:paraId="640E3D6F"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4</w:t>
            </w:r>
            <w:r w:rsidRPr="00DF6BA7">
              <w:rPr>
                <w:lang w:val="en-AU"/>
              </w:rPr>
              <w:t>.</w:t>
            </w:r>
            <w:r>
              <w:rPr>
                <w:lang w:val="en-AU"/>
              </w:rPr>
              <w:t>0</w:t>
            </w:r>
            <w:r w:rsidRPr="00DF6BA7">
              <w:rPr>
                <w:lang w:val="en-AU"/>
              </w:rPr>
              <w:t>4 (1.</w:t>
            </w:r>
            <w:r>
              <w:rPr>
                <w:lang w:val="en-AU"/>
              </w:rPr>
              <w:t>1</w:t>
            </w:r>
            <w:r w:rsidRPr="00DF6BA7">
              <w:rPr>
                <w:lang w:val="en-AU"/>
              </w:rPr>
              <w:t>-14.</w:t>
            </w:r>
            <w:r>
              <w:rPr>
                <w:lang w:val="en-AU"/>
              </w:rPr>
              <w:t>93</w:t>
            </w:r>
            <w:r w:rsidRPr="00DF6BA7">
              <w:rPr>
                <w:lang w:val="en-AU"/>
              </w:rPr>
              <w:t>)</w:t>
            </w:r>
          </w:p>
        </w:tc>
        <w:tc>
          <w:tcPr>
            <w:tcW w:w="918" w:type="dxa"/>
            <w:noWrap/>
            <w:vAlign w:val="center"/>
            <w:hideMark/>
          </w:tcPr>
          <w:p w14:paraId="1157C1B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DF6BA7">
              <w:rPr>
                <w:b/>
                <w:lang w:val="en-AU"/>
              </w:rPr>
              <w:t>0.03</w:t>
            </w:r>
            <w:r>
              <w:rPr>
                <w:b/>
                <w:lang w:val="en-AU"/>
              </w:rPr>
              <w:t>6</w:t>
            </w:r>
          </w:p>
        </w:tc>
        <w:tc>
          <w:tcPr>
            <w:tcW w:w="1961" w:type="dxa"/>
            <w:noWrap/>
            <w:vAlign w:val="center"/>
            <w:hideMark/>
          </w:tcPr>
          <w:p w14:paraId="6EAF3CA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NA</w:t>
            </w:r>
          </w:p>
        </w:tc>
        <w:tc>
          <w:tcPr>
            <w:tcW w:w="1129" w:type="dxa"/>
            <w:noWrap/>
            <w:vAlign w:val="center"/>
            <w:hideMark/>
          </w:tcPr>
          <w:p w14:paraId="53B6D53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NA</w:t>
            </w:r>
          </w:p>
        </w:tc>
        <w:tc>
          <w:tcPr>
            <w:tcW w:w="963" w:type="dxa"/>
            <w:noWrap/>
            <w:vAlign w:val="center"/>
            <w:hideMark/>
          </w:tcPr>
          <w:p w14:paraId="281DA2D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NA</w:t>
            </w:r>
          </w:p>
        </w:tc>
      </w:tr>
      <w:tr w:rsidR="009054BB" w:rsidRPr="00DF6BA7" w14:paraId="57D9DFB2"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3380" w:type="dxa"/>
            <w:gridSpan w:val="2"/>
            <w:noWrap/>
            <w:vAlign w:val="center"/>
            <w:hideMark/>
          </w:tcPr>
          <w:p w14:paraId="23FD4082" w14:textId="77777777" w:rsidR="009054BB" w:rsidRPr="00DF6BA7" w:rsidRDefault="009054BB" w:rsidP="00FD0B37">
            <w:pPr>
              <w:spacing w:line="276" w:lineRule="auto"/>
              <w:rPr>
                <w:lang w:val="en-AU"/>
              </w:rPr>
            </w:pPr>
            <w:r w:rsidRPr="00DF6BA7">
              <w:rPr>
                <w:lang w:val="en-AU"/>
              </w:rPr>
              <w:t>Family and personal history of atopy</w:t>
            </w:r>
          </w:p>
        </w:tc>
        <w:tc>
          <w:tcPr>
            <w:tcW w:w="1119" w:type="dxa"/>
            <w:noWrap/>
            <w:vAlign w:val="center"/>
            <w:hideMark/>
          </w:tcPr>
          <w:p w14:paraId="45A087E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bCs/>
                <w:lang w:val="en-AU"/>
              </w:rPr>
            </w:pPr>
          </w:p>
        </w:tc>
        <w:tc>
          <w:tcPr>
            <w:tcW w:w="1376" w:type="dxa"/>
            <w:noWrap/>
            <w:vAlign w:val="center"/>
            <w:hideMark/>
          </w:tcPr>
          <w:p w14:paraId="3A89959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4B3D577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0B51494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4873C7A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1CBE723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51304BB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44D5C45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159C38C8"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5C67A24E" w14:textId="77777777" w:rsidR="009054BB" w:rsidRPr="00DF6BA7" w:rsidRDefault="009054BB" w:rsidP="00FD0B37">
            <w:pPr>
              <w:spacing w:line="276" w:lineRule="auto"/>
              <w:rPr>
                <w:lang w:val="en-AU"/>
              </w:rPr>
            </w:pPr>
            <w:r w:rsidRPr="00DF6BA7">
              <w:rPr>
                <w:lang w:val="en-AU"/>
              </w:rPr>
              <w:t>Paternal Atopy</w:t>
            </w:r>
          </w:p>
        </w:tc>
        <w:tc>
          <w:tcPr>
            <w:tcW w:w="1363" w:type="dxa"/>
            <w:noWrap/>
            <w:vAlign w:val="center"/>
            <w:hideMark/>
          </w:tcPr>
          <w:p w14:paraId="0ECA60B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19" w:type="dxa"/>
            <w:noWrap/>
            <w:vAlign w:val="center"/>
            <w:hideMark/>
          </w:tcPr>
          <w:p w14:paraId="04EDA9F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376" w:type="dxa"/>
            <w:noWrap/>
            <w:vAlign w:val="center"/>
            <w:hideMark/>
          </w:tcPr>
          <w:p w14:paraId="2C9E663D"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53C4EF2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45177F7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3181B8F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58A1D98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542335A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65CD720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67EC0B8E"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253B1A03"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6761B842"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184 (68.9)</w:t>
            </w:r>
          </w:p>
        </w:tc>
        <w:tc>
          <w:tcPr>
            <w:tcW w:w="1119" w:type="dxa"/>
            <w:noWrap/>
            <w:vAlign w:val="center"/>
            <w:hideMark/>
          </w:tcPr>
          <w:p w14:paraId="2AE6ADA5"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18 (38.3)</w:t>
            </w:r>
          </w:p>
        </w:tc>
        <w:tc>
          <w:tcPr>
            <w:tcW w:w="1376" w:type="dxa"/>
            <w:noWrap/>
            <w:vAlign w:val="center"/>
            <w:hideMark/>
          </w:tcPr>
          <w:p w14:paraId="6EA05B78"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612 (71.7)</w:t>
            </w:r>
          </w:p>
        </w:tc>
        <w:tc>
          <w:tcPr>
            <w:tcW w:w="1100" w:type="dxa"/>
            <w:noWrap/>
            <w:vAlign w:val="center"/>
            <w:hideMark/>
          </w:tcPr>
          <w:p w14:paraId="18E20435"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8 (80)</w:t>
            </w:r>
          </w:p>
        </w:tc>
        <w:tc>
          <w:tcPr>
            <w:tcW w:w="1912" w:type="dxa"/>
            <w:noWrap/>
            <w:vAlign w:val="center"/>
            <w:hideMark/>
          </w:tcPr>
          <w:p w14:paraId="31C8113D"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w:t>
            </w:r>
          </w:p>
        </w:tc>
        <w:tc>
          <w:tcPr>
            <w:tcW w:w="918" w:type="dxa"/>
            <w:noWrap/>
            <w:vAlign w:val="center"/>
            <w:hideMark/>
          </w:tcPr>
          <w:p w14:paraId="634A1C89"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b/>
                <w:lang w:val="en-AU"/>
              </w:rPr>
              <w:t>-</w:t>
            </w:r>
          </w:p>
        </w:tc>
        <w:tc>
          <w:tcPr>
            <w:tcW w:w="1961" w:type="dxa"/>
            <w:noWrap/>
            <w:vAlign w:val="center"/>
            <w:hideMark/>
          </w:tcPr>
          <w:p w14:paraId="2D35A9A2"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w:t>
            </w:r>
          </w:p>
        </w:tc>
        <w:tc>
          <w:tcPr>
            <w:tcW w:w="1129" w:type="dxa"/>
            <w:noWrap/>
            <w:hideMark/>
          </w:tcPr>
          <w:p w14:paraId="7EB97AF9"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b/>
                <w:lang w:val="en-AU"/>
              </w:rPr>
              <w:t>-</w:t>
            </w:r>
          </w:p>
        </w:tc>
        <w:tc>
          <w:tcPr>
            <w:tcW w:w="963" w:type="dxa"/>
            <w:noWrap/>
            <w:hideMark/>
          </w:tcPr>
          <w:p w14:paraId="2CAF9B78" w14:textId="77777777" w:rsidR="009054BB" w:rsidRPr="005C6C04"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5C517E">
              <w:rPr>
                <w:b/>
                <w:lang w:val="en-AU"/>
              </w:rPr>
              <w:t>-</w:t>
            </w:r>
          </w:p>
        </w:tc>
      </w:tr>
      <w:tr w:rsidR="009054BB" w:rsidRPr="00DF6BA7" w14:paraId="68DEEF0F"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658432EE" w14:textId="77777777" w:rsidR="009054BB" w:rsidRPr="00B25D75" w:rsidRDefault="009054BB" w:rsidP="00FD0B37">
            <w:pPr>
              <w:spacing w:line="276" w:lineRule="auto"/>
              <w:rPr>
                <w:b w:val="0"/>
                <w:iCs/>
                <w:lang w:val="en-AU"/>
              </w:rPr>
            </w:pPr>
            <w:r w:rsidRPr="00B25D75">
              <w:rPr>
                <w:b w:val="0"/>
                <w:iCs/>
                <w:lang w:val="en-AU"/>
              </w:rPr>
              <w:t>Yes</w:t>
            </w:r>
          </w:p>
        </w:tc>
        <w:tc>
          <w:tcPr>
            <w:tcW w:w="1363" w:type="dxa"/>
            <w:noWrap/>
            <w:vAlign w:val="center"/>
            <w:hideMark/>
          </w:tcPr>
          <w:p w14:paraId="1BA2C754"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83 (31.1)</w:t>
            </w:r>
          </w:p>
        </w:tc>
        <w:tc>
          <w:tcPr>
            <w:tcW w:w="1119" w:type="dxa"/>
            <w:noWrap/>
            <w:vAlign w:val="center"/>
            <w:hideMark/>
          </w:tcPr>
          <w:p w14:paraId="4EC5A673"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29 (61.7)</w:t>
            </w:r>
          </w:p>
        </w:tc>
        <w:tc>
          <w:tcPr>
            <w:tcW w:w="1376" w:type="dxa"/>
            <w:noWrap/>
            <w:vAlign w:val="center"/>
            <w:hideMark/>
          </w:tcPr>
          <w:p w14:paraId="0F8F67D1"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242 (28.3)</w:t>
            </w:r>
          </w:p>
        </w:tc>
        <w:tc>
          <w:tcPr>
            <w:tcW w:w="1100" w:type="dxa"/>
            <w:noWrap/>
            <w:vAlign w:val="center"/>
            <w:hideMark/>
          </w:tcPr>
          <w:p w14:paraId="0B8E6ED5"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2 (20)</w:t>
            </w:r>
          </w:p>
        </w:tc>
        <w:tc>
          <w:tcPr>
            <w:tcW w:w="1912" w:type="dxa"/>
            <w:noWrap/>
            <w:vAlign w:val="center"/>
            <w:hideMark/>
          </w:tcPr>
          <w:p w14:paraId="723E93CE"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3.57 (1.88-6.79)</w:t>
            </w:r>
          </w:p>
        </w:tc>
        <w:tc>
          <w:tcPr>
            <w:tcW w:w="918" w:type="dxa"/>
            <w:noWrap/>
            <w:vAlign w:val="center"/>
            <w:hideMark/>
          </w:tcPr>
          <w:p w14:paraId="65B9290A"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863783">
              <w:rPr>
                <w:b/>
                <w:lang w:val="en-AU"/>
              </w:rPr>
              <w:t>&lt;0.001</w:t>
            </w:r>
          </w:p>
        </w:tc>
        <w:tc>
          <w:tcPr>
            <w:tcW w:w="1961" w:type="dxa"/>
            <w:noWrap/>
            <w:vAlign w:val="center"/>
            <w:hideMark/>
          </w:tcPr>
          <w:p w14:paraId="0B68515B"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0.63 (0.13-3.00)</w:t>
            </w:r>
          </w:p>
        </w:tc>
        <w:tc>
          <w:tcPr>
            <w:tcW w:w="1129" w:type="dxa"/>
            <w:noWrap/>
            <w:vAlign w:val="center"/>
            <w:hideMark/>
          </w:tcPr>
          <w:p w14:paraId="3C05D90A"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0.564</w:t>
            </w:r>
          </w:p>
        </w:tc>
        <w:tc>
          <w:tcPr>
            <w:tcW w:w="963" w:type="dxa"/>
            <w:noWrap/>
            <w:vAlign w:val="center"/>
            <w:hideMark/>
          </w:tcPr>
          <w:p w14:paraId="47642B53"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bCs/>
                <w:lang w:val="en-AU"/>
              </w:rPr>
            </w:pPr>
            <w:r w:rsidRPr="00863783">
              <w:rPr>
                <w:b/>
                <w:bCs/>
                <w:lang w:val="en-AU"/>
              </w:rPr>
              <w:t>0.044</w:t>
            </w:r>
          </w:p>
        </w:tc>
      </w:tr>
      <w:tr w:rsidR="009054BB" w:rsidRPr="00DF6BA7" w14:paraId="263421AF"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B85FF78" w14:textId="77777777" w:rsidR="009054BB" w:rsidRPr="00DF6BA7" w:rsidRDefault="009054BB" w:rsidP="00FD0B37">
            <w:pPr>
              <w:spacing w:line="276" w:lineRule="auto"/>
              <w:rPr>
                <w:lang w:val="en-AU"/>
              </w:rPr>
            </w:pPr>
            <w:r w:rsidRPr="00DF6BA7">
              <w:rPr>
                <w:lang w:val="en-AU"/>
              </w:rPr>
              <w:t>Maternal Atopy</w:t>
            </w:r>
          </w:p>
        </w:tc>
        <w:tc>
          <w:tcPr>
            <w:tcW w:w="1363" w:type="dxa"/>
            <w:noWrap/>
            <w:vAlign w:val="center"/>
            <w:hideMark/>
          </w:tcPr>
          <w:p w14:paraId="6EA68372"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19" w:type="dxa"/>
            <w:noWrap/>
            <w:vAlign w:val="center"/>
            <w:hideMark/>
          </w:tcPr>
          <w:p w14:paraId="050D98FD"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376" w:type="dxa"/>
            <w:noWrap/>
            <w:vAlign w:val="center"/>
            <w:hideMark/>
          </w:tcPr>
          <w:p w14:paraId="75B2DD07"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69D63B71"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5AB35F73"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2E61B338"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75252928"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2DA8DE1E"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425DDEAB" w14:textId="77777777" w:rsidR="009054BB" w:rsidRPr="005C6C04"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7B858590"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38FD0F11"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5F37C682"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200 (74.9)</w:t>
            </w:r>
          </w:p>
        </w:tc>
        <w:tc>
          <w:tcPr>
            <w:tcW w:w="1119" w:type="dxa"/>
            <w:noWrap/>
            <w:vAlign w:val="center"/>
            <w:hideMark/>
          </w:tcPr>
          <w:p w14:paraId="79C74011"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2</w:t>
            </w:r>
            <w:r>
              <w:rPr>
                <w:lang w:val="en-AU"/>
              </w:rPr>
              <w:t>4</w:t>
            </w:r>
            <w:r w:rsidRPr="00863783">
              <w:rPr>
                <w:lang w:val="en-AU"/>
              </w:rPr>
              <w:t xml:space="preserve"> (51.1)</w:t>
            </w:r>
          </w:p>
        </w:tc>
        <w:tc>
          <w:tcPr>
            <w:tcW w:w="1376" w:type="dxa"/>
            <w:noWrap/>
            <w:vAlign w:val="center"/>
            <w:hideMark/>
          </w:tcPr>
          <w:p w14:paraId="6BF1BA05"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601 (70.4)</w:t>
            </w:r>
          </w:p>
        </w:tc>
        <w:tc>
          <w:tcPr>
            <w:tcW w:w="1100" w:type="dxa"/>
            <w:noWrap/>
            <w:vAlign w:val="center"/>
            <w:hideMark/>
          </w:tcPr>
          <w:p w14:paraId="337A36BF"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3 (30.0)</w:t>
            </w:r>
          </w:p>
        </w:tc>
        <w:tc>
          <w:tcPr>
            <w:tcW w:w="1912" w:type="dxa"/>
            <w:noWrap/>
            <w:vAlign w:val="center"/>
            <w:hideMark/>
          </w:tcPr>
          <w:p w14:paraId="72930AA3"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1</w:t>
            </w:r>
          </w:p>
        </w:tc>
        <w:tc>
          <w:tcPr>
            <w:tcW w:w="918" w:type="dxa"/>
            <w:noWrap/>
            <w:vAlign w:val="center"/>
            <w:hideMark/>
          </w:tcPr>
          <w:p w14:paraId="0E0BF379"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b/>
                <w:lang w:val="en-AU"/>
              </w:rPr>
              <w:t>-</w:t>
            </w:r>
          </w:p>
        </w:tc>
        <w:tc>
          <w:tcPr>
            <w:tcW w:w="1961" w:type="dxa"/>
            <w:noWrap/>
            <w:vAlign w:val="center"/>
            <w:hideMark/>
          </w:tcPr>
          <w:p w14:paraId="7B881DEE"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1</w:t>
            </w:r>
          </w:p>
        </w:tc>
        <w:tc>
          <w:tcPr>
            <w:tcW w:w="1129" w:type="dxa"/>
            <w:noWrap/>
            <w:hideMark/>
          </w:tcPr>
          <w:p w14:paraId="2FF11D69"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b/>
                <w:lang w:val="en-AU"/>
              </w:rPr>
              <w:t>-</w:t>
            </w:r>
          </w:p>
        </w:tc>
        <w:tc>
          <w:tcPr>
            <w:tcW w:w="963" w:type="dxa"/>
            <w:noWrap/>
            <w:hideMark/>
          </w:tcPr>
          <w:p w14:paraId="500218FD" w14:textId="77777777" w:rsidR="009054BB" w:rsidRPr="005C6C04"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0376EB">
              <w:rPr>
                <w:b/>
                <w:lang w:val="en-AU"/>
              </w:rPr>
              <w:t>-</w:t>
            </w:r>
          </w:p>
        </w:tc>
      </w:tr>
      <w:tr w:rsidR="009054BB" w:rsidRPr="00DF6BA7" w14:paraId="0D3F68E7"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C61D57B" w14:textId="77777777" w:rsidR="009054BB" w:rsidRPr="00B25D75" w:rsidRDefault="009054BB" w:rsidP="00FD0B37">
            <w:pPr>
              <w:spacing w:line="276" w:lineRule="auto"/>
              <w:rPr>
                <w:b w:val="0"/>
                <w:iCs/>
                <w:lang w:val="en-AU"/>
              </w:rPr>
            </w:pPr>
            <w:r w:rsidRPr="00B25D75">
              <w:rPr>
                <w:b w:val="0"/>
                <w:iCs/>
                <w:lang w:val="en-AU"/>
              </w:rPr>
              <w:t>Yes</w:t>
            </w:r>
          </w:p>
        </w:tc>
        <w:tc>
          <w:tcPr>
            <w:tcW w:w="1363" w:type="dxa"/>
            <w:noWrap/>
            <w:vAlign w:val="center"/>
            <w:hideMark/>
          </w:tcPr>
          <w:p w14:paraId="6047A660"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67 (25.1)</w:t>
            </w:r>
          </w:p>
        </w:tc>
        <w:tc>
          <w:tcPr>
            <w:tcW w:w="1119" w:type="dxa"/>
            <w:noWrap/>
            <w:vAlign w:val="center"/>
            <w:hideMark/>
          </w:tcPr>
          <w:p w14:paraId="37C690C9"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23 (48.9)</w:t>
            </w:r>
          </w:p>
        </w:tc>
        <w:tc>
          <w:tcPr>
            <w:tcW w:w="1376" w:type="dxa"/>
            <w:noWrap/>
            <w:vAlign w:val="center"/>
            <w:hideMark/>
          </w:tcPr>
          <w:p w14:paraId="57AD35AD"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253 (29.6)</w:t>
            </w:r>
          </w:p>
        </w:tc>
        <w:tc>
          <w:tcPr>
            <w:tcW w:w="1100" w:type="dxa"/>
            <w:noWrap/>
            <w:vAlign w:val="center"/>
            <w:hideMark/>
          </w:tcPr>
          <w:p w14:paraId="2AF112B4"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7 (70.0)</w:t>
            </w:r>
          </w:p>
        </w:tc>
        <w:tc>
          <w:tcPr>
            <w:tcW w:w="1912" w:type="dxa"/>
            <w:noWrap/>
            <w:vAlign w:val="center"/>
            <w:hideMark/>
          </w:tcPr>
          <w:p w14:paraId="7D674998"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2.86 (1.52-5.40)</w:t>
            </w:r>
          </w:p>
        </w:tc>
        <w:tc>
          <w:tcPr>
            <w:tcW w:w="918" w:type="dxa"/>
            <w:noWrap/>
            <w:vAlign w:val="center"/>
            <w:hideMark/>
          </w:tcPr>
          <w:p w14:paraId="7E7F53FC"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863783">
              <w:rPr>
                <w:b/>
                <w:lang w:val="en-AU"/>
              </w:rPr>
              <w:t>0.001</w:t>
            </w:r>
          </w:p>
        </w:tc>
        <w:tc>
          <w:tcPr>
            <w:tcW w:w="1961" w:type="dxa"/>
            <w:noWrap/>
            <w:vAlign w:val="center"/>
            <w:hideMark/>
          </w:tcPr>
          <w:p w14:paraId="75C5EFD7"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5.54 (1.42-21.6)</w:t>
            </w:r>
          </w:p>
        </w:tc>
        <w:tc>
          <w:tcPr>
            <w:tcW w:w="1129" w:type="dxa"/>
            <w:noWrap/>
            <w:vAlign w:val="center"/>
            <w:hideMark/>
          </w:tcPr>
          <w:p w14:paraId="458F10B4"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863783">
              <w:rPr>
                <w:b/>
                <w:lang w:val="en-AU"/>
              </w:rPr>
              <w:t>0.014</w:t>
            </w:r>
          </w:p>
        </w:tc>
        <w:tc>
          <w:tcPr>
            <w:tcW w:w="963" w:type="dxa"/>
            <w:noWrap/>
            <w:vAlign w:val="center"/>
            <w:hideMark/>
          </w:tcPr>
          <w:p w14:paraId="1C809E23" w14:textId="77777777" w:rsidR="009054BB" w:rsidRPr="005C6C04"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5C6C04">
              <w:rPr>
                <w:lang w:val="en-AU"/>
              </w:rPr>
              <w:t>0.38</w:t>
            </w:r>
            <w:r>
              <w:rPr>
                <w:lang w:val="en-AU"/>
              </w:rPr>
              <w:t>8</w:t>
            </w:r>
          </w:p>
        </w:tc>
      </w:tr>
      <w:tr w:rsidR="009054BB" w:rsidRPr="00DF6BA7" w14:paraId="195937EE"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54A824A2" w14:textId="77777777" w:rsidR="009054BB" w:rsidRPr="00DF6BA7" w:rsidRDefault="009054BB" w:rsidP="00FD0B37">
            <w:pPr>
              <w:spacing w:line="276" w:lineRule="auto"/>
              <w:rPr>
                <w:lang w:val="en-AU"/>
              </w:rPr>
            </w:pPr>
            <w:r w:rsidRPr="00DF6BA7">
              <w:rPr>
                <w:lang w:val="en-AU"/>
              </w:rPr>
              <w:t>Family History Atopy</w:t>
            </w:r>
          </w:p>
        </w:tc>
        <w:tc>
          <w:tcPr>
            <w:tcW w:w="1363" w:type="dxa"/>
            <w:noWrap/>
            <w:vAlign w:val="center"/>
            <w:hideMark/>
          </w:tcPr>
          <w:p w14:paraId="519235F7"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19" w:type="dxa"/>
            <w:noWrap/>
            <w:vAlign w:val="center"/>
            <w:hideMark/>
          </w:tcPr>
          <w:p w14:paraId="712D19C5"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376" w:type="dxa"/>
            <w:noWrap/>
            <w:vAlign w:val="center"/>
            <w:hideMark/>
          </w:tcPr>
          <w:p w14:paraId="6A42A0FC"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1926DEA8"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03389738"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2D0DFE0F"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0CD86091"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63FD605B"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0A66806B" w14:textId="77777777" w:rsidR="009054BB" w:rsidRPr="005C6C04"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0B8F66D4"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0EC35BA3"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779F3C33"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129 (48.3)</w:t>
            </w:r>
          </w:p>
        </w:tc>
        <w:tc>
          <w:tcPr>
            <w:tcW w:w="1119" w:type="dxa"/>
            <w:noWrap/>
            <w:vAlign w:val="center"/>
            <w:hideMark/>
          </w:tcPr>
          <w:p w14:paraId="32D57560"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11 (23.4)</w:t>
            </w:r>
          </w:p>
        </w:tc>
        <w:tc>
          <w:tcPr>
            <w:tcW w:w="1376" w:type="dxa"/>
            <w:noWrap/>
            <w:vAlign w:val="center"/>
            <w:hideMark/>
          </w:tcPr>
          <w:p w14:paraId="4204BFAA"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387 (45.2)</w:t>
            </w:r>
          </w:p>
        </w:tc>
        <w:tc>
          <w:tcPr>
            <w:tcW w:w="1100" w:type="dxa"/>
            <w:noWrap/>
            <w:vAlign w:val="center"/>
            <w:hideMark/>
          </w:tcPr>
          <w:p w14:paraId="4B39A3CA"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2 (20)</w:t>
            </w:r>
          </w:p>
        </w:tc>
        <w:tc>
          <w:tcPr>
            <w:tcW w:w="1912" w:type="dxa"/>
            <w:noWrap/>
            <w:vAlign w:val="center"/>
            <w:hideMark/>
          </w:tcPr>
          <w:p w14:paraId="7D4D5DB6"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w:t>
            </w:r>
          </w:p>
        </w:tc>
        <w:tc>
          <w:tcPr>
            <w:tcW w:w="918" w:type="dxa"/>
            <w:noWrap/>
            <w:vAlign w:val="center"/>
            <w:hideMark/>
          </w:tcPr>
          <w:p w14:paraId="1C110D73"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b/>
                <w:lang w:val="en-AU"/>
              </w:rPr>
              <w:t>-</w:t>
            </w:r>
          </w:p>
        </w:tc>
        <w:tc>
          <w:tcPr>
            <w:tcW w:w="1961" w:type="dxa"/>
            <w:noWrap/>
            <w:vAlign w:val="center"/>
            <w:hideMark/>
          </w:tcPr>
          <w:p w14:paraId="553DB1D8"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lang w:val="en-AU"/>
              </w:rPr>
              <w:t>1</w:t>
            </w:r>
          </w:p>
        </w:tc>
        <w:tc>
          <w:tcPr>
            <w:tcW w:w="1129" w:type="dxa"/>
            <w:noWrap/>
            <w:hideMark/>
          </w:tcPr>
          <w:p w14:paraId="3ADC86BB"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863783">
              <w:rPr>
                <w:b/>
                <w:lang w:val="en-AU"/>
              </w:rPr>
              <w:t>-</w:t>
            </w:r>
          </w:p>
        </w:tc>
        <w:tc>
          <w:tcPr>
            <w:tcW w:w="963" w:type="dxa"/>
            <w:noWrap/>
            <w:hideMark/>
          </w:tcPr>
          <w:p w14:paraId="392996EA" w14:textId="77777777" w:rsidR="009054BB" w:rsidRPr="005C6C04"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A26D9D">
              <w:rPr>
                <w:b/>
                <w:lang w:val="en-AU"/>
              </w:rPr>
              <w:t>-</w:t>
            </w:r>
          </w:p>
        </w:tc>
      </w:tr>
      <w:tr w:rsidR="009054BB" w:rsidRPr="00DF6BA7" w14:paraId="3359750E" w14:textId="77777777" w:rsidTr="00FD0B37">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17688200" w14:textId="77777777" w:rsidR="009054BB" w:rsidRPr="00B25D75" w:rsidRDefault="009054BB" w:rsidP="00FD0B37">
            <w:pPr>
              <w:spacing w:line="276" w:lineRule="auto"/>
              <w:rPr>
                <w:b w:val="0"/>
                <w:iCs/>
                <w:lang w:val="en-AU"/>
              </w:rPr>
            </w:pPr>
            <w:r w:rsidRPr="00B25D75">
              <w:rPr>
                <w:b w:val="0"/>
                <w:iCs/>
                <w:lang w:val="en-AU"/>
              </w:rPr>
              <w:t>Yes</w:t>
            </w:r>
          </w:p>
        </w:tc>
        <w:tc>
          <w:tcPr>
            <w:tcW w:w="1363" w:type="dxa"/>
            <w:noWrap/>
            <w:vAlign w:val="center"/>
            <w:hideMark/>
          </w:tcPr>
          <w:p w14:paraId="1F4FE935"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138 (51.7)</w:t>
            </w:r>
          </w:p>
        </w:tc>
        <w:tc>
          <w:tcPr>
            <w:tcW w:w="1119" w:type="dxa"/>
            <w:noWrap/>
            <w:vAlign w:val="center"/>
            <w:hideMark/>
          </w:tcPr>
          <w:p w14:paraId="57B25A5D"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36 (76.6)</w:t>
            </w:r>
          </w:p>
        </w:tc>
        <w:tc>
          <w:tcPr>
            <w:tcW w:w="1376" w:type="dxa"/>
            <w:noWrap/>
            <w:vAlign w:val="center"/>
            <w:hideMark/>
          </w:tcPr>
          <w:p w14:paraId="70417FE4"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469 (54.8)</w:t>
            </w:r>
          </w:p>
        </w:tc>
        <w:tc>
          <w:tcPr>
            <w:tcW w:w="1100" w:type="dxa"/>
            <w:noWrap/>
            <w:vAlign w:val="center"/>
            <w:hideMark/>
          </w:tcPr>
          <w:p w14:paraId="1BD4536E"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8 (80)</w:t>
            </w:r>
          </w:p>
        </w:tc>
        <w:tc>
          <w:tcPr>
            <w:tcW w:w="1912" w:type="dxa"/>
            <w:noWrap/>
            <w:vAlign w:val="center"/>
            <w:hideMark/>
          </w:tcPr>
          <w:p w14:paraId="3B915158"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3.06 (1.49-6.26)</w:t>
            </w:r>
          </w:p>
        </w:tc>
        <w:tc>
          <w:tcPr>
            <w:tcW w:w="918" w:type="dxa"/>
            <w:noWrap/>
            <w:vAlign w:val="center"/>
            <w:hideMark/>
          </w:tcPr>
          <w:p w14:paraId="50EA6127"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863783">
              <w:rPr>
                <w:b/>
                <w:lang w:val="en-AU"/>
              </w:rPr>
              <w:t>0.002</w:t>
            </w:r>
          </w:p>
        </w:tc>
        <w:tc>
          <w:tcPr>
            <w:tcW w:w="1961" w:type="dxa"/>
            <w:noWrap/>
            <w:vAlign w:val="center"/>
            <w:hideMark/>
          </w:tcPr>
          <w:p w14:paraId="4A9DFA3F"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863783">
              <w:rPr>
                <w:lang w:val="en-AU"/>
              </w:rPr>
              <w:t>3.30 (0.70-15.6)</w:t>
            </w:r>
          </w:p>
        </w:tc>
        <w:tc>
          <w:tcPr>
            <w:tcW w:w="1129" w:type="dxa"/>
            <w:noWrap/>
            <w:vAlign w:val="center"/>
            <w:hideMark/>
          </w:tcPr>
          <w:p w14:paraId="29961E00" w14:textId="77777777" w:rsidR="009054BB" w:rsidRPr="00863783"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Cs/>
                <w:lang w:val="en-AU"/>
              </w:rPr>
            </w:pPr>
            <w:r w:rsidRPr="00863783">
              <w:rPr>
                <w:bCs/>
                <w:lang w:val="en-AU"/>
              </w:rPr>
              <w:t>0.132</w:t>
            </w:r>
          </w:p>
        </w:tc>
        <w:tc>
          <w:tcPr>
            <w:tcW w:w="963" w:type="dxa"/>
            <w:noWrap/>
            <w:vAlign w:val="center"/>
            <w:hideMark/>
          </w:tcPr>
          <w:p w14:paraId="7F09BB0A" w14:textId="77777777" w:rsidR="009054BB" w:rsidRPr="005C6C04"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5C6C04">
              <w:rPr>
                <w:lang w:val="en-AU"/>
              </w:rPr>
              <w:t>0.</w:t>
            </w:r>
            <w:r>
              <w:rPr>
                <w:lang w:val="en-AU"/>
              </w:rPr>
              <w:t>931</w:t>
            </w:r>
          </w:p>
        </w:tc>
      </w:tr>
      <w:tr w:rsidR="009054BB" w:rsidRPr="00DF6BA7" w14:paraId="39801EE9"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3380" w:type="dxa"/>
            <w:gridSpan w:val="2"/>
            <w:noWrap/>
            <w:vAlign w:val="center"/>
            <w:hideMark/>
          </w:tcPr>
          <w:p w14:paraId="0621B00C" w14:textId="77777777" w:rsidR="009054BB" w:rsidRPr="00391FCF" w:rsidRDefault="009054BB" w:rsidP="00FD0B37">
            <w:pPr>
              <w:spacing w:line="276" w:lineRule="auto"/>
              <w:rPr>
                <w:lang w:val="en-AU"/>
              </w:rPr>
            </w:pPr>
            <w:r w:rsidRPr="00391FCF">
              <w:rPr>
                <w:lang w:val="en-AU"/>
              </w:rPr>
              <w:t>Eczema Diagnosis</w:t>
            </w:r>
          </w:p>
        </w:tc>
        <w:tc>
          <w:tcPr>
            <w:tcW w:w="1119" w:type="dxa"/>
            <w:noWrap/>
            <w:vAlign w:val="center"/>
            <w:hideMark/>
          </w:tcPr>
          <w:p w14:paraId="556B72E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376" w:type="dxa"/>
            <w:noWrap/>
            <w:vAlign w:val="center"/>
            <w:hideMark/>
          </w:tcPr>
          <w:p w14:paraId="1624111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00B14F6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2D40731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1C8C348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49C868CA"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2868D6A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58FE93F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3C0DF05E"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032EADDC" w14:textId="77777777" w:rsidR="009054BB" w:rsidRPr="00391FCF" w:rsidRDefault="009054BB" w:rsidP="00FD0B37">
            <w:pPr>
              <w:spacing w:line="276" w:lineRule="auto"/>
              <w:rPr>
                <w:b w:val="0"/>
                <w:iCs/>
                <w:lang w:val="en-AU"/>
              </w:rPr>
            </w:pPr>
            <w:r w:rsidRPr="00391FCF">
              <w:rPr>
                <w:b w:val="0"/>
                <w:iCs/>
                <w:lang w:val="en-AU"/>
              </w:rPr>
              <w:t>No eczema</w:t>
            </w:r>
          </w:p>
        </w:tc>
        <w:tc>
          <w:tcPr>
            <w:tcW w:w="1363" w:type="dxa"/>
            <w:noWrap/>
            <w:vAlign w:val="center"/>
            <w:hideMark/>
          </w:tcPr>
          <w:p w14:paraId="30D082E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155 (92.3)</w:t>
            </w:r>
          </w:p>
        </w:tc>
        <w:tc>
          <w:tcPr>
            <w:tcW w:w="1119" w:type="dxa"/>
            <w:noWrap/>
            <w:vAlign w:val="center"/>
            <w:hideMark/>
          </w:tcPr>
          <w:p w14:paraId="4A3A915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13 (7.7)</w:t>
            </w:r>
          </w:p>
        </w:tc>
        <w:tc>
          <w:tcPr>
            <w:tcW w:w="1376" w:type="dxa"/>
            <w:noWrap/>
            <w:vAlign w:val="center"/>
            <w:hideMark/>
          </w:tcPr>
          <w:p w14:paraId="43E5A02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68</w:t>
            </w:r>
            <w:r>
              <w:rPr>
                <w:lang w:val="en-AU"/>
              </w:rPr>
              <w:t>7</w:t>
            </w:r>
            <w:r w:rsidRPr="00DF6BA7">
              <w:rPr>
                <w:lang w:val="en-AU"/>
              </w:rPr>
              <w:t xml:space="preserve"> (9</w:t>
            </w:r>
            <w:r>
              <w:rPr>
                <w:lang w:val="en-AU"/>
              </w:rPr>
              <w:t>9</w:t>
            </w:r>
            <w:r w:rsidRPr="00DF6BA7">
              <w:rPr>
                <w:lang w:val="en-AU"/>
              </w:rPr>
              <w:t>.</w:t>
            </w:r>
            <w:r>
              <w:rPr>
                <w:lang w:val="en-AU"/>
              </w:rPr>
              <w:t>4</w:t>
            </w:r>
            <w:r w:rsidRPr="00DF6BA7">
              <w:rPr>
                <w:lang w:val="en-AU"/>
              </w:rPr>
              <w:t>)</w:t>
            </w:r>
          </w:p>
        </w:tc>
        <w:tc>
          <w:tcPr>
            <w:tcW w:w="1100" w:type="dxa"/>
            <w:noWrap/>
            <w:vAlign w:val="center"/>
            <w:hideMark/>
          </w:tcPr>
          <w:p w14:paraId="5B3DB5D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4</w:t>
            </w:r>
            <w:r w:rsidRPr="00DF6BA7">
              <w:rPr>
                <w:lang w:val="en-AU"/>
              </w:rPr>
              <w:t xml:space="preserve"> (</w:t>
            </w:r>
            <w:r>
              <w:rPr>
                <w:lang w:val="en-AU"/>
              </w:rPr>
              <w:t>0.6</w:t>
            </w:r>
            <w:r w:rsidRPr="00DF6BA7">
              <w:rPr>
                <w:lang w:val="en-AU"/>
              </w:rPr>
              <w:t>)</w:t>
            </w:r>
          </w:p>
        </w:tc>
        <w:tc>
          <w:tcPr>
            <w:tcW w:w="1912" w:type="dxa"/>
            <w:noWrap/>
            <w:vAlign w:val="center"/>
            <w:hideMark/>
          </w:tcPr>
          <w:p w14:paraId="6975990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918" w:type="dxa"/>
            <w:noWrap/>
            <w:vAlign w:val="center"/>
            <w:hideMark/>
          </w:tcPr>
          <w:p w14:paraId="5F7C638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D3F9B">
              <w:rPr>
                <w:b/>
                <w:lang w:val="en-AU"/>
              </w:rPr>
              <w:t>-</w:t>
            </w:r>
          </w:p>
        </w:tc>
        <w:tc>
          <w:tcPr>
            <w:tcW w:w="1961" w:type="dxa"/>
            <w:noWrap/>
            <w:vAlign w:val="center"/>
            <w:hideMark/>
          </w:tcPr>
          <w:p w14:paraId="4204196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1129" w:type="dxa"/>
            <w:noWrap/>
            <w:hideMark/>
          </w:tcPr>
          <w:p w14:paraId="324F3D9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CF6496">
              <w:rPr>
                <w:b/>
                <w:lang w:val="en-AU"/>
              </w:rPr>
              <w:t>-</w:t>
            </w:r>
          </w:p>
        </w:tc>
        <w:tc>
          <w:tcPr>
            <w:tcW w:w="963" w:type="dxa"/>
            <w:noWrap/>
            <w:hideMark/>
          </w:tcPr>
          <w:p w14:paraId="24FA940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CF6496">
              <w:rPr>
                <w:b/>
                <w:lang w:val="en-AU"/>
              </w:rPr>
              <w:t>-</w:t>
            </w:r>
          </w:p>
        </w:tc>
      </w:tr>
      <w:tr w:rsidR="009054BB" w:rsidRPr="00DF6BA7" w14:paraId="0146A0DA"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7DCB0A7B" w14:textId="77777777" w:rsidR="009054BB" w:rsidRPr="00391FCF" w:rsidRDefault="009054BB" w:rsidP="00FD0B37">
            <w:pPr>
              <w:spacing w:line="276" w:lineRule="auto"/>
              <w:rPr>
                <w:b w:val="0"/>
                <w:iCs/>
                <w:lang w:val="en-AU"/>
              </w:rPr>
            </w:pPr>
            <w:r w:rsidRPr="00391FCF">
              <w:rPr>
                <w:b w:val="0"/>
                <w:iCs/>
                <w:lang w:val="en-AU"/>
              </w:rPr>
              <w:lastRenderedPageBreak/>
              <w:t>Before 6 months</w:t>
            </w:r>
          </w:p>
        </w:tc>
        <w:tc>
          <w:tcPr>
            <w:tcW w:w="1363" w:type="dxa"/>
            <w:noWrap/>
            <w:vAlign w:val="center"/>
            <w:hideMark/>
          </w:tcPr>
          <w:p w14:paraId="715E03B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5</w:t>
            </w:r>
            <w:r>
              <w:rPr>
                <w:lang w:val="en-AU"/>
              </w:rPr>
              <w:t>8</w:t>
            </w:r>
            <w:r w:rsidRPr="00DF6BA7">
              <w:rPr>
                <w:lang w:val="en-AU"/>
              </w:rPr>
              <w:t xml:space="preserve"> (6</w:t>
            </w:r>
            <w:r>
              <w:rPr>
                <w:lang w:val="en-AU"/>
              </w:rPr>
              <w:t>7</w:t>
            </w:r>
            <w:r w:rsidRPr="00DF6BA7">
              <w:rPr>
                <w:lang w:val="en-AU"/>
              </w:rPr>
              <w:t>.</w:t>
            </w:r>
            <w:r>
              <w:rPr>
                <w:lang w:val="en-AU"/>
              </w:rPr>
              <w:t>4</w:t>
            </w:r>
            <w:r w:rsidRPr="00DF6BA7">
              <w:rPr>
                <w:lang w:val="en-AU"/>
              </w:rPr>
              <w:t>)</w:t>
            </w:r>
          </w:p>
        </w:tc>
        <w:tc>
          <w:tcPr>
            <w:tcW w:w="1119" w:type="dxa"/>
            <w:noWrap/>
            <w:vAlign w:val="center"/>
            <w:hideMark/>
          </w:tcPr>
          <w:p w14:paraId="3EC0BCF9"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2</w:t>
            </w:r>
            <w:r>
              <w:rPr>
                <w:lang w:val="en-AU"/>
              </w:rPr>
              <w:t>8</w:t>
            </w:r>
            <w:r w:rsidRPr="00DF6BA7">
              <w:rPr>
                <w:lang w:val="en-AU"/>
              </w:rPr>
              <w:t xml:space="preserve"> (3</w:t>
            </w:r>
            <w:r>
              <w:rPr>
                <w:lang w:val="en-AU"/>
              </w:rPr>
              <w:t>2</w:t>
            </w:r>
            <w:r w:rsidRPr="00DF6BA7">
              <w:rPr>
                <w:lang w:val="en-AU"/>
              </w:rPr>
              <w:t>.</w:t>
            </w:r>
            <w:r>
              <w:rPr>
                <w:lang w:val="en-AU"/>
              </w:rPr>
              <w:t>6</w:t>
            </w:r>
            <w:r w:rsidRPr="00DF6BA7">
              <w:rPr>
                <w:lang w:val="en-AU"/>
              </w:rPr>
              <w:t>)</w:t>
            </w:r>
          </w:p>
        </w:tc>
        <w:tc>
          <w:tcPr>
            <w:tcW w:w="1376" w:type="dxa"/>
            <w:noWrap/>
            <w:vAlign w:val="center"/>
            <w:hideMark/>
          </w:tcPr>
          <w:p w14:paraId="031E794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6</w:t>
            </w:r>
            <w:r>
              <w:rPr>
                <w:lang w:val="en-AU"/>
              </w:rPr>
              <w:t>6</w:t>
            </w:r>
            <w:r w:rsidRPr="00DF6BA7">
              <w:rPr>
                <w:lang w:val="en-AU"/>
              </w:rPr>
              <w:t xml:space="preserve"> (9</w:t>
            </w:r>
            <w:r>
              <w:rPr>
                <w:lang w:val="en-AU"/>
              </w:rPr>
              <w:t>4.3</w:t>
            </w:r>
            <w:r w:rsidRPr="00DF6BA7">
              <w:rPr>
                <w:lang w:val="en-AU"/>
              </w:rPr>
              <w:t>)</w:t>
            </w:r>
          </w:p>
        </w:tc>
        <w:tc>
          <w:tcPr>
            <w:tcW w:w="1100" w:type="dxa"/>
            <w:noWrap/>
            <w:vAlign w:val="center"/>
            <w:hideMark/>
          </w:tcPr>
          <w:p w14:paraId="43200E1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4</w:t>
            </w:r>
            <w:r w:rsidRPr="00DF6BA7">
              <w:rPr>
                <w:lang w:val="en-AU"/>
              </w:rPr>
              <w:t xml:space="preserve"> (</w:t>
            </w:r>
            <w:r>
              <w:rPr>
                <w:lang w:val="en-AU"/>
              </w:rPr>
              <w:t>5.7</w:t>
            </w:r>
            <w:r w:rsidRPr="00DF6BA7">
              <w:rPr>
                <w:lang w:val="en-AU"/>
              </w:rPr>
              <w:t>)</w:t>
            </w:r>
          </w:p>
        </w:tc>
        <w:tc>
          <w:tcPr>
            <w:tcW w:w="1912" w:type="dxa"/>
            <w:noWrap/>
            <w:vAlign w:val="center"/>
            <w:hideMark/>
          </w:tcPr>
          <w:p w14:paraId="3FCA162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5</w:t>
            </w:r>
            <w:r w:rsidRPr="00DF6BA7">
              <w:rPr>
                <w:lang w:val="en-AU"/>
              </w:rPr>
              <w:t>.7</w:t>
            </w:r>
            <w:r>
              <w:rPr>
                <w:lang w:val="en-AU"/>
              </w:rPr>
              <w:t>6</w:t>
            </w:r>
            <w:r w:rsidRPr="00DF6BA7">
              <w:rPr>
                <w:lang w:val="en-AU"/>
              </w:rPr>
              <w:t xml:space="preserve"> (2.</w:t>
            </w:r>
            <w:r>
              <w:rPr>
                <w:lang w:val="en-AU"/>
              </w:rPr>
              <w:t>7</w:t>
            </w:r>
            <w:r w:rsidRPr="00DF6BA7">
              <w:rPr>
                <w:lang w:val="en-AU"/>
              </w:rPr>
              <w:t>9-1</w:t>
            </w:r>
            <w:r>
              <w:rPr>
                <w:lang w:val="en-AU"/>
              </w:rPr>
              <w:t>1</w:t>
            </w:r>
            <w:r w:rsidRPr="00DF6BA7">
              <w:rPr>
                <w:lang w:val="en-AU"/>
              </w:rPr>
              <w:t>.8</w:t>
            </w:r>
            <w:r>
              <w:rPr>
                <w:lang w:val="en-AU"/>
              </w:rPr>
              <w:t>7</w:t>
            </w:r>
            <w:r w:rsidRPr="00DF6BA7">
              <w:rPr>
                <w:lang w:val="en-AU"/>
              </w:rPr>
              <w:t>)</w:t>
            </w:r>
          </w:p>
        </w:tc>
        <w:tc>
          <w:tcPr>
            <w:tcW w:w="918" w:type="dxa"/>
            <w:noWrap/>
            <w:vAlign w:val="center"/>
            <w:hideMark/>
          </w:tcPr>
          <w:p w14:paraId="46C18A3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&lt;0.001</w:t>
            </w:r>
          </w:p>
        </w:tc>
        <w:tc>
          <w:tcPr>
            <w:tcW w:w="1961" w:type="dxa"/>
            <w:noWrap/>
            <w:vAlign w:val="center"/>
            <w:hideMark/>
          </w:tcPr>
          <w:p w14:paraId="09DF95C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10.41</w:t>
            </w:r>
            <w:r w:rsidRPr="00DF6BA7">
              <w:rPr>
                <w:lang w:val="en-AU"/>
              </w:rPr>
              <w:t xml:space="preserve"> (2.</w:t>
            </w:r>
            <w:r>
              <w:rPr>
                <w:lang w:val="en-AU"/>
              </w:rPr>
              <w:t>54</w:t>
            </w:r>
            <w:r w:rsidRPr="00DF6BA7">
              <w:rPr>
                <w:lang w:val="en-AU"/>
              </w:rPr>
              <w:t>-</w:t>
            </w:r>
            <w:r>
              <w:rPr>
                <w:lang w:val="en-AU"/>
              </w:rPr>
              <w:t>42</w:t>
            </w:r>
            <w:r w:rsidRPr="00DF6BA7">
              <w:rPr>
                <w:lang w:val="en-AU"/>
              </w:rPr>
              <w:t>.5</w:t>
            </w:r>
            <w:r>
              <w:rPr>
                <w:lang w:val="en-AU"/>
              </w:rPr>
              <w:t>8</w:t>
            </w:r>
            <w:r w:rsidRPr="00DF6BA7">
              <w:rPr>
                <w:lang w:val="en-AU"/>
              </w:rPr>
              <w:t>)</w:t>
            </w:r>
          </w:p>
        </w:tc>
        <w:tc>
          <w:tcPr>
            <w:tcW w:w="1129" w:type="dxa"/>
            <w:noWrap/>
            <w:vAlign w:val="center"/>
            <w:hideMark/>
          </w:tcPr>
          <w:p w14:paraId="6182BA0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0.001</w:t>
            </w:r>
          </w:p>
        </w:tc>
        <w:tc>
          <w:tcPr>
            <w:tcW w:w="963" w:type="dxa"/>
            <w:noWrap/>
            <w:vAlign w:val="center"/>
            <w:hideMark/>
          </w:tcPr>
          <w:p w14:paraId="6F288A18" w14:textId="77777777" w:rsidR="009054BB" w:rsidRPr="00FB6280"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FB6280">
              <w:rPr>
                <w:lang w:val="en-AU"/>
              </w:rPr>
              <w:t>0.463</w:t>
            </w:r>
          </w:p>
        </w:tc>
      </w:tr>
      <w:tr w:rsidR="009054BB" w:rsidRPr="00DF6BA7" w14:paraId="6E3A0A7C"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0D956E7D" w14:textId="77777777" w:rsidR="009054BB" w:rsidRPr="00391FCF" w:rsidRDefault="009054BB" w:rsidP="00FD0B37">
            <w:pPr>
              <w:spacing w:line="276" w:lineRule="auto"/>
              <w:rPr>
                <w:b w:val="0"/>
                <w:iCs/>
                <w:lang w:val="en-AU"/>
              </w:rPr>
            </w:pPr>
            <w:r w:rsidRPr="00391FCF">
              <w:rPr>
                <w:b w:val="0"/>
                <w:iCs/>
                <w:lang w:val="en-AU"/>
              </w:rPr>
              <w:t>After 6 months</w:t>
            </w:r>
          </w:p>
        </w:tc>
        <w:tc>
          <w:tcPr>
            <w:tcW w:w="1363" w:type="dxa"/>
            <w:noWrap/>
            <w:vAlign w:val="center"/>
            <w:hideMark/>
          </w:tcPr>
          <w:p w14:paraId="38BC7A1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23 (82.1)</w:t>
            </w:r>
          </w:p>
        </w:tc>
        <w:tc>
          <w:tcPr>
            <w:tcW w:w="1119" w:type="dxa"/>
            <w:noWrap/>
            <w:vAlign w:val="center"/>
            <w:hideMark/>
          </w:tcPr>
          <w:p w14:paraId="31A4B10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5 (17.9)</w:t>
            </w:r>
          </w:p>
        </w:tc>
        <w:tc>
          <w:tcPr>
            <w:tcW w:w="1376" w:type="dxa"/>
            <w:noWrap/>
            <w:vAlign w:val="center"/>
            <w:hideMark/>
          </w:tcPr>
          <w:p w14:paraId="1628A55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6</w:t>
            </w:r>
            <w:r>
              <w:rPr>
                <w:lang w:val="en-AU"/>
              </w:rPr>
              <w:t>8</w:t>
            </w:r>
            <w:r w:rsidRPr="00DF6BA7">
              <w:rPr>
                <w:lang w:val="en-AU"/>
              </w:rPr>
              <w:t xml:space="preserve"> (9</w:t>
            </w:r>
            <w:r>
              <w:rPr>
                <w:lang w:val="en-AU"/>
              </w:rPr>
              <w:t>7</w:t>
            </w:r>
            <w:r w:rsidRPr="00DF6BA7">
              <w:rPr>
                <w:lang w:val="en-AU"/>
              </w:rPr>
              <w:t>.</w:t>
            </w:r>
            <w:r>
              <w:rPr>
                <w:lang w:val="en-AU"/>
              </w:rPr>
              <w:t>1</w:t>
            </w:r>
            <w:r w:rsidRPr="00DF6BA7">
              <w:rPr>
                <w:lang w:val="en-AU"/>
              </w:rPr>
              <w:t>)</w:t>
            </w:r>
          </w:p>
        </w:tc>
        <w:tc>
          <w:tcPr>
            <w:tcW w:w="1100" w:type="dxa"/>
            <w:noWrap/>
            <w:vAlign w:val="center"/>
            <w:hideMark/>
          </w:tcPr>
          <w:p w14:paraId="305C239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2</w:t>
            </w:r>
            <w:r w:rsidRPr="00DF6BA7">
              <w:rPr>
                <w:lang w:val="en-AU"/>
              </w:rPr>
              <w:t xml:space="preserve"> (</w:t>
            </w:r>
            <w:r>
              <w:rPr>
                <w:lang w:val="en-AU"/>
              </w:rPr>
              <w:t>2</w:t>
            </w:r>
            <w:r w:rsidRPr="00DF6BA7">
              <w:rPr>
                <w:lang w:val="en-AU"/>
              </w:rPr>
              <w:t>.</w:t>
            </w:r>
            <w:r>
              <w:rPr>
                <w:lang w:val="en-AU"/>
              </w:rPr>
              <w:t>9</w:t>
            </w:r>
            <w:r w:rsidRPr="00DF6BA7">
              <w:rPr>
                <w:lang w:val="en-AU"/>
              </w:rPr>
              <w:t>)</w:t>
            </w:r>
          </w:p>
        </w:tc>
        <w:tc>
          <w:tcPr>
            <w:tcW w:w="1912" w:type="dxa"/>
            <w:noWrap/>
            <w:vAlign w:val="center"/>
            <w:hideMark/>
          </w:tcPr>
          <w:p w14:paraId="59CD628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2.59 (0.85-7.95)</w:t>
            </w:r>
          </w:p>
        </w:tc>
        <w:tc>
          <w:tcPr>
            <w:tcW w:w="918" w:type="dxa"/>
            <w:noWrap/>
            <w:vAlign w:val="center"/>
            <w:hideMark/>
          </w:tcPr>
          <w:p w14:paraId="374950E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0.096</w:t>
            </w:r>
          </w:p>
        </w:tc>
        <w:tc>
          <w:tcPr>
            <w:tcW w:w="1961" w:type="dxa"/>
            <w:noWrap/>
            <w:vAlign w:val="center"/>
            <w:hideMark/>
          </w:tcPr>
          <w:p w14:paraId="12B247F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5</w:t>
            </w:r>
            <w:r w:rsidRPr="00DF6BA7">
              <w:rPr>
                <w:lang w:val="en-AU"/>
              </w:rPr>
              <w:t>.05 (0.</w:t>
            </w:r>
            <w:r>
              <w:rPr>
                <w:lang w:val="en-AU"/>
              </w:rPr>
              <w:t>91</w:t>
            </w:r>
            <w:r w:rsidRPr="00DF6BA7">
              <w:rPr>
                <w:lang w:val="en-AU"/>
              </w:rPr>
              <w:t>-</w:t>
            </w:r>
            <w:r>
              <w:rPr>
                <w:lang w:val="en-AU"/>
              </w:rPr>
              <w:t>28</w:t>
            </w:r>
            <w:r w:rsidRPr="00DF6BA7">
              <w:rPr>
                <w:lang w:val="en-AU"/>
              </w:rPr>
              <w:t>.</w:t>
            </w:r>
            <w:r>
              <w:rPr>
                <w:lang w:val="en-AU"/>
              </w:rPr>
              <w:t>09</w:t>
            </w:r>
            <w:r w:rsidRPr="00DF6BA7">
              <w:rPr>
                <w:lang w:val="en-AU"/>
              </w:rPr>
              <w:t>)</w:t>
            </w:r>
          </w:p>
        </w:tc>
        <w:tc>
          <w:tcPr>
            <w:tcW w:w="1129" w:type="dxa"/>
            <w:noWrap/>
            <w:vAlign w:val="center"/>
            <w:hideMark/>
          </w:tcPr>
          <w:p w14:paraId="5C7F036D"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0.0</w:t>
            </w:r>
            <w:r>
              <w:rPr>
                <w:lang w:val="en-AU"/>
              </w:rPr>
              <w:t>64</w:t>
            </w:r>
          </w:p>
        </w:tc>
        <w:tc>
          <w:tcPr>
            <w:tcW w:w="963" w:type="dxa"/>
            <w:noWrap/>
            <w:vAlign w:val="center"/>
            <w:hideMark/>
          </w:tcPr>
          <w:p w14:paraId="0FB357C0" w14:textId="77777777" w:rsidR="009054BB" w:rsidRPr="00FB6280"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FB6280">
              <w:rPr>
                <w:lang w:val="en-AU"/>
              </w:rPr>
              <w:t>0.523</w:t>
            </w:r>
          </w:p>
        </w:tc>
      </w:tr>
      <w:tr w:rsidR="009054BB" w:rsidRPr="00DF6BA7" w14:paraId="4BA95501"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4499" w:type="dxa"/>
            <w:gridSpan w:val="3"/>
            <w:noWrap/>
            <w:vAlign w:val="center"/>
            <w:hideMark/>
          </w:tcPr>
          <w:p w14:paraId="43B1178E" w14:textId="77777777" w:rsidR="009054BB" w:rsidRPr="00391FCF" w:rsidRDefault="009054BB" w:rsidP="00FD0B37">
            <w:pPr>
              <w:spacing w:line="276" w:lineRule="auto"/>
              <w:rPr>
                <w:lang w:val="en-AU"/>
              </w:rPr>
            </w:pPr>
            <w:r w:rsidRPr="00391FCF">
              <w:rPr>
                <w:lang w:val="en-AU"/>
              </w:rPr>
              <w:t>Eczema diagnosis with steroid use</w:t>
            </w:r>
          </w:p>
        </w:tc>
        <w:tc>
          <w:tcPr>
            <w:tcW w:w="1376" w:type="dxa"/>
            <w:noWrap/>
            <w:vAlign w:val="center"/>
            <w:hideMark/>
          </w:tcPr>
          <w:p w14:paraId="7BE17AA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142A366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3274CA3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457F0C9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3613619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20948C9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7DE169EB" w14:textId="77777777" w:rsidR="009054BB" w:rsidRPr="0084673A"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highlight w:val="red"/>
                <w:lang w:val="en-AU"/>
              </w:rPr>
            </w:pPr>
          </w:p>
        </w:tc>
      </w:tr>
      <w:tr w:rsidR="009054BB" w:rsidRPr="00DF6BA7" w14:paraId="063D4A92"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3A2EF249" w14:textId="77777777" w:rsidR="009054BB" w:rsidRPr="00B25D75" w:rsidRDefault="009054BB" w:rsidP="00FD0B37">
            <w:pPr>
              <w:spacing w:line="276" w:lineRule="auto"/>
              <w:rPr>
                <w:b w:val="0"/>
                <w:iCs/>
                <w:lang w:val="en-AU"/>
              </w:rPr>
            </w:pPr>
            <w:r w:rsidRPr="00B25D75">
              <w:rPr>
                <w:b w:val="0"/>
                <w:iCs/>
                <w:lang w:val="en-AU"/>
              </w:rPr>
              <w:t>No eczema</w:t>
            </w:r>
          </w:p>
        </w:tc>
        <w:tc>
          <w:tcPr>
            <w:tcW w:w="1363" w:type="dxa"/>
            <w:noWrap/>
            <w:vAlign w:val="center"/>
            <w:hideMark/>
          </w:tcPr>
          <w:p w14:paraId="3611BC1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155 (92.3)</w:t>
            </w:r>
          </w:p>
        </w:tc>
        <w:tc>
          <w:tcPr>
            <w:tcW w:w="1119" w:type="dxa"/>
            <w:noWrap/>
            <w:vAlign w:val="center"/>
            <w:hideMark/>
          </w:tcPr>
          <w:p w14:paraId="616911C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13 (7.7)</w:t>
            </w:r>
          </w:p>
        </w:tc>
        <w:tc>
          <w:tcPr>
            <w:tcW w:w="1376" w:type="dxa"/>
            <w:noWrap/>
            <w:vAlign w:val="center"/>
            <w:hideMark/>
          </w:tcPr>
          <w:p w14:paraId="16DBAFD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6</w:t>
            </w:r>
            <w:r>
              <w:rPr>
                <w:lang w:val="en-AU"/>
              </w:rPr>
              <w:t>32</w:t>
            </w:r>
            <w:r w:rsidRPr="00DF6BA7">
              <w:rPr>
                <w:lang w:val="en-AU"/>
              </w:rPr>
              <w:t xml:space="preserve"> (9</w:t>
            </w:r>
            <w:r>
              <w:rPr>
                <w:lang w:val="en-AU"/>
              </w:rPr>
              <w:t>9</w:t>
            </w:r>
            <w:r w:rsidRPr="00DF6BA7">
              <w:rPr>
                <w:lang w:val="en-AU"/>
              </w:rPr>
              <w:t>.</w:t>
            </w:r>
            <w:r>
              <w:rPr>
                <w:lang w:val="en-AU"/>
              </w:rPr>
              <w:t>5</w:t>
            </w:r>
            <w:r w:rsidRPr="00DF6BA7">
              <w:rPr>
                <w:lang w:val="en-AU"/>
              </w:rPr>
              <w:t>)</w:t>
            </w:r>
          </w:p>
        </w:tc>
        <w:tc>
          <w:tcPr>
            <w:tcW w:w="1100" w:type="dxa"/>
            <w:noWrap/>
            <w:vAlign w:val="center"/>
            <w:hideMark/>
          </w:tcPr>
          <w:p w14:paraId="04F5E64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3</w:t>
            </w:r>
            <w:r w:rsidRPr="00DF6BA7">
              <w:rPr>
                <w:lang w:val="en-AU"/>
              </w:rPr>
              <w:t xml:space="preserve"> (</w:t>
            </w:r>
            <w:r>
              <w:rPr>
                <w:lang w:val="en-AU"/>
              </w:rPr>
              <w:t>0.5</w:t>
            </w:r>
            <w:r w:rsidRPr="00DF6BA7">
              <w:rPr>
                <w:lang w:val="en-AU"/>
              </w:rPr>
              <w:t>)</w:t>
            </w:r>
          </w:p>
        </w:tc>
        <w:tc>
          <w:tcPr>
            <w:tcW w:w="1912" w:type="dxa"/>
            <w:noWrap/>
            <w:vAlign w:val="center"/>
            <w:hideMark/>
          </w:tcPr>
          <w:p w14:paraId="689038D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918" w:type="dxa"/>
            <w:noWrap/>
            <w:vAlign w:val="center"/>
            <w:hideMark/>
          </w:tcPr>
          <w:p w14:paraId="7FE0698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D3F9B">
              <w:rPr>
                <w:b/>
                <w:lang w:val="en-AU"/>
              </w:rPr>
              <w:t>-</w:t>
            </w:r>
          </w:p>
        </w:tc>
        <w:tc>
          <w:tcPr>
            <w:tcW w:w="1961" w:type="dxa"/>
            <w:noWrap/>
            <w:vAlign w:val="center"/>
            <w:hideMark/>
          </w:tcPr>
          <w:p w14:paraId="5F3DB52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1129" w:type="dxa"/>
            <w:noWrap/>
            <w:hideMark/>
          </w:tcPr>
          <w:p w14:paraId="5D5AF00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A83869">
              <w:rPr>
                <w:b/>
                <w:lang w:val="en-AU"/>
              </w:rPr>
              <w:t>-</w:t>
            </w:r>
          </w:p>
        </w:tc>
        <w:tc>
          <w:tcPr>
            <w:tcW w:w="963" w:type="dxa"/>
            <w:noWrap/>
            <w:hideMark/>
          </w:tcPr>
          <w:p w14:paraId="04B74777" w14:textId="77777777" w:rsidR="009054BB" w:rsidRPr="0084673A"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highlight w:val="red"/>
                <w:lang w:val="en-AU"/>
              </w:rPr>
            </w:pPr>
            <w:r w:rsidRPr="00A83869">
              <w:rPr>
                <w:b/>
                <w:lang w:val="en-AU"/>
              </w:rPr>
              <w:t>-</w:t>
            </w:r>
          </w:p>
        </w:tc>
      </w:tr>
      <w:tr w:rsidR="009054BB" w:rsidRPr="00DF6BA7" w14:paraId="18A3350C"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78626833" w14:textId="77777777" w:rsidR="009054BB" w:rsidRPr="00B25D75" w:rsidRDefault="009054BB" w:rsidP="00FD0B37">
            <w:pPr>
              <w:spacing w:line="276" w:lineRule="auto"/>
              <w:rPr>
                <w:b w:val="0"/>
                <w:iCs/>
                <w:lang w:val="en-AU"/>
              </w:rPr>
            </w:pPr>
            <w:r w:rsidRPr="00B25D75">
              <w:rPr>
                <w:b w:val="0"/>
                <w:iCs/>
                <w:lang w:val="en-AU"/>
              </w:rPr>
              <w:t>Eczema + steroids</w:t>
            </w:r>
          </w:p>
        </w:tc>
        <w:tc>
          <w:tcPr>
            <w:tcW w:w="1363" w:type="dxa"/>
            <w:noWrap/>
            <w:vAlign w:val="center"/>
            <w:hideMark/>
          </w:tcPr>
          <w:p w14:paraId="7244705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45 (65.2)</w:t>
            </w:r>
          </w:p>
        </w:tc>
        <w:tc>
          <w:tcPr>
            <w:tcW w:w="1119" w:type="dxa"/>
            <w:noWrap/>
            <w:vAlign w:val="center"/>
            <w:hideMark/>
          </w:tcPr>
          <w:p w14:paraId="46960D79"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24 (34.8)</w:t>
            </w:r>
          </w:p>
        </w:tc>
        <w:tc>
          <w:tcPr>
            <w:tcW w:w="1376" w:type="dxa"/>
            <w:noWrap/>
            <w:vAlign w:val="center"/>
            <w:hideMark/>
          </w:tcPr>
          <w:p w14:paraId="058FB56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62</w:t>
            </w:r>
            <w:r w:rsidRPr="00DF6BA7">
              <w:rPr>
                <w:lang w:val="en-AU"/>
              </w:rPr>
              <w:t xml:space="preserve"> (9</w:t>
            </w:r>
            <w:r>
              <w:rPr>
                <w:lang w:val="en-AU"/>
              </w:rPr>
              <w:t>5</w:t>
            </w:r>
            <w:r w:rsidRPr="00DF6BA7">
              <w:rPr>
                <w:lang w:val="en-AU"/>
              </w:rPr>
              <w:t>.</w:t>
            </w:r>
            <w:r>
              <w:rPr>
                <w:lang w:val="en-AU"/>
              </w:rPr>
              <w:t>4</w:t>
            </w:r>
            <w:r w:rsidRPr="00DF6BA7">
              <w:rPr>
                <w:lang w:val="en-AU"/>
              </w:rPr>
              <w:t>)</w:t>
            </w:r>
          </w:p>
        </w:tc>
        <w:tc>
          <w:tcPr>
            <w:tcW w:w="1100" w:type="dxa"/>
            <w:noWrap/>
            <w:vAlign w:val="center"/>
            <w:hideMark/>
          </w:tcPr>
          <w:p w14:paraId="752EC6B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3</w:t>
            </w:r>
            <w:r w:rsidRPr="00DF6BA7">
              <w:rPr>
                <w:lang w:val="en-AU"/>
              </w:rPr>
              <w:t xml:space="preserve"> (</w:t>
            </w:r>
            <w:r>
              <w:rPr>
                <w:lang w:val="en-AU"/>
              </w:rPr>
              <w:t>4.6</w:t>
            </w:r>
            <w:r w:rsidRPr="00DF6BA7">
              <w:rPr>
                <w:lang w:val="en-AU"/>
              </w:rPr>
              <w:t>)</w:t>
            </w:r>
          </w:p>
        </w:tc>
        <w:tc>
          <w:tcPr>
            <w:tcW w:w="1912" w:type="dxa"/>
            <w:noWrap/>
            <w:vAlign w:val="center"/>
            <w:hideMark/>
          </w:tcPr>
          <w:p w14:paraId="1E8B6C2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6.36 (3.00-13.49)</w:t>
            </w:r>
          </w:p>
        </w:tc>
        <w:tc>
          <w:tcPr>
            <w:tcW w:w="918" w:type="dxa"/>
            <w:noWrap/>
            <w:vAlign w:val="center"/>
            <w:hideMark/>
          </w:tcPr>
          <w:p w14:paraId="65C1A54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&lt;0.001</w:t>
            </w:r>
          </w:p>
        </w:tc>
        <w:tc>
          <w:tcPr>
            <w:tcW w:w="1961" w:type="dxa"/>
            <w:noWrap/>
            <w:vAlign w:val="center"/>
            <w:hideMark/>
          </w:tcPr>
          <w:p w14:paraId="50EE981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10</w:t>
            </w:r>
            <w:r w:rsidRPr="00DF6BA7">
              <w:rPr>
                <w:lang w:val="en-AU"/>
              </w:rPr>
              <w:t>.1</w:t>
            </w:r>
            <w:r>
              <w:rPr>
                <w:lang w:val="en-AU"/>
              </w:rPr>
              <w:t>9</w:t>
            </w:r>
            <w:r w:rsidRPr="00DF6BA7">
              <w:rPr>
                <w:lang w:val="en-AU"/>
              </w:rPr>
              <w:t xml:space="preserve"> (2.</w:t>
            </w:r>
            <w:r>
              <w:rPr>
                <w:lang w:val="en-AU"/>
              </w:rPr>
              <w:t>01</w:t>
            </w:r>
            <w:r w:rsidRPr="00DF6BA7">
              <w:rPr>
                <w:lang w:val="en-AU"/>
              </w:rPr>
              <w:t>-</w:t>
            </w:r>
            <w:r>
              <w:rPr>
                <w:lang w:val="en-AU"/>
              </w:rPr>
              <w:t>51</w:t>
            </w:r>
            <w:r w:rsidRPr="00DF6BA7">
              <w:rPr>
                <w:lang w:val="en-AU"/>
              </w:rPr>
              <w:t>.</w:t>
            </w:r>
            <w:r>
              <w:rPr>
                <w:lang w:val="en-AU"/>
              </w:rPr>
              <w:t>58</w:t>
            </w:r>
            <w:r w:rsidRPr="00DF6BA7">
              <w:rPr>
                <w:lang w:val="en-AU"/>
              </w:rPr>
              <w:t>)</w:t>
            </w:r>
          </w:p>
        </w:tc>
        <w:tc>
          <w:tcPr>
            <w:tcW w:w="1129" w:type="dxa"/>
            <w:noWrap/>
            <w:vAlign w:val="center"/>
            <w:hideMark/>
          </w:tcPr>
          <w:p w14:paraId="6C4CA70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0.00</w:t>
            </w:r>
            <w:r>
              <w:rPr>
                <w:b/>
                <w:lang w:val="en-AU"/>
              </w:rPr>
              <w:t>5</w:t>
            </w:r>
          </w:p>
        </w:tc>
        <w:tc>
          <w:tcPr>
            <w:tcW w:w="963" w:type="dxa"/>
            <w:noWrap/>
            <w:vAlign w:val="center"/>
            <w:hideMark/>
          </w:tcPr>
          <w:p w14:paraId="53AFC19B" w14:textId="77777777" w:rsidR="009054BB" w:rsidRPr="0084673A"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highlight w:val="red"/>
                <w:lang w:val="en-AU"/>
              </w:rPr>
            </w:pPr>
            <w:r w:rsidRPr="00FB6280">
              <w:rPr>
                <w:lang w:val="en-AU"/>
              </w:rPr>
              <w:t>0.605</w:t>
            </w:r>
          </w:p>
        </w:tc>
      </w:tr>
      <w:tr w:rsidR="009054BB" w:rsidRPr="00DF6BA7" w14:paraId="2611E458"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836C9C0" w14:textId="77777777" w:rsidR="009054BB" w:rsidRPr="00B25D75" w:rsidRDefault="009054BB" w:rsidP="00FD0B37">
            <w:pPr>
              <w:spacing w:line="276" w:lineRule="auto"/>
              <w:rPr>
                <w:b w:val="0"/>
                <w:iCs/>
                <w:lang w:val="en-AU"/>
              </w:rPr>
            </w:pPr>
            <w:r w:rsidRPr="00B25D75">
              <w:rPr>
                <w:b w:val="0"/>
                <w:iCs/>
                <w:lang w:val="en-AU"/>
              </w:rPr>
              <w:t>Eczema + no steroids</w:t>
            </w:r>
          </w:p>
        </w:tc>
        <w:tc>
          <w:tcPr>
            <w:tcW w:w="1363" w:type="dxa"/>
            <w:noWrap/>
            <w:vAlign w:val="center"/>
            <w:hideMark/>
          </w:tcPr>
          <w:p w14:paraId="78E6B40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10</w:t>
            </w:r>
            <w:r w:rsidRPr="00DF6BA7">
              <w:rPr>
                <w:lang w:val="en-AU"/>
              </w:rPr>
              <w:t xml:space="preserve"> (</w:t>
            </w:r>
            <w:r>
              <w:rPr>
                <w:lang w:val="en-AU"/>
              </w:rPr>
              <w:t>7</w:t>
            </w:r>
            <w:r w:rsidRPr="00DF6BA7">
              <w:rPr>
                <w:lang w:val="en-AU"/>
              </w:rPr>
              <w:t>6.</w:t>
            </w:r>
            <w:r>
              <w:rPr>
                <w:lang w:val="en-AU"/>
              </w:rPr>
              <w:t>9</w:t>
            </w:r>
            <w:r w:rsidRPr="00DF6BA7">
              <w:rPr>
                <w:lang w:val="en-AU"/>
              </w:rPr>
              <w:t>)</w:t>
            </w:r>
          </w:p>
        </w:tc>
        <w:tc>
          <w:tcPr>
            <w:tcW w:w="1119" w:type="dxa"/>
            <w:noWrap/>
            <w:vAlign w:val="center"/>
            <w:hideMark/>
          </w:tcPr>
          <w:p w14:paraId="45952BE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3</w:t>
            </w:r>
            <w:r w:rsidRPr="00DF6BA7">
              <w:rPr>
                <w:lang w:val="en-AU"/>
              </w:rPr>
              <w:t xml:space="preserve"> (</w:t>
            </w:r>
            <w:r>
              <w:rPr>
                <w:lang w:val="en-AU"/>
              </w:rPr>
              <w:t>2</w:t>
            </w:r>
            <w:r w:rsidRPr="00DF6BA7">
              <w:rPr>
                <w:lang w:val="en-AU"/>
              </w:rPr>
              <w:t>3.</w:t>
            </w:r>
            <w:r>
              <w:rPr>
                <w:lang w:val="en-AU"/>
              </w:rPr>
              <w:t>1</w:t>
            </w:r>
            <w:r w:rsidRPr="00DF6BA7">
              <w:rPr>
                <w:lang w:val="en-AU"/>
              </w:rPr>
              <w:t>)</w:t>
            </w:r>
          </w:p>
        </w:tc>
        <w:tc>
          <w:tcPr>
            <w:tcW w:w="1376" w:type="dxa"/>
            <w:noWrap/>
            <w:vAlign w:val="center"/>
            <w:hideMark/>
          </w:tcPr>
          <w:p w14:paraId="06C177E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w:t>
            </w:r>
            <w:r>
              <w:rPr>
                <w:lang w:val="en-AU"/>
              </w:rPr>
              <w:t>7</w:t>
            </w:r>
            <w:r w:rsidRPr="00DF6BA7">
              <w:rPr>
                <w:lang w:val="en-AU"/>
              </w:rPr>
              <w:t xml:space="preserve"> (9</w:t>
            </w:r>
            <w:r>
              <w:rPr>
                <w:lang w:val="en-AU"/>
              </w:rPr>
              <w:t>2.5</w:t>
            </w:r>
            <w:r w:rsidRPr="00DF6BA7">
              <w:rPr>
                <w:lang w:val="en-AU"/>
              </w:rPr>
              <w:t>)</w:t>
            </w:r>
          </w:p>
        </w:tc>
        <w:tc>
          <w:tcPr>
            <w:tcW w:w="1100" w:type="dxa"/>
            <w:noWrap/>
            <w:vAlign w:val="center"/>
            <w:hideMark/>
          </w:tcPr>
          <w:p w14:paraId="4721F45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3</w:t>
            </w:r>
            <w:r w:rsidRPr="00DF6BA7">
              <w:rPr>
                <w:lang w:val="en-AU"/>
              </w:rPr>
              <w:t xml:space="preserve"> (</w:t>
            </w:r>
            <w:r>
              <w:rPr>
                <w:lang w:val="en-AU"/>
              </w:rPr>
              <w:t>7.5</w:t>
            </w:r>
            <w:r w:rsidRPr="00DF6BA7">
              <w:rPr>
                <w:lang w:val="en-AU"/>
              </w:rPr>
              <w:t>)</w:t>
            </w:r>
          </w:p>
        </w:tc>
        <w:tc>
          <w:tcPr>
            <w:tcW w:w="1912" w:type="dxa"/>
            <w:noWrap/>
            <w:vAlign w:val="center"/>
            <w:hideMark/>
          </w:tcPr>
          <w:p w14:paraId="7CA6BCF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3.58</w:t>
            </w:r>
            <w:r w:rsidRPr="00DF6BA7">
              <w:rPr>
                <w:lang w:val="en-AU"/>
              </w:rPr>
              <w:t xml:space="preserve"> (</w:t>
            </w:r>
            <w:r>
              <w:rPr>
                <w:lang w:val="en-AU"/>
              </w:rPr>
              <w:t>0</w:t>
            </w:r>
            <w:r w:rsidRPr="00DF6BA7">
              <w:rPr>
                <w:lang w:val="en-AU"/>
              </w:rPr>
              <w:t>.</w:t>
            </w:r>
            <w:r>
              <w:rPr>
                <w:lang w:val="en-AU"/>
              </w:rPr>
              <w:t>87</w:t>
            </w:r>
            <w:r w:rsidRPr="00DF6BA7">
              <w:rPr>
                <w:lang w:val="en-AU"/>
              </w:rPr>
              <w:t>-1</w:t>
            </w:r>
            <w:r>
              <w:rPr>
                <w:lang w:val="en-AU"/>
              </w:rPr>
              <w:t>4</w:t>
            </w:r>
            <w:r w:rsidRPr="00DF6BA7">
              <w:rPr>
                <w:lang w:val="en-AU"/>
              </w:rPr>
              <w:t>.</w:t>
            </w:r>
            <w:r>
              <w:rPr>
                <w:lang w:val="en-AU"/>
              </w:rPr>
              <w:t>63</w:t>
            </w:r>
            <w:r w:rsidRPr="00DF6BA7">
              <w:rPr>
                <w:lang w:val="en-AU"/>
              </w:rPr>
              <w:t>)</w:t>
            </w:r>
          </w:p>
        </w:tc>
        <w:tc>
          <w:tcPr>
            <w:tcW w:w="918" w:type="dxa"/>
            <w:noWrap/>
            <w:vAlign w:val="center"/>
            <w:hideMark/>
          </w:tcPr>
          <w:p w14:paraId="23AD0F87" w14:textId="77777777" w:rsidR="009054BB" w:rsidRPr="00CE5FB1"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Cs/>
                <w:lang w:val="en-AU"/>
              </w:rPr>
            </w:pPr>
            <w:r w:rsidRPr="00CE5FB1">
              <w:rPr>
                <w:bCs/>
                <w:lang w:val="en-AU"/>
              </w:rPr>
              <w:t>0.076</w:t>
            </w:r>
          </w:p>
        </w:tc>
        <w:tc>
          <w:tcPr>
            <w:tcW w:w="1961" w:type="dxa"/>
            <w:noWrap/>
            <w:vAlign w:val="center"/>
            <w:hideMark/>
          </w:tcPr>
          <w:p w14:paraId="41396ACF"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17</w:t>
            </w:r>
            <w:r w:rsidRPr="00DF6BA7">
              <w:rPr>
                <w:lang w:val="en-AU"/>
              </w:rPr>
              <w:t>.</w:t>
            </w:r>
            <w:r>
              <w:rPr>
                <w:lang w:val="en-AU"/>
              </w:rPr>
              <w:t>08</w:t>
            </w:r>
            <w:r w:rsidRPr="00DF6BA7">
              <w:rPr>
                <w:lang w:val="en-AU"/>
              </w:rPr>
              <w:t xml:space="preserve"> (</w:t>
            </w:r>
            <w:r>
              <w:rPr>
                <w:lang w:val="en-AU"/>
              </w:rPr>
              <w:t>3</w:t>
            </w:r>
            <w:r w:rsidRPr="00DF6BA7">
              <w:rPr>
                <w:lang w:val="en-AU"/>
              </w:rPr>
              <w:t>.</w:t>
            </w:r>
            <w:r>
              <w:rPr>
                <w:lang w:val="en-AU"/>
              </w:rPr>
              <w:t>33</w:t>
            </w:r>
            <w:r w:rsidRPr="00DF6BA7">
              <w:rPr>
                <w:lang w:val="en-AU"/>
              </w:rPr>
              <w:t>-</w:t>
            </w:r>
            <w:r>
              <w:rPr>
                <w:lang w:val="en-AU"/>
              </w:rPr>
              <w:t>87</w:t>
            </w:r>
            <w:r w:rsidRPr="00DF6BA7">
              <w:rPr>
                <w:lang w:val="en-AU"/>
              </w:rPr>
              <w:t>.</w:t>
            </w:r>
            <w:r>
              <w:rPr>
                <w:lang w:val="en-AU"/>
              </w:rPr>
              <w:t>55</w:t>
            </w:r>
            <w:r w:rsidRPr="00DF6BA7">
              <w:rPr>
                <w:lang w:val="en-AU"/>
              </w:rPr>
              <w:t>)</w:t>
            </w:r>
          </w:p>
        </w:tc>
        <w:tc>
          <w:tcPr>
            <w:tcW w:w="1129" w:type="dxa"/>
            <w:noWrap/>
            <w:vAlign w:val="center"/>
            <w:hideMark/>
          </w:tcPr>
          <w:p w14:paraId="52C36CF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DF6BA7">
              <w:rPr>
                <w:b/>
                <w:lang w:val="en-AU"/>
              </w:rPr>
              <w:t>0.001</w:t>
            </w:r>
          </w:p>
        </w:tc>
        <w:tc>
          <w:tcPr>
            <w:tcW w:w="963" w:type="dxa"/>
            <w:noWrap/>
            <w:vAlign w:val="center"/>
            <w:hideMark/>
          </w:tcPr>
          <w:p w14:paraId="2E3799B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w:t>
            </w:r>
            <w:r>
              <w:rPr>
                <w:lang w:val="en-AU"/>
              </w:rPr>
              <w:t>156</w:t>
            </w:r>
          </w:p>
        </w:tc>
      </w:tr>
      <w:tr w:rsidR="009054BB" w:rsidRPr="00DF6BA7" w14:paraId="0708BF29" w14:textId="540FE62B"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1771C10A" w14:textId="4B20AB41" w:rsidR="009054BB" w:rsidRPr="00DF6BA7" w:rsidRDefault="009054BB" w:rsidP="00FD0B37">
            <w:pPr>
              <w:spacing w:line="276" w:lineRule="auto"/>
              <w:rPr>
                <w:lang w:val="en-AU"/>
              </w:rPr>
            </w:pPr>
            <w:r w:rsidRPr="00DF6BA7">
              <w:rPr>
                <w:lang w:val="en-AU"/>
              </w:rPr>
              <w:t>Infant Diet</w:t>
            </w:r>
          </w:p>
        </w:tc>
        <w:tc>
          <w:tcPr>
            <w:tcW w:w="1363" w:type="dxa"/>
            <w:noWrap/>
            <w:vAlign w:val="center"/>
            <w:hideMark/>
          </w:tcPr>
          <w:p w14:paraId="02075189" w14:textId="3F56C6DD"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bCs/>
                <w:lang w:val="en-AU"/>
              </w:rPr>
            </w:pPr>
          </w:p>
        </w:tc>
        <w:tc>
          <w:tcPr>
            <w:tcW w:w="1119" w:type="dxa"/>
            <w:noWrap/>
            <w:vAlign w:val="center"/>
            <w:hideMark/>
          </w:tcPr>
          <w:p w14:paraId="6DCFB162" w14:textId="7F17D57D"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376" w:type="dxa"/>
            <w:noWrap/>
            <w:vAlign w:val="center"/>
            <w:hideMark/>
          </w:tcPr>
          <w:p w14:paraId="53D4FAC8" w14:textId="50660802"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2CA5B714" w14:textId="754E0845"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6C6D4DBC" w14:textId="4DA02D36"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384C0C79" w14:textId="14F34B0F"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58875C71" w14:textId="54933B24"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5BF236C3" w14:textId="2F50B2DD"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762BBD44" w14:textId="45EA9982"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591F4751"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80" w:type="dxa"/>
            <w:gridSpan w:val="2"/>
            <w:noWrap/>
            <w:vAlign w:val="center"/>
            <w:hideMark/>
          </w:tcPr>
          <w:p w14:paraId="5AB64B49" w14:textId="77777777" w:rsidR="009054BB" w:rsidRPr="00DF6BA7" w:rsidRDefault="009054BB" w:rsidP="00FD0B37">
            <w:pPr>
              <w:spacing w:line="276" w:lineRule="auto"/>
              <w:rPr>
                <w:lang w:val="en-AU"/>
              </w:rPr>
            </w:pPr>
            <w:r w:rsidRPr="00DF6BA7">
              <w:rPr>
                <w:lang w:val="en-AU"/>
              </w:rPr>
              <w:t>Type of milk feeding</w:t>
            </w:r>
          </w:p>
        </w:tc>
        <w:tc>
          <w:tcPr>
            <w:tcW w:w="1119" w:type="dxa"/>
            <w:noWrap/>
            <w:vAlign w:val="center"/>
            <w:hideMark/>
          </w:tcPr>
          <w:p w14:paraId="1E73227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376" w:type="dxa"/>
            <w:noWrap/>
            <w:vAlign w:val="center"/>
            <w:hideMark/>
          </w:tcPr>
          <w:p w14:paraId="41FDD4C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41D8637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256D3E53"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6AFCCB6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7F14BCD5"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599D260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7CC97F2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2F4F37B0"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tcPr>
          <w:p w14:paraId="1FFFD3F5" w14:textId="77777777" w:rsidR="009054BB" w:rsidRPr="008E65FE" w:rsidRDefault="009054BB" w:rsidP="00FD0B37">
            <w:pPr>
              <w:spacing w:line="276" w:lineRule="auto"/>
              <w:rPr>
                <w:b w:val="0"/>
                <w:iCs/>
                <w:lang w:val="en-AU"/>
              </w:rPr>
            </w:pPr>
            <w:r w:rsidRPr="008E65FE">
              <w:rPr>
                <w:b w:val="0"/>
              </w:rPr>
              <w:t>Mixed feeding</w:t>
            </w:r>
          </w:p>
        </w:tc>
        <w:tc>
          <w:tcPr>
            <w:tcW w:w="1363" w:type="dxa"/>
            <w:noWrap/>
          </w:tcPr>
          <w:p w14:paraId="3473163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F014EB">
              <w:t>165 (63)</w:t>
            </w:r>
          </w:p>
        </w:tc>
        <w:tc>
          <w:tcPr>
            <w:tcW w:w="1119" w:type="dxa"/>
            <w:noWrap/>
          </w:tcPr>
          <w:p w14:paraId="3E278535"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F014EB">
              <w:t>29 (63)</w:t>
            </w:r>
          </w:p>
        </w:tc>
        <w:tc>
          <w:tcPr>
            <w:tcW w:w="1376" w:type="dxa"/>
            <w:noWrap/>
          </w:tcPr>
          <w:p w14:paraId="0D2E2490" w14:textId="77777777" w:rsidR="009054BB"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F014EB">
              <w:t>705 (87.9)</w:t>
            </w:r>
          </w:p>
        </w:tc>
        <w:tc>
          <w:tcPr>
            <w:tcW w:w="1100" w:type="dxa"/>
            <w:noWrap/>
          </w:tcPr>
          <w:p w14:paraId="3E3D67C7" w14:textId="77777777" w:rsidR="009054BB"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F014EB">
              <w:t>5 (55.6)</w:t>
            </w:r>
          </w:p>
        </w:tc>
        <w:tc>
          <w:tcPr>
            <w:tcW w:w="1912" w:type="dxa"/>
            <w:noWrap/>
          </w:tcPr>
          <w:p w14:paraId="54C3115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BC7A6A">
              <w:t>1</w:t>
            </w:r>
          </w:p>
        </w:tc>
        <w:tc>
          <w:tcPr>
            <w:tcW w:w="918" w:type="dxa"/>
            <w:noWrap/>
          </w:tcPr>
          <w:p w14:paraId="5A7DEEFB" w14:textId="77777777" w:rsidR="009054BB" w:rsidRPr="00DD3F9B"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BC7A6A">
              <w:t>-</w:t>
            </w:r>
          </w:p>
        </w:tc>
        <w:tc>
          <w:tcPr>
            <w:tcW w:w="1961" w:type="dxa"/>
            <w:noWrap/>
          </w:tcPr>
          <w:p w14:paraId="2C45F6F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BC7A6A">
              <w:t>1</w:t>
            </w:r>
          </w:p>
        </w:tc>
        <w:tc>
          <w:tcPr>
            <w:tcW w:w="1129" w:type="dxa"/>
            <w:noWrap/>
          </w:tcPr>
          <w:p w14:paraId="13211FA7" w14:textId="77777777" w:rsidR="009054BB" w:rsidRPr="007637FF"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BC7A6A">
              <w:t>-</w:t>
            </w:r>
          </w:p>
        </w:tc>
        <w:tc>
          <w:tcPr>
            <w:tcW w:w="963" w:type="dxa"/>
            <w:noWrap/>
          </w:tcPr>
          <w:p w14:paraId="78C8180A" w14:textId="77777777" w:rsidR="009054BB" w:rsidRPr="007637FF"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BC7A6A">
              <w:t>-</w:t>
            </w:r>
          </w:p>
        </w:tc>
      </w:tr>
      <w:tr w:rsidR="009054BB" w:rsidRPr="00DF6BA7" w14:paraId="12EF0A52"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0D181EC0" w14:textId="77777777" w:rsidR="009054BB" w:rsidRPr="00B25D75" w:rsidRDefault="009054BB" w:rsidP="00FD0B37">
            <w:pPr>
              <w:spacing w:line="276" w:lineRule="auto"/>
              <w:rPr>
                <w:b w:val="0"/>
                <w:iCs/>
                <w:lang w:val="en-AU"/>
              </w:rPr>
            </w:pPr>
            <w:r w:rsidRPr="00B25D75">
              <w:rPr>
                <w:b w:val="0"/>
                <w:iCs/>
                <w:lang w:val="en-AU"/>
              </w:rPr>
              <w:t>Fully formula feed</w:t>
            </w:r>
          </w:p>
        </w:tc>
        <w:tc>
          <w:tcPr>
            <w:tcW w:w="1363" w:type="dxa"/>
            <w:noWrap/>
            <w:vAlign w:val="center"/>
            <w:hideMark/>
          </w:tcPr>
          <w:p w14:paraId="71606DF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9 (3.</w:t>
            </w:r>
            <w:r>
              <w:rPr>
                <w:lang w:val="en-AU"/>
              </w:rPr>
              <w:t>4</w:t>
            </w:r>
            <w:r w:rsidRPr="00DF6BA7">
              <w:rPr>
                <w:lang w:val="en-AU"/>
              </w:rPr>
              <w:t>)</w:t>
            </w:r>
          </w:p>
        </w:tc>
        <w:tc>
          <w:tcPr>
            <w:tcW w:w="1119" w:type="dxa"/>
            <w:noWrap/>
            <w:vAlign w:val="center"/>
            <w:hideMark/>
          </w:tcPr>
          <w:p w14:paraId="1B684C4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 (6.</w:t>
            </w:r>
            <w:r>
              <w:rPr>
                <w:lang w:val="en-AU"/>
              </w:rPr>
              <w:t>5</w:t>
            </w:r>
            <w:r w:rsidRPr="00DF6BA7">
              <w:rPr>
                <w:lang w:val="en-AU"/>
              </w:rPr>
              <w:t>)</w:t>
            </w:r>
          </w:p>
        </w:tc>
        <w:tc>
          <w:tcPr>
            <w:tcW w:w="1376" w:type="dxa"/>
            <w:noWrap/>
            <w:vAlign w:val="center"/>
            <w:hideMark/>
          </w:tcPr>
          <w:p w14:paraId="0B429FF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40</w:t>
            </w:r>
            <w:r w:rsidRPr="00DF6BA7">
              <w:rPr>
                <w:lang w:val="en-AU"/>
              </w:rPr>
              <w:t xml:space="preserve"> (</w:t>
            </w:r>
            <w:r>
              <w:rPr>
                <w:lang w:val="en-AU"/>
              </w:rPr>
              <w:t>5.0</w:t>
            </w:r>
            <w:r w:rsidRPr="00DF6BA7">
              <w:rPr>
                <w:lang w:val="en-AU"/>
              </w:rPr>
              <w:t>)</w:t>
            </w:r>
          </w:p>
        </w:tc>
        <w:tc>
          <w:tcPr>
            <w:tcW w:w="1100" w:type="dxa"/>
            <w:noWrap/>
            <w:vAlign w:val="center"/>
            <w:hideMark/>
          </w:tcPr>
          <w:p w14:paraId="15FEFF8D"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0</w:t>
            </w:r>
            <w:r w:rsidRPr="00DF6BA7">
              <w:rPr>
                <w:lang w:val="en-AU"/>
              </w:rPr>
              <w:t xml:space="preserve"> (</w:t>
            </w:r>
            <w:r>
              <w:rPr>
                <w:lang w:val="en-AU"/>
              </w:rPr>
              <w:t>0</w:t>
            </w:r>
            <w:r w:rsidRPr="00DF6BA7">
              <w:rPr>
                <w:lang w:val="en-AU"/>
              </w:rPr>
              <w:t>)</w:t>
            </w:r>
          </w:p>
        </w:tc>
        <w:tc>
          <w:tcPr>
            <w:tcW w:w="1912" w:type="dxa"/>
            <w:noWrap/>
            <w:vAlign w:val="center"/>
          </w:tcPr>
          <w:p w14:paraId="729E88A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1.9 (0.48-7.43)</w:t>
            </w:r>
          </w:p>
        </w:tc>
        <w:tc>
          <w:tcPr>
            <w:tcW w:w="918" w:type="dxa"/>
            <w:noWrap/>
            <w:vAlign w:val="center"/>
          </w:tcPr>
          <w:p w14:paraId="46EC827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0.358</w:t>
            </w:r>
          </w:p>
        </w:tc>
        <w:tc>
          <w:tcPr>
            <w:tcW w:w="1961" w:type="dxa"/>
            <w:noWrap/>
          </w:tcPr>
          <w:p w14:paraId="7A562AB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CE2CD3">
              <w:t>NA</w:t>
            </w:r>
          </w:p>
        </w:tc>
        <w:tc>
          <w:tcPr>
            <w:tcW w:w="1129" w:type="dxa"/>
            <w:noWrap/>
          </w:tcPr>
          <w:p w14:paraId="56B137E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CE2CD3">
              <w:t>NA</w:t>
            </w:r>
          </w:p>
        </w:tc>
        <w:tc>
          <w:tcPr>
            <w:tcW w:w="963" w:type="dxa"/>
            <w:noWrap/>
          </w:tcPr>
          <w:p w14:paraId="67BB2E6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CE2CD3">
              <w:t>NA</w:t>
            </w:r>
          </w:p>
        </w:tc>
      </w:tr>
      <w:tr w:rsidR="009054BB" w:rsidRPr="00DF6BA7" w14:paraId="45D1487B"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776B9F69" w14:textId="77777777" w:rsidR="009054BB" w:rsidRPr="00B25D75" w:rsidRDefault="009054BB" w:rsidP="00FD0B37">
            <w:pPr>
              <w:spacing w:line="276" w:lineRule="auto"/>
              <w:rPr>
                <w:b w:val="0"/>
                <w:iCs/>
                <w:lang w:val="en-AU"/>
              </w:rPr>
            </w:pPr>
            <w:r w:rsidRPr="00B25D75">
              <w:rPr>
                <w:b w:val="0"/>
                <w:iCs/>
                <w:lang w:val="en-AU"/>
              </w:rPr>
              <w:t>Fully breastfed</w:t>
            </w:r>
          </w:p>
        </w:tc>
        <w:tc>
          <w:tcPr>
            <w:tcW w:w="1363" w:type="dxa"/>
            <w:noWrap/>
            <w:vAlign w:val="center"/>
            <w:hideMark/>
          </w:tcPr>
          <w:p w14:paraId="76CF851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8</w:t>
            </w:r>
            <w:r>
              <w:rPr>
                <w:lang w:val="en-AU"/>
              </w:rPr>
              <w:t>8</w:t>
            </w:r>
            <w:r w:rsidRPr="00DF6BA7">
              <w:rPr>
                <w:lang w:val="en-AU"/>
              </w:rPr>
              <w:t xml:space="preserve"> (33.</w:t>
            </w:r>
            <w:r>
              <w:rPr>
                <w:lang w:val="en-AU"/>
              </w:rPr>
              <w:t>6</w:t>
            </w:r>
            <w:r w:rsidRPr="00DF6BA7">
              <w:rPr>
                <w:lang w:val="en-AU"/>
              </w:rPr>
              <w:t>)</w:t>
            </w:r>
          </w:p>
        </w:tc>
        <w:tc>
          <w:tcPr>
            <w:tcW w:w="1119" w:type="dxa"/>
            <w:noWrap/>
            <w:vAlign w:val="center"/>
            <w:hideMark/>
          </w:tcPr>
          <w:p w14:paraId="1232A10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r>
              <w:rPr>
                <w:lang w:val="en-AU"/>
              </w:rPr>
              <w:t>4</w:t>
            </w:r>
            <w:r w:rsidRPr="00DF6BA7">
              <w:rPr>
                <w:lang w:val="en-AU"/>
              </w:rPr>
              <w:t xml:space="preserve"> (3</w:t>
            </w:r>
            <w:r>
              <w:rPr>
                <w:lang w:val="en-AU"/>
              </w:rPr>
              <w:t>0</w:t>
            </w:r>
            <w:r w:rsidRPr="00DF6BA7">
              <w:rPr>
                <w:lang w:val="en-AU"/>
              </w:rPr>
              <w:t>.</w:t>
            </w:r>
            <w:r>
              <w:rPr>
                <w:lang w:val="en-AU"/>
              </w:rPr>
              <w:t>4</w:t>
            </w:r>
            <w:r w:rsidRPr="00DF6BA7">
              <w:rPr>
                <w:lang w:val="en-AU"/>
              </w:rPr>
              <w:t>)</w:t>
            </w:r>
          </w:p>
        </w:tc>
        <w:tc>
          <w:tcPr>
            <w:tcW w:w="1376" w:type="dxa"/>
            <w:noWrap/>
            <w:vAlign w:val="center"/>
            <w:hideMark/>
          </w:tcPr>
          <w:p w14:paraId="3B591869"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5</w:t>
            </w:r>
            <w:r>
              <w:rPr>
                <w:lang w:val="en-AU"/>
              </w:rPr>
              <w:t>7</w:t>
            </w:r>
            <w:r w:rsidRPr="00DF6BA7">
              <w:rPr>
                <w:lang w:val="en-AU"/>
              </w:rPr>
              <w:t xml:space="preserve"> (7.1)</w:t>
            </w:r>
          </w:p>
        </w:tc>
        <w:tc>
          <w:tcPr>
            <w:tcW w:w="1100" w:type="dxa"/>
            <w:noWrap/>
            <w:vAlign w:val="center"/>
            <w:hideMark/>
          </w:tcPr>
          <w:p w14:paraId="640A3FD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4</w:t>
            </w:r>
            <w:r w:rsidRPr="00DF6BA7">
              <w:rPr>
                <w:lang w:val="en-AU"/>
              </w:rPr>
              <w:t xml:space="preserve"> (</w:t>
            </w:r>
            <w:r>
              <w:rPr>
                <w:lang w:val="en-AU"/>
              </w:rPr>
              <w:t>44.4</w:t>
            </w:r>
            <w:r w:rsidRPr="00DF6BA7">
              <w:rPr>
                <w:lang w:val="en-AU"/>
              </w:rPr>
              <w:t>)</w:t>
            </w:r>
          </w:p>
        </w:tc>
        <w:tc>
          <w:tcPr>
            <w:tcW w:w="1912" w:type="dxa"/>
            <w:noWrap/>
            <w:vAlign w:val="center"/>
          </w:tcPr>
          <w:p w14:paraId="783F46A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0.91 (0.45-1.8)</w:t>
            </w:r>
          </w:p>
        </w:tc>
        <w:tc>
          <w:tcPr>
            <w:tcW w:w="918" w:type="dxa"/>
            <w:noWrap/>
            <w:vAlign w:val="center"/>
          </w:tcPr>
          <w:p w14:paraId="2E86A666"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0.777</w:t>
            </w:r>
          </w:p>
        </w:tc>
        <w:tc>
          <w:tcPr>
            <w:tcW w:w="1961" w:type="dxa"/>
            <w:noWrap/>
            <w:vAlign w:val="center"/>
          </w:tcPr>
          <w:p w14:paraId="7EAA6B3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9.89 (2.59-37.87)</w:t>
            </w:r>
          </w:p>
        </w:tc>
        <w:tc>
          <w:tcPr>
            <w:tcW w:w="1129" w:type="dxa"/>
            <w:noWrap/>
            <w:vAlign w:val="center"/>
          </w:tcPr>
          <w:p w14:paraId="6ADF5CB1" w14:textId="77777777" w:rsidR="009054BB" w:rsidRPr="003D7A6A"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3D7A6A">
              <w:rPr>
                <w:b/>
                <w:lang w:val="en-AU"/>
              </w:rPr>
              <w:t>0.001</w:t>
            </w:r>
          </w:p>
        </w:tc>
        <w:tc>
          <w:tcPr>
            <w:tcW w:w="963" w:type="dxa"/>
            <w:noWrap/>
            <w:vAlign w:val="center"/>
          </w:tcPr>
          <w:p w14:paraId="15F3D223" w14:textId="77777777" w:rsidR="009054BB" w:rsidRPr="00863783"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bCs/>
                <w:lang w:val="en-AU"/>
              </w:rPr>
            </w:pPr>
            <w:r w:rsidRPr="00863783">
              <w:rPr>
                <w:b/>
                <w:bCs/>
                <w:lang w:val="en-AU"/>
              </w:rPr>
              <w:t>0.002</w:t>
            </w:r>
          </w:p>
        </w:tc>
      </w:tr>
      <w:tr w:rsidR="009054BB" w:rsidRPr="00DF6BA7" w14:paraId="228BAEE8"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875" w:type="dxa"/>
            <w:gridSpan w:val="4"/>
            <w:noWrap/>
            <w:vAlign w:val="center"/>
            <w:hideMark/>
          </w:tcPr>
          <w:p w14:paraId="566CA514" w14:textId="77777777" w:rsidR="009054BB" w:rsidRPr="00DF6BA7" w:rsidRDefault="009054BB" w:rsidP="00FD0B37">
            <w:pPr>
              <w:spacing w:line="276" w:lineRule="auto"/>
              <w:rPr>
                <w:lang w:val="en-AU"/>
              </w:rPr>
            </w:pPr>
            <w:r w:rsidRPr="00DF6BA7">
              <w:rPr>
                <w:lang w:val="en-AU"/>
              </w:rPr>
              <w:t>Maternal Diet during pregnancy</w:t>
            </w:r>
          </w:p>
        </w:tc>
        <w:tc>
          <w:tcPr>
            <w:tcW w:w="1100" w:type="dxa"/>
            <w:noWrap/>
            <w:vAlign w:val="center"/>
            <w:hideMark/>
          </w:tcPr>
          <w:p w14:paraId="2105E14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799F778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75B8FB4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548D14E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4368E09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297C59BF"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4838A4D8"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0B012E3A" w14:textId="77777777" w:rsidR="009054BB" w:rsidRPr="00DF6BA7" w:rsidRDefault="009054BB" w:rsidP="00FD0B37">
            <w:pPr>
              <w:spacing w:line="276" w:lineRule="auto"/>
              <w:rPr>
                <w:lang w:val="en-AU"/>
              </w:rPr>
            </w:pPr>
            <w:r w:rsidRPr="00DF6BA7">
              <w:rPr>
                <w:lang w:val="en-AU"/>
              </w:rPr>
              <w:t>Egg consumption</w:t>
            </w:r>
          </w:p>
        </w:tc>
        <w:tc>
          <w:tcPr>
            <w:tcW w:w="1363" w:type="dxa"/>
            <w:noWrap/>
            <w:vAlign w:val="center"/>
            <w:hideMark/>
          </w:tcPr>
          <w:p w14:paraId="475728A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19" w:type="dxa"/>
            <w:noWrap/>
            <w:vAlign w:val="center"/>
            <w:hideMark/>
          </w:tcPr>
          <w:p w14:paraId="75BEA63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376" w:type="dxa"/>
            <w:noWrap/>
            <w:vAlign w:val="center"/>
            <w:hideMark/>
          </w:tcPr>
          <w:p w14:paraId="2DFB843E"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00" w:type="dxa"/>
            <w:noWrap/>
            <w:vAlign w:val="center"/>
            <w:hideMark/>
          </w:tcPr>
          <w:p w14:paraId="250D068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12" w:type="dxa"/>
            <w:noWrap/>
            <w:vAlign w:val="center"/>
            <w:hideMark/>
          </w:tcPr>
          <w:p w14:paraId="7FC0583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18" w:type="dxa"/>
            <w:noWrap/>
            <w:vAlign w:val="center"/>
            <w:hideMark/>
          </w:tcPr>
          <w:p w14:paraId="1105E4EB"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961" w:type="dxa"/>
            <w:noWrap/>
            <w:vAlign w:val="center"/>
            <w:hideMark/>
          </w:tcPr>
          <w:p w14:paraId="2A2BCD3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1129" w:type="dxa"/>
            <w:noWrap/>
            <w:vAlign w:val="center"/>
            <w:hideMark/>
          </w:tcPr>
          <w:p w14:paraId="6D6D43A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c>
          <w:tcPr>
            <w:tcW w:w="963" w:type="dxa"/>
            <w:noWrap/>
            <w:vAlign w:val="center"/>
            <w:hideMark/>
          </w:tcPr>
          <w:p w14:paraId="13CA054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p>
        </w:tc>
      </w:tr>
      <w:tr w:rsidR="009054BB" w:rsidRPr="00DF6BA7" w14:paraId="531AE4D6"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018D393"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137997D4"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10 (4)</w:t>
            </w:r>
          </w:p>
        </w:tc>
        <w:tc>
          <w:tcPr>
            <w:tcW w:w="1119" w:type="dxa"/>
            <w:noWrap/>
            <w:vAlign w:val="center"/>
            <w:hideMark/>
          </w:tcPr>
          <w:p w14:paraId="3AC2694C"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6 (13.6)</w:t>
            </w:r>
          </w:p>
        </w:tc>
        <w:tc>
          <w:tcPr>
            <w:tcW w:w="1376" w:type="dxa"/>
            <w:noWrap/>
            <w:vAlign w:val="center"/>
            <w:hideMark/>
          </w:tcPr>
          <w:p w14:paraId="4F4E54D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w:t>
            </w:r>
            <w:r>
              <w:rPr>
                <w:lang w:val="en-AU"/>
              </w:rPr>
              <w:t>70</w:t>
            </w:r>
            <w:r w:rsidRPr="00DF6BA7">
              <w:rPr>
                <w:lang w:val="en-AU"/>
              </w:rPr>
              <w:t xml:space="preserve"> (43.</w:t>
            </w:r>
            <w:r>
              <w:rPr>
                <w:lang w:val="en-AU"/>
              </w:rPr>
              <w:t>4</w:t>
            </w:r>
            <w:r w:rsidRPr="00DF6BA7">
              <w:rPr>
                <w:lang w:val="en-AU"/>
              </w:rPr>
              <w:t>)</w:t>
            </w:r>
          </w:p>
        </w:tc>
        <w:tc>
          <w:tcPr>
            <w:tcW w:w="1100" w:type="dxa"/>
            <w:noWrap/>
            <w:vAlign w:val="center"/>
            <w:hideMark/>
          </w:tcPr>
          <w:p w14:paraId="0B187EFD"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6</w:t>
            </w:r>
            <w:r w:rsidRPr="00DF6BA7">
              <w:rPr>
                <w:lang w:val="en-AU"/>
              </w:rPr>
              <w:t xml:space="preserve"> (6</w:t>
            </w:r>
            <w:r>
              <w:rPr>
                <w:lang w:val="en-AU"/>
              </w:rPr>
              <w:t>6</w:t>
            </w:r>
            <w:r w:rsidRPr="00DF6BA7">
              <w:rPr>
                <w:lang w:val="en-AU"/>
              </w:rPr>
              <w:t>.</w:t>
            </w:r>
            <w:r>
              <w:rPr>
                <w:lang w:val="en-AU"/>
              </w:rPr>
              <w:t>7</w:t>
            </w:r>
            <w:r w:rsidRPr="00DF6BA7">
              <w:rPr>
                <w:lang w:val="en-AU"/>
              </w:rPr>
              <w:t>)</w:t>
            </w:r>
          </w:p>
        </w:tc>
        <w:tc>
          <w:tcPr>
            <w:tcW w:w="1912" w:type="dxa"/>
            <w:noWrap/>
            <w:vAlign w:val="center"/>
            <w:hideMark/>
          </w:tcPr>
          <w:p w14:paraId="45CC781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918" w:type="dxa"/>
            <w:noWrap/>
            <w:vAlign w:val="center"/>
            <w:hideMark/>
          </w:tcPr>
          <w:p w14:paraId="5026FAF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D3F9B">
              <w:rPr>
                <w:b/>
                <w:lang w:val="en-AU"/>
              </w:rPr>
              <w:t>-</w:t>
            </w:r>
          </w:p>
        </w:tc>
        <w:tc>
          <w:tcPr>
            <w:tcW w:w="1961" w:type="dxa"/>
            <w:noWrap/>
            <w:vAlign w:val="center"/>
            <w:hideMark/>
          </w:tcPr>
          <w:p w14:paraId="0275D66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1</w:t>
            </w:r>
          </w:p>
        </w:tc>
        <w:tc>
          <w:tcPr>
            <w:tcW w:w="1129" w:type="dxa"/>
            <w:noWrap/>
            <w:hideMark/>
          </w:tcPr>
          <w:p w14:paraId="7DAFFC7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0A3227">
              <w:rPr>
                <w:b/>
                <w:lang w:val="en-AU"/>
              </w:rPr>
              <w:t>-</w:t>
            </w:r>
          </w:p>
        </w:tc>
        <w:tc>
          <w:tcPr>
            <w:tcW w:w="963" w:type="dxa"/>
            <w:noWrap/>
            <w:hideMark/>
          </w:tcPr>
          <w:p w14:paraId="6376795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0A3227">
              <w:rPr>
                <w:b/>
                <w:lang w:val="en-AU"/>
              </w:rPr>
              <w:t>-</w:t>
            </w:r>
          </w:p>
        </w:tc>
      </w:tr>
      <w:tr w:rsidR="009054BB" w:rsidRPr="00DF6BA7" w14:paraId="1F3BC049"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49C9CFD7" w14:textId="77777777" w:rsidR="009054BB" w:rsidRPr="00B25D75" w:rsidRDefault="009054BB" w:rsidP="00FD0B37">
            <w:pPr>
              <w:spacing w:line="276" w:lineRule="auto"/>
              <w:rPr>
                <w:b w:val="0"/>
                <w:iCs/>
                <w:lang w:val="en-AU"/>
              </w:rPr>
            </w:pPr>
            <w:r w:rsidRPr="00B25D75">
              <w:rPr>
                <w:b w:val="0"/>
                <w:iCs/>
                <w:lang w:val="en-AU"/>
              </w:rPr>
              <w:t>Yes</w:t>
            </w:r>
          </w:p>
        </w:tc>
        <w:tc>
          <w:tcPr>
            <w:tcW w:w="1363" w:type="dxa"/>
            <w:noWrap/>
            <w:vAlign w:val="center"/>
            <w:hideMark/>
          </w:tcPr>
          <w:p w14:paraId="5E374CBC"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239 (96)</w:t>
            </w:r>
          </w:p>
        </w:tc>
        <w:tc>
          <w:tcPr>
            <w:tcW w:w="1119" w:type="dxa"/>
            <w:noWrap/>
            <w:vAlign w:val="center"/>
            <w:hideMark/>
          </w:tcPr>
          <w:p w14:paraId="0A87BC24"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38 (86.4)</w:t>
            </w:r>
          </w:p>
        </w:tc>
        <w:tc>
          <w:tcPr>
            <w:tcW w:w="1376" w:type="dxa"/>
            <w:noWrap/>
            <w:vAlign w:val="center"/>
            <w:hideMark/>
          </w:tcPr>
          <w:p w14:paraId="14495D8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4</w:t>
            </w:r>
            <w:r>
              <w:rPr>
                <w:lang w:val="en-AU"/>
              </w:rPr>
              <w:t>83</w:t>
            </w:r>
            <w:r w:rsidRPr="00DF6BA7">
              <w:rPr>
                <w:lang w:val="en-AU"/>
              </w:rPr>
              <w:t xml:space="preserve"> (56.</w:t>
            </w:r>
            <w:r>
              <w:rPr>
                <w:lang w:val="en-AU"/>
              </w:rPr>
              <w:t>6</w:t>
            </w:r>
            <w:r w:rsidRPr="00DF6BA7">
              <w:rPr>
                <w:lang w:val="en-AU"/>
              </w:rPr>
              <w:t>)</w:t>
            </w:r>
          </w:p>
        </w:tc>
        <w:tc>
          <w:tcPr>
            <w:tcW w:w="1100" w:type="dxa"/>
            <w:noWrap/>
            <w:vAlign w:val="center"/>
            <w:hideMark/>
          </w:tcPr>
          <w:p w14:paraId="5D95396A"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3</w:t>
            </w:r>
            <w:r w:rsidRPr="00DF6BA7">
              <w:rPr>
                <w:lang w:val="en-AU"/>
              </w:rPr>
              <w:t xml:space="preserve"> (</w:t>
            </w:r>
            <w:r>
              <w:rPr>
                <w:lang w:val="en-AU"/>
              </w:rPr>
              <w:t>33</w:t>
            </w:r>
            <w:r w:rsidRPr="00DF6BA7">
              <w:rPr>
                <w:lang w:val="en-AU"/>
              </w:rPr>
              <w:t>.</w:t>
            </w:r>
            <w:r>
              <w:rPr>
                <w:lang w:val="en-AU"/>
              </w:rPr>
              <w:t>3</w:t>
            </w:r>
            <w:r w:rsidRPr="00DF6BA7">
              <w:rPr>
                <w:lang w:val="en-AU"/>
              </w:rPr>
              <w:t>)</w:t>
            </w:r>
          </w:p>
        </w:tc>
        <w:tc>
          <w:tcPr>
            <w:tcW w:w="1912" w:type="dxa"/>
            <w:noWrap/>
            <w:vAlign w:val="center"/>
            <w:hideMark/>
          </w:tcPr>
          <w:p w14:paraId="40C874A5"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0.26 (0.09-0.77)</w:t>
            </w:r>
          </w:p>
        </w:tc>
        <w:tc>
          <w:tcPr>
            <w:tcW w:w="918" w:type="dxa"/>
            <w:noWrap/>
            <w:vAlign w:val="center"/>
            <w:hideMark/>
          </w:tcPr>
          <w:p w14:paraId="652FAF5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b/>
                <w:lang w:val="en-AU"/>
              </w:rPr>
            </w:pPr>
            <w:r w:rsidRPr="00DF6BA7">
              <w:rPr>
                <w:b/>
                <w:lang w:val="en-AU"/>
              </w:rPr>
              <w:t>0.015</w:t>
            </w:r>
          </w:p>
        </w:tc>
        <w:tc>
          <w:tcPr>
            <w:tcW w:w="1961" w:type="dxa"/>
            <w:noWrap/>
            <w:vAlign w:val="center"/>
            <w:hideMark/>
          </w:tcPr>
          <w:p w14:paraId="716573F0"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w:t>
            </w:r>
            <w:r>
              <w:rPr>
                <w:lang w:val="en-AU"/>
              </w:rPr>
              <w:t>38</w:t>
            </w:r>
            <w:r w:rsidRPr="00DF6BA7">
              <w:rPr>
                <w:lang w:val="en-AU"/>
              </w:rPr>
              <w:t xml:space="preserve"> (0.</w:t>
            </w:r>
            <w:r>
              <w:rPr>
                <w:lang w:val="en-AU"/>
              </w:rPr>
              <w:t>10</w:t>
            </w:r>
            <w:r w:rsidRPr="00DF6BA7">
              <w:rPr>
                <w:lang w:val="en-AU"/>
              </w:rPr>
              <w:t>-1.5</w:t>
            </w:r>
            <w:r>
              <w:rPr>
                <w:lang w:val="en-AU"/>
              </w:rPr>
              <w:t>4</w:t>
            </w:r>
            <w:r w:rsidRPr="00DF6BA7">
              <w:rPr>
                <w:lang w:val="en-AU"/>
              </w:rPr>
              <w:t>)</w:t>
            </w:r>
          </w:p>
        </w:tc>
        <w:tc>
          <w:tcPr>
            <w:tcW w:w="1129" w:type="dxa"/>
            <w:noWrap/>
            <w:vAlign w:val="center"/>
            <w:hideMark/>
          </w:tcPr>
          <w:p w14:paraId="5C1DC342"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0.1</w:t>
            </w:r>
            <w:r>
              <w:rPr>
                <w:lang w:val="en-AU"/>
              </w:rPr>
              <w:t>77</w:t>
            </w:r>
          </w:p>
        </w:tc>
        <w:tc>
          <w:tcPr>
            <w:tcW w:w="963" w:type="dxa"/>
            <w:noWrap/>
            <w:vAlign w:val="center"/>
            <w:hideMark/>
          </w:tcPr>
          <w:p w14:paraId="7CD8AB9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0.</w:t>
            </w:r>
            <w:r>
              <w:rPr>
                <w:lang w:val="en-AU"/>
              </w:rPr>
              <w:t>681</w:t>
            </w:r>
          </w:p>
        </w:tc>
      </w:tr>
      <w:tr w:rsidR="009054BB" w:rsidRPr="00DF6BA7" w14:paraId="5515206C"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380" w:type="dxa"/>
            <w:gridSpan w:val="2"/>
            <w:noWrap/>
            <w:vAlign w:val="center"/>
            <w:hideMark/>
          </w:tcPr>
          <w:p w14:paraId="6296F4D1" w14:textId="77777777" w:rsidR="009054BB" w:rsidRPr="00DF6BA7" w:rsidRDefault="009054BB" w:rsidP="00FD0B37">
            <w:pPr>
              <w:spacing w:line="276" w:lineRule="auto"/>
              <w:rPr>
                <w:lang w:val="en-AU"/>
              </w:rPr>
            </w:pPr>
            <w:r w:rsidRPr="00DF6BA7">
              <w:rPr>
                <w:lang w:val="en-AU"/>
              </w:rPr>
              <w:t>Soy consumption</w:t>
            </w:r>
          </w:p>
        </w:tc>
        <w:tc>
          <w:tcPr>
            <w:tcW w:w="1119" w:type="dxa"/>
            <w:noWrap/>
            <w:vAlign w:val="center"/>
            <w:hideMark/>
          </w:tcPr>
          <w:p w14:paraId="543AD96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376" w:type="dxa"/>
            <w:noWrap/>
            <w:vAlign w:val="center"/>
            <w:hideMark/>
          </w:tcPr>
          <w:p w14:paraId="70B43330"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00" w:type="dxa"/>
            <w:noWrap/>
            <w:vAlign w:val="center"/>
            <w:hideMark/>
          </w:tcPr>
          <w:p w14:paraId="4C1CBDA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12" w:type="dxa"/>
            <w:noWrap/>
            <w:vAlign w:val="center"/>
            <w:hideMark/>
          </w:tcPr>
          <w:p w14:paraId="05A4D4BD"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18" w:type="dxa"/>
            <w:noWrap/>
            <w:vAlign w:val="center"/>
            <w:hideMark/>
          </w:tcPr>
          <w:p w14:paraId="1F82100F"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961" w:type="dxa"/>
            <w:noWrap/>
            <w:vAlign w:val="center"/>
            <w:hideMark/>
          </w:tcPr>
          <w:p w14:paraId="5BAEC82B"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1129" w:type="dxa"/>
            <w:noWrap/>
            <w:vAlign w:val="center"/>
            <w:hideMark/>
          </w:tcPr>
          <w:p w14:paraId="5B4206B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c>
          <w:tcPr>
            <w:tcW w:w="963" w:type="dxa"/>
            <w:noWrap/>
            <w:vAlign w:val="center"/>
            <w:hideMark/>
          </w:tcPr>
          <w:p w14:paraId="0F08864E"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p>
        </w:tc>
      </w:tr>
      <w:tr w:rsidR="009054BB" w:rsidRPr="00DF6BA7" w14:paraId="0A218749" w14:textId="77777777" w:rsidTr="00FD0B37">
        <w:trPr>
          <w:trHeight w:val="300"/>
        </w:trPr>
        <w:tc>
          <w:tcPr>
            <w:cnfStyle w:val="001000000000" w:firstRow="0" w:lastRow="0" w:firstColumn="1" w:lastColumn="0" w:oddVBand="0" w:evenVBand="0" w:oddHBand="0" w:evenHBand="0" w:firstRowFirstColumn="0" w:firstRowLastColumn="0" w:lastRowFirstColumn="0" w:lastRowLastColumn="0"/>
            <w:tcW w:w="2017" w:type="dxa"/>
            <w:noWrap/>
            <w:vAlign w:val="center"/>
            <w:hideMark/>
          </w:tcPr>
          <w:p w14:paraId="2689B105" w14:textId="77777777" w:rsidR="009054BB" w:rsidRPr="00B25D75" w:rsidRDefault="009054BB" w:rsidP="00FD0B37">
            <w:pPr>
              <w:spacing w:line="276" w:lineRule="auto"/>
              <w:rPr>
                <w:b w:val="0"/>
                <w:iCs/>
                <w:lang w:val="en-AU"/>
              </w:rPr>
            </w:pPr>
            <w:r w:rsidRPr="00B25D75">
              <w:rPr>
                <w:b w:val="0"/>
                <w:iCs/>
                <w:lang w:val="en-AU"/>
              </w:rPr>
              <w:t>No</w:t>
            </w:r>
          </w:p>
        </w:tc>
        <w:tc>
          <w:tcPr>
            <w:tcW w:w="1363" w:type="dxa"/>
            <w:noWrap/>
            <w:vAlign w:val="center"/>
            <w:hideMark/>
          </w:tcPr>
          <w:p w14:paraId="0B58C1DF"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25 (10.</w:t>
            </w:r>
            <w:r>
              <w:rPr>
                <w:lang w:val="en-AU"/>
              </w:rPr>
              <w:t>5</w:t>
            </w:r>
            <w:r w:rsidRPr="00DF6BA7">
              <w:rPr>
                <w:lang w:val="en-AU"/>
              </w:rPr>
              <w:t>)</w:t>
            </w:r>
          </w:p>
        </w:tc>
        <w:tc>
          <w:tcPr>
            <w:tcW w:w="1119" w:type="dxa"/>
            <w:noWrap/>
            <w:vAlign w:val="center"/>
            <w:hideMark/>
          </w:tcPr>
          <w:p w14:paraId="67122C3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10 (24.4)</w:t>
            </w:r>
          </w:p>
        </w:tc>
        <w:tc>
          <w:tcPr>
            <w:tcW w:w="1376" w:type="dxa"/>
            <w:noWrap/>
            <w:vAlign w:val="center"/>
            <w:hideMark/>
          </w:tcPr>
          <w:p w14:paraId="3F369677"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5</w:t>
            </w:r>
            <w:r>
              <w:rPr>
                <w:lang w:val="en-AU"/>
              </w:rPr>
              <w:t>14</w:t>
            </w:r>
            <w:r w:rsidRPr="00DF6BA7">
              <w:rPr>
                <w:lang w:val="en-AU"/>
              </w:rPr>
              <w:t xml:space="preserve"> (60.</w:t>
            </w:r>
            <w:r>
              <w:rPr>
                <w:lang w:val="en-AU"/>
              </w:rPr>
              <w:t>3</w:t>
            </w:r>
            <w:r w:rsidRPr="00DF6BA7">
              <w:rPr>
                <w:lang w:val="en-AU"/>
              </w:rPr>
              <w:t>)</w:t>
            </w:r>
          </w:p>
        </w:tc>
        <w:tc>
          <w:tcPr>
            <w:tcW w:w="1100" w:type="dxa"/>
            <w:noWrap/>
            <w:vAlign w:val="center"/>
            <w:hideMark/>
          </w:tcPr>
          <w:p w14:paraId="2C372953"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Pr>
                <w:lang w:val="en-AU"/>
              </w:rPr>
              <w:t>5</w:t>
            </w:r>
            <w:r w:rsidRPr="00DF6BA7">
              <w:rPr>
                <w:lang w:val="en-AU"/>
              </w:rPr>
              <w:t xml:space="preserve"> (</w:t>
            </w:r>
            <w:r>
              <w:rPr>
                <w:lang w:val="en-AU"/>
              </w:rPr>
              <w:t>5</w:t>
            </w:r>
            <w:r w:rsidRPr="00DF6BA7">
              <w:rPr>
                <w:lang w:val="en-AU"/>
              </w:rPr>
              <w:t>5.</w:t>
            </w:r>
            <w:r>
              <w:rPr>
                <w:lang w:val="en-AU"/>
              </w:rPr>
              <w:t>6</w:t>
            </w:r>
            <w:r w:rsidRPr="00DF6BA7">
              <w:rPr>
                <w:lang w:val="en-AU"/>
              </w:rPr>
              <w:t>)</w:t>
            </w:r>
          </w:p>
        </w:tc>
        <w:tc>
          <w:tcPr>
            <w:tcW w:w="1912" w:type="dxa"/>
            <w:noWrap/>
            <w:vAlign w:val="center"/>
            <w:hideMark/>
          </w:tcPr>
          <w:p w14:paraId="5B3923AD"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p>
        </w:tc>
        <w:tc>
          <w:tcPr>
            <w:tcW w:w="918" w:type="dxa"/>
            <w:noWrap/>
            <w:vAlign w:val="center"/>
            <w:hideMark/>
          </w:tcPr>
          <w:p w14:paraId="3A1A8B79"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D3F9B">
              <w:rPr>
                <w:b/>
                <w:lang w:val="en-AU"/>
              </w:rPr>
              <w:t>-</w:t>
            </w:r>
          </w:p>
        </w:tc>
        <w:tc>
          <w:tcPr>
            <w:tcW w:w="1961" w:type="dxa"/>
            <w:noWrap/>
            <w:vAlign w:val="center"/>
            <w:hideMark/>
          </w:tcPr>
          <w:p w14:paraId="276582D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DF6BA7">
              <w:rPr>
                <w:lang w:val="en-AU"/>
              </w:rPr>
              <w:t>1</w:t>
            </w:r>
          </w:p>
        </w:tc>
        <w:tc>
          <w:tcPr>
            <w:tcW w:w="1129" w:type="dxa"/>
            <w:noWrap/>
            <w:hideMark/>
          </w:tcPr>
          <w:p w14:paraId="7C5847F1"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3300D2">
              <w:rPr>
                <w:b/>
                <w:lang w:val="en-AU"/>
              </w:rPr>
              <w:t>-</w:t>
            </w:r>
          </w:p>
        </w:tc>
        <w:tc>
          <w:tcPr>
            <w:tcW w:w="963" w:type="dxa"/>
            <w:noWrap/>
            <w:hideMark/>
          </w:tcPr>
          <w:p w14:paraId="61CCD558" w14:textId="77777777" w:rsidR="009054BB" w:rsidRPr="00DF6BA7" w:rsidRDefault="009054BB" w:rsidP="00FD0B37">
            <w:pPr>
              <w:spacing w:line="276" w:lineRule="auto"/>
              <w:jc w:val="center"/>
              <w:cnfStyle w:val="000000000000" w:firstRow="0" w:lastRow="0" w:firstColumn="0" w:lastColumn="0" w:oddVBand="0" w:evenVBand="0" w:oddHBand="0" w:evenHBand="0" w:firstRowFirstColumn="0" w:firstRowLastColumn="0" w:lastRowFirstColumn="0" w:lastRowLastColumn="0"/>
              <w:rPr>
                <w:lang w:val="en-AU"/>
              </w:rPr>
            </w:pPr>
            <w:r w:rsidRPr="003300D2">
              <w:rPr>
                <w:b/>
                <w:lang w:val="en-AU"/>
              </w:rPr>
              <w:t>-</w:t>
            </w:r>
          </w:p>
        </w:tc>
      </w:tr>
      <w:tr w:rsidR="009054BB" w:rsidRPr="00DF6BA7" w14:paraId="5FA7CEDF" w14:textId="77777777" w:rsidTr="00FD0B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7" w:type="dxa"/>
            <w:tcBorders>
              <w:bottom w:val="single" w:sz="4" w:space="0" w:color="auto"/>
            </w:tcBorders>
            <w:noWrap/>
            <w:vAlign w:val="center"/>
            <w:hideMark/>
          </w:tcPr>
          <w:p w14:paraId="434FA7BA" w14:textId="77777777" w:rsidR="009054BB" w:rsidRPr="00B25D75" w:rsidRDefault="009054BB" w:rsidP="00FD0B37">
            <w:pPr>
              <w:spacing w:line="276" w:lineRule="auto"/>
              <w:rPr>
                <w:b w:val="0"/>
                <w:iCs/>
                <w:lang w:val="en-AU"/>
              </w:rPr>
            </w:pPr>
            <w:r w:rsidRPr="00B25D75">
              <w:rPr>
                <w:b w:val="0"/>
                <w:iCs/>
                <w:lang w:val="en-AU"/>
              </w:rPr>
              <w:t>Yes</w:t>
            </w:r>
          </w:p>
        </w:tc>
        <w:tc>
          <w:tcPr>
            <w:tcW w:w="1363" w:type="dxa"/>
            <w:tcBorders>
              <w:bottom w:val="single" w:sz="4" w:space="0" w:color="auto"/>
            </w:tcBorders>
            <w:noWrap/>
            <w:vAlign w:val="center"/>
            <w:hideMark/>
          </w:tcPr>
          <w:p w14:paraId="61E26AD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212 (89.5)</w:t>
            </w:r>
          </w:p>
        </w:tc>
        <w:tc>
          <w:tcPr>
            <w:tcW w:w="1119" w:type="dxa"/>
            <w:tcBorders>
              <w:bottom w:val="single" w:sz="4" w:space="0" w:color="auto"/>
            </w:tcBorders>
            <w:noWrap/>
            <w:vAlign w:val="center"/>
            <w:hideMark/>
          </w:tcPr>
          <w:p w14:paraId="462A16B2"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31 (75.6)</w:t>
            </w:r>
          </w:p>
        </w:tc>
        <w:tc>
          <w:tcPr>
            <w:tcW w:w="1376" w:type="dxa"/>
            <w:tcBorders>
              <w:bottom w:val="single" w:sz="4" w:space="0" w:color="auto"/>
            </w:tcBorders>
            <w:noWrap/>
            <w:vAlign w:val="center"/>
            <w:hideMark/>
          </w:tcPr>
          <w:p w14:paraId="57B57AE9"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33</w:t>
            </w:r>
            <w:r>
              <w:rPr>
                <w:lang w:val="en-AU"/>
              </w:rPr>
              <w:t>9</w:t>
            </w:r>
            <w:r w:rsidRPr="00DF6BA7">
              <w:rPr>
                <w:lang w:val="en-AU"/>
              </w:rPr>
              <w:t xml:space="preserve"> (39.</w:t>
            </w:r>
            <w:r>
              <w:rPr>
                <w:lang w:val="en-AU"/>
              </w:rPr>
              <w:t>7</w:t>
            </w:r>
            <w:r w:rsidRPr="00DF6BA7">
              <w:rPr>
                <w:lang w:val="en-AU"/>
              </w:rPr>
              <w:t>)</w:t>
            </w:r>
          </w:p>
        </w:tc>
        <w:tc>
          <w:tcPr>
            <w:tcW w:w="1100" w:type="dxa"/>
            <w:tcBorders>
              <w:bottom w:val="single" w:sz="4" w:space="0" w:color="auto"/>
            </w:tcBorders>
            <w:noWrap/>
            <w:vAlign w:val="center"/>
            <w:hideMark/>
          </w:tcPr>
          <w:p w14:paraId="68392B16"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4</w:t>
            </w:r>
            <w:r w:rsidRPr="00DF6BA7">
              <w:rPr>
                <w:lang w:val="en-AU"/>
              </w:rPr>
              <w:t xml:space="preserve"> (</w:t>
            </w:r>
            <w:r>
              <w:rPr>
                <w:lang w:val="en-AU"/>
              </w:rPr>
              <w:t>44</w:t>
            </w:r>
            <w:r w:rsidRPr="00DF6BA7">
              <w:rPr>
                <w:lang w:val="en-AU"/>
              </w:rPr>
              <w:t>.</w:t>
            </w:r>
            <w:r>
              <w:rPr>
                <w:lang w:val="en-AU"/>
              </w:rPr>
              <w:t>4</w:t>
            </w:r>
            <w:r w:rsidRPr="00DF6BA7">
              <w:rPr>
                <w:lang w:val="en-AU"/>
              </w:rPr>
              <w:t>)</w:t>
            </w:r>
          </w:p>
        </w:tc>
        <w:tc>
          <w:tcPr>
            <w:tcW w:w="1912" w:type="dxa"/>
            <w:tcBorders>
              <w:bottom w:val="single" w:sz="4" w:space="0" w:color="auto"/>
            </w:tcBorders>
            <w:noWrap/>
            <w:vAlign w:val="center"/>
            <w:hideMark/>
          </w:tcPr>
          <w:p w14:paraId="7436E127"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0.37 (0.16-0.83)</w:t>
            </w:r>
          </w:p>
        </w:tc>
        <w:tc>
          <w:tcPr>
            <w:tcW w:w="918" w:type="dxa"/>
            <w:tcBorders>
              <w:bottom w:val="single" w:sz="4" w:space="0" w:color="auto"/>
            </w:tcBorders>
            <w:noWrap/>
            <w:vAlign w:val="center"/>
            <w:hideMark/>
          </w:tcPr>
          <w:p w14:paraId="7868802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b/>
                <w:lang w:val="en-AU"/>
              </w:rPr>
            </w:pPr>
            <w:r w:rsidRPr="00DF6BA7">
              <w:rPr>
                <w:b/>
                <w:lang w:val="en-AU"/>
              </w:rPr>
              <w:t>0.017</w:t>
            </w:r>
          </w:p>
        </w:tc>
        <w:tc>
          <w:tcPr>
            <w:tcW w:w="1961" w:type="dxa"/>
            <w:tcBorders>
              <w:bottom w:val="single" w:sz="4" w:space="0" w:color="auto"/>
            </w:tcBorders>
            <w:noWrap/>
            <w:vAlign w:val="center"/>
            <w:hideMark/>
          </w:tcPr>
          <w:p w14:paraId="5C09B3C8"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Pr>
                <w:lang w:val="en-AU"/>
              </w:rPr>
              <w:t>1</w:t>
            </w:r>
            <w:r w:rsidRPr="00DF6BA7">
              <w:rPr>
                <w:lang w:val="en-AU"/>
              </w:rPr>
              <w:t>.</w:t>
            </w:r>
            <w:r>
              <w:rPr>
                <w:lang w:val="en-AU"/>
              </w:rPr>
              <w:t>2</w:t>
            </w:r>
            <w:r w:rsidRPr="00DF6BA7">
              <w:rPr>
                <w:lang w:val="en-AU"/>
              </w:rPr>
              <w:t>1 (0.32-</w:t>
            </w:r>
            <w:r>
              <w:rPr>
                <w:lang w:val="en-AU"/>
              </w:rPr>
              <w:t>4</w:t>
            </w:r>
            <w:r w:rsidRPr="00DF6BA7">
              <w:rPr>
                <w:lang w:val="en-AU"/>
              </w:rPr>
              <w:t>.</w:t>
            </w:r>
            <w:r>
              <w:rPr>
                <w:lang w:val="en-AU"/>
              </w:rPr>
              <w:t>5</w:t>
            </w:r>
            <w:r w:rsidRPr="00DF6BA7">
              <w:rPr>
                <w:lang w:val="en-AU"/>
              </w:rPr>
              <w:t>5)</w:t>
            </w:r>
          </w:p>
        </w:tc>
        <w:tc>
          <w:tcPr>
            <w:tcW w:w="1129" w:type="dxa"/>
            <w:tcBorders>
              <w:bottom w:val="single" w:sz="4" w:space="0" w:color="auto"/>
            </w:tcBorders>
            <w:noWrap/>
            <w:vAlign w:val="center"/>
            <w:hideMark/>
          </w:tcPr>
          <w:p w14:paraId="7B42E87A"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w:t>
            </w:r>
            <w:r>
              <w:rPr>
                <w:lang w:val="en-AU"/>
              </w:rPr>
              <w:t>775</w:t>
            </w:r>
          </w:p>
        </w:tc>
        <w:tc>
          <w:tcPr>
            <w:tcW w:w="963" w:type="dxa"/>
            <w:tcBorders>
              <w:bottom w:val="single" w:sz="4" w:space="0" w:color="auto"/>
            </w:tcBorders>
            <w:noWrap/>
            <w:vAlign w:val="center"/>
            <w:hideMark/>
          </w:tcPr>
          <w:p w14:paraId="50DD94F1" w14:textId="77777777" w:rsidR="009054BB" w:rsidRPr="00DF6BA7" w:rsidRDefault="009054BB" w:rsidP="00FD0B37">
            <w:pPr>
              <w:spacing w:line="276" w:lineRule="auto"/>
              <w:jc w:val="center"/>
              <w:cnfStyle w:val="000000100000" w:firstRow="0" w:lastRow="0" w:firstColumn="0" w:lastColumn="0" w:oddVBand="0" w:evenVBand="0" w:oddHBand="1" w:evenHBand="0" w:firstRowFirstColumn="0" w:firstRowLastColumn="0" w:lastRowFirstColumn="0" w:lastRowLastColumn="0"/>
              <w:rPr>
                <w:lang w:val="en-AU"/>
              </w:rPr>
            </w:pPr>
            <w:r w:rsidRPr="00DF6BA7">
              <w:rPr>
                <w:lang w:val="en-AU"/>
              </w:rPr>
              <w:t>0.</w:t>
            </w:r>
            <w:r>
              <w:rPr>
                <w:lang w:val="en-AU"/>
              </w:rPr>
              <w:t>131</w:t>
            </w:r>
          </w:p>
        </w:tc>
      </w:tr>
    </w:tbl>
    <w:p w14:paraId="43B81B60" w14:textId="77777777" w:rsidR="009054BB" w:rsidRPr="00DF6BA7" w:rsidRDefault="009054BB" w:rsidP="009054BB">
      <w:pPr>
        <w:jc w:val="both"/>
        <w:rPr>
          <w:lang w:val="en-AU"/>
        </w:rPr>
      </w:pPr>
      <w:r w:rsidRPr="00DF6BA7">
        <w:rPr>
          <w:lang w:val="en-AU"/>
        </w:rPr>
        <w:t xml:space="preserve">NA- not applicable. Where no </w:t>
      </w:r>
      <w:r>
        <w:rPr>
          <w:lang w:val="en-AU"/>
        </w:rPr>
        <w:t>children</w:t>
      </w:r>
      <w:r w:rsidRPr="00DF6BA7">
        <w:rPr>
          <w:lang w:val="en-AU"/>
        </w:rPr>
        <w:t xml:space="preserve"> fall into one </w:t>
      </w:r>
      <w:proofErr w:type="gramStart"/>
      <w:r w:rsidRPr="00DF6BA7">
        <w:rPr>
          <w:lang w:val="en-AU"/>
        </w:rPr>
        <w:t>particular group</w:t>
      </w:r>
      <w:proofErr w:type="gramEnd"/>
      <w:r w:rsidRPr="00DF6BA7">
        <w:rPr>
          <w:lang w:val="en-AU"/>
        </w:rPr>
        <w:t xml:space="preserve"> of a variable (n=0), ORs were not able to be obtained and rows are indicated as NA.</w:t>
      </w:r>
    </w:p>
    <w:p w14:paraId="07D9ADDE" w14:textId="31346252" w:rsidR="00447325" w:rsidRPr="00447325" w:rsidRDefault="00447325" w:rsidP="00A57C82">
      <w:pPr>
        <w:jc w:val="both"/>
        <w:rPr>
          <w:iCs/>
        </w:rPr>
        <w:sectPr w:rsidR="00447325" w:rsidRPr="00447325" w:rsidSect="00002A23">
          <w:pgSz w:w="16838" w:h="11906" w:orient="landscape"/>
          <w:pgMar w:top="1440" w:right="1440" w:bottom="1440" w:left="1440" w:header="708" w:footer="708" w:gutter="0"/>
          <w:cols w:space="708"/>
          <w:docGrid w:linePitch="360"/>
        </w:sectPr>
      </w:pPr>
    </w:p>
    <w:p w14:paraId="7D75889F" w14:textId="68851005" w:rsidR="009054BB" w:rsidRPr="0009612E" w:rsidRDefault="009054BB" w:rsidP="00447325">
      <w:pPr>
        <w:pStyle w:val="Caption"/>
        <w:keepNext/>
        <w:ind w:left="0" w:firstLine="0"/>
        <w:rPr>
          <w:sz w:val="24"/>
          <w:szCs w:val="24"/>
        </w:rPr>
      </w:pPr>
      <w:bookmarkStart w:id="10" w:name="_Ref535662405"/>
      <w:bookmarkEnd w:id="10"/>
      <w:r w:rsidRPr="0009612E">
        <w:rPr>
          <w:rFonts w:ascii="Times New Roman" w:hAnsi="Times New Roman" w:cs="Times New Roman"/>
          <w:b/>
          <w:sz w:val="24"/>
          <w:szCs w:val="24"/>
        </w:rPr>
        <w:lastRenderedPageBreak/>
        <w:t xml:space="preserve">Table </w:t>
      </w:r>
      <w:r w:rsidRPr="0009612E">
        <w:rPr>
          <w:rFonts w:ascii="Times New Roman" w:hAnsi="Times New Roman" w:cs="Times New Roman"/>
          <w:b/>
          <w:sz w:val="24"/>
          <w:szCs w:val="24"/>
        </w:rPr>
        <w:fldChar w:fldCharType="begin"/>
      </w:r>
      <w:r w:rsidRPr="0009612E">
        <w:rPr>
          <w:rFonts w:ascii="Times New Roman" w:hAnsi="Times New Roman" w:cs="Times New Roman"/>
          <w:b/>
          <w:sz w:val="24"/>
          <w:szCs w:val="24"/>
        </w:rPr>
        <w:instrText xml:space="preserve"> SEQ Table \* ARABIC </w:instrText>
      </w:r>
      <w:r w:rsidRPr="0009612E">
        <w:rPr>
          <w:rFonts w:ascii="Times New Roman" w:hAnsi="Times New Roman" w:cs="Times New Roman"/>
          <w:b/>
          <w:sz w:val="24"/>
          <w:szCs w:val="24"/>
        </w:rPr>
        <w:fldChar w:fldCharType="separate"/>
      </w:r>
      <w:r w:rsidR="00EE1F9A">
        <w:rPr>
          <w:rFonts w:ascii="Times New Roman" w:hAnsi="Times New Roman" w:cs="Times New Roman"/>
          <w:b/>
          <w:noProof/>
          <w:sz w:val="24"/>
          <w:szCs w:val="24"/>
        </w:rPr>
        <w:t>3</w:t>
      </w:r>
      <w:r w:rsidRPr="0009612E">
        <w:rPr>
          <w:rFonts w:ascii="Times New Roman" w:hAnsi="Times New Roman" w:cs="Times New Roman"/>
          <w:b/>
          <w:sz w:val="24"/>
          <w:szCs w:val="24"/>
        </w:rPr>
        <w:fldChar w:fldCharType="end"/>
      </w:r>
      <w:r w:rsidRPr="0009612E">
        <w:rPr>
          <w:sz w:val="24"/>
          <w:szCs w:val="24"/>
        </w:rPr>
        <w:t xml:space="preserve"> </w:t>
      </w:r>
      <w:r w:rsidRPr="0009612E">
        <w:rPr>
          <w:rFonts w:ascii="Times New Roman" w:hAnsi="Times New Roman" w:cs="Times New Roman"/>
          <w:sz w:val="24"/>
          <w:szCs w:val="24"/>
        </w:rPr>
        <w:t xml:space="preserve">Adjusted models for the risk factors of food allergy in </w:t>
      </w:r>
      <w:r>
        <w:rPr>
          <w:rFonts w:ascii="Times New Roman" w:hAnsi="Times New Roman" w:cs="Times New Roman"/>
          <w:sz w:val="24"/>
          <w:szCs w:val="24"/>
        </w:rPr>
        <w:t>Australia</w:t>
      </w:r>
      <w:r w:rsidRPr="0009612E">
        <w:rPr>
          <w:rFonts w:ascii="Times New Roman" w:hAnsi="Times New Roman" w:cs="Times New Roman"/>
          <w:sz w:val="24"/>
          <w:szCs w:val="24"/>
        </w:rPr>
        <w:t xml:space="preserve"> and </w:t>
      </w:r>
      <w:r>
        <w:rPr>
          <w:rFonts w:ascii="Times New Roman" w:hAnsi="Times New Roman" w:cs="Times New Roman"/>
          <w:sz w:val="24"/>
          <w:szCs w:val="24"/>
        </w:rPr>
        <w:t>Singapore</w:t>
      </w:r>
      <w:r w:rsidRPr="0009612E">
        <w:rPr>
          <w:rFonts w:ascii="Times New Roman" w:hAnsi="Times New Roman" w:cs="Times New Roman"/>
          <w:sz w:val="24"/>
          <w:szCs w:val="24"/>
        </w:rPr>
        <w:t>.</w:t>
      </w:r>
    </w:p>
    <w:tbl>
      <w:tblPr>
        <w:tblStyle w:val="ListTable21"/>
        <w:tblW w:w="9867" w:type="dxa"/>
        <w:tblLook w:val="04A0" w:firstRow="1" w:lastRow="0" w:firstColumn="1" w:lastColumn="0" w:noHBand="0" w:noVBand="1"/>
      </w:tblPr>
      <w:tblGrid>
        <w:gridCol w:w="2410"/>
        <w:gridCol w:w="1951"/>
        <w:gridCol w:w="1296"/>
        <w:gridCol w:w="1951"/>
        <w:gridCol w:w="1296"/>
        <w:gridCol w:w="963"/>
      </w:tblGrid>
      <w:tr w:rsidR="009054BB" w14:paraId="7F964A8A" w14:textId="77777777" w:rsidTr="009760BF">
        <w:trPr>
          <w:cnfStyle w:val="100000000000" w:firstRow="1" w:lastRow="0" w:firstColumn="0" w:lastColumn="0" w:oddVBand="0" w:evenVBand="0" w:oddHBand="0"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tcPr>
          <w:p w14:paraId="2107488E" w14:textId="77777777" w:rsidR="009054BB" w:rsidRDefault="009054BB" w:rsidP="00FD0B37">
            <w:pPr>
              <w:rPr>
                <w:rFonts w:eastAsia="Times New Roman"/>
                <w:color w:val="000000"/>
                <w:sz w:val="22"/>
                <w:lang w:eastAsia="en-AU"/>
              </w:rPr>
            </w:pP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2F772EC0" w14:textId="77777777" w:rsidR="009054BB" w:rsidRDefault="009054BB" w:rsidP="00FD0B3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Australia (n=278)</w:t>
            </w: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0A495A50" w14:textId="77777777" w:rsidR="009054BB" w:rsidRDefault="009054BB" w:rsidP="00FD0B3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Singapore (n=666)</w:t>
            </w:r>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tcPr>
          <w:p w14:paraId="3B1A6B61" w14:textId="77777777" w:rsidR="009054BB" w:rsidRDefault="009054BB" w:rsidP="00FD0B37">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en-AU"/>
              </w:rPr>
            </w:pPr>
          </w:p>
        </w:tc>
      </w:tr>
      <w:tr w:rsidR="009054BB" w14:paraId="57F95C43"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3B69C53" w14:textId="67F1616C" w:rsidR="009054BB" w:rsidRDefault="009054BB" w:rsidP="00783BD2">
            <w:pPr>
              <w:rPr>
                <w:rFonts w:eastAsia="Times New Roman"/>
                <w:color w:val="000000"/>
                <w:lang w:eastAsia="en-AU"/>
              </w:rPr>
            </w:pPr>
            <w:r>
              <w:rPr>
                <w:rFonts w:eastAsia="Times New Roman"/>
                <w:color w:val="000000"/>
                <w:lang w:eastAsia="en-AU"/>
              </w:rPr>
              <w:t>Model 1</w:t>
            </w:r>
            <w:r w:rsidR="00783BD2" w:rsidRPr="00783BD2">
              <w:rPr>
                <w:color w:val="1C1D1E"/>
                <w:szCs w:val="24"/>
                <w:vertAlign w:val="superscript"/>
              </w:rPr>
              <w:t>†</w:t>
            </w:r>
            <w:r>
              <w:rPr>
                <w:rFonts w:eastAsia="Times New Roman"/>
                <w:color w:val="000000"/>
                <w:lang w:eastAsia="en-AU"/>
              </w:rPr>
              <w:t>: Eczema</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F97F04C"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12EA6CC7"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Pr>
                <w:b/>
              </w:rPr>
              <w:t>P-value</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65BC79D"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A05AA27"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Pr>
                <w:b/>
              </w:rPr>
              <w:t>P-value</w:t>
            </w:r>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tcPr>
          <w:p w14:paraId="565D6505"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b/>
              </w:rPr>
            </w:pPr>
            <w:r>
              <w:rPr>
                <w:b/>
              </w:rPr>
              <w:t xml:space="preserve">P </w:t>
            </w:r>
            <w:r w:rsidRPr="00E6374D">
              <w:rPr>
                <w:b/>
                <w:vertAlign w:val="subscript"/>
              </w:rPr>
              <w:t>interaction</w:t>
            </w:r>
          </w:p>
        </w:tc>
      </w:tr>
      <w:tr w:rsidR="009054BB" w14:paraId="22D0E21E"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14556251" w14:textId="77777777" w:rsidR="009054BB" w:rsidRPr="001F302A" w:rsidRDefault="009054BB" w:rsidP="00FD0B37">
            <w:pPr>
              <w:rPr>
                <w:rFonts w:eastAsia="Times New Roman"/>
                <w:b w:val="0"/>
                <w:color w:val="000000"/>
                <w:lang w:eastAsia="en-AU"/>
              </w:rPr>
            </w:pPr>
            <w:r w:rsidRPr="001F302A">
              <w:rPr>
                <w:rFonts w:eastAsia="Times New Roman"/>
                <w:b w:val="0"/>
                <w:color w:val="000000"/>
                <w:lang w:eastAsia="en-AU"/>
              </w:rPr>
              <w:t>No eczema</w:t>
            </w:r>
          </w:p>
        </w:tc>
        <w:tc>
          <w:tcPr>
            <w:tcW w:w="1951"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2AA96716"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1</w:t>
            </w:r>
          </w:p>
        </w:tc>
        <w:tc>
          <w:tcPr>
            <w:tcW w:w="1296"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3FE49088"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r>
              <w:rPr>
                <w:rFonts w:eastAsia="Times New Roman"/>
                <w:color w:val="000000"/>
                <w:lang w:eastAsia="en-AU"/>
              </w:rPr>
              <w:t>-</w:t>
            </w:r>
          </w:p>
        </w:tc>
        <w:tc>
          <w:tcPr>
            <w:tcW w:w="1951"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3E898D9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1</w:t>
            </w:r>
          </w:p>
        </w:tc>
        <w:tc>
          <w:tcPr>
            <w:tcW w:w="1296"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3E08DD8D"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r>
              <w:rPr>
                <w:rFonts w:eastAsia="Times New Roman"/>
                <w:color w:val="000000"/>
                <w:lang w:eastAsia="en-AU"/>
              </w:rPr>
              <w:t>-</w:t>
            </w:r>
          </w:p>
        </w:tc>
        <w:tc>
          <w:tcPr>
            <w:tcW w:w="963" w:type="dxa"/>
            <w:tcBorders>
              <w:top w:val="single" w:sz="4" w:space="0" w:color="666666" w:themeColor="text1" w:themeTint="99"/>
              <w:left w:val="nil"/>
              <w:bottom w:val="single" w:sz="4" w:space="0" w:color="666666" w:themeColor="text1" w:themeTint="99"/>
              <w:right w:val="nil"/>
            </w:tcBorders>
            <w:shd w:val="clear" w:color="auto" w:fill="auto"/>
            <w:vAlign w:val="center"/>
          </w:tcPr>
          <w:p w14:paraId="752836F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w:t>
            </w:r>
          </w:p>
        </w:tc>
      </w:tr>
      <w:tr w:rsidR="009054BB" w14:paraId="02EEBC06"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noWrap/>
            <w:vAlign w:val="center"/>
            <w:hideMark/>
          </w:tcPr>
          <w:p w14:paraId="427F6AA5" w14:textId="77777777" w:rsidR="009054BB" w:rsidRPr="001F302A" w:rsidRDefault="009054BB" w:rsidP="00FD0B37">
            <w:pPr>
              <w:rPr>
                <w:rFonts w:eastAsia="Times New Roman"/>
                <w:b w:val="0"/>
                <w:color w:val="000000"/>
                <w:lang w:eastAsia="en-AU"/>
              </w:rPr>
            </w:pPr>
            <w:r w:rsidRPr="001F302A">
              <w:rPr>
                <w:rFonts w:eastAsia="Times New Roman"/>
                <w:b w:val="0"/>
                <w:color w:val="000000"/>
                <w:lang w:eastAsia="en-AU"/>
              </w:rPr>
              <w:t>&lt; 6 months</w:t>
            </w:r>
          </w:p>
        </w:tc>
        <w:tc>
          <w:tcPr>
            <w:tcW w:w="1951"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noWrap/>
            <w:vAlign w:val="center"/>
            <w:hideMark/>
          </w:tcPr>
          <w:p w14:paraId="2D2B1C4D" w14:textId="77777777" w:rsidR="009054BB" w:rsidRPr="00616001"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5.11 (2.34-11.14)</w:t>
            </w:r>
          </w:p>
        </w:tc>
        <w:tc>
          <w:tcPr>
            <w:tcW w:w="1296"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noWrap/>
            <w:vAlign w:val="center"/>
            <w:hideMark/>
          </w:tcPr>
          <w:p w14:paraId="69E98013" w14:textId="77777777" w:rsidR="009054BB" w:rsidRPr="00616001"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sidRPr="00616001">
              <w:rPr>
                <w:rFonts w:eastAsia="Times New Roman"/>
                <w:b/>
                <w:color w:val="000000"/>
                <w:lang w:eastAsia="en-AU"/>
              </w:rPr>
              <w:t>&lt;0.001</w:t>
            </w:r>
          </w:p>
        </w:tc>
        <w:tc>
          <w:tcPr>
            <w:tcW w:w="1951"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noWrap/>
            <w:vAlign w:val="center"/>
            <w:hideMark/>
          </w:tcPr>
          <w:p w14:paraId="3DE34B65" w14:textId="77777777" w:rsidR="009054BB" w:rsidRPr="00616001"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4.00 (0.62-25.8)</w:t>
            </w:r>
          </w:p>
        </w:tc>
        <w:tc>
          <w:tcPr>
            <w:tcW w:w="1296"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noWrap/>
            <w:vAlign w:val="center"/>
            <w:hideMark/>
          </w:tcPr>
          <w:p w14:paraId="53D02A25" w14:textId="77777777" w:rsidR="009054BB" w:rsidRPr="00616001"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Cs/>
                <w:color w:val="000000"/>
                <w:lang w:eastAsia="en-AU"/>
              </w:rPr>
            </w:pPr>
            <w:r w:rsidRPr="00616001">
              <w:rPr>
                <w:rFonts w:eastAsia="Times New Roman"/>
                <w:bCs/>
                <w:color w:val="000000"/>
                <w:lang w:eastAsia="en-AU"/>
              </w:rPr>
              <w:t>0.145</w:t>
            </w:r>
          </w:p>
        </w:tc>
        <w:tc>
          <w:tcPr>
            <w:tcW w:w="963" w:type="dxa"/>
            <w:tcBorders>
              <w:top w:val="single" w:sz="4" w:space="0" w:color="666666" w:themeColor="text1" w:themeTint="99"/>
              <w:left w:val="nil"/>
              <w:bottom w:val="single" w:sz="4" w:space="0" w:color="666666" w:themeColor="text1" w:themeTint="99"/>
              <w:right w:val="nil"/>
            </w:tcBorders>
            <w:shd w:val="clear" w:color="auto" w:fill="D9D9D9" w:themeFill="background1" w:themeFillShade="D9"/>
            <w:vAlign w:val="center"/>
          </w:tcPr>
          <w:p w14:paraId="73EDC014"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sidRPr="006A0CBC">
              <w:t>0.</w:t>
            </w:r>
            <w:r>
              <w:t>920</w:t>
            </w:r>
          </w:p>
        </w:tc>
      </w:tr>
      <w:tr w:rsidR="009054BB" w14:paraId="29C1DE3A"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FFFFFF" w:themeFill="background1"/>
            <w:noWrap/>
            <w:vAlign w:val="center"/>
            <w:hideMark/>
          </w:tcPr>
          <w:p w14:paraId="1BAFF64B" w14:textId="77777777" w:rsidR="009054BB" w:rsidRPr="001F302A" w:rsidRDefault="009054BB" w:rsidP="00FD0B37">
            <w:pPr>
              <w:rPr>
                <w:rFonts w:eastAsia="Times New Roman"/>
                <w:b w:val="0"/>
                <w:color w:val="000000"/>
                <w:lang w:eastAsia="en-AU"/>
              </w:rPr>
            </w:pPr>
            <w:r w:rsidRPr="001F302A">
              <w:rPr>
                <w:rFonts w:eastAsia="Times New Roman"/>
                <w:b w:val="0"/>
                <w:color w:val="000000"/>
                <w:lang w:eastAsia="en-AU"/>
              </w:rPr>
              <w:t>≥ 6 months</w:t>
            </w:r>
          </w:p>
        </w:tc>
        <w:tc>
          <w:tcPr>
            <w:tcW w:w="1951" w:type="dxa"/>
            <w:tcBorders>
              <w:top w:val="single" w:sz="4" w:space="0" w:color="666666" w:themeColor="text1" w:themeTint="99"/>
              <w:left w:val="nil"/>
              <w:bottom w:val="single" w:sz="4" w:space="0" w:color="666666" w:themeColor="text1" w:themeTint="99"/>
              <w:right w:val="nil"/>
            </w:tcBorders>
            <w:shd w:val="clear" w:color="auto" w:fill="FFFFFF" w:themeFill="background1"/>
            <w:noWrap/>
            <w:vAlign w:val="center"/>
            <w:hideMark/>
          </w:tcPr>
          <w:p w14:paraId="488852FF" w14:textId="77777777" w:rsidR="009054BB" w:rsidRPr="00616001"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2.34 (0.75-7.34)</w:t>
            </w:r>
          </w:p>
        </w:tc>
        <w:tc>
          <w:tcPr>
            <w:tcW w:w="1296" w:type="dxa"/>
            <w:tcBorders>
              <w:top w:val="single" w:sz="4" w:space="0" w:color="666666" w:themeColor="text1" w:themeTint="99"/>
              <w:left w:val="nil"/>
              <w:bottom w:val="single" w:sz="4" w:space="0" w:color="666666" w:themeColor="text1" w:themeTint="99"/>
              <w:right w:val="nil"/>
            </w:tcBorders>
            <w:shd w:val="clear" w:color="auto" w:fill="FFFFFF" w:themeFill="background1"/>
            <w:noWrap/>
            <w:vAlign w:val="center"/>
            <w:hideMark/>
          </w:tcPr>
          <w:p w14:paraId="30E4D083" w14:textId="77777777" w:rsidR="009054BB" w:rsidRPr="00616001"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0.145</w:t>
            </w:r>
          </w:p>
        </w:tc>
        <w:tc>
          <w:tcPr>
            <w:tcW w:w="1951" w:type="dxa"/>
            <w:tcBorders>
              <w:top w:val="single" w:sz="4" w:space="0" w:color="666666" w:themeColor="text1" w:themeTint="99"/>
              <w:left w:val="nil"/>
              <w:bottom w:val="single" w:sz="4" w:space="0" w:color="666666" w:themeColor="text1" w:themeTint="99"/>
              <w:right w:val="nil"/>
            </w:tcBorders>
            <w:shd w:val="clear" w:color="auto" w:fill="FFFFFF" w:themeFill="background1"/>
            <w:noWrap/>
            <w:vAlign w:val="center"/>
            <w:hideMark/>
          </w:tcPr>
          <w:p w14:paraId="551FFD31" w14:textId="77777777" w:rsidR="009054BB" w:rsidRPr="00616001"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4.16 (0.65-26.49)</w:t>
            </w:r>
          </w:p>
        </w:tc>
        <w:tc>
          <w:tcPr>
            <w:tcW w:w="1296" w:type="dxa"/>
            <w:tcBorders>
              <w:top w:val="single" w:sz="4" w:space="0" w:color="666666" w:themeColor="text1" w:themeTint="99"/>
              <w:left w:val="nil"/>
              <w:bottom w:val="single" w:sz="4" w:space="0" w:color="666666" w:themeColor="text1" w:themeTint="99"/>
              <w:right w:val="nil"/>
            </w:tcBorders>
            <w:shd w:val="clear" w:color="auto" w:fill="FFFFFF" w:themeFill="background1"/>
            <w:noWrap/>
            <w:vAlign w:val="center"/>
            <w:hideMark/>
          </w:tcPr>
          <w:p w14:paraId="47412534" w14:textId="77777777" w:rsidR="009054BB" w:rsidRPr="00616001"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616001">
              <w:rPr>
                <w:rFonts w:eastAsia="Times New Roman"/>
                <w:color w:val="000000"/>
                <w:lang w:eastAsia="en-AU"/>
              </w:rPr>
              <w:t>0.132</w:t>
            </w:r>
          </w:p>
        </w:tc>
        <w:tc>
          <w:tcPr>
            <w:tcW w:w="963" w:type="dxa"/>
            <w:tcBorders>
              <w:top w:val="single" w:sz="4" w:space="0" w:color="666666" w:themeColor="text1" w:themeTint="99"/>
              <w:left w:val="nil"/>
              <w:bottom w:val="single" w:sz="4" w:space="0" w:color="666666" w:themeColor="text1" w:themeTint="99"/>
              <w:right w:val="nil"/>
            </w:tcBorders>
            <w:shd w:val="clear" w:color="auto" w:fill="FFFFFF" w:themeFill="background1"/>
            <w:vAlign w:val="center"/>
          </w:tcPr>
          <w:p w14:paraId="293D2504"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6A0CBC">
              <w:t>0.</w:t>
            </w:r>
            <w:r>
              <w:t>412</w:t>
            </w:r>
          </w:p>
        </w:tc>
      </w:tr>
      <w:tr w:rsidR="009054BB" w14:paraId="5875B80A" w14:textId="77777777" w:rsidTr="009760BF">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8904" w:type="dxa"/>
            <w:gridSpan w:val="5"/>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0D770D66" w14:textId="0E2B58BB" w:rsidR="009054BB" w:rsidRDefault="009054BB" w:rsidP="00FD0B37">
            <w:pPr>
              <w:rPr>
                <w:rFonts w:eastAsia="Times New Roman"/>
                <w:b w:val="0"/>
                <w:color w:val="000000"/>
                <w:sz w:val="20"/>
                <w:szCs w:val="20"/>
                <w:lang w:eastAsia="en-AU"/>
              </w:rPr>
            </w:pPr>
            <w:proofErr w:type="spellStart"/>
            <w:r>
              <w:rPr>
                <w:rFonts w:eastAsia="Times New Roman"/>
                <w:b w:val="0"/>
                <w:color w:val="000000"/>
                <w:sz w:val="20"/>
                <w:szCs w:val="20"/>
                <w:lang w:eastAsia="en-AU"/>
              </w:rPr>
              <w:t>aOR</w:t>
            </w:r>
            <w:proofErr w:type="spellEnd"/>
            <w:r>
              <w:rPr>
                <w:rFonts w:eastAsia="Times New Roman"/>
                <w:b w:val="0"/>
                <w:color w:val="000000"/>
                <w:sz w:val="20"/>
                <w:szCs w:val="20"/>
                <w:lang w:eastAsia="en-AU"/>
              </w:rPr>
              <w:t xml:space="preserve"> – adjusted odds ratio. </w:t>
            </w:r>
            <w:r w:rsidR="00783BD2" w:rsidRPr="008E4A16">
              <w:rPr>
                <w:color w:val="1C1D1E"/>
                <w:szCs w:val="24"/>
                <w:shd w:val="clear" w:color="auto" w:fill="FFFFFF"/>
                <w:vertAlign w:val="superscript"/>
              </w:rPr>
              <w:t>†</w:t>
            </w:r>
            <w:r>
              <w:rPr>
                <w:rFonts w:eastAsia="Times New Roman"/>
                <w:b w:val="0"/>
                <w:color w:val="000000"/>
                <w:sz w:val="20"/>
                <w:szCs w:val="20"/>
                <w:lang w:eastAsia="en-AU"/>
              </w:rPr>
              <w:t xml:space="preserve">Adjusted for maternal history of atopy, child’s </w:t>
            </w:r>
            <w:proofErr w:type="gramStart"/>
            <w:r>
              <w:rPr>
                <w:rFonts w:eastAsia="Times New Roman"/>
                <w:b w:val="0"/>
                <w:color w:val="000000"/>
                <w:sz w:val="20"/>
                <w:szCs w:val="20"/>
                <w:lang w:eastAsia="en-AU"/>
              </w:rPr>
              <w:t>sex</w:t>
            </w:r>
            <w:proofErr w:type="gramEnd"/>
            <w:r>
              <w:rPr>
                <w:rFonts w:eastAsia="Times New Roman"/>
                <w:b w:val="0"/>
                <w:color w:val="000000"/>
                <w:sz w:val="20"/>
                <w:szCs w:val="20"/>
                <w:lang w:eastAsia="en-AU"/>
              </w:rPr>
              <w:t xml:space="preserve"> and pet ownership. </w:t>
            </w:r>
          </w:p>
          <w:p w14:paraId="2B49A99E" w14:textId="77777777" w:rsidR="009054BB" w:rsidRDefault="009054BB" w:rsidP="00FD0B37">
            <w:pPr>
              <w:rPr>
                <w:rFonts w:eastAsia="Times New Roman"/>
                <w:b w:val="0"/>
                <w:color w:val="000000"/>
                <w:sz w:val="18"/>
                <w:szCs w:val="18"/>
                <w:lang w:eastAsia="en-AU"/>
              </w:rPr>
            </w:pPr>
          </w:p>
        </w:tc>
        <w:tc>
          <w:tcPr>
            <w:tcW w:w="963" w:type="dxa"/>
            <w:tcBorders>
              <w:top w:val="single" w:sz="4" w:space="0" w:color="666666" w:themeColor="text1" w:themeTint="99"/>
              <w:left w:val="nil"/>
              <w:bottom w:val="single" w:sz="4" w:space="0" w:color="666666" w:themeColor="text1" w:themeTint="99"/>
              <w:right w:val="nil"/>
            </w:tcBorders>
            <w:shd w:val="clear" w:color="auto" w:fill="auto"/>
            <w:vAlign w:val="center"/>
          </w:tcPr>
          <w:p w14:paraId="43FCE8A4"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en-AU"/>
              </w:rPr>
            </w:pPr>
          </w:p>
        </w:tc>
      </w:tr>
      <w:tr w:rsidR="009054BB" w14:paraId="1344A2CB"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37223704" w14:textId="77777777" w:rsidR="009054BB" w:rsidRDefault="009054BB" w:rsidP="00FD0B37">
            <w:pPr>
              <w:rPr>
                <w:rFonts w:eastAsia="Times New Roman"/>
                <w:color w:val="000000"/>
                <w:sz w:val="22"/>
                <w:lang w:eastAsia="en-AU"/>
              </w:rPr>
            </w:pP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36A5770F"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r>
              <w:rPr>
                <w:b/>
              </w:rPr>
              <w:t>Australia (n=294</w:t>
            </w:r>
            <w:r>
              <w:rPr>
                <w:rFonts w:eastAsia="Times New Roman"/>
                <w:b/>
                <w:color w:val="000000"/>
                <w:lang w:eastAsia="en-AU"/>
              </w:rPr>
              <w:t>)</w:t>
            </w: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04D555CA"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r>
              <w:rPr>
                <w:rFonts w:eastAsia="Times New Roman"/>
                <w:b/>
                <w:color w:val="000000"/>
                <w:lang w:eastAsia="en-AU"/>
              </w:rPr>
              <w:t>Singapore (n=622)</w:t>
            </w:r>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vAlign w:val="center"/>
          </w:tcPr>
          <w:p w14:paraId="0748E9F9"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p>
        </w:tc>
      </w:tr>
      <w:tr w:rsidR="009054BB" w14:paraId="522E6664"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B25F51A" w14:textId="31537B1C" w:rsidR="009054BB" w:rsidRDefault="009054BB" w:rsidP="00FD0B37">
            <w:pPr>
              <w:rPr>
                <w:rFonts w:eastAsia="Times New Roman"/>
                <w:color w:val="000000"/>
                <w:lang w:eastAsia="en-AU"/>
              </w:rPr>
            </w:pPr>
            <w:r>
              <w:rPr>
                <w:rFonts w:eastAsia="Times New Roman"/>
                <w:color w:val="000000"/>
                <w:lang w:eastAsia="en-AU"/>
              </w:rPr>
              <w:t>Model 2</w:t>
            </w:r>
            <w:r w:rsidR="00783BD2" w:rsidRPr="00783BD2">
              <w:rPr>
                <w:color w:val="1C1D1E"/>
                <w:szCs w:val="24"/>
                <w:vertAlign w:val="superscript"/>
              </w:rPr>
              <w:t>‡</w:t>
            </w:r>
            <w:r>
              <w:rPr>
                <w:rFonts w:eastAsia="Times New Roman"/>
                <w:color w:val="000000"/>
                <w:lang w:eastAsia="en-AU"/>
              </w:rPr>
              <w:t>: Hygiene hypothesis</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0A38B87F"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3D0A8FA4"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Pr>
                <w:b/>
              </w:rPr>
              <w:t>P-value</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5935668F"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70AC6FF0"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r>
              <w:rPr>
                <w:b/>
              </w:rPr>
              <w:t>P-value</w:t>
            </w:r>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vAlign w:val="center"/>
          </w:tcPr>
          <w:p w14:paraId="224F2AEC"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b/>
              </w:rPr>
            </w:pPr>
            <w:r>
              <w:rPr>
                <w:b/>
              </w:rPr>
              <w:t xml:space="preserve">P </w:t>
            </w:r>
            <w:r w:rsidRPr="00E6374D">
              <w:rPr>
                <w:b/>
                <w:vertAlign w:val="subscript"/>
              </w:rPr>
              <w:t>interaction</w:t>
            </w:r>
          </w:p>
        </w:tc>
      </w:tr>
      <w:tr w:rsidR="009054BB" w14:paraId="34179727"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hideMark/>
          </w:tcPr>
          <w:p w14:paraId="591AEF2E" w14:textId="77777777" w:rsidR="009054BB" w:rsidRPr="00E53C59" w:rsidRDefault="009054BB" w:rsidP="00FD0B37">
            <w:pPr>
              <w:rPr>
                <w:rFonts w:eastAsia="Times New Roman"/>
                <w:color w:val="000000"/>
                <w:lang w:eastAsia="en-AU"/>
              </w:rPr>
            </w:pPr>
            <w:r w:rsidRPr="00E53C59">
              <w:t>Use of antibiotics</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7956A447"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heme="minorHAnsi"/>
                <w:lang w:eastAsia="en-US"/>
              </w:rPr>
            </w:pPr>
            <w:r w:rsidRPr="003F6E9F">
              <w:t>1.2</w:t>
            </w:r>
            <w:r>
              <w:t>7</w:t>
            </w:r>
            <w:r w:rsidRPr="003F6E9F">
              <w:t xml:space="preserve"> (0.</w:t>
            </w:r>
            <w:r>
              <w:t>64</w:t>
            </w:r>
            <w:r w:rsidRPr="003F6E9F">
              <w:t>-</w:t>
            </w:r>
            <w:r>
              <w:t>2.53</w:t>
            </w:r>
            <w:r w:rsidRPr="003F6E9F">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0BE93F91"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pPr>
            <w:r w:rsidRPr="003F6E9F">
              <w:t>0.</w:t>
            </w:r>
            <w:r>
              <w:t>497</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0E385640"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rPr>
            </w:pPr>
            <w:r w:rsidRPr="00EF212D">
              <w:t>1.</w:t>
            </w:r>
            <w:r>
              <w:t>64</w:t>
            </w:r>
            <w:r w:rsidRPr="00EF212D">
              <w:t xml:space="preserve"> (0.</w:t>
            </w:r>
            <w:r>
              <w:t>35</w:t>
            </w:r>
            <w:r w:rsidRPr="00EF212D">
              <w:t>-7</w:t>
            </w:r>
            <w:r>
              <w:t>.78</w:t>
            </w:r>
            <w:r w:rsidRPr="00EF212D">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22518E0C"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EF212D">
              <w:t>0.</w:t>
            </w:r>
            <w:r>
              <w:t>532</w:t>
            </w:r>
          </w:p>
        </w:tc>
        <w:tc>
          <w:tcPr>
            <w:tcW w:w="963" w:type="dxa"/>
            <w:tcBorders>
              <w:top w:val="single" w:sz="4" w:space="0" w:color="666666" w:themeColor="text1" w:themeTint="99"/>
              <w:left w:val="nil"/>
              <w:bottom w:val="single" w:sz="4" w:space="0" w:color="666666" w:themeColor="text1" w:themeTint="99"/>
              <w:right w:val="nil"/>
            </w:tcBorders>
            <w:vAlign w:val="center"/>
          </w:tcPr>
          <w:p w14:paraId="2DC33010"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szCs w:val="24"/>
              </w:rPr>
            </w:pPr>
            <w:r w:rsidRPr="0009612E">
              <w:rPr>
                <w:szCs w:val="24"/>
              </w:rPr>
              <w:t>0.</w:t>
            </w:r>
            <w:r>
              <w:rPr>
                <w:szCs w:val="24"/>
              </w:rPr>
              <w:t>857</w:t>
            </w:r>
          </w:p>
        </w:tc>
      </w:tr>
      <w:tr w:rsidR="009054BB" w14:paraId="20903D41"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hideMark/>
          </w:tcPr>
          <w:p w14:paraId="080E75A2" w14:textId="77777777" w:rsidR="009054BB" w:rsidRPr="00E53C59" w:rsidRDefault="009054BB" w:rsidP="00FD0B37">
            <w:pPr>
              <w:rPr>
                <w:rFonts w:eastAsia="Times New Roman"/>
                <w:color w:val="000000"/>
                <w:lang w:eastAsia="en-AU"/>
              </w:rPr>
            </w:pPr>
            <w:r w:rsidRPr="00E53C59">
              <w:t>Dog ownership</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2DC37FC0"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heme="minorHAnsi"/>
                <w:lang w:eastAsia="en-US"/>
              </w:rPr>
            </w:pPr>
            <w:r w:rsidRPr="003F6E9F">
              <w:t>0.6</w:t>
            </w:r>
            <w:r>
              <w:t>8</w:t>
            </w:r>
            <w:r w:rsidRPr="003F6E9F">
              <w:t xml:space="preserve"> (0.1</w:t>
            </w:r>
            <w:r>
              <w:t>7</w:t>
            </w:r>
            <w:r w:rsidRPr="003F6E9F">
              <w:t>-</w:t>
            </w:r>
            <w:r>
              <w:t>2</w:t>
            </w:r>
            <w:r w:rsidRPr="003F6E9F">
              <w:t>.</w:t>
            </w:r>
            <w:r>
              <w:t>69</w:t>
            </w:r>
            <w:r w:rsidRPr="003F6E9F">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008AF8F"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pPr>
            <w:r w:rsidRPr="003F6E9F">
              <w:t>0.5</w:t>
            </w:r>
            <w:r>
              <w:t>79</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2843CD61"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color w:val="000000"/>
              </w:rPr>
            </w:pPr>
            <w:r>
              <w:t>1.98</w:t>
            </w:r>
            <w:r w:rsidRPr="00EF212D">
              <w:t xml:space="preserve"> (0.</w:t>
            </w:r>
            <w:r>
              <w:t>21</w:t>
            </w:r>
            <w:r w:rsidRPr="00EF212D">
              <w:t>-</w:t>
            </w:r>
            <w:r>
              <w:t>18</w:t>
            </w:r>
            <w:r w:rsidRPr="00EF212D">
              <w:t>.</w:t>
            </w:r>
            <w:r>
              <w:t>34</w:t>
            </w:r>
            <w:r w:rsidRPr="00EF212D">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C2AC034" w14:textId="77777777" w:rsidR="009054BB" w:rsidRPr="008E3CAF" w:rsidRDefault="009054BB" w:rsidP="00FD0B37">
            <w:pPr>
              <w:jc w:val="center"/>
              <w:cnfStyle w:val="000000100000" w:firstRow="0" w:lastRow="0" w:firstColumn="0" w:lastColumn="0" w:oddVBand="0" w:evenVBand="0" w:oddHBand="1" w:evenHBand="0" w:firstRowFirstColumn="0" w:firstRowLastColumn="0" w:lastRowFirstColumn="0" w:lastRowLastColumn="0"/>
              <w:rPr>
                <w:color w:val="000000"/>
                <w:szCs w:val="24"/>
              </w:rPr>
            </w:pPr>
            <w:r w:rsidRPr="00EF212D">
              <w:t>0.</w:t>
            </w:r>
            <w:r>
              <w:t>547</w:t>
            </w:r>
          </w:p>
        </w:tc>
        <w:tc>
          <w:tcPr>
            <w:tcW w:w="963" w:type="dxa"/>
            <w:tcBorders>
              <w:top w:val="single" w:sz="4" w:space="0" w:color="666666" w:themeColor="text1" w:themeTint="99"/>
              <w:left w:val="nil"/>
              <w:bottom w:val="single" w:sz="4" w:space="0" w:color="666666" w:themeColor="text1" w:themeTint="99"/>
              <w:right w:val="nil"/>
            </w:tcBorders>
            <w:vAlign w:val="center"/>
          </w:tcPr>
          <w:p w14:paraId="1F1C6D0D" w14:textId="77777777" w:rsidR="009054BB" w:rsidRPr="008E3CAF" w:rsidRDefault="009054BB" w:rsidP="00FD0B37">
            <w:pPr>
              <w:jc w:val="center"/>
              <w:cnfStyle w:val="000000100000" w:firstRow="0" w:lastRow="0" w:firstColumn="0" w:lastColumn="0" w:oddVBand="0" w:evenVBand="0" w:oddHBand="1" w:evenHBand="0" w:firstRowFirstColumn="0" w:firstRowLastColumn="0" w:lastRowFirstColumn="0" w:lastRowLastColumn="0"/>
              <w:rPr>
                <w:szCs w:val="24"/>
              </w:rPr>
            </w:pPr>
            <w:r w:rsidRPr="0009612E">
              <w:rPr>
                <w:szCs w:val="24"/>
              </w:rPr>
              <w:t>0.2</w:t>
            </w:r>
            <w:r>
              <w:rPr>
                <w:szCs w:val="24"/>
              </w:rPr>
              <w:t>94</w:t>
            </w:r>
          </w:p>
        </w:tc>
      </w:tr>
      <w:tr w:rsidR="009054BB" w14:paraId="2E2E89AA"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hideMark/>
          </w:tcPr>
          <w:p w14:paraId="588A9C8F" w14:textId="77777777" w:rsidR="009054BB" w:rsidRPr="00E53C59" w:rsidRDefault="009054BB" w:rsidP="00FD0B37">
            <w:pPr>
              <w:rPr>
                <w:rFonts w:eastAsia="Times New Roman"/>
                <w:color w:val="000000"/>
                <w:lang w:eastAsia="en-AU"/>
              </w:rPr>
            </w:pPr>
            <w:r w:rsidRPr="00E53C59">
              <w:t>Cat ownership</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58A511C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heme="minorHAnsi"/>
                <w:lang w:eastAsia="en-US"/>
              </w:rPr>
            </w:pPr>
            <w:r>
              <w:t>4.87</w:t>
            </w:r>
            <w:r w:rsidRPr="003F6E9F">
              <w:t xml:space="preserve"> (0.</w:t>
            </w:r>
            <w:r>
              <w:t>95</w:t>
            </w:r>
            <w:r w:rsidRPr="003F6E9F">
              <w:t>-</w:t>
            </w:r>
            <w:r>
              <w:t>24</w:t>
            </w:r>
            <w:r w:rsidRPr="003F6E9F">
              <w:t>.</w:t>
            </w:r>
            <w:r>
              <w:t>95</w:t>
            </w:r>
            <w:r w:rsidRPr="003F6E9F">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FA72A53"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b/>
              </w:rPr>
            </w:pPr>
            <w:r w:rsidRPr="003F6E9F">
              <w:t>0.</w:t>
            </w:r>
            <w:r>
              <w:t>058</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5B0F8CBD"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rPr>
            </w:pPr>
            <w:r w:rsidRPr="004F2699">
              <w:t>NA</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7E971FA6"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4F2699">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06A62037"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szCs w:val="24"/>
              </w:rPr>
            </w:pPr>
            <w:r w:rsidRPr="004F2699">
              <w:t>NA</w:t>
            </w:r>
          </w:p>
        </w:tc>
      </w:tr>
      <w:tr w:rsidR="009054BB" w14:paraId="7BC6F713"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hideMark/>
          </w:tcPr>
          <w:p w14:paraId="4A6414A0" w14:textId="77777777" w:rsidR="009054BB" w:rsidRPr="00E53C59" w:rsidRDefault="009054BB" w:rsidP="00FD0B37">
            <w:pPr>
              <w:rPr>
                <w:rFonts w:eastAsia="Times New Roman"/>
                <w:color w:val="000000"/>
                <w:lang w:eastAsia="en-AU"/>
              </w:rPr>
            </w:pPr>
            <w:r w:rsidRPr="00E53C59">
              <w:t>Childcare attendance</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7C781E1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3F6E9F">
              <w:t>0.</w:t>
            </w:r>
            <w:r>
              <w:t>87</w:t>
            </w:r>
            <w:r w:rsidRPr="003F6E9F">
              <w:t xml:space="preserve"> (0.3</w:t>
            </w:r>
            <w:r>
              <w:t>4</w:t>
            </w:r>
            <w:r w:rsidRPr="003F6E9F">
              <w:t>-2.</w:t>
            </w:r>
            <w:r>
              <w:t>23</w:t>
            </w:r>
            <w:r w:rsidRPr="003F6E9F">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2727E5CD"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3F6E9F">
              <w:t>0.</w:t>
            </w:r>
            <w:r>
              <w:t>772</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40A7A3D8"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t>1</w:t>
            </w:r>
            <w:r w:rsidRPr="00EF212D">
              <w:t>.</w:t>
            </w:r>
            <w:r>
              <w:t>07</w:t>
            </w:r>
            <w:r w:rsidRPr="00EF212D">
              <w:t xml:space="preserve"> (0.</w:t>
            </w:r>
            <w:r>
              <w:t>12</w:t>
            </w:r>
            <w:r w:rsidRPr="00EF212D">
              <w:t>-</w:t>
            </w:r>
            <w:r>
              <w:t>9.68</w:t>
            </w:r>
            <w:r w:rsidRPr="00EF212D">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7A455C0C" w14:textId="77777777" w:rsidR="009054BB" w:rsidRPr="008E3CAF"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Cs w:val="24"/>
                <w:lang w:eastAsia="en-AU"/>
              </w:rPr>
            </w:pPr>
            <w:r w:rsidRPr="00EF212D">
              <w:t>0.</w:t>
            </w:r>
            <w:r>
              <w:t>955</w:t>
            </w:r>
          </w:p>
        </w:tc>
        <w:tc>
          <w:tcPr>
            <w:tcW w:w="963" w:type="dxa"/>
            <w:tcBorders>
              <w:top w:val="single" w:sz="4" w:space="0" w:color="666666" w:themeColor="text1" w:themeTint="99"/>
              <w:left w:val="nil"/>
              <w:bottom w:val="single" w:sz="4" w:space="0" w:color="666666" w:themeColor="text1" w:themeTint="99"/>
              <w:right w:val="nil"/>
            </w:tcBorders>
            <w:vAlign w:val="center"/>
          </w:tcPr>
          <w:p w14:paraId="51E93C9B" w14:textId="77777777" w:rsidR="009054BB" w:rsidRPr="008E3CAF" w:rsidRDefault="009054BB" w:rsidP="00FD0B37">
            <w:pPr>
              <w:jc w:val="center"/>
              <w:cnfStyle w:val="000000100000" w:firstRow="0" w:lastRow="0" w:firstColumn="0" w:lastColumn="0" w:oddVBand="0" w:evenVBand="0" w:oddHBand="1" w:evenHBand="0" w:firstRowFirstColumn="0" w:firstRowLastColumn="0" w:lastRowFirstColumn="0" w:lastRowLastColumn="0"/>
              <w:rPr>
                <w:szCs w:val="24"/>
              </w:rPr>
            </w:pPr>
            <w:r w:rsidRPr="0009612E">
              <w:rPr>
                <w:szCs w:val="24"/>
              </w:rPr>
              <w:t>0.7</w:t>
            </w:r>
            <w:r>
              <w:rPr>
                <w:szCs w:val="24"/>
              </w:rPr>
              <w:t>29</w:t>
            </w:r>
          </w:p>
        </w:tc>
      </w:tr>
      <w:tr w:rsidR="009054BB" w14:paraId="4228FCFE"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hideMark/>
          </w:tcPr>
          <w:p w14:paraId="1B017BE8" w14:textId="77777777" w:rsidR="009054BB" w:rsidRPr="00E53C59" w:rsidRDefault="009054BB" w:rsidP="00FD0B37">
            <w:pPr>
              <w:rPr>
                <w:rFonts w:eastAsia="Times New Roman"/>
                <w:i/>
                <w:color w:val="000000"/>
                <w:lang w:eastAsia="en-AU"/>
              </w:rPr>
            </w:pPr>
            <w:r w:rsidRPr="00E53C59">
              <w:t>Any siblings</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22FB2B41"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3F6E9F">
              <w:t>1.</w:t>
            </w:r>
            <w:r>
              <w:t>50</w:t>
            </w:r>
            <w:r w:rsidRPr="003F6E9F">
              <w:t xml:space="preserve"> (0.7</w:t>
            </w:r>
            <w:r>
              <w:t>5</w:t>
            </w:r>
            <w:r w:rsidRPr="003F6E9F">
              <w:t>-</w:t>
            </w:r>
            <w:r>
              <w:t>3</w:t>
            </w:r>
            <w:r w:rsidRPr="003F6E9F">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18B72A64"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3F6E9F">
              <w:t>0.251</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45E206A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heme="minorHAnsi"/>
                <w:lang w:eastAsia="en-US"/>
              </w:rPr>
            </w:pPr>
            <w:r>
              <w:t>1.36</w:t>
            </w:r>
            <w:r w:rsidRPr="00EF212D">
              <w:t xml:space="preserve"> (0.</w:t>
            </w:r>
            <w:r>
              <w:t>2</w:t>
            </w:r>
            <w:r w:rsidRPr="00EF212D">
              <w:t>8-</w:t>
            </w:r>
            <w:r>
              <w:t>6.58</w:t>
            </w:r>
            <w:r w:rsidRPr="00EF212D">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0B25598F"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szCs w:val="24"/>
              </w:rPr>
            </w:pPr>
            <w:r w:rsidRPr="00EF212D">
              <w:t>0.</w:t>
            </w:r>
            <w:r>
              <w:t>699</w:t>
            </w:r>
          </w:p>
        </w:tc>
        <w:tc>
          <w:tcPr>
            <w:tcW w:w="963" w:type="dxa"/>
            <w:tcBorders>
              <w:top w:val="single" w:sz="4" w:space="0" w:color="666666" w:themeColor="text1" w:themeTint="99"/>
              <w:left w:val="nil"/>
              <w:bottom w:val="single" w:sz="4" w:space="0" w:color="666666" w:themeColor="text1" w:themeTint="99"/>
              <w:right w:val="nil"/>
            </w:tcBorders>
            <w:vAlign w:val="center"/>
          </w:tcPr>
          <w:p w14:paraId="32E97B39"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szCs w:val="24"/>
              </w:rPr>
            </w:pPr>
            <w:r w:rsidRPr="0009612E">
              <w:rPr>
                <w:szCs w:val="24"/>
              </w:rPr>
              <w:t>0.</w:t>
            </w:r>
            <w:r>
              <w:rPr>
                <w:szCs w:val="24"/>
              </w:rPr>
              <w:t>736</w:t>
            </w:r>
          </w:p>
        </w:tc>
      </w:tr>
      <w:tr w:rsidR="009054BB" w14:paraId="64E8AA09"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vAlign w:val="center"/>
          </w:tcPr>
          <w:p w14:paraId="397E7A76" w14:textId="77777777" w:rsidR="009054BB" w:rsidRPr="00E53C59" w:rsidRDefault="009054BB" w:rsidP="00FD0B37">
            <w:r>
              <w:rPr>
                <w:rFonts w:eastAsia="Times New Roman"/>
                <w:color w:val="000000"/>
                <w:szCs w:val="24"/>
                <w:lang w:val="en-AU" w:eastAsia="en-AU"/>
              </w:rPr>
              <w:t>Household exposure to tobacco smoke</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442CC0B5" w14:textId="77777777" w:rsidR="009054BB" w:rsidRPr="003F6E9F" w:rsidRDefault="009054BB" w:rsidP="00FD0B37">
            <w:pPr>
              <w:jc w:val="center"/>
              <w:cnfStyle w:val="000000100000" w:firstRow="0" w:lastRow="0" w:firstColumn="0" w:lastColumn="0" w:oddVBand="0" w:evenVBand="0" w:oddHBand="1" w:evenHBand="0" w:firstRowFirstColumn="0" w:firstRowLastColumn="0" w:lastRowFirstColumn="0" w:lastRowLastColumn="0"/>
            </w:pPr>
            <w:r>
              <w:t>1.15 (0.49-2.71)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3E9B04E" w14:textId="77777777" w:rsidR="009054BB" w:rsidRPr="003F6E9F" w:rsidRDefault="009054BB" w:rsidP="00FD0B37">
            <w:pPr>
              <w:jc w:val="center"/>
              <w:cnfStyle w:val="000000100000" w:firstRow="0" w:lastRow="0" w:firstColumn="0" w:lastColumn="0" w:oddVBand="0" w:evenVBand="0" w:oddHBand="1" w:evenHBand="0" w:firstRowFirstColumn="0" w:firstRowLastColumn="0" w:lastRowFirstColumn="0" w:lastRowLastColumn="0"/>
            </w:pPr>
            <w:r>
              <w:t>0.745</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371D5DEE" w14:textId="77777777" w:rsidR="009054BB" w:rsidRPr="00EF212D" w:rsidRDefault="009054BB" w:rsidP="00FD0B37">
            <w:pPr>
              <w:jc w:val="center"/>
              <w:cnfStyle w:val="000000100000" w:firstRow="0" w:lastRow="0" w:firstColumn="0" w:lastColumn="0" w:oddVBand="0" w:evenVBand="0" w:oddHBand="1" w:evenHBand="0" w:firstRowFirstColumn="0" w:firstRowLastColumn="0" w:lastRowFirstColumn="0" w:lastRowLastColumn="0"/>
            </w:pPr>
            <w:r>
              <w:t>0.21 (0.02-1.83)</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7CA932C6" w14:textId="77777777" w:rsidR="009054BB" w:rsidRPr="00EF212D" w:rsidRDefault="009054BB" w:rsidP="00FD0B37">
            <w:pPr>
              <w:jc w:val="center"/>
              <w:cnfStyle w:val="000000100000" w:firstRow="0" w:lastRow="0" w:firstColumn="0" w:lastColumn="0" w:oddVBand="0" w:evenVBand="0" w:oddHBand="1" w:evenHBand="0" w:firstRowFirstColumn="0" w:firstRowLastColumn="0" w:lastRowFirstColumn="0" w:lastRowLastColumn="0"/>
            </w:pPr>
            <w:r>
              <w:t>0.157</w:t>
            </w:r>
          </w:p>
        </w:tc>
        <w:tc>
          <w:tcPr>
            <w:tcW w:w="963" w:type="dxa"/>
            <w:tcBorders>
              <w:top w:val="single" w:sz="4" w:space="0" w:color="666666" w:themeColor="text1" w:themeTint="99"/>
              <w:left w:val="nil"/>
              <w:bottom w:val="single" w:sz="4" w:space="0" w:color="666666" w:themeColor="text1" w:themeTint="99"/>
              <w:right w:val="nil"/>
            </w:tcBorders>
            <w:vAlign w:val="center"/>
          </w:tcPr>
          <w:p w14:paraId="020DC26E" w14:textId="77777777" w:rsidR="009054BB" w:rsidRPr="0009612E" w:rsidRDefault="009054BB" w:rsidP="00FD0B37">
            <w:pPr>
              <w:jc w:val="center"/>
              <w:cnfStyle w:val="000000100000" w:firstRow="0" w:lastRow="0" w:firstColumn="0" w:lastColumn="0" w:oddVBand="0" w:evenVBand="0" w:oddHBand="1" w:evenHBand="0" w:firstRowFirstColumn="0" w:firstRowLastColumn="0" w:lastRowFirstColumn="0" w:lastRowLastColumn="0"/>
              <w:rPr>
                <w:szCs w:val="24"/>
              </w:rPr>
            </w:pPr>
            <w:r>
              <w:rPr>
                <w:szCs w:val="24"/>
              </w:rPr>
              <w:t>0.178</w:t>
            </w:r>
          </w:p>
        </w:tc>
      </w:tr>
      <w:tr w:rsidR="009054BB" w14:paraId="40722734"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4CCFFE54" w14:textId="77777777" w:rsidR="009054BB" w:rsidRPr="00E53C59" w:rsidRDefault="009054BB" w:rsidP="00FD0B37">
            <w:pPr>
              <w:rPr>
                <w:rFonts w:eastAsia="Times New Roman"/>
                <w:color w:val="000000"/>
                <w:lang w:eastAsia="en-AU"/>
              </w:rPr>
            </w:pPr>
            <w:r w:rsidRPr="00E53C59">
              <w:t>Caesarean delivery</w:t>
            </w:r>
          </w:p>
        </w:tc>
        <w:tc>
          <w:tcPr>
            <w:tcW w:w="1951"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625CABF0"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heme="minorHAnsi"/>
                <w:lang w:eastAsia="en-US"/>
              </w:rPr>
            </w:pPr>
            <w:r>
              <w:t>1.04</w:t>
            </w:r>
            <w:r w:rsidRPr="003F6E9F">
              <w:t xml:space="preserve"> (0.</w:t>
            </w:r>
            <w:r>
              <w:t>50</w:t>
            </w:r>
            <w:r w:rsidRPr="003F6E9F">
              <w:t>-2.</w:t>
            </w:r>
            <w:r>
              <w:t>16</w:t>
            </w:r>
            <w:r w:rsidRPr="003F6E9F">
              <w:t>)</w:t>
            </w:r>
          </w:p>
        </w:tc>
        <w:tc>
          <w:tcPr>
            <w:tcW w:w="1296"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183D04B6"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pPr>
            <w:r w:rsidRPr="003F6E9F">
              <w:t>0.</w:t>
            </w:r>
            <w:r>
              <w:t>911</w:t>
            </w:r>
          </w:p>
        </w:tc>
        <w:tc>
          <w:tcPr>
            <w:tcW w:w="1951"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77EA6A85"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rPr>
            </w:pPr>
            <w:r w:rsidRPr="00EF212D">
              <w:t>0.4</w:t>
            </w:r>
            <w:r>
              <w:t>5</w:t>
            </w:r>
            <w:r w:rsidRPr="00EF212D">
              <w:t xml:space="preserve"> (0.</w:t>
            </w:r>
            <w:r>
              <w:t>05</w:t>
            </w:r>
            <w:r w:rsidRPr="00EF212D">
              <w:t>-</w:t>
            </w:r>
            <w:r>
              <w:t>3.98</w:t>
            </w:r>
            <w:r w:rsidRPr="00EF212D">
              <w:t>)</w:t>
            </w:r>
          </w:p>
        </w:tc>
        <w:tc>
          <w:tcPr>
            <w:tcW w:w="1296" w:type="dxa"/>
            <w:tcBorders>
              <w:top w:val="single" w:sz="4" w:space="0" w:color="666666" w:themeColor="text1" w:themeTint="99"/>
              <w:left w:val="nil"/>
              <w:bottom w:val="single" w:sz="4" w:space="0" w:color="666666" w:themeColor="text1" w:themeTint="99"/>
              <w:right w:val="nil"/>
            </w:tcBorders>
            <w:shd w:val="clear" w:color="auto" w:fill="auto"/>
            <w:noWrap/>
            <w:vAlign w:val="center"/>
            <w:hideMark/>
          </w:tcPr>
          <w:p w14:paraId="77055731"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szCs w:val="24"/>
              </w:rPr>
            </w:pPr>
            <w:r w:rsidRPr="00EF212D">
              <w:t>0.</w:t>
            </w:r>
            <w:r>
              <w:t>473</w:t>
            </w:r>
          </w:p>
        </w:tc>
        <w:tc>
          <w:tcPr>
            <w:tcW w:w="963" w:type="dxa"/>
            <w:tcBorders>
              <w:top w:val="single" w:sz="4" w:space="0" w:color="666666" w:themeColor="text1" w:themeTint="99"/>
              <w:left w:val="nil"/>
              <w:bottom w:val="single" w:sz="4" w:space="0" w:color="666666" w:themeColor="text1" w:themeTint="99"/>
              <w:right w:val="nil"/>
            </w:tcBorders>
            <w:shd w:val="clear" w:color="auto" w:fill="auto"/>
            <w:vAlign w:val="center"/>
          </w:tcPr>
          <w:p w14:paraId="22EEDBC7" w14:textId="77777777" w:rsidR="009054BB" w:rsidRPr="008E3CAF" w:rsidRDefault="009054BB" w:rsidP="00FD0B37">
            <w:pPr>
              <w:jc w:val="center"/>
              <w:cnfStyle w:val="000000000000" w:firstRow="0" w:lastRow="0" w:firstColumn="0" w:lastColumn="0" w:oddVBand="0" w:evenVBand="0" w:oddHBand="0" w:evenHBand="0" w:firstRowFirstColumn="0" w:firstRowLastColumn="0" w:lastRowFirstColumn="0" w:lastRowLastColumn="0"/>
              <w:rPr>
                <w:szCs w:val="24"/>
              </w:rPr>
            </w:pPr>
            <w:r w:rsidRPr="0009612E">
              <w:rPr>
                <w:szCs w:val="24"/>
              </w:rPr>
              <w:t>0.</w:t>
            </w:r>
            <w:r>
              <w:rPr>
                <w:szCs w:val="24"/>
              </w:rPr>
              <w:t>486</w:t>
            </w:r>
          </w:p>
        </w:tc>
      </w:tr>
      <w:tr w:rsidR="009054BB" w14:paraId="75845B3F" w14:textId="77777777" w:rsidTr="009760BF">
        <w:trPr>
          <w:cnfStyle w:val="000000100000" w:firstRow="0" w:lastRow="0" w:firstColumn="0" w:lastColumn="0" w:oddVBand="0" w:evenVBand="0" w:oddHBand="1" w:evenHBand="0" w:firstRowFirstColumn="0" w:firstRowLastColumn="0" w:lastRowFirstColumn="0" w:lastRowLastColumn="0"/>
          <w:trHeight w:val="668"/>
        </w:trPr>
        <w:tc>
          <w:tcPr>
            <w:cnfStyle w:val="001000000000" w:firstRow="0" w:lastRow="0" w:firstColumn="1" w:lastColumn="0" w:oddVBand="0" w:evenVBand="0" w:oddHBand="0" w:evenHBand="0" w:firstRowFirstColumn="0" w:firstRowLastColumn="0" w:lastRowFirstColumn="0" w:lastRowLastColumn="0"/>
            <w:tcW w:w="8904" w:type="dxa"/>
            <w:gridSpan w:val="5"/>
            <w:tcBorders>
              <w:top w:val="single" w:sz="4" w:space="0" w:color="666666" w:themeColor="text1" w:themeTint="99"/>
              <w:left w:val="nil"/>
              <w:bottom w:val="single" w:sz="4" w:space="0" w:color="666666" w:themeColor="text1" w:themeTint="99"/>
              <w:right w:val="nil"/>
            </w:tcBorders>
            <w:noWrap/>
            <w:vAlign w:val="center"/>
            <w:hideMark/>
          </w:tcPr>
          <w:p w14:paraId="7656BB6C" w14:textId="77777777" w:rsidR="009054BB" w:rsidRDefault="009054BB" w:rsidP="00FD0B37">
            <w:pPr>
              <w:rPr>
                <w:rFonts w:eastAsia="Times New Roman"/>
                <w:b w:val="0"/>
                <w:color w:val="000000"/>
                <w:sz w:val="20"/>
                <w:szCs w:val="20"/>
                <w:lang w:eastAsia="en-AU"/>
              </w:rPr>
            </w:pPr>
            <w:proofErr w:type="spellStart"/>
            <w:r>
              <w:rPr>
                <w:rFonts w:eastAsia="Times New Roman"/>
                <w:b w:val="0"/>
                <w:color w:val="000000"/>
                <w:sz w:val="20"/>
                <w:szCs w:val="20"/>
                <w:lang w:eastAsia="en-AU"/>
              </w:rPr>
              <w:t>aOR</w:t>
            </w:r>
            <w:proofErr w:type="spellEnd"/>
            <w:r>
              <w:rPr>
                <w:rFonts w:eastAsia="Times New Roman"/>
                <w:b w:val="0"/>
                <w:color w:val="000000"/>
                <w:sz w:val="20"/>
                <w:szCs w:val="20"/>
                <w:lang w:eastAsia="en-AU"/>
              </w:rPr>
              <w:t xml:space="preserve"> – adjusted odds ratio</w:t>
            </w:r>
          </w:p>
          <w:p w14:paraId="78610DA6" w14:textId="5B50E5EF" w:rsidR="009054BB" w:rsidRDefault="00783BD2" w:rsidP="00FD0B37">
            <w:pPr>
              <w:rPr>
                <w:rFonts w:eastAsia="Times New Roman"/>
                <w:b w:val="0"/>
                <w:color w:val="000000"/>
                <w:sz w:val="18"/>
                <w:szCs w:val="18"/>
                <w:lang w:eastAsia="en-AU"/>
              </w:rPr>
            </w:pPr>
            <w:r w:rsidRPr="00783BD2">
              <w:rPr>
                <w:color w:val="1C1D1E"/>
                <w:szCs w:val="24"/>
                <w:vertAlign w:val="superscript"/>
              </w:rPr>
              <w:t>‡</w:t>
            </w:r>
            <w:r w:rsidR="009054BB">
              <w:rPr>
                <w:rFonts w:eastAsia="Times New Roman"/>
                <w:b w:val="0"/>
                <w:color w:val="000000"/>
                <w:sz w:val="20"/>
                <w:szCs w:val="20"/>
                <w:vertAlign w:val="superscript"/>
                <w:lang w:eastAsia="en-AU"/>
              </w:rPr>
              <w:t xml:space="preserve"> </w:t>
            </w:r>
            <w:r w:rsidR="009054BB">
              <w:rPr>
                <w:rFonts w:eastAsia="Times New Roman"/>
                <w:b w:val="0"/>
                <w:color w:val="000000"/>
                <w:sz w:val="20"/>
                <w:szCs w:val="20"/>
                <w:lang w:eastAsia="en-AU"/>
              </w:rPr>
              <w:t>model adjusted for sex and maternal history of atopy</w:t>
            </w:r>
          </w:p>
        </w:tc>
        <w:tc>
          <w:tcPr>
            <w:tcW w:w="963" w:type="dxa"/>
            <w:tcBorders>
              <w:top w:val="single" w:sz="4" w:space="0" w:color="666666" w:themeColor="text1" w:themeTint="99"/>
              <w:left w:val="nil"/>
              <w:bottom w:val="single" w:sz="4" w:space="0" w:color="666666" w:themeColor="text1" w:themeTint="99"/>
              <w:right w:val="nil"/>
            </w:tcBorders>
            <w:vAlign w:val="center"/>
          </w:tcPr>
          <w:p w14:paraId="3E559D67"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sz w:val="20"/>
                <w:szCs w:val="20"/>
                <w:lang w:eastAsia="en-AU"/>
              </w:rPr>
            </w:pPr>
          </w:p>
        </w:tc>
      </w:tr>
      <w:tr w:rsidR="009054BB" w14:paraId="64EEFB53"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71AD7020" w14:textId="77777777" w:rsidR="009054BB" w:rsidRDefault="009054BB" w:rsidP="00FD0B37">
            <w:pPr>
              <w:rPr>
                <w:rFonts w:eastAsia="Times New Roman"/>
                <w:color w:val="000000"/>
                <w:sz w:val="22"/>
                <w:lang w:eastAsia="en-AU"/>
              </w:rPr>
            </w:pP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25B37FBA" w14:textId="53C477F7" w:rsidR="009054BB" w:rsidRDefault="002A6AF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r>
              <w:rPr>
                <w:b/>
              </w:rPr>
              <w:t xml:space="preserve">Australia </w:t>
            </w:r>
            <w:r w:rsidR="009054BB">
              <w:rPr>
                <w:b/>
              </w:rPr>
              <w:t>(n=</w:t>
            </w:r>
            <w:r w:rsidR="009054BB">
              <w:rPr>
                <w:rFonts w:eastAsia="Times New Roman"/>
                <w:b/>
                <w:color w:val="000000"/>
                <w:lang w:eastAsia="en-AU"/>
              </w:rPr>
              <w:t>238)</w:t>
            </w:r>
          </w:p>
        </w:tc>
        <w:tc>
          <w:tcPr>
            <w:tcW w:w="3247" w:type="dxa"/>
            <w:gridSpan w:val="2"/>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7237BF09" w14:textId="333B2B01" w:rsidR="009054BB" w:rsidRPr="00FB4DF8" w:rsidRDefault="002A6AFB" w:rsidP="00E67E8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vertAlign w:val="superscript"/>
                <w:lang w:eastAsia="en-AU"/>
              </w:rPr>
            </w:pPr>
            <w:r>
              <w:rPr>
                <w:rFonts w:eastAsia="Times New Roman"/>
                <w:b/>
                <w:color w:val="000000"/>
                <w:lang w:eastAsia="en-AU"/>
              </w:rPr>
              <w:t xml:space="preserve">Singapore </w:t>
            </w:r>
            <w:r w:rsidR="009054BB">
              <w:rPr>
                <w:rFonts w:eastAsia="Times New Roman"/>
                <w:b/>
                <w:color w:val="000000"/>
                <w:lang w:eastAsia="en-AU"/>
              </w:rPr>
              <w:t>(n=</w:t>
            </w:r>
            <w:proofErr w:type="gramStart"/>
            <w:r w:rsidR="009054BB">
              <w:rPr>
                <w:rFonts w:eastAsia="Times New Roman"/>
                <w:b/>
                <w:color w:val="000000"/>
                <w:lang w:eastAsia="en-AU"/>
              </w:rPr>
              <w:t>204)</w:t>
            </w:r>
            <w:r w:rsidR="00E67E87" w:rsidRPr="00783BD2">
              <w:rPr>
                <w:color w:val="1C1D1E"/>
                <w:szCs w:val="24"/>
                <w:vertAlign w:val="superscript"/>
              </w:rPr>
              <w:t>§</w:t>
            </w:r>
            <w:proofErr w:type="gramEnd"/>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vAlign w:val="center"/>
          </w:tcPr>
          <w:p w14:paraId="5FA8AC83"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lang w:eastAsia="en-AU"/>
              </w:rPr>
            </w:pPr>
          </w:p>
        </w:tc>
      </w:tr>
      <w:tr w:rsidR="009054BB" w14:paraId="741A4B2B"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3F2C81E9" w14:textId="2CBA01EF" w:rsidR="009054BB" w:rsidRDefault="009054BB" w:rsidP="00E67E87">
            <w:pPr>
              <w:rPr>
                <w:rFonts w:eastAsia="Times New Roman"/>
                <w:color w:val="000000"/>
                <w:lang w:eastAsia="en-AU"/>
              </w:rPr>
            </w:pPr>
            <w:r>
              <w:rPr>
                <w:rFonts w:eastAsia="Times New Roman"/>
                <w:color w:val="000000"/>
                <w:lang w:eastAsia="en-AU"/>
              </w:rPr>
              <w:t>Model 3</w:t>
            </w:r>
            <w:r w:rsidR="00E67E87" w:rsidRPr="00783BD2">
              <w:rPr>
                <w:color w:val="1C1D1E"/>
                <w:szCs w:val="24"/>
                <w:vertAlign w:val="superscript"/>
              </w:rPr>
              <w:t>¶</w:t>
            </w:r>
            <w:r>
              <w:rPr>
                <w:rFonts w:eastAsia="Times New Roman"/>
                <w:color w:val="000000"/>
                <w:lang w:eastAsia="en-AU"/>
              </w:rPr>
              <w:t>: Diet</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29808A8F"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43504B4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Pr>
                <w:b/>
              </w:rPr>
              <w:t>P-value</w:t>
            </w:r>
          </w:p>
        </w:tc>
        <w:tc>
          <w:tcPr>
            <w:tcW w:w="1951"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7A6550B0"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roofErr w:type="spellStart"/>
            <w:r>
              <w:rPr>
                <w:b/>
              </w:rPr>
              <w:t>aOR</w:t>
            </w:r>
            <w:proofErr w:type="spellEnd"/>
            <w:r>
              <w:rPr>
                <w:b/>
              </w:rPr>
              <w:t xml:space="preserve"> (95% CI)</w:t>
            </w:r>
          </w:p>
        </w:tc>
        <w:tc>
          <w:tcPr>
            <w:tcW w:w="1296"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noWrap/>
            <w:vAlign w:val="center"/>
            <w:hideMark/>
          </w:tcPr>
          <w:p w14:paraId="1BD564FA"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Pr>
                <w:b/>
              </w:rPr>
              <w:t>P-value</w:t>
            </w:r>
          </w:p>
        </w:tc>
        <w:tc>
          <w:tcPr>
            <w:tcW w:w="963" w:type="dxa"/>
            <w:tcBorders>
              <w:top w:val="single" w:sz="4" w:space="0" w:color="666666" w:themeColor="text1" w:themeTint="99"/>
              <w:left w:val="nil"/>
              <w:bottom w:val="single" w:sz="4" w:space="0" w:color="666666" w:themeColor="text1" w:themeTint="99"/>
              <w:right w:val="nil"/>
            </w:tcBorders>
            <w:shd w:val="clear" w:color="auto" w:fill="D0CECE" w:themeFill="background2" w:themeFillShade="E6"/>
            <w:vAlign w:val="center"/>
          </w:tcPr>
          <w:p w14:paraId="648F9A2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b/>
              </w:rPr>
            </w:pPr>
            <w:r>
              <w:rPr>
                <w:b/>
              </w:rPr>
              <w:t xml:space="preserve">P </w:t>
            </w:r>
            <w:r w:rsidRPr="00E6374D">
              <w:rPr>
                <w:b/>
                <w:vertAlign w:val="subscript"/>
              </w:rPr>
              <w:t>interaction</w:t>
            </w:r>
          </w:p>
        </w:tc>
      </w:tr>
      <w:tr w:rsidR="009054BB" w14:paraId="0AA981EC"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2FC2B1E0" w14:textId="77777777" w:rsidR="009054BB" w:rsidRPr="00E53C59" w:rsidRDefault="009054BB" w:rsidP="00FD0B37">
            <w:pPr>
              <w:rPr>
                <w:rFonts w:eastAsia="Times New Roman"/>
                <w:i/>
                <w:color w:val="000000"/>
                <w:lang w:eastAsia="en-AU"/>
              </w:rPr>
            </w:pPr>
            <w:r w:rsidRPr="00E53C59">
              <w:t>Age of solid introduction</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5B2E9E96"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2686D3E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1D7B5474"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1F63A755"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p>
        </w:tc>
        <w:tc>
          <w:tcPr>
            <w:tcW w:w="963" w:type="dxa"/>
            <w:tcBorders>
              <w:top w:val="single" w:sz="4" w:space="0" w:color="666666" w:themeColor="text1" w:themeTint="99"/>
              <w:left w:val="nil"/>
              <w:bottom w:val="single" w:sz="4" w:space="0" w:color="666666" w:themeColor="text1" w:themeTint="99"/>
              <w:right w:val="nil"/>
            </w:tcBorders>
            <w:vAlign w:val="center"/>
          </w:tcPr>
          <w:p w14:paraId="4D171C67"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pPr>
          </w:p>
        </w:tc>
      </w:tr>
      <w:tr w:rsidR="009054BB" w14:paraId="455F51F9"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23EA00CB" w14:textId="77777777" w:rsidR="009054BB" w:rsidRPr="001F302A" w:rsidRDefault="009054BB" w:rsidP="00FD0B37">
            <w:pPr>
              <w:rPr>
                <w:rFonts w:eastAsia="Times New Roman"/>
                <w:b w:val="0"/>
                <w:color w:val="000000"/>
                <w:lang w:eastAsia="en-AU"/>
              </w:rPr>
            </w:pPr>
            <w:r w:rsidRPr="001F302A">
              <w:rPr>
                <w:rFonts w:hint="eastAsia"/>
                <w:b w:val="0"/>
              </w:rPr>
              <w:t>≤</w:t>
            </w:r>
            <w:r w:rsidRPr="001F302A">
              <w:rPr>
                <w:rFonts w:hint="eastAsia"/>
                <w:b w:val="0"/>
              </w:rPr>
              <w:t xml:space="preserve"> 6 months</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632D3F37"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59DF0828"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5C48C4F1"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6EB8264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w:t>
            </w:r>
          </w:p>
        </w:tc>
        <w:tc>
          <w:tcPr>
            <w:tcW w:w="963" w:type="dxa"/>
            <w:tcBorders>
              <w:top w:val="single" w:sz="4" w:space="0" w:color="666666" w:themeColor="text1" w:themeTint="99"/>
              <w:left w:val="nil"/>
              <w:bottom w:val="single" w:sz="4" w:space="0" w:color="666666" w:themeColor="text1" w:themeTint="99"/>
              <w:right w:val="nil"/>
            </w:tcBorders>
            <w:vAlign w:val="center"/>
          </w:tcPr>
          <w:p w14:paraId="29A1F5CC"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Pr>
                <w:rFonts w:eastAsia="Times New Roman"/>
                <w:color w:val="000000"/>
                <w:lang w:eastAsia="en-AU"/>
              </w:rPr>
              <w:t>-</w:t>
            </w:r>
          </w:p>
        </w:tc>
      </w:tr>
      <w:tr w:rsidR="009054BB" w14:paraId="5A78C564"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74D8A681" w14:textId="77777777" w:rsidR="009054BB" w:rsidRPr="001F302A" w:rsidRDefault="009054BB" w:rsidP="00FD0B37">
            <w:pPr>
              <w:rPr>
                <w:rFonts w:eastAsia="Times New Roman"/>
                <w:b w:val="0"/>
                <w:color w:val="000000"/>
                <w:lang w:eastAsia="en-AU"/>
              </w:rPr>
            </w:pPr>
            <w:r w:rsidRPr="001F302A">
              <w:rPr>
                <w:b w:val="0"/>
              </w:rPr>
              <w:t>&gt; 6 months</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36789607" w14:textId="4531D868" w:rsidR="009054BB" w:rsidRDefault="009054BB" w:rsidP="0087292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1.</w:t>
            </w:r>
            <w:r w:rsidR="00872924">
              <w:t>4</w:t>
            </w:r>
            <w:r>
              <w:t>5</w:t>
            </w:r>
            <w:r w:rsidRPr="004F2699">
              <w:t xml:space="preserve"> (0.</w:t>
            </w:r>
            <w:r>
              <w:t>4</w:t>
            </w:r>
            <w:r w:rsidR="00872924">
              <w:t>2</w:t>
            </w:r>
            <w:r w:rsidRPr="004F2699">
              <w:t>-</w:t>
            </w:r>
            <w:r>
              <w:t>5</w:t>
            </w:r>
            <w:r w:rsidRPr="004F2699">
              <w:t>.</w:t>
            </w:r>
            <w:r w:rsidR="00872924">
              <w:t>07</w:t>
            </w:r>
            <w:r w:rsidRPr="004F2699">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B206B6D" w14:textId="76E3A10A" w:rsidR="009054BB" w:rsidRDefault="00872924"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0.560</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35C6091E"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NA</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958998C"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27073493"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NA</w:t>
            </w:r>
          </w:p>
        </w:tc>
      </w:tr>
      <w:tr w:rsidR="009054BB" w14:paraId="1C1C413B"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66396CEF" w14:textId="77777777" w:rsidR="009054BB" w:rsidRPr="00E53C59" w:rsidRDefault="009054BB" w:rsidP="00FD0B37">
            <w:pPr>
              <w:rPr>
                <w:rFonts w:eastAsia="Times New Roman"/>
                <w:i/>
                <w:color w:val="000000"/>
                <w:lang w:eastAsia="en-AU"/>
              </w:rPr>
            </w:pPr>
            <w:r w:rsidRPr="00E53C59">
              <w:t>Age of egg introduction</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44150456"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75542637"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384AF70E"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2EF49D4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963" w:type="dxa"/>
            <w:tcBorders>
              <w:top w:val="single" w:sz="4" w:space="0" w:color="666666" w:themeColor="text1" w:themeTint="99"/>
              <w:left w:val="nil"/>
              <w:bottom w:val="single" w:sz="4" w:space="0" w:color="666666" w:themeColor="text1" w:themeTint="99"/>
              <w:right w:val="nil"/>
            </w:tcBorders>
            <w:vAlign w:val="center"/>
          </w:tcPr>
          <w:p w14:paraId="79430B7A"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9054BB" w14:paraId="69C89642"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02FF3C4B" w14:textId="77777777" w:rsidR="009054BB" w:rsidRPr="001F302A" w:rsidRDefault="009054BB" w:rsidP="00FD0B37">
            <w:pPr>
              <w:rPr>
                <w:rFonts w:eastAsia="Times New Roman"/>
                <w:b w:val="0"/>
                <w:color w:val="000000"/>
                <w:lang w:eastAsia="en-AU"/>
              </w:rPr>
            </w:pPr>
            <w:r w:rsidRPr="001F302A">
              <w:rPr>
                <w:rFonts w:hint="eastAsia"/>
                <w:b w:val="0"/>
              </w:rPr>
              <w:t>≤</w:t>
            </w:r>
            <w:r w:rsidRPr="001F302A">
              <w:rPr>
                <w:rFonts w:hint="eastAsia"/>
                <w:b w:val="0"/>
              </w:rPr>
              <w:t xml:space="preserve"> 10 months</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14B8C425"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rPr>
                <w:rFonts w:hint="eastAsia"/>
              </w:rPr>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F496A15"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rPr>
                <w:rFonts w:hint="eastAsia"/>
              </w:rPr>
              <w:t>-</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0E77594F"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rPr>
                <w:rFonts w:hint="eastAsia"/>
              </w:rPr>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13A9EF96"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rPr>
                <w:rFonts w:hint="eastAsia"/>
              </w:rPr>
              <w:t>-</w:t>
            </w:r>
          </w:p>
        </w:tc>
        <w:tc>
          <w:tcPr>
            <w:tcW w:w="963" w:type="dxa"/>
            <w:tcBorders>
              <w:top w:val="single" w:sz="4" w:space="0" w:color="666666" w:themeColor="text1" w:themeTint="99"/>
              <w:left w:val="nil"/>
              <w:bottom w:val="single" w:sz="4" w:space="0" w:color="666666" w:themeColor="text1" w:themeTint="99"/>
              <w:right w:val="nil"/>
            </w:tcBorders>
            <w:vAlign w:val="center"/>
          </w:tcPr>
          <w:p w14:paraId="795916B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w:t>
            </w:r>
          </w:p>
        </w:tc>
      </w:tr>
      <w:tr w:rsidR="009054BB" w14:paraId="4F49F1C3"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4F395BE2" w14:textId="77777777" w:rsidR="009054BB" w:rsidRPr="001F302A" w:rsidRDefault="009054BB" w:rsidP="00FD0B37">
            <w:pPr>
              <w:rPr>
                <w:rFonts w:eastAsia="Times New Roman"/>
                <w:b w:val="0"/>
                <w:color w:val="000000"/>
                <w:lang w:eastAsia="en-AU"/>
              </w:rPr>
            </w:pPr>
            <w:r w:rsidRPr="001F302A">
              <w:rPr>
                <w:b w:val="0"/>
              </w:rPr>
              <w:t>10-12 months</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6686DB3E" w14:textId="1D0F41D6" w:rsidR="009054BB" w:rsidRDefault="009054BB" w:rsidP="0087292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t>0.9</w:t>
            </w:r>
            <w:r w:rsidR="00872924">
              <w:t>4</w:t>
            </w:r>
            <w:r w:rsidRPr="004F2699">
              <w:t xml:space="preserve"> (0.3</w:t>
            </w:r>
            <w:r>
              <w:t>1</w:t>
            </w:r>
            <w:r w:rsidRPr="004F2699">
              <w:t>-</w:t>
            </w:r>
            <w:r>
              <w:t>2</w:t>
            </w:r>
            <w:r w:rsidRPr="004F2699">
              <w:t>.</w:t>
            </w:r>
            <w:r>
              <w:t>8</w:t>
            </w:r>
            <w:r w:rsidR="00872924">
              <w:t>8</w:t>
            </w:r>
            <w:r w:rsidRPr="004F2699">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5E95DA2C" w14:textId="36A14112" w:rsidR="009054BB" w:rsidRDefault="009054BB" w:rsidP="0087292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0.</w:t>
            </w:r>
            <w:r w:rsidR="00872924">
              <w:t>915</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35DFC578" w14:textId="53CAB356"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NA</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64A74D41" w14:textId="27D5AF7B"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014BAD74"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NA</w:t>
            </w:r>
          </w:p>
        </w:tc>
      </w:tr>
      <w:tr w:rsidR="009054BB" w14:paraId="5E53DDD2"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62CCAFA3" w14:textId="77777777" w:rsidR="009054BB" w:rsidRPr="001F302A" w:rsidRDefault="009054BB" w:rsidP="00FD0B37">
            <w:pPr>
              <w:rPr>
                <w:rFonts w:eastAsia="Times New Roman"/>
                <w:b w:val="0"/>
                <w:color w:val="000000"/>
                <w:lang w:eastAsia="en-AU"/>
              </w:rPr>
            </w:pPr>
            <w:r>
              <w:rPr>
                <w:b w:val="0"/>
              </w:rPr>
              <w:t>N</w:t>
            </w:r>
            <w:r w:rsidRPr="001F302A">
              <w:rPr>
                <w:b w:val="0"/>
              </w:rPr>
              <w:t>ot yet given</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617AF7CC" w14:textId="736DD340" w:rsidR="009054BB" w:rsidRDefault="009054BB" w:rsidP="0087292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2.</w:t>
            </w:r>
            <w:r w:rsidR="00872924">
              <w:t>06</w:t>
            </w:r>
            <w:r w:rsidRPr="004F2699">
              <w:t xml:space="preserve"> (0.4</w:t>
            </w:r>
            <w:r w:rsidR="00872924">
              <w:t>6</w:t>
            </w:r>
            <w:r w:rsidRPr="004F2699">
              <w:t>-</w:t>
            </w:r>
            <w:r>
              <w:t>9</w:t>
            </w:r>
            <w:r w:rsidRPr="004F2699">
              <w:t>.</w:t>
            </w:r>
            <w:r w:rsidR="00872924">
              <w:t>19</w:t>
            </w:r>
            <w:r w:rsidRPr="004F2699">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581496A" w14:textId="574E321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0.</w:t>
            </w:r>
            <w:r>
              <w:t>3</w:t>
            </w:r>
            <w:r w:rsidR="00872924">
              <w:t>4</w:t>
            </w:r>
            <w:r>
              <w:t>3</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0BEA4E76"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NA</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36D0CE5F"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0389F39F"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rPr>
            </w:pPr>
            <w:r w:rsidRPr="004F2699">
              <w:t>NA</w:t>
            </w:r>
          </w:p>
        </w:tc>
      </w:tr>
      <w:tr w:rsidR="009054BB" w14:paraId="53B16B6A"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5271B0EE" w14:textId="77777777" w:rsidR="009054BB" w:rsidRPr="00E53C59" w:rsidRDefault="009054BB" w:rsidP="00FD0B37">
            <w:pPr>
              <w:rPr>
                <w:rFonts w:eastAsia="Times New Roman"/>
                <w:color w:val="000000"/>
                <w:lang w:eastAsia="en-AU"/>
              </w:rPr>
            </w:pPr>
            <w:r w:rsidRPr="00E53C59">
              <w:t>Age of peanut introduction</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6E9D8D06"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2D3814F8"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5B893640"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39F30C05"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963" w:type="dxa"/>
            <w:tcBorders>
              <w:top w:val="single" w:sz="4" w:space="0" w:color="666666" w:themeColor="text1" w:themeTint="99"/>
              <w:left w:val="nil"/>
              <w:bottom w:val="single" w:sz="4" w:space="0" w:color="666666" w:themeColor="text1" w:themeTint="99"/>
              <w:right w:val="nil"/>
            </w:tcBorders>
            <w:vAlign w:val="center"/>
          </w:tcPr>
          <w:p w14:paraId="3C20DC55"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r>
      <w:tr w:rsidR="009054BB" w14:paraId="263E13B7"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5872A6BC" w14:textId="77777777" w:rsidR="009054BB" w:rsidRPr="001F302A" w:rsidRDefault="009054BB" w:rsidP="00FD0B37">
            <w:pPr>
              <w:rPr>
                <w:rFonts w:eastAsia="Times New Roman"/>
                <w:b w:val="0"/>
                <w:i/>
                <w:color w:val="000000"/>
                <w:lang w:eastAsia="en-AU"/>
              </w:rPr>
            </w:pPr>
            <w:r>
              <w:rPr>
                <w:b w:val="0"/>
              </w:rPr>
              <w:t>N</w:t>
            </w:r>
            <w:r w:rsidRPr="001F302A">
              <w:rPr>
                <w:b w:val="0"/>
              </w:rPr>
              <w:t>ot yet given</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41736359"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1</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02B71A23"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45726B29"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1</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5185D172"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w:t>
            </w:r>
          </w:p>
        </w:tc>
        <w:tc>
          <w:tcPr>
            <w:tcW w:w="963" w:type="dxa"/>
            <w:tcBorders>
              <w:top w:val="single" w:sz="4" w:space="0" w:color="666666" w:themeColor="text1" w:themeTint="99"/>
              <w:left w:val="nil"/>
              <w:bottom w:val="single" w:sz="4" w:space="0" w:color="666666" w:themeColor="text1" w:themeTint="99"/>
              <w:right w:val="nil"/>
            </w:tcBorders>
            <w:vAlign w:val="center"/>
          </w:tcPr>
          <w:p w14:paraId="15C0F32F"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Pr>
                <w:rFonts w:eastAsia="Times New Roman"/>
                <w:color w:val="000000"/>
                <w:lang w:eastAsia="en-AU"/>
              </w:rPr>
              <w:t>-</w:t>
            </w:r>
          </w:p>
        </w:tc>
      </w:tr>
      <w:tr w:rsidR="009054BB" w14:paraId="6A1C1FA4"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36870B74" w14:textId="77777777" w:rsidR="009054BB" w:rsidRPr="001F302A" w:rsidRDefault="009054BB" w:rsidP="00FD0B37">
            <w:pPr>
              <w:rPr>
                <w:rFonts w:eastAsia="Times New Roman"/>
                <w:b w:val="0"/>
                <w:i/>
                <w:color w:val="000000"/>
                <w:lang w:eastAsia="en-AU"/>
              </w:rPr>
            </w:pPr>
            <w:r w:rsidRPr="001F302A">
              <w:rPr>
                <w:rFonts w:hint="eastAsia"/>
                <w:b w:val="0"/>
              </w:rPr>
              <w:t>≤</w:t>
            </w:r>
            <w:r w:rsidRPr="001F302A">
              <w:rPr>
                <w:rFonts w:hint="eastAsia"/>
                <w:b w:val="0"/>
              </w:rPr>
              <w:t xml:space="preserve"> 10 </w:t>
            </w:r>
            <w:proofErr w:type="spellStart"/>
            <w:r w:rsidRPr="001F302A">
              <w:rPr>
                <w:rFonts w:hint="eastAsia"/>
                <w:b w:val="0"/>
              </w:rPr>
              <w:t>mth</w:t>
            </w:r>
            <w:r>
              <w:rPr>
                <w:b w:val="0"/>
              </w:rPr>
              <w:t>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75CF2EEA" w14:textId="0BC987BE" w:rsidR="009054BB" w:rsidRDefault="009054BB" w:rsidP="00872924">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0.</w:t>
            </w:r>
            <w:r w:rsidR="00872924">
              <w:t>73</w:t>
            </w:r>
            <w:r w:rsidR="00872924" w:rsidRPr="004F2699">
              <w:rPr>
                <w:rFonts w:hint="eastAsia"/>
              </w:rPr>
              <w:t xml:space="preserve"> </w:t>
            </w:r>
            <w:r w:rsidRPr="004F2699">
              <w:rPr>
                <w:rFonts w:hint="eastAsia"/>
              </w:rPr>
              <w:t>(0.2</w:t>
            </w:r>
            <w:r w:rsidR="00872924">
              <w:t>1</w:t>
            </w:r>
            <w:r w:rsidRPr="004F2699">
              <w:rPr>
                <w:rFonts w:hint="eastAsia"/>
              </w:rPr>
              <w:t>-2.</w:t>
            </w:r>
            <w:r w:rsidR="00872924">
              <w:t>45</w:t>
            </w:r>
            <w:r w:rsidRPr="004F2699">
              <w:rPr>
                <w:rFonts w:hint="eastAsia"/>
              </w:rPr>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2847B5AE" w14:textId="58C51832"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rPr>
                <w:rFonts w:hint="eastAsia"/>
              </w:rPr>
              <w:t>0.</w:t>
            </w:r>
            <w:r>
              <w:t>6</w:t>
            </w:r>
            <w:r w:rsidR="00872924">
              <w:t>05</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621192A0"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NA</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5732E9BA"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573D6A19"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color w:val="000000"/>
              </w:rPr>
            </w:pPr>
            <w:r w:rsidRPr="004F2699">
              <w:t>NA</w:t>
            </w:r>
          </w:p>
        </w:tc>
      </w:tr>
      <w:tr w:rsidR="009054BB" w14:paraId="51F598B4"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53F6B942" w14:textId="77777777" w:rsidR="009054BB" w:rsidRPr="001F302A" w:rsidRDefault="009054BB" w:rsidP="00FD0B37">
            <w:pPr>
              <w:rPr>
                <w:rFonts w:eastAsia="Times New Roman"/>
                <w:b w:val="0"/>
                <w:i/>
                <w:color w:val="000000"/>
                <w:lang w:eastAsia="en-AU"/>
              </w:rPr>
            </w:pPr>
            <w:r w:rsidRPr="001F302A">
              <w:rPr>
                <w:b w:val="0"/>
              </w:rPr>
              <w:t>&gt; 10</w:t>
            </w:r>
            <w:r>
              <w:rPr>
                <w:b w:val="0"/>
              </w:rPr>
              <w:t xml:space="preserve"> </w:t>
            </w:r>
            <w:proofErr w:type="spellStart"/>
            <w:r w:rsidRPr="001F302A">
              <w:rPr>
                <w:b w:val="0"/>
              </w:rPr>
              <w:t>mth</w:t>
            </w:r>
            <w:r>
              <w:rPr>
                <w:b w:val="0"/>
              </w:rPr>
              <w:t>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3B2DFB48" w14:textId="16F285C4"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0.</w:t>
            </w:r>
            <w:r>
              <w:t>5</w:t>
            </w:r>
            <w:r w:rsidR="00872924">
              <w:t>0</w:t>
            </w:r>
            <w:r w:rsidRPr="004F2699">
              <w:t xml:space="preserve"> (0.0</w:t>
            </w:r>
            <w:r>
              <w:t>6</w:t>
            </w:r>
            <w:r w:rsidRPr="004F2699">
              <w:t>-</w:t>
            </w:r>
            <w:r>
              <w:t>4.</w:t>
            </w:r>
            <w:r w:rsidR="00872924">
              <w:t>3</w:t>
            </w:r>
            <w:r>
              <w:t>2</w:t>
            </w:r>
            <w:r w:rsidRPr="004F2699">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6E0DDEFB" w14:textId="710277AF" w:rsidR="009054BB" w:rsidRDefault="009054BB" w:rsidP="00872924">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rsidRPr="004F2699">
              <w:t>0.</w:t>
            </w:r>
            <w:r w:rsidR="00872924">
              <w:t>531</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25303D9E" w14:textId="7CB764D8" w:rsidR="009054BB" w:rsidRDefault="009054BB" w:rsidP="00C4378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1.</w:t>
            </w:r>
            <w:r w:rsidR="00C4378A">
              <w:t>51</w:t>
            </w:r>
            <w:r w:rsidR="00C4378A" w:rsidRPr="004F2699">
              <w:t xml:space="preserve"> </w:t>
            </w:r>
            <w:r w:rsidRPr="004F2699">
              <w:t>(0.</w:t>
            </w:r>
            <w:r>
              <w:t>2</w:t>
            </w:r>
            <w:r w:rsidR="00C4378A">
              <w:t>7</w:t>
            </w:r>
            <w:r w:rsidRPr="004F2699">
              <w:t>-</w:t>
            </w:r>
            <w:r w:rsidR="00C4378A">
              <w:t>8.46</w:t>
            </w:r>
            <w:r w:rsidRPr="004F2699">
              <w:t>)</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46B8A8BF" w14:textId="221CB108" w:rsidR="009054BB" w:rsidRDefault="00C4378A" w:rsidP="00FD0B37">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0.639</w:t>
            </w:r>
          </w:p>
        </w:tc>
        <w:tc>
          <w:tcPr>
            <w:tcW w:w="963" w:type="dxa"/>
            <w:tcBorders>
              <w:top w:val="single" w:sz="4" w:space="0" w:color="666666" w:themeColor="text1" w:themeTint="99"/>
              <w:left w:val="nil"/>
              <w:bottom w:val="single" w:sz="4" w:space="0" w:color="666666" w:themeColor="text1" w:themeTint="99"/>
              <w:right w:val="nil"/>
            </w:tcBorders>
            <w:vAlign w:val="center"/>
          </w:tcPr>
          <w:p w14:paraId="352E72C4" w14:textId="77777777" w:rsidR="009054BB" w:rsidRDefault="009054BB" w:rsidP="00FD0B37">
            <w:pPr>
              <w:jc w:val="center"/>
              <w:cnfStyle w:val="000000000000" w:firstRow="0" w:lastRow="0" w:firstColumn="0" w:lastColumn="0" w:oddVBand="0" w:evenVBand="0" w:oddHBand="0" w:evenHBand="0" w:firstRowFirstColumn="0" w:firstRowLastColumn="0" w:lastRowFirstColumn="0" w:lastRowLastColumn="0"/>
              <w:rPr>
                <w:color w:val="000000"/>
              </w:rPr>
            </w:pPr>
            <w:r w:rsidRPr="009675B7">
              <w:rPr>
                <w:color w:val="000000"/>
              </w:rPr>
              <w:t>0.53</w:t>
            </w:r>
            <w:r>
              <w:rPr>
                <w:color w:val="000000"/>
              </w:rPr>
              <w:t>1</w:t>
            </w:r>
          </w:p>
        </w:tc>
      </w:tr>
      <w:tr w:rsidR="009054BB" w14:paraId="2752C538"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55F00084" w14:textId="77777777" w:rsidR="009054BB" w:rsidRPr="00E53C59" w:rsidRDefault="009054BB" w:rsidP="00FD0B37">
            <w:pPr>
              <w:rPr>
                <w:rFonts w:eastAsia="Times New Roman"/>
                <w:color w:val="000000"/>
                <w:lang w:eastAsia="en-AU"/>
              </w:rPr>
            </w:pPr>
            <w:r w:rsidRPr="00E53C59">
              <w:lastRenderedPageBreak/>
              <w:t>Duration of breastfeeding</w:t>
            </w: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73509A99"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7647C6D5"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b/>
                <w:color w:val="000000"/>
                <w:lang w:eastAsia="en-AU"/>
              </w:rPr>
            </w:pPr>
          </w:p>
        </w:tc>
        <w:tc>
          <w:tcPr>
            <w:tcW w:w="1951" w:type="dxa"/>
            <w:tcBorders>
              <w:top w:val="single" w:sz="4" w:space="0" w:color="666666" w:themeColor="text1" w:themeTint="99"/>
              <w:left w:val="nil"/>
              <w:bottom w:val="single" w:sz="4" w:space="0" w:color="666666" w:themeColor="text1" w:themeTint="99"/>
              <w:right w:val="nil"/>
            </w:tcBorders>
            <w:noWrap/>
            <w:vAlign w:val="center"/>
            <w:hideMark/>
          </w:tcPr>
          <w:p w14:paraId="3AA3BEE8"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36DFA8EB"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p>
        </w:tc>
        <w:tc>
          <w:tcPr>
            <w:tcW w:w="963" w:type="dxa"/>
            <w:tcBorders>
              <w:top w:val="single" w:sz="4" w:space="0" w:color="666666" w:themeColor="text1" w:themeTint="99"/>
              <w:left w:val="nil"/>
              <w:bottom w:val="single" w:sz="4" w:space="0" w:color="666666" w:themeColor="text1" w:themeTint="99"/>
              <w:right w:val="nil"/>
            </w:tcBorders>
            <w:vAlign w:val="center"/>
          </w:tcPr>
          <w:p w14:paraId="3D6002A8" w14:textId="77777777" w:rsidR="009054BB" w:rsidRDefault="009054BB" w:rsidP="00FD0B37">
            <w:pPr>
              <w:jc w:val="center"/>
              <w:cnfStyle w:val="000000100000" w:firstRow="0" w:lastRow="0" w:firstColumn="0" w:lastColumn="0" w:oddVBand="0" w:evenVBand="0" w:oddHBand="1" w:evenHBand="0" w:firstRowFirstColumn="0" w:firstRowLastColumn="0" w:lastRowFirstColumn="0" w:lastRowLastColumn="0"/>
              <w:rPr>
                <w:color w:val="000000"/>
              </w:rPr>
            </w:pPr>
          </w:p>
        </w:tc>
      </w:tr>
      <w:tr w:rsidR="00872924" w14:paraId="0583A6A7"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tcPr>
          <w:p w14:paraId="068AE54B" w14:textId="0F49613C" w:rsidR="00872924" w:rsidRPr="001F302A" w:rsidRDefault="00872924" w:rsidP="00FD0B37">
            <w:pPr>
              <w:rPr>
                <w:b w:val="0"/>
              </w:rPr>
            </w:pPr>
            <w:r>
              <w:rPr>
                <w:b w:val="0"/>
              </w:rPr>
              <w:t xml:space="preserve">&lt; 1 </w:t>
            </w:r>
            <w:proofErr w:type="spellStart"/>
            <w:r>
              <w:rPr>
                <w:b w:val="0"/>
              </w:rPr>
              <w:t>mths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198B1BE1" w14:textId="087C5AFB" w:rsidR="00872924" w:rsidRPr="004F2699" w:rsidRDefault="002E400A" w:rsidP="00FD0B37">
            <w:pPr>
              <w:jc w:val="center"/>
              <w:cnfStyle w:val="000000000000" w:firstRow="0" w:lastRow="0" w:firstColumn="0" w:lastColumn="0" w:oddVBand="0" w:evenVBand="0" w:oddHBand="0" w:evenHBand="0" w:firstRowFirstColumn="0" w:firstRowLastColumn="0" w:lastRowFirstColumn="0" w:lastRowLastColumn="0"/>
            </w:pPr>
            <w:r>
              <w:t>1.62 (0.34-7.73)</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8B951F8" w14:textId="559A9025" w:rsidR="00872924" w:rsidRPr="004F2699" w:rsidRDefault="002E400A" w:rsidP="00FD0B37">
            <w:pPr>
              <w:jc w:val="center"/>
              <w:cnfStyle w:val="000000000000" w:firstRow="0" w:lastRow="0" w:firstColumn="0" w:lastColumn="0" w:oddVBand="0" w:evenVBand="0" w:oddHBand="0" w:evenHBand="0" w:firstRowFirstColumn="0" w:firstRowLastColumn="0" w:lastRowFirstColumn="0" w:lastRowLastColumn="0"/>
            </w:pPr>
            <w:r>
              <w:t>0.546</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488A58A8" w14:textId="3F3E6A41" w:rsidR="00872924" w:rsidRPr="004F2699" w:rsidRDefault="009760BF" w:rsidP="00FD0B37">
            <w:pPr>
              <w:jc w:val="center"/>
              <w:cnfStyle w:val="000000000000" w:firstRow="0" w:lastRow="0" w:firstColumn="0" w:lastColumn="0" w:oddVBand="0" w:evenVBand="0" w:oddHBand="0" w:evenHBand="0" w:firstRowFirstColumn="0" w:firstRowLastColumn="0" w:lastRowFirstColumn="0" w:lastRowLastColumn="0"/>
            </w:pPr>
            <w:r>
              <w:t>NA</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7E77FC65" w14:textId="0D15611B" w:rsidR="00872924" w:rsidRPr="004F2699" w:rsidRDefault="009760BF" w:rsidP="00FD0B37">
            <w:pPr>
              <w:jc w:val="center"/>
              <w:cnfStyle w:val="000000000000" w:firstRow="0" w:lastRow="0" w:firstColumn="0" w:lastColumn="0" w:oddVBand="0" w:evenVBand="0" w:oddHBand="0" w:evenHBand="0" w:firstRowFirstColumn="0" w:firstRowLastColumn="0" w:lastRowFirstColumn="0" w:lastRowLastColumn="0"/>
            </w:pPr>
            <w:r>
              <w:t>NA</w:t>
            </w:r>
          </w:p>
        </w:tc>
        <w:tc>
          <w:tcPr>
            <w:tcW w:w="963" w:type="dxa"/>
            <w:tcBorders>
              <w:top w:val="single" w:sz="4" w:space="0" w:color="666666" w:themeColor="text1" w:themeTint="99"/>
              <w:left w:val="nil"/>
              <w:bottom w:val="single" w:sz="4" w:space="0" w:color="666666" w:themeColor="text1" w:themeTint="99"/>
              <w:right w:val="nil"/>
            </w:tcBorders>
            <w:vAlign w:val="center"/>
          </w:tcPr>
          <w:p w14:paraId="5C1AA6F3" w14:textId="091214F4" w:rsidR="00872924" w:rsidRDefault="009760BF" w:rsidP="00FD0B37">
            <w:pPr>
              <w:jc w:val="center"/>
              <w:cnfStyle w:val="000000000000" w:firstRow="0" w:lastRow="0" w:firstColumn="0" w:lastColumn="0" w:oddVBand="0" w:evenVBand="0" w:oddHBand="0" w:evenHBand="0" w:firstRowFirstColumn="0" w:firstRowLastColumn="0" w:lastRowFirstColumn="0" w:lastRowLastColumn="0"/>
            </w:pPr>
            <w:r>
              <w:t>NA</w:t>
            </w:r>
          </w:p>
        </w:tc>
      </w:tr>
      <w:tr w:rsidR="009760BF" w14:paraId="22322134"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tcPr>
          <w:p w14:paraId="269CF723" w14:textId="08EFC423" w:rsidR="009760BF" w:rsidRPr="001F302A" w:rsidRDefault="009760BF" w:rsidP="009760BF">
            <w:pPr>
              <w:rPr>
                <w:b w:val="0"/>
              </w:rPr>
            </w:pPr>
            <w:r>
              <w:rPr>
                <w:b w:val="0"/>
              </w:rPr>
              <w:t xml:space="preserve">1-2 </w:t>
            </w:r>
            <w:proofErr w:type="spellStart"/>
            <w:r>
              <w:rPr>
                <w:b w:val="0"/>
              </w:rPr>
              <w:t>mths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6EC1C278" w14:textId="6FC48B71" w:rsidR="009760BF" w:rsidRPr="004F2699" w:rsidRDefault="009760BF" w:rsidP="009760BF">
            <w:pPr>
              <w:jc w:val="center"/>
              <w:cnfStyle w:val="000000100000" w:firstRow="0" w:lastRow="0" w:firstColumn="0" w:lastColumn="0" w:oddVBand="0" w:evenVBand="0" w:oddHBand="1" w:evenHBand="0" w:firstRowFirstColumn="0" w:firstRowLastColumn="0" w:lastRowFirstColumn="0" w:lastRowLastColumn="0"/>
            </w:pPr>
            <w:r>
              <w:t>1.07 (0.24-4.67)</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1A4E5DBF" w14:textId="0A2226EE" w:rsidR="009760BF" w:rsidRPr="004F2699" w:rsidRDefault="009760BF" w:rsidP="009760BF">
            <w:pPr>
              <w:jc w:val="center"/>
              <w:cnfStyle w:val="000000100000" w:firstRow="0" w:lastRow="0" w:firstColumn="0" w:lastColumn="0" w:oddVBand="0" w:evenVBand="0" w:oddHBand="1" w:evenHBand="0" w:firstRowFirstColumn="0" w:firstRowLastColumn="0" w:lastRowFirstColumn="0" w:lastRowLastColumn="0"/>
            </w:pPr>
            <w:r>
              <w:t>0.930</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4B6F2E72" w14:textId="61974179" w:rsidR="009760BF" w:rsidRPr="004F2699" w:rsidRDefault="009760BF" w:rsidP="009760BF">
            <w:pPr>
              <w:jc w:val="center"/>
              <w:cnfStyle w:val="000000100000" w:firstRow="0" w:lastRow="0" w:firstColumn="0" w:lastColumn="0" w:oddVBand="0" w:evenVBand="0" w:oddHBand="1" w:evenHBand="0" w:firstRowFirstColumn="0" w:firstRowLastColumn="0" w:lastRowFirstColumn="0" w:lastRowLastColumn="0"/>
            </w:pPr>
            <w:r>
              <w:t>0.92 (0.08-10.4)</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3559EE3" w14:textId="471BDE88" w:rsidR="009760BF" w:rsidRPr="004F2699" w:rsidRDefault="009760BF" w:rsidP="009760BF">
            <w:pPr>
              <w:jc w:val="center"/>
              <w:cnfStyle w:val="000000100000" w:firstRow="0" w:lastRow="0" w:firstColumn="0" w:lastColumn="0" w:oddVBand="0" w:evenVBand="0" w:oddHBand="1" w:evenHBand="0" w:firstRowFirstColumn="0" w:firstRowLastColumn="0" w:lastRowFirstColumn="0" w:lastRowLastColumn="0"/>
            </w:pPr>
            <w:r>
              <w:t>0.946</w:t>
            </w:r>
          </w:p>
        </w:tc>
        <w:tc>
          <w:tcPr>
            <w:tcW w:w="963" w:type="dxa"/>
            <w:tcBorders>
              <w:top w:val="single" w:sz="4" w:space="0" w:color="666666" w:themeColor="text1" w:themeTint="99"/>
              <w:left w:val="nil"/>
              <w:bottom w:val="single" w:sz="4" w:space="0" w:color="666666" w:themeColor="text1" w:themeTint="99"/>
              <w:right w:val="nil"/>
            </w:tcBorders>
            <w:vAlign w:val="center"/>
          </w:tcPr>
          <w:p w14:paraId="06BD2B48" w14:textId="29137B4C" w:rsidR="009760BF" w:rsidRDefault="009760BF" w:rsidP="009760BF">
            <w:pPr>
              <w:jc w:val="center"/>
              <w:cnfStyle w:val="000000100000" w:firstRow="0" w:lastRow="0" w:firstColumn="0" w:lastColumn="0" w:oddVBand="0" w:evenVBand="0" w:oddHBand="1" w:evenHBand="0" w:firstRowFirstColumn="0" w:firstRowLastColumn="0" w:lastRowFirstColumn="0" w:lastRowLastColumn="0"/>
            </w:pPr>
            <w:r>
              <w:t>0.550</w:t>
            </w:r>
          </w:p>
        </w:tc>
      </w:tr>
      <w:tr w:rsidR="009760BF" w14:paraId="33954800"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2D64B52F" w14:textId="41C0407F" w:rsidR="009760BF" w:rsidRPr="001F302A" w:rsidRDefault="009760BF" w:rsidP="009760BF">
            <w:pPr>
              <w:rPr>
                <w:rFonts w:eastAsia="Times New Roman"/>
                <w:b w:val="0"/>
                <w:color w:val="000000"/>
                <w:lang w:eastAsia="en-AU"/>
              </w:rPr>
            </w:pPr>
            <w:r>
              <w:rPr>
                <w:b w:val="0"/>
              </w:rPr>
              <w:t>3-5</w:t>
            </w:r>
            <w:r w:rsidRPr="001F302A">
              <w:rPr>
                <w:b w:val="0"/>
              </w:rPr>
              <w:t xml:space="preserve"> </w:t>
            </w:r>
            <w:proofErr w:type="spellStart"/>
            <w:r w:rsidRPr="001F302A">
              <w:rPr>
                <w:b w:val="0"/>
              </w:rPr>
              <w:t>mths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0B879CA0" w14:textId="077711A5" w:rsidR="009760BF" w:rsidRDefault="009760BF" w:rsidP="009760B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1.79 (0.65-4.92)</w:t>
            </w:r>
          </w:p>
        </w:tc>
        <w:tc>
          <w:tcPr>
            <w:tcW w:w="1296" w:type="dxa"/>
            <w:tcBorders>
              <w:top w:val="single" w:sz="4" w:space="0" w:color="666666" w:themeColor="text1" w:themeTint="99"/>
              <w:left w:val="nil"/>
              <w:bottom w:val="single" w:sz="4" w:space="0" w:color="666666" w:themeColor="text1" w:themeTint="99"/>
              <w:right w:val="nil"/>
            </w:tcBorders>
            <w:noWrap/>
            <w:vAlign w:val="center"/>
            <w:hideMark/>
          </w:tcPr>
          <w:p w14:paraId="6C9063B7" w14:textId="7DECA1AF" w:rsidR="009760BF" w:rsidRDefault="009760BF" w:rsidP="009760B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0.261</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7A4E4928" w14:textId="7A039FFF" w:rsidR="009760BF" w:rsidRDefault="009760BF" w:rsidP="009760B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0.52 (0.05-5.39)</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2859701B" w14:textId="781DE95A" w:rsidR="009760BF" w:rsidRDefault="009760BF" w:rsidP="009760B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0.581</w:t>
            </w:r>
          </w:p>
        </w:tc>
        <w:tc>
          <w:tcPr>
            <w:tcW w:w="963" w:type="dxa"/>
            <w:tcBorders>
              <w:top w:val="single" w:sz="4" w:space="0" w:color="666666" w:themeColor="text1" w:themeTint="99"/>
              <w:left w:val="nil"/>
              <w:bottom w:val="single" w:sz="4" w:space="0" w:color="666666" w:themeColor="text1" w:themeTint="99"/>
              <w:right w:val="nil"/>
            </w:tcBorders>
            <w:vAlign w:val="center"/>
          </w:tcPr>
          <w:p w14:paraId="0A2E76EE" w14:textId="2E8E1B4E" w:rsidR="009760BF" w:rsidRDefault="009760BF" w:rsidP="009760BF">
            <w:pPr>
              <w:jc w:val="center"/>
              <w:cnfStyle w:val="000000000000" w:firstRow="0" w:lastRow="0" w:firstColumn="0" w:lastColumn="0" w:oddVBand="0" w:evenVBand="0" w:oddHBand="0" w:evenHBand="0" w:firstRowFirstColumn="0" w:firstRowLastColumn="0" w:lastRowFirstColumn="0" w:lastRowLastColumn="0"/>
            </w:pPr>
            <w:r>
              <w:t>0.203</w:t>
            </w:r>
          </w:p>
        </w:tc>
      </w:tr>
      <w:tr w:rsidR="002E400A" w14:paraId="3824D7D0" w14:textId="77777777" w:rsidTr="009760BF">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00F8030B" w14:textId="1CBA51AF" w:rsidR="002E400A" w:rsidRPr="001F302A" w:rsidRDefault="002E400A" w:rsidP="002E400A">
            <w:pPr>
              <w:rPr>
                <w:rFonts w:eastAsia="Times New Roman"/>
                <w:b w:val="0"/>
                <w:color w:val="000000"/>
                <w:lang w:eastAsia="en-AU"/>
              </w:rPr>
            </w:pPr>
            <w:r w:rsidRPr="001F302A">
              <w:rPr>
                <w:b w:val="0"/>
              </w:rPr>
              <w:t>6</w:t>
            </w:r>
            <w:r>
              <w:rPr>
                <w:b w:val="0"/>
              </w:rPr>
              <w:t>-</w:t>
            </w:r>
            <w:proofErr w:type="gramStart"/>
            <w:r>
              <w:rPr>
                <w:b w:val="0"/>
              </w:rPr>
              <w:t>11</w:t>
            </w:r>
            <w:r w:rsidRPr="001F302A">
              <w:rPr>
                <w:b w:val="0"/>
              </w:rPr>
              <w:t xml:space="preserve"> </w:t>
            </w:r>
            <w:r>
              <w:rPr>
                <w:b w:val="0"/>
              </w:rPr>
              <w:t xml:space="preserve"> </w:t>
            </w:r>
            <w:proofErr w:type="spellStart"/>
            <w:r w:rsidRPr="001F302A">
              <w:rPr>
                <w:b w:val="0"/>
              </w:rPr>
              <w:t>mth</w:t>
            </w:r>
            <w:r>
              <w:rPr>
                <w:b w:val="0"/>
              </w:rPr>
              <w:t>s</w:t>
            </w:r>
            <w:proofErr w:type="spellEnd"/>
            <w:proofErr w:type="gramEnd"/>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459964B5" w14:textId="30249488" w:rsidR="002E400A" w:rsidRDefault="002E400A" w:rsidP="002E400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1</w:t>
            </w:r>
            <w:r>
              <w:t>.28 (0.46-3.53)</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28B957F0" w14:textId="0662E1E1" w:rsidR="002E400A" w:rsidRDefault="002E400A" w:rsidP="002E400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0.</w:t>
            </w:r>
            <w:r>
              <w:t>634</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696F4B81" w14:textId="65DE6613" w:rsidR="002E400A" w:rsidRDefault="009760BF" w:rsidP="002E400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t>1.01 (0.16-6.26)</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6DB09257" w14:textId="1FFEE47C" w:rsidR="002E400A" w:rsidRDefault="002E400A" w:rsidP="009760B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sidRPr="004F2699">
              <w:t>0.</w:t>
            </w:r>
            <w:r w:rsidR="009760BF">
              <w:t>991</w:t>
            </w:r>
          </w:p>
        </w:tc>
        <w:tc>
          <w:tcPr>
            <w:tcW w:w="963" w:type="dxa"/>
            <w:tcBorders>
              <w:top w:val="single" w:sz="4" w:space="0" w:color="666666" w:themeColor="text1" w:themeTint="99"/>
              <w:left w:val="nil"/>
              <w:bottom w:val="single" w:sz="4" w:space="0" w:color="666666" w:themeColor="text1" w:themeTint="99"/>
              <w:right w:val="nil"/>
            </w:tcBorders>
            <w:vAlign w:val="center"/>
          </w:tcPr>
          <w:p w14:paraId="29EB04D3" w14:textId="061B75E7" w:rsidR="002E400A" w:rsidRDefault="009760BF" w:rsidP="002E400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lang w:eastAsia="en-AU"/>
              </w:rPr>
            </w:pPr>
            <w:r>
              <w:rPr>
                <w:rFonts w:eastAsia="Times New Roman"/>
                <w:color w:val="000000"/>
                <w:lang w:eastAsia="en-AU"/>
              </w:rPr>
              <w:t>0.523</w:t>
            </w:r>
          </w:p>
        </w:tc>
      </w:tr>
      <w:tr w:rsidR="002E400A" w14:paraId="60ACDE55" w14:textId="77777777" w:rsidTr="009760BF">
        <w:trPr>
          <w:trHeight w:val="382"/>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666666" w:themeColor="text1" w:themeTint="99"/>
              <w:left w:val="nil"/>
              <w:bottom w:val="single" w:sz="4" w:space="0" w:color="666666" w:themeColor="text1" w:themeTint="99"/>
              <w:right w:val="nil"/>
            </w:tcBorders>
            <w:noWrap/>
            <w:hideMark/>
          </w:tcPr>
          <w:p w14:paraId="78781323" w14:textId="346195C8" w:rsidR="002E400A" w:rsidRPr="001F302A" w:rsidRDefault="002E400A" w:rsidP="002E400A">
            <w:pPr>
              <w:rPr>
                <w:rFonts w:eastAsiaTheme="minorHAnsi"/>
                <w:b w:val="0"/>
                <w:lang w:eastAsia="en-US"/>
              </w:rPr>
            </w:pPr>
            <w:r w:rsidRPr="001F302A">
              <w:rPr>
                <w:b w:val="0"/>
              </w:rPr>
              <w:t>≥ 12</w:t>
            </w:r>
            <w:r>
              <w:rPr>
                <w:b w:val="0"/>
              </w:rPr>
              <w:t xml:space="preserve"> </w:t>
            </w:r>
            <w:proofErr w:type="spellStart"/>
            <w:r w:rsidRPr="001F302A">
              <w:rPr>
                <w:b w:val="0"/>
              </w:rPr>
              <w:t>mth</w:t>
            </w:r>
            <w:r>
              <w:rPr>
                <w:b w:val="0"/>
              </w:rPr>
              <w:t>s</w:t>
            </w:r>
            <w:proofErr w:type="spellEnd"/>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318317FB" w14:textId="05294039" w:rsidR="002E400A" w:rsidRDefault="002E400A" w:rsidP="002E400A">
            <w:pPr>
              <w:jc w:val="center"/>
              <w:cnfStyle w:val="000000000000" w:firstRow="0" w:lastRow="0" w:firstColumn="0" w:lastColumn="0" w:oddVBand="0" w:evenVBand="0" w:oddHBand="0" w:evenHBand="0" w:firstRowFirstColumn="0" w:firstRowLastColumn="0" w:lastRowFirstColumn="0" w:lastRowLastColumn="0"/>
            </w:pPr>
            <w:r w:rsidRPr="004F2699">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0D3BD22D" w14:textId="5C82AD26" w:rsidR="002E400A" w:rsidRDefault="002E400A" w:rsidP="002E400A">
            <w:pPr>
              <w:jc w:val="center"/>
              <w:cnfStyle w:val="000000000000" w:firstRow="0" w:lastRow="0" w:firstColumn="0" w:lastColumn="0" w:oddVBand="0" w:evenVBand="0" w:oddHBand="0" w:evenHBand="0" w:firstRowFirstColumn="0" w:firstRowLastColumn="0" w:lastRowFirstColumn="0" w:lastRowLastColumn="0"/>
            </w:pPr>
            <w:r w:rsidRPr="004F2699">
              <w:t>-</w:t>
            </w:r>
          </w:p>
        </w:tc>
        <w:tc>
          <w:tcPr>
            <w:tcW w:w="1951" w:type="dxa"/>
            <w:tcBorders>
              <w:top w:val="single" w:sz="4" w:space="0" w:color="666666" w:themeColor="text1" w:themeTint="99"/>
              <w:left w:val="nil"/>
              <w:bottom w:val="single" w:sz="4" w:space="0" w:color="666666" w:themeColor="text1" w:themeTint="99"/>
              <w:right w:val="nil"/>
            </w:tcBorders>
            <w:noWrap/>
            <w:vAlign w:val="center"/>
          </w:tcPr>
          <w:p w14:paraId="4AFAC198" w14:textId="038CB64B" w:rsidR="002E400A" w:rsidRDefault="002E400A" w:rsidP="002E400A">
            <w:pPr>
              <w:jc w:val="center"/>
              <w:cnfStyle w:val="000000000000" w:firstRow="0" w:lastRow="0" w:firstColumn="0" w:lastColumn="0" w:oddVBand="0" w:evenVBand="0" w:oddHBand="0" w:evenHBand="0" w:firstRowFirstColumn="0" w:firstRowLastColumn="0" w:lastRowFirstColumn="0" w:lastRowLastColumn="0"/>
            </w:pPr>
            <w:r w:rsidRPr="004F2699">
              <w:t>1</w:t>
            </w:r>
          </w:p>
        </w:tc>
        <w:tc>
          <w:tcPr>
            <w:tcW w:w="1296" w:type="dxa"/>
            <w:tcBorders>
              <w:top w:val="single" w:sz="4" w:space="0" w:color="666666" w:themeColor="text1" w:themeTint="99"/>
              <w:left w:val="nil"/>
              <w:bottom w:val="single" w:sz="4" w:space="0" w:color="666666" w:themeColor="text1" w:themeTint="99"/>
              <w:right w:val="nil"/>
            </w:tcBorders>
            <w:noWrap/>
            <w:vAlign w:val="center"/>
          </w:tcPr>
          <w:p w14:paraId="10E1B55F" w14:textId="78088D38" w:rsidR="002E400A" w:rsidRDefault="002E400A" w:rsidP="002E400A">
            <w:pPr>
              <w:jc w:val="center"/>
              <w:cnfStyle w:val="000000000000" w:firstRow="0" w:lastRow="0" w:firstColumn="0" w:lastColumn="0" w:oddVBand="0" w:evenVBand="0" w:oddHBand="0" w:evenHBand="0" w:firstRowFirstColumn="0" w:firstRowLastColumn="0" w:lastRowFirstColumn="0" w:lastRowLastColumn="0"/>
            </w:pPr>
            <w:r w:rsidRPr="004F2699">
              <w:t>-</w:t>
            </w:r>
          </w:p>
        </w:tc>
        <w:tc>
          <w:tcPr>
            <w:tcW w:w="963" w:type="dxa"/>
            <w:tcBorders>
              <w:top w:val="single" w:sz="4" w:space="0" w:color="666666" w:themeColor="text1" w:themeTint="99"/>
              <w:left w:val="nil"/>
              <w:bottom w:val="single" w:sz="4" w:space="0" w:color="666666" w:themeColor="text1" w:themeTint="99"/>
              <w:right w:val="nil"/>
            </w:tcBorders>
            <w:vAlign w:val="center"/>
          </w:tcPr>
          <w:p w14:paraId="3DF7A620" w14:textId="5E9AAC1B" w:rsidR="002E400A" w:rsidRDefault="002E400A" w:rsidP="002E400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lang w:eastAsia="en-AU"/>
              </w:rPr>
            </w:pPr>
            <w:r>
              <w:t>-</w:t>
            </w:r>
          </w:p>
        </w:tc>
      </w:tr>
    </w:tbl>
    <w:p w14:paraId="62DA525F" w14:textId="77777777" w:rsidR="009054BB" w:rsidRDefault="009054BB" w:rsidP="009054BB">
      <w:pPr>
        <w:rPr>
          <w:rFonts w:eastAsiaTheme="minorHAnsi"/>
          <w:sz w:val="20"/>
          <w:szCs w:val="20"/>
          <w:lang w:eastAsia="en-US"/>
        </w:rPr>
      </w:pPr>
      <w:proofErr w:type="spellStart"/>
      <w:r>
        <w:rPr>
          <w:sz w:val="20"/>
          <w:szCs w:val="20"/>
        </w:rPr>
        <w:t>aOR</w:t>
      </w:r>
      <w:proofErr w:type="spellEnd"/>
      <w:r>
        <w:rPr>
          <w:sz w:val="20"/>
          <w:szCs w:val="20"/>
        </w:rPr>
        <w:t xml:space="preserve"> – adjusted odds ratio, NA – not applicable. Odds ratios could not be obtained as there were no children in that particular group. For example, in model 3, for egg introduction, there were no children introduced to egg between 10 to 12 months with food allergy in the GUSTO study.</w:t>
      </w:r>
    </w:p>
    <w:p w14:paraId="6C96EB23" w14:textId="2F9E8C1C" w:rsidR="009054BB" w:rsidRDefault="00783BD2" w:rsidP="009054BB">
      <w:pPr>
        <w:jc w:val="both"/>
        <w:rPr>
          <w:sz w:val="20"/>
          <w:szCs w:val="20"/>
        </w:rPr>
      </w:pPr>
      <w:r w:rsidRPr="008E4A16">
        <w:rPr>
          <w:color w:val="1C1D1E"/>
          <w:szCs w:val="24"/>
          <w:shd w:val="clear" w:color="auto" w:fill="FFFFFF"/>
          <w:vertAlign w:val="superscript"/>
        </w:rPr>
        <w:t>§</w:t>
      </w:r>
      <w:r w:rsidR="00E67E87" w:rsidRPr="00E67E87">
        <w:rPr>
          <w:sz w:val="20"/>
          <w:szCs w:val="20"/>
        </w:rPr>
        <w:t xml:space="preserve">sample size greatly reduced due to missing maternal atopy data which was a confounder in the model and low food allergy cases that have introduced solids, </w:t>
      </w:r>
      <w:proofErr w:type="gramStart"/>
      <w:r w:rsidR="00E67E87" w:rsidRPr="00E67E87">
        <w:rPr>
          <w:sz w:val="20"/>
          <w:szCs w:val="20"/>
        </w:rPr>
        <w:t>egg</w:t>
      </w:r>
      <w:proofErr w:type="gramEnd"/>
      <w:r w:rsidR="00E67E87" w:rsidRPr="00E67E87">
        <w:rPr>
          <w:sz w:val="20"/>
          <w:szCs w:val="20"/>
        </w:rPr>
        <w:t xml:space="preserve"> and peanut by the first year of life.</w:t>
      </w:r>
    </w:p>
    <w:p w14:paraId="77477D72" w14:textId="728A3458" w:rsidR="009054BB" w:rsidRDefault="00783BD2" w:rsidP="009054BB">
      <w:r w:rsidRPr="00783BD2">
        <w:rPr>
          <w:color w:val="1C1D1E"/>
          <w:szCs w:val="24"/>
          <w:vertAlign w:val="superscript"/>
        </w:rPr>
        <w:t>¶</w:t>
      </w:r>
      <w:r w:rsidR="00E67E87">
        <w:rPr>
          <w:sz w:val="20"/>
          <w:szCs w:val="20"/>
        </w:rPr>
        <w:t>model adjusted for sex, eczema diagnosis (&lt;6 months, &gt;=6 months or no eczema) and maternal history of atopy</w:t>
      </w:r>
      <w:r w:rsidR="00E67E87" w:rsidRPr="003D7A6A">
        <w:t xml:space="preserve"> </w:t>
      </w:r>
      <w:r w:rsidR="009054BB">
        <w:br w:type="page"/>
      </w:r>
    </w:p>
    <w:p w14:paraId="361BA11A" w14:textId="4771E413" w:rsidR="00403A6E" w:rsidRPr="0081509C" w:rsidRDefault="00403A6E" w:rsidP="00DE0CF2">
      <w:pPr>
        <w:pStyle w:val="heading1nonumber"/>
      </w:pPr>
      <w:r w:rsidRPr="0081509C">
        <w:lastRenderedPageBreak/>
        <w:t>References</w:t>
      </w:r>
    </w:p>
    <w:p w14:paraId="290810B2" w14:textId="77777777" w:rsidR="0081509C" w:rsidRDefault="0081509C" w:rsidP="008D7C64">
      <w:pPr>
        <w:jc w:val="both"/>
      </w:pPr>
    </w:p>
    <w:p w14:paraId="5535A9CC" w14:textId="283A77FD" w:rsidR="008263CD" w:rsidRPr="008263CD" w:rsidRDefault="008263CD" w:rsidP="008263CD">
      <w:pPr>
        <w:pStyle w:val="EndNoteBibliography"/>
        <w:ind w:left="720" w:hanging="720"/>
      </w:pPr>
      <w:r w:rsidRPr="008263CD">
        <w:t>1.</w:t>
      </w:r>
      <w:r w:rsidRPr="008263CD">
        <w:tab/>
        <w:t xml:space="preserve">Prescott SL, Pawankar R, Allen KJ, et al. A global survey of changing patterns of food allergy burden in children. </w:t>
      </w:r>
      <w:r w:rsidRPr="008263CD">
        <w:rPr>
          <w:i/>
        </w:rPr>
        <w:t xml:space="preserve">World Allergy Organization Journal. </w:t>
      </w:r>
      <w:r w:rsidRPr="008263CD">
        <w:t>2013;6(1):1-12.</w:t>
      </w:r>
    </w:p>
    <w:p w14:paraId="4498D8CA" w14:textId="77777777" w:rsidR="008263CD" w:rsidRPr="008263CD" w:rsidRDefault="008263CD" w:rsidP="008263CD">
      <w:pPr>
        <w:pStyle w:val="EndNoteBibliography"/>
        <w:ind w:left="720" w:hanging="720"/>
      </w:pPr>
      <w:r w:rsidRPr="008263CD">
        <w:t>2.</w:t>
      </w:r>
      <w:r w:rsidRPr="008263CD">
        <w:tab/>
        <w:t xml:space="preserve">Lee AJ, Thalayasingam M, Lee BW. Food allergy in Asia: how does it compare? </w:t>
      </w:r>
      <w:r w:rsidRPr="008263CD">
        <w:rPr>
          <w:i/>
        </w:rPr>
        <w:t xml:space="preserve">Asia Pac Allergy. </w:t>
      </w:r>
      <w:r w:rsidRPr="008263CD">
        <w:t>2013;3.</w:t>
      </w:r>
    </w:p>
    <w:p w14:paraId="3CB08D6C" w14:textId="77777777" w:rsidR="008263CD" w:rsidRPr="008263CD" w:rsidRDefault="008263CD" w:rsidP="008263CD">
      <w:pPr>
        <w:pStyle w:val="EndNoteBibliography"/>
        <w:ind w:left="720" w:hanging="720"/>
      </w:pPr>
      <w:r w:rsidRPr="008263CD">
        <w:t>3.</w:t>
      </w:r>
      <w:r w:rsidRPr="008263CD">
        <w:tab/>
        <w:t xml:space="preserve">Peters RL, Koplin JJ, Gurrin LC, et al. The prevalence of food allergy and other allergic diseases in early childhood in a population-based study: HealthNuts age 4-year follow-up. </w:t>
      </w:r>
      <w:r w:rsidRPr="008263CD">
        <w:rPr>
          <w:i/>
        </w:rPr>
        <w:t xml:space="preserve">J Allergy Clin Immunol. </w:t>
      </w:r>
      <w:r w:rsidRPr="008263CD">
        <w:t>2017;140(1):145-153.e148.</w:t>
      </w:r>
    </w:p>
    <w:p w14:paraId="12397AA6" w14:textId="77777777" w:rsidR="008263CD" w:rsidRPr="008263CD" w:rsidRDefault="008263CD" w:rsidP="008263CD">
      <w:pPr>
        <w:pStyle w:val="EndNoteBibliography"/>
        <w:ind w:left="720" w:hanging="720"/>
      </w:pPr>
      <w:r w:rsidRPr="008263CD">
        <w:t>4.</w:t>
      </w:r>
      <w:r w:rsidRPr="008263CD">
        <w:tab/>
        <w:t xml:space="preserve">Bunyavanich S, Rifas-Shiman SL, Platts-Mills TA, et al. Peanut allergy prevalence among school-age children in a US cohort not selected for any disease. </w:t>
      </w:r>
      <w:r w:rsidRPr="008263CD">
        <w:rPr>
          <w:i/>
        </w:rPr>
        <w:t xml:space="preserve">J Allergy Clin Immunol. </w:t>
      </w:r>
      <w:r w:rsidRPr="008263CD">
        <w:t>2014;134(3):753-755.</w:t>
      </w:r>
    </w:p>
    <w:p w14:paraId="66B32F29" w14:textId="77777777" w:rsidR="008263CD" w:rsidRPr="008263CD" w:rsidRDefault="008263CD" w:rsidP="008263CD">
      <w:pPr>
        <w:pStyle w:val="EndNoteBibliography"/>
        <w:ind w:left="720" w:hanging="720"/>
      </w:pPr>
      <w:r w:rsidRPr="008263CD">
        <w:t>5.</w:t>
      </w:r>
      <w:r w:rsidRPr="008263CD">
        <w:tab/>
        <w:t xml:space="preserve">Sasaki M, Koplin JJ, Dharmage SC, et al. Prevalence of clinic-defined food allergy in early adolescence: The SchoolNuts study. </w:t>
      </w:r>
      <w:r w:rsidRPr="008263CD">
        <w:rPr>
          <w:i/>
        </w:rPr>
        <w:t xml:space="preserve">J Allergy Clin Immunol. </w:t>
      </w:r>
      <w:r w:rsidRPr="008263CD">
        <w:t>2018;141(1):391-398.e394.</w:t>
      </w:r>
    </w:p>
    <w:p w14:paraId="67DF31B0" w14:textId="77777777" w:rsidR="008263CD" w:rsidRPr="008263CD" w:rsidRDefault="008263CD" w:rsidP="008263CD">
      <w:pPr>
        <w:pStyle w:val="EndNoteBibliography"/>
        <w:ind w:left="720" w:hanging="720"/>
      </w:pPr>
      <w:r w:rsidRPr="008263CD">
        <w:t>6.</w:t>
      </w:r>
      <w:r w:rsidRPr="008263CD">
        <w:tab/>
        <w:t xml:space="preserve">Tham EH, Lee BW, Chan YH, et al. Low Food Allergy Prevalence Despite Delayed Introduction of Allergenic Foods-Data from the GUSTO Cohort. </w:t>
      </w:r>
      <w:r w:rsidRPr="008263CD">
        <w:rPr>
          <w:i/>
        </w:rPr>
        <w:t xml:space="preserve">The journal of allergy and clinical immunology In practice. </w:t>
      </w:r>
      <w:r w:rsidRPr="008263CD">
        <w:t>2017.</w:t>
      </w:r>
    </w:p>
    <w:p w14:paraId="33F97C09" w14:textId="77777777" w:rsidR="008263CD" w:rsidRPr="008263CD" w:rsidRDefault="008263CD" w:rsidP="008263CD">
      <w:pPr>
        <w:pStyle w:val="EndNoteBibliography"/>
        <w:ind w:left="720" w:hanging="720"/>
      </w:pPr>
      <w:r w:rsidRPr="008263CD">
        <w:t>7.</w:t>
      </w:r>
      <w:r w:rsidRPr="008263CD">
        <w:tab/>
        <w:t xml:space="preserve">Tham EH, Loo EXL, Zhu Y, Shek LP. Effects of Migration on Allergic Diseases. </w:t>
      </w:r>
      <w:r w:rsidRPr="008263CD">
        <w:rPr>
          <w:i/>
        </w:rPr>
        <w:t xml:space="preserve">Int Arch Allergy Immunol. </w:t>
      </w:r>
      <w:r w:rsidRPr="008263CD">
        <w:t>2019;178(2):128-140.</w:t>
      </w:r>
    </w:p>
    <w:p w14:paraId="71DB22EC" w14:textId="77777777" w:rsidR="008263CD" w:rsidRPr="008263CD" w:rsidRDefault="008263CD" w:rsidP="008263CD">
      <w:pPr>
        <w:pStyle w:val="EndNoteBibliography"/>
        <w:ind w:left="720" w:hanging="720"/>
      </w:pPr>
      <w:r w:rsidRPr="008263CD">
        <w:t>8.</w:t>
      </w:r>
      <w:r w:rsidRPr="008263CD">
        <w:tab/>
        <w:t xml:space="preserve">Koplin JJ, Peters RL, Ponsonby AL, et al. Increased risk of peanut allergy in infants of Asian-born parents compared to those of Australian-born parents. </w:t>
      </w:r>
      <w:r w:rsidRPr="008263CD">
        <w:rPr>
          <w:i/>
        </w:rPr>
        <w:t xml:space="preserve">Allergy. </w:t>
      </w:r>
      <w:r w:rsidRPr="008263CD">
        <w:t>2014;69(12):1639-1647.</w:t>
      </w:r>
    </w:p>
    <w:p w14:paraId="2C2114A6" w14:textId="77777777" w:rsidR="008263CD" w:rsidRPr="008263CD" w:rsidRDefault="008263CD" w:rsidP="008263CD">
      <w:pPr>
        <w:pStyle w:val="EndNoteBibliography"/>
        <w:ind w:left="720" w:hanging="720"/>
      </w:pPr>
      <w:r w:rsidRPr="008263CD">
        <w:t>9.</w:t>
      </w:r>
      <w:r w:rsidRPr="008263CD">
        <w:tab/>
        <w:t xml:space="preserve">Panjari M, Koplin JJ, Dharmage SC, et al. Nut allergy prevalence and differences between Asian-born children and Australian-born children of Asian descent: A state-wide survey of children at primary school entry in Victoria, Australia. </w:t>
      </w:r>
      <w:r w:rsidRPr="008263CD">
        <w:rPr>
          <w:i/>
        </w:rPr>
        <w:t xml:space="preserve">Clin Exp Allergy. </w:t>
      </w:r>
      <w:r w:rsidRPr="008263CD">
        <w:t>2016;46(4):602-609.</w:t>
      </w:r>
    </w:p>
    <w:p w14:paraId="73DC2904" w14:textId="77777777" w:rsidR="008263CD" w:rsidRPr="008263CD" w:rsidRDefault="008263CD" w:rsidP="008263CD">
      <w:pPr>
        <w:pStyle w:val="EndNoteBibliography"/>
        <w:ind w:left="720" w:hanging="720"/>
      </w:pPr>
      <w:r w:rsidRPr="008263CD">
        <w:t>10.</w:t>
      </w:r>
      <w:r w:rsidRPr="008263CD">
        <w:tab/>
        <w:t xml:space="preserve">Wang Y, Allen KJ, Suaini NHA, Peters RL, Ponsonby AL, Koplin JJ. Asian children living in Australia have a different profile of allergy and anaphylaxis than Australian-born children: A State-wide survey. </w:t>
      </w:r>
      <w:r w:rsidRPr="008263CD">
        <w:rPr>
          <w:i/>
        </w:rPr>
        <w:t xml:space="preserve">Clin Exp Allergy. </w:t>
      </w:r>
      <w:r w:rsidRPr="008263CD">
        <w:t>2018;48(10):1317-1324.</w:t>
      </w:r>
    </w:p>
    <w:p w14:paraId="4FD5AA26" w14:textId="77777777" w:rsidR="008263CD" w:rsidRPr="008263CD" w:rsidRDefault="008263CD" w:rsidP="008263CD">
      <w:pPr>
        <w:pStyle w:val="EndNoteBibliography"/>
        <w:ind w:left="720" w:hanging="720"/>
      </w:pPr>
      <w:r w:rsidRPr="008263CD">
        <w:t>11.</w:t>
      </w:r>
      <w:r w:rsidRPr="008263CD">
        <w:tab/>
        <w:t xml:space="preserve">Suaini NHA, Koplin JJ, Peters RL, et al. Children with East Asian-Born Parents Have an Increased Risk of Allergy but May Not Have More Asthma in Early Childhood. </w:t>
      </w:r>
      <w:r w:rsidRPr="008263CD">
        <w:rPr>
          <w:i/>
        </w:rPr>
        <w:t xml:space="preserve">J Allergy Clin Immunol Pract. </w:t>
      </w:r>
      <w:r w:rsidRPr="008263CD">
        <w:t>2019;7(2):539-547.e533.</w:t>
      </w:r>
    </w:p>
    <w:p w14:paraId="76A310E5" w14:textId="77777777" w:rsidR="008263CD" w:rsidRPr="008263CD" w:rsidRDefault="008263CD" w:rsidP="008263CD">
      <w:pPr>
        <w:pStyle w:val="EndNoteBibliography"/>
        <w:ind w:left="720" w:hanging="720"/>
      </w:pPr>
      <w:r w:rsidRPr="008263CD">
        <w:t>12.</w:t>
      </w:r>
      <w:r w:rsidRPr="008263CD">
        <w:tab/>
        <w:t xml:space="preserve">Soh SE, Tint MT, Gluckman PD, et al. Cohort profile: Growing Up in Singapore Towards healthy Outcomes (GUSTO) birth cohort study. </w:t>
      </w:r>
      <w:r w:rsidRPr="008263CD">
        <w:rPr>
          <w:i/>
        </w:rPr>
        <w:t xml:space="preserve">Int J Epidemiol. </w:t>
      </w:r>
      <w:r w:rsidRPr="008263CD">
        <w:t>2014;43(5):1401-1409.</w:t>
      </w:r>
    </w:p>
    <w:p w14:paraId="7AA86BBF" w14:textId="77777777" w:rsidR="008263CD" w:rsidRPr="008263CD" w:rsidRDefault="008263CD" w:rsidP="008263CD">
      <w:pPr>
        <w:pStyle w:val="EndNoteBibliography"/>
        <w:ind w:left="720" w:hanging="720"/>
      </w:pPr>
      <w:r w:rsidRPr="008263CD">
        <w:t>13.</w:t>
      </w:r>
      <w:r w:rsidRPr="008263CD">
        <w:tab/>
        <w:t xml:space="preserve">Bunyavanich S, Rifas-Shiman SL, Platts-Mills TA, et al. Peanut, milk, and wheat intake during pregnancy is associated with reduced allergy and asthma in children. </w:t>
      </w:r>
      <w:r w:rsidRPr="008263CD">
        <w:rPr>
          <w:i/>
        </w:rPr>
        <w:t xml:space="preserve">J Allergy Clin Immunol. </w:t>
      </w:r>
      <w:r w:rsidRPr="008263CD">
        <w:t>2014;133(5):1373-1382.</w:t>
      </w:r>
    </w:p>
    <w:p w14:paraId="4E824956" w14:textId="77777777" w:rsidR="008263CD" w:rsidRPr="008263CD" w:rsidRDefault="008263CD" w:rsidP="008263CD">
      <w:pPr>
        <w:pStyle w:val="EndNoteBibliography"/>
        <w:ind w:left="720" w:hanging="720"/>
      </w:pPr>
      <w:r w:rsidRPr="008263CD">
        <w:t>14.</w:t>
      </w:r>
      <w:r w:rsidRPr="008263CD">
        <w:tab/>
        <w:t xml:space="preserve">Erkkola M, Kaila M, Nwaru BI, et al. Maternal vitamin D intake during pregnancy is inversely associated with asthma and allergic rhinitis in 5-year-old children. </w:t>
      </w:r>
      <w:r w:rsidRPr="008263CD">
        <w:rPr>
          <w:i/>
        </w:rPr>
        <w:t xml:space="preserve">Clin Exp Allergy. </w:t>
      </w:r>
      <w:r w:rsidRPr="008263CD">
        <w:t>2009;39(6):875-882.</w:t>
      </w:r>
    </w:p>
    <w:p w14:paraId="3F853D33" w14:textId="77777777" w:rsidR="008263CD" w:rsidRPr="008263CD" w:rsidRDefault="008263CD" w:rsidP="008263CD">
      <w:pPr>
        <w:pStyle w:val="EndNoteBibliography"/>
        <w:ind w:left="720" w:hanging="720"/>
      </w:pPr>
      <w:r w:rsidRPr="008263CD">
        <w:t>15.</w:t>
      </w:r>
      <w:r w:rsidRPr="008263CD">
        <w:tab/>
        <w:t xml:space="preserve">Floistrup H, Swartz J, Bergstrom A, et al. Allergic disease and sensitization in Steiner school children. </w:t>
      </w:r>
      <w:r w:rsidRPr="008263CD">
        <w:rPr>
          <w:i/>
        </w:rPr>
        <w:t xml:space="preserve">J Allergy Clin Immunol. </w:t>
      </w:r>
      <w:r w:rsidRPr="008263CD">
        <w:t>2006;117(1):59-66.</w:t>
      </w:r>
    </w:p>
    <w:p w14:paraId="19D64EEF" w14:textId="77777777" w:rsidR="008263CD" w:rsidRPr="008263CD" w:rsidRDefault="008263CD" w:rsidP="008263CD">
      <w:pPr>
        <w:pStyle w:val="EndNoteBibliography"/>
        <w:ind w:left="720" w:hanging="720"/>
      </w:pPr>
      <w:r w:rsidRPr="008263CD">
        <w:t>16.</w:t>
      </w:r>
      <w:r w:rsidRPr="008263CD">
        <w:tab/>
        <w:t xml:space="preserve">Koplin JJ, Wake M, Dharmage SC, et al. Cohort Profile: The HealthNuts Study: Population prevalence and environmental/genetic predictors of food allergy. </w:t>
      </w:r>
      <w:r w:rsidRPr="008263CD">
        <w:rPr>
          <w:i/>
        </w:rPr>
        <w:t xml:space="preserve">Int J Epidemiol. </w:t>
      </w:r>
      <w:r w:rsidRPr="008263CD">
        <w:t>2015;44(4):1161-1171.</w:t>
      </w:r>
    </w:p>
    <w:p w14:paraId="614677DC" w14:textId="77777777" w:rsidR="008263CD" w:rsidRPr="008263CD" w:rsidRDefault="008263CD" w:rsidP="008263CD">
      <w:pPr>
        <w:pStyle w:val="EndNoteBibliography"/>
        <w:ind w:left="720" w:hanging="720"/>
      </w:pPr>
      <w:r w:rsidRPr="008263CD">
        <w:lastRenderedPageBreak/>
        <w:t>17.</w:t>
      </w:r>
      <w:r w:rsidRPr="008263CD">
        <w:tab/>
        <w:t xml:space="preserve">Osborne NJ, Koplin JJ, Martin PE, et al. The HealthNuts population-based study of paediatric food allergy: validity, safety and acceptability. </w:t>
      </w:r>
      <w:r w:rsidRPr="008263CD">
        <w:rPr>
          <w:i/>
        </w:rPr>
        <w:t xml:space="preserve">Clin Exp Allergy. </w:t>
      </w:r>
      <w:r w:rsidRPr="008263CD">
        <w:t>2010;40(10):1516-1522.</w:t>
      </w:r>
    </w:p>
    <w:p w14:paraId="05570C6A" w14:textId="77777777" w:rsidR="008263CD" w:rsidRPr="008263CD" w:rsidRDefault="008263CD" w:rsidP="008263CD">
      <w:pPr>
        <w:pStyle w:val="EndNoteBibliography"/>
        <w:ind w:left="720" w:hanging="720"/>
      </w:pPr>
      <w:r w:rsidRPr="008263CD">
        <w:t>18.</w:t>
      </w:r>
      <w:r w:rsidRPr="008263CD">
        <w:tab/>
        <w:t xml:space="preserve">Koplin JJ, Tang MLK, Martin PE, et al. Predetermined challenge eligibility and cessation criteria for oral food challenges in the HealthNuts population-based study of infants. </w:t>
      </w:r>
      <w:r w:rsidRPr="008263CD">
        <w:rPr>
          <w:i/>
        </w:rPr>
        <w:t xml:space="preserve">J Allergy Clin Immunol. </w:t>
      </w:r>
      <w:r w:rsidRPr="008263CD">
        <w:t>2012;129(4):1145-1147.</w:t>
      </w:r>
    </w:p>
    <w:p w14:paraId="0EFF7BF3" w14:textId="21EB2716" w:rsidR="008263CD" w:rsidRPr="008263CD" w:rsidRDefault="008263CD" w:rsidP="008263CD">
      <w:pPr>
        <w:pStyle w:val="EndNoteBibliography"/>
        <w:ind w:left="720" w:hanging="720"/>
      </w:pPr>
      <w:r w:rsidRPr="008263CD">
        <w:t>19.</w:t>
      </w:r>
      <w:r w:rsidRPr="008263CD">
        <w:tab/>
        <w:t>Australian Bureau of Statistics. Standard Australian Classification of Countries. 2011; Second Edition, Revision 1:h</w:t>
      </w:r>
      <w:r w:rsidRPr="00EE605A">
        <w:t>ttp://www.abs.gov.au/ausstats/abs@.nsf/Lookup/1269.0main+features102011.</w:t>
      </w:r>
    </w:p>
    <w:p w14:paraId="127A146B" w14:textId="77777777" w:rsidR="008263CD" w:rsidRPr="008263CD" w:rsidRDefault="008263CD" w:rsidP="008263CD">
      <w:pPr>
        <w:pStyle w:val="EndNoteBibliography"/>
        <w:ind w:left="720" w:hanging="720"/>
      </w:pPr>
      <w:r w:rsidRPr="008263CD">
        <w:t>20.</w:t>
      </w:r>
      <w:r w:rsidRPr="008263CD">
        <w:tab/>
        <w:t xml:space="preserve">Ashley SE, Tan HT, Peters R, et al. Genetic variation at the Th2 immune gene IL13 is associated with IgE-mediated paediatric food allergy. </w:t>
      </w:r>
      <w:r w:rsidRPr="008263CD">
        <w:rPr>
          <w:i/>
        </w:rPr>
        <w:t xml:space="preserve">Clin Exp Allergy. </w:t>
      </w:r>
      <w:r w:rsidRPr="008263CD">
        <w:t>2017;47(8):1032-1037.</w:t>
      </w:r>
    </w:p>
    <w:p w14:paraId="46B9EBE2" w14:textId="77777777" w:rsidR="008263CD" w:rsidRPr="008263CD" w:rsidRDefault="008263CD" w:rsidP="008263CD">
      <w:pPr>
        <w:pStyle w:val="EndNoteBibliography"/>
        <w:ind w:left="720" w:hanging="720"/>
      </w:pPr>
      <w:r w:rsidRPr="008263CD">
        <w:t>21.</w:t>
      </w:r>
      <w:r w:rsidRPr="008263CD">
        <w:tab/>
        <w:t xml:space="preserve">Arshad SH. Food allergen avoidance in primary prevention of food allergy. </w:t>
      </w:r>
      <w:r w:rsidRPr="008263CD">
        <w:rPr>
          <w:i/>
        </w:rPr>
        <w:t xml:space="preserve">Allergy. </w:t>
      </w:r>
      <w:r w:rsidRPr="008263CD">
        <w:t>2001;56 Suppl 67:113-116.</w:t>
      </w:r>
    </w:p>
    <w:p w14:paraId="14F5CC35" w14:textId="77777777" w:rsidR="008263CD" w:rsidRPr="008263CD" w:rsidRDefault="008263CD" w:rsidP="008263CD">
      <w:pPr>
        <w:pStyle w:val="EndNoteBibliography"/>
        <w:ind w:left="720" w:hanging="720"/>
      </w:pPr>
      <w:r w:rsidRPr="008263CD">
        <w:t>22.</w:t>
      </w:r>
      <w:r w:rsidRPr="008263CD">
        <w:tab/>
        <w:t xml:space="preserve">Fiocchi A, Assa'ad A, Bahna S. Food allergy and the introduction of solid foods to infants: a consensus document. Adverse Reactions to Foods Committee, American College of Allergy, Asthma and Immunology. </w:t>
      </w:r>
      <w:r w:rsidRPr="008263CD">
        <w:rPr>
          <w:i/>
        </w:rPr>
        <w:t xml:space="preserve">Annals of allergy, asthma &amp; immunology : official publication of the American College of Allergy, Asthma, &amp; Immunology. </w:t>
      </w:r>
      <w:r w:rsidRPr="008263CD">
        <w:t>2006;97(1):10-20; quiz 21, 77.</w:t>
      </w:r>
    </w:p>
    <w:p w14:paraId="7E922675" w14:textId="77777777" w:rsidR="008263CD" w:rsidRPr="008263CD" w:rsidRDefault="008263CD" w:rsidP="008263CD">
      <w:pPr>
        <w:pStyle w:val="EndNoteBibliography"/>
        <w:ind w:left="720" w:hanging="720"/>
      </w:pPr>
      <w:r w:rsidRPr="008263CD">
        <w:t>23.</w:t>
      </w:r>
      <w:r w:rsidRPr="008263CD">
        <w:tab/>
        <w:t xml:space="preserve">Greer FR, Sicherer SH, Burks AW. Effects of early nutritional interventions on the development of atopic disease in infants and children: the role of maternal dietary restriction, breastfeeding, timing of introduction of complementary foods, and hydrolyzed formulas. </w:t>
      </w:r>
      <w:r w:rsidRPr="008263CD">
        <w:rPr>
          <w:i/>
        </w:rPr>
        <w:t xml:space="preserve">Pediatrics. </w:t>
      </w:r>
      <w:r w:rsidRPr="008263CD">
        <w:t>2008;121(1):183-191.</w:t>
      </w:r>
    </w:p>
    <w:p w14:paraId="5B4CE3B2" w14:textId="77777777" w:rsidR="008263CD" w:rsidRPr="008263CD" w:rsidRDefault="008263CD" w:rsidP="008263CD">
      <w:pPr>
        <w:pStyle w:val="EndNoteBibliography"/>
        <w:ind w:left="720" w:hanging="720"/>
      </w:pPr>
      <w:r w:rsidRPr="008263CD">
        <w:t>24.</w:t>
      </w:r>
      <w:r w:rsidRPr="008263CD">
        <w:tab/>
        <w:t xml:space="preserve">Al-Saud B, Sigurdardottir ST. Early Introduction of Egg and the Development of Egg Allergy in Children: A Systematic Review and Meta-Analysis. </w:t>
      </w:r>
      <w:r w:rsidRPr="008263CD">
        <w:rPr>
          <w:i/>
        </w:rPr>
        <w:t xml:space="preserve">Int Arch Allergy Immunol. </w:t>
      </w:r>
      <w:r w:rsidRPr="008263CD">
        <w:t>2018;177(4):350-359.</w:t>
      </w:r>
    </w:p>
    <w:p w14:paraId="27354573" w14:textId="77777777" w:rsidR="008263CD" w:rsidRPr="008263CD" w:rsidRDefault="008263CD" w:rsidP="008263CD">
      <w:pPr>
        <w:pStyle w:val="EndNoteBibliography"/>
        <w:ind w:left="720" w:hanging="720"/>
      </w:pPr>
      <w:r w:rsidRPr="008263CD">
        <w:t>25.</w:t>
      </w:r>
      <w:r w:rsidRPr="008263CD">
        <w:tab/>
        <w:t xml:space="preserve">Ierodiakonou D, Garcia-Larsen V, Logan A, et al. Timing of Allergenic Food Introduction to the Infant Diet and Risk of Allergic or Autoimmune Disease: A Systematic Review and Meta-analysis. </w:t>
      </w:r>
      <w:r w:rsidRPr="008263CD">
        <w:rPr>
          <w:i/>
        </w:rPr>
        <w:t xml:space="preserve">JAMA. </w:t>
      </w:r>
      <w:r w:rsidRPr="008263CD">
        <w:t>2016;316(11):1181-1192.</w:t>
      </w:r>
    </w:p>
    <w:p w14:paraId="273ACACC" w14:textId="77777777" w:rsidR="008263CD" w:rsidRPr="008263CD" w:rsidRDefault="008263CD" w:rsidP="008263CD">
      <w:pPr>
        <w:pStyle w:val="EndNoteBibliography"/>
        <w:ind w:left="720" w:hanging="720"/>
      </w:pPr>
      <w:r w:rsidRPr="008263CD">
        <w:t>26.</w:t>
      </w:r>
      <w:r w:rsidRPr="008263CD">
        <w:tab/>
        <w:t xml:space="preserve">Lack G. Epidemiologic risks for food allergy. </w:t>
      </w:r>
      <w:r w:rsidRPr="008263CD">
        <w:rPr>
          <w:i/>
        </w:rPr>
        <w:t xml:space="preserve">J Allergy Clin Immunol. </w:t>
      </w:r>
      <w:r w:rsidRPr="008263CD">
        <w:t>2008;121(6):1331-1336.</w:t>
      </w:r>
    </w:p>
    <w:p w14:paraId="54AB3CE5" w14:textId="77777777" w:rsidR="008263CD" w:rsidRPr="008263CD" w:rsidRDefault="008263CD" w:rsidP="008263CD">
      <w:pPr>
        <w:pStyle w:val="EndNoteBibliography"/>
        <w:ind w:left="720" w:hanging="720"/>
      </w:pPr>
      <w:r w:rsidRPr="008263CD">
        <w:t>27.</w:t>
      </w:r>
      <w:r w:rsidRPr="008263CD">
        <w:tab/>
        <w:t xml:space="preserve">Tsakok T, Marrs T, Mohsin M, et al. Does atopic dermatitis cause food allergy? A systematic review. </w:t>
      </w:r>
      <w:r w:rsidRPr="008263CD">
        <w:rPr>
          <w:i/>
        </w:rPr>
        <w:t xml:space="preserve">J Allergy Clin Immunol. </w:t>
      </w:r>
      <w:r w:rsidRPr="008263CD">
        <w:t>2016;137(4):1071-1078.</w:t>
      </w:r>
    </w:p>
    <w:p w14:paraId="61112FFE" w14:textId="77777777" w:rsidR="008263CD" w:rsidRPr="008263CD" w:rsidRDefault="008263CD" w:rsidP="008263CD">
      <w:pPr>
        <w:pStyle w:val="EndNoteBibliography"/>
        <w:ind w:left="720" w:hanging="720"/>
      </w:pPr>
      <w:r w:rsidRPr="008263CD">
        <w:t>28.</w:t>
      </w:r>
      <w:r w:rsidRPr="008263CD">
        <w:tab/>
        <w:t xml:space="preserve">Sampson HA, O'Mahony L, Burks AW, Plaut M, Lack G, Akdis CA. Mechanisms of food allergy. </w:t>
      </w:r>
      <w:r w:rsidRPr="008263CD">
        <w:rPr>
          <w:i/>
        </w:rPr>
        <w:t xml:space="preserve">J Allergy Clin Immunol. </w:t>
      </w:r>
      <w:r w:rsidRPr="008263CD">
        <w:t>2018;141(1):11-19.</w:t>
      </w:r>
    </w:p>
    <w:p w14:paraId="109601E9" w14:textId="77777777" w:rsidR="008263CD" w:rsidRPr="008263CD" w:rsidRDefault="008263CD" w:rsidP="008263CD">
      <w:pPr>
        <w:pStyle w:val="EndNoteBibliography"/>
        <w:ind w:left="720" w:hanging="720"/>
      </w:pPr>
      <w:r w:rsidRPr="008263CD">
        <w:t>29.</w:t>
      </w:r>
      <w:r w:rsidRPr="008263CD">
        <w:tab/>
        <w:t xml:space="preserve">Muizzuddin N, Hellemans L, Van Overloop L, Corstjens H, Declercq L, Maes D. Structural and functional differences in barrier properties of African American, Caucasian and East Asian skin. </w:t>
      </w:r>
      <w:r w:rsidRPr="008263CD">
        <w:rPr>
          <w:i/>
        </w:rPr>
        <w:t xml:space="preserve">J Dermatol Sci. </w:t>
      </w:r>
      <w:r w:rsidRPr="008263CD">
        <w:t>2010;59(2):123-128.</w:t>
      </w:r>
    </w:p>
    <w:p w14:paraId="4AAB66DA" w14:textId="77777777" w:rsidR="008263CD" w:rsidRPr="008263CD" w:rsidRDefault="008263CD" w:rsidP="008263CD">
      <w:pPr>
        <w:pStyle w:val="EndNoteBibliography"/>
        <w:ind w:left="720" w:hanging="720"/>
      </w:pPr>
      <w:r w:rsidRPr="008263CD">
        <w:t>30.</w:t>
      </w:r>
      <w:r w:rsidRPr="008263CD">
        <w:tab/>
        <w:t xml:space="preserve">Silverberg JI, Hanifin J, Simpson EL. Climatic factors are associated with childhood eczema prevalence in the United States. </w:t>
      </w:r>
      <w:r w:rsidRPr="008263CD">
        <w:rPr>
          <w:i/>
        </w:rPr>
        <w:t xml:space="preserve">J Invest Dermatol. </w:t>
      </w:r>
      <w:r w:rsidRPr="008263CD">
        <w:t>2013;133(7):1752-1759.</w:t>
      </w:r>
    </w:p>
    <w:p w14:paraId="04612D7A" w14:textId="77777777" w:rsidR="008263CD" w:rsidRPr="008263CD" w:rsidRDefault="008263CD" w:rsidP="008263CD">
      <w:pPr>
        <w:pStyle w:val="EndNoteBibliography"/>
        <w:ind w:left="720" w:hanging="720"/>
      </w:pPr>
      <w:r w:rsidRPr="008263CD">
        <w:t>31.</w:t>
      </w:r>
      <w:r w:rsidRPr="008263CD">
        <w:tab/>
        <w:t xml:space="preserve">Engebretsen KA, Johansen JD, Kezic S, Linneberg A, Thyssen JP. The effect of environmental humidity and temperature on skin barrier function and dermatitis. </w:t>
      </w:r>
      <w:r w:rsidRPr="008263CD">
        <w:rPr>
          <w:i/>
        </w:rPr>
        <w:t xml:space="preserve">J Eur Acad Dermatol Venereol. </w:t>
      </w:r>
      <w:r w:rsidRPr="008263CD">
        <w:t>2016;30(2):223-249.</w:t>
      </w:r>
    </w:p>
    <w:p w14:paraId="3F67361A" w14:textId="77777777" w:rsidR="008263CD" w:rsidRPr="008263CD" w:rsidRDefault="008263CD" w:rsidP="008263CD">
      <w:pPr>
        <w:pStyle w:val="EndNoteBibliography"/>
        <w:ind w:left="720" w:hanging="720"/>
      </w:pPr>
      <w:r w:rsidRPr="008263CD">
        <w:t>32.</w:t>
      </w:r>
      <w:r w:rsidRPr="008263CD">
        <w:tab/>
        <w:t xml:space="preserve">Brough HA, Kull I, Richards K, et al. Environmental peanut exposure increases the risk of peanut sensitization in high-risk children. </w:t>
      </w:r>
      <w:r w:rsidRPr="008263CD">
        <w:rPr>
          <w:i/>
        </w:rPr>
        <w:t xml:space="preserve">Clin Exp Allergy. </w:t>
      </w:r>
      <w:r w:rsidRPr="008263CD">
        <w:t>2018;48(5):586-593.</w:t>
      </w:r>
    </w:p>
    <w:p w14:paraId="4F598089" w14:textId="77777777" w:rsidR="008263CD" w:rsidRPr="008263CD" w:rsidRDefault="008263CD" w:rsidP="008263CD">
      <w:pPr>
        <w:pStyle w:val="EndNoteBibliography"/>
        <w:ind w:left="720" w:hanging="720"/>
      </w:pPr>
      <w:r w:rsidRPr="008263CD">
        <w:t>33.</w:t>
      </w:r>
      <w:r w:rsidRPr="008263CD">
        <w:tab/>
        <w:t xml:space="preserve">Brough HA, Liu AH, Sicherer S, et al. Atopic dermatitis increases the effect of exposure to peanut antigen in dust on peanut sensitization and likely peanut allergy. </w:t>
      </w:r>
      <w:r w:rsidRPr="008263CD">
        <w:rPr>
          <w:i/>
        </w:rPr>
        <w:t xml:space="preserve">J Allergy Clin Immunol. </w:t>
      </w:r>
      <w:r w:rsidRPr="008263CD">
        <w:t>2015;135(1):164-170.</w:t>
      </w:r>
    </w:p>
    <w:p w14:paraId="0EC28077" w14:textId="77777777" w:rsidR="008263CD" w:rsidRPr="008263CD" w:rsidRDefault="008263CD" w:rsidP="008263CD">
      <w:pPr>
        <w:pStyle w:val="EndNoteBibliography"/>
        <w:ind w:left="720" w:hanging="720"/>
      </w:pPr>
      <w:r w:rsidRPr="008263CD">
        <w:lastRenderedPageBreak/>
        <w:t>34.</w:t>
      </w:r>
      <w:r w:rsidRPr="008263CD">
        <w:tab/>
        <w:t xml:space="preserve">Brough HA, Santos AF, Makinson K, et al. Peanut protein in household dust is related to household peanut consumption and is biologically active. </w:t>
      </w:r>
      <w:r w:rsidRPr="008263CD">
        <w:rPr>
          <w:i/>
        </w:rPr>
        <w:t xml:space="preserve">J Allergy Clin Immunol. </w:t>
      </w:r>
      <w:r w:rsidRPr="008263CD">
        <w:t>2013;132(3):630-638.</w:t>
      </w:r>
    </w:p>
    <w:p w14:paraId="2F29BC75" w14:textId="77777777" w:rsidR="008263CD" w:rsidRPr="008263CD" w:rsidRDefault="008263CD" w:rsidP="008263CD">
      <w:pPr>
        <w:pStyle w:val="EndNoteBibliography"/>
        <w:ind w:left="720" w:hanging="720"/>
      </w:pPr>
      <w:r w:rsidRPr="008263CD">
        <w:t>35.</w:t>
      </w:r>
      <w:r w:rsidRPr="008263CD">
        <w:tab/>
        <w:t xml:space="preserve">Brough HA, Makinson K, Penagos M, et al. Distribution of peanut protein in the home environment. </w:t>
      </w:r>
      <w:r w:rsidRPr="008263CD">
        <w:rPr>
          <w:i/>
        </w:rPr>
        <w:t xml:space="preserve">J Allergy Clin Immunol. </w:t>
      </w:r>
      <w:r w:rsidRPr="008263CD">
        <w:t>2013;132(3):623-629.</w:t>
      </w:r>
    </w:p>
    <w:p w14:paraId="432FB01F" w14:textId="137FDCC7" w:rsidR="008263CD" w:rsidRPr="008263CD" w:rsidRDefault="008263CD" w:rsidP="008263CD">
      <w:pPr>
        <w:pStyle w:val="EndNoteBibliography"/>
        <w:ind w:left="720" w:hanging="720"/>
      </w:pPr>
      <w:r w:rsidRPr="008263CD">
        <w:t>36.</w:t>
      </w:r>
      <w:r w:rsidRPr="008263CD">
        <w:tab/>
        <w:t xml:space="preserve">World Health Organisation. UV Index.  </w:t>
      </w:r>
      <w:r w:rsidRPr="00EE605A">
        <w:t>https://www.who.int/uv/intersunprogramme/activities/uv_index/en/index3.html</w:t>
      </w:r>
      <w:r w:rsidRPr="008263CD">
        <w:t>, 2018.</w:t>
      </w:r>
    </w:p>
    <w:p w14:paraId="50871485" w14:textId="77777777" w:rsidR="008263CD" w:rsidRPr="008263CD" w:rsidRDefault="008263CD" w:rsidP="008263CD">
      <w:pPr>
        <w:pStyle w:val="EndNoteBibliography"/>
        <w:ind w:left="720" w:hanging="720"/>
      </w:pPr>
      <w:r w:rsidRPr="008263CD">
        <w:t>37.</w:t>
      </w:r>
      <w:r w:rsidRPr="008263CD">
        <w:tab/>
        <w:t xml:space="preserve">Keet CA, Matsui EC, Savage JH, et al. Potential mechanisms for the association between fall birth and food allergy. </w:t>
      </w:r>
      <w:r w:rsidRPr="008263CD">
        <w:rPr>
          <w:i/>
        </w:rPr>
        <w:t xml:space="preserve">Allergy. </w:t>
      </w:r>
      <w:r w:rsidRPr="008263CD">
        <w:t>2012;67(6):775-782.</w:t>
      </w:r>
    </w:p>
    <w:p w14:paraId="4F52F78C" w14:textId="77777777" w:rsidR="008263CD" w:rsidRPr="008263CD" w:rsidRDefault="008263CD" w:rsidP="008263CD">
      <w:pPr>
        <w:pStyle w:val="EndNoteBibliography"/>
        <w:ind w:left="720" w:hanging="720"/>
      </w:pPr>
      <w:r w:rsidRPr="008263CD">
        <w:t>38.</w:t>
      </w:r>
      <w:r w:rsidRPr="008263CD">
        <w:tab/>
        <w:t xml:space="preserve">Vassallo MF, Banerji A, Rudders SA, Clark S, Mullins RJ, Camargo CA, Jr. Season of birth and food allergy in children. </w:t>
      </w:r>
      <w:r w:rsidRPr="008263CD">
        <w:rPr>
          <w:i/>
        </w:rPr>
        <w:t xml:space="preserve">Annals of allergy, asthma &amp; immunology : official publication of the American College of Allergy, Asthma, &amp; Immunology. </w:t>
      </w:r>
      <w:r w:rsidRPr="008263CD">
        <w:t>2010;104(4):307-313.</w:t>
      </w:r>
    </w:p>
    <w:p w14:paraId="54501EB2" w14:textId="77777777" w:rsidR="008263CD" w:rsidRPr="008263CD" w:rsidRDefault="008263CD" w:rsidP="008263CD">
      <w:pPr>
        <w:pStyle w:val="EndNoteBibliography"/>
        <w:ind w:left="720" w:hanging="720"/>
      </w:pPr>
      <w:r w:rsidRPr="008263CD">
        <w:t>39.</w:t>
      </w:r>
      <w:r w:rsidRPr="008263CD">
        <w:tab/>
        <w:t xml:space="preserve">Arnoldussen DL, Linehan M, Sheikh A. BCG vaccination and allergy: a systematic review and meta-analysis. </w:t>
      </w:r>
      <w:r w:rsidRPr="008263CD">
        <w:rPr>
          <w:i/>
        </w:rPr>
        <w:t xml:space="preserve">J Allergy Clin Immunol. </w:t>
      </w:r>
      <w:r w:rsidRPr="008263CD">
        <w:t>2011;127(1):246-253, 253.e241-221.</w:t>
      </w:r>
    </w:p>
    <w:p w14:paraId="57599A86" w14:textId="77777777" w:rsidR="008263CD" w:rsidRPr="008263CD" w:rsidRDefault="008263CD" w:rsidP="008263CD">
      <w:pPr>
        <w:pStyle w:val="EndNoteBibliography"/>
        <w:ind w:left="720" w:hanging="720"/>
      </w:pPr>
      <w:r w:rsidRPr="008263CD">
        <w:t>40.</w:t>
      </w:r>
      <w:r w:rsidRPr="008263CD">
        <w:tab/>
        <w:t xml:space="preserve">Hua X, Goedert JJ, Pu A, Yu G, Shi J. Allergy associations with the adult fecal microbiota: Analysis of the American Gut Project. </w:t>
      </w:r>
      <w:r w:rsidRPr="008263CD">
        <w:rPr>
          <w:i/>
        </w:rPr>
        <w:t xml:space="preserve">EBioMedicine. </w:t>
      </w:r>
      <w:r w:rsidRPr="008263CD">
        <w:t>2016;3:172-179.</w:t>
      </w:r>
    </w:p>
    <w:p w14:paraId="7F98F065" w14:textId="77777777" w:rsidR="008263CD" w:rsidRPr="008263CD" w:rsidRDefault="008263CD" w:rsidP="008263CD">
      <w:pPr>
        <w:pStyle w:val="EndNoteBibliography"/>
        <w:ind w:left="720" w:hanging="720"/>
      </w:pPr>
      <w:r w:rsidRPr="008263CD">
        <w:t>41.</w:t>
      </w:r>
      <w:r w:rsidRPr="008263CD">
        <w:tab/>
        <w:t xml:space="preserve">Hussain M, Bonilla-Rosso G, Kwong Chung CK, et al. High dietary fat intake induces a microbiota signature that promotes food allergy. </w:t>
      </w:r>
      <w:r w:rsidRPr="008263CD">
        <w:rPr>
          <w:i/>
        </w:rPr>
        <w:t xml:space="preserve">J Allergy Clin Immunol. </w:t>
      </w:r>
      <w:r w:rsidRPr="008263CD">
        <w:t>2019.</w:t>
      </w:r>
    </w:p>
    <w:p w14:paraId="6F9295F0" w14:textId="77777777" w:rsidR="008263CD" w:rsidRPr="008263CD" w:rsidRDefault="008263CD" w:rsidP="008263CD">
      <w:pPr>
        <w:pStyle w:val="EndNoteBibliography"/>
        <w:ind w:left="720" w:hanging="720"/>
      </w:pPr>
      <w:r w:rsidRPr="008263CD">
        <w:t>42.</w:t>
      </w:r>
      <w:r w:rsidRPr="008263CD">
        <w:tab/>
        <w:t xml:space="preserve">Lee AJ, Thalayasingam M, Lee BW. Food allergy in Asia: how does it compare? </w:t>
      </w:r>
      <w:r w:rsidRPr="008263CD">
        <w:rPr>
          <w:i/>
        </w:rPr>
        <w:t xml:space="preserve">Asia Pac Allergy. </w:t>
      </w:r>
      <w:r w:rsidRPr="008263CD">
        <w:t>2013;3(1):3-14.</w:t>
      </w:r>
    </w:p>
    <w:p w14:paraId="3CEF8E5A" w14:textId="77777777" w:rsidR="008263CD" w:rsidRPr="008263CD" w:rsidRDefault="008263CD" w:rsidP="008263CD">
      <w:pPr>
        <w:pStyle w:val="EndNoteBibliography"/>
        <w:ind w:left="720" w:hanging="720"/>
      </w:pPr>
      <w:r w:rsidRPr="008263CD">
        <w:t>43.</w:t>
      </w:r>
      <w:r w:rsidRPr="008263CD">
        <w:tab/>
        <w:t xml:space="preserve">Lee AJ, Shek LP. Food allergy in Singapore: opening a new chapter. </w:t>
      </w:r>
      <w:r w:rsidRPr="008263CD">
        <w:rPr>
          <w:i/>
        </w:rPr>
        <w:t xml:space="preserve">Singapore medical journal. </w:t>
      </w:r>
      <w:r w:rsidRPr="008263CD">
        <w:t>2014;55(5):244-247.</w:t>
      </w:r>
    </w:p>
    <w:p w14:paraId="59E2B255" w14:textId="554737F4" w:rsidR="00823303" w:rsidRPr="00823303" w:rsidRDefault="00823303" w:rsidP="008D7C64">
      <w:pPr>
        <w:jc w:val="both"/>
      </w:pPr>
    </w:p>
    <w:sectPr w:rsidR="00823303" w:rsidRPr="00823303" w:rsidSect="00002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193356" w14:textId="77777777" w:rsidR="00213751" w:rsidRDefault="00213751">
      <w:r>
        <w:separator/>
      </w:r>
    </w:p>
  </w:endnote>
  <w:endnote w:type="continuationSeparator" w:id="0">
    <w:p w14:paraId="29645EC5" w14:textId="77777777" w:rsidR="00213751" w:rsidRDefault="00213751">
      <w:r>
        <w:continuationSeparator/>
      </w:r>
    </w:p>
  </w:endnote>
  <w:endnote w:type="continuationNotice" w:id="1">
    <w:p w14:paraId="7BBDFBC1" w14:textId="77777777" w:rsidR="00213751" w:rsidRDefault="00213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default"/>
    <w:sig w:usb0="00000003" w:usb1="00000000" w:usb2="00000000" w:usb3="00000000" w:csb0="00000001" w:csb1="00000000"/>
  </w:font>
  <w:font w:name="Diverda Sans Com">
    <w:altName w:val="Diverda Sans Com"/>
    <w:panose1 w:val="00000000000000000000"/>
    <w:charset w:val="00"/>
    <w:family w:val="swiss"/>
    <w:notTrueType/>
    <w:pitch w:val="default"/>
    <w:sig w:usb0="00000003" w:usb1="00000000" w:usb2="00000000" w:usb3="00000000" w:csb0="00000001" w:csb1="00000000"/>
  </w:font>
  <w:font w:name="ITC Symbol Std Book">
    <w:altName w:val="ITC Symbol Std Book"/>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36778914"/>
      <w:docPartObj>
        <w:docPartGallery w:val="Page Numbers (Bottom of Page)"/>
        <w:docPartUnique/>
      </w:docPartObj>
    </w:sdtPr>
    <w:sdtEndPr>
      <w:rPr>
        <w:noProof/>
      </w:rPr>
    </w:sdtEndPr>
    <w:sdtContent>
      <w:p w14:paraId="1514213D" w14:textId="77777777" w:rsidR="00A542F1" w:rsidRDefault="00A542F1">
        <w:pPr>
          <w:pStyle w:val="Footer"/>
        </w:pPr>
        <w:r>
          <w:fldChar w:fldCharType="begin"/>
        </w:r>
        <w:r>
          <w:instrText xml:space="preserve"> PAGE   \* MERGEFORMAT </w:instrText>
        </w:r>
        <w:r>
          <w:fldChar w:fldCharType="separate"/>
        </w:r>
        <w:r>
          <w:rPr>
            <w:noProof/>
          </w:rPr>
          <w:t>21</w:t>
        </w:r>
        <w:r>
          <w:rPr>
            <w:noProof/>
          </w:rPr>
          <w:fldChar w:fldCharType="end"/>
        </w:r>
      </w:p>
    </w:sdtContent>
  </w:sdt>
  <w:p w14:paraId="404BF11C" w14:textId="77777777" w:rsidR="00A542F1" w:rsidRDefault="00A542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941129"/>
      <w:docPartObj>
        <w:docPartGallery w:val="Page Numbers (Bottom of Page)"/>
        <w:docPartUnique/>
      </w:docPartObj>
    </w:sdtPr>
    <w:sdtEndPr>
      <w:rPr>
        <w:noProof/>
      </w:rPr>
    </w:sdtEndPr>
    <w:sdtContent>
      <w:p w14:paraId="527D064E" w14:textId="4ED14D91" w:rsidR="00A542F1" w:rsidRDefault="00A542F1">
        <w:pPr>
          <w:pStyle w:val="Footer"/>
          <w:jc w:val="right"/>
        </w:pPr>
        <w:r>
          <w:fldChar w:fldCharType="begin"/>
        </w:r>
        <w:r>
          <w:instrText xml:space="preserve"> PAGE   \* MERGEFORMAT </w:instrText>
        </w:r>
        <w:r>
          <w:fldChar w:fldCharType="separate"/>
        </w:r>
        <w:r w:rsidR="00954069">
          <w:rPr>
            <w:noProof/>
          </w:rPr>
          <w:t>15</w:t>
        </w:r>
        <w:r>
          <w:rPr>
            <w:noProof/>
          </w:rPr>
          <w:fldChar w:fldCharType="end"/>
        </w:r>
      </w:p>
    </w:sdtContent>
  </w:sdt>
  <w:p w14:paraId="2167C7D6" w14:textId="77777777" w:rsidR="00A542F1" w:rsidRDefault="00A542F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F7A49" w14:textId="77777777" w:rsidR="00A542F1" w:rsidRDefault="00A542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CA246" w14:textId="77777777" w:rsidR="00213751" w:rsidRDefault="00213751">
      <w:r>
        <w:separator/>
      </w:r>
    </w:p>
  </w:footnote>
  <w:footnote w:type="continuationSeparator" w:id="0">
    <w:p w14:paraId="4FB580A8" w14:textId="77777777" w:rsidR="00213751" w:rsidRDefault="00213751">
      <w:r>
        <w:continuationSeparator/>
      </w:r>
    </w:p>
  </w:footnote>
  <w:footnote w:type="continuationNotice" w:id="1">
    <w:p w14:paraId="34A70ADF" w14:textId="77777777" w:rsidR="00213751" w:rsidRDefault="002137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0AF90" w14:textId="77777777" w:rsidR="00A542F1" w:rsidRDefault="00A5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77710" w14:textId="77777777" w:rsidR="00A542F1" w:rsidRDefault="00A542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6B1E3" w14:textId="77777777" w:rsidR="00A542F1" w:rsidRDefault="00A54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31296"/>
    <w:multiLevelType w:val="hybridMultilevel"/>
    <w:tmpl w:val="74DC8C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35B6677"/>
    <w:multiLevelType w:val="hybridMultilevel"/>
    <w:tmpl w:val="3F1A4CB4"/>
    <w:lvl w:ilvl="0" w:tplc="FFFFFFFF">
      <w:start w:val="1"/>
      <w:numFmt w:val="bullet"/>
      <w:lvlText w:val="o"/>
      <w:lvlJc w:val="left"/>
      <w:pPr>
        <w:tabs>
          <w:tab w:val="num" w:pos="720"/>
        </w:tabs>
        <w:ind w:left="720" w:hanging="360"/>
      </w:pPr>
      <w:rPr>
        <w:rFonts w:ascii="Courier New" w:hAnsi="Courier New" w:cs="Times New Roman"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F5A1F"/>
    <w:multiLevelType w:val="hybridMultilevel"/>
    <w:tmpl w:val="38F0C7D6"/>
    <w:lvl w:ilvl="0" w:tplc="FFFFFFFF">
      <w:start w:val="1"/>
      <w:numFmt w:val="decimal"/>
      <w:lvlText w:val="%1)"/>
      <w:lvlJc w:val="left"/>
      <w:pPr>
        <w:tabs>
          <w:tab w:val="num" w:pos="1080"/>
        </w:tabs>
        <w:ind w:left="1080" w:hanging="360"/>
      </w:pPr>
      <w:rPr>
        <w:rFonts w:cs="Times New Roman"/>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 w15:restartNumberingAfterBreak="0">
    <w:nsid w:val="048D5250"/>
    <w:multiLevelType w:val="hybridMultilevel"/>
    <w:tmpl w:val="136A09D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03DC7"/>
    <w:multiLevelType w:val="hybridMultilevel"/>
    <w:tmpl w:val="ADECA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6D3ECC"/>
    <w:multiLevelType w:val="multilevel"/>
    <w:tmpl w:val="A63CC5E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D04CCE"/>
    <w:multiLevelType w:val="hybridMultilevel"/>
    <w:tmpl w:val="EC1A27F0"/>
    <w:lvl w:ilvl="0" w:tplc="953CAF5C">
      <w:start w:val="1"/>
      <w:numFmt w:val="decimal"/>
      <w:lvlText w:val="1.%1"/>
      <w:lvlJc w:val="left"/>
      <w:pPr>
        <w:ind w:left="720" w:hanging="360"/>
      </w:pPr>
      <w:rPr>
        <w:rFonts w:hint="default"/>
        <w:sz w:val="32"/>
        <w:szCs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06030D"/>
    <w:multiLevelType w:val="hybridMultilevel"/>
    <w:tmpl w:val="81541418"/>
    <w:lvl w:ilvl="0" w:tplc="48090011">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8" w15:restartNumberingAfterBreak="0">
    <w:nsid w:val="134A31A6"/>
    <w:multiLevelType w:val="hybridMultilevel"/>
    <w:tmpl w:val="53D46298"/>
    <w:lvl w:ilvl="0" w:tplc="40C06DE4">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F6CDB"/>
    <w:multiLevelType w:val="hybridMultilevel"/>
    <w:tmpl w:val="9CCE23B2"/>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F5376EE"/>
    <w:multiLevelType w:val="hybridMultilevel"/>
    <w:tmpl w:val="7E4ED2FE"/>
    <w:lvl w:ilvl="0" w:tplc="E9C0E9BC">
      <w:numFmt w:val="bullet"/>
      <w:pStyle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E809FF"/>
    <w:multiLevelType w:val="hybridMultilevel"/>
    <w:tmpl w:val="42AAE5C2"/>
    <w:lvl w:ilvl="0" w:tplc="2950286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E5F1A"/>
    <w:multiLevelType w:val="multilevel"/>
    <w:tmpl w:val="1284C042"/>
    <w:lvl w:ilvl="0">
      <w:start w:val="1"/>
      <w:numFmt w:val="decimal"/>
      <w:lvlText w:val="Chapter %1."/>
      <w:lvlJc w:val="left"/>
      <w:pPr>
        <w:ind w:left="360" w:hanging="360"/>
      </w:pPr>
      <w:rPr>
        <w:rFonts w:hint="default"/>
        <w:caps/>
        <w:sz w:val="32"/>
      </w:rPr>
    </w:lvl>
    <w:lvl w:ilvl="1">
      <w:start w:val="1"/>
      <w:numFmt w:val="decimal"/>
      <w:lvlText w:val="%1.%2"/>
      <w:lvlJc w:val="left"/>
      <w:pPr>
        <w:ind w:left="576" w:hanging="57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9F841E5"/>
    <w:multiLevelType w:val="hybridMultilevel"/>
    <w:tmpl w:val="2CFE8F32"/>
    <w:lvl w:ilvl="0" w:tplc="9454C8C2">
      <w:start w:val="1"/>
      <w:numFmt w:val="decimal"/>
      <w:lvlText w:val="%1."/>
      <w:lvlJc w:val="left"/>
      <w:pPr>
        <w:ind w:left="720" w:hanging="360"/>
      </w:pPr>
      <w:rPr>
        <w:rFonts w:hint="default"/>
        <w:b/>
        <w: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ECA3752"/>
    <w:multiLevelType w:val="hybridMultilevel"/>
    <w:tmpl w:val="3FDE8DA2"/>
    <w:lvl w:ilvl="0" w:tplc="7EB8F0E6">
      <w:start w:val="2"/>
      <w:numFmt w:val="bullet"/>
      <w:lvlText w:val="-"/>
      <w:lvlJc w:val="left"/>
      <w:pPr>
        <w:ind w:left="720" w:hanging="360"/>
      </w:pPr>
      <w:rPr>
        <w:rFonts w:ascii="Times New Roman" w:eastAsiaTheme="minorEastAsia"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FD36DC7"/>
    <w:multiLevelType w:val="hybridMultilevel"/>
    <w:tmpl w:val="7F742C8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E72AFC"/>
    <w:multiLevelType w:val="hybridMultilevel"/>
    <w:tmpl w:val="6750FC0A"/>
    <w:lvl w:ilvl="0" w:tplc="FFFFFFFF">
      <w:start w:val="1"/>
      <w:numFmt w:val="bullet"/>
      <w:lvlText w:val="o"/>
      <w:lvlJc w:val="left"/>
      <w:pPr>
        <w:tabs>
          <w:tab w:val="num" w:pos="2160"/>
        </w:tabs>
        <w:ind w:left="2160" w:hanging="360"/>
      </w:pPr>
      <w:rPr>
        <w:rFonts w:ascii="Courier New" w:hAnsi="Courier New" w:cs="Times New Roman" w:hint="default"/>
      </w:rPr>
    </w:lvl>
    <w:lvl w:ilvl="1" w:tplc="FFFFFFFF">
      <w:start w:val="1"/>
      <w:numFmt w:val="bullet"/>
      <w:lvlText w:val="o"/>
      <w:lvlJc w:val="left"/>
      <w:pPr>
        <w:tabs>
          <w:tab w:val="num" w:pos="2880"/>
        </w:tabs>
        <w:ind w:left="2880" w:hanging="360"/>
      </w:pPr>
      <w:rPr>
        <w:rFonts w:ascii="Courier New" w:hAnsi="Courier New" w:cs="Times New Roman" w:hint="default"/>
      </w:rPr>
    </w:lvl>
    <w:lvl w:ilvl="2" w:tplc="FFFFFFFF">
      <w:start w:val="1"/>
      <w:numFmt w:val="bullet"/>
      <w:lvlText w:val=""/>
      <w:lvlJc w:val="left"/>
      <w:pPr>
        <w:tabs>
          <w:tab w:val="num" w:pos="3600"/>
        </w:tabs>
        <w:ind w:left="3600" w:hanging="360"/>
      </w:pPr>
      <w:rPr>
        <w:rFonts w:ascii="Wingdings" w:hAnsi="Wingdings" w:hint="default"/>
      </w:rPr>
    </w:lvl>
    <w:lvl w:ilvl="3" w:tplc="FFFFFFFF">
      <w:start w:val="1"/>
      <w:numFmt w:val="bullet"/>
      <w:lvlText w:val=""/>
      <w:lvlJc w:val="left"/>
      <w:pPr>
        <w:tabs>
          <w:tab w:val="num" w:pos="4320"/>
        </w:tabs>
        <w:ind w:left="4320" w:hanging="360"/>
      </w:pPr>
      <w:rPr>
        <w:rFonts w:ascii="Symbol" w:hAnsi="Symbol" w:hint="default"/>
      </w:rPr>
    </w:lvl>
    <w:lvl w:ilvl="4" w:tplc="FFFFFFFF">
      <w:start w:val="1"/>
      <w:numFmt w:val="bullet"/>
      <w:lvlText w:val="o"/>
      <w:lvlJc w:val="left"/>
      <w:pPr>
        <w:tabs>
          <w:tab w:val="num" w:pos="5040"/>
        </w:tabs>
        <w:ind w:left="5040" w:hanging="360"/>
      </w:pPr>
      <w:rPr>
        <w:rFonts w:ascii="Courier New" w:hAnsi="Courier New" w:cs="Times New Roman" w:hint="default"/>
      </w:rPr>
    </w:lvl>
    <w:lvl w:ilvl="5" w:tplc="FFFFFFFF">
      <w:start w:val="1"/>
      <w:numFmt w:val="bullet"/>
      <w:lvlText w:val=""/>
      <w:lvlJc w:val="left"/>
      <w:pPr>
        <w:tabs>
          <w:tab w:val="num" w:pos="5760"/>
        </w:tabs>
        <w:ind w:left="5760" w:hanging="360"/>
      </w:pPr>
      <w:rPr>
        <w:rFonts w:ascii="Wingdings" w:hAnsi="Wingdings" w:hint="default"/>
      </w:rPr>
    </w:lvl>
    <w:lvl w:ilvl="6" w:tplc="FFFFFFFF">
      <w:start w:val="1"/>
      <w:numFmt w:val="bullet"/>
      <w:lvlText w:val=""/>
      <w:lvlJc w:val="left"/>
      <w:pPr>
        <w:tabs>
          <w:tab w:val="num" w:pos="6480"/>
        </w:tabs>
        <w:ind w:left="6480" w:hanging="360"/>
      </w:pPr>
      <w:rPr>
        <w:rFonts w:ascii="Symbol" w:hAnsi="Symbol" w:hint="default"/>
      </w:rPr>
    </w:lvl>
    <w:lvl w:ilvl="7" w:tplc="FFFFFFFF">
      <w:start w:val="1"/>
      <w:numFmt w:val="bullet"/>
      <w:lvlText w:val="o"/>
      <w:lvlJc w:val="left"/>
      <w:pPr>
        <w:tabs>
          <w:tab w:val="num" w:pos="7200"/>
        </w:tabs>
        <w:ind w:left="7200" w:hanging="360"/>
      </w:pPr>
      <w:rPr>
        <w:rFonts w:ascii="Courier New" w:hAnsi="Courier New" w:cs="Times New Roman" w:hint="default"/>
      </w:rPr>
    </w:lvl>
    <w:lvl w:ilvl="8" w:tplc="FFFFFFFF">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424168F"/>
    <w:multiLevelType w:val="hybridMultilevel"/>
    <w:tmpl w:val="5CAA7094"/>
    <w:lvl w:ilvl="0" w:tplc="A79C815E">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861121"/>
    <w:multiLevelType w:val="hybridMultilevel"/>
    <w:tmpl w:val="3D625864"/>
    <w:lvl w:ilvl="0" w:tplc="308A9C50">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9" w15:restartNumberingAfterBreak="0">
    <w:nsid w:val="37AC0636"/>
    <w:multiLevelType w:val="hybridMultilevel"/>
    <w:tmpl w:val="2E3CF7D4"/>
    <w:lvl w:ilvl="0" w:tplc="19F07F18">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0" w15:restartNumberingAfterBreak="0">
    <w:nsid w:val="3A6D25AD"/>
    <w:multiLevelType w:val="hybridMultilevel"/>
    <w:tmpl w:val="1B141C1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237D37"/>
    <w:multiLevelType w:val="hybridMultilevel"/>
    <w:tmpl w:val="8D50B6F6"/>
    <w:lvl w:ilvl="0" w:tplc="D6621F70">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BEF7950"/>
    <w:multiLevelType w:val="hybridMultilevel"/>
    <w:tmpl w:val="549681CA"/>
    <w:lvl w:ilvl="0" w:tplc="503A378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3DA52E33"/>
    <w:multiLevelType w:val="hybridMultilevel"/>
    <w:tmpl w:val="832EFCA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3F9204AA"/>
    <w:multiLevelType w:val="hybridMultilevel"/>
    <w:tmpl w:val="15B8A70E"/>
    <w:lvl w:ilvl="0" w:tplc="0C09001B">
      <w:start w:val="1"/>
      <w:numFmt w:val="lowerRoman"/>
      <w:lvlText w:val="%1."/>
      <w:lvlJc w:val="righ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1C093B"/>
    <w:multiLevelType w:val="multilevel"/>
    <w:tmpl w:val="CEA08C98"/>
    <w:lvl w:ilvl="0">
      <w:start w:val="1"/>
      <w:numFmt w:val="decimal"/>
      <w:lvlText w:val="%1"/>
      <w:lvlJc w:val="left"/>
      <w:pPr>
        <w:ind w:left="432" w:hanging="432"/>
      </w:pPr>
      <w:rPr>
        <w:rFonts w:hint="default"/>
        <w:caps/>
        <w:sz w:val="3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CF21AF6"/>
    <w:multiLevelType w:val="multilevel"/>
    <w:tmpl w:val="2CD2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9A565B"/>
    <w:multiLevelType w:val="hybridMultilevel"/>
    <w:tmpl w:val="78A02CB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24C64DA"/>
    <w:multiLevelType w:val="hybridMultilevel"/>
    <w:tmpl w:val="8514C21C"/>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407458"/>
    <w:multiLevelType w:val="hybridMultilevel"/>
    <w:tmpl w:val="ADAAE972"/>
    <w:lvl w:ilvl="0" w:tplc="E61C5C76">
      <w:start w:val="1"/>
      <w:numFmt w:val="bullet"/>
      <w:lvlText w:val="-"/>
      <w:lvlJc w:val="left"/>
      <w:pPr>
        <w:ind w:left="1080" w:hanging="360"/>
      </w:pPr>
      <w:rPr>
        <w:rFonts w:ascii="Times New Roman" w:eastAsiaTheme="minorEastAsia"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30" w15:restartNumberingAfterBreak="0">
    <w:nsid w:val="5995630E"/>
    <w:multiLevelType w:val="hybridMultilevel"/>
    <w:tmpl w:val="C16AB6EC"/>
    <w:lvl w:ilvl="0" w:tplc="FFFFFFFF">
      <w:start w:val="1"/>
      <w:numFmt w:val="decimal"/>
      <w:lvlText w:val="%1)"/>
      <w:lvlJc w:val="left"/>
      <w:pPr>
        <w:tabs>
          <w:tab w:val="num" w:pos="1080"/>
        </w:tabs>
        <w:ind w:left="1080" w:hanging="360"/>
      </w:pPr>
      <w:rPr>
        <w:rFonts w:cs="Times New Roman"/>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31" w15:restartNumberingAfterBreak="0">
    <w:nsid w:val="5BB735BE"/>
    <w:multiLevelType w:val="multilevel"/>
    <w:tmpl w:val="EA683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C50355F"/>
    <w:multiLevelType w:val="hybridMultilevel"/>
    <w:tmpl w:val="6124FD22"/>
    <w:lvl w:ilvl="0" w:tplc="FFFFFFFF">
      <w:start w:val="1"/>
      <w:numFmt w:val="bullet"/>
      <w:lvlText w:val="o"/>
      <w:lvlJc w:val="left"/>
      <w:pPr>
        <w:tabs>
          <w:tab w:val="num" w:pos="1440"/>
        </w:tabs>
        <w:ind w:left="1440" w:hanging="360"/>
      </w:pPr>
      <w:rPr>
        <w:rFonts w:ascii="Courier New" w:hAnsi="Courier New" w:cs="Times New Roman"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5E2C1120"/>
    <w:multiLevelType w:val="hybridMultilevel"/>
    <w:tmpl w:val="5CD8413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0E0798"/>
    <w:multiLevelType w:val="hybridMultilevel"/>
    <w:tmpl w:val="240EB5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BA037A3"/>
    <w:multiLevelType w:val="hybridMultilevel"/>
    <w:tmpl w:val="110EB5F0"/>
    <w:lvl w:ilvl="0" w:tplc="A348705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BAB4842"/>
    <w:multiLevelType w:val="hybridMultilevel"/>
    <w:tmpl w:val="7A360F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C4303C9"/>
    <w:multiLevelType w:val="hybridMultilevel"/>
    <w:tmpl w:val="45BEE256"/>
    <w:lvl w:ilvl="0" w:tplc="87A408A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D8E2FD7"/>
    <w:multiLevelType w:val="hybridMultilevel"/>
    <w:tmpl w:val="87E24C56"/>
    <w:lvl w:ilvl="0" w:tplc="AE94F90C">
      <w:start w:val="1"/>
      <w:numFmt w:val="lowerRoman"/>
      <w:lvlText w:val="%1)"/>
      <w:lvlJc w:val="left"/>
      <w:pPr>
        <w:ind w:left="1080" w:hanging="720"/>
      </w:pPr>
      <w:rPr>
        <w:rFonts w:hint="default"/>
      </w:rPr>
    </w:lvl>
    <w:lvl w:ilvl="1" w:tplc="0E7610B2">
      <w:numFmt w:val="bullet"/>
      <w:lvlText w:val="-"/>
      <w:lvlJc w:val="left"/>
      <w:pPr>
        <w:ind w:left="1440" w:hanging="360"/>
      </w:pPr>
      <w:rPr>
        <w:rFonts w:ascii="Times New Roman" w:eastAsiaTheme="minorHAns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AA23F7"/>
    <w:multiLevelType w:val="hybridMultilevel"/>
    <w:tmpl w:val="F1FAA5D0"/>
    <w:lvl w:ilvl="0" w:tplc="0C09000F">
      <w:start w:val="1"/>
      <w:numFmt w:val="decimal"/>
      <w:lvlText w:val="%1."/>
      <w:lvlJc w:val="left"/>
      <w:pPr>
        <w:tabs>
          <w:tab w:val="num" w:pos="720"/>
        </w:tabs>
        <w:ind w:left="720" w:hanging="360"/>
      </w:pPr>
      <w:rPr>
        <w:rFonts w:hint="default"/>
      </w:rPr>
    </w:lvl>
    <w:lvl w:ilvl="1" w:tplc="3D381F56">
      <w:start w:val="1"/>
      <w:numFmt w:val="bullet"/>
      <w:lvlText w:val="•"/>
      <w:lvlJc w:val="left"/>
      <w:pPr>
        <w:tabs>
          <w:tab w:val="num" w:pos="1440"/>
        </w:tabs>
        <w:ind w:left="1440" w:hanging="360"/>
      </w:pPr>
      <w:rPr>
        <w:rFonts w:ascii="Arial" w:hAnsi="Arial" w:hint="default"/>
      </w:rPr>
    </w:lvl>
    <w:lvl w:ilvl="2" w:tplc="A618638A" w:tentative="1">
      <w:start w:val="1"/>
      <w:numFmt w:val="bullet"/>
      <w:lvlText w:val="•"/>
      <w:lvlJc w:val="left"/>
      <w:pPr>
        <w:tabs>
          <w:tab w:val="num" w:pos="2160"/>
        </w:tabs>
        <w:ind w:left="2160" w:hanging="360"/>
      </w:pPr>
      <w:rPr>
        <w:rFonts w:ascii="Arial" w:hAnsi="Arial" w:hint="default"/>
      </w:rPr>
    </w:lvl>
    <w:lvl w:ilvl="3" w:tplc="1E7492A8" w:tentative="1">
      <w:start w:val="1"/>
      <w:numFmt w:val="bullet"/>
      <w:lvlText w:val="•"/>
      <w:lvlJc w:val="left"/>
      <w:pPr>
        <w:tabs>
          <w:tab w:val="num" w:pos="2880"/>
        </w:tabs>
        <w:ind w:left="2880" w:hanging="360"/>
      </w:pPr>
      <w:rPr>
        <w:rFonts w:ascii="Arial" w:hAnsi="Arial" w:hint="default"/>
      </w:rPr>
    </w:lvl>
    <w:lvl w:ilvl="4" w:tplc="A20E778E" w:tentative="1">
      <w:start w:val="1"/>
      <w:numFmt w:val="bullet"/>
      <w:lvlText w:val="•"/>
      <w:lvlJc w:val="left"/>
      <w:pPr>
        <w:tabs>
          <w:tab w:val="num" w:pos="3600"/>
        </w:tabs>
        <w:ind w:left="3600" w:hanging="360"/>
      </w:pPr>
      <w:rPr>
        <w:rFonts w:ascii="Arial" w:hAnsi="Arial" w:hint="default"/>
      </w:rPr>
    </w:lvl>
    <w:lvl w:ilvl="5" w:tplc="EEF83A84" w:tentative="1">
      <w:start w:val="1"/>
      <w:numFmt w:val="bullet"/>
      <w:lvlText w:val="•"/>
      <w:lvlJc w:val="left"/>
      <w:pPr>
        <w:tabs>
          <w:tab w:val="num" w:pos="4320"/>
        </w:tabs>
        <w:ind w:left="4320" w:hanging="360"/>
      </w:pPr>
      <w:rPr>
        <w:rFonts w:ascii="Arial" w:hAnsi="Arial" w:hint="default"/>
      </w:rPr>
    </w:lvl>
    <w:lvl w:ilvl="6" w:tplc="4132A7BA" w:tentative="1">
      <w:start w:val="1"/>
      <w:numFmt w:val="bullet"/>
      <w:lvlText w:val="•"/>
      <w:lvlJc w:val="left"/>
      <w:pPr>
        <w:tabs>
          <w:tab w:val="num" w:pos="5040"/>
        </w:tabs>
        <w:ind w:left="5040" w:hanging="360"/>
      </w:pPr>
      <w:rPr>
        <w:rFonts w:ascii="Arial" w:hAnsi="Arial" w:hint="default"/>
      </w:rPr>
    </w:lvl>
    <w:lvl w:ilvl="7" w:tplc="1974DF24" w:tentative="1">
      <w:start w:val="1"/>
      <w:numFmt w:val="bullet"/>
      <w:lvlText w:val="•"/>
      <w:lvlJc w:val="left"/>
      <w:pPr>
        <w:tabs>
          <w:tab w:val="num" w:pos="5760"/>
        </w:tabs>
        <w:ind w:left="5760" w:hanging="360"/>
      </w:pPr>
      <w:rPr>
        <w:rFonts w:ascii="Arial" w:hAnsi="Arial" w:hint="default"/>
      </w:rPr>
    </w:lvl>
    <w:lvl w:ilvl="8" w:tplc="ED28AFC2"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3486BA7"/>
    <w:multiLevelType w:val="multilevel"/>
    <w:tmpl w:val="C7B2A93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736375F5"/>
    <w:multiLevelType w:val="hybridMultilevel"/>
    <w:tmpl w:val="0256F46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B92FAB"/>
    <w:multiLevelType w:val="hybridMultilevel"/>
    <w:tmpl w:val="56E29BAE"/>
    <w:lvl w:ilvl="0" w:tplc="C606562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762F86"/>
    <w:multiLevelType w:val="multilevel"/>
    <w:tmpl w:val="0C090025"/>
    <w:lvl w:ilvl="0">
      <w:start w:val="1"/>
      <w:numFmt w:val="decimal"/>
      <w:lvlText w:val="%1"/>
      <w:lvlJc w:val="left"/>
      <w:pPr>
        <w:ind w:left="432" w:hanging="432"/>
      </w:pPr>
      <w:rPr>
        <w:rFonts w:hint="default"/>
        <w:b w:val="0"/>
        <w:bCs w:val="0"/>
        <w:i w:val="0"/>
        <w:iCs w:val="0"/>
        <w:caps/>
        <w:smallCaps w:val="0"/>
        <w:strike w:val="0"/>
        <w:dstrike w:val="0"/>
        <w:noProof w:val="0"/>
        <w:snapToGrid w:val="0"/>
        <w:vanish w:val="0"/>
        <w:color w:val="000000"/>
        <w:spacing w:val="0"/>
        <w:w w:val="0"/>
        <w:kern w:val="0"/>
        <w:position w:val="0"/>
        <w:sz w:val="32"/>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5C712E"/>
    <w:multiLevelType w:val="hybridMultilevel"/>
    <w:tmpl w:val="2730AF4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19"/>
  </w:num>
  <w:num w:numId="3">
    <w:abstractNumId w:val="29"/>
  </w:num>
  <w:num w:numId="4">
    <w:abstractNumId w:val="14"/>
  </w:num>
  <w:num w:numId="5">
    <w:abstractNumId w:val="18"/>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27"/>
  </w:num>
  <w:num w:numId="8">
    <w:abstractNumId w:val="13"/>
  </w:num>
  <w:num w:numId="9">
    <w:abstractNumId w:val="44"/>
  </w:num>
  <w:num w:numId="10">
    <w:abstractNumId w:val="10"/>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11"/>
  </w:num>
  <w:num w:numId="15">
    <w:abstractNumId w:val="3"/>
  </w:num>
  <w:num w:numId="16">
    <w:abstractNumId w:val="0"/>
  </w:num>
  <w:num w:numId="17">
    <w:abstractNumId w:val="38"/>
  </w:num>
  <w:num w:numId="18">
    <w:abstractNumId w:val="37"/>
  </w:num>
  <w:num w:numId="19">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2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1"/>
  </w:num>
  <w:num w:numId="27">
    <w:abstractNumId w:val="32"/>
  </w:num>
  <w:num w:numId="28">
    <w:abstractNumId w:val="5"/>
  </w:num>
  <w:num w:numId="29">
    <w:abstractNumId w:val="36"/>
  </w:num>
  <w:num w:numId="30">
    <w:abstractNumId w:val="9"/>
  </w:num>
  <w:num w:numId="31">
    <w:abstractNumId w:val="34"/>
  </w:num>
  <w:num w:numId="32">
    <w:abstractNumId w:val="17"/>
  </w:num>
  <w:num w:numId="33">
    <w:abstractNumId w:val="42"/>
  </w:num>
  <w:num w:numId="34">
    <w:abstractNumId w:val="41"/>
  </w:num>
  <w:num w:numId="35">
    <w:abstractNumId w:val="33"/>
  </w:num>
  <w:num w:numId="36">
    <w:abstractNumId w:val="20"/>
  </w:num>
  <w:num w:numId="37">
    <w:abstractNumId w:val="43"/>
  </w:num>
  <w:num w:numId="38">
    <w:abstractNumId w:val="35"/>
  </w:num>
  <w:num w:numId="39">
    <w:abstractNumId w:val="21"/>
  </w:num>
  <w:num w:numId="40">
    <w:abstractNumId w:val="15"/>
  </w:num>
  <w:num w:numId="41">
    <w:abstractNumId w:val="39"/>
  </w:num>
  <w:num w:numId="42">
    <w:abstractNumId w:val="25"/>
  </w:num>
  <w:num w:numId="43">
    <w:abstractNumId w:val="40"/>
  </w:num>
  <w:num w:numId="44">
    <w:abstractNumId w:val="6"/>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num>
  <w:num w:numId="48">
    <w:abstractNumId w:val="2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ctiveWritingStyle w:appName="MSWord" w:lang="en-AU" w:vendorID="64" w:dllVersion="6" w:nlCheck="1" w:checkStyle="0"/>
  <w:activeWritingStyle w:appName="MSWord" w:lang="en-SG"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SG" w:vendorID="64" w:dllVersion="0" w:nlCheck="1" w:checkStyle="0"/>
  <w:activeWritingStyle w:appName="MSWord" w:lang="en-AU" w:vendorID="64" w:dllVersion="0" w:nlCheck="1" w:checkStyle="0"/>
  <w:activeWritingStyle w:appName="MSWord" w:lang="en-GB" w:vendorID="64" w:dllVersion="0" w:nlCheck="1" w:checkStyle="0"/>
  <w:activeWritingStyle w:appName="MSWord" w:lang="fr-BE"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SG"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1&lt;/Suspended&gt;&lt;/ENInstantFormat&gt;"/>
    <w:docVar w:name="EN.Layout" w:val="&lt;ENLayout&gt;&lt;Style&gt;JAMA&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5f9vw062tp9qedzw8vwv01aeepfsawwt0r&quot;&gt;PhD_library_260220&lt;record-ids&gt;&lt;item&gt;100&lt;/item&gt;&lt;item&gt;224&lt;/item&gt;&lt;item&gt;631&lt;/item&gt;&lt;item&gt;666&lt;/item&gt;&lt;item&gt;703&lt;/item&gt;&lt;item&gt;1090&lt;/item&gt;&lt;item&gt;1217&lt;/item&gt;&lt;item&gt;1286&lt;/item&gt;&lt;item&gt;1294&lt;/item&gt;&lt;item&gt;1305&lt;/item&gt;&lt;item&gt;1387&lt;/item&gt;&lt;item&gt;1397&lt;/item&gt;&lt;item&gt;1402&lt;/item&gt;&lt;item&gt;1477&lt;/item&gt;&lt;item&gt;1588&lt;/item&gt;&lt;item&gt;1598&lt;/item&gt;&lt;item&gt;1638&lt;/item&gt;&lt;item&gt;1659&lt;/item&gt;&lt;item&gt;1761&lt;/item&gt;&lt;item&gt;1762&lt;/item&gt;&lt;item&gt;1763&lt;/item&gt;&lt;/record-ids&gt;&lt;/item&gt;&lt;/Libraries&gt;"/>
  </w:docVars>
  <w:rsids>
    <w:rsidRoot w:val="00823303"/>
    <w:rsid w:val="000006A7"/>
    <w:rsid w:val="00002A23"/>
    <w:rsid w:val="000042A1"/>
    <w:rsid w:val="00005F93"/>
    <w:rsid w:val="0000726B"/>
    <w:rsid w:val="00007DC8"/>
    <w:rsid w:val="00010681"/>
    <w:rsid w:val="00011026"/>
    <w:rsid w:val="0001159C"/>
    <w:rsid w:val="00011C6E"/>
    <w:rsid w:val="00012CFE"/>
    <w:rsid w:val="00013425"/>
    <w:rsid w:val="000135EA"/>
    <w:rsid w:val="0001498F"/>
    <w:rsid w:val="00015786"/>
    <w:rsid w:val="00020E36"/>
    <w:rsid w:val="00021FB5"/>
    <w:rsid w:val="000236E2"/>
    <w:rsid w:val="000238E0"/>
    <w:rsid w:val="0002654B"/>
    <w:rsid w:val="00027187"/>
    <w:rsid w:val="00033453"/>
    <w:rsid w:val="00034D35"/>
    <w:rsid w:val="0003643B"/>
    <w:rsid w:val="00036693"/>
    <w:rsid w:val="00037E04"/>
    <w:rsid w:val="00042D06"/>
    <w:rsid w:val="00047241"/>
    <w:rsid w:val="000472D3"/>
    <w:rsid w:val="00047AF9"/>
    <w:rsid w:val="0005221D"/>
    <w:rsid w:val="000564DD"/>
    <w:rsid w:val="00056725"/>
    <w:rsid w:val="00056C80"/>
    <w:rsid w:val="0006382B"/>
    <w:rsid w:val="00063B93"/>
    <w:rsid w:val="00065A55"/>
    <w:rsid w:val="00066720"/>
    <w:rsid w:val="00074FD7"/>
    <w:rsid w:val="0007544A"/>
    <w:rsid w:val="0007557C"/>
    <w:rsid w:val="00076092"/>
    <w:rsid w:val="000763AA"/>
    <w:rsid w:val="0007770B"/>
    <w:rsid w:val="00077ADD"/>
    <w:rsid w:val="000806F1"/>
    <w:rsid w:val="00081E75"/>
    <w:rsid w:val="00084D68"/>
    <w:rsid w:val="0008585D"/>
    <w:rsid w:val="00090B7F"/>
    <w:rsid w:val="000919C9"/>
    <w:rsid w:val="0009278E"/>
    <w:rsid w:val="00094790"/>
    <w:rsid w:val="0009580A"/>
    <w:rsid w:val="00095918"/>
    <w:rsid w:val="000959FC"/>
    <w:rsid w:val="0009612E"/>
    <w:rsid w:val="0009633A"/>
    <w:rsid w:val="00096481"/>
    <w:rsid w:val="00096C36"/>
    <w:rsid w:val="00097272"/>
    <w:rsid w:val="000A094D"/>
    <w:rsid w:val="000A0A04"/>
    <w:rsid w:val="000A2B74"/>
    <w:rsid w:val="000A42AD"/>
    <w:rsid w:val="000A67E6"/>
    <w:rsid w:val="000A6B27"/>
    <w:rsid w:val="000A7199"/>
    <w:rsid w:val="000B137B"/>
    <w:rsid w:val="000B7DED"/>
    <w:rsid w:val="000C2B02"/>
    <w:rsid w:val="000C46BE"/>
    <w:rsid w:val="000C4D09"/>
    <w:rsid w:val="000C5EC0"/>
    <w:rsid w:val="000C6A5E"/>
    <w:rsid w:val="000C7840"/>
    <w:rsid w:val="000C79A7"/>
    <w:rsid w:val="000D2F0A"/>
    <w:rsid w:val="000D7682"/>
    <w:rsid w:val="000E3E79"/>
    <w:rsid w:val="000E4CDD"/>
    <w:rsid w:val="000E6837"/>
    <w:rsid w:val="000E769E"/>
    <w:rsid w:val="000E7B9E"/>
    <w:rsid w:val="000F3F0C"/>
    <w:rsid w:val="000F4A37"/>
    <w:rsid w:val="000F7585"/>
    <w:rsid w:val="000F7713"/>
    <w:rsid w:val="00101BE0"/>
    <w:rsid w:val="0010596B"/>
    <w:rsid w:val="001060FA"/>
    <w:rsid w:val="0010796D"/>
    <w:rsid w:val="001127A8"/>
    <w:rsid w:val="00115924"/>
    <w:rsid w:val="00115B7E"/>
    <w:rsid w:val="00115FF3"/>
    <w:rsid w:val="001161E0"/>
    <w:rsid w:val="0011632E"/>
    <w:rsid w:val="00116B45"/>
    <w:rsid w:val="001175A0"/>
    <w:rsid w:val="00117ECB"/>
    <w:rsid w:val="00120495"/>
    <w:rsid w:val="001209FE"/>
    <w:rsid w:val="00124C34"/>
    <w:rsid w:val="00130AA0"/>
    <w:rsid w:val="00131695"/>
    <w:rsid w:val="001329F6"/>
    <w:rsid w:val="00134194"/>
    <w:rsid w:val="001356AB"/>
    <w:rsid w:val="00135BB5"/>
    <w:rsid w:val="001361C6"/>
    <w:rsid w:val="00141F40"/>
    <w:rsid w:val="0014394F"/>
    <w:rsid w:val="00145069"/>
    <w:rsid w:val="001516E9"/>
    <w:rsid w:val="00153E4B"/>
    <w:rsid w:val="00156225"/>
    <w:rsid w:val="001628A5"/>
    <w:rsid w:val="00164A38"/>
    <w:rsid w:val="00164A9D"/>
    <w:rsid w:val="00165861"/>
    <w:rsid w:val="00166C38"/>
    <w:rsid w:val="00167B9C"/>
    <w:rsid w:val="00170392"/>
    <w:rsid w:val="00170540"/>
    <w:rsid w:val="0017275F"/>
    <w:rsid w:val="00172EB1"/>
    <w:rsid w:val="001763F4"/>
    <w:rsid w:val="00180DA6"/>
    <w:rsid w:val="001821BE"/>
    <w:rsid w:val="00182833"/>
    <w:rsid w:val="00184011"/>
    <w:rsid w:val="00184899"/>
    <w:rsid w:val="001855E9"/>
    <w:rsid w:val="00186427"/>
    <w:rsid w:val="00186581"/>
    <w:rsid w:val="00187100"/>
    <w:rsid w:val="00187732"/>
    <w:rsid w:val="001932E7"/>
    <w:rsid w:val="001957EB"/>
    <w:rsid w:val="0019655E"/>
    <w:rsid w:val="00196816"/>
    <w:rsid w:val="0019776A"/>
    <w:rsid w:val="001A1FC4"/>
    <w:rsid w:val="001A426D"/>
    <w:rsid w:val="001A4572"/>
    <w:rsid w:val="001A4C7D"/>
    <w:rsid w:val="001A6430"/>
    <w:rsid w:val="001B03A0"/>
    <w:rsid w:val="001B1E54"/>
    <w:rsid w:val="001B37CD"/>
    <w:rsid w:val="001B6579"/>
    <w:rsid w:val="001C12B4"/>
    <w:rsid w:val="001C439E"/>
    <w:rsid w:val="001C4D93"/>
    <w:rsid w:val="001C601F"/>
    <w:rsid w:val="001D0920"/>
    <w:rsid w:val="001D2E81"/>
    <w:rsid w:val="001D405A"/>
    <w:rsid w:val="001D47BD"/>
    <w:rsid w:val="001D5112"/>
    <w:rsid w:val="001D5C3B"/>
    <w:rsid w:val="001D6E5B"/>
    <w:rsid w:val="001D6FF6"/>
    <w:rsid w:val="001D7E23"/>
    <w:rsid w:val="001E0617"/>
    <w:rsid w:val="001E144C"/>
    <w:rsid w:val="001E2733"/>
    <w:rsid w:val="001E56F2"/>
    <w:rsid w:val="001E5B7A"/>
    <w:rsid w:val="001E6391"/>
    <w:rsid w:val="001F0660"/>
    <w:rsid w:val="001F2D84"/>
    <w:rsid w:val="001F302A"/>
    <w:rsid w:val="001F3383"/>
    <w:rsid w:val="001F4939"/>
    <w:rsid w:val="001F5446"/>
    <w:rsid w:val="001F6FBA"/>
    <w:rsid w:val="001F783F"/>
    <w:rsid w:val="0020023B"/>
    <w:rsid w:val="00201D2F"/>
    <w:rsid w:val="0020437E"/>
    <w:rsid w:val="00204AAD"/>
    <w:rsid w:val="00210498"/>
    <w:rsid w:val="00211922"/>
    <w:rsid w:val="00211FDD"/>
    <w:rsid w:val="00212406"/>
    <w:rsid w:val="00213751"/>
    <w:rsid w:val="002143A1"/>
    <w:rsid w:val="002163AE"/>
    <w:rsid w:val="002218EA"/>
    <w:rsid w:val="002223E6"/>
    <w:rsid w:val="002232DB"/>
    <w:rsid w:val="00224354"/>
    <w:rsid w:val="002254C1"/>
    <w:rsid w:val="00226582"/>
    <w:rsid w:val="00226756"/>
    <w:rsid w:val="00230C2E"/>
    <w:rsid w:val="002328C0"/>
    <w:rsid w:val="002364CE"/>
    <w:rsid w:val="002372E4"/>
    <w:rsid w:val="00237F1F"/>
    <w:rsid w:val="00240136"/>
    <w:rsid w:val="00242948"/>
    <w:rsid w:val="00244B13"/>
    <w:rsid w:val="00245A73"/>
    <w:rsid w:val="00245E02"/>
    <w:rsid w:val="00246C50"/>
    <w:rsid w:val="0024731A"/>
    <w:rsid w:val="0025098F"/>
    <w:rsid w:val="00250DB5"/>
    <w:rsid w:val="0025554C"/>
    <w:rsid w:val="00255E3F"/>
    <w:rsid w:val="00256379"/>
    <w:rsid w:val="00257CF1"/>
    <w:rsid w:val="00260117"/>
    <w:rsid w:val="002623B9"/>
    <w:rsid w:val="00262D23"/>
    <w:rsid w:val="00265214"/>
    <w:rsid w:val="00267E7C"/>
    <w:rsid w:val="00274248"/>
    <w:rsid w:val="00274F21"/>
    <w:rsid w:val="00276239"/>
    <w:rsid w:val="00276E85"/>
    <w:rsid w:val="002808C3"/>
    <w:rsid w:val="00281A53"/>
    <w:rsid w:val="002907DD"/>
    <w:rsid w:val="00293B88"/>
    <w:rsid w:val="002949ED"/>
    <w:rsid w:val="002962FC"/>
    <w:rsid w:val="002969C3"/>
    <w:rsid w:val="00297F15"/>
    <w:rsid w:val="002A26C3"/>
    <w:rsid w:val="002A64D3"/>
    <w:rsid w:val="002A6AFB"/>
    <w:rsid w:val="002B1BBA"/>
    <w:rsid w:val="002B2CB9"/>
    <w:rsid w:val="002B2FCB"/>
    <w:rsid w:val="002B4C87"/>
    <w:rsid w:val="002B55FB"/>
    <w:rsid w:val="002B5A4C"/>
    <w:rsid w:val="002B5E3F"/>
    <w:rsid w:val="002B61FD"/>
    <w:rsid w:val="002B6221"/>
    <w:rsid w:val="002B74E3"/>
    <w:rsid w:val="002C1D4F"/>
    <w:rsid w:val="002C1FB4"/>
    <w:rsid w:val="002C272C"/>
    <w:rsid w:val="002C2F77"/>
    <w:rsid w:val="002C35E9"/>
    <w:rsid w:val="002C420F"/>
    <w:rsid w:val="002C45D5"/>
    <w:rsid w:val="002C6095"/>
    <w:rsid w:val="002C6405"/>
    <w:rsid w:val="002C68EE"/>
    <w:rsid w:val="002C6CE8"/>
    <w:rsid w:val="002D20A4"/>
    <w:rsid w:val="002D3E46"/>
    <w:rsid w:val="002D4AC2"/>
    <w:rsid w:val="002D55F1"/>
    <w:rsid w:val="002D66E2"/>
    <w:rsid w:val="002D7A1A"/>
    <w:rsid w:val="002E0606"/>
    <w:rsid w:val="002E1785"/>
    <w:rsid w:val="002E26D0"/>
    <w:rsid w:val="002E2979"/>
    <w:rsid w:val="002E400A"/>
    <w:rsid w:val="002E621A"/>
    <w:rsid w:val="002E6B2C"/>
    <w:rsid w:val="002E729A"/>
    <w:rsid w:val="002E73EB"/>
    <w:rsid w:val="002F21E1"/>
    <w:rsid w:val="002F4DF9"/>
    <w:rsid w:val="002F6187"/>
    <w:rsid w:val="002F75A0"/>
    <w:rsid w:val="002F779D"/>
    <w:rsid w:val="002F79E8"/>
    <w:rsid w:val="003041BE"/>
    <w:rsid w:val="003043DC"/>
    <w:rsid w:val="0030476B"/>
    <w:rsid w:val="00305FA7"/>
    <w:rsid w:val="0030621C"/>
    <w:rsid w:val="003065C2"/>
    <w:rsid w:val="00311B94"/>
    <w:rsid w:val="00312ABD"/>
    <w:rsid w:val="00313154"/>
    <w:rsid w:val="003154B5"/>
    <w:rsid w:val="003166A9"/>
    <w:rsid w:val="003179DB"/>
    <w:rsid w:val="003201F7"/>
    <w:rsid w:val="0032531E"/>
    <w:rsid w:val="003254EB"/>
    <w:rsid w:val="00325DE0"/>
    <w:rsid w:val="003276B4"/>
    <w:rsid w:val="003327D8"/>
    <w:rsid w:val="003339D5"/>
    <w:rsid w:val="00333BDB"/>
    <w:rsid w:val="00334A0B"/>
    <w:rsid w:val="00334E74"/>
    <w:rsid w:val="003350B1"/>
    <w:rsid w:val="00340E57"/>
    <w:rsid w:val="0034444C"/>
    <w:rsid w:val="00344823"/>
    <w:rsid w:val="00345DC4"/>
    <w:rsid w:val="00346DBB"/>
    <w:rsid w:val="00347FA2"/>
    <w:rsid w:val="00350158"/>
    <w:rsid w:val="00350F10"/>
    <w:rsid w:val="00351AAE"/>
    <w:rsid w:val="00351E59"/>
    <w:rsid w:val="0035206D"/>
    <w:rsid w:val="00352143"/>
    <w:rsid w:val="00352361"/>
    <w:rsid w:val="003543D1"/>
    <w:rsid w:val="0035481C"/>
    <w:rsid w:val="00355032"/>
    <w:rsid w:val="00355ED9"/>
    <w:rsid w:val="00360C6D"/>
    <w:rsid w:val="00361628"/>
    <w:rsid w:val="00362138"/>
    <w:rsid w:val="00363C56"/>
    <w:rsid w:val="00364A44"/>
    <w:rsid w:val="00364B9F"/>
    <w:rsid w:val="00365110"/>
    <w:rsid w:val="00366E5D"/>
    <w:rsid w:val="00370EAB"/>
    <w:rsid w:val="00372D35"/>
    <w:rsid w:val="0037409D"/>
    <w:rsid w:val="00374EAD"/>
    <w:rsid w:val="00376606"/>
    <w:rsid w:val="003779D8"/>
    <w:rsid w:val="00380AE0"/>
    <w:rsid w:val="00390728"/>
    <w:rsid w:val="00390D74"/>
    <w:rsid w:val="00391FCF"/>
    <w:rsid w:val="00393A6D"/>
    <w:rsid w:val="00393B4C"/>
    <w:rsid w:val="00396187"/>
    <w:rsid w:val="00397AF6"/>
    <w:rsid w:val="003A0ED1"/>
    <w:rsid w:val="003A1275"/>
    <w:rsid w:val="003A2E9A"/>
    <w:rsid w:val="003A3051"/>
    <w:rsid w:val="003A4401"/>
    <w:rsid w:val="003A6C85"/>
    <w:rsid w:val="003A7ACA"/>
    <w:rsid w:val="003A7E6A"/>
    <w:rsid w:val="003B0BF9"/>
    <w:rsid w:val="003B22D8"/>
    <w:rsid w:val="003B2DBD"/>
    <w:rsid w:val="003B45F4"/>
    <w:rsid w:val="003B514C"/>
    <w:rsid w:val="003B5908"/>
    <w:rsid w:val="003B67E9"/>
    <w:rsid w:val="003B7459"/>
    <w:rsid w:val="003B75B7"/>
    <w:rsid w:val="003B7B25"/>
    <w:rsid w:val="003C0CE8"/>
    <w:rsid w:val="003C29E9"/>
    <w:rsid w:val="003C6B8F"/>
    <w:rsid w:val="003C7C0A"/>
    <w:rsid w:val="003D1D1A"/>
    <w:rsid w:val="003D23B9"/>
    <w:rsid w:val="003D3E99"/>
    <w:rsid w:val="003D4354"/>
    <w:rsid w:val="003D5478"/>
    <w:rsid w:val="003D5725"/>
    <w:rsid w:val="003D5C00"/>
    <w:rsid w:val="003D7263"/>
    <w:rsid w:val="003D7278"/>
    <w:rsid w:val="003D7A6A"/>
    <w:rsid w:val="003E14B6"/>
    <w:rsid w:val="003E4195"/>
    <w:rsid w:val="003F4338"/>
    <w:rsid w:val="003F5AF6"/>
    <w:rsid w:val="00400129"/>
    <w:rsid w:val="00403A6E"/>
    <w:rsid w:val="00404B73"/>
    <w:rsid w:val="00405B96"/>
    <w:rsid w:val="0040687F"/>
    <w:rsid w:val="00407077"/>
    <w:rsid w:val="004118A1"/>
    <w:rsid w:val="0041196B"/>
    <w:rsid w:val="00413592"/>
    <w:rsid w:val="0041374E"/>
    <w:rsid w:val="00413F70"/>
    <w:rsid w:val="0041414F"/>
    <w:rsid w:val="0041417E"/>
    <w:rsid w:val="00421CDE"/>
    <w:rsid w:val="00430FB0"/>
    <w:rsid w:val="00432174"/>
    <w:rsid w:val="004354A5"/>
    <w:rsid w:val="00435A7E"/>
    <w:rsid w:val="00440CDF"/>
    <w:rsid w:val="0044147E"/>
    <w:rsid w:val="004464C5"/>
    <w:rsid w:val="004471C1"/>
    <w:rsid w:val="00447325"/>
    <w:rsid w:val="00450A55"/>
    <w:rsid w:val="00450C93"/>
    <w:rsid w:val="0045147B"/>
    <w:rsid w:val="004628B6"/>
    <w:rsid w:val="0046761B"/>
    <w:rsid w:val="0047031E"/>
    <w:rsid w:val="00470821"/>
    <w:rsid w:val="00470C94"/>
    <w:rsid w:val="00472220"/>
    <w:rsid w:val="004723EF"/>
    <w:rsid w:val="0047313A"/>
    <w:rsid w:val="00475830"/>
    <w:rsid w:val="00475834"/>
    <w:rsid w:val="00476327"/>
    <w:rsid w:val="0047721F"/>
    <w:rsid w:val="00480038"/>
    <w:rsid w:val="004820FA"/>
    <w:rsid w:val="004821CE"/>
    <w:rsid w:val="0048339C"/>
    <w:rsid w:val="004841BC"/>
    <w:rsid w:val="00485ED7"/>
    <w:rsid w:val="00486A8F"/>
    <w:rsid w:val="00486D94"/>
    <w:rsid w:val="00490082"/>
    <w:rsid w:val="004903F4"/>
    <w:rsid w:val="00490545"/>
    <w:rsid w:val="00492162"/>
    <w:rsid w:val="00495A1C"/>
    <w:rsid w:val="00495AB2"/>
    <w:rsid w:val="00496C8C"/>
    <w:rsid w:val="00497A6D"/>
    <w:rsid w:val="00497E3B"/>
    <w:rsid w:val="004A156F"/>
    <w:rsid w:val="004A3565"/>
    <w:rsid w:val="004A4D2F"/>
    <w:rsid w:val="004A624C"/>
    <w:rsid w:val="004A6EBC"/>
    <w:rsid w:val="004B219A"/>
    <w:rsid w:val="004B3FA3"/>
    <w:rsid w:val="004B45B9"/>
    <w:rsid w:val="004B6AB1"/>
    <w:rsid w:val="004B6DE3"/>
    <w:rsid w:val="004B7B6C"/>
    <w:rsid w:val="004C10CF"/>
    <w:rsid w:val="004C1B58"/>
    <w:rsid w:val="004C1EF9"/>
    <w:rsid w:val="004C1F7F"/>
    <w:rsid w:val="004C2635"/>
    <w:rsid w:val="004C2A74"/>
    <w:rsid w:val="004C314B"/>
    <w:rsid w:val="004C3914"/>
    <w:rsid w:val="004C5E2E"/>
    <w:rsid w:val="004C7F0A"/>
    <w:rsid w:val="004D21DD"/>
    <w:rsid w:val="004D46BE"/>
    <w:rsid w:val="004D6693"/>
    <w:rsid w:val="004E01BC"/>
    <w:rsid w:val="004E14B8"/>
    <w:rsid w:val="004E1C22"/>
    <w:rsid w:val="004E2714"/>
    <w:rsid w:val="004E2B9A"/>
    <w:rsid w:val="004E4D9B"/>
    <w:rsid w:val="004E4F7F"/>
    <w:rsid w:val="004E5373"/>
    <w:rsid w:val="004F15A6"/>
    <w:rsid w:val="004F258A"/>
    <w:rsid w:val="004F715C"/>
    <w:rsid w:val="0050011E"/>
    <w:rsid w:val="005002F7"/>
    <w:rsid w:val="0050427D"/>
    <w:rsid w:val="005045A4"/>
    <w:rsid w:val="005078FC"/>
    <w:rsid w:val="00507A4B"/>
    <w:rsid w:val="005109AE"/>
    <w:rsid w:val="0051206A"/>
    <w:rsid w:val="00512E9F"/>
    <w:rsid w:val="005130FD"/>
    <w:rsid w:val="0051668D"/>
    <w:rsid w:val="005175DA"/>
    <w:rsid w:val="00517CAA"/>
    <w:rsid w:val="005201CF"/>
    <w:rsid w:val="00520914"/>
    <w:rsid w:val="00523712"/>
    <w:rsid w:val="0053358E"/>
    <w:rsid w:val="005345F8"/>
    <w:rsid w:val="0053545A"/>
    <w:rsid w:val="0053785E"/>
    <w:rsid w:val="00537B82"/>
    <w:rsid w:val="0054154D"/>
    <w:rsid w:val="005454F7"/>
    <w:rsid w:val="00546A64"/>
    <w:rsid w:val="00550F54"/>
    <w:rsid w:val="005513CC"/>
    <w:rsid w:val="0055156B"/>
    <w:rsid w:val="0055349C"/>
    <w:rsid w:val="00553F7D"/>
    <w:rsid w:val="00554732"/>
    <w:rsid w:val="00554D48"/>
    <w:rsid w:val="00555235"/>
    <w:rsid w:val="005562B2"/>
    <w:rsid w:val="005574D9"/>
    <w:rsid w:val="005615FD"/>
    <w:rsid w:val="00562E97"/>
    <w:rsid w:val="00570E52"/>
    <w:rsid w:val="00572E44"/>
    <w:rsid w:val="0057476D"/>
    <w:rsid w:val="005758D2"/>
    <w:rsid w:val="00576098"/>
    <w:rsid w:val="0057638E"/>
    <w:rsid w:val="00576F96"/>
    <w:rsid w:val="00577C4F"/>
    <w:rsid w:val="00580C5F"/>
    <w:rsid w:val="00582445"/>
    <w:rsid w:val="00582C50"/>
    <w:rsid w:val="0058357F"/>
    <w:rsid w:val="00587D67"/>
    <w:rsid w:val="005950B8"/>
    <w:rsid w:val="00596331"/>
    <w:rsid w:val="00596813"/>
    <w:rsid w:val="005A038B"/>
    <w:rsid w:val="005A155B"/>
    <w:rsid w:val="005A2221"/>
    <w:rsid w:val="005A56A7"/>
    <w:rsid w:val="005B1EBE"/>
    <w:rsid w:val="005B2EDC"/>
    <w:rsid w:val="005B3411"/>
    <w:rsid w:val="005B462E"/>
    <w:rsid w:val="005B5846"/>
    <w:rsid w:val="005C0C79"/>
    <w:rsid w:val="005C2EB2"/>
    <w:rsid w:val="005C33EB"/>
    <w:rsid w:val="005C46E0"/>
    <w:rsid w:val="005C6B88"/>
    <w:rsid w:val="005C6C04"/>
    <w:rsid w:val="005D36FC"/>
    <w:rsid w:val="005D3E73"/>
    <w:rsid w:val="005D470F"/>
    <w:rsid w:val="005D6C25"/>
    <w:rsid w:val="005D6DAD"/>
    <w:rsid w:val="005E211A"/>
    <w:rsid w:val="005E234A"/>
    <w:rsid w:val="005E312D"/>
    <w:rsid w:val="005E36A7"/>
    <w:rsid w:val="005E3ADC"/>
    <w:rsid w:val="005E48F0"/>
    <w:rsid w:val="005E4CA9"/>
    <w:rsid w:val="005E4FE7"/>
    <w:rsid w:val="005E5D69"/>
    <w:rsid w:val="005E5FDB"/>
    <w:rsid w:val="005F03C7"/>
    <w:rsid w:val="005F400D"/>
    <w:rsid w:val="005F6BAE"/>
    <w:rsid w:val="006005C2"/>
    <w:rsid w:val="00600F8F"/>
    <w:rsid w:val="006022B1"/>
    <w:rsid w:val="006026E6"/>
    <w:rsid w:val="00603A01"/>
    <w:rsid w:val="00605FA6"/>
    <w:rsid w:val="0060665A"/>
    <w:rsid w:val="00606DE6"/>
    <w:rsid w:val="00610EFE"/>
    <w:rsid w:val="00611149"/>
    <w:rsid w:val="00614860"/>
    <w:rsid w:val="00614A07"/>
    <w:rsid w:val="00616001"/>
    <w:rsid w:val="00616416"/>
    <w:rsid w:val="00621271"/>
    <w:rsid w:val="0062264A"/>
    <w:rsid w:val="00625F11"/>
    <w:rsid w:val="00626FA2"/>
    <w:rsid w:val="00627F02"/>
    <w:rsid w:val="0063126E"/>
    <w:rsid w:val="00631F31"/>
    <w:rsid w:val="00632DC5"/>
    <w:rsid w:val="0063586A"/>
    <w:rsid w:val="00635CBE"/>
    <w:rsid w:val="00636149"/>
    <w:rsid w:val="006362A6"/>
    <w:rsid w:val="006367A8"/>
    <w:rsid w:val="00643CEF"/>
    <w:rsid w:val="00644904"/>
    <w:rsid w:val="006467DB"/>
    <w:rsid w:val="00646B00"/>
    <w:rsid w:val="006474DC"/>
    <w:rsid w:val="006476BC"/>
    <w:rsid w:val="00647FB7"/>
    <w:rsid w:val="006512AD"/>
    <w:rsid w:val="0065294F"/>
    <w:rsid w:val="00652AE9"/>
    <w:rsid w:val="0065356D"/>
    <w:rsid w:val="00654EFC"/>
    <w:rsid w:val="00654FB8"/>
    <w:rsid w:val="00662869"/>
    <w:rsid w:val="006628AA"/>
    <w:rsid w:val="00664B7A"/>
    <w:rsid w:val="006655CA"/>
    <w:rsid w:val="00666933"/>
    <w:rsid w:val="006712FF"/>
    <w:rsid w:val="0067165A"/>
    <w:rsid w:val="0067366E"/>
    <w:rsid w:val="00673AB8"/>
    <w:rsid w:val="00674E5D"/>
    <w:rsid w:val="00677031"/>
    <w:rsid w:val="00681647"/>
    <w:rsid w:val="00682D50"/>
    <w:rsid w:val="00686362"/>
    <w:rsid w:val="006877A6"/>
    <w:rsid w:val="00687F0B"/>
    <w:rsid w:val="006907A4"/>
    <w:rsid w:val="0069114F"/>
    <w:rsid w:val="00692FEA"/>
    <w:rsid w:val="006950AF"/>
    <w:rsid w:val="006A0EDD"/>
    <w:rsid w:val="006A112E"/>
    <w:rsid w:val="006A1C72"/>
    <w:rsid w:val="006A334A"/>
    <w:rsid w:val="006A499E"/>
    <w:rsid w:val="006A54DE"/>
    <w:rsid w:val="006A5B92"/>
    <w:rsid w:val="006A5E16"/>
    <w:rsid w:val="006B1C21"/>
    <w:rsid w:val="006B1D4C"/>
    <w:rsid w:val="006B3532"/>
    <w:rsid w:val="006B4233"/>
    <w:rsid w:val="006B66DD"/>
    <w:rsid w:val="006B75C8"/>
    <w:rsid w:val="006C059E"/>
    <w:rsid w:val="006C254C"/>
    <w:rsid w:val="006C330A"/>
    <w:rsid w:val="006C6695"/>
    <w:rsid w:val="006D34E6"/>
    <w:rsid w:val="006D3673"/>
    <w:rsid w:val="006D7112"/>
    <w:rsid w:val="006D79E2"/>
    <w:rsid w:val="006E3CAE"/>
    <w:rsid w:val="006E5010"/>
    <w:rsid w:val="006E6B92"/>
    <w:rsid w:val="006F0682"/>
    <w:rsid w:val="006F1B5F"/>
    <w:rsid w:val="006F77B1"/>
    <w:rsid w:val="006F7EB0"/>
    <w:rsid w:val="006F7FAB"/>
    <w:rsid w:val="007002EB"/>
    <w:rsid w:val="00703222"/>
    <w:rsid w:val="00705F80"/>
    <w:rsid w:val="007110C5"/>
    <w:rsid w:val="00714768"/>
    <w:rsid w:val="007149CD"/>
    <w:rsid w:val="0072190C"/>
    <w:rsid w:val="00723D27"/>
    <w:rsid w:val="00724AFA"/>
    <w:rsid w:val="007278DC"/>
    <w:rsid w:val="00730830"/>
    <w:rsid w:val="00733A14"/>
    <w:rsid w:val="007359BA"/>
    <w:rsid w:val="00737D94"/>
    <w:rsid w:val="00746941"/>
    <w:rsid w:val="007509E5"/>
    <w:rsid w:val="007517A3"/>
    <w:rsid w:val="00752ECF"/>
    <w:rsid w:val="007533E3"/>
    <w:rsid w:val="00755B68"/>
    <w:rsid w:val="007571BF"/>
    <w:rsid w:val="0076285E"/>
    <w:rsid w:val="00763038"/>
    <w:rsid w:val="0076740D"/>
    <w:rsid w:val="0077020E"/>
    <w:rsid w:val="00770F0C"/>
    <w:rsid w:val="00771BAB"/>
    <w:rsid w:val="007720BC"/>
    <w:rsid w:val="00772BDD"/>
    <w:rsid w:val="00773BAC"/>
    <w:rsid w:val="007741BF"/>
    <w:rsid w:val="00775E19"/>
    <w:rsid w:val="00780349"/>
    <w:rsid w:val="007816C6"/>
    <w:rsid w:val="007837DB"/>
    <w:rsid w:val="00783BD2"/>
    <w:rsid w:val="0078511C"/>
    <w:rsid w:val="007853A1"/>
    <w:rsid w:val="007863B7"/>
    <w:rsid w:val="007869B7"/>
    <w:rsid w:val="00790553"/>
    <w:rsid w:val="00791086"/>
    <w:rsid w:val="0079326E"/>
    <w:rsid w:val="007938A2"/>
    <w:rsid w:val="00794461"/>
    <w:rsid w:val="007953E7"/>
    <w:rsid w:val="00795D52"/>
    <w:rsid w:val="007A0B90"/>
    <w:rsid w:val="007A1B24"/>
    <w:rsid w:val="007A4DFB"/>
    <w:rsid w:val="007A5B75"/>
    <w:rsid w:val="007A635F"/>
    <w:rsid w:val="007A7244"/>
    <w:rsid w:val="007B1032"/>
    <w:rsid w:val="007B1A7D"/>
    <w:rsid w:val="007B2E2C"/>
    <w:rsid w:val="007B3707"/>
    <w:rsid w:val="007B44B7"/>
    <w:rsid w:val="007B4B0D"/>
    <w:rsid w:val="007B527A"/>
    <w:rsid w:val="007B7008"/>
    <w:rsid w:val="007C0A5B"/>
    <w:rsid w:val="007C0C1E"/>
    <w:rsid w:val="007C0F65"/>
    <w:rsid w:val="007C0FDB"/>
    <w:rsid w:val="007C31BA"/>
    <w:rsid w:val="007C339E"/>
    <w:rsid w:val="007C70E3"/>
    <w:rsid w:val="007D102E"/>
    <w:rsid w:val="007D1997"/>
    <w:rsid w:val="007D4705"/>
    <w:rsid w:val="007D4730"/>
    <w:rsid w:val="007D482C"/>
    <w:rsid w:val="007D6334"/>
    <w:rsid w:val="007D6FDD"/>
    <w:rsid w:val="007E01E6"/>
    <w:rsid w:val="007E4F82"/>
    <w:rsid w:val="007E5332"/>
    <w:rsid w:val="007E5627"/>
    <w:rsid w:val="007E572A"/>
    <w:rsid w:val="007E7B38"/>
    <w:rsid w:val="007E7D13"/>
    <w:rsid w:val="007F0F2B"/>
    <w:rsid w:val="007F28A9"/>
    <w:rsid w:val="007F5EF2"/>
    <w:rsid w:val="007F6EFC"/>
    <w:rsid w:val="00800775"/>
    <w:rsid w:val="00801F3D"/>
    <w:rsid w:val="008026C3"/>
    <w:rsid w:val="00803DF1"/>
    <w:rsid w:val="008054FE"/>
    <w:rsid w:val="008128FA"/>
    <w:rsid w:val="0081509C"/>
    <w:rsid w:val="00816C36"/>
    <w:rsid w:val="00821B30"/>
    <w:rsid w:val="00821ECC"/>
    <w:rsid w:val="00823303"/>
    <w:rsid w:val="008234E2"/>
    <w:rsid w:val="008238BC"/>
    <w:rsid w:val="00825977"/>
    <w:rsid w:val="00825D35"/>
    <w:rsid w:val="008263CD"/>
    <w:rsid w:val="008265CE"/>
    <w:rsid w:val="008303AF"/>
    <w:rsid w:val="00830A6E"/>
    <w:rsid w:val="008318AE"/>
    <w:rsid w:val="00833478"/>
    <w:rsid w:val="00833AE5"/>
    <w:rsid w:val="00840837"/>
    <w:rsid w:val="00840BB7"/>
    <w:rsid w:val="0084323D"/>
    <w:rsid w:val="008442EA"/>
    <w:rsid w:val="0084490C"/>
    <w:rsid w:val="00845BCA"/>
    <w:rsid w:val="0084673A"/>
    <w:rsid w:val="00847B2A"/>
    <w:rsid w:val="008500D1"/>
    <w:rsid w:val="008501D8"/>
    <w:rsid w:val="008503D4"/>
    <w:rsid w:val="00850751"/>
    <w:rsid w:val="00853E05"/>
    <w:rsid w:val="00854283"/>
    <w:rsid w:val="0085445B"/>
    <w:rsid w:val="00854551"/>
    <w:rsid w:val="0085665C"/>
    <w:rsid w:val="00856F91"/>
    <w:rsid w:val="008604B3"/>
    <w:rsid w:val="00860623"/>
    <w:rsid w:val="00860C64"/>
    <w:rsid w:val="00860DE8"/>
    <w:rsid w:val="00860F2D"/>
    <w:rsid w:val="008636AF"/>
    <w:rsid w:val="00863783"/>
    <w:rsid w:val="00863E3E"/>
    <w:rsid w:val="00865206"/>
    <w:rsid w:val="00866DD9"/>
    <w:rsid w:val="00872924"/>
    <w:rsid w:val="00873B2B"/>
    <w:rsid w:val="00873DDF"/>
    <w:rsid w:val="00874023"/>
    <w:rsid w:val="008763C0"/>
    <w:rsid w:val="0088502F"/>
    <w:rsid w:val="00885103"/>
    <w:rsid w:val="00890560"/>
    <w:rsid w:val="008905E6"/>
    <w:rsid w:val="00890856"/>
    <w:rsid w:val="00892810"/>
    <w:rsid w:val="00894930"/>
    <w:rsid w:val="00895647"/>
    <w:rsid w:val="00896107"/>
    <w:rsid w:val="00897ACF"/>
    <w:rsid w:val="008A2955"/>
    <w:rsid w:val="008A3B4A"/>
    <w:rsid w:val="008A5160"/>
    <w:rsid w:val="008A59D4"/>
    <w:rsid w:val="008B1E40"/>
    <w:rsid w:val="008B1EB9"/>
    <w:rsid w:val="008B3985"/>
    <w:rsid w:val="008B4312"/>
    <w:rsid w:val="008B4E38"/>
    <w:rsid w:val="008B614B"/>
    <w:rsid w:val="008B6B55"/>
    <w:rsid w:val="008B6F78"/>
    <w:rsid w:val="008C04E0"/>
    <w:rsid w:val="008C0FF0"/>
    <w:rsid w:val="008C43A2"/>
    <w:rsid w:val="008C4884"/>
    <w:rsid w:val="008C6190"/>
    <w:rsid w:val="008C6F31"/>
    <w:rsid w:val="008D03F6"/>
    <w:rsid w:val="008D1B8B"/>
    <w:rsid w:val="008D3EE3"/>
    <w:rsid w:val="008D4754"/>
    <w:rsid w:val="008D6CA1"/>
    <w:rsid w:val="008D71C4"/>
    <w:rsid w:val="008D728C"/>
    <w:rsid w:val="008D7C64"/>
    <w:rsid w:val="008E000C"/>
    <w:rsid w:val="008E07E6"/>
    <w:rsid w:val="008E156F"/>
    <w:rsid w:val="008E3CAF"/>
    <w:rsid w:val="008E3D76"/>
    <w:rsid w:val="008E4A16"/>
    <w:rsid w:val="008E65FE"/>
    <w:rsid w:val="008E76C4"/>
    <w:rsid w:val="008F2089"/>
    <w:rsid w:val="008F60D5"/>
    <w:rsid w:val="008F62C5"/>
    <w:rsid w:val="008F71C6"/>
    <w:rsid w:val="00901A65"/>
    <w:rsid w:val="00903AFD"/>
    <w:rsid w:val="009042A2"/>
    <w:rsid w:val="009054BB"/>
    <w:rsid w:val="00906441"/>
    <w:rsid w:val="00907C9A"/>
    <w:rsid w:val="00910159"/>
    <w:rsid w:val="00911937"/>
    <w:rsid w:val="009125DF"/>
    <w:rsid w:val="00912D72"/>
    <w:rsid w:val="00912FF0"/>
    <w:rsid w:val="00913C35"/>
    <w:rsid w:val="00917F57"/>
    <w:rsid w:val="00921D43"/>
    <w:rsid w:val="00921D4F"/>
    <w:rsid w:val="00921E6A"/>
    <w:rsid w:val="00923245"/>
    <w:rsid w:val="00923B24"/>
    <w:rsid w:val="00924705"/>
    <w:rsid w:val="00925E33"/>
    <w:rsid w:val="0092748C"/>
    <w:rsid w:val="00931573"/>
    <w:rsid w:val="009318D5"/>
    <w:rsid w:val="00931BF4"/>
    <w:rsid w:val="009343A9"/>
    <w:rsid w:val="00934F54"/>
    <w:rsid w:val="009360C1"/>
    <w:rsid w:val="0093633E"/>
    <w:rsid w:val="0093796A"/>
    <w:rsid w:val="0094040A"/>
    <w:rsid w:val="00944C78"/>
    <w:rsid w:val="00947CB8"/>
    <w:rsid w:val="00952029"/>
    <w:rsid w:val="00953322"/>
    <w:rsid w:val="0095339E"/>
    <w:rsid w:val="00954069"/>
    <w:rsid w:val="00955294"/>
    <w:rsid w:val="00955FA1"/>
    <w:rsid w:val="00957BC0"/>
    <w:rsid w:val="00966C91"/>
    <w:rsid w:val="00966FF4"/>
    <w:rsid w:val="009675B7"/>
    <w:rsid w:val="009706D4"/>
    <w:rsid w:val="00970A72"/>
    <w:rsid w:val="0097366E"/>
    <w:rsid w:val="0097421C"/>
    <w:rsid w:val="00975A7D"/>
    <w:rsid w:val="009760BF"/>
    <w:rsid w:val="00980CBE"/>
    <w:rsid w:val="009817FB"/>
    <w:rsid w:val="009832E5"/>
    <w:rsid w:val="009846CA"/>
    <w:rsid w:val="00984AA4"/>
    <w:rsid w:val="00986BA6"/>
    <w:rsid w:val="00987DC4"/>
    <w:rsid w:val="0099084C"/>
    <w:rsid w:val="009909F8"/>
    <w:rsid w:val="00991C4A"/>
    <w:rsid w:val="00992A4F"/>
    <w:rsid w:val="009972E9"/>
    <w:rsid w:val="009A18FD"/>
    <w:rsid w:val="009A2035"/>
    <w:rsid w:val="009A5766"/>
    <w:rsid w:val="009A6AA0"/>
    <w:rsid w:val="009A7C90"/>
    <w:rsid w:val="009B2924"/>
    <w:rsid w:val="009B42B9"/>
    <w:rsid w:val="009B4A62"/>
    <w:rsid w:val="009C1E33"/>
    <w:rsid w:val="009C2429"/>
    <w:rsid w:val="009C45FA"/>
    <w:rsid w:val="009C484D"/>
    <w:rsid w:val="009C4F7F"/>
    <w:rsid w:val="009C5A68"/>
    <w:rsid w:val="009D0304"/>
    <w:rsid w:val="009D03EA"/>
    <w:rsid w:val="009D33E7"/>
    <w:rsid w:val="009D43D6"/>
    <w:rsid w:val="009D4DED"/>
    <w:rsid w:val="009D4DF6"/>
    <w:rsid w:val="009D5996"/>
    <w:rsid w:val="009D751E"/>
    <w:rsid w:val="009D75D1"/>
    <w:rsid w:val="009E07DB"/>
    <w:rsid w:val="009E21F3"/>
    <w:rsid w:val="009E3F89"/>
    <w:rsid w:val="009F0066"/>
    <w:rsid w:val="009F188C"/>
    <w:rsid w:val="009F3EDE"/>
    <w:rsid w:val="009F570B"/>
    <w:rsid w:val="009F680D"/>
    <w:rsid w:val="00A00AA1"/>
    <w:rsid w:val="00A0439E"/>
    <w:rsid w:val="00A05E68"/>
    <w:rsid w:val="00A101C6"/>
    <w:rsid w:val="00A122F3"/>
    <w:rsid w:val="00A148AA"/>
    <w:rsid w:val="00A15F21"/>
    <w:rsid w:val="00A17E9E"/>
    <w:rsid w:val="00A20BB6"/>
    <w:rsid w:val="00A2226A"/>
    <w:rsid w:val="00A263C4"/>
    <w:rsid w:val="00A37B3E"/>
    <w:rsid w:val="00A439E9"/>
    <w:rsid w:val="00A449F4"/>
    <w:rsid w:val="00A458AB"/>
    <w:rsid w:val="00A5035C"/>
    <w:rsid w:val="00A50C99"/>
    <w:rsid w:val="00A5335A"/>
    <w:rsid w:val="00A53921"/>
    <w:rsid w:val="00A542F1"/>
    <w:rsid w:val="00A565D6"/>
    <w:rsid w:val="00A57C82"/>
    <w:rsid w:val="00A620A6"/>
    <w:rsid w:val="00A6317A"/>
    <w:rsid w:val="00A64189"/>
    <w:rsid w:val="00A6427D"/>
    <w:rsid w:val="00A659B4"/>
    <w:rsid w:val="00A705DC"/>
    <w:rsid w:val="00A70656"/>
    <w:rsid w:val="00A74357"/>
    <w:rsid w:val="00A7471C"/>
    <w:rsid w:val="00A7496C"/>
    <w:rsid w:val="00A75EA6"/>
    <w:rsid w:val="00A76C57"/>
    <w:rsid w:val="00A802F2"/>
    <w:rsid w:val="00A80713"/>
    <w:rsid w:val="00A80A45"/>
    <w:rsid w:val="00A80E04"/>
    <w:rsid w:val="00A82F50"/>
    <w:rsid w:val="00A83E01"/>
    <w:rsid w:val="00A85FAE"/>
    <w:rsid w:val="00A8666D"/>
    <w:rsid w:val="00A87D6B"/>
    <w:rsid w:val="00A90421"/>
    <w:rsid w:val="00A936C1"/>
    <w:rsid w:val="00A97829"/>
    <w:rsid w:val="00AA17CF"/>
    <w:rsid w:val="00AB1168"/>
    <w:rsid w:val="00AB2BF0"/>
    <w:rsid w:val="00AB3A36"/>
    <w:rsid w:val="00AB5A8C"/>
    <w:rsid w:val="00AB5D67"/>
    <w:rsid w:val="00AB6693"/>
    <w:rsid w:val="00AB669C"/>
    <w:rsid w:val="00AB6D60"/>
    <w:rsid w:val="00AC0FED"/>
    <w:rsid w:val="00AC19CB"/>
    <w:rsid w:val="00AC4D74"/>
    <w:rsid w:val="00AC686C"/>
    <w:rsid w:val="00AD19EA"/>
    <w:rsid w:val="00AD37F4"/>
    <w:rsid w:val="00AD7649"/>
    <w:rsid w:val="00AE11D6"/>
    <w:rsid w:val="00AE15F5"/>
    <w:rsid w:val="00AE49B6"/>
    <w:rsid w:val="00AE5306"/>
    <w:rsid w:val="00AE7E55"/>
    <w:rsid w:val="00AF25BB"/>
    <w:rsid w:val="00AF4516"/>
    <w:rsid w:val="00AF5706"/>
    <w:rsid w:val="00AF7EDA"/>
    <w:rsid w:val="00B00F2A"/>
    <w:rsid w:val="00B01789"/>
    <w:rsid w:val="00B0271F"/>
    <w:rsid w:val="00B03ED0"/>
    <w:rsid w:val="00B0464D"/>
    <w:rsid w:val="00B04F55"/>
    <w:rsid w:val="00B070EE"/>
    <w:rsid w:val="00B1106B"/>
    <w:rsid w:val="00B14050"/>
    <w:rsid w:val="00B14114"/>
    <w:rsid w:val="00B14840"/>
    <w:rsid w:val="00B15B44"/>
    <w:rsid w:val="00B16B27"/>
    <w:rsid w:val="00B1721D"/>
    <w:rsid w:val="00B231B3"/>
    <w:rsid w:val="00B2534D"/>
    <w:rsid w:val="00B259F3"/>
    <w:rsid w:val="00B25D75"/>
    <w:rsid w:val="00B25E66"/>
    <w:rsid w:val="00B3062D"/>
    <w:rsid w:val="00B332DC"/>
    <w:rsid w:val="00B346D2"/>
    <w:rsid w:val="00B35D3F"/>
    <w:rsid w:val="00B3758B"/>
    <w:rsid w:val="00B413FD"/>
    <w:rsid w:val="00B42CDA"/>
    <w:rsid w:val="00B455A5"/>
    <w:rsid w:val="00B50E84"/>
    <w:rsid w:val="00B546CE"/>
    <w:rsid w:val="00B557E0"/>
    <w:rsid w:val="00B55B4B"/>
    <w:rsid w:val="00B55FA1"/>
    <w:rsid w:val="00B56225"/>
    <w:rsid w:val="00B60792"/>
    <w:rsid w:val="00B60AA6"/>
    <w:rsid w:val="00B61425"/>
    <w:rsid w:val="00B61F61"/>
    <w:rsid w:val="00B64106"/>
    <w:rsid w:val="00B6490E"/>
    <w:rsid w:val="00B65107"/>
    <w:rsid w:val="00B67F0E"/>
    <w:rsid w:val="00B67F4A"/>
    <w:rsid w:val="00B703C7"/>
    <w:rsid w:val="00B710ED"/>
    <w:rsid w:val="00B73DA7"/>
    <w:rsid w:val="00B762F1"/>
    <w:rsid w:val="00B77D96"/>
    <w:rsid w:val="00B815DE"/>
    <w:rsid w:val="00B8296E"/>
    <w:rsid w:val="00B8369B"/>
    <w:rsid w:val="00B8431B"/>
    <w:rsid w:val="00B85B81"/>
    <w:rsid w:val="00B85E0E"/>
    <w:rsid w:val="00B85F75"/>
    <w:rsid w:val="00B862EF"/>
    <w:rsid w:val="00B875DD"/>
    <w:rsid w:val="00B903FD"/>
    <w:rsid w:val="00B910E5"/>
    <w:rsid w:val="00B9245E"/>
    <w:rsid w:val="00B92D99"/>
    <w:rsid w:val="00B93193"/>
    <w:rsid w:val="00B93338"/>
    <w:rsid w:val="00B94940"/>
    <w:rsid w:val="00B94B30"/>
    <w:rsid w:val="00BA17D2"/>
    <w:rsid w:val="00BA199A"/>
    <w:rsid w:val="00BA2773"/>
    <w:rsid w:val="00BA5496"/>
    <w:rsid w:val="00BA5A46"/>
    <w:rsid w:val="00BB012C"/>
    <w:rsid w:val="00BB2FFC"/>
    <w:rsid w:val="00BB3919"/>
    <w:rsid w:val="00BB3B04"/>
    <w:rsid w:val="00BB3CA1"/>
    <w:rsid w:val="00BB72CF"/>
    <w:rsid w:val="00BB7C5F"/>
    <w:rsid w:val="00BC1002"/>
    <w:rsid w:val="00BC223F"/>
    <w:rsid w:val="00BC6067"/>
    <w:rsid w:val="00BC7901"/>
    <w:rsid w:val="00BD01C9"/>
    <w:rsid w:val="00BD0561"/>
    <w:rsid w:val="00BD380B"/>
    <w:rsid w:val="00BD38ED"/>
    <w:rsid w:val="00BD52FC"/>
    <w:rsid w:val="00BD5330"/>
    <w:rsid w:val="00BD5CC3"/>
    <w:rsid w:val="00BD63BD"/>
    <w:rsid w:val="00BD73EC"/>
    <w:rsid w:val="00BE0A7B"/>
    <w:rsid w:val="00BE1B23"/>
    <w:rsid w:val="00BE7469"/>
    <w:rsid w:val="00BE7EA5"/>
    <w:rsid w:val="00BF0FA3"/>
    <w:rsid w:val="00BF16FC"/>
    <w:rsid w:val="00BF3197"/>
    <w:rsid w:val="00BF4383"/>
    <w:rsid w:val="00BF7211"/>
    <w:rsid w:val="00BF7F20"/>
    <w:rsid w:val="00C02DB9"/>
    <w:rsid w:val="00C03FE2"/>
    <w:rsid w:val="00C05F7E"/>
    <w:rsid w:val="00C06649"/>
    <w:rsid w:val="00C067D9"/>
    <w:rsid w:val="00C0787F"/>
    <w:rsid w:val="00C10112"/>
    <w:rsid w:val="00C10288"/>
    <w:rsid w:val="00C1128D"/>
    <w:rsid w:val="00C1171B"/>
    <w:rsid w:val="00C11A4C"/>
    <w:rsid w:val="00C13124"/>
    <w:rsid w:val="00C13545"/>
    <w:rsid w:val="00C15A0E"/>
    <w:rsid w:val="00C203E3"/>
    <w:rsid w:val="00C21089"/>
    <w:rsid w:val="00C24B7E"/>
    <w:rsid w:val="00C269B1"/>
    <w:rsid w:val="00C26CC7"/>
    <w:rsid w:val="00C31AFE"/>
    <w:rsid w:val="00C31DA6"/>
    <w:rsid w:val="00C33D51"/>
    <w:rsid w:val="00C340A1"/>
    <w:rsid w:val="00C36C86"/>
    <w:rsid w:val="00C37D60"/>
    <w:rsid w:val="00C416F0"/>
    <w:rsid w:val="00C4378A"/>
    <w:rsid w:val="00C4391A"/>
    <w:rsid w:val="00C43949"/>
    <w:rsid w:val="00C43F99"/>
    <w:rsid w:val="00C55224"/>
    <w:rsid w:val="00C56487"/>
    <w:rsid w:val="00C60965"/>
    <w:rsid w:val="00C61764"/>
    <w:rsid w:val="00C61FBB"/>
    <w:rsid w:val="00C62919"/>
    <w:rsid w:val="00C6353B"/>
    <w:rsid w:val="00C64179"/>
    <w:rsid w:val="00C654C4"/>
    <w:rsid w:val="00C67AC5"/>
    <w:rsid w:val="00C7063E"/>
    <w:rsid w:val="00C726DE"/>
    <w:rsid w:val="00C7362F"/>
    <w:rsid w:val="00C7541F"/>
    <w:rsid w:val="00C75583"/>
    <w:rsid w:val="00C75915"/>
    <w:rsid w:val="00C75B77"/>
    <w:rsid w:val="00C766C9"/>
    <w:rsid w:val="00C77DB1"/>
    <w:rsid w:val="00C80F0E"/>
    <w:rsid w:val="00C8121C"/>
    <w:rsid w:val="00C829A3"/>
    <w:rsid w:val="00C830F1"/>
    <w:rsid w:val="00C8349E"/>
    <w:rsid w:val="00C836B0"/>
    <w:rsid w:val="00C83A51"/>
    <w:rsid w:val="00C86DFD"/>
    <w:rsid w:val="00C91532"/>
    <w:rsid w:val="00C926C5"/>
    <w:rsid w:val="00C930C4"/>
    <w:rsid w:val="00C93173"/>
    <w:rsid w:val="00C94024"/>
    <w:rsid w:val="00C97933"/>
    <w:rsid w:val="00CA55BC"/>
    <w:rsid w:val="00CA608C"/>
    <w:rsid w:val="00CA60D0"/>
    <w:rsid w:val="00CA6A48"/>
    <w:rsid w:val="00CA7CB2"/>
    <w:rsid w:val="00CB0F1F"/>
    <w:rsid w:val="00CB2072"/>
    <w:rsid w:val="00CB3D9A"/>
    <w:rsid w:val="00CC220E"/>
    <w:rsid w:val="00CC229A"/>
    <w:rsid w:val="00CC2AB9"/>
    <w:rsid w:val="00CC375E"/>
    <w:rsid w:val="00CC65A8"/>
    <w:rsid w:val="00CC6BE4"/>
    <w:rsid w:val="00CD2CCF"/>
    <w:rsid w:val="00CD374E"/>
    <w:rsid w:val="00CD5013"/>
    <w:rsid w:val="00CD6675"/>
    <w:rsid w:val="00CD7E09"/>
    <w:rsid w:val="00CE02D4"/>
    <w:rsid w:val="00CE2B2B"/>
    <w:rsid w:val="00CE35A3"/>
    <w:rsid w:val="00CE47C0"/>
    <w:rsid w:val="00CE5C40"/>
    <w:rsid w:val="00CE5FB1"/>
    <w:rsid w:val="00CE69E8"/>
    <w:rsid w:val="00CE765E"/>
    <w:rsid w:val="00CF0DFC"/>
    <w:rsid w:val="00CF1100"/>
    <w:rsid w:val="00CF11A0"/>
    <w:rsid w:val="00CF35D5"/>
    <w:rsid w:val="00CF7369"/>
    <w:rsid w:val="00CF7478"/>
    <w:rsid w:val="00D00AE5"/>
    <w:rsid w:val="00D01972"/>
    <w:rsid w:val="00D02EA3"/>
    <w:rsid w:val="00D0506D"/>
    <w:rsid w:val="00D05667"/>
    <w:rsid w:val="00D05707"/>
    <w:rsid w:val="00D05999"/>
    <w:rsid w:val="00D07C56"/>
    <w:rsid w:val="00D121AB"/>
    <w:rsid w:val="00D123F1"/>
    <w:rsid w:val="00D1581C"/>
    <w:rsid w:val="00D168A4"/>
    <w:rsid w:val="00D31F96"/>
    <w:rsid w:val="00D325D3"/>
    <w:rsid w:val="00D32CB9"/>
    <w:rsid w:val="00D339A8"/>
    <w:rsid w:val="00D35572"/>
    <w:rsid w:val="00D3642E"/>
    <w:rsid w:val="00D36507"/>
    <w:rsid w:val="00D37B3F"/>
    <w:rsid w:val="00D37E4C"/>
    <w:rsid w:val="00D37F89"/>
    <w:rsid w:val="00D40E35"/>
    <w:rsid w:val="00D4467D"/>
    <w:rsid w:val="00D4578C"/>
    <w:rsid w:val="00D5133E"/>
    <w:rsid w:val="00D5562A"/>
    <w:rsid w:val="00D57A18"/>
    <w:rsid w:val="00D60D88"/>
    <w:rsid w:val="00D61627"/>
    <w:rsid w:val="00D644DB"/>
    <w:rsid w:val="00D648F3"/>
    <w:rsid w:val="00D70141"/>
    <w:rsid w:val="00D70705"/>
    <w:rsid w:val="00D7202E"/>
    <w:rsid w:val="00D722A8"/>
    <w:rsid w:val="00D74128"/>
    <w:rsid w:val="00D75D60"/>
    <w:rsid w:val="00D818F7"/>
    <w:rsid w:val="00D828EE"/>
    <w:rsid w:val="00D857F1"/>
    <w:rsid w:val="00D85A54"/>
    <w:rsid w:val="00D8759C"/>
    <w:rsid w:val="00D87D1D"/>
    <w:rsid w:val="00D90558"/>
    <w:rsid w:val="00D93515"/>
    <w:rsid w:val="00D93D82"/>
    <w:rsid w:val="00DA1BCF"/>
    <w:rsid w:val="00DA1E8C"/>
    <w:rsid w:val="00DA206E"/>
    <w:rsid w:val="00DA2C1E"/>
    <w:rsid w:val="00DA2CEB"/>
    <w:rsid w:val="00DA4DEB"/>
    <w:rsid w:val="00DA584F"/>
    <w:rsid w:val="00DA6C01"/>
    <w:rsid w:val="00DB1E55"/>
    <w:rsid w:val="00DB249A"/>
    <w:rsid w:val="00DB269C"/>
    <w:rsid w:val="00DB2F88"/>
    <w:rsid w:val="00DB366F"/>
    <w:rsid w:val="00DB4C5C"/>
    <w:rsid w:val="00DB595C"/>
    <w:rsid w:val="00DB7420"/>
    <w:rsid w:val="00DB7775"/>
    <w:rsid w:val="00DB794F"/>
    <w:rsid w:val="00DC33BD"/>
    <w:rsid w:val="00DC60D1"/>
    <w:rsid w:val="00DC62E1"/>
    <w:rsid w:val="00DC6DC5"/>
    <w:rsid w:val="00DD0126"/>
    <w:rsid w:val="00DD3F9B"/>
    <w:rsid w:val="00DD5437"/>
    <w:rsid w:val="00DD6BAD"/>
    <w:rsid w:val="00DD6D0F"/>
    <w:rsid w:val="00DD7367"/>
    <w:rsid w:val="00DD765A"/>
    <w:rsid w:val="00DE0053"/>
    <w:rsid w:val="00DE0CF2"/>
    <w:rsid w:val="00DE2308"/>
    <w:rsid w:val="00DE37AE"/>
    <w:rsid w:val="00DE3958"/>
    <w:rsid w:val="00DE69D7"/>
    <w:rsid w:val="00DF0BB8"/>
    <w:rsid w:val="00DF112F"/>
    <w:rsid w:val="00DF1A39"/>
    <w:rsid w:val="00DF31FE"/>
    <w:rsid w:val="00DF372B"/>
    <w:rsid w:val="00DF6BA7"/>
    <w:rsid w:val="00E011B5"/>
    <w:rsid w:val="00E02A0E"/>
    <w:rsid w:val="00E05179"/>
    <w:rsid w:val="00E064D8"/>
    <w:rsid w:val="00E06930"/>
    <w:rsid w:val="00E06F04"/>
    <w:rsid w:val="00E17677"/>
    <w:rsid w:val="00E2077F"/>
    <w:rsid w:val="00E2243A"/>
    <w:rsid w:val="00E237CF"/>
    <w:rsid w:val="00E23D3C"/>
    <w:rsid w:val="00E24AC5"/>
    <w:rsid w:val="00E253BD"/>
    <w:rsid w:val="00E27D5B"/>
    <w:rsid w:val="00E27F8A"/>
    <w:rsid w:val="00E30126"/>
    <w:rsid w:val="00E31620"/>
    <w:rsid w:val="00E31E76"/>
    <w:rsid w:val="00E3442C"/>
    <w:rsid w:val="00E34A6F"/>
    <w:rsid w:val="00E37329"/>
    <w:rsid w:val="00E42FD7"/>
    <w:rsid w:val="00E43DBA"/>
    <w:rsid w:val="00E466F8"/>
    <w:rsid w:val="00E469ED"/>
    <w:rsid w:val="00E50761"/>
    <w:rsid w:val="00E50F10"/>
    <w:rsid w:val="00E53C59"/>
    <w:rsid w:val="00E5464C"/>
    <w:rsid w:val="00E55571"/>
    <w:rsid w:val="00E571F8"/>
    <w:rsid w:val="00E5757C"/>
    <w:rsid w:val="00E6214D"/>
    <w:rsid w:val="00E6374D"/>
    <w:rsid w:val="00E63A88"/>
    <w:rsid w:val="00E64FE6"/>
    <w:rsid w:val="00E65C6A"/>
    <w:rsid w:val="00E66F0C"/>
    <w:rsid w:val="00E67E87"/>
    <w:rsid w:val="00E7155A"/>
    <w:rsid w:val="00E7276F"/>
    <w:rsid w:val="00E819EF"/>
    <w:rsid w:val="00E81C17"/>
    <w:rsid w:val="00E836F7"/>
    <w:rsid w:val="00E843E6"/>
    <w:rsid w:val="00E84444"/>
    <w:rsid w:val="00E857E7"/>
    <w:rsid w:val="00E9164B"/>
    <w:rsid w:val="00E939F5"/>
    <w:rsid w:val="00E93DAF"/>
    <w:rsid w:val="00E94CFC"/>
    <w:rsid w:val="00E95BB6"/>
    <w:rsid w:val="00E96EF2"/>
    <w:rsid w:val="00EA121E"/>
    <w:rsid w:val="00EA44AD"/>
    <w:rsid w:val="00EA54CA"/>
    <w:rsid w:val="00EB2907"/>
    <w:rsid w:val="00EB4779"/>
    <w:rsid w:val="00EB6C83"/>
    <w:rsid w:val="00EB72FE"/>
    <w:rsid w:val="00EC17FF"/>
    <w:rsid w:val="00EC1814"/>
    <w:rsid w:val="00EC1D50"/>
    <w:rsid w:val="00EC3863"/>
    <w:rsid w:val="00EC39C1"/>
    <w:rsid w:val="00EC5A6E"/>
    <w:rsid w:val="00EC7BA7"/>
    <w:rsid w:val="00ED14D6"/>
    <w:rsid w:val="00ED1B4C"/>
    <w:rsid w:val="00ED376E"/>
    <w:rsid w:val="00EE11BE"/>
    <w:rsid w:val="00EE179B"/>
    <w:rsid w:val="00EE196C"/>
    <w:rsid w:val="00EE1F9A"/>
    <w:rsid w:val="00EE3004"/>
    <w:rsid w:val="00EE4BF7"/>
    <w:rsid w:val="00EE605A"/>
    <w:rsid w:val="00EF0664"/>
    <w:rsid w:val="00EF0F7D"/>
    <w:rsid w:val="00EF2A5B"/>
    <w:rsid w:val="00EF2C9E"/>
    <w:rsid w:val="00EF3669"/>
    <w:rsid w:val="00EF4422"/>
    <w:rsid w:val="00EF582C"/>
    <w:rsid w:val="00EF7099"/>
    <w:rsid w:val="00F0023D"/>
    <w:rsid w:val="00F02BA5"/>
    <w:rsid w:val="00F02BF4"/>
    <w:rsid w:val="00F038C9"/>
    <w:rsid w:val="00F043B1"/>
    <w:rsid w:val="00F044DE"/>
    <w:rsid w:val="00F06333"/>
    <w:rsid w:val="00F06739"/>
    <w:rsid w:val="00F107DF"/>
    <w:rsid w:val="00F11231"/>
    <w:rsid w:val="00F11A1C"/>
    <w:rsid w:val="00F131C0"/>
    <w:rsid w:val="00F1545A"/>
    <w:rsid w:val="00F165A7"/>
    <w:rsid w:val="00F1698B"/>
    <w:rsid w:val="00F25367"/>
    <w:rsid w:val="00F26B06"/>
    <w:rsid w:val="00F26C28"/>
    <w:rsid w:val="00F27E00"/>
    <w:rsid w:val="00F27EDE"/>
    <w:rsid w:val="00F35C87"/>
    <w:rsid w:val="00F3675B"/>
    <w:rsid w:val="00F417E0"/>
    <w:rsid w:val="00F41D5C"/>
    <w:rsid w:val="00F45156"/>
    <w:rsid w:val="00F4693E"/>
    <w:rsid w:val="00F47FAD"/>
    <w:rsid w:val="00F5039D"/>
    <w:rsid w:val="00F503E4"/>
    <w:rsid w:val="00F50F03"/>
    <w:rsid w:val="00F51729"/>
    <w:rsid w:val="00F51E7C"/>
    <w:rsid w:val="00F543BD"/>
    <w:rsid w:val="00F54F19"/>
    <w:rsid w:val="00F6389D"/>
    <w:rsid w:val="00F674D2"/>
    <w:rsid w:val="00F7038F"/>
    <w:rsid w:val="00F74E08"/>
    <w:rsid w:val="00F75DE8"/>
    <w:rsid w:val="00F76F8E"/>
    <w:rsid w:val="00F77DAF"/>
    <w:rsid w:val="00F876E9"/>
    <w:rsid w:val="00F917BC"/>
    <w:rsid w:val="00F923C4"/>
    <w:rsid w:val="00F9382F"/>
    <w:rsid w:val="00F96643"/>
    <w:rsid w:val="00F97B33"/>
    <w:rsid w:val="00FA0D41"/>
    <w:rsid w:val="00FA15F8"/>
    <w:rsid w:val="00FA272F"/>
    <w:rsid w:val="00FA40EB"/>
    <w:rsid w:val="00FA565E"/>
    <w:rsid w:val="00FA6093"/>
    <w:rsid w:val="00FA6C3B"/>
    <w:rsid w:val="00FB1419"/>
    <w:rsid w:val="00FB35E1"/>
    <w:rsid w:val="00FB4DF8"/>
    <w:rsid w:val="00FB6280"/>
    <w:rsid w:val="00FB64C6"/>
    <w:rsid w:val="00FC0879"/>
    <w:rsid w:val="00FC2D1C"/>
    <w:rsid w:val="00FC4D97"/>
    <w:rsid w:val="00FC7F22"/>
    <w:rsid w:val="00FD0B37"/>
    <w:rsid w:val="00FD16FE"/>
    <w:rsid w:val="00FD19B4"/>
    <w:rsid w:val="00FD1CFA"/>
    <w:rsid w:val="00FD2FF0"/>
    <w:rsid w:val="00FD5306"/>
    <w:rsid w:val="00FD56EB"/>
    <w:rsid w:val="00FE1438"/>
    <w:rsid w:val="00FE1B01"/>
    <w:rsid w:val="00FE2920"/>
    <w:rsid w:val="00FE39FE"/>
    <w:rsid w:val="00FE67B6"/>
    <w:rsid w:val="00FE6ABA"/>
    <w:rsid w:val="00FF0AEF"/>
    <w:rsid w:val="00FF2ADB"/>
    <w:rsid w:val="00FF3FE0"/>
    <w:rsid w:val="00FF4101"/>
    <w:rsid w:val="00FF52E7"/>
    <w:rsid w:val="00FF53D0"/>
    <w:rsid w:val="00FF5B82"/>
    <w:rsid w:val="00FF6030"/>
    <w:rsid w:val="00FF717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1CE131"/>
  <w15:docId w15:val="{48007F63-08D7-43CB-98EE-4351E5FFD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2"/>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5B7"/>
  </w:style>
  <w:style w:type="paragraph" w:styleId="Heading1">
    <w:name w:val="heading 1"/>
    <w:basedOn w:val="Normal"/>
    <w:next w:val="Normal"/>
    <w:link w:val="Heading1Char"/>
    <w:autoRedefine/>
    <w:uiPriority w:val="9"/>
    <w:qFormat/>
    <w:rsid w:val="00DF6BA7"/>
    <w:pPr>
      <w:spacing w:after="240" w:line="360" w:lineRule="auto"/>
      <w:ind w:left="360" w:hanging="360"/>
      <w:contextualSpacing/>
      <w:jc w:val="both"/>
      <w:outlineLvl w:val="0"/>
    </w:pPr>
    <w:rPr>
      <w:rFonts w:eastAsiaTheme="majorEastAsia" w:cstheme="majorBidi"/>
      <w:b/>
      <w:smallCaps/>
      <w:sz w:val="36"/>
      <w:szCs w:val="32"/>
      <w:lang w:val="en-AU" w:eastAsia="en-US"/>
    </w:rPr>
  </w:style>
  <w:style w:type="paragraph" w:styleId="Heading2">
    <w:name w:val="heading 2"/>
    <w:basedOn w:val="Normal"/>
    <w:next w:val="Normal"/>
    <w:link w:val="Heading2Char"/>
    <w:uiPriority w:val="9"/>
    <w:unhideWhenUsed/>
    <w:qFormat/>
    <w:rsid w:val="00790553"/>
    <w:pPr>
      <w:keepNext/>
      <w:keepLines/>
      <w:spacing w:before="360" w:after="120" w:line="360" w:lineRule="auto"/>
      <w:ind w:left="576" w:hanging="576"/>
      <w:outlineLvl w:val="1"/>
    </w:pPr>
    <w:rPr>
      <w:rFonts w:eastAsiaTheme="majorEastAsia" w:cstheme="majorBidi"/>
      <w:b/>
      <w:szCs w:val="26"/>
      <w:lang w:val="en-AU" w:eastAsia="en-US"/>
    </w:rPr>
  </w:style>
  <w:style w:type="paragraph" w:styleId="Heading3">
    <w:name w:val="heading 3"/>
    <w:basedOn w:val="Normal"/>
    <w:next w:val="Normal"/>
    <w:link w:val="Heading3Char"/>
    <w:autoRedefine/>
    <w:uiPriority w:val="9"/>
    <w:unhideWhenUsed/>
    <w:qFormat/>
    <w:rsid w:val="00790553"/>
    <w:pPr>
      <w:keepNext/>
      <w:keepLines/>
      <w:spacing w:after="120" w:line="480" w:lineRule="auto"/>
      <w:jc w:val="both"/>
      <w:outlineLvl w:val="2"/>
    </w:pPr>
    <w:rPr>
      <w:rFonts w:eastAsiaTheme="majorEastAsia" w:cstheme="majorBidi"/>
      <w:b/>
      <w:i/>
      <w:szCs w:val="24"/>
      <w:lang w:val="en-AU" w:eastAsia="en-US"/>
    </w:rPr>
  </w:style>
  <w:style w:type="paragraph" w:styleId="Heading4">
    <w:name w:val="heading 4"/>
    <w:basedOn w:val="Normal"/>
    <w:next w:val="Normal"/>
    <w:link w:val="Heading4Char"/>
    <w:uiPriority w:val="9"/>
    <w:unhideWhenUsed/>
    <w:qFormat/>
    <w:rsid w:val="0095202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F6BA7"/>
    <w:pPr>
      <w:keepNext/>
      <w:keepLines/>
      <w:spacing w:before="40" w:line="360" w:lineRule="auto"/>
      <w:ind w:left="1008" w:hanging="1008"/>
      <w:jc w:val="both"/>
      <w:outlineLvl w:val="4"/>
    </w:pPr>
    <w:rPr>
      <w:rFonts w:asciiTheme="majorHAnsi" w:eastAsiaTheme="majorEastAsia" w:hAnsiTheme="majorHAnsi" w:cstheme="majorBidi"/>
      <w:color w:val="2E74B5" w:themeColor="accent1" w:themeShade="BF"/>
      <w:lang w:val="en-AU" w:eastAsia="en-US"/>
    </w:rPr>
  </w:style>
  <w:style w:type="paragraph" w:styleId="Heading6">
    <w:name w:val="heading 6"/>
    <w:basedOn w:val="Normal"/>
    <w:next w:val="Normal"/>
    <w:link w:val="Heading6Char"/>
    <w:uiPriority w:val="9"/>
    <w:semiHidden/>
    <w:unhideWhenUsed/>
    <w:qFormat/>
    <w:rsid w:val="00DF6BA7"/>
    <w:pPr>
      <w:keepNext/>
      <w:keepLines/>
      <w:spacing w:before="40" w:line="360" w:lineRule="auto"/>
      <w:ind w:left="1152" w:hanging="1152"/>
      <w:jc w:val="both"/>
      <w:outlineLvl w:val="5"/>
    </w:pPr>
    <w:rPr>
      <w:rFonts w:asciiTheme="majorHAnsi" w:eastAsiaTheme="majorEastAsia" w:hAnsiTheme="majorHAnsi" w:cstheme="majorBidi"/>
      <w:color w:val="1F4D78" w:themeColor="accent1" w:themeShade="7F"/>
      <w:lang w:val="en-AU" w:eastAsia="en-US"/>
    </w:rPr>
  </w:style>
  <w:style w:type="paragraph" w:styleId="Heading7">
    <w:name w:val="heading 7"/>
    <w:basedOn w:val="Normal"/>
    <w:next w:val="Normal"/>
    <w:link w:val="Heading7Char"/>
    <w:uiPriority w:val="9"/>
    <w:semiHidden/>
    <w:unhideWhenUsed/>
    <w:qFormat/>
    <w:rsid w:val="00DF6BA7"/>
    <w:pPr>
      <w:keepNext/>
      <w:keepLines/>
      <w:spacing w:before="40" w:line="360" w:lineRule="auto"/>
      <w:ind w:left="1296" w:hanging="1296"/>
      <w:jc w:val="both"/>
      <w:outlineLvl w:val="6"/>
    </w:pPr>
    <w:rPr>
      <w:rFonts w:asciiTheme="majorHAnsi" w:eastAsiaTheme="majorEastAsia" w:hAnsiTheme="majorHAnsi" w:cstheme="majorBidi"/>
      <w:i/>
      <w:iCs/>
      <w:color w:val="1F4D78" w:themeColor="accent1" w:themeShade="7F"/>
      <w:lang w:val="en-AU" w:eastAsia="en-US"/>
    </w:rPr>
  </w:style>
  <w:style w:type="paragraph" w:styleId="Heading8">
    <w:name w:val="heading 8"/>
    <w:basedOn w:val="Normal"/>
    <w:next w:val="Normal"/>
    <w:link w:val="Heading8Char"/>
    <w:uiPriority w:val="9"/>
    <w:semiHidden/>
    <w:unhideWhenUsed/>
    <w:qFormat/>
    <w:rsid w:val="00DF6BA7"/>
    <w:pPr>
      <w:keepNext/>
      <w:keepLines/>
      <w:spacing w:before="40" w:line="360" w:lineRule="auto"/>
      <w:ind w:left="1440" w:hanging="1440"/>
      <w:jc w:val="both"/>
      <w:outlineLvl w:val="7"/>
    </w:pPr>
    <w:rPr>
      <w:rFonts w:asciiTheme="majorHAnsi" w:eastAsiaTheme="majorEastAsia" w:hAnsiTheme="majorHAnsi" w:cstheme="majorBidi"/>
      <w:color w:val="272727" w:themeColor="text1" w:themeTint="D8"/>
      <w:sz w:val="21"/>
      <w:szCs w:val="21"/>
      <w:lang w:val="en-AU" w:eastAsia="en-US"/>
    </w:rPr>
  </w:style>
  <w:style w:type="paragraph" w:styleId="Heading9">
    <w:name w:val="heading 9"/>
    <w:basedOn w:val="Normal"/>
    <w:next w:val="Normal"/>
    <w:link w:val="Heading9Char"/>
    <w:uiPriority w:val="9"/>
    <w:semiHidden/>
    <w:unhideWhenUsed/>
    <w:qFormat/>
    <w:rsid w:val="00DF6BA7"/>
    <w:pPr>
      <w:keepNext/>
      <w:keepLines/>
      <w:spacing w:before="40" w:line="360" w:lineRule="auto"/>
      <w:ind w:left="1584" w:hanging="1584"/>
      <w:jc w:val="both"/>
      <w:outlineLvl w:val="8"/>
    </w:pPr>
    <w:rPr>
      <w:rFonts w:asciiTheme="majorHAnsi" w:eastAsiaTheme="majorEastAsia" w:hAnsiTheme="majorHAnsi" w:cstheme="majorBidi"/>
      <w:i/>
      <w:iCs/>
      <w:color w:val="272727" w:themeColor="text1" w:themeTint="D8"/>
      <w:sz w:val="21"/>
      <w:szCs w:val="21"/>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BA7"/>
    <w:rPr>
      <w:rFonts w:eastAsiaTheme="majorEastAsia" w:cstheme="majorBidi"/>
      <w:b/>
      <w:smallCaps/>
      <w:sz w:val="36"/>
      <w:szCs w:val="32"/>
      <w:lang w:val="en-AU" w:eastAsia="en-US"/>
    </w:rPr>
  </w:style>
  <w:style w:type="character" w:customStyle="1" w:styleId="Heading2Char">
    <w:name w:val="Heading 2 Char"/>
    <w:basedOn w:val="DefaultParagraphFont"/>
    <w:link w:val="Heading2"/>
    <w:uiPriority w:val="9"/>
    <w:rsid w:val="00790553"/>
    <w:rPr>
      <w:rFonts w:eastAsiaTheme="majorEastAsia" w:cstheme="majorBidi"/>
      <w:b/>
      <w:szCs w:val="26"/>
      <w:lang w:val="en-AU" w:eastAsia="en-US"/>
    </w:rPr>
  </w:style>
  <w:style w:type="character" w:customStyle="1" w:styleId="Heading3Char">
    <w:name w:val="Heading 3 Char"/>
    <w:basedOn w:val="DefaultParagraphFont"/>
    <w:link w:val="Heading3"/>
    <w:uiPriority w:val="9"/>
    <w:rsid w:val="00790553"/>
    <w:rPr>
      <w:rFonts w:eastAsiaTheme="majorEastAsia" w:cstheme="majorBidi"/>
      <w:b/>
      <w:i/>
      <w:szCs w:val="24"/>
      <w:lang w:val="en-AU" w:eastAsia="en-US"/>
    </w:rPr>
  </w:style>
  <w:style w:type="character" w:customStyle="1" w:styleId="Heading4Char">
    <w:name w:val="Heading 4 Char"/>
    <w:basedOn w:val="DefaultParagraphFont"/>
    <w:link w:val="Heading4"/>
    <w:uiPriority w:val="9"/>
    <w:rsid w:val="0095202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F6BA7"/>
    <w:rPr>
      <w:rFonts w:asciiTheme="majorHAnsi" w:eastAsiaTheme="majorEastAsia" w:hAnsiTheme="majorHAnsi" w:cstheme="majorBidi"/>
      <w:color w:val="2E74B5" w:themeColor="accent1" w:themeShade="BF"/>
      <w:lang w:val="en-AU" w:eastAsia="en-US"/>
    </w:rPr>
  </w:style>
  <w:style w:type="character" w:customStyle="1" w:styleId="Heading6Char">
    <w:name w:val="Heading 6 Char"/>
    <w:basedOn w:val="DefaultParagraphFont"/>
    <w:link w:val="Heading6"/>
    <w:uiPriority w:val="9"/>
    <w:semiHidden/>
    <w:rsid w:val="00DF6BA7"/>
    <w:rPr>
      <w:rFonts w:asciiTheme="majorHAnsi" w:eastAsiaTheme="majorEastAsia" w:hAnsiTheme="majorHAnsi" w:cstheme="majorBidi"/>
      <w:color w:val="1F4D78" w:themeColor="accent1" w:themeShade="7F"/>
      <w:lang w:val="en-AU" w:eastAsia="en-US"/>
    </w:rPr>
  </w:style>
  <w:style w:type="character" w:customStyle="1" w:styleId="Heading7Char">
    <w:name w:val="Heading 7 Char"/>
    <w:basedOn w:val="DefaultParagraphFont"/>
    <w:link w:val="Heading7"/>
    <w:uiPriority w:val="9"/>
    <w:semiHidden/>
    <w:rsid w:val="00DF6BA7"/>
    <w:rPr>
      <w:rFonts w:asciiTheme="majorHAnsi" w:eastAsiaTheme="majorEastAsia" w:hAnsiTheme="majorHAnsi" w:cstheme="majorBidi"/>
      <w:i/>
      <w:iCs/>
      <w:color w:val="1F4D78" w:themeColor="accent1" w:themeShade="7F"/>
      <w:lang w:val="en-AU" w:eastAsia="en-US"/>
    </w:rPr>
  </w:style>
  <w:style w:type="character" w:customStyle="1" w:styleId="Heading8Char">
    <w:name w:val="Heading 8 Char"/>
    <w:basedOn w:val="DefaultParagraphFont"/>
    <w:link w:val="Heading8"/>
    <w:uiPriority w:val="9"/>
    <w:semiHidden/>
    <w:rsid w:val="00DF6BA7"/>
    <w:rPr>
      <w:rFonts w:asciiTheme="majorHAnsi" w:eastAsiaTheme="majorEastAsia" w:hAnsiTheme="majorHAnsi" w:cstheme="majorBidi"/>
      <w:color w:val="272727" w:themeColor="text1" w:themeTint="D8"/>
      <w:sz w:val="21"/>
      <w:szCs w:val="21"/>
      <w:lang w:val="en-AU" w:eastAsia="en-US"/>
    </w:rPr>
  </w:style>
  <w:style w:type="character" w:customStyle="1" w:styleId="Heading9Char">
    <w:name w:val="Heading 9 Char"/>
    <w:basedOn w:val="DefaultParagraphFont"/>
    <w:link w:val="Heading9"/>
    <w:uiPriority w:val="9"/>
    <w:semiHidden/>
    <w:rsid w:val="00DF6BA7"/>
    <w:rPr>
      <w:rFonts w:asciiTheme="majorHAnsi" w:eastAsiaTheme="majorEastAsia" w:hAnsiTheme="majorHAnsi" w:cstheme="majorBidi"/>
      <w:i/>
      <w:iCs/>
      <w:color w:val="272727" w:themeColor="text1" w:themeTint="D8"/>
      <w:sz w:val="21"/>
      <w:szCs w:val="21"/>
      <w:lang w:val="en-AU" w:eastAsia="en-US"/>
    </w:rPr>
  </w:style>
  <w:style w:type="paragraph" w:customStyle="1" w:styleId="EndNoteBibliographyTitle">
    <w:name w:val="EndNote Bibliography Title"/>
    <w:basedOn w:val="Normal"/>
    <w:link w:val="EndNoteBibliographyTitleChar"/>
    <w:rsid w:val="00042D06"/>
    <w:pPr>
      <w:jc w:val="center"/>
    </w:pPr>
    <w:rPr>
      <w:noProof/>
    </w:rPr>
  </w:style>
  <w:style w:type="character" w:customStyle="1" w:styleId="EndNoteBibliographyTitleChar">
    <w:name w:val="EndNote Bibliography Title Char"/>
    <w:basedOn w:val="DefaultParagraphFont"/>
    <w:link w:val="EndNoteBibliographyTitle"/>
    <w:rsid w:val="00042D06"/>
    <w:rPr>
      <w:noProof/>
    </w:rPr>
  </w:style>
  <w:style w:type="paragraph" w:customStyle="1" w:styleId="EndNoteBibliography">
    <w:name w:val="EndNote Bibliography"/>
    <w:basedOn w:val="Normal"/>
    <w:link w:val="EndNoteBibliographyChar"/>
    <w:rsid w:val="00042D06"/>
    <w:rPr>
      <w:noProof/>
    </w:rPr>
  </w:style>
  <w:style w:type="character" w:customStyle="1" w:styleId="EndNoteBibliographyChar">
    <w:name w:val="EndNote Bibliography Char"/>
    <w:basedOn w:val="DefaultParagraphFont"/>
    <w:link w:val="EndNoteBibliography"/>
    <w:rsid w:val="00042D06"/>
    <w:rPr>
      <w:noProof/>
    </w:rPr>
  </w:style>
  <w:style w:type="paragraph" w:styleId="ListParagraph">
    <w:name w:val="List Paragraph"/>
    <w:basedOn w:val="Normal"/>
    <w:link w:val="ListParagraphChar"/>
    <w:uiPriority w:val="34"/>
    <w:qFormat/>
    <w:rsid w:val="000E769E"/>
    <w:pPr>
      <w:ind w:left="720"/>
      <w:contextualSpacing/>
    </w:pPr>
  </w:style>
  <w:style w:type="character" w:customStyle="1" w:styleId="ListParagraphChar">
    <w:name w:val="List Paragraph Char"/>
    <w:basedOn w:val="DefaultParagraphFont"/>
    <w:link w:val="ListParagraph"/>
    <w:uiPriority w:val="34"/>
    <w:rsid w:val="000E769E"/>
  </w:style>
  <w:style w:type="character" w:styleId="CommentReference">
    <w:name w:val="annotation reference"/>
    <w:basedOn w:val="DefaultParagraphFont"/>
    <w:uiPriority w:val="99"/>
    <w:unhideWhenUsed/>
    <w:rsid w:val="008D4754"/>
    <w:rPr>
      <w:sz w:val="16"/>
      <w:szCs w:val="16"/>
    </w:rPr>
  </w:style>
  <w:style w:type="paragraph" w:styleId="CommentText">
    <w:name w:val="annotation text"/>
    <w:basedOn w:val="Normal"/>
    <w:link w:val="CommentTextChar"/>
    <w:uiPriority w:val="99"/>
    <w:unhideWhenUsed/>
    <w:rsid w:val="008D4754"/>
    <w:rPr>
      <w:sz w:val="20"/>
      <w:szCs w:val="20"/>
    </w:rPr>
  </w:style>
  <w:style w:type="character" w:customStyle="1" w:styleId="CommentTextChar">
    <w:name w:val="Comment Text Char"/>
    <w:basedOn w:val="DefaultParagraphFont"/>
    <w:link w:val="CommentText"/>
    <w:uiPriority w:val="99"/>
    <w:rsid w:val="008D4754"/>
    <w:rPr>
      <w:sz w:val="20"/>
      <w:szCs w:val="20"/>
    </w:rPr>
  </w:style>
  <w:style w:type="paragraph" w:styleId="CommentSubject">
    <w:name w:val="annotation subject"/>
    <w:basedOn w:val="CommentText"/>
    <w:next w:val="CommentText"/>
    <w:link w:val="CommentSubjectChar"/>
    <w:uiPriority w:val="99"/>
    <w:semiHidden/>
    <w:unhideWhenUsed/>
    <w:rsid w:val="008D4754"/>
    <w:rPr>
      <w:b/>
      <w:bCs/>
    </w:rPr>
  </w:style>
  <w:style w:type="character" w:customStyle="1" w:styleId="CommentSubjectChar">
    <w:name w:val="Comment Subject Char"/>
    <w:basedOn w:val="CommentTextChar"/>
    <w:link w:val="CommentSubject"/>
    <w:uiPriority w:val="99"/>
    <w:semiHidden/>
    <w:rsid w:val="008D4754"/>
    <w:rPr>
      <w:b/>
      <w:bCs/>
      <w:sz w:val="20"/>
      <w:szCs w:val="20"/>
    </w:rPr>
  </w:style>
  <w:style w:type="paragraph" w:styleId="BalloonText">
    <w:name w:val="Balloon Text"/>
    <w:basedOn w:val="Normal"/>
    <w:link w:val="BalloonTextChar"/>
    <w:uiPriority w:val="99"/>
    <w:semiHidden/>
    <w:unhideWhenUsed/>
    <w:rsid w:val="008D47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754"/>
    <w:rPr>
      <w:rFonts w:ascii="Segoe UI" w:hAnsi="Segoe UI" w:cs="Segoe UI"/>
      <w:sz w:val="18"/>
      <w:szCs w:val="18"/>
    </w:rPr>
  </w:style>
  <w:style w:type="paragraph" w:styleId="Footer">
    <w:name w:val="footer"/>
    <w:basedOn w:val="Normal"/>
    <w:link w:val="FooterChar"/>
    <w:uiPriority w:val="99"/>
    <w:unhideWhenUsed/>
    <w:rsid w:val="00952029"/>
    <w:pPr>
      <w:tabs>
        <w:tab w:val="center" w:pos="4513"/>
        <w:tab w:val="right" w:pos="9026"/>
      </w:tabs>
      <w:jc w:val="both"/>
    </w:pPr>
    <w:rPr>
      <w:rFonts w:eastAsiaTheme="minorHAnsi" w:cstheme="minorBidi"/>
      <w:lang w:val="en-AU" w:eastAsia="en-US"/>
    </w:rPr>
  </w:style>
  <w:style w:type="character" w:customStyle="1" w:styleId="FooterChar">
    <w:name w:val="Footer Char"/>
    <w:basedOn w:val="DefaultParagraphFont"/>
    <w:link w:val="Footer"/>
    <w:uiPriority w:val="99"/>
    <w:rsid w:val="00952029"/>
    <w:rPr>
      <w:rFonts w:eastAsiaTheme="minorHAnsi" w:cstheme="minorBidi"/>
      <w:lang w:val="en-AU" w:eastAsia="en-US"/>
    </w:rPr>
  </w:style>
  <w:style w:type="character" w:styleId="Hyperlink">
    <w:name w:val="Hyperlink"/>
    <w:basedOn w:val="DefaultParagraphFont"/>
    <w:uiPriority w:val="99"/>
    <w:unhideWhenUsed/>
    <w:rsid w:val="00952029"/>
    <w:rPr>
      <w:color w:val="0563C1" w:themeColor="hyperlink"/>
      <w:u w:val="single"/>
    </w:rPr>
  </w:style>
  <w:style w:type="table" w:customStyle="1" w:styleId="ListTable21">
    <w:name w:val="List Table 21"/>
    <w:basedOn w:val="TableNormal"/>
    <w:uiPriority w:val="47"/>
    <w:rsid w:val="00DF6BA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Quotation">
    <w:name w:val="Quotation"/>
    <w:basedOn w:val="Normal"/>
    <w:qFormat/>
    <w:rsid w:val="00DF6BA7"/>
    <w:pPr>
      <w:spacing w:before="120" w:after="240" w:line="360" w:lineRule="auto"/>
      <w:ind w:left="1134" w:right="851"/>
      <w:jc w:val="both"/>
    </w:pPr>
    <w:rPr>
      <w:rFonts w:eastAsiaTheme="minorHAnsi" w:cstheme="minorBidi"/>
      <w:i/>
      <w:lang w:val="en-AU" w:eastAsia="en-US"/>
    </w:rPr>
  </w:style>
  <w:style w:type="paragraph" w:styleId="TOC1">
    <w:name w:val="toc 1"/>
    <w:basedOn w:val="Normal"/>
    <w:next w:val="Normal"/>
    <w:autoRedefine/>
    <w:uiPriority w:val="39"/>
    <w:unhideWhenUsed/>
    <w:rsid w:val="00DF6BA7"/>
    <w:pPr>
      <w:tabs>
        <w:tab w:val="right" w:leader="dot" w:pos="8494"/>
      </w:tabs>
      <w:spacing w:before="120" w:after="240"/>
      <w:jc w:val="both"/>
    </w:pPr>
    <w:rPr>
      <w:rFonts w:eastAsiaTheme="minorHAnsi" w:cstheme="minorBidi"/>
      <w:b/>
      <w:noProof/>
      <w:sz w:val="32"/>
      <w:lang w:val="en-AU" w:eastAsia="en-US"/>
    </w:rPr>
  </w:style>
  <w:style w:type="paragraph" w:styleId="TOC2">
    <w:name w:val="toc 2"/>
    <w:basedOn w:val="Normal"/>
    <w:next w:val="Normal"/>
    <w:autoRedefine/>
    <w:uiPriority w:val="39"/>
    <w:unhideWhenUsed/>
    <w:rsid w:val="00DF6BA7"/>
    <w:pPr>
      <w:spacing w:after="100" w:line="360" w:lineRule="auto"/>
      <w:ind w:left="240"/>
      <w:jc w:val="both"/>
    </w:pPr>
    <w:rPr>
      <w:rFonts w:eastAsiaTheme="minorHAnsi" w:cstheme="minorBidi"/>
      <w:lang w:val="en-AU" w:eastAsia="en-US"/>
    </w:rPr>
  </w:style>
  <w:style w:type="paragraph" w:customStyle="1" w:styleId="TOCtab">
    <w:name w:val="TOCtab"/>
    <w:basedOn w:val="Normal"/>
    <w:qFormat/>
    <w:rsid w:val="00DF6BA7"/>
    <w:pPr>
      <w:tabs>
        <w:tab w:val="right" w:leader="dot" w:pos="8222"/>
      </w:tabs>
      <w:spacing w:before="120" w:after="240"/>
      <w:jc w:val="both"/>
    </w:pPr>
    <w:rPr>
      <w:rFonts w:eastAsiaTheme="minorHAnsi" w:cstheme="minorBidi"/>
      <w:lang w:val="en-AU" w:eastAsia="en-US"/>
    </w:rPr>
  </w:style>
  <w:style w:type="paragraph" w:styleId="Title">
    <w:name w:val="Title"/>
    <w:basedOn w:val="Normal"/>
    <w:next w:val="Normal"/>
    <w:link w:val="TitleChar"/>
    <w:uiPriority w:val="10"/>
    <w:qFormat/>
    <w:rsid w:val="00DF6BA7"/>
    <w:pPr>
      <w:contextualSpacing/>
      <w:jc w:val="both"/>
    </w:pPr>
    <w:rPr>
      <w:rFonts w:asciiTheme="majorHAnsi" w:eastAsiaTheme="majorEastAsia" w:hAnsiTheme="majorHAnsi" w:cstheme="majorBidi"/>
      <w:spacing w:val="-10"/>
      <w:kern w:val="28"/>
      <w:sz w:val="56"/>
      <w:szCs w:val="56"/>
      <w:lang w:val="en-AU" w:eastAsia="en-US"/>
    </w:rPr>
  </w:style>
  <w:style w:type="character" w:customStyle="1" w:styleId="TitleChar">
    <w:name w:val="Title Char"/>
    <w:basedOn w:val="DefaultParagraphFont"/>
    <w:link w:val="Title"/>
    <w:uiPriority w:val="10"/>
    <w:rsid w:val="00DF6BA7"/>
    <w:rPr>
      <w:rFonts w:asciiTheme="majorHAnsi" w:eastAsiaTheme="majorEastAsia" w:hAnsiTheme="majorHAnsi" w:cstheme="majorBidi"/>
      <w:spacing w:val="-10"/>
      <w:kern w:val="28"/>
      <w:sz w:val="56"/>
      <w:szCs w:val="56"/>
      <w:lang w:val="en-AU" w:eastAsia="en-US"/>
    </w:rPr>
  </w:style>
  <w:style w:type="paragraph" w:styleId="Header">
    <w:name w:val="header"/>
    <w:basedOn w:val="Normal"/>
    <w:link w:val="HeaderChar"/>
    <w:uiPriority w:val="99"/>
    <w:unhideWhenUsed/>
    <w:rsid w:val="00DF6BA7"/>
    <w:pPr>
      <w:tabs>
        <w:tab w:val="center" w:pos="4513"/>
        <w:tab w:val="right" w:pos="9026"/>
      </w:tabs>
      <w:jc w:val="both"/>
    </w:pPr>
    <w:rPr>
      <w:rFonts w:eastAsiaTheme="minorHAnsi" w:cstheme="minorBidi"/>
      <w:lang w:val="en-AU" w:eastAsia="en-US"/>
    </w:rPr>
  </w:style>
  <w:style w:type="character" w:customStyle="1" w:styleId="HeaderChar">
    <w:name w:val="Header Char"/>
    <w:basedOn w:val="DefaultParagraphFont"/>
    <w:link w:val="Header"/>
    <w:uiPriority w:val="99"/>
    <w:rsid w:val="00DF6BA7"/>
    <w:rPr>
      <w:rFonts w:eastAsiaTheme="minorHAnsi" w:cstheme="minorBidi"/>
      <w:lang w:val="en-AU" w:eastAsia="en-US"/>
    </w:rPr>
  </w:style>
  <w:style w:type="paragraph" w:styleId="Caption">
    <w:name w:val="caption"/>
    <w:basedOn w:val="Normal"/>
    <w:next w:val="Normal"/>
    <w:uiPriority w:val="35"/>
    <w:unhideWhenUsed/>
    <w:qFormat/>
    <w:rsid w:val="00DF6BA7"/>
    <w:pPr>
      <w:spacing w:after="240"/>
      <w:ind w:left="1247" w:hanging="1247"/>
      <w:jc w:val="both"/>
    </w:pPr>
    <w:rPr>
      <w:rFonts w:ascii="Arial" w:eastAsiaTheme="minorHAnsi" w:hAnsi="Arial" w:cstheme="minorBidi"/>
      <w:iCs/>
      <w:sz w:val="18"/>
      <w:szCs w:val="18"/>
      <w:lang w:val="en-AU" w:eastAsia="en-US"/>
    </w:rPr>
  </w:style>
  <w:style w:type="paragraph" w:styleId="TableofFigures">
    <w:name w:val="table of figures"/>
    <w:basedOn w:val="Normal"/>
    <w:next w:val="Normal"/>
    <w:uiPriority w:val="99"/>
    <w:unhideWhenUsed/>
    <w:rsid w:val="00DF6BA7"/>
    <w:pPr>
      <w:spacing w:after="240" w:line="340" w:lineRule="exact"/>
      <w:ind w:left="1247" w:hanging="1247"/>
      <w:jc w:val="both"/>
    </w:pPr>
    <w:rPr>
      <w:rFonts w:eastAsiaTheme="minorHAnsi" w:cstheme="minorBidi"/>
      <w:lang w:val="en-AU" w:eastAsia="en-US"/>
    </w:rPr>
  </w:style>
  <w:style w:type="paragraph" w:customStyle="1" w:styleId="headingpreface">
    <w:name w:val="heading preface"/>
    <w:basedOn w:val="Heading1"/>
    <w:link w:val="headingprefaceChar"/>
    <w:autoRedefine/>
    <w:qFormat/>
    <w:rsid w:val="00DF6BA7"/>
    <w:pPr>
      <w:ind w:left="0" w:firstLine="0"/>
      <w:jc w:val="left"/>
    </w:pPr>
  </w:style>
  <w:style w:type="character" w:customStyle="1" w:styleId="headingprefaceChar">
    <w:name w:val="heading preface Char"/>
    <w:basedOn w:val="Heading1Char"/>
    <w:link w:val="headingpreface"/>
    <w:rsid w:val="00DF6BA7"/>
    <w:rPr>
      <w:rFonts w:eastAsiaTheme="majorEastAsia" w:cstheme="majorBidi"/>
      <w:b/>
      <w:smallCaps/>
      <w:sz w:val="36"/>
      <w:szCs w:val="32"/>
      <w:lang w:val="en-AU" w:eastAsia="en-US"/>
    </w:rPr>
  </w:style>
  <w:style w:type="paragraph" w:styleId="BodyText">
    <w:name w:val="Body Text"/>
    <w:basedOn w:val="Normal"/>
    <w:link w:val="BodyTextChar"/>
    <w:uiPriority w:val="99"/>
    <w:unhideWhenUsed/>
    <w:rsid w:val="00DF6BA7"/>
    <w:pPr>
      <w:keepLines/>
      <w:spacing w:before="240" w:after="240"/>
      <w:jc w:val="both"/>
    </w:pPr>
    <w:rPr>
      <w:rFonts w:ascii="Calibri" w:eastAsia="Calibri" w:hAnsi="Calibri"/>
      <w:sz w:val="22"/>
      <w:lang w:val="en-AU" w:eastAsia="en-US"/>
    </w:rPr>
  </w:style>
  <w:style w:type="character" w:customStyle="1" w:styleId="BodyTextChar">
    <w:name w:val="Body Text Char"/>
    <w:basedOn w:val="DefaultParagraphFont"/>
    <w:link w:val="BodyText"/>
    <w:uiPriority w:val="99"/>
    <w:rsid w:val="00DF6BA7"/>
    <w:rPr>
      <w:rFonts w:ascii="Calibri" w:eastAsia="Calibri" w:hAnsi="Calibri"/>
      <w:sz w:val="22"/>
      <w:lang w:val="en-AU" w:eastAsia="en-US"/>
    </w:rPr>
  </w:style>
  <w:style w:type="paragraph" w:customStyle="1" w:styleId="Bullet">
    <w:name w:val="Bullet"/>
    <w:basedOn w:val="Normal"/>
    <w:link w:val="BulletChar"/>
    <w:qFormat/>
    <w:rsid w:val="00DF6BA7"/>
    <w:pPr>
      <w:numPr>
        <w:numId w:val="10"/>
      </w:numPr>
      <w:spacing w:after="240" w:line="360" w:lineRule="auto"/>
      <w:ind w:left="714" w:hanging="357"/>
      <w:jc w:val="both"/>
    </w:pPr>
    <w:rPr>
      <w:rFonts w:eastAsiaTheme="minorHAnsi"/>
      <w:szCs w:val="24"/>
      <w:lang w:val="en-AU" w:eastAsia="en-US"/>
    </w:rPr>
  </w:style>
  <w:style w:type="character" w:customStyle="1" w:styleId="BulletChar">
    <w:name w:val="Bullet Char"/>
    <w:basedOn w:val="DefaultParagraphFont"/>
    <w:link w:val="Bullet"/>
    <w:rsid w:val="00DF6BA7"/>
    <w:rPr>
      <w:rFonts w:eastAsiaTheme="minorHAnsi"/>
      <w:szCs w:val="24"/>
      <w:lang w:val="en-AU" w:eastAsia="en-US"/>
    </w:rPr>
  </w:style>
  <w:style w:type="character" w:styleId="Strong">
    <w:name w:val="Strong"/>
    <w:uiPriority w:val="22"/>
    <w:qFormat/>
    <w:rsid w:val="00DF6BA7"/>
    <w:rPr>
      <w:b/>
      <w:bCs/>
    </w:rPr>
  </w:style>
  <w:style w:type="paragraph" w:customStyle="1" w:styleId="BulletLevel2">
    <w:name w:val="Bullet Level 2"/>
    <w:basedOn w:val="Bullet"/>
    <w:autoRedefine/>
    <w:qFormat/>
    <w:rsid w:val="00DF6BA7"/>
    <w:pPr>
      <w:numPr>
        <w:numId w:val="0"/>
      </w:numPr>
      <w:tabs>
        <w:tab w:val="left" w:pos="851"/>
      </w:tabs>
      <w:spacing w:before="120" w:after="0"/>
      <w:ind w:left="1440" w:hanging="360"/>
    </w:pPr>
    <w:rPr>
      <w:rFonts w:eastAsia="Times New Roman" w:cs="Arial"/>
      <w:noProof/>
      <w:szCs w:val="20"/>
      <w:lang w:val="en-US"/>
    </w:rPr>
  </w:style>
  <w:style w:type="paragraph" w:customStyle="1" w:styleId="AppendixHeading1">
    <w:name w:val="Appendix Heading 1"/>
    <w:basedOn w:val="Normal"/>
    <w:next w:val="Normal"/>
    <w:link w:val="AppendixHeading1Char"/>
    <w:autoRedefine/>
    <w:qFormat/>
    <w:rsid w:val="00DF6BA7"/>
    <w:pPr>
      <w:keepNext/>
      <w:pageBreakBefore/>
      <w:spacing w:before="120" w:after="240"/>
      <w:jc w:val="center"/>
      <w:outlineLvl w:val="0"/>
    </w:pPr>
    <w:rPr>
      <w:rFonts w:eastAsia="Times New Roman" w:cs="Arial"/>
      <w:b/>
      <w:smallCaps/>
      <w:kern w:val="32"/>
      <w:sz w:val="36"/>
      <w:szCs w:val="28"/>
      <w:lang w:val="en-US" w:eastAsia="en-US"/>
    </w:rPr>
  </w:style>
  <w:style w:type="character" w:customStyle="1" w:styleId="AppendixHeading1Char">
    <w:name w:val="Appendix Heading 1 Char"/>
    <w:basedOn w:val="DefaultParagraphFont"/>
    <w:link w:val="AppendixHeading1"/>
    <w:rsid w:val="00DF6BA7"/>
    <w:rPr>
      <w:rFonts w:eastAsia="Times New Roman" w:cs="Arial"/>
      <w:b/>
      <w:smallCaps/>
      <w:kern w:val="32"/>
      <w:sz w:val="36"/>
      <w:szCs w:val="28"/>
      <w:lang w:val="en-US" w:eastAsia="en-US"/>
    </w:rPr>
  </w:style>
  <w:style w:type="paragraph" w:customStyle="1" w:styleId="heading1nonumber">
    <w:name w:val="heading1 no number"/>
    <w:basedOn w:val="Heading1"/>
    <w:link w:val="heading1nonumberChar"/>
    <w:qFormat/>
    <w:rsid w:val="00790553"/>
    <w:pPr>
      <w:spacing w:before="240" w:after="0"/>
      <w:ind w:left="0" w:firstLine="0"/>
    </w:pPr>
    <w:rPr>
      <w:smallCaps w:val="0"/>
      <w:sz w:val="28"/>
    </w:rPr>
  </w:style>
  <w:style w:type="character" w:customStyle="1" w:styleId="heading1nonumberChar">
    <w:name w:val="heading1 no number Char"/>
    <w:basedOn w:val="Heading1Char"/>
    <w:link w:val="heading1nonumber"/>
    <w:rsid w:val="00790553"/>
    <w:rPr>
      <w:rFonts w:eastAsiaTheme="majorEastAsia" w:cstheme="majorBidi"/>
      <w:b/>
      <w:smallCaps w:val="0"/>
      <w:sz w:val="28"/>
      <w:szCs w:val="32"/>
      <w:lang w:val="en-AU" w:eastAsia="en-US"/>
    </w:rPr>
  </w:style>
  <w:style w:type="character" w:customStyle="1" w:styleId="il">
    <w:name w:val="il"/>
    <w:basedOn w:val="DefaultParagraphFont"/>
    <w:rsid w:val="00DF6BA7"/>
  </w:style>
  <w:style w:type="paragraph" w:styleId="NormalWeb">
    <w:name w:val="Normal (Web)"/>
    <w:basedOn w:val="Normal"/>
    <w:uiPriority w:val="99"/>
    <w:unhideWhenUsed/>
    <w:rsid w:val="00DF6BA7"/>
    <w:pPr>
      <w:spacing w:before="100" w:beforeAutospacing="1" w:after="100" w:afterAutospacing="1"/>
      <w:jc w:val="both"/>
    </w:pPr>
    <w:rPr>
      <w:rFonts w:eastAsia="Times New Roman"/>
      <w:szCs w:val="24"/>
      <w:lang w:val="en-AU" w:eastAsia="en-AU"/>
    </w:rPr>
  </w:style>
  <w:style w:type="paragraph" w:styleId="NoSpacing">
    <w:name w:val="No Spacing"/>
    <w:aliases w:val="Aims"/>
    <w:link w:val="NoSpacingChar"/>
    <w:autoRedefine/>
    <w:uiPriority w:val="1"/>
    <w:qFormat/>
    <w:rsid w:val="00DF6BA7"/>
    <w:pPr>
      <w:spacing w:after="120" w:line="360" w:lineRule="auto"/>
      <w:ind w:left="720"/>
      <w:jc w:val="both"/>
    </w:pPr>
    <w:rPr>
      <w:rFonts w:cstheme="minorBidi"/>
      <w:lang w:val="en-US" w:eastAsia="en-US"/>
    </w:rPr>
  </w:style>
  <w:style w:type="character" w:customStyle="1" w:styleId="NoSpacingChar">
    <w:name w:val="No Spacing Char"/>
    <w:aliases w:val="Aims Char"/>
    <w:basedOn w:val="DefaultParagraphFont"/>
    <w:link w:val="NoSpacing"/>
    <w:uiPriority w:val="1"/>
    <w:rsid w:val="00DF6BA7"/>
    <w:rPr>
      <w:rFonts w:cstheme="minorBidi"/>
      <w:lang w:val="en-US" w:eastAsia="en-US"/>
    </w:rPr>
  </w:style>
  <w:style w:type="paragraph" w:styleId="TOCHeading">
    <w:name w:val="TOC Heading"/>
    <w:basedOn w:val="Heading1"/>
    <w:next w:val="Normal"/>
    <w:uiPriority w:val="39"/>
    <w:unhideWhenUsed/>
    <w:qFormat/>
    <w:rsid w:val="00DF6BA7"/>
    <w:pPr>
      <w:spacing w:after="0" w:line="259" w:lineRule="auto"/>
      <w:ind w:left="0" w:firstLine="0"/>
      <w:outlineLvl w:val="9"/>
    </w:pPr>
    <w:rPr>
      <w:rFonts w:asciiTheme="majorHAnsi" w:hAnsiTheme="majorHAnsi"/>
      <w:b w:val="0"/>
      <w:color w:val="2E74B5" w:themeColor="accent1" w:themeShade="BF"/>
      <w:u w:val="single"/>
      <w:lang w:val="en-US"/>
    </w:rPr>
  </w:style>
  <w:style w:type="paragraph" w:styleId="TOC3">
    <w:name w:val="toc 3"/>
    <w:basedOn w:val="Normal"/>
    <w:next w:val="Normal"/>
    <w:autoRedefine/>
    <w:uiPriority w:val="39"/>
    <w:unhideWhenUsed/>
    <w:rsid w:val="00DF6BA7"/>
    <w:pPr>
      <w:spacing w:before="120" w:after="100" w:line="360" w:lineRule="auto"/>
      <w:ind w:left="440"/>
      <w:jc w:val="both"/>
    </w:pPr>
    <w:rPr>
      <w:rFonts w:eastAsiaTheme="minorHAnsi" w:cstheme="minorBidi"/>
      <w:lang w:val="en-AU" w:eastAsia="en-US"/>
    </w:rPr>
  </w:style>
  <w:style w:type="character" w:customStyle="1" w:styleId="st">
    <w:name w:val="st"/>
    <w:basedOn w:val="DefaultParagraphFont"/>
    <w:rsid w:val="00DF6BA7"/>
  </w:style>
  <w:style w:type="character" w:styleId="Emphasis">
    <w:name w:val="Emphasis"/>
    <w:basedOn w:val="DefaultParagraphFont"/>
    <w:uiPriority w:val="20"/>
    <w:qFormat/>
    <w:rsid w:val="00DF6BA7"/>
    <w:rPr>
      <w:i/>
      <w:iCs/>
    </w:rPr>
  </w:style>
  <w:style w:type="paragraph" w:customStyle="1" w:styleId="Default">
    <w:name w:val="Default"/>
    <w:rsid w:val="00DF6BA7"/>
    <w:pPr>
      <w:autoSpaceDE w:val="0"/>
      <w:autoSpaceDN w:val="0"/>
      <w:adjustRightInd w:val="0"/>
    </w:pPr>
    <w:rPr>
      <w:rFonts w:eastAsiaTheme="minorHAnsi"/>
      <w:color w:val="000000"/>
      <w:szCs w:val="24"/>
      <w:lang w:val="en-AU" w:eastAsia="en-US"/>
    </w:rPr>
  </w:style>
  <w:style w:type="character" w:customStyle="1" w:styleId="highlight">
    <w:name w:val="highlight"/>
    <w:basedOn w:val="DefaultParagraphFont"/>
    <w:rsid w:val="00DF6BA7"/>
  </w:style>
  <w:style w:type="character" w:customStyle="1" w:styleId="dbdate">
    <w:name w:val="dbdate"/>
    <w:basedOn w:val="DefaultParagraphFont"/>
    <w:rsid w:val="00DF6BA7"/>
  </w:style>
  <w:style w:type="paragraph" w:customStyle="1" w:styleId="para">
    <w:name w:val="para"/>
    <w:basedOn w:val="Normal"/>
    <w:rsid w:val="00DF6BA7"/>
    <w:pPr>
      <w:spacing w:before="100" w:beforeAutospacing="1" w:after="100" w:afterAutospacing="1"/>
    </w:pPr>
    <w:rPr>
      <w:rFonts w:eastAsia="Times New Roman"/>
      <w:szCs w:val="24"/>
      <w:lang w:val="en-AU" w:eastAsia="en-AU"/>
    </w:rPr>
  </w:style>
  <w:style w:type="character" w:customStyle="1" w:styleId="ilfuvd">
    <w:name w:val="ilfuvd"/>
    <w:basedOn w:val="DefaultParagraphFont"/>
    <w:rsid w:val="00DF6BA7"/>
  </w:style>
  <w:style w:type="character" w:customStyle="1" w:styleId="bibref">
    <w:name w:val="bibref"/>
    <w:basedOn w:val="DefaultParagraphFont"/>
    <w:rsid w:val="00DF6BA7"/>
  </w:style>
  <w:style w:type="paragraph" w:customStyle="1" w:styleId="Table">
    <w:name w:val="Table"/>
    <w:basedOn w:val="Normal"/>
    <w:link w:val="TableChar"/>
    <w:qFormat/>
    <w:rsid w:val="00DF6BA7"/>
    <w:pPr>
      <w:spacing w:before="80" w:after="80" w:line="276" w:lineRule="auto"/>
      <w:jc w:val="both"/>
    </w:pPr>
    <w:rPr>
      <w:rFonts w:eastAsiaTheme="minorHAnsi" w:cstheme="minorBidi"/>
      <w:b/>
      <w:lang w:val="en-AU" w:eastAsia="en-US"/>
    </w:rPr>
  </w:style>
  <w:style w:type="character" w:customStyle="1" w:styleId="TableChar">
    <w:name w:val="Table Char"/>
    <w:basedOn w:val="DefaultParagraphFont"/>
    <w:link w:val="Table"/>
    <w:rsid w:val="00DF6BA7"/>
    <w:rPr>
      <w:rFonts w:eastAsiaTheme="minorHAnsi" w:cstheme="minorBidi"/>
      <w:b/>
      <w:lang w:val="en-AU" w:eastAsia="en-US"/>
    </w:rPr>
  </w:style>
  <w:style w:type="character" w:customStyle="1" w:styleId="searchhistory-search-term">
    <w:name w:val="searchhistory-search-term"/>
    <w:basedOn w:val="DefaultParagraphFont"/>
    <w:rsid w:val="00DF6BA7"/>
  </w:style>
  <w:style w:type="paragraph" w:customStyle="1" w:styleId="xl65">
    <w:name w:val="xl65"/>
    <w:basedOn w:val="Normal"/>
    <w:rsid w:val="00DF6BA7"/>
    <w:pPr>
      <w:spacing w:before="100" w:beforeAutospacing="1" w:after="100" w:afterAutospacing="1"/>
      <w:textAlignment w:val="center"/>
    </w:pPr>
    <w:rPr>
      <w:rFonts w:eastAsia="Times New Roman"/>
      <w:b/>
      <w:bCs/>
      <w:color w:val="000000"/>
      <w:szCs w:val="24"/>
      <w:lang w:val="en-AU" w:eastAsia="en-AU"/>
    </w:rPr>
  </w:style>
  <w:style w:type="paragraph" w:customStyle="1" w:styleId="xl66">
    <w:name w:val="xl66"/>
    <w:basedOn w:val="Normal"/>
    <w:rsid w:val="00DF6BA7"/>
    <w:pPr>
      <w:spacing w:before="100" w:beforeAutospacing="1" w:after="100" w:afterAutospacing="1"/>
      <w:jc w:val="center"/>
      <w:textAlignment w:val="center"/>
    </w:pPr>
    <w:rPr>
      <w:rFonts w:eastAsia="Times New Roman"/>
      <w:szCs w:val="24"/>
      <w:lang w:val="en-AU" w:eastAsia="en-AU"/>
    </w:rPr>
  </w:style>
  <w:style w:type="paragraph" w:customStyle="1" w:styleId="xl67">
    <w:name w:val="xl67"/>
    <w:basedOn w:val="Normal"/>
    <w:rsid w:val="00DF6BA7"/>
    <w:pPr>
      <w:spacing w:before="100" w:beforeAutospacing="1" w:after="100" w:afterAutospacing="1"/>
      <w:jc w:val="center"/>
      <w:textAlignment w:val="center"/>
    </w:pPr>
    <w:rPr>
      <w:rFonts w:eastAsia="Times New Roman"/>
      <w:szCs w:val="24"/>
      <w:lang w:val="en-AU" w:eastAsia="en-AU"/>
    </w:rPr>
  </w:style>
  <w:style w:type="paragraph" w:customStyle="1" w:styleId="xl68">
    <w:name w:val="xl68"/>
    <w:basedOn w:val="Normal"/>
    <w:rsid w:val="00DF6BA7"/>
    <w:pPr>
      <w:spacing w:before="100" w:beforeAutospacing="1" w:after="100" w:afterAutospacing="1"/>
    </w:pPr>
    <w:rPr>
      <w:rFonts w:eastAsia="Times New Roman"/>
      <w:b/>
      <w:bCs/>
      <w:szCs w:val="24"/>
      <w:lang w:val="en-AU" w:eastAsia="en-AU"/>
    </w:rPr>
  </w:style>
  <w:style w:type="paragraph" w:customStyle="1" w:styleId="xl69">
    <w:name w:val="xl69"/>
    <w:basedOn w:val="Normal"/>
    <w:rsid w:val="00DF6BA7"/>
    <w:pPr>
      <w:spacing w:before="100" w:beforeAutospacing="1" w:after="100" w:afterAutospacing="1"/>
      <w:jc w:val="center"/>
      <w:textAlignment w:val="center"/>
    </w:pPr>
    <w:rPr>
      <w:rFonts w:eastAsia="Times New Roman"/>
      <w:b/>
      <w:bCs/>
      <w:szCs w:val="24"/>
      <w:lang w:val="en-AU" w:eastAsia="en-AU"/>
    </w:rPr>
  </w:style>
  <w:style w:type="paragraph" w:customStyle="1" w:styleId="xl70">
    <w:name w:val="xl70"/>
    <w:basedOn w:val="Normal"/>
    <w:rsid w:val="00DF6BA7"/>
    <w:pPr>
      <w:spacing w:before="100" w:beforeAutospacing="1" w:after="100" w:afterAutospacing="1"/>
      <w:textAlignment w:val="center"/>
    </w:pPr>
    <w:rPr>
      <w:rFonts w:eastAsia="Times New Roman"/>
      <w:i/>
      <w:iCs/>
      <w:color w:val="000000"/>
      <w:szCs w:val="24"/>
      <w:lang w:val="en-AU" w:eastAsia="en-AU"/>
    </w:rPr>
  </w:style>
  <w:style w:type="paragraph" w:customStyle="1" w:styleId="xl71">
    <w:name w:val="xl71"/>
    <w:basedOn w:val="Normal"/>
    <w:rsid w:val="00DF6BA7"/>
    <w:pPr>
      <w:spacing w:before="100" w:beforeAutospacing="1" w:after="100" w:afterAutospacing="1"/>
      <w:jc w:val="center"/>
      <w:textAlignment w:val="center"/>
    </w:pPr>
    <w:rPr>
      <w:rFonts w:eastAsia="Times New Roman"/>
      <w:b/>
      <w:bCs/>
      <w:szCs w:val="24"/>
      <w:lang w:val="en-AU" w:eastAsia="en-AU"/>
    </w:rPr>
  </w:style>
  <w:style w:type="paragraph" w:customStyle="1" w:styleId="xl72">
    <w:name w:val="xl72"/>
    <w:basedOn w:val="Normal"/>
    <w:rsid w:val="00DF6BA7"/>
    <w:pPr>
      <w:spacing w:before="100" w:beforeAutospacing="1" w:after="100" w:afterAutospacing="1"/>
      <w:jc w:val="center"/>
      <w:textAlignment w:val="center"/>
    </w:pPr>
    <w:rPr>
      <w:rFonts w:eastAsia="Times New Roman"/>
      <w:b/>
      <w:bCs/>
      <w:color w:val="000000"/>
      <w:szCs w:val="24"/>
      <w:lang w:val="en-AU" w:eastAsia="en-AU"/>
    </w:rPr>
  </w:style>
  <w:style w:type="paragraph" w:customStyle="1" w:styleId="xl73">
    <w:name w:val="xl73"/>
    <w:basedOn w:val="Normal"/>
    <w:rsid w:val="00DF6BA7"/>
    <w:pPr>
      <w:spacing w:before="100" w:beforeAutospacing="1" w:after="100" w:afterAutospacing="1"/>
    </w:pPr>
    <w:rPr>
      <w:rFonts w:eastAsia="Times New Roman"/>
      <w:i/>
      <w:iCs/>
      <w:szCs w:val="24"/>
      <w:lang w:val="en-AU" w:eastAsia="en-AU"/>
    </w:rPr>
  </w:style>
  <w:style w:type="paragraph" w:customStyle="1" w:styleId="xl74">
    <w:name w:val="xl74"/>
    <w:basedOn w:val="Normal"/>
    <w:rsid w:val="00DF6BA7"/>
    <w:pPr>
      <w:spacing w:before="100" w:beforeAutospacing="1" w:after="100" w:afterAutospacing="1"/>
      <w:textAlignment w:val="center"/>
    </w:pPr>
    <w:rPr>
      <w:rFonts w:eastAsia="Times New Roman"/>
      <w:color w:val="000000"/>
      <w:szCs w:val="24"/>
      <w:lang w:val="en-AU" w:eastAsia="en-AU"/>
    </w:rPr>
  </w:style>
  <w:style w:type="paragraph" w:customStyle="1" w:styleId="xl75">
    <w:name w:val="xl75"/>
    <w:basedOn w:val="Normal"/>
    <w:rsid w:val="00DF6BA7"/>
    <w:pPr>
      <w:spacing w:before="100" w:beforeAutospacing="1" w:after="100" w:afterAutospacing="1"/>
      <w:jc w:val="center"/>
      <w:textAlignment w:val="center"/>
    </w:pPr>
    <w:rPr>
      <w:rFonts w:eastAsia="Times New Roman"/>
      <w:color w:val="FF0000"/>
      <w:szCs w:val="24"/>
      <w:lang w:val="en-AU" w:eastAsia="en-AU"/>
    </w:rPr>
  </w:style>
  <w:style w:type="paragraph" w:customStyle="1" w:styleId="xl76">
    <w:name w:val="xl76"/>
    <w:basedOn w:val="Normal"/>
    <w:rsid w:val="00DF6BA7"/>
    <w:pPr>
      <w:spacing w:before="100" w:beforeAutospacing="1" w:after="100" w:afterAutospacing="1"/>
      <w:textAlignment w:val="center"/>
    </w:pPr>
    <w:rPr>
      <w:rFonts w:eastAsia="Times New Roman"/>
      <w:szCs w:val="24"/>
      <w:lang w:val="en-AU" w:eastAsia="en-AU"/>
    </w:rPr>
  </w:style>
  <w:style w:type="paragraph" w:customStyle="1" w:styleId="xl77">
    <w:name w:val="xl77"/>
    <w:basedOn w:val="Normal"/>
    <w:rsid w:val="00DF6BA7"/>
    <w:pPr>
      <w:spacing w:before="100" w:beforeAutospacing="1" w:after="100" w:afterAutospacing="1"/>
      <w:jc w:val="center"/>
      <w:textAlignment w:val="center"/>
    </w:pPr>
    <w:rPr>
      <w:rFonts w:eastAsia="Times New Roman"/>
      <w:color w:val="000000"/>
      <w:szCs w:val="24"/>
      <w:lang w:val="en-AU" w:eastAsia="en-AU"/>
    </w:rPr>
  </w:style>
  <w:style w:type="paragraph" w:customStyle="1" w:styleId="xl78">
    <w:name w:val="xl78"/>
    <w:basedOn w:val="Normal"/>
    <w:rsid w:val="00DF6BA7"/>
    <w:pPr>
      <w:spacing w:before="100" w:beforeAutospacing="1" w:after="100" w:afterAutospacing="1"/>
      <w:textAlignment w:val="center"/>
    </w:pPr>
    <w:rPr>
      <w:rFonts w:eastAsia="Times New Roman"/>
      <w:szCs w:val="24"/>
      <w:lang w:val="en-AU" w:eastAsia="en-AU"/>
    </w:rPr>
  </w:style>
  <w:style w:type="paragraph" w:customStyle="1" w:styleId="xl79">
    <w:name w:val="xl79"/>
    <w:basedOn w:val="Normal"/>
    <w:rsid w:val="00DF6BA7"/>
    <w:pPr>
      <w:spacing w:before="100" w:beforeAutospacing="1" w:after="100" w:afterAutospacing="1"/>
      <w:jc w:val="center"/>
      <w:textAlignment w:val="center"/>
    </w:pPr>
    <w:rPr>
      <w:rFonts w:eastAsia="Times New Roman"/>
      <w:color w:val="FF0000"/>
      <w:szCs w:val="24"/>
      <w:lang w:val="en-AU" w:eastAsia="en-AU"/>
    </w:rPr>
  </w:style>
  <w:style w:type="paragraph" w:customStyle="1" w:styleId="xl80">
    <w:name w:val="xl80"/>
    <w:basedOn w:val="Normal"/>
    <w:rsid w:val="00DF6BA7"/>
    <w:pPr>
      <w:spacing w:before="100" w:beforeAutospacing="1" w:after="100" w:afterAutospacing="1"/>
      <w:jc w:val="center"/>
      <w:textAlignment w:val="center"/>
    </w:pPr>
    <w:rPr>
      <w:rFonts w:eastAsia="Times New Roman"/>
      <w:color w:val="000000"/>
      <w:szCs w:val="24"/>
      <w:lang w:val="en-AU" w:eastAsia="en-AU"/>
    </w:rPr>
  </w:style>
  <w:style w:type="paragraph" w:customStyle="1" w:styleId="xl81">
    <w:name w:val="xl81"/>
    <w:basedOn w:val="Normal"/>
    <w:rsid w:val="00DF6BA7"/>
    <w:pPr>
      <w:spacing w:before="100" w:beforeAutospacing="1" w:after="100" w:afterAutospacing="1"/>
      <w:jc w:val="center"/>
      <w:textAlignment w:val="center"/>
    </w:pPr>
    <w:rPr>
      <w:rFonts w:eastAsia="Times New Roman"/>
      <w:b/>
      <w:bCs/>
      <w:szCs w:val="24"/>
      <w:lang w:val="en-AU" w:eastAsia="en-AU"/>
    </w:rPr>
  </w:style>
  <w:style w:type="character" w:customStyle="1" w:styleId="current-selection">
    <w:name w:val="current-selection"/>
    <w:basedOn w:val="DefaultParagraphFont"/>
    <w:rsid w:val="00DF6BA7"/>
  </w:style>
  <w:style w:type="character" w:customStyle="1" w:styleId="enhanced-reference">
    <w:name w:val="enhanced-reference"/>
    <w:basedOn w:val="DefaultParagraphFont"/>
    <w:rsid w:val="00DF6BA7"/>
  </w:style>
  <w:style w:type="paragraph" w:customStyle="1" w:styleId="Dedication">
    <w:name w:val="Dedication"/>
    <w:basedOn w:val="Quote"/>
    <w:link w:val="DedicationChar"/>
    <w:autoRedefine/>
    <w:qFormat/>
    <w:rsid w:val="00DF6BA7"/>
    <w:pPr>
      <w:tabs>
        <w:tab w:val="left" w:pos="851"/>
      </w:tabs>
      <w:spacing w:before="120" w:after="0"/>
      <w:ind w:left="0" w:right="0"/>
    </w:pPr>
    <w:rPr>
      <w:rFonts w:ascii="Cambria" w:eastAsia="Times New Roman" w:hAnsi="Cambria" w:cs="Times New Roman"/>
      <w:color w:val="000000"/>
      <w:szCs w:val="24"/>
      <w:lang w:val="en-GB" w:eastAsia="en-GB"/>
    </w:rPr>
  </w:style>
  <w:style w:type="paragraph" w:styleId="Quote">
    <w:name w:val="Quote"/>
    <w:basedOn w:val="Normal"/>
    <w:next w:val="Normal"/>
    <w:link w:val="QuoteChar"/>
    <w:uiPriority w:val="29"/>
    <w:qFormat/>
    <w:rsid w:val="00DF6BA7"/>
    <w:pPr>
      <w:spacing w:before="200" w:after="160" w:line="360" w:lineRule="auto"/>
      <w:ind w:left="864" w:right="864"/>
      <w:jc w:val="center"/>
    </w:pPr>
    <w:rPr>
      <w:rFonts w:eastAsiaTheme="minorHAnsi" w:cstheme="minorBidi"/>
      <w:i/>
      <w:iCs/>
      <w:color w:val="404040" w:themeColor="text1" w:themeTint="BF"/>
      <w:lang w:val="en-AU" w:eastAsia="en-US"/>
    </w:rPr>
  </w:style>
  <w:style w:type="character" w:customStyle="1" w:styleId="QuoteChar">
    <w:name w:val="Quote Char"/>
    <w:basedOn w:val="DefaultParagraphFont"/>
    <w:link w:val="Quote"/>
    <w:uiPriority w:val="29"/>
    <w:rsid w:val="00DF6BA7"/>
    <w:rPr>
      <w:rFonts w:eastAsiaTheme="minorHAnsi" w:cstheme="minorBidi"/>
      <w:i/>
      <w:iCs/>
      <w:color w:val="404040" w:themeColor="text1" w:themeTint="BF"/>
      <w:lang w:val="en-AU" w:eastAsia="en-US"/>
    </w:rPr>
  </w:style>
  <w:style w:type="character" w:customStyle="1" w:styleId="DedicationChar">
    <w:name w:val="Dedication Char"/>
    <w:basedOn w:val="QuoteChar"/>
    <w:link w:val="Dedication"/>
    <w:rsid w:val="00DF6BA7"/>
    <w:rPr>
      <w:rFonts w:ascii="Cambria" w:eastAsia="Times New Roman" w:hAnsi="Cambria" w:cstheme="minorBidi"/>
      <w:i/>
      <w:iCs/>
      <w:color w:val="000000"/>
      <w:szCs w:val="24"/>
      <w:lang w:val="en-GB" w:eastAsia="en-GB"/>
    </w:rPr>
  </w:style>
  <w:style w:type="character" w:customStyle="1" w:styleId="citationref">
    <w:name w:val="citationref"/>
    <w:basedOn w:val="DefaultParagraphFont"/>
    <w:rsid w:val="00DF6BA7"/>
  </w:style>
  <w:style w:type="character" w:customStyle="1" w:styleId="A2">
    <w:name w:val="A2"/>
    <w:uiPriority w:val="99"/>
    <w:rsid w:val="00DF6BA7"/>
    <w:rPr>
      <w:rFonts w:cs="Minion Pro"/>
      <w:color w:val="000000"/>
      <w:sz w:val="10"/>
      <w:szCs w:val="10"/>
    </w:rPr>
  </w:style>
  <w:style w:type="character" w:customStyle="1" w:styleId="A16">
    <w:name w:val="A16"/>
    <w:uiPriority w:val="99"/>
    <w:rsid w:val="00DF6BA7"/>
    <w:rPr>
      <w:rFonts w:cs="Diverda Sans Com"/>
      <w:color w:val="000000"/>
      <w:sz w:val="9"/>
      <w:szCs w:val="9"/>
    </w:rPr>
  </w:style>
  <w:style w:type="character" w:customStyle="1" w:styleId="A1">
    <w:name w:val="A1"/>
    <w:uiPriority w:val="99"/>
    <w:rsid w:val="00DF6BA7"/>
    <w:rPr>
      <w:rFonts w:ascii="ITC Symbol Std Book" w:hAnsi="ITC Symbol Std Book" w:cs="ITC Symbol Std Book"/>
      <w:color w:val="000000"/>
      <w:sz w:val="14"/>
      <w:szCs w:val="14"/>
    </w:rPr>
  </w:style>
  <w:style w:type="paragraph" w:styleId="TOC4">
    <w:name w:val="toc 4"/>
    <w:basedOn w:val="Normal"/>
    <w:next w:val="Normal"/>
    <w:autoRedefine/>
    <w:uiPriority w:val="39"/>
    <w:unhideWhenUsed/>
    <w:rsid w:val="00DF6BA7"/>
    <w:pPr>
      <w:spacing w:after="100" w:line="259" w:lineRule="auto"/>
      <w:ind w:left="660"/>
    </w:pPr>
    <w:rPr>
      <w:rFonts w:asciiTheme="minorHAnsi" w:hAnsiTheme="minorHAnsi" w:cstheme="minorBidi"/>
      <w:sz w:val="22"/>
      <w:lang w:val="en-AU" w:eastAsia="en-AU"/>
    </w:rPr>
  </w:style>
  <w:style w:type="paragraph" w:styleId="TOC5">
    <w:name w:val="toc 5"/>
    <w:basedOn w:val="Normal"/>
    <w:next w:val="Normal"/>
    <w:autoRedefine/>
    <w:uiPriority w:val="39"/>
    <w:unhideWhenUsed/>
    <w:rsid w:val="00DF6BA7"/>
    <w:pPr>
      <w:spacing w:after="100" w:line="259" w:lineRule="auto"/>
      <w:ind w:left="880"/>
    </w:pPr>
    <w:rPr>
      <w:rFonts w:asciiTheme="minorHAnsi" w:hAnsiTheme="minorHAnsi" w:cstheme="minorBidi"/>
      <w:sz w:val="22"/>
      <w:lang w:val="en-AU" w:eastAsia="en-AU"/>
    </w:rPr>
  </w:style>
  <w:style w:type="paragraph" w:styleId="TOC6">
    <w:name w:val="toc 6"/>
    <w:basedOn w:val="Normal"/>
    <w:next w:val="Normal"/>
    <w:autoRedefine/>
    <w:uiPriority w:val="39"/>
    <w:unhideWhenUsed/>
    <w:rsid w:val="00DF6BA7"/>
    <w:pPr>
      <w:spacing w:after="100" w:line="259" w:lineRule="auto"/>
      <w:ind w:left="1100"/>
    </w:pPr>
    <w:rPr>
      <w:rFonts w:asciiTheme="minorHAnsi" w:hAnsiTheme="minorHAnsi" w:cstheme="minorBidi"/>
      <w:sz w:val="22"/>
      <w:lang w:val="en-AU" w:eastAsia="en-AU"/>
    </w:rPr>
  </w:style>
  <w:style w:type="paragraph" w:styleId="TOC7">
    <w:name w:val="toc 7"/>
    <w:basedOn w:val="Normal"/>
    <w:next w:val="Normal"/>
    <w:autoRedefine/>
    <w:uiPriority w:val="39"/>
    <w:unhideWhenUsed/>
    <w:rsid w:val="00DF6BA7"/>
    <w:pPr>
      <w:spacing w:after="100" w:line="259" w:lineRule="auto"/>
      <w:ind w:left="1320"/>
    </w:pPr>
    <w:rPr>
      <w:rFonts w:asciiTheme="minorHAnsi" w:hAnsiTheme="minorHAnsi" w:cstheme="minorBidi"/>
      <w:sz w:val="22"/>
      <w:lang w:val="en-AU" w:eastAsia="en-AU"/>
    </w:rPr>
  </w:style>
  <w:style w:type="paragraph" w:styleId="TOC8">
    <w:name w:val="toc 8"/>
    <w:basedOn w:val="Normal"/>
    <w:next w:val="Normal"/>
    <w:autoRedefine/>
    <w:uiPriority w:val="39"/>
    <w:unhideWhenUsed/>
    <w:rsid w:val="00DF6BA7"/>
    <w:pPr>
      <w:spacing w:after="100" w:line="259" w:lineRule="auto"/>
      <w:ind w:left="1540"/>
    </w:pPr>
    <w:rPr>
      <w:rFonts w:asciiTheme="minorHAnsi" w:hAnsiTheme="minorHAnsi" w:cstheme="minorBidi"/>
      <w:sz w:val="22"/>
      <w:lang w:val="en-AU" w:eastAsia="en-AU"/>
    </w:rPr>
  </w:style>
  <w:style w:type="paragraph" w:styleId="TOC9">
    <w:name w:val="toc 9"/>
    <w:basedOn w:val="Normal"/>
    <w:next w:val="Normal"/>
    <w:autoRedefine/>
    <w:uiPriority w:val="39"/>
    <w:unhideWhenUsed/>
    <w:rsid w:val="00DF6BA7"/>
    <w:pPr>
      <w:spacing w:after="100" w:line="259" w:lineRule="auto"/>
      <w:ind w:left="1760"/>
    </w:pPr>
    <w:rPr>
      <w:rFonts w:asciiTheme="minorHAnsi" w:hAnsiTheme="minorHAnsi" w:cstheme="minorBidi"/>
      <w:sz w:val="22"/>
      <w:lang w:val="en-AU" w:eastAsia="en-AU"/>
    </w:rPr>
  </w:style>
  <w:style w:type="table" w:customStyle="1" w:styleId="GridTable31">
    <w:name w:val="Grid Table 31"/>
    <w:basedOn w:val="TableNormal"/>
    <w:uiPriority w:val="48"/>
    <w:rsid w:val="002C2F7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Grid">
    <w:name w:val="Table Grid"/>
    <w:basedOn w:val="TableNormal"/>
    <w:uiPriority w:val="39"/>
    <w:rsid w:val="002C2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4354A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1">
    <w:name w:val="Unresolved Mention1"/>
    <w:basedOn w:val="DefaultParagraphFont"/>
    <w:uiPriority w:val="99"/>
    <w:semiHidden/>
    <w:unhideWhenUsed/>
    <w:rsid w:val="003E4195"/>
    <w:rPr>
      <w:color w:val="605E5C"/>
      <w:shd w:val="clear" w:color="auto" w:fill="E1DFDD"/>
    </w:rPr>
  </w:style>
  <w:style w:type="paragraph" w:styleId="Revision">
    <w:name w:val="Revision"/>
    <w:hidden/>
    <w:uiPriority w:val="99"/>
    <w:semiHidden/>
    <w:rsid w:val="00582C50"/>
  </w:style>
  <w:style w:type="character" w:customStyle="1" w:styleId="UnresolvedMention2">
    <w:name w:val="Unresolved Mention2"/>
    <w:basedOn w:val="DefaultParagraphFont"/>
    <w:uiPriority w:val="99"/>
    <w:semiHidden/>
    <w:unhideWhenUsed/>
    <w:rsid w:val="00801F3D"/>
    <w:rPr>
      <w:color w:val="605E5C"/>
      <w:shd w:val="clear" w:color="auto" w:fill="E1DFDD"/>
    </w:rPr>
  </w:style>
  <w:style w:type="character" w:customStyle="1" w:styleId="jrnl">
    <w:name w:val="jrnl"/>
    <w:basedOn w:val="DefaultParagraphFont"/>
    <w:rsid w:val="00DF31FE"/>
  </w:style>
  <w:style w:type="character" w:customStyle="1" w:styleId="label">
    <w:name w:val="label"/>
    <w:basedOn w:val="DefaultParagraphFont"/>
    <w:rsid w:val="00DF31FE"/>
  </w:style>
  <w:style w:type="character" w:customStyle="1" w:styleId="separator">
    <w:name w:val="separator"/>
    <w:basedOn w:val="DefaultParagraphFont"/>
    <w:rsid w:val="00DF31FE"/>
  </w:style>
  <w:style w:type="character" w:customStyle="1" w:styleId="value">
    <w:name w:val="value"/>
    <w:basedOn w:val="DefaultParagraphFont"/>
    <w:rsid w:val="00DF31FE"/>
  </w:style>
  <w:style w:type="character" w:styleId="LineNumber">
    <w:name w:val="line number"/>
    <w:basedOn w:val="DefaultParagraphFont"/>
    <w:uiPriority w:val="99"/>
    <w:semiHidden/>
    <w:unhideWhenUsed/>
    <w:rsid w:val="00486D94"/>
  </w:style>
  <w:style w:type="table" w:styleId="LightShading">
    <w:name w:val="Light Shading"/>
    <w:basedOn w:val="TableNormal"/>
    <w:uiPriority w:val="60"/>
    <w:rsid w:val="003350B1"/>
    <w:rPr>
      <w:rFonts w:asciiTheme="minorHAnsi" w:eastAsiaTheme="minorHAnsi" w:hAnsiTheme="minorHAnsi" w:cstheme="minorBidi"/>
      <w:color w:val="000000" w:themeColor="text1" w:themeShade="BF"/>
      <w:sz w:val="22"/>
      <w:lang w:val="en-AU"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AA1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537036">
      <w:bodyDiv w:val="1"/>
      <w:marLeft w:val="0"/>
      <w:marRight w:val="0"/>
      <w:marTop w:val="0"/>
      <w:marBottom w:val="0"/>
      <w:divBdr>
        <w:top w:val="none" w:sz="0" w:space="0" w:color="auto"/>
        <w:left w:val="none" w:sz="0" w:space="0" w:color="auto"/>
        <w:bottom w:val="none" w:sz="0" w:space="0" w:color="auto"/>
        <w:right w:val="none" w:sz="0" w:space="0" w:color="auto"/>
      </w:divBdr>
      <w:divsChild>
        <w:div w:id="1069769218">
          <w:marLeft w:val="331"/>
          <w:marRight w:val="0"/>
          <w:marTop w:val="150"/>
          <w:marBottom w:val="0"/>
          <w:divBdr>
            <w:top w:val="none" w:sz="0" w:space="0" w:color="auto"/>
            <w:left w:val="none" w:sz="0" w:space="0" w:color="auto"/>
            <w:bottom w:val="none" w:sz="0" w:space="0" w:color="auto"/>
            <w:right w:val="none" w:sz="0" w:space="0" w:color="auto"/>
          </w:divBdr>
        </w:div>
      </w:divsChild>
    </w:div>
    <w:div w:id="262036541">
      <w:bodyDiv w:val="1"/>
      <w:marLeft w:val="0"/>
      <w:marRight w:val="0"/>
      <w:marTop w:val="0"/>
      <w:marBottom w:val="0"/>
      <w:divBdr>
        <w:top w:val="none" w:sz="0" w:space="0" w:color="auto"/>
        <w:left w:val="none" w:sz="0" w:space="0" w:color="auto"/>
        <w:bottom w:val="none" w:sz="0" w:space="0" w:color="auto"/>
        <w:right w:val="none" w:sz="0" w:space="0" w:color="auto"/>
      </w:divBdr>
    </w:div>
    <w:div w:id="442849480">
      <w:bodyDiv w:val="1"/>
      <w:marLeft w:val="0"/>
      <w:marRight w:val="0"/>
      <w:marTop w:val="0"/>
      <w:marBottom w:val="0"/>
      <w:divBdr>
        <w:top w:val="none" w:sz="0" w:space="0" w:color="auto"/>
        <w:left w:val="none" w:sz="0" w:space="0" w:color="auto"/>
        <w:bottom w:val="none" w:sz="0" w:space="0" w:color="auto"/>
        <w:right w:val="none" w:sz="0" w:space="0" w:color="auto"/>
      </w:divBdr>
    </w:div>
    <w:div w:id="467822371">
      <w:bodyDiv w:val="1"/>
      <w:marLeft w:val="0"/>
      <w:marRight w:val="0"/>
      <w:marTop w:val="0"/>
      <w:marBottom w:val="0"/>
      <w:divBdr>
        <w:top w:val="none" w:sz="0" w:space="0" w:color="auto"/>
        <w:left w:val="none" w:sz="0" w:space="0" w:color="auto"/>
        <w:bottom w:val="none" w:sz="0" w:space="0" w:color="auto"/>
        <w:right w:val="none" w:sz="0" w:space="0" w:color="auto"/>
      </w:divBdr>
    </w:div>
    <w:div w:id="591398266">
      <w:bodyDiv w:val="1"/>
      <w:marLeft w:val="0"/>
      <w:marRight w:val="0"/>
      <w:marTop w:val="0"/>
      <w:marBottom w:val="0"/>
      <w:divBdr>
        <w:top w:val="none" w:sz="0" w:space="0" w:color="auto"/>
        <w:left w:val="none" w:sz="0" w:space="0" w:color="auto"/>
        <w:bottom w:val="none" w:sz="0" w:space="0" w:color="auto"/>
        <w:right w:val="none" w:sz="0" w:space="0" w:color="auto"/>
      </w:divBdr>
    </w:div>
    <w:div w:id="791677600">
      <w:bodyDiv w:val="1"/>
      <w:marLeft w:val="0"/>
      <w:marRight w:val="0"/>
      <w:marTop w:val="0"/>
      <w:marBottom w:val="0"/>
      <w:divBdr>
        <w:top w:val="none" w:sz="0" w:space="0" w:color="auto"/>
        <w:left w:val="none" w:sz="0" w:space="0" w:color="auto"/>
        <w:bottom w:val="none" w:sz="0" w:space="0" w:color="auto"/>
        <w:right w:val="none" w:sz="0" w:space="0" w:color="auto"/>
      </w:divBdr>
    </w:div>
    <w:div w:id="856500575">
      <w:bodyDiv w:val="1"/>
      <w:marLeft w:val="0"/>
      <w:marRight w:val="0"/>
      <w:marTop w:val="0"/>
      <w:marBottom w:val="0"/>
      <w:divBdr>
        <w:top w:val="none" w:sz="0" w:space="0" w:color="auto"/>
        <w:left w:val="none" w:sz="0" w:space="0" w:color="auto"/>
        <w:bottom w:val="none" w:sz="0" w:space="0" w:color="auto"/>
        <w:right w:val="none" w:sz="0" w:space="0" w:color="auto"/>
      </w:divBdr>
    </w:div>
    <w:div w:id="1098405086">
      <w:bodyDiv w:val="1"/>
      <w:marLeft w:val="0"/>
      <w:marRight w:val="0"/>
      <w:marTop w:val="0"/>
      <w:marBottom w:val="0"/>
      <w:divBdr>
        <w:top w:val="none" w:sz="0" w:space="0" w:color="auto"/>
        <w:left w:val="none" w:sz="0" w:space="0" w:color="auto"/>
        <w:bottom w:val="none" w:sz="0" w:space="0" w:color="auto"/>
        <w:right w:val="none" w:sz="0" w:space="0" w:color="auto"/>
      </w:divBdr>
    </w:div>
    <w:div w:id="1098600691">
      <w:bodyDiv w:val="1"/>
      <w:marLeft w:val="0"/>
      <w:marRight w:val="0"/>
      <w:marTop w:val="0"/>
      <w:marBottom w:val="0"/>
      <w:divBdr>
        <w:top w:val="none" w:sz="0" w:space="0" w:color="auto"/>
        <w:left w:val="none" w:sz="0" w:space="0" w:color="auto"/>
        <w:bottom w:val="none" w:sz="0" w:space="0" w:color="auto"/>
        <w:right w:val="none" w:sz="0" w:space="0" w:color="auto"/>
      </w:divBdr>
    </w:div>
    <w:div w:id="1161695948">
      <w:bodyDiv w:val="1"/>
      <w:marLeft w:val="0"/>
      <w:marRight w:val="0"/>
      <w:marTop w:val="0"/>
      <w:marBottom w:val="0"/>
      <w:divBdr>
        <w:top w:val="none" w:sz="0" w:space="0" w:color="auto"/>
        <w:left w:val="none" w:sz="0" w:space="0" w:color="auto"/>
        <w:bottom w:val="none" w:sz="0" w:space="0" w:color="auto"/>
        <w:right w:val="none" w:sz="0" w:space="0" w:color="auto"/>
      </w:divBdr>
    </w:div>
    <w:div w:id="1466655145">
      <w:bodyDiv w:val="1"/>
      <w:marLeft w:val="0"/>
      <w:marRight w:val="0"/>
      <w:marTop w:val="0"/>
      <w:marBottom w:val="0"/>
      <w:divBdr>
        <w:top w:val="none" w:sz="0" w:space="0" w:color="auto"/>
        <w:left w:val="none" w:sz="0" w:space="0" w:color="auto"/>
        <w:bottom w:val="none" w:sz="0" w:space="0" w:color="auto"/>
        <w:right w:val="none" w:sz="0" w:space="0" w:color="auto"/>
      </w:divBdr>
      <w:divsChild>
        <w:div w:id="74597233">
          <w:marLeft w:val="0"/>
          <w:marRight w:val="0"/>
          <w:marTop w:val="120"/>
          <w:marBottom w:val="360"/>
          <w:divBdr>
            <w:top w:val="none" w:sz="0" w:space="0" w:color="auto"/>
            <w:left w:val="none" w:sz="0" w:space="0" w:color="auto"/>
            <w:bottom w:val="none" w:sz="0" w:space="0" w:color="auto"/>
            <w:right w:val="none" w:sz="0" w:space="0" w:color="auto"/>
          </w:divBdr>
          <w:divsChild>
            <w:div w:id="161732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5968">
      <w:bodyDiv w:val="1"/>
      <w:marLeft w:val="0"/>
      <w:marRight w:val="0"/>
      <w:marTop w:val="0"/>
      <w:marBottom w:val="0"/>
      <w:divBdr>
        <w:top w:val="none" w:sz="0" w:space="0" w:color="auto"/>
        <w:left w:val="none" w:sz="0" w:space="0" w:color="auto"/>
        <w:bottom w:val="none" w:sz="0" w:space="0" w:color="auto"/>
        <w:right w:val="none" w:sz="0" w:space="0" w:color="auto"/>
      </w:divBdr>
    </w:div>
    <w:div w:id="1651788195">
      <w:bodyDiv w:val="1"/>
      <w:marLeft w:val="0"/>
      <w:marRight w:val="0"/>
      <w:marTop w:val="0"/>
      <w:marBottom w:val="0"/>
      <w:divBdr>
        <w:top w:val="none" w:sz="0" w:space="0" w:color="auto"/>
        <w:left w:val="none" w:sz="0" w:space="0" w:color="auto"/>
        <w:bottom w:val="none" w:sz="0" w:space="0" w:color="auto"/>
        <w:right w:val="none" w:sz="0" w:space="0" w:color="auto"/>
      </w:divBdr>
    </w:div>
    <w:div w:id="1693602293">
      <w:bodyDiv w:val="1"/>
      <w:marLeft w:val="0"/>
      <w:marRight w:val="0"/>
      <w:marTop w:val="0"/>
      <w:marBottom w:val="0"/>
      <w:divBdr>
        <w:top w:val="none" w:sz="0" w:space="0" w:color="auto"/>
        <w:left w:val="none" w:sz="0" w:space="0" w:color="auto"/>
        <w:bottom w:val="none" w:sz="0" w:space="0" w:color="auto"/>
        <w:right w:val="none" w:sz="0" w:space="0" w:color="auto"/>
      </w:divBdr>
      <w:divsChild>
        <w:div w:id="969478374">
          <w:marLeft w:val="331"/>
          <w:marRight w:val="0"/>
          <w:marTop w:val="150"/>
          <w:marBottom w:val="0"/>
          <w:divBdr>
            <w:top w:val="none" w:sz="0" w:space="0" w:color="auto"/>
            <w:left w:val="none" w:sz="0" w:space="0" w:color="auto"/>
            <w:bottom w:val="none" w:sz="0" w:space="0" w:color="auto"/>
            <w:right w:val="none" w:sz="0" w:space="0" w:color="auto"/>
          </w:divBdr>
        </w:div>
      </w:divsChild>
    </w:div>
    <w:div w:id="1733231678">
      <w:bodyDiv w:val="1"/>
      <w:marLeft w:val="0"/>
      <w:marRight w:val="0"/>
      <w:marTop w:val="0"/>
      <w:marBottom w:val="0"/>
      <w:divBdr>
        <w:top w:val="none" w:sz="0" w:space="0" w:color="auto"/>
        <w:left w:val="none" w:sz="0" w:space="0" w:color="auto"/>
        <w:bottom w:val="none" w:sz="0" w:space="0" w:color="auto"/>
        <w:right w:val="none" w:sz="0" w:space="0" w:color="auto"/>
      </w:divBdr>
    </w:div>
    <w:div w:id="1794665030">
      <w:bodyDiv w:val="1"/>
      <w:marLeft w:val="0"/>
      <w:marRight w:val="0"/>
      <w:marTop w:val="0"/>
      <w:marBottom w:val="0"/>
      <w:divBdr>
        <w:top w:val="none" w:sz="0" w:space="0" w:color="auto"/>
        <w:left w:val="none" w:sz="0" w:space="0" w:color="auto"/>
        <w:bottom w:val="none" w:sz="0" w:space="0" w:color="auto"/>
        <w:right w:val="none" w:sz="0" w:space="0" w:color="auto"/>
      </w:divBdr>
    </w:div>
    <w:div w:id="1800411833">
      <w:bodyDiv w:val="1"/>
      <w:marLeft w:val="0"/>
      <w:marRight w:val="0"/>
      <w:marTop w:val="0"/>
      <w:marBottom w:val="0"/>
      <w:divBdr>
        <w:top w:val="none" w:sz="0" w:space="0" w:color="auto"/>
        <w:left w:val="none" w:sz="0" w:space="0" w:color="auto"/>
        <w:bottom w:val="none" w:sz="0" w:space="0" w:color="auto"/>
        <w:right w:val="none" w:sz="0" w:space="0" w:color="auto"/>
      </w:divBdr>
    </w:div>
    <w:div w:id="1826555663">
      <w:bodyDiv w:val="1"/>
      <w:marLeft w:val="0"/>
      <w:marRight w:val="0"/>
      <w:marTop w:val="0"/>
      <w:marBottom w:val="0"/>
      <w:divBdr>
        <w:top w:val="none" w:sz="0" w:space="0" w:color="auto"/>
        <w:left w:val="none" w:sz="0" w:space="0" w:color="auto"/>
        <w:bottom w:val="none" w:sz="0" w:space="0" w:color="auto"/>
        <w:right w:val="none" w:sz="0" w:space="0" w:color="auto"/>
      </w:divBdr>
    </w:div>
    <w:div w:id="1846822341">
      <w:bodyDiv w:val="1"/>
      <w:marLeft w:val="0"/>
      <w:marRight w:val="0"/>
      <w:marTop w:val="0"/>
      <w:marBottom w:val="0"/>
      <w:divBdr>
        <w:top w:val="none" w:sz="0" w:space="0" w:color="auto"/>
        <w:left w:val="none" w:sz="0" w:space="0" w:color="auto"/>
        <w:bottom w:val="none" w:sz="0" w:space="0" w:color="auto"/>
        <w:right w:val="none" w:sz="0" w:space="0" w:color="auto"/>
      </w:divBdr>
    </w:div>
    <w:div w:id="2017346900">
      <w:bodyDiv w:val="1"/>
      <w:marLeft w:val="0"/>
      <w:marRight w:val="0"/>
      <w:marTop w:val="0"/>
      <w:marBottom w:val="0"/>
      <w:divBdr>
        <w:top w:val="none" w:sz="0" w:space="0" w:color="auto"/>
        <w:left w:val="none" w:sz="0" w:space="0" w:color="auto"/>
        <w:bottom w:val="none" w:sz="0" w:space="0" w:color="auto"/>
        <w:right w:val="none" w:sz="0" w:space="0" w:color="auto"/>
      </w:divBdr>
    </w:div>
    <w:div w:id="21304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nnifer.koplin@mcri.edu.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2fa1980-afc8-4190-a950-e242600d48e9">
      <Value>2</Value>
      <Value>1</Value>
    </TaxCatchAll>
    <c494f249c5674da4a2203f1e869d3ba9 xmlns="afa307e7-1b84-48cc-8f17-616289843759">
      <Terms xmlns="http://schemas.microsoft.com/office/infopath/2007/PartnerControls">
        <TermInfo xmlns="http://schemas.microsoft.com/office/infopath/2007/PartnerControls">
          <TermName xmlns="http://schemas.microsoft.com/office/infopath/2007/PartnerControls">Official Open</TermName>
          <TermId xmlns="http://schemas.microsoft.com/office/infopath/2007/PartnerControls">2bae7c29-0188-4e7d-8c62-1a438b954f8b</TermId>
        </TermInfo>
      </Terms>
    </c494f249c5674da4a2203f1e869d3ba9>
    <c1379ad54da0493bb39edfce1cc4e82a xmlns="afa307e7-1b84-48cc-8f17-616289843759">
      <Terms xmlns="http://schemas.microsoft.com/office/infopath/2007/PartnerControls">
        <TermInfo xmlns="http://schemas.microsoft.com/office/infopath/2007/PartnerControls">
          <TermName xmlns="http://schemas.microsoft.com/office/infopath/2007/PartnerControls">Non-Sensitive</TermName>
          <TermId xmlns="http://schemas.microsoft.com/office/infopath/2007/PartnerControls">a6c191f4-2dd3-46ec-8289-9409bff4fe86</TermId>
        </TermInfo>
      </Terms>
    </c1379ad54da0493bb39edfce1cc4e82a>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559CD941BBE34A90B05ABC10CA6A12" ma:contentTypeVersion="6" ma:contentTypeDescription="Create a new document." ma:contentTypeScope="" ma:versionID="84059cdcbd7eb9cd85ccd6c967dd9589">
  <xsd:schema xmlns:xsd="http://www.w3.org/2001/XMLSchema" xmlns:xs="http://www.w3.org/2001/XMLSchema" xmlns:p="http://schemas.microsoft.com/office/2006/metadata/properties" xmlns:ns2="afa307e7-1b84-48cc-8f17-616289843759" xmlns:ns3="22fa1980-afc8-4190-a950-e242600d48e9" targetNamespace="http://schemas.microsoft.com/office/2006/metadata/properties" ma:root="true" ma:fieldsID="72baa6881520eec3511e3f5d5fd48feb" ns2:_="" ns3:_="">
    <xsd:import namespace="afa307e7-1b84-48cc-8f17-616289843759"/>
    <xsd:import namespace="22fa1980-afc8-4190-a950-e242600d48e9"/>
    <xsd:element name="properties">
      <xsd:complexType>
        <xsd:sequence>
          <xsd:element name="documentManagement">
            <xsd:complexType>
              <xsd:all>
                <xsd:element ref="ns2:c494f249c5674da4a2203f1e869d3ba9" minOccurs="0"/>
                <xsd:element ref="ns3:TaxCatchAll" minOccurs="0"/>
                <xsd:element ref="ns2:c1379ad54da0493bb39edfce1cc4e82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07e7-1b84-48cc-8f17-616289843759" elementFormDefault="qualified">
    <xsd:import namespace="http://schemas.microsoft.com/office/2006/documentManagement/types"/>
    <xsd:import namespace="http://schemas.microsoft.com/office/infopath/2007/PartnerControls"/>
    <xsd:element name="c494f249c5674da4a2203f1e869d3ba9" ma:index="9" ma:taxonomy="true" ma:internalName="c494f249c5674da4a2203f1e869d3ba9" ma:taxonomyFieldName="Security_x0020_Classification" ma:displayName="Security Classification" ma:default="1;#Official Open|2bae7c29-0188-4e7d-8c62-1a438b954f8b" ma:fieldId="{c494f249-c567-4da4-a220-3f1e869d3ba9}" ma:sspId="974cb554-9eb7-495d-b1d8-159d1abb80f5" ma:termSetId="b44889cd-d78c-4551-b063-7a7a1cb7edad" ma:anchorId="00000000-0000-0000-0000-000000000000" ma:open="false" ma:isKeyword="false">
      <xsd:complexType>
        <xsd:sequence>
          <xsd:element ref="pc:Terms" minOccurs="0" maxOccurs="1"/>
        </xsd:sequence>
      </xsd:complexType>
    </xsd:element>
    <xsd:element name="c1379ad54da0493bb39edfce1cc4e82a" ma:index="12" ma:taxonomy="true" ma:internalName="c1379ad54da0493bb39edfce1cc4e82a" ma:taxonomyFieldName="Sensitive_x0020_Category" ma:displayName="Sensitive Category" ma:default="2;#Non-Sensitive|a6c191f4-2dd3-46ec-8289-9409bff4fe86" ma:fieldId="{c1379ad5-4da0-493b-b39e-dfce1cc4e82a}" ma:sspId="974cb554-9eb7-495d-b1d8-159d1abb80f5" ma:termSetId="557ecf87-9d5f-4a78-a4ea-1caff5fb2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fa1980-afc8-4190-a950-e242600d48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3405dc6-1863-48ea-a96d-1c39fa2b7368}" ma:internalName="TaxCatchAll" ma:showField="CatchAllData" ma:web="22fa1980-afc8-4190-a950-e242600d48e9">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518FBD-366C-4EDE-85E3-32AD1D965C5A}">
  <ds:schemaRefs>
    <ds:schemaRef ds:uri="http://schemas.microsoft.com/sharepoint/v3/contenttype/forms"/>
  </ds:schemaRefs>
</ds:datastoreItem>
</file>

<file path=customXml/itemProps2.xml><?xml version="1.0" encoding="utf-8"?>
<ds:datastoreItem xmlns:ds="http://schemas.openxmlformats.org/officeDocument/2006/customXml" ds:itemID="{54E184D8-6549-49DD-8FB4-3354A4A355B1}">
  <ds:schemaRefs>
    <ds:schemaRef ds:uri="http://schemas.openxmlformats.org/officeDocument/2006/bibliography"/>
  </ds:schemaRefs>
</ds:datastoreItem>
</file>

<file path=customXml/itemProps3.xml><?xml version="1.0" encoding="utf-8"?>
<ds:datastoreItem xmlns:ds="http://schemas.openxmlformats.org/officeDocument/2006/customXml" ds:itemID="{6D36CDB5-C223-4858-96FE-F907D0645CB2}">
  <ds:schemaRefs>
    <ds:schemaRef ds:uri="http://schemas.microsoft.com/office/2006/metadata/properties"/>
    <ds:schemaRef ds:uri="http://schemas.microsoft.com/office/infopath/2007/PartnerControls"/>
    <ds:schemaRef ds:uri="22fa1980-afc8-4190-a950-e242600d48e9"/>
    <ds:schemaRef ds:uri="afa307e7-1b84-48cc-8f17-616289843759"/>
  </ds:schemaRefs>
</ds:datastoreItem>
</file>

<file path=customXml/itemProps4.xml><?xml version="1.0" encoding="utf-8"?>
<ds:datastoreItem xmlns:ds="http://schemas.openxmlformats.org/officeDocument/2006/customXml" ds:itemID="{B5A0855D-CAFD-45A4-9488-8F4631B17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307e7-1b84-48cc-8f17-616289843759"/>
    <ds:schemaRef ds:uri="22fa1980-afc8-4190-a950-e242600d4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35</Pages>
  <Words>8280</Words>
  <Characters>47197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55367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Karen Drake</cp:lastModifiedBy>
  <cp:revision>2</cp:revision>
  <dcterms:created xsi:type="dcterms:W3CDTF">2021-02-17T14:09:00Z</dcterms:created>
  <dcterms:modified xsi:type="dcterms:W3CDTF">2021-02-17T14:09:00Z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0x01010081559CD941BBE34A90B05ABC10CA6A12</vt:lpwstr>
  </property>
  <property fmtid="{D5CDD505-2E9C-101B-9397-08002B2CF9AE}" pid="3" name="Sensitive Category">
    <vt:lpwstr>2;#Non-Sensitive|a6c191f4-2dd3-46ec-8289-9409bff4fe86</vt:lpwstr>
  </property>
  <property fmtid="{D5CDD505-2E9C-101B-9397-08002B2CF9AE}" pid="4" name="Security Classification">
    <vt:lpwstr>1;#Official Open|2bae7c29-0188-4e7d-8c62-1a438b954f8b</vt:lpwstr>
  </property>
</Properties>
</file>